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552452C-A981-442D-8BAD-7BF5AE65B4FE" style="width:455.25pt;height:359.25pt">
            <v:imagedata r:id="rId8" o:title=""/>
          </v:shape>
        </w:pict>
      </w:r>
    </w:p>
    <w:bookmarkEnd w:id="0"/>
    <w:p>
      <w:pPr>
        <w:rPr>
          <w:rFonts w:eastAsia="Calibri"/>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rFonts w:eastAsia="Calibri"/>
          <w:b/>
          <w:bCs/>
          <w:noProof/>
          <w:u w:val="single"/>
        </w:rPr>
      </w:pPr>
      <w:r>
        <w:rPr>
          <w:b/>
          <w:noProof/>
          <w:u w:val="single"/>
        </w:rPr>
        <w:lastRenderedPageBreak/>
        <w:t>ANEXA 3-A</w:t>
      </w:r>
    </w:p>
    <w:p>
      <w:pPr>
        <w:rPr>
          <w:rFonts w:eastAsia="Calibri"/>
          <w:noProof/>
        </w:rPr>
      </w:pPr>
    </w:p>
    <w:p>
      <w:pPr>
        <w:rPr>
          <w:rFonts w:eastAsia="Calibri"/>
          <w:noProof/>
        </w:rPr>
      </w:pPr>
    </w:p>
    <w:p>
      <w:pPr>
        <w:jc w:val="center"/>
        <w:rPr>
          <w:noProof/>
        </w:rPr>
      </w:pPr>
      <w:bookmarkStart w:id="1" w:name="_Hlk229587886"/>
      <w:r>
        <w:rPr>
          <w:noProof/>
        </w:rPr>
        <w:t xml:space="preserve">NOTE INTRODUCTIVE </w:t>
      </w:r>
      <w:r>
        <w:rPr>
          <w:noProof/>
        </w:rPr>
        <w:br/>
        <w:t xml:space="preserve">LA LISTA DIN ANEXA 3-B </w:t>
      </w:r>
      <w:bookmarkStart w:id="2" w:name="_Hlk230338200"/>
      <w:r>
        <w:rPr>
          <w:noProof/>
        </w:rPr>
        <w:t>(REGULI DE ORIGINE SPECIFICE PRODUSULUI)</w:t>
      </w:r>
      <w:bookmarkEnd w:id="2"/>
    </w:p>
    <w:bookmarkEnd w:id="1"/>
    <w:p>
      <w:pPr>
        <w:jc w:val="center"/>
        <w:rPr>
          <w:rFonts w:eastAsia="Calibri"/>
          <w:noProof/>
        </w:rPr>
      </w:pPr>
    </w:p>
    <w:p>
      <w:pPr>
        <w:jc w:val="center"/>
        <w:rPr>
          <w:rFonts w:eastAsia="Calibri"/>
          <w:noProof/>
        </w:rPr>
      </w:pPr>
    </w:p>
    <w:p>
      <w:pPr>
        <w:jc w:val="center"/>
        <w:rPr>
          <w:rFonts w:eastAsia="Calibri"/>
          <w:noProof/>
        </w:rPr>
      </w:pPr>
      <w:r>
        <w:rPr>
          <w:noProof/>
        </w:rPr>
        <w:t>NOTA 1</w:t>
      </w:r>
    </w:p>
    <w:p>
      <w:pPr>
        <w:jc w:val="center"/>
        <w:rPr>
          <w:rFonts w:eastAsia="Calibri"/>
          <w:noProof/>
        </w:rPr>
      </w:pPr>
    </w:p>
    <w:p>
      <w:pPr>
        <w:jc w:val="center"/>
        <w:rPr>
          <w:rFonts w:eastAsia="Calibri"/>
          <w:noProof/>
        </w:rPr>
      </w:pPr>
      <w:r>
        <w:rPr>
          <w:noProof/>
        </w:rPr>
        <w:t>Principii generale</w:t>
      </w:r>
    </w:p>
    <w:p>
      <w:pPr>
        <w:rPr>
          <w:rFonts w:eastAsia="Calibri"/>
          <w:noProof/>
        </w:rPr>
      </w:pPr>
    </w:p>
    <w:p>
      <w:pPr>
        <w:rPr>
          <w:rFonts w:eastAsia="Calibri"/>
          <w:noProof/>
        </w:rPr>
      </w:pPr>
      <w:r>
        <w:rPr>
          <w:noProof/>
        </w:rPr>
        <w:t>1.</w:t>
      </w:r>
      <w:r>
        <w:rPr>
          <w:noProof/>
        </w:rPr>
        <w:tab/>
        <w:t>Prezenta anexă stabilește normele generale pentru cerințele aplicabile din anexa 3</w:t>
      </w:r>
      <w:r>
        <w:rPr>
          <w:noProof/>
        </w:rPr>
        <w:noBreakHyphen/>
        <w:t>B (Reguli de origine specifice produsului), astfel cum se prevede la articolul 3.5 alineatul (1).</w:t>
      </w:r>
    </w:p>
    <w:p>
      <w:pPr>
        <w:rPr>
          <w:rFonts w:eastAsia="Calibri"/>
          <w:noProof/>
        </w:rPr>
      </w:pPr>
    </w:p>
    <w:p>
      <w:pPr>
        <w:rPr>
          <w:rFonts w:eastAsia="Calibri"/>
          <w:noProof/>
        </w:rPr>
      </w:pPr>
      <w:r>
        <w:rPr>
          <w:noProof/>
        </w:rPr>
        <w:t>2.</w:t>
      </w:r>
      <w:r>
        <w:rPr>
          <w:noProof/>
        </w:rPr>
        <w:tab/>
        <w:t>În sensul prezentei anexe și al anexei 3-B (Reguli de origine specifice produsului), cerințele pentru ca un produs să aibă caracter originar în conformitate cu articolul 3.2 alineatul (1) litera (c) sunt: o modificare a clasificării tarifare, un proces de producție, o valoare sau o greutate maximă a materialelor neoriginare sau orice altă cerință specificată în prezenta anexă sau în anexa 3</w:t>
      </w:r>
      <w:r>
        <w:rPr>
          <w:noProof/>
        </w:rPr>
        <w:noBreakHyphen/>
        <w:t>B (Reguli de origine specifice produsului).</w:t>
      </w:r>
    </w:p>
    <w:p>
      <w:pPr>
        <w:rPr>
          <w:rFonts w:eastAsia="Calibri"/>
          <w:noProof/>
        </w:rPr>
      </w:pPr>
    </w:p>
    <w:p>
      <w:pPr>
        <w:rPr>
          <w:rFonts w:eastAsia="Calibri"/>
          <w:noProof/>
        </w:rPr>
      </w:pPr>
      <w:r>
        <w:rPr>
          <w:noProof/>
        </w:rPr>
        <w:t>3.</w:t>
      </w:r>
      <w:r>
        <w:rPr>
          <w:noProof/>
        </w:rPr>
        <w:tab/>
        <w:t>Greutatea menționată într-o regulă de origine specifică produsului înseamnă greutatea netă, și anume greutatea unui material sau a unui produs, fără a include greutatea oricărui ambalaj.</w:t>
      </w:r>
    </w:p>
    <w:p>
      <w:pPr>
        <w:rPr>
          <w:rFonts w:eastAsia="Calibri"/>
          <w:noProof/>
        </w:rPr>
      </w:pPr>
    </w:p>
    <w:p>
      <w:pPr>
        <w:rPr>
          <w:rFonts w:eastAsia="Calibri"/>
          <w:noProof/>
        </w:rPr>
      </w:pPr>
      <w:r>
        <w:rPr>
          <w:noProof/>
        </w:rPr>
        <w:t>4.</w:t>
      </w:r>
      <w:r>
        <w:rPr>
          <w:noProof/>
        </w:rPr>
        <w:tab/>
        <w:t>Prezenta anexă și anexa 3-B (Reguli de origine specifice produsului) se bazează pe Sistemul armonizat, astfel cum a fost modificat la 1 ianuarie 2022.</w:t>
      </w:r>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NOTA 2</w:t>
      </w:r>
    </w:p>
    <w:p>
      <w:pPr>
        <w:jc w:val="center"/>
        <w:rPr>
          <w:rFonts w:eastAsia="Calibri"/>
          <w:noProof/>
        </w:rPr>
      </w:pPr>
    </w:p>
    <w:p>
      <w:pPr>
        <w:jc w:val="center"/>
        <w:rPr>
          <w:rFonts w:eastAsia="Calibri"/>
          <w:noProof/>
        </w:rPr>
      </w:pPr>
      <w:r>
        <w:rPr>
          <w:noProof/>
        </w:rPr>
        <w:t>Structura listei regulilor de origine specifice produsului</w:t>
      </w:r>
    </w:p>
    <w:p>
      <w:pPr>
        <w:rPr>
          <w:rFonts w:eastAsia="Calibri"/>
          <w:noProof/>
        </w:rPr>
      </w:pPr>
    </w:p>
    <w:p>
      <w:pPr>
        <w:rPr>
          <w:rFonts w:eastAsia="Calibri"/>
          <w:noProof/>
        </w:rPr>
      </w:pPr>
      <w:r>
        <w:rPr>
          <w:noProof/>
        </w:rPr>
        <w:t>1.</w:t>
      </w:r>
      <w:r>
        <w:rPr>
          <w:noProof/>
        </w:rPr>
        <w:tab/>
        <w:t>Notele cu privire la secțiunile sau la capitolele Sistemului armonizat, acolo unde este cazul, se citesc coroborat cu regulile de origine specifice produsului pentru secțiunea, capitolul, poziția sau subpoziția pertinentă.</w:t>
      </w:r>
    </w:p>
    <w:p>
      <w:pPr>
        <w:rPr>
          <w:rFonts w:eastAsia="Calibri"/>
          <w:noProof/>
        </w:rPr>
      </w:pPr>
    </w:p>
    <w:p>
      <w:pPr>
        <w:rPr>
          <w:rFonts w:eastAsia="Calibri"/>
          <w:noProof/>
        </w:rPr>
      </w:pPr>
      <w:r>
        <w:rPr>
          <w:noProof/>
        </w:rPr>
        <w:t>2.</w:t>
      </w:r>
      <w:r>
        <w:rPr>
          <w:noProof/>
        </w:rPr>
        <w:tab/>
        <w:t>Fiecare regulă de origine specifică produsului menționată în coloana 2 din anexa 3-B (Reguli de origine specifice produsului) se aplică produsului corespunzător indicat în coloana 1 din anexa 3</w:t>
      </w:r>
      <w:r>
        <w:rPr>
          <w:noProof/>
        </w:rPr>
        <w:noBreakHyphen/>
        <w:t>B (Reguli de origine specifice produsului).</w:t>
      </w:r>
    </w:p>
    <w:p>
      <w:pPr>
        <w:rPr>
          <w:rFonts w:eastAsia="Calibri"/>
          <w:noProof/>
        </w:rPr>
      </w:pPr>
    </w:p>
    <w:p>
      <w:pPr>
        <w:rPr>
          <w:rFonts w:eastAsia="Calibri"/>
          <w:noProof/>
        </w:rPr>
      </w:pPr>
      <w:r>
        <w:rPr>
          <w:noProof/>
        </w:rPr>
        <w:t>3.</w:t>
      </w:r>
      <w:r>
        <w:rPr>
          <w:noProof/>
        </w:rPr>
        <w:tab/>
        <w:t>În cazul în care unui produs i se aplică reguli de origine specifice produsului alternative, produsul este considerat originar din una dintre părți dacă îndeplinește una dintre regulile alternative respective. În aceste cazuri, regulile de origine specifice produsului alternative sunt separate prin punct și virgulă (;), ultimul punct și virgulă fiind urmat de „sau”.</w:t>
      </w:r>
    </w:p>
    <w:p>
      <w:pPr>
        <w:rPr>
          <w:rFonts w:eastAsia="Calibri"/>
          <w:noProof/>
        </w:rPr>
      </w:pPr>
    </w:p>
    <w:p>
      <w:pPr>
        <w:rPr>
          <w:rFonts w:eastAsia="Calibri"/>
          <w:noProof/>
        </w:rPr>
      </w:pPr>
      <w:r>
        <w:rPr>
          <w:noProof/>
        </w:rPr>
        <w:t>4.</w:t>
      </w:r>
      <w:r>
        <w:rPr>
          <w:noProof/>
        </w:rPr>
        <w:tab/>
        <w:t>În cazul în care unui produs i se aplică o regulă de origine specifică produsului care cuprinde mai multe cerințe, produsul este considerat originar din una dintre părți numai dacă îndeplinește toate cerințele. În astfel de cazuri, regulile de origine specifice produsului cumulative care cuprind cerințe multiple sunt separate prin punct și virgulă (;), ultimul punct și virgulă fiind urmat de „și”.</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5.</w:t>
      </w:r>
      <w:r>
        <w:rPr>
          <w:noProof/>
        </w:rPr>
        <w:tab/>
        <w:t>În sensul prezentei anexe și al anexei 3-B (Reguli de origine specifice produsului), se aplică următoarele definiții:</w:t>
      </w:r>
    </w:p>
    <w:p>
      <w:pPr>
        <w:rPr>
          <w:rFonts w:eastAsia="Calibri"/>
          <w:noProof/>
        </w:rPr>
      </w:pPr>
    </w:p>
    <w:p>
      <w:pPr>
        <w:ind w:left="567" w:hanging="567"/>
        <w:rPr>
          <w:rFonts w:eastAsia="Calibri"/>
          <w:noProof/>
        </w:rPr>
      </w:pPr>
      <w:r>
        <w:rPr>
          <w:noProof/>
        </w:rPr>
        <w:t>(a)</w:t>
      </w:r>
      <w:r>
        <w:rPr>
          <w:noProof/>
        </w:rPr>
        <w:tab/>
        <w:t>„capitol” înseamnă primele două cifre ale numărului de clasificare tarifară din Sistemul armonizat;</w:t>
      </w:r>
    </w:p>
    <w:p>
      <w:pPr>
        <w:rPr>
          <w:rFonts w:eastAsia="Calibri"/>
          <w:noProof/>
        </w:rPr>
      </w:pPr>
    </w:p>
    <w:p>
      <w:pPr>
        <w:ind w:left="567" w:hanging="567"/>
        <w:rPr>
          <w:rFonts w:eastAsia="Calibri"/>
          <w:noProof/>
        </w:rPr>
      </w:pPr>
      <w:r>
        <w:rPr>
          <w:noProof/>
        </w:rPr>
        <w:t>(b)</w:t>
      </w:r>
      <w:r>
        <w:rPr>
          <w:noProof/>
        </w:rPr>
        <w:tab/>
        <w:t>„poziție” înseamnă primele patru cifre ale numărului de clasificare tarifară din Sistemul armonizat;</w:t>
      </w:r>
    </w:p>
    <w:p>
      <w:pPr>
        <w:rPr>
          <w:rFonts w:eastAsia="Calibri"/>
          <w:noProof/>
        </w:rPr>
      </w:pPr>
    </w:p>
    <w:p>
      <w:pPr>
        <w:ind w:left="567" w:hanging="567"/>
        <w:rPr>
          <w:rFonts w:eastAsia="Calibri"/>
          <w:noProof/>
        </w:rPr>
      </w:pPr>
      <w:r>
        <w:rPr>
          <w:noProof/>
        </w:rPr>
        <w:t>(c)</w:t>
      </w:r>
      <w:r>
        <w:rPr>
          <w:noProof/>
        </w:rPr>
        <w:tab/>
        <w:t>„secțiune” înseamnă o secțiune din Sistemul armonizat și</w:t>
      </w:r>
    </w:p>
    <w:p>
      <w:pPr>
        <w:rPr>
          <w:rFonts w:eastAsia="Calibri"/>
          <w:noProof/>
        </w:rPr>
      </w:pPr>
    </w:p>
    <w:p>
      <w:pPr>
        <w:ind w:left="567" w:hanging="567"/>
        <w:rPr>
          <w:rFonts w:eastAsia="Calibri"/>
          <w:noProof/>
        </w:rPr>
      </w:pPr>
      <w:r>
        <w:rPr>
          <w:noProof/>
        </w:rPr>
        <w:t>(d)</w:t>
      </w:r>
      <w:r>
        <w:rPr>
          <w:noProof/>
        </w:rPr>
        <w:tab/>
        <w:t>„subpoziție” înseamnă primele șase cifre ale numărului de clasificare tarifară din Sistemul armonizat.</w:t>
      </w:r>
    </w:p>
    <w:p>
      <w:pPr>
        <w:rPr>
          <w:rFonts w:eastAsia="Calibri"/>
          <w:noProof/>
        </w:rPr>
      </w:pPr>
    </w:p>
    <w:p>
      <w:pPr>
        <w:rPr>
          <w:rFonts w:eastAsia="Calibri"/>
          <w:noProof/>
        </w:rPr>
      </w:pPr>
      <w:r>
        <w:rPr>
          <w:noProof/>
        </w:rPr>
        <w:t>6.</w:t>
      </w:r>
      <w:r>
        <w:rPr>
          <w:noProof/>
        </w:rPr>
        <w:tab/>
        <w:t>În sensul regulilor de origine specifice produsului bazate pe o modificare a clasificării tarifare, se utilizează următoarele abrevieri:</w:t>
      </w:r>
    </w:p>
    <w:p>
      <w:pPr>
        <w:rPr>
          <w:rFonts w:eastAsia="Calibri"/>
          <w:noProof/>
        </w:rPr>
      </w:pPr>
    </w:p>
    <w:p>
      <w:pPr>
        <w:ind w:left="567" w:hanging="567"/>
        <w:rPr>
          <w:rFonts w:eastAsia="Calibri"/>
          <w:noProof/>
        </w:rPr>
      </w:pPr>
      <w:r>
        <w:rPr>
          <w:noProof/>
        </w:rPr>
        <w:t>(a)</w:t>
      </w:r>
      <w:r>
        <w:rPr>
          <w:noProof/>
        </w:rPr>
        <w:tab/>
        <w:t>„CC” înseamnă fabricare din materiale neoriginare de la orice capitol, cu excepția celui la care este încadrat produsul; acest lucru înseamnă că toate materialele neoriginare utilizate la fabricarea produsului trebuie să facă obiectul unei modificări a clasificării tarifare la nivelul de două cifre (adică o modificare a capitolului) din Sistemul armonizat;</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(b)</w:t>
      </w:r>
      <w:r>
        <w:rPr>
          <w:noProof/>
        </w:rPr>
        <w:tab/>
        <w:t>„CTH” înseamnă fabricare din materiale neoriginare de la orice poziție, cu excepția celei la care este încadrat produsul; acest lucru înseamnă că toate materialele neoriginare utilizate la fabricarea produsului trebuie să facă obiectul unei modificări a clasificării tarifare la nivelul de patru cifre (adică o modificare a poziției) din Sistemul armonizat și</w:t>
      </w:r>
    </w:p>
    <w:p>
      <w:pPr>
        <w:rPr>
          <w:rFonts w:eastAsia="Calibri"/>
          <w:noProof/>
        </w:rPr>
      </w:pPr>
    </w:p>
    <w:p>
      <w:pPr>
        <w:ind w:left="567" w:hanging="567"/>
        <w:rPr>
          <w:rFonts w:eastAsia="Calibri"/>
          <w:noProof/>
        </w:rPr>
      </w:pPr>
      <w:r>
        <w:rPr>
          <w:noProof/>
        </w:rPr>
        <w:t>(c)</w:t>
      </w:r>
      <w:r>
        <w:rPr>
          <w:noProof/>
        </w:rPr>
        <w:tab/>
        <w:t>„CTSH” înseamnă fabricare din materiale neoriginare de la orice subpoziție, cu excepția celei la care este încadrat produsul; acest lucru înseamnă că toate materialele neoriginare utilizate la fabricarea produsului trebuie să facă obiectul unei modificări a clasificării tarifare la nivelul de șase cifre (și anume o modificare a subpoziției) din Sistemul armonizat.</w:t>
      </w:r>
    </w:p>
    <w:p>
      <w:pPr>
        <w:rPr>
          <w:rFonts w:eastAsia="Calibri"/>
          <w:noProof/>
        </w:rPr>
      </w:pPr>
    </w:p>
    <w:p>
      <w:pPr>
        <w:rPr>
          <w:rFonts w:eastAsia="Calibri"/>
          <w:noProof/>
        </w:rPr>
      </w:pPr>
    </w:p>
    <w:p>
      <w:pPr>
        <w:jc w:val="center"/>
        <w:rPr>
          <w:rFonts w:eastAsia="Calibri"/>
          <w:noProof/>
        </w:rPr>
      </w:pPr>
      <w:r>
        <w:rPr>
          <w:noProof/>
        </w:rPr>
        <w:t>NOTA 3</w:t>
      </w:r>
    </w:p>
    <w:p>
      <w:pPr>
        <w:jc w:val="center"/>
        <w:rPr>
          <w:rFonts w:eastAsia="Calibri"/>
          <w:noProof/>
        </w:rPr>
      </w:pPr>
    </w:p>
    <w:p>
      <w:pPr>
        <w:jc w:val="center"/>
        <w:rPr>
          <w:rFonts w:eastAsia="Calibri"/>
          <w:noProof/>
        </w:rPr>
      </w:pPr>
      <w:r>
        <w:rPr>
          <w:noProof/>
        </w:rPr>
        <w:t>Aplicarea regulilor de origine specifice produsului</w:t>
      </w:r>
    </w:p>
    <w:p>
      <w:pPr>
        <w:rPr>
          <w:rFonts w:eastAsia="Calibri"/>
          <w:noProof/>
        </w:rPr>
      </w:pPr>
    </w:p>
    <w:p>
      <w:pPr>
        <w:rPr>
          <w:rFonts w:eastAsia="Calibri"/>
          <w:noProof/>
        </w:rPr>
      </w:pPr>
      <w:r>
        <w:rPr>
          <w:noProof/>
        </w:rPr>
        <w:t>1.</w:t>
      </w:r>
      <w:r>
        <w:rPr>
          <w:noProof/>
        </w:rPr>
        <w:tab/>
        <w:t>Articolul 3.2 privind produsele care au dobândit caracterul de produs originar din una dintre părți și care sunt utilizate la fabricarea altor produse se aplică indiferent dacă acest caracter a fost dobândit sau nu în interiorul aceleiași fabrici a unei părți în care sunt utilizate produsele respective.</w:t>
      </w:r>
    </w:p>
    <w:p>
      <w:pPr>
        <w:rPr>
          <w:rFonts w:eastAsia="Calibri"/>
          <w:noProof/>
        </w:rPr>
      </w:pPr>
    </w:p>
    <w:p>
      <w:pPr>
        <w:rPr>
          <w:rFonts w:eastAsia="Calibri"/>
          <w:noProof/>
        </w:rPr>
      </w:pPr>
      <w:r>
        <w:rPr>
          <w:noProof/>
        </w:rPr>
        <w:t>2.</w:t>
      </w:r>
      <w:r>
        <w:rPr>
          <w:noProof/>
        </w:rPr>
        <w:tab/>
        <w:t>În cazul în care o regulă de origine specifică produsului exclude în mod specific anumite materiale neoriginare sau prevede că valoarea ori greutatea unui material neoriginar specificat nu poate depăși un anumit prag, aceste condiții nu se aplică materialelor neoriginare clasificate în altă parte în Sistemul armonizat.</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Exemplul 1: în cazul în care regula pentru buldozere (subpoziția 8429.11) impune: „CTH, cu excepția materialelor neoriginare încadrate la poziția 84.31”, utilizarea materialelor neoriginare încadrate la o altă poziție decât la pozițiile 84.29 și 84.31 – cum ar fi șuruburi (poziția 73.18 din SA), fire și conductoare electrice izolate (poziția 85.44) și diferite dispozitive electronice (capitolul 85) – nu este limitată.</w:t>
      </w:r>
    </w:p>
    <w:p>
      <w:pPr>
        <w:rPr>
          <w:rFonts w:eastAsia="Calibri"/>
          <w:noProof/>
        </w:rPr>
      </w:pPr>
    </w:p>
    <w:p>
      <w:pPr>
        <w:rPr>
          <w:rFonts w:eastAsia="Calibri"/>
          <w:noProof/>
        </w:rPr>
      </w:pPr>
      <w:r>
        <w:rPr>
          <w:noProof/>
        </w:rPr>
        <w:t>3.</w:t>
      </w:r>
      <w:r>
        <w:rPr>
          <w:noProof/>
        </w:rPr>
        <w:tab/>
        <w:t>În cazul în care o regulă de origine specifică produsului utilizează expresia „fabricare din anumite materiale neoriginare” (de exemplu, regula pentru poziția 71.06 „fabricare din metale prețioase brute neoriginare”), este permisă utilizarea respectivelor materiale neoriginare. Utilizarea respectivelor materiale neoriginare într-un stadiu incipient de prelucrare (de exemplu, a minereului) este permisă, dar utilizarea respectivelor materiale neoriginare care au fost prelucrate ulterior (de exemplu, a plăcilor semifinite) nu este permisă. Totuși, acest lucru nu împiedică utilizarea altor materiale care, prin natura lor, nu pot respecta această regulă.</w:t>
      </w:r>
    </w:p>
    <w:p>
      <w:pPr>
        <w:rPr>
          <w:rFonts w:eastAsia="Calibri"/>
          <w:noProof/>
        </w:rPr>
      </w:pPr>
    </w:p>
    <w:p>
      <w:pPr>
        <w:rPr>
          <w:rFonts w:eastAsia="Calibri"/>
          <w:noProof/>
        </w:rPr>
      </w:pPr>
      <w:r>
        <w:rPr>
          <w:noProof/>
        </w:rPr>
        <w:t>4.</w:t>
      </w:r>
      <w:r>
        <w:rPr>
          <w:noProof/>
        </w:rPr>
        <w:tab/>
        <w:t>În cazul în care o regulă de origine specifică produsului utilizează expresia „fabricare din materiale neoriginare încadrate la orice poziție”, aceasta înseamnă că este permisă utilizarea de materiale neoriginare încadrate, de asemenea, la aceeași poziție, cu condiția ca fabricarea să depășească producția insuficientă menționată la articolul 3.6.</w:t>
      </w:r>
    </w:p>
    <w:p>
      <w:pPr>
        <w:rPr>
          <w:rFonts w:eastAsia="Calibri"/>
          <w:noProof/>
        </w:rPr>
      </w:pPr>
    </w:p>
    <w:p>
      <w:pPr>
        <w:rPr>
          <w:rFonts w:eastAsia="Calibri"/>
          <w:noProof/>
        </w:rPr>
      </w:pPr>
      <w:r>
        <w:rPr>
          <w:noProof/>
        </w:rPr>
        <w:t>Exemplu: Regula privind amestecurile de condimente (curry, subpoziția 0910.91 din SA) prevede:</w:t>
      </w:r>
    </w:p>
    <w:p>
      <w:pPr>
        <w:rPr>
          <w:rFonts w:eastAsia="Calibri"/>
          <w:noProof/>
        </w:rPr>
      </w:pPr>
    </w:p>
    <w:p>
      <w:pPr>
        <w:rPr>
          <w:rFonts w:eastAsia="Calibri"/>
          <w:noProof/>
        </w:rPr>
      </w:pPr>
      <w:r>
        <w:rPr>
          <w:noProof/>
        </w:rPr>
        <w:t>„fabricare din materiale de la orice poziție”.</w:t>
      </w:r>
    </w:p>
    <w:p>
      <w:pPr>
        <w:rPr>
          <w:rFonts w:eastAsia="Calibri"/>
          <w:noProof/>
        </w:rPr>
      </w:pPr>
    </w:p>
    <w:p>
      <w:pPr>
        <w:rPr>
          <w:rFonts w:eastAsia="Calibri"/>
          <w:noProof/>
        </w:rPr>
      </w:pPr>
      <w:r>
        <w:rPr>
          <w:noProof/>
        </w:rPr>
        <w:t>Producătorul utilizează următoarele materiale neoriginare:</w:t>
      </w:r>
    </w:p>
    <w:p>
      <w:pPr>
        <w:rPr>
          <w:rFonts w:eastAsia="Calibri"/>
          <w:noProof/>
        </w:rPr>
      </w:pPr>
    </w:p>
    <w:p>
      <w:pPr>
        <w:rPr>
          <w:rFonts w:eastAsia="Calibri"/>
          <w:noProof/>
        </w:rPr>
      </w:pPr>
      <w:r>
        <w:rPr>
          <w:noProof/>
        </w:rPr>
        <w:t>piper negru (poziția 09.04 din SA);</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ardei iute (poziția 09.04 din SA);</w:t>
      </w:r>
    </w:p>
    <w:p>
      <w:pPr>
        <w:rPr>
          <w:rFonts w:eastAsia="Calibri"/>
          <w:noProof/>
        </w:rPr>
      </w:pPr>
    </w:p>
    <w:p>
      <w:pPr>
        <w:rPr>
          <w:rFonts w:eastAsia="Calibri"/>
          <w:noProof/>
        </w:rPr>
      </w:pPr>
      <w:r>
        <w:rPr>
          <w:noProof/>
        </w:rPr>
        <w:t>scorțișoară (poziția 09.06 din SA);</w:t>
      </w:r>
    </w:p>
    <w:p>
      <w:pPr>
        <w:rPr>
          <w:rFonts w:eastAsia="Calibri"/>
          <w:noProof/>
        </w:rPr>
      </w:pPr>
    </w:p>
    <w:p>
      <w:pPr>
        <w:rPr>
          <w:rFonts w:eastAsia="Calibri"/>
          <w:noProof/>
        </w:rPr>
      </w:pPr>
      <w:r>
        <w:rPr>
          <w:noProof/>
        </w:rPr>
        <w:t>cuișoare (poziția 09.07 din SA);</w:t>
      </w:r>
    </w:p>
    <w:p>
      <w:pPr>
        <w:rPr>
          <w:rFonts w:eastAsia="Calibri"/>
          <w:noProof/>
        </w:rPr>
      </w:pPr>
    </w:p>
    <w:p>
      <w:pPr>
        <w:rPr>
          <w:rFonts w:eastAsia="Calibri"/>
          <w:noProof/>
        </w:rPr>
      </w:pPr>
      <w:r>
        <w:rPr>
          <w:noProof/>
        </w:rPr>
        <w:t>nucșoară (poziția 09.08 din SA);</w:t>
      </w:r>
    </w:p>
    <w:p>
      <w:pPr>
        <w:rPr>
          <w:rFonts w:eastAsia="Calibri"/>
          <w:noProof/>
        </w:rPr>
      </w:pPr>
    </w:p>
    <w:p>
      <w:pPr>
        <w:rPr>
          <w:rFonts w:eastAsia="Calibri"/>
          <w:noProof/>
        </w:rPr>
      </w:pPr>
      <w:r>
        <w:rPr>
          <w:noProof/>
        </w:rPr>
        <w:t>chimion (poziția 09.09 din SA);</w:t>
      </w:r>
    </w:p>
    <w:p>
      <w:pPr>
        <w:rPr>
          <w:rFonts w:eastAsia="Calibri"/>
          <w:noProof/>
        </w:rPr>
      </w:pPr>
    </w:p>
    <w:p>
      <w:pPr>
        <w:rPr>
          <w:rFonts w:eastAsia="Calibri"/>
          <w:noProof/>
        </w:rPr>
      </w:pPr>
      <w:r>
        <w:rPr>
          <w:noProof/>
        </w:rPr>
        <w:t>coriandru (poziția 09.09 din SA);</w:t>
      </w:r>
    </w:p>
    <w:p>
      <w:pPr>
        <w:rPr>
          <w:rFonts w:eastAsia="Calibri"/>
          <w:noProof/>
        </w:rPr>
      </w:pPr>
    </w:p>
    <w:p>
      <w:pPr>
        <w:rPr>
          <w:rFonts w:eastAsia="Calibri"/>
          <w:noProof/>
        </w:rPr>
      </w:pPr>
      <w:r>
        <w:rPr>
          <w:noProof/>
        </w:rPr>
        <w:t>curcuma (poziția 09.10 din SA);</w:t>
      </w:r>
    </w:p>
    <w:p>
      <w:pPr>
        <w:rPr>
          <w:rFonts w:eastAsia="Calibri"/>
          <w:noProof/>
        </w:rPr>
      </w:pPr>
    </w:p>
    <w:p>
      <w:pPr>
        <w:rPr>
          <w:rFonts w:eastAsia="Calibri"/>
          <w:noProof/>
        </w:rPr>
      </w:pPr>
      <w:r>
        <w:rPr>
          <w:noProof/>
        </w:rPr>
        <w:t>schinduf (poziția 09.10 din SA);</w:t>
      </w:r>
    </w:p>
    <w:p>
      <w:pPr>
        <w:rPr>
          <w:rFonts w:eastAsia="Calibri"/>
          <w:noProof/>
        </w:rPr>
      </w:pPr>
    </w:p>
    <w:p>
      <w:pPr>
        <w:rPr>
          <w:rFonts w:eastAsia="Calibri"/>
          <w:noProof/>
        </w:rPr>
      </w:pPr>
      <w:r>
        <w:rPr>
          <w:noProof/>
        </w:rPr>
        <w:t>ghimbir (poziția 09.10 din SA).</w:t>
      </w:r>
    </w:p>
    <w:p>
      <w:pPr>
        <w:rPr>
          <w:rFonts w:eastAsia="Calibri"/>
          <w:noProof/>
        </w:rPr>
      </w:pPr>
    </w:p>
    <w:p>
      <w:pPr>
        <w:rPr>
          <w:rFonts w:eastAsia="Calibri"/>
          <w:noProof/>
        </w:rPr>
      </w:pPr>
      <w:r>
        <w:rPr>
          <w:noProof/>
        </w:rPr>
        <w:t>Ingredientele sunt amestecate împreună ca o operațiune deliberată și controlată proporțional care este mai mult decât minimă și, deoarece necesită competențe sau aparate speciale, depășește „simpla amestecare”, în conformitate cu articolul 3.6 alineatul (2). Unele materiale sunt clasificate la aceeași poziție ca produsul, dar regula este respectată deoarece permite utilizarea materialelor neoriginare de la orice poziție și chiar a celor de la aceeași poziție.</w:t>
      </w:r>
    </w:p>
    <w:p>
      <w:pPr>
        <w:rPr>
          <w:rFonts w:eastAsia="Aptos"/>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NOTA 4</w:t>
      </w:r>
    </w:p>
    <w:p>
      <w:pPr>
        <w:jc w:val="center"/>
        <w:rPr>
          <w:rFonts w:eastAsia="Calibri"/>
          <w:noProof/>
        </w:rPr>
      </w:pPr>
    </w:p>
    <w:p>
      <w:pPr>
        <w:jc w:val="center"/>
        <w:rPr>
          <w:rFonts w:eastAsia="Calibri"/>
          <w:noProof/>
        </w:rPr>
      </w:pPr>
      <w:r>
        <w:rPr>
          <w:noProof/>
        </w:rPr>
        <w:t>Aplicarea regulilor bazate pe o valoare maximă a materialelor neoriginare</w:t>
      </w:r>
    </w:p>
    <w:p>
      <w:pPr>
        <w:rPr>
          <w:rFonts w:eastAsia="Calibri"/>
          <w:noProof/>
        </w:rPr>
      </w:pPr>
    </w:p>
    <w:p>
      <w:pPr>
        <w:rPr>
          <w:rFonts w:eastAsia="Calibri"/>
          <w:noProof/>
        </w:rPr>
      </w:pPr>
      <w:r>
        <w:rPr>
          <w:noProof/>
        </w:rPr>
        <w:t>1.</w:t>
      </w:r>
      <w:r>
        <w:rPr>
          <w:noProof/>
        </w:rPr>
        <w:tab/>
        <w:t>În sensul regulilor de origine specifice produsului, se utilizează următoarele definiții:</w:t>
      </w:r>
    </w:p>
    <w:p>
      <w:pPr>
        <w:rPr>
          <w:rFonts w:eastAsia="Calibri"/>
          <w:noProof/>
        </w:rPr>
      </w:pPr>
    </w:p>
    <w:p>
      <w:pPr>
        <w:ind w:left="567" w:hanging="567"/>
        <w:rPr>
          <w:rFonts w:eastAsia="Calibri"/>
          <w:noProof/>
        </w:rPr>
      </w:pPr>
      <w:r>
        <w:rPr>
          <w:noProof/>
        </w:rPr>
        <w:t>(a)</w:t>
      </w:r>
      <w:r>
        <w:rPr>
          <w:noProof/>
        </w:rPr>
        <w:tab/>
        <w:t>„MaxNOM” înseamnă valoarea maximă a materialelor neoriginare care pot fi utilizate la fabricarea unui produs, exprimată ca procent din prețul franco fabrică al produsului final și</w:t>
      </w:r>
    </w:p>
    <w:p>
      <w:pPr>
        <w:rPr>
          <w:rFonts w:eastAsia="Calibri"/>
          <w:noProof/>
        </w:rPr>
      </w:pPr>
    </w:p>
    <w:p>
      <w:pPr>
        <w:ind w:left="567" w:hanging="567"/>
        <w:rPr>
          <w:rFonts w:eastAsia="Calibri"/>
          <w:noProof/>
        </w:rPr>
      </w:pPr>
      <w:r>
        <w:rPr>
          <w:noProof/>
        </w:rPr>
        <w:t>(b)</w:t>
      </w:r>
      <w:r>
        <w:rPr>
          <w:noProof/>
        </w:rPr>
        <w:tab/>
        <w:t>„VNM” înseamnă valoarea materialelor neoriginare utilizate la fabricarea produsului care este valoarea în vamă la momentul importului, inclusiv costurile de transport, de asigurare, dacă este cazul, de ambalare și toate celelalte costuri suportate pentru transportarea materialelor la portul de import în partea în care este situat producătorul produsului; în cazul în care valoarea materialelor neoriginare nu este cunoscută și nu poate fi stabilită, se utilizează primul preț verificabil plătit pentru materialele neoriginare în Uniune sau în Indonezia; valoarea materialelor neoriginare utilizate la fabricarea produsului poate fi calculată pe baza formulei valorii medii ponderate sau a altei metode de evaluare a inventarului în conformitate cu principiile contabile general acceptate în partea respectivă.</w:t>
      </w:r>
    </w:p>
    <w:p>
      <w:pPr>
        <w:rPr>
          <w:rFonts w:eastAsia="Calibri"/>
          <w:noProof/>
        </w:rPr>
      </w:pPr>
    </w:p>
    <w:p>
      <w:pPr>
        <w:rPr>
          <w:rFonts w:eastAsia="Calibri"/>
          <w:noProof/>
        </w:rPr>
      </w:pPr>
      <w:r>
        <w:rPr>
          <w:noProof/>
        </w:rPr>
        <w:t>2.</w:t>
      </w:r>
      <w:r>
        <w:rPr>
          <w:noProof/>
        </w:rPr>
        <w:tab/>
        <w:t>Un produs respectă regula dacă valoarea materialelor neoriginare utilizate în producție (VNM), exprimată ca procent din prețul franco fabrică (EXW) al produsului, este mai mică sau egală cu MaxNOM (%) specificată pentru produsul respectiv în anexa 3-B (Reguli de origine specifice produsului), în conformitate cu următoarea formulă:</w:t>
      </w:r>
    </w:p>
    <w:p>
      <w:pPr>
        <w:rPr>
          <w:rFonts w:eastAsia="Calibri"/>
          <w:noProof/>
        </w:rPr>
      </w:pPr>
    </w:p>
    <w:p>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VNM</m:t>
              </m:r>
            </m:num>
            <m:den>
              <m:r>
                <w:rPr>
                  <w:rFonts w:ascii="Cambria Math" w:eastAsia="Calibri" w:hAnsi="Cambria Math"/>
                  <w:noProof/>
                </w:rPr>
                <m:t>EXW</m:t>
              </m:r>
            </m:den>
          </m:f>
          <m:r>
            <w:rPr>
              <w:rFonts w:ascii="Cambria Math" w:eastAsia="Calibri" w:hAnsi="Cambria Math"/>
              <w:noProof/>
            </w:rPr>
            <m:t>*100 ≤MaxNOM (%)</m:t>
          </m:r>
        </m:oMath>
      </m:oMathPara>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NOTA 5</w:t>
      </w:r>
    </w:p>
    <w:p>
      <w:pPr>
        <w:jc w:val="center"/>
        <w:rPr>
          <w:rFonts w:eastAsia="Calibri"/>
          <w:noProof/>
        </w:rPr>
      </w:pPr>
    </w:p>
    <w:p>
      <w:pPr>
        <w:jc w:val="center"/>
        <w:rPr>
          <w:rFonts w:eastAsia="Calibri"/>
          <w:noProof/>
        </w:rPr>
      </w:pPr>
      <w:r>
        <w:rPr>
          <w:noProof/>
        </w:rPr>
        <w:t xml:space="preserve">Definițiile proceselor </w:t>
      </w:r>
      <w:r>
        <w:rPr>
          <w:noProof/>
        </w:rPr>
        <w:br/>
        <w:t>menționate în secțiunile V-VII din anexa 3-B (Reguli de origine specifice produsului)</w:t>
      </w:r>
    </w:p>
    <w:p>
      <w:pPr>
        <w:rPr>
          <w:rFonts w:eastAsia="Calibri"/>
          <w:noProof/>
        </w:rPr>
      </w:pPr>
    </w:p>
    <w:p>
      <w:pPr>
        <w:rPr>
          <w:rFonts w:eastAsia="Calibri"/>
          <w:noProof/>
        </w:rPr>
      </w:pPr>
      <w:r>
        <w:rPr>
          <w:noProof/>
        </w:rPr>
        <w:t>În sensul regulilor de origine specifice produsului, se aplică următoarele definiții:</w:t>
      </w:r>
    </w:p>
    <w:p>
      <w:pPr>
        <w:rPr>
          <w:rFonts w:eastAsia="Calibri"/>
          <w:noProof/>
        </w:rPr>
      </w:pPr>
    </w:p>
    <w:p>
      <w:pPr>
        <w:ind w:left="567" w:hanging="567"/>
        <w:rPr>
          <w:rFonts w:eastAsia="Calibri"/>
          <w:noProof/>
        </w:rPr>
      </w:pPr>
      <w:r>
        <w:rPr>
          <w:noProof/>
        </w:rPr>
        <w:t>(a)</w:t>
      </w:r>
      <w:r>
        <w:rPr>
          <w:noProof/>
        </w:rPr>
        <w:tab/>
        <w:t>„prelucrare biotehnologică” înseamnă:</w:t>
      </w:r>
    </w:p>
    <w:p>
      <w:pPr>
        <w:rPr>
          <w:rFonts w:eastAsia="Calibri"/>
          <w:noProof/>
        </w:rPr>
      </w:pPr>
    </w:p>
    <w:p>
      <w:pPr>
        <w:ind w:left="1134" w:hanging="567"/>
        <w:rPr>
          <w:rFonts w:eastAsia="Calibri"/>
          <w:noProof/>
        </w:rPr>
      </w:pPr>
      <w:r>
        <w:rPr>
          <w:noProof/>
        </w:rPr>
        <w:t>(i)</w:t>
      </w:r>
      <w:r>
        <w:rPr>
          <w:noProof/>
        </w:rPr>
        <w:tab/>
        <w:t>fermentarea</w:t>
      </w:r>
      <w:r>
        <w:rPr>
          <w:rStyle w:val="FootnoteReference"/>
          <w:rFonts w:eastAsia="Calibri"/>
          <w:noProof/>
        </w:rPr>
        <w:footnoteReference w:id="1"/>
      </w:r>
      <w:r>
        <w:rPr>
          <w:noProof/>
        </w:rPr>
        <w:t>;</w:t>
      </w:r>
    </w:p>
    <w:p>
      <w:pPr>
        <w:ind w:left="1134" w:hanging="567"/>
        <w:rPr>
          <w:rFonts w:eastAsia="Calibri"/>
          <w:noProof/>
        </w:rPr>
      </w:pPr>
    </w:p>
    <w:p>
      <w:pPr>
        <w:ind w:left="1134" w:hanging="567"/>
        <w:rPr>
          <w:rFonts w:eastAsia="Calibri"/>
          <w:noProof/>
        </w:rPr>
      </w:pPr>
      <w:r>
        <w:rPr>
          <w:noProof/>
        </w:rPr>
        <w:t>(ii)</w:t>
      </w:r>
      <w:r>
        <w:rPr>
          <w:noProof/>
        </w:rPr>
        <w:tab/>
        <w:t>cultivarea biologică sau biotehnologică (inclusiv cultura celulară</w:t>
      </w:r>
      <w:r>
        <w:rPr>
          <w:rStyle w:val="FootnoteReference"/>
          <w:rFonts w:eastAsia="Calibri"/>
          <w:noProof/>
        </w:rPr>
        <w:footnoteReference w:id="2"/>
      </w:r>
      <w:r>
        <w:rPr>
          <w:noProof/>
        </w:rPr>
        <w:t>), hibridizarea sau modificarea genetică:</w:t>
      </w:r>
    </w:p>
    <w:p>
      <w:pPr>
        <w:rPr>
          <w:rFonts w:eastAsia="Calibri"/>
          <w:noProof/>
        </w:rPr>
      </w:pPr>
    </w:p>
    <w:p>
      <w:pPr>
        <w:ind w:left="1701" w:hanging="567"/>
        <w:rPr>
          <w:rFonts w:eastAsia="Calibri"/>
          <w:noProof/>
        </w:rPr>
      </w:pPr>
      <w:r>
        <w:rPr>
          <w:noProof/>
        </w:rPr>
        <w:t>(A)</w:t>
      </w:r>
      <w:r>
        <w:rPr>
          <w:noProof/>
        </w:rPr>
        <w:tab/>
        <w:t>a microorganismelor [a bacteriilor, a virusurilor (inclusiv bacteriofage) etc.] sau</w:t>
      </w:r>
    </w:p>
    <w:p>
      <w:pPr>
        <w:ind w:left="1701" w:hanging="567"/>
        <w:rPr>
          <w:rFonts w:eastAsia="Calibri"/>
          <w:noProof/>
        </w:rPr>
      </w:pPr>
    </w:p>
    <w:p>
      <w:pPr>
        <w:ind w:left="1701" w:hanging="567"/>
        <w:rPr>
          <w:rFonts w:eastAsia="Calibri"/>
          <w:noProof/>
        </w:rPr>
      </w:pPr>
      <w:r>
        <w:rPr>
          <w:noProof/>
        </w:rPr>
        <w:t>(B)</w:t>
      </w:r>
      <w:r>
        <w:rPr>
          <w:noProof/>
        </w:rPr>
        <w:tab/>
        <w:t>a celulelor umane, animale, vegetale sau a algelor și</w:t>
      </w:r>
    </w:p>
    <w:p>
      <w:pPr>
        <w:rPr>
          <w:rFonts w:eastAsia="Calibri"/>
          <w:noProof/>
        </w:rPr>
      </w:pPr>
    </w:p>
    <w:p>
      <w:pPr>
        <w:ind w:left="1134" w:hanging="567"/>
        <w:rPr>
          <w:rFonts w:eastAsia="Calibri"/>
          <w:noProof/>
        </w:rPr>
      </w:pPr>
      <w:r>
        <w:rPr>
          <w:noProof/>
        </w:rPr>
        <w:t>(iii)</w:t>
      </w:r>
      <w:r>
        <w:rPr>
          <w:noProof/>
        </w:rPr>
        <w:tab/>
        <w:t>producerea, izolarea sau purificarea structurilor celulare sau intercelulare (cum ar fi genele izolate, fragmentele de gene și plasmidele);</w:t>
      </w:r>
    </w:p>
    <w:p>
      <w:pPr>
        <w:rPr>
          <w:rFonts w:eastAsia="Calibri"/>
          <w:noProof/>
        </w:rPr>
      </w:pPr>
    </w:p>
    <w:p>
      <w:pPr>
        <w:widowControl/>
        <w:spacing w:line="240" w:lineRule="auto"/>
        <w:rPr>
          <w:rFonts w:eastAsia="Carlito"/>
          <w:noProof/>
        </w:rPr>
      </w:pPr>
      <w:r>
        <w:rPr>
          <w:noProof/>
        </w:rPr>
        <w:br w:type="page"/>
      </w:r>
    </w:p>
    <w:p>
      <w:pPr>
        <w:ind w:left="567" w:hanging="567"/>
        <w:rPr>
          <w:rFonts w:eastAsia="Calibri"/>
          <w:noProof/>
        </w:rPr>
      </w:pPr>
      <w:r>
        <w:rPr>
          <w:noProof/>
        </w:rPr>
        <w:lastRenderedPageBreak/>
        <w:t>(b)</w:t>
      </w:r>
      <w:r>
        <w:rPr>
          <w:noProof/>
        </w:rPr>
        <w:tab/>
        <w:t>„modificare a dimensiunii particulelor” înseamnă modificarea intenționată și controlată a dimensiunii particulelor unui produs, altfel decât prin simpla zdrobire sau presare, având ca rezultat un produs cu o anumită dimensiune a particulelor, o anumită distribuție granulometrică sau o anumită suprafață, care este relevantă pentru scopurile produsului care rezultă și cu caracteristici fizice sau chimice diferite de cele ale materialelor de intrare;</w:t>
      </w:r>
    </w:p>
    <w:p>
      <w:pPr>
        <w:rPr>
          <w:rFonts w:eastAsia="Calibri"/>
          <w:noProof/>
        </w:rPr>
      </w:pPr>
    </w:p>
    <w:p>
      <w:pPr>
        <w:ind w:left="567" w:hanging="567"/>
        <w:rPr>
          <w:rFonts w:eastAsia="Calibri"/>
          <w:noProof/>
        </w:rPr>
      </w:pPr>
      <w:r>
        <w:rPr>
          <w:noProof/>
        </w:rPr>
        <w:t>(c)</w:t>
      </w:r>
      <w:r>
        <w:rPr>
          <w:noProof/>
        </w:rPr>
        <w:tab/>
        <w:t>„reacție chimică” înseamnă un proces (inclusiv o prelucrare biochimică) din care rezultă o moleculă cu o nouă structură, prin ruperea legăturilor intramoleculare și prin formarea de noi legături intramoleculare sau prin modificarea structurii spațiale a atomilor în moleculă, cu excepția următoarelor, care nu sunt considerate reacții chimice în sensul prezentei definiții:</w:t>
      </w:r>
    </w:p>
    <w:p>
      <w:pPr>
        <w:rPr>
          <w:rFonts w:eastAsia="Calibri"/>
          <w:noProof/>
        </w:rPr>
      </w:pPr>
    </w:p>
    <w:p>
      <w:pPr>
        <w:ind w:left="1134" w:hanging="567"/>
        <w:rPr>
          <w:rFonts w:eastAsia="Calibri"/>
          <w:noProof/>
        </w:rPr>
      </w:pPr>
      <w:r>
        <w:rPr>
          <w:noProof/>
        </w:rPr>
        <w:t>(i)</w:t>
      </w:r>
      <w:r>
        <w:rPr>
          <w:noProof/>
        </w:rPr>
        <w:tab/>
        <w:t>dizolvarea în apă sau în alți solvenți;</w:t>
      </w:r>
    </w:p>
    <w:p>
      <w:pPr>
        <w:ind w:left="1134" w:hanging="567"/>
        <w:rPr>
          <w:rFonts w:eastAsia="Calibri"/>
          <w:noProof/>
        </w:rPr>
      </w:pPr>
    </w:p>
    <w:p>
      <w:pPr>
        <w:ind w:left="1134" w:hanging="567"/>
        <w:rPr>
          <w:rFonts w:eastAsia="Calibri"/>
          <w:noProof/>
        </w:rPr>
      </w:pPr>
      <w:r>
        <w:rPr>
          <w:noProof/>
        </w:rPr>
        <w:t>(ii)</w:t>
      </w:r>
      <w:r>
        <w:rPr>
          <w:noProof/>
        </w:rPr>
        <w:tab/>
        <w:t>eliminarea solvenților, inclusiv a apei ca solvent; sau</w:t>
      </w:r>
    </w:p>
    <w:p>
      <w:pPr>
        <w:ind w:left="1134" w:hanging="567"/>
        <w:rPr>
          <w:rFonts w:eastAsia="Calibri"/>
          <w:noProof/>
        </w:rPr>
      </w:pPr>
    </w:p>
    <w:p>
      <w:pPr>
        <w:ind w:left="1134" w:hanging="567"/>
        <w:rPr>
          <w:rFonts w:eastAsia="Calibri"/>
          <w:noProof/>
        </w:rPr>
      </w:pPr>
      <w:r>
        <w:rPr>
          <w:noProof/>
        </w:rPr>
        <w:t>(iii)</w:t>
      </w:r>
      <w:r>
        <w:rPr>
          <w:noProof/>
        </w:rPr>
        <w:tab/>
        <w:t>adăugarea sau eliminarea apei de cristalizare;</w:t>
      </w:r>
    </w:p>
    <w:p>
      <w:pPr>
        <w:rPr>
          <w:rFonts w:eastAsia="Calibri"/>
          <w:noProof/>
        </w:rPr>
      </w:pPr>
    </w:p>
    <w:p>
      <w:pPr>
        <w:ind w:left="567" w:hanging="567"/>
        <w:rPr>
          <w:rFonts w:eastAsia="Calibri"/>
          <w:noProof/>
        </w:rPr>
      </w:pPr>
      <w:r>
        <w:rPr>
          <w:noProof/>
        </w:rPr>
        <w:t>(d)</w:t>
      </w:r>
      <w:r>
        <w:rPr>
          <w:noProof/>
        </w:rPr>
        <w:tab/>
        <w:t>„distilare” înseamnă:</w:t>
      </w:r>
    </w:p>
    <w:p>
      <w:pPr>
        <w:rPr>
          <w:rFonts w:eastAsia="Calibri"/>
          <w:noProof/>
        </w:rPr>
      </w:pPr>
    </w:p>
    <w:p>
      <w:pPr>
        <w:ind w:left="1134" w:hanging="567"/>
        <w:rPr>
          <w:rFonts w:eastAsia="Calibri"/>
          <w:noProof/>
        </w:rPr>
      </w:pPr>
      <w:r>
        <w:rPr>
          <w:noProof/>
        </w:rPr>
        <w:t>(i)</w:t>
      </w:r>
      <w:r>
        <w:rPr>
          <w:noProof/>
        </w:rPr>
        <w:tab/>
        <w:t>distilare atmosferică: un proces de separare în care uleiurile din petrol sunt convertite, într-un turn de distilare, în fracțiuni în funcție de punctul de fierbere, iar vaporii sunt apoi condensați în diferite fracțiuni lichefiate; produsele obținute din distilarea petrolului pot include gazul petrolier lichefiat, nafta, benzina, kerosenul, motorina sau păcura, motorina ușoară și uleiul lubrifiant și</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(ii)</w:t>
      </w:r>
      <w:r>
        <w:rPr>
          <w:noProof/>
        </w:rPr>
        <w:tab/>
        <w:t>distilare sub vid: distilarea la o presiune sub nivelul presiunii atmosferice, dar nu atât de mică încât să fie calificată drept distilare moleculară; distilarea sub vid este utilizată pentru distilarea materialelor cu punct de fierbere ridicat și sensibile la căldură, cum ar fi distilații grei din uleiuri din petrol pentru producerea motorinei ușoare sau grele sub vid și a reziduului sub vid;</w:t>
      </w:r>
    </w:p>
    <w:p>
      <w:pPr>
        <w:rPr>
          <w:rFonts w:eastAsia="Carlito"/>
          <w:noProof/>
        </w:rPr>
      </w:pPr>
    </w:p>
    <w:p>
      <w:pPr>
        <w:ind w:left="567" w:hanging="567"/>
        <w:rPr>
          <w:rFonts w:eastAsia="Calibri"/>
          <w:noProof/>
        </w:rPr>
      </w:pPr>
      <w:r>
        <w:rPr>
          <w:noProof/>
        </w:rPr>
        <w:t>(e)</w:t>
      </w:r>
      <w:r>
        <w:rPr>
          <w:noProof/>
        </w:rPr>
        <w:tab/>
        <w:t>„separare de izomeri” înseamnă izolarea sau separarea izomerilor dintr-un amestec de izomeri;</w:t>
      </w:r>
    </w:p>
    <w:p>
      <w:pPr>
        <w:rPr>
          <w:rFonts w:eastAsia="Calibri"/>
          <w:noProof/>
        </w:rPr>
      </w:pPr>
    </w:p>
    <w:p>
      <w:pPr>
        <w:ind w:left="567" w:hanging="567"/>
        <w:rPr>
          <w:rFonts w:eastAsia="Calibri"/>
          <w:noProof/>
        </w:rPr>
      </w:pPr>
      <w:r>
        <w:rPr>
          <w:noProof/>
        </w:rPr>
        <w:t>(f)</w:t>
      </w:r>
      <w:r>
        <w:rPr>
          <w:noProof/>
        </w:rPr>
        <w:tab/>
        <w:t>„malaxare și amestecare” înseamnă malaxarea sau amestecarea deliberată și controlată în mod proporțional a materialelor (inclusiv dispersia), altfel decât prin adăugarea unor diluanți, realizată exclusiv pentru a respecta specificații prestabilite, care duce la fabricarea unui produs având caracteristici fizice sau chimice relevante pentru scopurile sau utilizările produsului și diferite de cele ale materialelor de intrare;</w:t>
      </w:r>
    </w:p>
    <w:p>
      <w:pPr>
        <w:rPr>
          <w:rFonts w:eastAsia="Calibri"/>
          <w:noProof/>
        </w:rPr>
      </w:pPr>
    </w:p>
    <w:p>
      <w:pPr>
        <w:ind w:left="567" w:hanging="567"/>
        <w:rPr>
          <w:rFonts w:eastAsia="Calibri"/>
          <w:noProof/>
        </w:rPr>
      </w:pPr>
      <w:r>
        <w:rPr>
          <w:noProof/>
        </w:rPr>
        <w:t>(g)</w:t>
      </w:r>
      <w:r>
        <w:rPr>
          <w:noProof/>
        </w:rPr>
        <w:tab/>
        <w:t>„producția de materiale standard” (inclusiv de soluții standard) înseamnă producția unui preparat adecvat pentru utilizări în scop de analiză, de calibrare sau de corelare cu grade de puritate sau proporții precise certificate de către producător și</w:t>
      </w:r>
    </w:p>
    <w:p>
      <w:pPr>
        <w:rPr>
          <w:rFonts w:eastAsia="Calibri"/>
          <w:noProof/>
        </w:rPr>
      </w:pPr>
    </w:p>
    <w:p>
      <w:pPr>
        <w:ind w:left="567" w:hanging="567"/>
        <w:rPr>
          <w:rFonts w:eastAsia="Calibri"/>
          <w:noProof/>
        </w:rPr>
      </w:pPr>
      <w:r>
        <w:rPr>
          <w:noProof/>
        </w:rPr>
        <w:t>(h)</w:t>
      </w:r>
      <w:r>
        <w:rPr>
          <w:noProof/>
        </w:rPr>
        <w:tab/>
        <w:t>„purificare” înseamnă un proces care duce la eliminarea a cel puțin 80 % din conținutul de impurități existente sau la reducerea ori eliminarea impurităților care au ca rezultat un produs adecvat pentru una sau mai multe dintre următoarele aplicații:</w:t>
      </w:r>
    </w:p>
    <w:p>
      <w:pPr>
        <w:rPr>
          <w:rFonts w:eastAsia="Calibri"/>
          <w:noProof/>
        </w:rPr>
      </w:pPr>
    </w:p>
    <w:p>
      <w:pPr>
        <w:ind w:left="1134" w:hanging="567"/>
        <w:rPr>
          <w:rFonts w:eastAsia="Calibri"/>
          <w:noProof/>
        </w:rPr>
      </w:pPr>
      <w:r>
        <w:rPr>
          <w:noProof/>
        </w:rPr>
        <w:t>(i)</w:t>
      </w:r>
      <w:r>
        <w:rPr>
          <w:noProof/>
        </w:rPr>
        <w:tab/>
        <w:t>substanțe farmaceutice, de uz medical, cosmetice, veterinare sau de uz alimentar;</w:t>
      </w:r>
    </w:p>
    <w:p>
      <w:pPr>
        <w:ind w:left="1134" w:hanging="567"/>
        <w:rPr>
          <w:rFonts w:eastAsia="Calibri"/>
          <w:noProof/>
        </w:rPr>
      </w:pPr>
    </w:p>
    <w:p>
      <w:pPr>
        <w:ind w:left="1134" w:hanging="567"/>
        <w:rPr>
          <w:rFonts w:eastAsia="Calibri"/>
          <w:noProof/>
        </w:rPr>
      </w:pPr>
      <w:r>
        <w:rPr>
          <w:noProof/>
        </w:rPr>
        <w:t>(ii)</w:t>
      </w:r>
      <w:r>
        <w:rPr>
          <w:noProof/>
        </w:rPr>
        <w:tab/>
        <w:t>produse și reactivi chimici pentru utilizare în scop de analizare, de diagnosticare sau în laborator;</w:t>
      </w:r>
    </w:p>
    <w:p>
      <w:pPr>
        <w:ind w:left="1134" w:hanging="567"/>
        <w:rPr>
          <w:rFonts w:eastAsia="Calibri"/>
          <w:noProof/>
        </w:rPr>
      </w:pPr>
    </w:p>
    <w:p>
      <w:pPr>
        <w:ind w:left="1134" w:hanging="567"/>
        <w:rPr>
          <w:rFonts w:eastAsia="Calibri"/>
          <w:noProof/>
        </w:rPr>
      </w:pPr>
      <w:r>
        <w:rPr>
          <w:noProof/>
        </w:rPr>
        <w:t>(iii)</w:t>
      </w:r>
      <w:r>
        <w:rPr>
          <w:noProof/>
        </w:rPr>
        <w:tab/>
        <w:t>elemente și componente pentru utilizare în microelectronică;</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(iv)</w:t>
      </w:r>
      <w:r>
        <w:rPr>
          <w:noProof/>
        </w:rPr>
        <w:tab/>
        <w:t>utilizări optice specializate;</w:t>
      </w:r>
    </w:p>
    <w:p>
      <w:pPr>
        <w:ind w:left="1134" w:hanging="567"/>
        <w:rPr>
          <w:rFonts w:eastAsia="Calibri"/>
          <w:noProof/>
        </w:rPr>
      </w:pPr>
    </w:p>
    <w:p>
      <w:pPr>
        <w:ind w:left="1134" w:hanging="567"/>
        <w:rPr>
          <w:rFonts w:eastAsia="Calibri"/>
          <w:noProof/>
        </w:rPr>
      </w:pPr>
      <w:r>
        <w:rPr>
          <w:noProof/>
        </w:rPr>
        <w:t>(v)</w:t>
      </w:r>
      <w:r>
        <w:rPr>
          <w:noProof/>
        </w:rPr>
        <w:tab/>
        <w:t>utilizare biotehnică, de exemplu, în culturile celulare, în tehnologia genetică sau drept catalizator;</w:t>
      </w:r>
    </w:p>
    <w:p>
      <w:pPr>
        <w:ind w:left="1134" w:hanging="567"/>
        <w:rPr>
          <w:rFonts w:eastAsia="Calibri"/>
          <w:noProof/>
        </w:rPr>
      </w:pPr>
    </w:p>
    <w:p>
      <w:pPr>
        <w:ind w:left="1134" w:hanging="567"/>
        <w:rPr>
          <w:rFonts w:eastAsia="Calibri"/>
          <w:noProof/>
        </w:rPr>
      </w:pPr>
      <w:r>
        <w:rPr>
          <w:noProof/>
        </w:rPr>
        <w:t>(vi)</w:t>
      </w:r>
      <w:r>
        <w:rPr>
          <w:noProof/>
        </w:rPr>
        <w:tab/>
        <w:t>acceleratori utilizați într-un proces de separare sau</w:t>
      </w:r>
    </w:p>
    <w:p>
      <w:pPr>
        <w:ind w:left="1134" w:hanging="567"/>
        <w:rPr>
          <w:rFonts w:eastAsia="Calibri"/>
          <w:noProof/>
        </w:rPr>
      </w:pPr>
    </w:p>
    <w:p>
      <w:pPr>
        <w:ind w:left="1134" w:hanging="567"/>
        <w:rPr>
          <w:rFonts w:eastAsia="Calibri"/>
          <w:noProof/>
        </w:rPr>
      </w:pPr>
      <w:r>
        <w:rPr>
          <w:noProof/>
        </w:rPr>
        <w:t>(vii)</w:t>
      </w:r>
      <w:r>
        <w:rPr>
          <w:noProof/>
        </w:rPr>
        <w:tab/>
        <w:t>utilizări în domeniul nuclear.</w:t>
      </w:r>
    </w:p>
    <w:p>
      <w:pPr>
        <w:rPr>
          <w:rFonts w:eastAsia="Calibri"/>
          <w:noProof/>
        </w:rPr>
      </w:pPr>
    </w:p>
    <w:p>
      <w:pPr>
        <w:rPr>
          <w:rFonts w:eastAsia="Calibri"/>
          <w:noProof/>
        </w:rPr>
      </w:pPr>
    </w:p>
    <w:p>
      <w:pPr>
        <w:jc w:val="center"/>
        <w:rPr>
          <w:rFonts w:eastAsia="Calibri"/>
          <w:noProof/>
        </w:rPr>
      </w:pPr>
      <w:r>
        <w:rPr>
          <w:noProof/>
        </w:rPr>
        <w:t>NOTA 6</w:t>
      </w:r>
    </w:p>
    <w:p>
      <w:pPr>
        <w:jc w:val="center"/>
        <w:rPr>
          <w:rFonts w:eastAsia="Calibri"/>
          <w:noProof/>
        </w:rPr>
      </w:pPr>
    </w:p>
    <w:p>
      <w:pPr>
        <w:jc w:val="center"/>
        <w:rPr>
          <w:rFonts w:eastAsia="Calibri"/>
          <w:noProof/>
        </w:rPr>
      </w:pPr>
      <w:r>
        <w:rPr>
          <w:noProof/>
        </w:rPr>
        <w:t>Definițiile termenilor utilizați în secțiunea XI din anexa 3-B (Reguli de origine specifice produsului)</w:t>
      </w:r>
    </w:p>
    <w:p>
      <w:pPr>
        <w:rPr>
          <w:rFonts w:eastAsia="Calibri"/>
          <w:noProof/>
        </w:rPr>
      </w:pPr>
    </w:p>
    <w:p>
      <w:pPr>
        <w:rPr>
          <w:rFonts w:eastAsia="Calibri"/>
          <w:noProof/>
        </w:rPr>
      </w:pPr>
      <w:r>
        <w:rPr>
          <w:noProof/>
        </w:rPr>
        <w:t>În sensul regulilor de origine specifice produsului, se utilizează următoarele definiții:</w:t>
      </w:r>
    </w:p>
    <w:p>
      <w:pPr>
        <w:rPr>
          <w:rFonts w:eastAsia="Calibri"/>
          <w:noProof/>
        </w:rPr>
      </w:pPr>
    </w:p>
    <w:p>
      <w:pPr>
        <w:ind w:left="567" w:hanging="567"/>
        <w:rPr>
          <w:rFonts w:eastAsia="Calibri"/>
          <w:noProof/>
        </w:rPr>
      </w:pPr>
      <w:r>
        <w:rPr>
          <w:noProof/>
        </w:rPr>
        <w:t>(a)</w:t>
      </w:r>
      <w:r>
        <w:rPr>
          <w:noProof/>
        </w:rPr>
        <w:tab/>
        <w:t>„fibre sintetice sau artificiale discontinue” înseamnă cablurile de filamente, fibrele discontinue sau deșeurile de fibre sintetice sau artificiale discontinue încadrate la pozițiile 55.01-55.07;</w:t>
      </w:r>
    </w:p>
    <w:p>
      <w:pPr>
        <w:rPr>
          <w:rFonts w:eastAsia="Calibri"/>
          <w:noProof/>
        </w:rPr>
      </w:pPr>
    </w:p>
    <w:p>
      <w:pPr>
        <w:ind w:left="567" w:hanging="567"/>
        <w:rPr>
          <w:rFonts w:eastAsia="Calibri"/>
          <w:noProof/>
        </w:rPr>
      </w:pPr>
      <w:r>
        <w:rPr>
          <w:noProof/>
        </w:rPr>
        <w:t>(b)</w:t>
      </w:r>
      <w:r>
        <w:rPr>
          <w:noProof/>
        </w:rPr>
        <w:tab/>
        <w:t>„fibre naturale” înseamnă fibrele altele decât fibrele sintetice sau artificiale, a căror utilizare este limitată la stadiile anterioare filării, inclusiv deșeurile, și, cu excepția cazului în care există dispoziții contrare, includ fibrele care au fost cardate, pieptănate sau altfel prelucrate, dar nefilate; „fibrele naturale” includ părul de cal încadrat la poziția 05.11, mătasea încadrată la pozițiile 50.02 și 50.03, precum și lâna, părul fin sau grosier de animale încadrate la pozițiile 51.01-51.05, fibrele de bumbac încadrate la pozițiile 52.01-52.03 și alte fibre vegetale încadrate la pozițiile 53.01-53.05;</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w:t>
      </w:r>
      <w:r>
        <w:rPr>
          <w:noProof/>
        </w:rPr>
        <w:tab/>
        <w:t>„imprimare” înseamnă o tehnică prin care o funcție evaluată în mod obiectiv, cum ar fi culoarea, desenul sau performanța tehnică, este dată unui substrat textil cu caracter permanent, utilizând tehnici de imprimare serigrafică, cu valțuri, digitală sau prin transfer și</w:t>
      </w:r>
    </w:p>
    <w:p>
      <w:pPr>
        <w:rPr>
          <w:rFonts w:eastAsia="Calibri"/>
          <w:noProof/>
        </w:rPr>
      </w:pPr>
    </w:p>
    <w:p>
      <w:pPr>
        <w:ind w:left="567" w:hanging="567"/>
        <w:rPr>
          <w:rFonts w:eastAsia="Calibri"/>
          <w:noProof/>
        </w:rPr>
      </w:pPr>
      <w:r>
        <w:rPr>
          <w:noProof/>
        </w:rPr>
        <w:t>(d)</w:t>
      </w:r>
      <w:r>
        <w:rPr>
          <w:noProof/>
        </w:rPr>
        <w:tab/>
      </w:r>
      <w:bookmarkStart w:id="3" w:name="_Hlk172295547"/>
      <w:r>
        <w:rPr>
          <w:noProof/>
        </w:rPr>
        <w:t>„imprimare (ca operațiune independentă)” înseamnă o tehnică prin care o funcție evaluată în mod obiectiv, cum ar fi culoarea, desenul sau performanța tehnică, este dată unui substrat textil cu caracter permanent, utilizând tehnici de imprimare serigrafică, cu valțuri, digitală sau prin transfer, combinate cu cel puțin două operațiuni de pregătire sau de finisare (cum sunt spălarea, albirea, mercerizarea, termofixarea, scămoșarea, calandrarea, tratarea anticontracție, finisarea permanentă, decatarea, impregnarea, remaierea și curățarea de noduri, tunderea, pârlirea, uscarea în uscător cu aer fierbinte, uscarea pe rame de uscare-termofixare, măcinarea, expunerea la abur, contracția și decatarea umedă), cu condiția ca valoarea tuturor materialelor neoriginare utilizate să nu depășească 50 % din prețul EXW al produsului.</w:t>
      </w:r>
    </w:p>
    <w:p>
      <w:pPr>
        <w:rPr>
          <w:rFonts w:eastAsia="Calibri"/>
          <w:noProof/>
        </w:rPr>
      </w:pPr>
    </w:p>
    <w:bookmarkEnd w:id="3"/>
    <w:p>
      <w:pPr>
        <w:rPr>
          <w:rFonts w:eastAsia="Calibri"/>
          <w:noProof/>
        </w:rPr>
      </w:pPr>
    </w:p>
    <w:p>
      <w:pPr>
        <w:jc w:val="center"/>
        <w:rPr>
          <w:rFonts w:eastAsia="Calibri"/>
          <w:noProof/>
        </w:rPr>
      </w:pPr>
      <w:r>
        <w:rPr>
          <w:noProof/>
        </w:rPr>
        <w:t>NOTA 7</w:t>
      </w:r>
    </w:p>
    <w:p>
      <w:pPr>
        <w:jc w:val="center"/>
        <w:rPr>
          <w:rFonts w:eastAsia="Calibri"/>
          <w:noProof/>
        </w:rPr>
      </w:pPr>
    </w:p>
    <w:p>
      <w:pPr>
        <w:jc w:val="center"/>
        <w:rPr>
          <w:rFonts w:eastAsia="Calibri"/>
          <w:noProof/>
        </w:rPr>
      </w:pPr>
      <w:r>
        <w:rPr>
          <w:noProof/>
        </w:rPr>
        <w:t>Toleranțe aplicabile produselor care conțin două sau mai multe materiale textile de bază</w:t>
      </w:r>
    </w:p>
    <w:p>
      <w:pPr>
        <w:rPr>
          <w:rFonts w:eastAsia="Calibri"/>
          <w:noProof/>
        </w:rPr>
      </w:pPr>
    </w:p>
    <w:p>
      <w:pPr>
        <w:rPr>
          <w:rFonts w:eastAsia="Calibri"/>
          <w:noProof/>
        </w:rPr>
      </w:pPr>
      <w:r>
        <w:rPr>
          <w:noProof/>
        </w:rPr>
        <w:t>1.</w:t>
      </w:r>
      <w:r>
        <w:rPr>
          <w:noProof/>
        </w:rPr>
        <w:tab/>
        <w:t>În sensul prezentei note, materiale textile de bază sunt următoarele:</w:t>
      </w:r>
    </w:p>
    <w:p>
      <w:pPr>
        <w:rPr>
          <w:rFonts w:eastAsia="Calibri"/>
          <w:noProof/>
        </w:rPr>
      </w:pPr>
    </w:p>
    <w:p>
      <w:pPr>
        <w:ind w:left="567" w:hanging="567"/>
        <w:rPr>
          <w:rFonts w:eastAsia="Calibri"/>
          <w:noProof/>
        </w:rPr>
      </w:pPr>
      <w:r>
        <w:rPr>
          <w:noProof/>
        </w:rPr>
        <w:t>(a)</w:t>
      </w:r>
      <w:r>
        <w:rPr>
          <w:noProof/>
        </w:rPr>
        <w:tab/>
        <w:t>mătasea;</w:t>
      </w:r>
    </w:p>
    <w:p>
      <w:pPr>
        <w:ind w:left="567" w:hanging="567"/>
        <w:rPr>
          <w:rFonts w:eastAsia="Calibri"/>
          <w:noProof/>
        </w:rPr>
      </w:pPr>
    </w:p>
    <w:p>
      <w:pPr>
        <w:ind w:left="567" w:hanging="567"/>
        <w:rPr>
          <w:rFonts w:eastAsia="Calibri"/>
          <w:noProof/>
        </w:rPr>
      </w:pPr>
      <w:r>
        <w:rPr>
          <w:noProof/>
        </w:rPr>
        <w:t>(b)</w:t>
      </w:r>
      <w:r>
        <w:rPr>
          <w:noProof/>
        </w:rPr>
        <w:tab/>
        <w:t>lâna;</w:t>
      </w:r>
    </w:p>
    <w:p>
      <w:pPr>
        <w:ind w:left="567" w:hanging="567"/>
        <w:rPr>
          <w:rFonts w:eastAsia="Calibri"/>
          <w:noProof/>
        </w:rPr>
      </w:pPr>
    </w:p>
    <w:p>
      <w:pPr>
        <w:ind w:left="567" w:hanging="567"/>
        <w:rPr>
          <w:rFonts w:eastAsia="Calibri"/>
          <w:noProof/>
        </w:rPr>
      </w:pPr>
      <w:r>
        <w:rPr>
          <w:noProof/>
        </w:rPr>
        <w:t>(c)</w:t>
      </w:r>
      <w:r>
        <w:rPr>
          <w:noProof/>
        </w:rPr>
        <w:tab/>
        <w:t>părul grosier de animale;</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(d)</w:t>
      </w:r>
      <w:r>
        <w:rPr>
          <w:noProof/>
        </w:rPr>
        <w:tab/>
        <w:t>părul fin de animale;</w:t>
      </w:r>
    </w:p>
    <w:p>
      <w:pPr>
        <w:ind w:left="567" w:hanging="567"/>
        <w:rPr>
          <w:rFonts w:eastAsia="Calibri"/>
          <w:noProof/>
        </w:rPr>
      </w:pPr>
    </w:p>
    <w:p>
      <w:pPr>
        <w:ind w:left="567" w:hanging="567"/>
        <w:rPr>
          <w:rFonts w:eastAsia="Calibri"/>
          <w:noProof/>
        </w:rPr>
      </w:pPr>
      <w:r>
        <w:rPr>
          <w:noProof/>
        </w:rPr>
        <w:t>(e)</w:t>
      </w:r>
      <w:r>
        <w:rPr>
          <w:noProof/>
        </w:rPr>
        <w:tab/>
        <w:t>părul de cal;</w:t>
      </w:r>
    </w:p>
    <w:p>
      <w:pPr>
        <w:ind w:left="567" w:hanging="567"/>
        <w:rPr>
          <w:rFonts w:eastAsia="Calibri"/>
          <w:noProof/>
        </w:rPr>
      </w:pPr>
    </w:p>
    <w:p>
      <w:pPr>
        <w:ind w:left="567" w:hanging="567"/>
        <w:rPr>
          <w:rFonts w:eastAsia="Calibri"/>
          <w:noProof/>
        </w:rPr>
      </w:pPr>
      <w:r>
        <w:rPr>
          <w:noProof/>
        </w:rPr>
        <w:t>(f)</w:t>
      </w:r>
      <w:r>
        <w:rPr>
          <w:noProof/>
        </w:rPr>
        <w:tab/>
        <w:t>bumbacul;</w:t>
      </w:r>
    </w:p>
    <w:p>
      <w:pPr>
        <w:ind w:left="567" w:hanging="567"/>
        <w:rPr>
          <w:rFonts w:eastAsia="Calibri"/>
          <w:noProof/>
        </w:rPr>
      </w:pPr>
    </w:p>
    <w:p>
      <w:pPr>
        <w:ind w:left="567" w:hanging="567"/>
        <w:rPr>
          <w:rFonts w:eastAsia="Calibri"/>
          <w:noProof/>
        </w:rPr>
      </w:pPr>
      <w:r>
        <w:rPr>
          <w:noProof/>
        </w:rPr>
        <w:t>(g)</w:t>
      </w:r>
      <w:r>
        <w:rPr>
          <w:noProof/>
        </w:rPr>
        <w:tab/>
        <w:t>materialele folosite la fabricarea hârtiei și hârtia;</w:t>
      </w:r>
    </w:p>
    <w:p>
      <w:pPr>
        <w:ind w:left="567" w:hanging="567"/>
        <w:rPr>
          <w:rFonts w:eastAsia="Calibri"/>
          <w:noProof/>
        </w:rPr>
      </w:pPr>
    </w:p>
    <w:p>
      <w:pPr>
        <w:ind w:left="567" w:hanging="567"/>
        <w:rPr>
          <w:rFonts w:eastAsia="Calibri"/>
          <w:noProof/>
        </w:rPr>
      </w:pPr>
      <w:r>
        <w:rPr>
          <w:noProof/>
        </w:rPr>
        <w:t>(h)</w:t>
      </w:r>
      <w:r>
        <w:rPr>
          <w:noProof/>
        </w:rPr>
        <w:tab/>
        <w:t>inul;</w:t>
      </w:r>
    </w:p>
    <w:p>
      <w:pPr>
        <w:ind w:left="567" w:hanging="567"/>
        <w:rPr>
          <w:rFonts w:eastAsia="Calibri"/>
          <w:noProof/>
        </w:rPr>
      </w:pPr>
    </w:p>
    <w:p>
      <w:pPr>
        <w:ind w:left="567" w:hanging="567"/>
        <w:rPr>
          <w:rFonts w:eastAsia="Calibri"/>
          <w:noProof/>
        </w:rPr>
      </w:pPr>
      <w:r>
        <w:rPr>
          <w:noProof/>
        </w:rPr>
        <w:t>(i)</w:t>
      </w:r>
      <w:r>
        <w:rPr>
          <w:noProof/>
        </w:rPr>
        <w:tab/>
        <w:t>cânepa;</w:t>
      </w:r>
    </w:p>
    <w:p>
      <w:pPr>
        <w:ind w:left="567" w:hanging="567"/>
        <w:rPr>
          <w:rFonts w:eastAsia="Calibri"/>
          <w:noProof/>
        </w:rPr>
      </w:pPr>
    </w:p>
    <w:p>
      <w:pPr>
        <w:ind w:left="567" w:hanging="567"/>
        <w:rPr>
          <w:rFonts w:eastAsia="Calibri"/>
          <w:noProof/>
        </w:rPr>
      </w:pPr>
      <w:r>
        <w:rPr>
          <w:noProof/>
        </w:rPr>
        <w:t>(j)</w:t>
      </w:r>
      <w:r>
        <w:rPr>
          <w:noProof/>
        </w:rPr>
        <w:tab/>
        <w:t>iuta și alte fibre textile liberiene;</w:t>
      </w:r>
    </w:p>
    <w:p>
      <w:pPr>
        <w:ind w:left="567" w:hanging="567"/>
        <w:rPr>
          <w:rFonts w:eastAsia="Calibri"/>
          <w:noProof/>
        </w:rPr>
      </w:pPr>
    </w:p>
    <w:p>
      <w:pPr>
        <w:ind w:left="567" w:hanging="567"/>
        <w:rPr>
          <w:rFonts w:eastAsia="Calibri"/>
          <w:noProof/>
        </w:rPr>
      </w:pPr>
      <w:r>
        <w:rPr>
          <w:noProof/>
        </w:rPr>
        <w:t>(k)</w:t>
      </w:r>
      <w:r>
        <w:rPr>
          <w:noProof/>
        </w:rPr>
        <w:tab/>
        <w:t xml:space="preserve">sisalul și alte fibre textile din genul </w:t>
      </w:r>
      <w:r>
        <w:rPr>
          <w:i/>
          <w:noProof/>
        </w:rPr>
        <w:t>Agave</w:t>
      </w:r>
      <w:r>
        <w:rPr>
          <w:noProof/>
        </w:rPr>
        <w:t>;</w:t>
      </w:r>
    </w:p>
    <w:p>
      <w:pPr>
        <w:ind w:left="567" w:hanging="567"/>
        <w:rPr>
          <w:rFonts w:eastAsia="Calibri"/>
          <w:noProof/>
        </w:rPr>
      </w:pPr>
    </w:p>
    <w:p>
      <w:pPr>
        <w:ind w:left="567" w:hanging="567"/>
        <w:rPr>
          <w:rFonts w:eastAsia="Calibri"/>
          <w:noProof/>
        </w:rPr>
      </w:pPr>
      <w:r>
        <w:rPr>
          <w:noProof/>
        </w:rPr>
        <w:t>(l)</w:t>
      </w:r>
      <w:r>
        <w:rPr>
          <w:noProof/>
        </w:rPr>
        <w:tab/>
        <w:t>nuca de cocos, abaca, ramia și alte fibre textile vegetale;</w:t>
      </w:r>
    </w:p>
    <w:p>
      <w:pPr>
        <w:ind w:left="567" w:hanging="567"/>
        <w:rPr>
          <w:rFonts w:eastAsia="Calibri"/>
          <w:noProof/>
        </w:rPr>
      </w:pPr>
    </w:p>
    <w:p>
      <w:pPr>
        <w:ind w:left="567" w:hanging="567"/>
        <w:rPr>
          <w:rFonts w:eastAsia="Calibri"/>
          <w:noProof/>
        </w:rPr>
      </w:pPr>
      <w:r>
        <w:rPr>
          <w:noProof/>
        </w:rPr>
        <w:t>(m)</w:t>
      </w:r>
      <w:r>
        <w:rPr>
          <w:noProof/>
        </w:rPr>
        <w:tab/>
        <w:t>filamentele sintetice;</w:t>
      </w:r>
    </w:p>
    <w:p>
      <w:pPr>
        <w:ind w:left="567" w:hanging="567"/>
        <w:rPr>
          <w:rFonts w:eastAsia="Calibri"/>
          <w:noProof/>
        </w:rPr>
      </w:pPr>
    </w:p>
    <w:p>
      <w:pPr>
        <w:ind w:left="567" w:hanging="567"/>
        <w:rPr>
          <w:rFonts w:eastAsia="Calibri"/>
          <w:noProof/>
        </w:rPr>
      </w:pPr>
      <w:r>
        <w:rPr>
          <w:noProof/>
        </w:rPr>
        <w:t>(n)</w:t>
      </w:r>
      <w:r>
        <w:rPr>
          <w:noProof/>
        </w:rPr>
        <w:tab/>
        <w:t>filamentele artificiale;</w:t>
      </w:r>
    </w:p>
    <w:p>
      <w:pPr>
        <w:ind w:left="567" w:hanging="567"/>
        <w:rPr>
          <w:rFonts w:eastAsia="Calibri"/>
          <w:noProof/>
        </w:rPr>
      </w:pPr>
    </w:p>
    <w:p>
      <w:pPr>
        <w:ind w:left="567" w:hanging="567"/>
        <w:rPr>
          <w:rFonts w:eastAsia="Calibri"/>
          <w:noProof/>
        </w:rPr>
      </w:pPr>
      <w:r>
        <w:rPr>
          <w:noProof/>
        </w:rPr>
        <w:t>(o)</w:t>
      </w:r>
      <w:r>
        <w:rPr>
          <w:noProof/>
        </w:rPr>
        <w:tab/>
        <w:t>filamentele conductoare electrice;</w:t>
      </w:r>
    </w:p>
    <w:p>
      <w:pPr>
        <w:ind w:left="567" w:hanging="567"/>
        <w:rPr>
          <w:rFonts w:eastAsia="Calibri"/>
          <w:noProof/>
        </w:rPr>
      </w:pPr>
    </w:p>
    <w:p>
      <w:pPr>
        <w:ind w:left="567" w:hanging="567"/>
        <w:rPr>
          <w:rFonts w:eastAsia="Calibri"/>
          <w:noProof/>
        </w:rPr>
      </w:pPr>
      <w:r>
        <w:rPr>
          <w:noProof/>
        </w:rPr>
        <w:t>(p)</w:t>
      </w:r>
      <w:r>
        <w:rPr>
          <w:noProof/>
        </w:rPr>
        <w:tab/>
        <w:t>fibrele sintetice discontinue de polipropilenă;</w:t>
      </w:r>
    </w:p>
    <w:p>
      <w:pPr>
        <w:ind w:left="567" w:hanging="567"/>
        <w:rPr>
          <w:rFonts w:eastAsia="Calibri"/>
          <w:noProof/>
        </w:rPr>
      </w:pPr>
    </w:p>
    <w:p>
      <w:pPr>
        <w:ind w:left="567" w:hanging="567"/>
        <w:rPr>
          <w:rFonts w:eastAsia="Calibri"/>
          <w:noProof/>
        </w:rPr>
      </w:pPr>
      <w:r>
        <w:rPr>
          <w:noProof/>
        </w:rPr>
        <w:t>(q)</w:t>
      </w:r>
      <w:r>
        <w:rPr>
          <w:noProof/>
        </w:rPr>
        <w:tab/>
        <w:t>fibrele sintetice discontinue de poliester;</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(r)</w:t>
      </w:r>
      <w:r>
        <w:rPr>
          <w:noProof/>
        </w:rPr>
        <w:tab/>
        <w:t>fibrele sintetice discontinue de poliamidă;</w:t>
      </w:r>
    </w:p>
    <w:p>
      <w:pPr>
        <w:ind w:left="567" w:hanging="567"/>
        <w:rPr>
          <w:rFonts w:eastAsia="Calibri"/>
          <w:noProof/>
        </w:rPr>
      </w:pPr>
    </w:p>
    <w:p>
      <w:pPr>
        <w:ind w:left="567" w:hanging="567"/>
        <w:rPr>
          <w:rFonts w:eastAsia="Calibri"/>
          <w:noProof/>
        </w:rPr>
      </w:pPr>
      <w:r>
        <w:rPr>
          <w:noProof/>
        </w:rPr>
        <w:t>(s)</w:t>
      </w:r>
      <w:r>
        <w:rPr>
          <w:noProof/>
        </w:rPr>
        <w:tab/>
        <w:t>fibrele sintetice discontinue de poliacrilonitril;</w:t>
      </w:r>
    </w:p>
    <w:p>
      <w:pPr>
        <w:ind w:left="567" w:hanging="567"/>
        <w:rPr>
          <w:rFonts w:eastAsia="Calibri"/>
          <w:noProof/>
        </w:rPr>
      </w:pPr>
    </w:p>
    <w:p>
      <w:pPr>
        <w:ind w:left="567" w:hanging="567"/>
        <w:rPr>
          <w:rFonts w:eastAsia="Calibri"/>
          <w:noProof/>
        </w:rPr>
      </w:pPr>
      <w:r>
        <w:rPr>
          <w:noProof/>
        </w:rPr>
        <w:t>(t)</w:t>
      </w:r>
      <w:r>
        <w:rPr>
          <w:noProof/>
        </w:rPr>
        <w:tab/>
        <w:t>fibrele sintetice discontinue de poliimidă;</w:t>
      </w:r>
    </w:p>
    <w:p>
      <w:pPr>
        <w:ind w:left="567" w:hanging="567"/>
        <w:rPr>
          <w:rFonts w:eastAsia="Calibri"/>
          <w:noProof/>
        </w:rPr>
      </w:pPr>
    </w:p>
    <w:p>
      <w:pPr>
        <w:ind w:left="567" w:hanging="567"/>
        <w:rPr>
          <w:rFonts w:eastAsia="Calibri"/>
          <w:noProof/>
        </w:rPr>
      </w:pPr>
      <w:r>
        <w:rPr>
          <w:noProof/>
        </w:rPr>
        <w:t>(u)</w:t>
      </w:r>
      <w:r>
        <w:rPr>
          <w:noProof/>
        </w:rPr>
        <w:tab/>
        <w:t>fibrele sintetice discontinue de politetrafluoretilenă;</w:t>
      </w:r>
    </w:p>
    <w:p>
      <w:pPr>
        <w:ind w:left="567" w:hanging="567"/>
        <w:rPr>
          <w:rFonts w:eastAsia="Calibri"/>
          <w:noProof/>
        </w:rPr>
      </w:pPr>
    </w:p>
    <w:p>
      <w:pPr>
        <w:ind w:left="567" w:hanging="567"/>
        <w:rPr>
          <w:rFonts w:eastAsia="Calibri"/>
          <w:noProof/>
        </w:rPr>
      </w:pPr>
      <w:r>
        <w:rPr>
          <w:noProof/>
        </w:rPr>
        <w:t>(v)</w:t>
      </w:r>
      <w:r>
        <w:rPr>
          <w:noProof/>
        </w:rPr>
        <w:tab/>
        <w:t>fibrele sintetice discontinue de polisulfură de fenilen;</w:t>
      </w:r>
    </w:p>
    <w:p>
      <w:pPr>
        <w:ind w:left="567" w:hanging="567"/>
        <w:rPr>
          <w:rFonts w:eastAsia="Calibri"/>
          <w:noProof/>
        </w:rPr>
      </w:pPr>
    </w:p>
    <w:p>
      <w:pPr>
        <w:ind w:left="567" w:hanging="567"/>
        <w:rPr>
          <w:rFonts w:eastAsia="Calibri"/>
          <w:noProof/>
        </w:rPr>
      </w:pPr>
      <w:r>
        <w:rPr>
          <w:noProof/>
        </w:rPr>
        <w:t>(w)</w:t>
      </w:r>
      <w:r>
        <w:rPr>
          <w:noProof/>
        </w:rPr>
        <w:tab/>
        <w:t>fibrele sintetice discontinue de policlorură de vinil;</w:t>
      </w:r>
    </w:p>
    <w:p>
      <w:pPr>
        <w:ind w:left="567" w:hanging="567"/>
        <w:rPr>
          <w:rFonts w:eastAsia="Calibri"/>
          <w:noProof/>
        </w:rPr>
      </w:pPr>
    </w:p>
    <w:p>
      <w:pPr>
        <w:ind w:left="567" w:hanging="567"/>
        <w:rPr>
          <w:rFonts w:eastAsia="Calibri"/>
          <w:noProof/>
        </w:rPr>
      </w:pPr>
      <w:r>
        <w:rPr>
          <w:noProof/>
        </w:rPr>
        <w:t>(x)</w:t>
      </w:r>
      <w:r>
        <w:rPr>
          <w:noProof/>
        </w:rPr>
        <w:tab/>
        <w:t>alte fibre sintetice discontinue;</w:t>
      </w:r>
    </w:p>
    <w:p>
      <w:pPr>
        <w:ind w:left="567" w:hanging="567"/>
        <w:rPr>
          <w:rFonts w:eastAsia="Calibri"/>
          <w:noProof/>
        </w:rPr>
      </w:pPr>
    </w:p>
    <w:p>
      <w:pPr>
        <w:ind w:left="567" w:hanging="567"/>
        <w:rPr>
          <w:rFonts w:eastAsia="Calibri"/>
          <w:noProof/>
        </w:rPr>
      </w:pPr>
      <w:r>
        <w:rPr>
          <w:noProof/>
        </w:rPr>
        <w:t>(y)</w:t>
      </w:r>
      <w:r>
        <w:rPr>
          <w:noProof/>
        </w:rPr>
        <w:tab/>
        <w:t>fibrele sintetice sau artificiale discontinue de viscoză;</w:t>
      </w:r>
    </w:p>
    <w:p>
      <w:pPr>
        <w:ind w:left="567" w:hanging="567"/>
        <w:rPr>
          <w:rFonts w:eastAsia="Calibri"/>
          <w:noProof/>
        </w:rPr>
      </w:pPr>
    </w:p>
    <w:p>
      <w:pPr>
        <w:ind w:left="567" w:hanging="567"/>
        <w:rPr>
          <w:rFonts w:eastAsia="Calibri"/>
          <w:noProof/>
        </w:rPr>
      </w:pPr>
      <w:r>
        <w:rPr>
          <w:noProof/>
        </w:rPr>
        <w:t>(z)</w:t>
      </w:r>
      <w:r>
        <w:rPr>
          <w:noProof/>
        </w:rPr>
        <w:tab/>
        <w:t>alte fibre artificiale discontinue;</w:t>
      </w:r>
    </w:p>
    <w:p>
      <w:pPr>
        <w:ind w:left="567" w:hanging="567"/>
        <w:rPr>
          <w:rFonts w:eastAsia="Calibri"/>
          <w:noProof/>
        </w:rPr>
      </w:pPr>
    </w:p>
    <w:p>
      <w:pPr>
        <w:ind w:left="567" w:hanging="567"/>
        <w:rPr>
          <w:rFonts w:eastAsia="Calibri"/>
          <w:noProof/>
        </w:rPr>
      </w:pPr>
      <w:r>
        <w:rPr>
          <w:noProof/>
        </w:rPr>
        <w:t>(aa)</w:t>
      </w:r>
      <w:r>
        <w:rPr>
          <w:noProof/>
        </w:rPr>
        <w:tab/>
        <w:t>firele din poliuretan segmentate cu segmente flexibile de poliester, îmbrăcate sau nu;</w:t>
      </w:r>
    </w:p>
    <w:p>
      <w:pPr>
        <w:ind w:left="567" w:hanging="567"/>
        <w:rPr>
          <w:rFonts w:eastAsia="Calibri"/>
          <w:noProof/>
        </w:rPr>
      </w:pPr>
    </w:p>
    <w:p>
      <w:pPr>
        <w:ind w:left="567" w:hanging="567"/>
        <w:rPr>
          <w:rFonts w:eastAsia="Calibri"/>
          <w:noProof/>
        </w:rPr>
      </w:pPr>
      <w:r>
        <w:rPr>
          <w:noProof/>
        </w:rPr>
        <w:t>(bb)</w:t>
      </w:r>
      <w:r>
        <w:rPr>
          <w:noProof/>
        </w:rPr>
        <w:tab/>
        <w:t>firele din poliuretan segmentate cu segmente flexibile din poliester, îmbrăcate sau nu;</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(cc)</w:t>
      </w:r>
      <w:r>
        <w:rPr>
          <w:noProof/>
        </w:rPr>
        <w:tab/>
        <w:t>produsele încadrate la poziția 56.05 (fire metalizate) formate dintr-o bandă compusă dintr-un miez de folie de aluminiu sau dintr-un miez de peliculă de plastic îmbrăcată sau nu cu pulbere de aluminiu, cu o lățime de maximum 5 mm, intercalată cu ajutorul unui adeziv transparent sau colorat între două straturi de peliculă de plastic;</w:t>
      </w:r>
    </w:p>
    <w:p>
      <w:pPr>
        <w:ind w:left="567" w:hanging="567"/>
        <w:rPr>
          <w:rFonts w:eastAsia="Calibri"/>
          <w:noProof/>
        </w:rPr>
      </w:pPr>
    </w:p>
    <w:p>
      <w:pPr>
        <w:ind w:left="567" w:hanging="567"/>
        <w:rPr>
          <w:rFonts w:eastAsia="Calibri"/>
          <w:noProof/>
        </w:rPr>
      </w:pPr>
      <w:r>
        <w:rPr>
          <w:noProof/>
        </w:rPr>
        <w:t>(dd)</w:t>
      </w:r>
      <w:r>
        <w:rPr>
          <w:noProof/>
        </w:rPr>
        <w:tab/>
        <w:t>alte produse încadrate la poziția 56.05;</w:t>
      </w:r>
    </w:p>
    <w:p>
      <w:pPr>
        <w:ind w:left="567" w:hanging="567"/>
        <w:rPr>
          <w:rFonts w:eastAsia="Calibri"/>
          <w:noProof/>
        </w:rPr>
      </w:pPr>
    </w:p>
    <w:p>
      <w:pPr>
        <w:ind w:left="567" w:hanging="567"/>
        <w:rPr>
          <w:rFonts w:eastAsia="Calibri"/>
          <w:noProof/>
        </w:rPr>
      </w:pPr>
      <w:r>
        <w:rPr>
          <w:noProof/>
        </w:rPr>
        <w:t>(ee)</w:t>
      </w:r>
      <w:r>
        <w:rPr>
          <w:noProof/>
        </w:rPr>
        <w:tab/>
        <w:t>fibrele de sticlă și</w:t>
      </w:r>
    </w:p>
    <w:p>
      <w:pPr>
        <w:ind w:left="567" w:hanging="567"/>
        <w:rPr>
          <w:rFonts w:eastAsia="Calibri"/>
          <w:noProof/>
        </w:rPr>
      </w:pPr>
    </w:p>
    <w:p>
      <w:pPr>
        <w:ind w:left="567" w:hanging="567"/>
        <w:rPr>
          <w:rFonts w:eastAsia="Calibri"/>
          <w:noProof/>
        </w:rPr>
      </w:pPr>
      <w:r>
        <w:rPr>
          <w:noProof/>
        </w:rPr>
        <w:t>(ff)</w:t>
      </w:r>
      <w:r>
        <w:rPr>
          <w:noProof/>
        </w:rPr>
        <w:tab/>
        <w:t>fibrele metalice.</w:t>
      </w:r>
    </w:p>
    <w:p>
      <w:pPr>
        <w:rPr>
          <w:rFonts w:eastAsia="Calibri"/>
          <w:noProof/>
        </w:rPr>
      </w:pPr>
    </w:p>
    <w:p>
      <w:pPr>
        <w:rPr>
          <w:rFonts w:eastAsia="Calibri"/>
          <w:noProof/>
        </w:rPr>
      </w:pPr>
      <w:r>
        <w:rPr>
          <w:noProof/>
        </w:rPr>
        <w:t>2.</w:t>
      </w:r>
      <w:r>
        <w:rPr>
          <w:noProof/>
        </w:rPr>
        <w:tab/>
        <w:t>Materialele textile de bază neoriginare care nu pot fi utilizate la fabricarea unui produs pentru dobândirea de către produsul respectiv a caracterului originar în conformitate cu anexa 3-B (Reguli de origine specifice produsului) pot fi totuși utilizate la fabricarea unui produs, cu condiția ca:</w:t>
      </w:r>
    </w:p>
    <w:p>
      <w:pPr>
        <w:rPr>
          <w:rFonts w:eastAsia="Calibri"/>
          <w:noProof/>
        </w:rPr>
      </w:pPr>
    </w:p>
    <w:p>
      <w:pPr>
        <w:ind w:left="567" w:hanging="567"/>
        <w:rPr>
          <w:rFonts w:eastAsia="Calibri"/>
          <w:noProof/>
        </w:rPr>
      </w:pPr>
      <w:r>
        <w:rPr>
          <w:noProof/>
        </w:rPr>
        <w:t>(a)</w:t>
      </w:r>
      <w:r>
        <w:rPr>
          <w:noProof/>
        </w:rPr>
        <w:tab/>
        <w:t>produsul să conțină două sau mai multe materiale textile de bază și</w:t>
      </w:r>
    </w:p>
    <w:p>
      <w:pPr>
        <w:rPr>
          <w:rFonts w:eastAsia="Calibri"/>
          <w:noProof/>
        </w:rPr>
      </w:pPr>
    </w:p>
    <w:p>
      <w:pPr>
        <w:ind w:left="567" w:hanging="567"/>
        <w:rPr>
          <w:rFonts w:eastAsia="Calibri"/>
          <w:noProof/>
        </w:rPr>
      </w:pPr>
      <w:r>
        <w:rPr>
          <w:noProof/>
        </w:rPr>
        <w:t>(b)</w:t>
      </w:r>
      <w:r>
        <w:rPr>
          <w:noProof/>
        </w:rPr>
        <w:tab/>
        <w:t>greutatea materialelor textile de bază neoriginare, luate împreună, să nu depășească 10 % din greutatea totală a tuturor materialelor textile de bază utilizate.</w:t>
      </w:r>
    </w:p>
    <w:p>
      <w:pPr>
        <w:rPr>
          <w:rFonts w:eastAsia="Calibri"/>
          <w:noProof/>
        </w:rPr>
      </w:pPr>
    </w:p>
    <w:p>
      <w:pPr>
        <w:rPr>
          <w:rFonts w:eastAsia="Calibri"/>
          <w:noProof/>
        </w:rPr>
      </w:pPr>
      <w:r>
        <w:rPr>
          <w:noProof/>
        </w:rPr>
        <w:t>Exemplu: Pentru o țesătură din lână încadrată la poziția 51.12 care conține fire din lână încadrate la poziția 51.07 și fire din bumbac încadrate la poziția 52.05, pot fi utilizate fire din lână neoriginare care nu îndeplinesc cerința prevăzută în anexa 3-B (Reguli de origine specifice produsului) sau fire din bumbac neoriginare care nu îndeplinesc cerința prevăzută în anexa 3-B (Reguli de origine specifice produsului) sau o combinație a acestora, cu condiția ca greutatea lor totală să nu depășească 10 % din greutatea tuturor materialelor textile de bază.</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3.</w:t>
      </w:r>
      <w:r>
        <w:rPr>
          <w:noProof/>
        </w:rPr>
        <w:tab/>
        <w:t>În pofida punctului 2 litera (b), pentru produsele care conțin „fire din poliuretan segmentate cu segmente flexibile de poliester, îmbrăcate sau nu”, toleranța maximă este de 20 %. Cu toate acestea, procentul celorlalte materiale textile de bază neoriginare nu trebuie să depășească 10 %.</w:t>
      </w:r>
    </w:p>
    <w:p>
      <w:pPr>
        <w:rPr>
          <w:rFonts w:eastAsia="Calibri"/>
          <w:noProof/>
        </w:rPr>
      </w:pPr>
    </w:p>
    <w:p>
      <w:pPr>
        <w:rPr>
          <w:rFonts w:eastAsia="Calibri"/>
          <w:noProof/>
        </w:rPr>
      </w:pPr>
      <w:r>
        <w:rPr>
          <w:noProof/>
        </w:rPr>
        <w:t>4.</w:t>
      </w:r>
      <w:r>
        <w:rPr>
          <w:noProof/>
        </w:rPr>
        <w:tab/>
        <w:t>În pofida punctului 2 litera (b), pentru produsele care conțin „o bandă compusă dintr-un miez de folie de aluminiu sau dintr-un miez de peliculă de plastic îmbrăcată sau nu cu pulbere de aluminiu, cu o lățime de maximum 5 mm, intercalată cu ajutorul unui adeziv transparent sau colorat între două straturi de peliculă de plastic”, toleranța maximă este de 30 %. Cu toate acestea, procentul celorlalte materiale textile de bază neoriginare nu trebuie să depășească 10 %.</w:t>
      </w:r>
    </w:p>
    <w:p>
      <w:pPr>
        <w:rPr>
          <w:rFonts w:eastAsia="Calibri"/>
          <w:noProof/>
        </w:rPr>
      </w:pPr>
    </w:p>
    <w:p>
      <w:pPr>
        <w:rPr>
          <w:rFonts w:eastAsia="Calibri"/>
          <w:noProof/>
        </w:rPr>
      </w:pPr>
    </w:p>
    <w:p>
      <w:pPr>
        <w:jc w:val="center"/>
        <w:rPr>
          <w:rFonts w:eastAsia="Calibri"/>
          <w:noProof/>
        </w:rPr>
      </w:pPr>
      <w:r>
        <w:rPr>
          <w:noProof/>
        </w:rPr>
        <w:t>NOTA 8</w:t>
      </w:r>
    </w:p>
    <w:p>
      <w:pPr>
        <w:jc w:val="center"/>
        <w:rPr>
          <w:rFonts w:eastAsia="Calibri"/>
          <w:noProof/>
        </w:rPr>
      </w:pPr>
    </w:p>
    <w:p>
      <w:pPr>
        <w:jc w:val="center"/>
        <w:rPr>
          <w:rFonts w:eastAsia="Calibri"/>
          <w:noProof/>
        </w:rPr>
      </w:pPr>
      <w:r>
        <w:rPr>
          <w:noProof/>
        </w:rPr>
        <w:t>Alte toleranțe aplicabile anumitor produse textile</w:t>
      </w:r>
    </w:p>
    <w:p>
      <w:pPr>
        <w:rPr>
          <w:rFonts w:eastAsia="Calibri"/>
          <w:noProof/>
        </w:rPr>
      </w:pPr>
    </w:p>
    <w:p>
      <w:pPr>
        <w:rPr>
          <w:rFonts w:eastAsia="Calibri"/>
          <w:noProof/>
        </w:rPr>
      </w:pPr>
      <w:r>
        <w:rPr>
          <w:noProof/>
        </w:rPr>
        <w:t>1.</w:t>
      </w:r>
      <w:r>
        <w:rPr>
          <w:noProof/>
        </w:rPr>
        <w:tab/>
        <w:t>Materialele textile neoriginare (cu excepția dublurilor și a căptușelilor) care nu pot fi utilizate la fabricarea unui produs textil confecționat clasificat la capitolele 61, 62 sau 63, cu excepția pozițiilor 63.09-63.10, pentru dobândirea de către produsul respectiv a caracterului originar în conformitate cu anexa 3-B (Reguli de origine specifice produsului) pot fi totuși utilizate, cu condiția ca acestea să fie încadrate la o altă poziție decât cea a produsului și ca valoarea lor să nu depășească 10 % din prețul franco fabrică al produsului.</w:t>
      </w:r>
    </w:p>
    <w:p>
      <w:pPr>
        <w:rPr>
          <w:rFonts w:eastAsia="Calibri"/>
          <w:noProof/>
        </w:rPr>
      </w:pPr>
    </w:p>
    <w:p>
      <w:pPr>
        <w:rPr>
          <w:rFonts w:eastAsia="Calibri"/>
          <w:noProof/>
        </w:rPr>
      </w:pPr>
      <w:r>
        <w:rPr>
          <w:noProof/>
        </w:rPr>
        <w:t>2.</w:t>
      </w:r>
      <w:r>
        <w:rPr>
          <w:noProof/>
        </w:rPr>
        <w:tab/>
        <w:t>Materialele neoriginare care nu sunt încadrate la capitolele 50-63 pot fi utilizate fără restricții la fabricarea produselor textile încadrate la capitolele 50-63, indiferent dacă includ sau nu materiale textile.</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Exemplu: În cazul în care o cerință stabilită în anexa 3-B (Reguli de origine specifice produsului) prevede că trebuie folosite fire pentru un anumit articol din material textil (de exemplu, o pereche de pantaloni), acest lucru nu interzice utilizarea articolelor neoriginare din metal (precum nasturii), deoarece articolele din metal nu sunt încadrate la capitolele 50-63. Din aceleași motive, acest lucru nu interzice utilizarea fermoarelor neoriginare, chiar dacă acestea conțin în mod normal materiale textile.</w:t>
      </w:r>
    </w:p>
    <w:p>
      <w:pPr>
        <w:rPr>
          <w:rFonts w:eastAsia="Calibri"/>
          <w:noProof/>
        </w:rPr>
      </w:pPr>
    </w:p>
    <w:p>
      <w:pPr>
        <w:rPr>
          <w:rFonts w:eastAsia="Calibri"/>
          <w:noProof/>
        </w:rPr>
      </w:pPr>
      <w:r>
        <w:rPr>
          <w:noProof/>
        </w:rPr>
        <w:t>3.</w:t>
      </w:r>
      <w:r>
        <w:rPr>
          <w:noProof/>
        </w:rPr>
        <w:tab/>
        <w:t>În cazul în care o cerință prevăzută în anexa 3-B (Reguli de origine specifice produsului) stabilește o valoare maximă a materialelor neoriginare, valoarea materialelor neoriginare care nu sunt încadrate la capitolele 50-63 trebuie luată în considerare la calcularea valorii materialelor neoriginare.</w:t>
      </w:r>
    </w:p>
    <w:p>
      <w:pPr>
        <w:rPr>
          <w:rFonts w:eastAsia="Calibri"/>
          <w:noProof/>
        </w:rPr>
      </w:pPr>
    </w:p>
    <w:p>
      <w:pPr>
        <w:rPr>
          <w:rFonts w:eastAsia="Calibri"/>
          <w:noProof/>
        </w:rPr>
      </w:pPr>
    </w:p>
    <w:p>
      <w:pPr>
        <w:jc w:val="center"/>
        <w:rPr>
          <w:rFonts w:eastAsia="Calibri"/>
          <w:noProof/>
        </w:rPr>
      </w:pPr>
      <w:r>
        <w:rPr>
          <w:noProof/>
        </w:rPr>
        <w:t>NOTA 9</w:t>
      </w:r>
    </w:p>
    <w:p>
      <w:pPr>
        <w:jc w:val="center"/>
        <w:rPr>
          <w:rFonts w:eastAsia="Calibri"/>
          <w:noProof/>
        </w:rPr>
      </w:pPr>
    </w:p>
    <w:p>
      <w:pPr>
        <w:jc w:val="center"/>
        <w:rPr>
          <w:rFonts w:eastAsia="Calibri"/>
          <w:noProof/>
        </w:rPr>
      </w:pPr>
      <w:r>
        <w:rPr>
          <w:noProof/>
        </w:rPr>
        <w:t>Produse agricole</w:t>
      </w:r>
    </w:p>
    <w:p>
      <w:pPr>
        <w:rPr>
          <w:rFonts w:eastAsia="Calibri"/>
          <w:noProof/>
        </w:rPr>
      </w:pPr>
    </w:p>
    <w:p>
      <w:pPr>
        <w:rPr>
          <w:rFonts w:eastAsia="Calibri"/>
          <w:noProof/>
        </w:rPr>
      </w:pPr>
      <w:r>
        <w:rPr>
          <w:noProof/>
        </w:rPr>
        <w:t>Produsele agricole încadrate la capitolele 6, 7, 8, 9, 10, 12 și la poziția 24.01 care sunt cultivate sau recoltate pe teritoriul unei părți sunt tratate ca fiind originare din partea respectivă, chiar dacă sunt obținute din semințe, bulbi, rizomi, portaltoaie, butași, răsaduri, altoaie, lăstari, muguri sau alte părți vii de plante importate dintr-o țară terță.</w:t>
      </w:r>
    </w:p>
    <w:p>
      <w:pPr>
        <w:rPr>
          <w:rFonts w:eastAsia="Calibri"/>
          <w:noProof/>
        </w:rPr>
      </w:pPr>
    </w:p>
    <w:p>
      <w:pPr>
        <w:rPr>
          <w:rFonts w:eastAsia="Calibri"/>
          <w:noProof/>
        </w:rPr>
      </w:pPr>
    </w:p>
    <w:p>
      <w:pPr>
        <w:jc w:val="center"/>
        <w:rPr>
          <w:noProof/>
        </w:rPr>
      </w:pPr>
      <w:r>
        <w:rPr>
          <w:noProof/>
        </w:rPr>
        <w:t>________________</w:t>
      </w: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Calibri"/>
          <w:b/>
          <w:bCs/>
          <w:noProof/>
          <w:u w:val="single"/>
        </w:rPr>
      </w:pPr>
      <w:r>
        <w:rPr>
          <w:b/>
          <w:noProof/>
          <w:u w:val="single"/>
        </w:rPr>
        <w:lastRenderedPageBreak/>
        <w:t>ANEXA 3-B</w:t>
      </w:r>
    </w:p>
    <w:p>
      <w:pPr>
        <w:rPr>
          <w:rFonts w:eastAsia="Calibri"/>
          <w:noProof/>
        </w:rPr>
      </w:pPr>
    </w:p>
    <w:p>
      <w:pPr>
        <w:rPr>
          <w:rFonts w:eastAsia="Calibri"/>
          <w:noProof/>
        </w:rPr>
      </w:pPr>
    </w:p>
    <w:p>
      <w:pPr>
        <w:jc w:val="center"/>
        <w:rPr>
          <w:noProof/>
        </w:rPr>
      </w:pPr>
      <w:r>
        <w:rPr>
          <w:noProof/>
        </w:rPr>
        <w:t>REGULI DE ORIGINE SPECIFICE PRODUSULUI</w:t>
      </w:r>
    </w:p>
    <w:p>
      <w:pPr>
        <w:rPr>
          <w:noProof/>
        </w:rPr>
      </w:pPr>
    </w:p>
    <w:tbl>
      <w:tblPr>
        <w:tblStyle w:val="TableGrid"/>
        <w:tblW w:w="5000" w:type="pct"/>
        <w:tblLook w:val="04A0" w:firstRow="1" w:lastRow="0" w:firstColumn="1" w:lastColumn="0" w:noHBand="0" w:noVBand="1"/>
      </w:tblPr>
      <w:tblGrid>
        <w:gridCol w:w="2196"/>
        <w:gridCol w:w="5946"/>
        <w:gridCol w:w="1487"/>
      </w:tblGrid>
      <w:tr>
        <w:trPr>
          <w:cantSplit/>
          <w:tblHeader/>
        </w:trPr>
        <w:tc>
          <w:tcPr>
            <w:tcW w:w="10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Clasificarea în Sistemul armonizat (2022), inclusiv descrierea specifică</w:t>
            </w:r>
          </w:p>
        </w:tc>
        <w:tc>
          <w:tcPr>
            <w:tcW w:w="3144"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Regula de origine specifică produsului</w:t>
            </w:r>
          </w:p>
        </w:tc>
        <w:tc>
          <w:tcPr>
            <w:tcW w:w="829"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Observații</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ANIMALE VII; PRODUSE ALE REGNULUI ANIMAL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Animale vii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01.01-01.06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Toate animalele menționate la capitolul 1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Carne și organe comestibile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02.01-02.10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1 și 2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Pești și crustacee, moluște și alte nevertebrate acvatice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03.01-03.09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3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Lapte și produse lactate; ouă de păsări; miere naturală; produse comestibile de origine animală, nedenumite și necuprinse în altă parte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04.01-04.10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4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produse de origine animală, nedenumite și necuprinse în altă parte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05.01-05.11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REGNULUI VEGETAL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Plante vii și produse de floricultură; bulbi, rădăcini și articole similare; flori tăiate și frunziș ornamental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06.01-06.04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6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Legume, plante, rădăcini și tuberculi, alimentare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07.01-07.14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7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Fructe comestibile; coji de citrice sau de pepeni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08.01-08.10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8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8 utilizate sunt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nu depășește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08.12-08.14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8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Cafea, ceai, maté și mirodenii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09.01-09.03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09.04-0910.30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9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0910.91-0910.99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Cereale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10.01-10.08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10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industriei morăritului; malț; amidon și fecule; inulină; gluten de grâu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11.01-11.09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neoriginare încadrate la capitolele 10 și 11, la pozițiile 07.01, 07.14, 23.02-23.03 sau la subpoziția 0710.10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Semințe și fructe oleaginoase; semințe și fructe diverse; plante industriale sau medicinale; paie și furaje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12.01-12.14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Șelac; gume, rășini și alte seve și extracte vegetale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13.01-13.02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pentru împletit și alte produse de origine vegetală, nedenumite și necuprinse în altă parte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14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1401.20-14.04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GRĂSIMI ȘI ULEIURI DE ORIGINE ANIMALĂ, VEGETALĂ SAU MICROBIANĂ ȘI PRODUSE ALE DISOCIERII ACESTORA; GRĂSIMI ALIMENTARE PRELUCRATE; CEARĂ DE ORIGINE ANIMALĂ SAU VEGETALĂ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Grăsimi și uleiuri de origine animală, vegetală sau microbiană și produse ale disocierii acestora; grăsimi alimentare prelucrate; ceară de origine animală sau vegetală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15.01-15.03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15.05-15.06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15.07-15.08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15.09-15.11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vegetale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vegetale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15.14-15.15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15.16-15.18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15.21-15.22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INDUSTRIEI ALIMENTARE; BĂUTURI, LICHIDE ALCOOLICE ȘI OȚET; TUTUN ȘI ÎNLOCUITORI DE TUTUN PRELUCRAȚI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4" w:name="_Hlk219707177"/>
            <w:r>
              <w:rPr>
                <w:rFonts w:ascii="Times New Roman" w:hAnsi="Times New Roman"/>
                <w:noProof/>
              </w:rPr>
              <w:t>Capitolul 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din carne, din pește, din crustacee, din moluște, din alte nevertebrate acvatice sau din insecte</w:t>
            </w:r>
          </w:p>
        </w:tc>
        <w:tc>
          <w:tcPr>
            <w:tcW w:w="829" w:type="pct"/>
          </w:tcPr>
          <w:p>
            <w:pPr>
              <w:widowControl/>
              <w:suppressAutoHyphens/>
              <w:spacing w:before="60" w:after="60" w:line="240" w:lineRule="auto"/>
              <w:rPr>
                <w:rFonts w:ascii="Times New Roman" w:hAnsi="Times New Roman"/>
                <w:noProof/>
              </w:rPr>
            </w:pPr>
          </w:p>
        </w:tc>
      </w:tr>
      <w:bookmarkEnd w:id="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16.01-16.02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2 și 16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2, 3 și 16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16.04-16.05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3 și 16 sunt obținute în întregime.</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1</w:t>
            </w: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Zaharuri și produse zaharoase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10 %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17.03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CTH, cu condiția ca greutatea totală a materialelor neoriginare încadrate la pozițiile 17.01 și 17.02 utilizate să nu depășească 40 % din greutatea produsului.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Cacao și preparate din cacao</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18.01-18.02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18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18.03-18.05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greutatea totală a materialelor neoriginare încadrate la pozițiile 17.01 și 17.02 utilizate să nu depășească 40 %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pe bază de cereale, de făină, de amidon, de fecule sau de lapte; produse de patiserie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19.02-19.03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capitolele 2, 3 și 16 utilizate să nu depășească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40 %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din legume, din fructe sau din alte părți de plante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20.02-20.03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7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20.04-20.05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20.06-20.09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greutatea totală a materialelor neoriginare încadrate la pozițiile 17.01 și 17.02 utilizate să nu depășească 40 %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alimentare diverse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2102.10-2103.20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2104.10-2106.10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30 %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Băuturi, lichide alcoolice și oțet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22.04-22.06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22.07 și 22.08,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22.08, cu condiția ca toate materialele încadrate la capitolul 10 și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22.07,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2208.40-2208.90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22.07,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2209.00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22.07 și 22.08,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Reziduuri și deșeuri ale industriei alimentare; alimente preparate pentru animale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23.01-23.02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greutatea materialelor neoriginare încadrate la capitolul 10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2303.20-23.08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capitolele 2 și 4 utilizate să fie obținute integral;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capitolul 3 utilizate să nu depășească 40 % din greutatea produsului;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capitolele 10 și 11 și la pozițiile 23.02 și 23.03 utilizate să nu depășească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24</w:t>
            </w:r>
          </w:p>
        </w:tc>
        <w:tc>
          <w:tcPr>
            <w:tcW w:w="3144" w:type="pct"/>
          </w:tcPr>
          <w:p>
            <w:pPr>
              <w:widowControl/>
              <w:suppressAutoHyphens/>
              <w:spacing w:before="60" w:after="60" w:line="240" w:lineRule="auto"/>
              <w:rPr>
                <w:rFonts w:ascii="Times New Roman" w:hAnsi="Times New Roman"/>
                <w:noProof/>
              </w:rPr>
            </w:pPr>
            <w:bookmarkStart w:id="5" w:name="_Hlk219707297"/>
            <w:r>
              <w:rPr>
                <w:rFonts w:ascii="Times New Roman" w:hAnsi="Times New Roman"/>
                <w:noProof/>
              </w:rPr>
              <w:t xml:space="preserve">Tutun și înlocuitori de tutun prelucrați; </w:t>
            </w:r>
            <w:bookmarkEnd w:id="5"/>
            <w:r>
              <w:rPr>
                <w:rFonts w:ascii="Times New Roman" w:hAnsi="Times New Roman"/>
                <w:noProof/>
              </w:rPr>
              <w:t>produse, care conțin sau nu nicotină, destinate inhalării fără ardere; alte produse care conțin nicotină destinate absorbției nicotinei în corpul uman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poziția 24.01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2402.10-2402.90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tutunului pentru fumat de la subpoziția 2403.19, în care cel puțin 10 % din greutatea tuturor materialele de la poziția 24.01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2403.11-2404.11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minimum 10 % din greutatea tuturor materialelor încadrate la poziția 24.01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2404.12-2404.99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MINERALE</w:t>
            </w:r>
          </w:p>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regulilor de prelucrare orizontale din această secțiune, a se vedea nota 5 din anexa 3-A [Note introductive la lista din anexa 3-B (Reguli de origine specifice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Sare; sulf; pământuri și pietre; ipsos, var și ciment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25.01-25.30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70 %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Minereuri, zgură și cenușă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26.01-26.21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Combustibili minerali, uleiuri minerale și produse rezultate din distilarea acestora; materiale bituminoase; ceară minerală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27.01-27.09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 cu excepția biomotorinei neoriginare încadrate la subpoziția 3824.99 sau 3826.00;</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Are loc o distilare sau o reacție chimică, dacă biomotorina (inclusiv uleiul vegetal hidrotratat) încadrată la poziția 27.10 și la subpozițiile 3824.99 și 3826.00 utilizată este obținută prin esterificare, transesterificare sau hidrotratare.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27.11-27.15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INDUSTRIEI CHIMICE SAU ALE INDUSTRIILOR CONEXE</w:t>
            </w:r>
          </w:p>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regulilor de prelucrare orizontale din această secțiune, a se vedea nota 5 din anexa 3-A [Note introductive la lista din anexa 3-B (Reguli de origine specifice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chimice anorganice; compuși anorganici sau organici ai metalelor prețioase, ai elementelor radioactive, ai metalelor de pământuri rare sau ai izotopilor</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28.01-28.13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28.14-28.15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28.16-2837.20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2839.11-2839.19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2839.90-2853.90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chimice organice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2901-2902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sau o separare de izomeri.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2903-2905.42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2905.43-44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subpoziției 3824.60.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15.11 și 15.13.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2905.49-2905.59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2906.12-2916.14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2916.16-2918.13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2918.14-2918.15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2918.16-2922.39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2922.42-2942.00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farmaceutice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30.01-30.06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Îngrășăminte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31.01-31.02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31.04-31.05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Extracte tanante sau colorante; tanini și derivații lor; pigmenți și alte substanțe colorante; vopsele și lacuri; masticuri; cerneluri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32.01-32.02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32.03-32.06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32.07-3215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materiale neoriginare încadrate la aceeași poziție cu produsul, cu condiția ca valoarea lor totală să nu depășească 20 % din prețul franco fabrică al produsului;</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Uleiuri esențiale și rezinoide; produse preparate de parfumerie sau de toaletă și preparate cosmetice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materiale neoriginare încadrate la subpoziția 3302.10, cu condiția ca valoarea lor totală să nu depășească 20 % din prețul franco fabrică al produsului;</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3304-33.07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Săpunuri, agenți de suprafață organici, preparate pentru spălat, preparate lubrifiante, ceară artificială, ceară preparată, produse pentru întreținere, lumânări și articole similare, paste pentru modelare, „ceară dentară” și preparate dentare pe bază de ipsos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34.01-34.03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34.04-34.07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35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Substanțe albuminoide; produse pe bază de amidon sau de fecule modificate; cleiuri; enzime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3502.11-3502.19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04.07 și 04.08.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3502.20-3504.00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11.08.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35.06-35.07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Pulberi și explozivi; articole de pirotehnie; chibrituri; aliaje piroforice; materiale inflamabile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36.01-36.02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36.03-36.06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fotografice sau cinematografice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37.01-37.07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diverse ale industriei chimice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38.01-38.07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11.08 și 35.05.</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3809.91-3818.00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3820-3822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3824.40-3824.50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2905.43 și 2905.44.</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3824.81-3825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6" w:name="_Hlk155970743"/>
            <w:r>
              <w:rPr>
                <w:rFonts w:ascii="Times New Roman" w:hAnsi="Times New Roman"/>
                <w:noProof/>
              </w:rPr>
              <w:t>38.26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care biomotorina este obținută prin transesterificare sau esterificare.</w:t>
            </w:r>
          </w:p>
        </w:tc>
        <w:tc>
          <w:tcPr>
            <w:tcW w:w="829" w:type="pct"/>
          </w:tcPr>
          <w:p>
            <w:pPr>
              <w:widowControl/>
              <w:suppressAutoHyphens/>
              <w:spacing w:before="60" w:after="60" w:line="240" w:lineRule="auto"/>
              <w:rPr>
                <w:rFonts w:ascii="Times New Roman" w:hAnsi="Times New Roman"/>
                <w:noProof/>
              </w:rPr>
            </w:pPr>
          </w:p>
        </w:tc>
      </w:tr>
      <w:bookmarkEnd w:id="6"/>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PLASTICE ȘI ARTICOLE DIN MATERIAL PLASTIC; CAUCIUC ȘI ARTICOLE DIN CAUCIUC</w:t>
            </w:r>
          </w:p>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regulilor de prelucrare orizontale din prezenta secțiune, a se vedea nota 5 din anexa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plastice și articole din material plastic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39.01-39.15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39.16-39.26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Cauciuc și articole din cauciuc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40.02-40.11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4012.11-4012.19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Reșaparea pneurilor uzate.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4012.20-4017.00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PIEI BRUTE, PIEI FINITE, PIEI CU BLANĂ ȘI PRODUSE DIN ACESTEA; ARTICOLE DE CURELĂRIE SAU DE ȘELĂRIE; ARTICOLE DE VOIAJ, BAGAJE DE MÂNĂ ȘI ARTICOLE SIMILARE; ARTICOLE DIN INTESTINE DE ANIMALE (ALTELE DECÂT CELE DE LA VIERMII DE 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Piei brute (altele decât pieile cu blană) și piei finite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41.01-4104.19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4104.41-4104.49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cu excepția subpozițiilor 4104.41-4104.49.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4106.32-4106.40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41.07-41.13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4104.41, 4104.49, 4105.30, 4106.22, 4106.32 și 4106.92. Cu toate acestea, materialele neoriginare încadrate la subpozițiile 4104.41, 4104.49, 4105.30, 4106.22, 4106.32 sau 4106.92 pot fi utilizate cu condiția să fie supuse unei operațiuni de retăbăcire.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4114.20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4104.41. 4104.49, 4105.30, 4106.22, 4106.32 și 4106.92 și a poziției 4107. Cu toate acestea, pot fi utilizate materiale neoriginare încadrate la subpozițiile 4104.41, 4104.49, 4105.30, 4106.22, 4106.32, 4106.92 și la poziția 4107, cu condiția să fie supuse unei operațiuni de retăbăcire.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din piele; articole de curelărie sau de șelărie; articole de voiaj, bagaje de mână și articole similare; articole din intestine de animale (altele decât cele de la viermii de 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42.01-42.06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Blănuri și blănuri artificiale; articole din acestea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43.01-4302.20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4302.30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43.03-43.04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LEMN ȘI ARTICOLE DIN LEMN; CĂRBUNE DE LEMN; PLUTĂ ȘI ARTICOLE DIN PLUTĂ; ARTICOLE DIN ÎMPLETITURI DE FIBRE VEGETALE SAU DIN NUIELE; COȘURI ÎMPLETITE DIN NUIELE ȘI ARTICOLE DIN RĂCHITĂ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Lemn și articole din lemn; cărbune de lemn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44.01-44.21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Plută și articole din plută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45.01-45.04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împletituri de fibre vegetale sau din nuiele; coșuri împletite din nuiele și articole din răchită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46.01-46.02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PASTĂ DIN LEMN SAU DIN ALTE MATERIALE FIBROASE CELULOZICE; HÂRTIE SAU CARTON RECICLABILE (DEȘEURI ȘI MACULATURĂ); HÂRTIE ȘI CARTON ȘI ARTICOLE DIN ACESTEA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Pastă din lemn sau din alte materiale fibroase celulozice; hârtie sau carton reciclabile (deșeuri și maculatură)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47.01-47.07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Hârtie și carton; articole din pastă de celuloză, din hârtie sau din carton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48.01-48.23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Cărți, ziare, imagini imprimate și alte produse ale industriei</w:t>
            </w:r>
          </w:p>
          <w:p>
            <w:pPr>
              <w:widowControl/>
              <w:suppressAutoHyphens/>
              <w:spacing w:before="60" w:after="60" w:line="240" w:lineRule="auto"/>
              <w:rPr>
                <w:rFonts w:ascii="Times New Roman" w:hAnsi="Times New Roman"/>
                <w:noProof/>
              </w:rPr>
            </w:pPr>
            <w:r>
              <w:rPr>
                <w:rFonts w:ascii="Times New Roman" w:hAnsi="Times New Roman"/>
                <w:noProof/>
              </w:rPr>
              <w:t>de imprimare; manuscrise, texte dactilografiate și schițe sau planuri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49.01-49.11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TEXTILE ȘI ARTICOLE DIN ACESTE MATERIALE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și termenii utilizați și pentru toleranțele aplicabile anumitor produse fabricate din materiale textile, a se vedea notele 6, 7 și 8 din anexa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50.01-50.02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50.03</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Cardată sau pieptănată: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Cardarea sau pieptănarea deșeurilor de 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50.04-50.05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w:t>
            </w:r>
          </w:p>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torsadare.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Fire de mătase și fire din deșeuri de mătase: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w:t>
            </w:r>
          </w:p>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torsadare.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Intestine de viermi de mătase: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sau torsadarea acestora,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vopsit;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Lână, păr fin sau grosier de animale; fire și țesături din păr de cal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51.01-51.05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51.06-51.10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51.11-51.13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vopsit;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Bumbac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52.01-52.03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52.04-52.07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52.08-52.12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fibre textile vegetale; fire din hârtie și țesături din fire de hârtie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53.01-53.05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53.06-53.08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53.09-53.11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Filamente sintetice sau artificiale; benzi și forme similare din materiale textile sintetice sau artificiale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54.01-54.06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54.07-54.08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Torsadare sau texturare însoțită de țesere, cu condiția ca valoarea firelor netorsadate/netexturate utilizate să nu depășească 47,5 % din prețul franco fabrică al produsului;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Fibre sintetice sau artificiale discontinue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55.01-55.07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55.08-55.11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55.12-55.16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Vată, pâslă și materiale nețesute; fire speciale; sfori, funii, frânghii și articole din acestea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 sau</w:t>
            </w:r>
          </w:p>
          <w:p>
            <w:pPr>
              <w:widowControl/>
              <w:suppressAutoHyphens/>
              <w:spacing w:before="60" w:after="60" w:line="240" w:lineRule="auto"/>
              <w:rPr>
                <w:rFonts w:ascii="Times New Roman" w:hAnsi="Times New Roman"/>
                <w:noProof/>
              </w:rPr>
            </w:pPr>
            <w:r>
              <w:rPr>
                <w:rFonts w:ascii="Times New Roman" w:hAnsi="Times New Roman"/>
                <w:noProof/>
              </w:rPr>
              <w:t>Vătuire;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Pâslă compactizată cu plăci cu ace: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formarea țesăturii; totuși: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filamentele din polipropilenă neoriginare încadrate la poziția 54.02;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filamentele din polipropilenă neoriginare încadrate la poziția 55.03 sau 55.06;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cablurile din filamente din polipropilenă neoriginare încadrate la poziția 55.01,</w:t>
            </w:r>
          </w:p>
          <w:p>
            <w:pPr>
              <w:widowControl/>
              <w:suppressAutoHyphens/>
              <w:spacing w:before="60" w:after="60" w:line="240" w:lineRule="auto"/>
              <w:rPr>
                <w:rFonts w:ascii="Times New Roman" w:hAnsi="Times New Roman"/>
                <w:noProof/>
              </w:rPr>
            </w:pPr>
            <w:r>
              <w:rPr>
                <w:rFonts w:ascii="Times New Roman" w:hAnsi="Times New Roman"/>
                <w:noProof/>
              </w:rPr>
              <w:t>din care fiecare fibră sau fiecare filament constitutiv măsoară, în toate cazurile, sub 9 decitex, pot fi utilizate, cu condiția ca valoarea lor totală să nu depășească 40 % din prețul franco fabrică al produsului; sau</w:t>
            </w:r>
          </w:p>
          <w:p>
            <w:pPr>
              <w:widowControl/>
              <w:suppressAutoHyphens/>
              <w:spacing w:before="60" w:after="60" w:line="240" w:lineRule="auto"/>
              <w:rPr>
                <w:rFonts w:ascii="Times New Roman" w:hAnsi="Times New Roman"/>
                <w:noProof/>
              </w:rPr>
            </w:pPr>
            <w:r>
              <w:rPr>
                <w:rFonts w:ascii="Times New Roman" w:hAnsi="Times New Roman"/>
                <w:noProof/>
              </w:rPr>
              <w:t>Numai formarea țesăturii, în cazul pâslei din fibre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formarea țesăturii; sau</w:t>
            </w:r>
          </w:p>
          <w:p>
            <w:pPr>
              <w:widowControl/>
              <w:suppressAutoHyphens/>
              <w:spacing w:before="60" w:after="60" w:line="240" w:lineRule="auto"/>
              <w:rPr>
                <w:rFonts w:ascii="Times New Roman" w:hAnsi="Times New Roman"/>
                <w:noProof/>
              </w:rPr>
            </w:pPr>
            <w:r>
              <w:rPr>
                <w:rFonts w:ascii="Times New Roman" w:hAnsi="Times New Roman"/>
                <w:noProof/>
              </w:rPr>
              <w:t>Numai formarea țesăturii, în cazul altor pâsle din fibre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5603.11-5603.14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filamente orientate direcțional sau aleatoriu;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substanțe sau polimeri de origine naturală, sintetică sau artificială;</w:t>
            </w:r>
          </w:p>
          <w:p>
            <w:pPr>
              <w:widowControl/>
              <w:suppressAutoHyphens/>
              <w:spacing w:before="60" w:after="60" w:line="240" w:lineRule="auto"/>
              <w:rPr>
                <w:rFonts w:ascii="Times New Roman" w:hAnsi="Times New Roman"/>
                <w:noProof/>
              </w:rPr>
            </w:pPr>
            <w:r>
              <w:rPr>
                <w:rFonts w:ascii="Times New Roman" w:hAnsi="Times New Roman"/>
                <w:noProof/>
              </w:rPr>
              <w:t>urmată, în ambele cazuri, de lipire într-un material nețesut.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5603.91-5603.94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fibre discontinue orientate direcțional sau aleatoriu;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tăiate de origine naturală, sintetică sau artificială;</w:t>
            </w:r>
          </w:p>
          <w:p>
            <w:pPr>
              <w:widowControl/>
              <w:suppressAutoHyphens/>
              <w:spacing w:before="60" w:after="60" w:line="240" w:lineRule="auto"/>
              <w:rPr>
                <w:rFonts w:ascii="Times New Roman" w:hAnsi="Times New Roman"/>
                <w:noProof/>
              </w:rPr>
            </w:pPr>
            <w:r>
              <w:rPr>
                <w:rFonts w:ascii="Times New Roman" w:hAnsi="Times New Roman"/>
                <w:noProof/>
              </w:rPr>
              <w:t>urmată, în ambele cazuri, de lipire într-un material nețesut.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Fire și corzi din cauciuc, acoperite cu materiale textile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fire sau corzi din cauciuc, neacoperite cu materiale textile.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 sau a fibrelor sintetice sau artificiale.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 sau a fibrelor sintetice sau artificiale; sau</w:t>
            </w:r>
          </w:p>
          <w:p>
            <w:pPr>
              <w:widowControl/>
              <w:suppressAutoHyphens/>
              <w:spacing w:before="60" w:after="60" w:line="240" w:lineRule="auto"/>
              <w:rPr>
                <w:rFonts w:ascii="Times New Roman" w:hAnsi="Times New Roman"/>
                <w:noProof/>
              </w:rPr>
            </w:pPr>
            <w:r>
              <w:rPr>
                <w:rFonts w:ascii="Times New Roman" w:hAnsi="Times New Roman"/>
                <w:noProof/>
              </w:rPr>
              <w:t>Filare însoțită de plușare;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56.07-56.09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Covoare și alte acoperitoare de podea din materiale textile</w:t>
            </w:r>
          </w:p>
          <w:p>
            <w:pPr>
              <w:widowControl/>
              <w:suppressAutoHyphens/>
              <w:spacing w:before="60" w:after="60" w:line="240" w:lineRule="auto"/>
              <w:rPr>
                <w:rFonts w:ascii="Times New Roman" w:hAnsi="Times New Roman"/>
                <w:noProof/>
              </w:rPr>
            </w:pPr>
            <w:r>
              <w:rPr>
                <w:rFonts w:ascii="Times New Roman" w:hAnsi="Times New Roman"/>
                <w:noProof/>
              </w:rPr>
              <w:t>Notă de capitol: Pentru produsele de la prezentul capitol, țesătura de iută neoriginară poate fi utilizată ca suport.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57.01-57.05</w:t>
            </w:r>
          </w:p>
        </w:tc>
        <w:tc>
          <w:tcPr>
            <w:tcW w:w="3144" w:type="pct"/>
          </w:tcPr>
          <w:p>
            <w:pPr>
              <w:widowControl/>
              <w:suppressAutoHyphens/>
              <w:spacing w:before="60" w:after="60" w:line="240" w:lineRule="auto"/>
              <w:rPr>
                <w:rFonts w:ascii="Times New Roman" w:hAnsi="Times New Roman"/>
                <w:noProof/>
              </w:rPr>
            </w:pPr>
            <w:bookmarkStart w:id="7" w:name="OLE_LINK1"/>
            <w:r>
              <w:rPr>
                <w:rFonts w:ascii="Times New Roman" w:hAnsi="Times New Roman"/>
                <w:noProof/>
              </w:rPr>
              <w:t>Filarea fibrelor naturale sau sintetice sau artificiale discontinue combinată cu țesere sau cu înnodare (</w:t>
            </w:r>
            <w:r>
              <w:rPr>
                <w:rFonts w:ascii="Times New Roman" w:hAnsi="Times New Roman"/>
                <w:i/>
                <w:noProof/>
              </w:rPr>
              <w:t>tufting</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Extrudarea firelor din filamente sintetice sau artificiale combinată cu țesere sau cu înnodare (</w:t>
            </w:r>
            <w:r>
              <w:rPr>
                <w:rFonts w:ascii="Times New Roman" w:hAnsi="Times New Roman"/>
                <w:i/>
                <w:noProof/>
              </w:rPr>
              <w:t>tufting</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Fabricare din fire din nucă de cocos, fire din sisal, fire din iută sau fire de viscoză filate clasic pe mașina de filat cu inele;</w:t>
            </w:r>
          </w:p>
          <w:p>
            <w:pPr>
              <w:widowControl/>
              <w:suppressAutoHyphens/>
              <w:spacing w:before="60" w:after="60" w:line="240" w:lineRule="auto"/>
              <w:rPr>
                <w:rFonts w:ascii="Times New Roman" w:hAnsi="Times New Roman"/>
                <w:noProof/>
              </w:rPr>
            </w:pPr>
            <w:r>
              <w:rPr>
                <w:rFonts w:ascii="Times New Roman" w:hAnsi="Times New Roman"/>
                <w:noProof/>
              </w:rPr>
              <w:t>Înnodare (</w:t>
            </w:r>
            <w:r>
              <w:rPr>
                <w:rFonts w:ascii="Times New Roman" w:hAnsi="Times New Roman"/>
                <w:i/>
                <w:noProof/>
              </w:rPr>
              <w:t>tufting</w:t>
            </w:r>
            <w:r>
              <w:rPr>
                <w:rFonts w:ascii="Times New Roman" w:hAnsi="Times New Roman"/>
                <w:noProof/>
              </w:rPr>
              <w:t>) combinată cu vopsire sau cu imprimare;</w:t>
            </w:r>
          </w:p>
          <w:p>
            <w:pPr>
              <w:widowControl/>
              <w:suppressAutoHyphens/>
              <w:spacing w:before="60" w:after="60" w:line="240" w:lineRule="auto"/>
              <w:rPr>
                <w:rFonts w:ascii="Times New Roman" w:hAnsi="Times New Roman"/>
                <w:noProof/>
              </w:rPr>
            </w:pPr>
            <w:r>
              <w:rPr>
                <w:rFonts w:ascii="Times New Roman" w:hAnsi="Times New Roman"/>
                <w:noProof/>
              </w:rPr>
              <w:t>Plușare combinată cu vopsire sau cu imprimare;</w:t>
            </w:r>
          </w:p>
          <w:p>
            <w:pPr>
              <w:widowControl/>
              <w:suppressAutoHyphens/>
              <w:spacing w:before="60" w:after="60" w:line="240" w:lineRule="auto"/>
              <w:rPr>
                <w:rFonts w:ascii="Times New Roman" w:hAnsi="Times New Roman"/>
                <w:noProof/>
              </w:rPr>
            </w:pPr>
            <w:r>
              <w:rPr>
                <w:rFonts w:ascii="Times New Roman" w:hAnsi="Times New Roman"/>
                <w:noProof/>
              </w:rPr>
              <w:t>Înnodarea (</w:t>
            </w:r>
            <w:r>
              <w:rPr>
                <w:rFonts w:ascii="Times New Roman" w:hAnsi="Times New Roman"/>
                <w:i/>
                <w:noProof/>
              </w:rPr>
              <w:t>tufting</w:t>
            </w:r>
            <w:r>
              <w:rPr>
                <w:rFonts w:ascii="Times New Roman" w:hAnsi="Times New Roman"/>
                <w:noProof/>
              </w:rPr>
              <w:t>) sau țeserea firelor din filamente sintetice sau artificiale combinată cu îmbrăcare sau cu stratificare;</w:t>
            </w:r>
          </w:p>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combinată cu aplicarea unor tehnici care nu implică țesere, inclusiv compactizare cu plăci cu ace</w:t>
            </w:r>
            <w:bookmarkEnd w:id="7"/>
            <w:r>
              <w:rPr>
                <w:noProof/>
              </w:rPr>
              <w: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Țesături speciale; țesături cu smocuri; dantele; tapiserii; pasmanterii; broderii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58.01-58.04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țesere sau de înnodare (</w:t>
            </w:r>
            <w:r>
              <w:rPr>
                <w:rFonts w:ascii="Times New Roman" w:hAnsi="Times New Roman"/>
                <w:i/>
                <w:noProof/>
              </w:rPr>
              <w:t>tufting</w:t>
            </w:r>
            <w:r>
              <w:rPr>
                <w:rFonts w:ascii="Times New Roman" w:hAnsi="Times New Roman"/>
                <w:noProof/>
              </w:rPr>
              <w:t>);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combinată cu țesere;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58.06-58.09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țesere sau de înnodare (</w:t>
            </w:r>
            <w:r>
              <w:rPr>
                <w:rFonts w:ascii="Times New Roman" w:hAnsi="Times New Roman"/>
                <w:i/>
                <w:noProof/>
              </w:rPr>
              <w:t>tufting</w:t>
            </w:r>
            <w:r>
              <w:rPr>
                <w:rFonts w:ascii="Times New Roman" w:hAnsi="Times New Roman"/>
                <w:noProof/>
              </w:rPr>
              <w:t>);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combinată cu țesere;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țesere sau de înnodare (</w:t>
            </w:r>
            <w:r>
              <w:rPr>
                <w:rFonts w:ascii="Times New Roman" w:hAnsi="Times New Roman"/>
                <w:i/>
                <w:noProof/>
              </w:rPr>
              <w:t>tufting</w:t>
            </w:r>
            <w:r>
              <w:rPr>
                <w:rFonts w:ascii="Times New Roman" w:hAnsi="Times New Roman"/>
                <w:noProof/>
              </w:rPr>
              <w:t>);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combinată cu țesere;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textile impregnate, îmbrăcate, acoperite sau stratificate; articole textile de tipul celor destinate uzului industrial.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Care conțin în proporție de maximum 90 % din greutate materiale textile: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tricotare sau croșetare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Calandrare combinată cu vopsire, acoperire, stratificare sau metalizare;</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Țesere combinată cu vopsire sau cu îmbrăcare, stratificare sau metalizare. Țesătura de iută neoriginară poate fi utilizată ca suport.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59.05</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Impregnate, îmbrăcate, acoperite sau stratificate cu cauciuc, material plastic sau alte materiale: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Materiale tricotate sau croșetate: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tricotare; sau</w:t>
            </w:r>
          </w:p>
          <w:p>
            <w:pPr>
              <w:widowControl/>
              <w:suppressAutoHyphens/>
              <w:spacing w:before="60" w:after="60" w:line="240" w:lineRule="auto"/>
              <w:rPr>
                <w:rFonts w:ascii="Times New Roman" w:hAnsi="Times New Roman"/>
                <w:noProof/>
              </w:rPr>
            </w:pPr>
            <w:r>
              <w:rPr>
                <w:rFonts w:ascii="Times New Roman" w:hAnsi="Times New Roman"/>
                <w:noProof/>
              </w:rPr>
              <w:t>Tricotare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 țesături obținute din fire din filamente sintetice cu un conținut de materiale textile de cel puțin 90 % din greutate: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59.08</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Manșoane pentru lămpi cu incandescență, impregnate: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tubulare tricotate.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59.09-59.11</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Discuri și coroane de polizat, altele decât cele din pâslă, încadrate la poziția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Țesături de tipul celor utilizate în mod obișnuit la fabricarea hârtiei sau pentru alte utilizări tehnice, dublate cu pâslă sau nu, chiar impregnate sau îmbrăcate, tubulare sau fără capăt, cu urzeală sau băteală simplă sau multiplă, sau țesute plat, cu urzeală sau băteală multiplă încadrate la poziția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sau filarea fibrelor naturale sau a fibrelor sintetice sau artificiale discontinue,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w:t>
            </w:r>
          </w:p>
          <w:p>
            <w:pPr>
              <w:widowControl/>
              <w:suppressAutoHyphens/>
              <w:spacing w:before="60" w:after="60" w:line="240" w:lineRule="auto"/>
              <w:rPr>
                <w:rFonts w:ascii="Times New Roman" w:hAnsi="Times New Roman"/>
                <w:noProof/>
              </w:rPr>
            </w:pPr>
            <w:r>
              <w:rPr>
                <w:rFonts w:ascii="Times New Roman" w:hAnsi="Times New Roman"/>
                <w:noProof/>
              </w:rPr>
              <w:t>Pot fi utilizate numai următoarele fire: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nucă de cocos;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de politetrafluoretilenă;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de poliamidă multiple, îmbrăcate, impregnate sau acoperite cu rășină fenolică;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fibre textile sintetice de poliamide aromatice, obținute prin policondensarea m-fenilendiaminei și a acidului izoftalic;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monofire de politetrafluoretilenă;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fibre textile sintetice din poli-(p-fenilentereftalamidă);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fibre de sticlă, îmbrăcate cu rășini fenolice și acoperite cu fire acrilice;</w:t>
            </w:r>
          </w:p>
          <w:p>
            <w:pPr>
              <w:widowControl/>
              <w:suppressAutoHyphens/>
              <w:spacing w:before="60" w:after="60" w:line="240" w:lineRule="auto"/>
              <w:rPr>
                <w:rFonts w:ascii="Times New Roman" w:hAnsi="Times New Roman"/>
                <w:noProof/>
              </w:rPr>
            </w:pPr>
            <w:r>
              <w:rPr>
                <w:rFonts w:ascii="Times New Roman" w:hAnsi="Times New Roman"/>
                <w:noProof/>
              </w:rPr>
              <w:t>monofilamente de copoliester dintr-un poliester și o rășină de acid tereftalic și 1,4-ciclohexandietanol și acid izoftalic.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din filamente sintetice sau artificiale sau filarea fibrelor naturale sau a fibrelor sintetice sau artificiale discontinue,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tricotate sau croșetate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60.01-60.06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tricotare; sau</w:t>
            </w:r>
          </w:p>
          <w:p>
            <w:pPr>
              <w:widowControl/>
              <w:suppressAutoHyphens/>
              <w:spacing w:before="60" w:after="60" w:line="240" w:lineRule="auto"/>
              <w:rPr>
                <w:rFonts w:ascii="Times New Roman" w:hAnsi="Times New Roman"/>
                <w:noProof/>
              </w:rPr>
            </w:pPr>
            <w:r>
              <w:rPr>
                <w:rFonts w:ascii="Times New Roman" w:hAnsi="Times New Roman"/>
                <w:noProof/>
              </w:rPr>
              <w:t>Tricotare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 sau</w:t>
            </w:r>
          </w:p>
          <w:p>
            <w:pPr>
              <w:widowControl/>
              <w:suppressAutoHyphens/>
              <w:spacing w:before="60" w:after="60" w:line="240" w:lineRule="auto"/>
              <w:rPr>
                <w:rFonts w:ascii="Times New Roman" w:hAnsi="Times New Roman"/>
                <w:noProof/>
              </w:rPr>
            </w:pPr>
            <w:r>
              <w:rPr>
                <w:rFonts w:ascii="Times New Roman" w:hAnsi="Times New Roman"/>
                <w:noProof/>
              </w:rPr>
              <w:t>Torsadare sau texturare însoțită de tricotare, cu condiția ca valoarea firelor netorsadate sau netexturate neoriginare utilizate să nu depășească 47,5 %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Îmbrăcăminte și accesorii de îmbrăcăminte, tricotate sau croșetate.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61.01-61.17</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Obținute prin asamblarea sau coaserea a două sau a mai multor piese de materiale tricotate sau croșetate care au fost tăiate în formă sau obținute direct în formă: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Tricotare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tricotare (articole tricotate direct în formă);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 (articole tricotate direct în formă).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Îmbrăcăminte și accesorii de îmbrăcăminte, altele decât cele tricotate sau croșetate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62.01</w:t>
            </w:r>
          </w:p>
        </w:tc>
        <w:tc>
          <w:tcPr>
            <w:tcW w:w="3144" w:type="pct"/>
          </w:tcPr>
          <w:p>
            <w:pPr>
              <w:widowControl/>
              <w:suppressAutoHyphens/>
              <w:spacing w:before="60" w:after="60" w:line="240" w:lineRule="auto"/>
              <w:rPr>
                <w:rFonts w:ascii="Times New Roman" w:hAnsi="Times New Roman"/>
                <w:noProof/>
              </w:rPr>
            </w:pPr>
            <w:bookmarkStart w:id="8" w:name="_Hlk166664048"/>
            <w:r>
              <w:rPr>
                <w:rFonts w:ascii="Times New Roman" w:hAnsi="Times New Roman"/>
                <w:noProof/>
              </w:rPr>
              <w:t>Țesere însoțită de confecționare (inclusiv croire); sau</w:t>
            </w:r>
          </w:p>
          <w:bookmarkEnd w:id="8"/>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62.07-62.08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62.09</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Echipamente ignifuge din țesături acoperite cu o folie de poliester aluminizat: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62.11</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Obținute prin asamblarea sau coaserea a două sau a mai multor piese de materiale tricotate sau croșetate care au fost tăiate în formă sau obținute direct în formă: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Tricotare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tricotare (articole tricotate direct în formă);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 (articole tricotate direct în formă).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62.13-62.14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Echipamente ignifuge din țesături acoperite cu o folie de poliester aluminizat:</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62.17</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 xml:space="preserve">Fabricare din țesături nebrodate, cu condiția ca valoarea țesăturii nebrodate neoriginare utilizate să nu depășească 40 % din prețul franco fabrică al produsului.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Echipamente ignifuge din țesături acoperite cu o folie de poliester aluminizat:</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Inserții pentru gulere și manșete, tăiate: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în care valoarea tuturor materialelor neoriginare utilizate nu depășește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articole textile confecționate; seturi; îmbrăcăminte purtată sau uzată și articole textile purtate sau uzate; zdrențe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63.01-63.04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Din pâslă, din materiale nețesute: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sau utilizarea fibrelor naturale, în fiecare dintre cazuri însoțită de un procedeu care nu implică țesere, inclusiv compactizare cu plăci cu ace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sau tricotare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sau tricotare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firelor sintetice sau artificiale sau filarea fibrelor naturale sau a fibrelor sintetice sau artificiale discontinue, însoțite de țesere sau tricotare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Din materiale nețesute: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sau a fibrelor naturale, în fiecare dintre cazuri însoțită de aplicarea unor tehnici care nu implică țesere, inclusiv compactizare cu plăci cu ace.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40 %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Fiecare articol din set trebuie să respecte regula care i s-ar aplica dacă nu ar face parte din setul respectiv. Cu toate acestea, pot fi incluse articole neoriginare, cu condiția ca valoarea lor totală să nu depășească 15 %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63.09-63.10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ÎNCĂLȚĂMINTE, OBIECTE DE ACOPERIT CAPUL, UMBRELE DE PLOAIE, UMBRELE DE SOARE, BASTOANE, BASTOANE – SCAUN, BICE, CRAVAȘE ȘI PĂRȚI ALE ACESTORA; PENE ȘI PUF PRELUCRATE ȘI ARTICOLE DIN ACESTEA; FLORI ARTIFICIALE; ARTICOLE DIN PĂR UMAN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Încălțăminte, ghetre și articole similare; părți ale acestor articole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64.01-64.05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 cu excepția ansamblurilor formate din fețe fixate pe tălpi interioare sau pe alte părți componente inferioare încadrate la poziția 6406.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de acoperit capul și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65.01-65.05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6506.10-6506.91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6506.99-6507.00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Umbrele de ploaie, umbrele de soare, bastoane, bastoane-scaun, bice, cravașe și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66.01-66.03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Pene și puf prelucrate și articole din pene sau din puf; flori artificiale; articole din păr uman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67.01-67.04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PIATRĂ, IPSOS, CIMENT, AZBEST, MICĂ SAU DIN MATERIALE SIMILARE; PRODUSE CERAMICE; STICLĂ ȘI ARTICOLE DIN STICLĂ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piatră, ipsos, ciment, azbest, mică sau din materiale similare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68.01-68.15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70 %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ceramice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69.01-69.14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Sticlă și articole din sticlă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70.01-70.09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7010.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70.14-70.20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 NATURALE SAU DE CULTURĂ, PIETRE PREȚIOASE SAU SEMIPREȚIOASE, METALE PREȚIOASE, METALE PLACATE SAU DUBLATE CU METALE PREȚIOASE ȘI ARTICOLE DIN ACESTE MATERIALE; IMITAȚII DE BIJUTERII; MONEDE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 naturale sau de cultură, pietre prețioase sau semiprețioase, metale prețioase, metale placate sau dublate cu metale prețioase și articole din aceste materiale; imitații de bijuterii; monede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71.02-71.05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Sub formă brută: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71.08 și 71.10;</w:t>
            </w:r>
          </w:p>
          <w:p>
            <w:pPr>
              <w:widowControl/>
              <w:suppressAutoHyphens/>
              <w:spacing w:before="60" w:after="60" w:line="240" w:lineRule="auto"/>
              <w:rPr>
                <w:rFonts w:ascii="Times New Roman" w:hAnsi="Times New Roman"/>
                <w:noProof/>
              </w:rPr>
            </w:pPr>
            <w:r>
              <w:rPr>
                <w:rFonts w:ascii="Times New Roman" w:hAnsi="Times New Roman"/>
                <w:noProof/>
              </w:rPr>
              <w:t>Separare electrolitică, termică sau chimică a metalelor prețioase neoriginare încadrate la pozițiile 71.06, 71.08 și 71.10; sau</w:t>
            </w:r>
          </w:p>
          <w:p>
            <w:pPr>
              <w:widowControl/>
              <w:suppressAutoHyphens/>
              <w:spacing w:before="60" w:after="60" w:line="240" w:lineRule="auto"/>
              <w:rPr>
                <w:rFonts w:ascii="Times New Roman" w:hAnsi="Times New Roman"/>
                <w:noProof/>
              </w:rPr>
            </w:pPr>
            <w:r>
              <w:rPr>
                <w:rFonts w:ascii="Times New Roman" w:hAnsi="Times New Roman"/>
                <w:noProof/>
              </w:rPr>
              <w:t>Fuziune sau aliere a metalelor prețioase neoriginare încadrate la pozițiile 71.06, 71.08 și 71.10 între ele sau cu metale comune sau purificare.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Semiprelucrate sau sub formă de pulbere: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prețioase neoriginare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71.07</w:t>
            </w:r>
          </w:p>
          <w:p>
            <w:pPr>
              <w:widowControl/>
              <w:suppressAutoHyphens/>
              <w:spacing w:before="60" w:after="60" w:line="240" w:lineRule="auto"/>
              <w:rPr>
                <w:rFonts w:ascii="Times New Roman" w:hAnsi="Times New Roman"/>
                <w:noProof/>
              </w:rPr>
            </w:pPr>
            <w:r>
              <w:rPr>
                <w:rFonts w:ascii="Times New Roman" w:hAnsi="Times New Roman"/>
                <w:noProof/>
              </w:rPr>
              <w:t>– Metale placate sau dublate cu metale prețioase, semiprelucrate: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placate sau dublate cu metale prețioase,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71.08</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Sub formă brută: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71.06, 71.08 și 71.10;</w:t>
            </w:r>
          </w:p>
          <w:p>
            <w:pPr>
              <w:widowControl/>
              <w:suppressAutoHyphens/>
              <w:spacing w:before="60" w:after="60" w:line="240" w:lineRule="auto"/>
              <w:rPr>
                <w:rFonts w:ascii="Times New Roman" w:hAnsi="Times New Roman"/>
                <w:noProof/>
              </w:rPr>
            </w:pPr>
            <w:r>
              <w:rPr>
                <w:rFonts w:ascii="Times New Roman" w:hAnsi="Times New Roman"/>
                <w:noProof/>
              </w:rPr>
              <w:t>Separare electrolitică, termică sau chimică a metalelor prețioase neoriginare încadrate la pozițiile 71.06, 71.08 și 71.10; sau</w:t>
            </w:r>
          </w:p>
          <w:p>
            <w:pPr>
              <w:widowControl/>
              <w:suppressAutoHyphens/>
              <w:spacing w:before="60" w:after="60" w:line="240" w:lineRule="auto"/>
              <w:rPr>
                <w:rFonts w:ascii="Times New Roman" w:hAnsi="Times New Roman"/>
                <w:noProof/>
              </w:rPr>
            </w:pPr>
            <w:r>
              <w:rPr>
                <w:rFonts w:ascii="Times New Roman" w:hAnsi="Times New Roman"/>
                <w:noProof/>
              </w:rPr>
              <w:t>Fuziune sau aliere a metalelor prețioase neoriginare încadrate la pozițiile 71.06, 71.08 și 71.10 între ele sau cu metale comune sau purificare.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Semiprelucrate sau sub formă de pulbere: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prețioase neoriginare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71.09</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Metale placate sau dublate cu metale prețioase, semiprelucrate: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placate sau dublate cu metale prețioase,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Sub formă brută: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71.06, 71.08 și 71.10;</w:t>
            </w:r>
          </w:p>
          <w:p>
            <w:pPr>
              <w:widowControl/>
              <w:suppressAutoHyphens/>
              <w:spacing w:before="60" w:after="60" w:line="240" w:lineRule="auto"/>
              <w:rPr>
                <w:rFonts w:ascii="Times New Roman" w:hAnsi="Times New Roman"/>
                <w:noProof/>
              </w:rPr>
            </w:pPr>
            <w:r>
              <w:rPr>
                <w:rFonts w:ascii="Times New Roman" w:hAnsi="Times New Roman"/>
                <w:noProof/>
              </w:rPr>
              <w:t>Separare electrolitică, termică sau chimică a metalelor prețioase neoriginare încadrate la pozițiile 71.06, 71.08 și 71.10; sau</w:t>
            </w:r>
          </w:p>
          <w:p>
            <w:pPr>
              <w:widowControl/>
              <w:suppressAutoHyphens/>
              <w:spacing w:before="60" w:after="60" w:line="240" w:lineRule="auto"/>
              <w:rPr>
                <w:rFonts w:ascii="Times New Roman" w:hAnsi="Times New Roman"/>
                <w:noProof/>
              </w:rPr>
            </w:pPr>
            <w:r>
              <w:rPr>
                <w:rFonts w:ascii="Times New Roman" w:hAnsi="Times New Roman"/>
                <w:noProof/>
              </w:rPr>
              <w:t>Fuziune sau aliere a metalelor prețioase neoriginare încadrate la pozițiile 71.06, 71.08 și 71.10 între ele sau cu metale comune sau purificare.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Semiprelucrate sau sub formă de pulbere: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prețioase neoriginare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71.13-71.15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METALE COMUNE ȘI ARTICOLE DIN METALE COMUNE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9" w:name="_Hlk187846313"/>
            <w:r>
              <w:rPr>
                <w:rFonts w:ascii="Times New Roman" w:hAnsi="Times New Roman"/>
                <w:noProof/>
              </w:rPr>
              <w:t>Capitolul 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Fier și oțel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72.01-72.06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72.06.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0" w:name="_Hlk187844527"/>
            <w:r>
              <w:rPr>
                <w:rFonts w:ascii="Times New Roman" w:hAnsi="Times New Roman"/>
                <w:noProof/>
              </w:rPr>
              <w:t>72.08-72.13</w:t>
            </w:r>
            <w:bookmarkEnd w:id="10"/>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72.15-72.17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materialelor neoriginare încadrate la pozițiile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1" w:name="_Hlk187844545"/>
            <w:r>
              <w:rPr>
                <w:rFonts w:ascii="Times New Roman" w:hAnsi="Times New Roman"/>
                <w:noProof/>
              </w:rPr>
              <w:t>72.18.91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7202.90.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2" w:name="_Hlk187846538"/>
            <w:bookmarkEnd w:id="9"/>
            <w:bookmarkEnd w:id="11"/>
            <w:r>
              <w:rPr>
                <w:rFonts w:ascii="Times New Roman" w:hAnsi="Times New Roman"/>
                <w:noProof/>
              </w:rPr>
              <w:t>72.19-72.21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72.19-72.23.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72.22-72.23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72.19-72.23.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72.25-72.29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72.25-72.29.</w:t>
            </w:r>
          </w:p>
        </w:tc>
        <w:tc>
          <w:tcPr>
            <w:tcW w:w="829" w:type="pct"/>
          </w:tcPr>
          <w:p>
            <w:pPr>
              <w:widowControl/>
              <w:suppressAutoHyphens/>
              <w:spacing w:before="60" w:after="60" w:line="240" w:lineRule="auto"/>
              <w:rPr>
                <w:rFonts w:ascii="Times New Roman" w:hAnsi="Times New Roman"/>
                <w:noProof/>
              </w:rPr>
            </w:pPr>
          </w:p>
        </w:tc>
      </w:tr>
      <w:bookmarkEnd w:id="12"/>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fontă, din fier sau din oțel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materialelor neoriginare încadrate la pozițiile 72.13-72.17, 72.21-72.23 și 72.25-72.29.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73.05 – 73.06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materialelor neoriginare încadrate la pozițiile 72.13-72.17, 72.21-72.23 și 72.25-72.29.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73.07</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Accesorii de țevărie din oțeluri inoxidabile: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eboșe forjate clasificate la pozițiile 7218 și 7304, cu condiția ca valoarea acestora să nu depășească 50 %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subpoziției 7301.20.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7309.00-7315.19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br w:type="page"/>
              <w:t>315.81-7326.90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Cupru și articole din cupru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74.01-74.02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highlight w:val="lightGray"/>
              </w:rPr>
            </w:pPr>
            <w:r>
              <w:rPr>
                <w:rFonts w:ascii="Times New Roman" w:hAnsi="Times New Roman"/>
                <w:noProof/>
              </w:rPr>
              <w:lastRenderedPageBreak/>
              <w:t>74.03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74.04-74.07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74.09-74.19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3" w:name="_Hlk187846835"/>
            <w:r>
              <w:rPr>
                <w:rFonts w:ascii="Times New Roman" w:hAnsi="Times New Roman"/>
                <w:noProof/>
              </w:rPr>
              <w:t>Capitolul 75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Nichel și articole din nichel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75.03-75.08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4" w:name="_Hlk187847002"/>
            <w:bookmarkEnd w:id="13"/>
            <w:r>
              <w:rPr>
                <w:rFonts w:ascii="Times New Roman" w:hAnsi="Times New Roman"/>
                <w:noProof/>
              </w:rPr>
              <w:t>Capitolul 76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Aluminiu și articole din aluminiu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Fabricare prin tratare termică sau electrolitică a aluminiului nealiat sau a deșeurilor și a resturilor de aluminiu.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76.03-76.04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7607-7616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bookmarkEnd w:id="1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Plumb și articole din plumb</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78.01.91-78.06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Zinc și articole din zinc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79.01-79.07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Staniu și articole din staniu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80.03-80.07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metale comune; metaloceramice; articole din aceste materiale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81.01-81.13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Unelte și scule, articole de cuțitărie și tacâmuri, din metale comune; părți ale acestor articole, din metale comune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8201.10-8205.70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8205.90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Seturi: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82.05,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82.02-82.05; cu toate acestea, pot fi incluse în set unelte neoriginare încadrate la pozițiile 82.02-82.05,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8207.13-8207.40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8207.70-8207.80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8208.30-8210.00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8211,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8211.91-8211.92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8211.93-8214.10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8214.20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seturi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8214,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8214.90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8215.10-8215.20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8215,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diverse din metale comune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83.01-83.11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MAȘINI ȘI APARATE MECANICE; ECHIPAMENTE ELECTRICE; PĂRȚI ALE ACESTORA; APARATE DE ÎNREGISTRAT SAU DE REPRODUS SUNETUL, APARATE DE ÎNREGISTRAT SAU DE REPRODUS IMAGINI ȘI SUNET DE TELEVIZIUNE ȘI PĂRȚI ȘI ACCESORII ALE ACESTOR APARATE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Reactoare nucleare, cazane, mașini și aparate mecanice;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8401.10-8402.11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8402.19-84.06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84.07-84.08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84.09-8413.19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8413.20-8413.30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8413.50-8413.60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8413.70-8414.59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8414.90-8417.10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8417.20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8417.80-8419.50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8419.81-8421.19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8421.22-8421.31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8421.39-8423.30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8423.82-8424.30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8424.41-8424.49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8424.82-8424.90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84.25-8427.20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84.31;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8428.10-8430.69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84.31;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8431.10-8443.17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8443.31-8443.99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84.44-84.47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84.48;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8448.11-8452.21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8452.30-8452.90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8453.20-8455.90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8456.11-8457.20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8457.30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8458.11-8461.50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8462.19-8462.21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8462.29-8465.95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8465.96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8465.99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8466.10-8466.94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8467.19-8467.22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8467.91-8468.90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8470.10-8472.90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84.73;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8473.21-8477.51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8477.80-8477.90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8478.10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8478.90-8479.60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8479.71-8479.81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8479.82-8480.79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8481.10-8481.80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8482.10-8482.20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8482.30-8482.50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8482.80-8482.91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8482.99-8487.90</w:t>
            </w:r>
          </w:p>
        </w:tc>
        <w:tc>
          <w:tcPr>
            <w:tcW w:w="3144" w:type="pct"/>
          </w:tcPr>
          <w:p>
            <w:pPr>
              <w:widowControl/>
              <w:tabs>
                <w:tab w:val="left" w:pos="1535"/>
              </w:tabs>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85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Mașini, aparate și echipamente electrice și părți ale acestora; aparate de înregistrat sau de reprodus sunetul, aparate de televiziune de înregistrat sau de reprodus imagine și sunet; părți și accesorii ale acestor aparate.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8501.10-8501.20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8501.32-8501.34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8501.51-8502.40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8503.00-8504.10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8504.21-8504.31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8504.32-8504.33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8504.40-8515.21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8515.29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8515.31-8516.33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8516.79-8518.10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8518.21-8418.29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8518.30-8518.90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8519.20-8521.90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85.22;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85.22-85.24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85.25.50-8528.62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85.29;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8528.69-8528.71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85.29;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8529.10-8534.00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8535.10-8535.90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8536.10-8536.20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8536.41-8536.49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8536.61-8536.90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8537.10-8537.20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85.38-85.42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85.44-85.48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MIJLOACE DE TRANSPORT ȘI ECHIPAMENTE AUXILIARE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Vehicule și echipamente pentru căile ferate sau similare și părți ale acestora; material fix pentru căile ferate sau similare și accesorii și părți ale acestora; aparate mecanice (inclusiv electromecanice) de semnalizare a traficului.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86.01-86.09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materialele încadrate la poziția 86.07, cu condiția ca acestea să nu depășească 50 % din prețul franco fabrică al produsului final</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5" w:name="_Hlk187839627"/>
            <w:r>
              <w:rPr>
                <w:rFonts w:ascii="Times New Roman" w:hAnsi="Times New Roman"/>
                <w:noProof/>
              </w:rPr>
              <w:t>Capitolul 87</w:t>
            </w:r>
          </w:p>
        </w:tc>
        <w:tc>
          <w:tcPr>
            <w:tcW w:w="3144"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Vehicule terestre, altele decât materialul rulant de cale ferată și tramvai;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87.01-87.07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45 %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87.08-87.11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55 % MaxNOM 50 % (EXW) pe o perioadă de 10 ani începând cu intrarea în vigoare; MaxNOM 50 % (EXW) începând cu anul 11.</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87.13-87.16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bookmarkEnd w:id="15"/>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Vehicule aeriene, nave spațiale și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88.01-88.05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Vapoare, nave și dispozitive plutitoare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89.01-89.08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sau</w:t>
            </w:r>
          </w:p>
          <w:p>
            <w:pPr>
              <w:widowControl/>
              <w:suppressAutoHyphens/>
              <w:spacing w:before="60" w:after="60" w:line="240" w:lineRule="auto"/>
              <w:rPr>
                <w:rFonts w:ascii="Times New Roman" w:hAnsi="Times New Roman"/>
                <w:noProof/>
              </w:rPr>
            </w:pPr>
            <w:r>
              <w:rPr>
                <w:rFonts w:ascii="Times New Roman" w:hAnsi="Times New Roman"/>
                <w:noProof/>
              </w:rPr>
              <w:t>MaxNOM 40 %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INSTRUMENTE ȘI APARATE OPTICE, FOTOGRAFICE SAU CINEMATOGRAFICE, DE MĂSURĂ, DE CONTROL SAU DE PRECIZIE; INSTRUMENTE ȘI APARATE MEDICO-CHIRURGICALE; CEASORNICĂRIE; INSTRUMENTE MUZICALE;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6" w:name="_Hlk187847244"/>
            <w:r>
              <w:rPr>
                <w:rFonts w:ascii="Times New Roman" w:hAnsi="Times New Roman"/>
                <w:noProof/>
              </w:rPr>
              <w:t>Capitolul 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Instrumente și aparate optice, fotografice sau cinematografice, de măsură, de control sau de precizie, instrumente și aparate medico-chirurgicale;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9001.10-9001.40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Fabricare în cadrul căreia are loc una dintre următoarele operațiuni: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finisarea lentilei semifinite într-o lentilă oftalmică finită cu capacitate de corecție optică, destinată a fi montată pe o pereche de ochelari;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acoperirea lentilei prin tratamente adecvate cu scopul de a îmbunătăți vederea și a asigura protecția utilizatorului;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9001.90-9027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90.28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bookmarkEnd w:id="16"/>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90.30-9033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Ceasornicărie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91.01-91.14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Instrumente muzicale;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92.01-92.09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valoarea materialelor încadrate la poziția 9209 să nu depășească 50 % din prețul franco fabrică al produsului final;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 ȘI MUNIȚIE;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 și muniție;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93.01-93.07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DIVERSE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Mobilă; articole de pat, saltele, suporturi de saltele, perne și obiecte similare de mobilier umplute; aparate și corpuri de iluminat nedenumite sau necuprinse în altă parte; lămpi pentru reclame luminoase, însemne luminoase, plăci indicatoare luminoase și articole similare; construcții prefabricate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9401.31-9406.90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Jucării, jocuri, articole pentru divertisment sau pentru sport;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60 %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95.04-95.05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95.06-95.07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60 %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diverse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96.01-96.04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Fiecare articol din set trebuie să respecte regula care i s-ar aplica dacă nu ar face parte din setul respectiv. Cu toate acestea, un set alcătuit din articole originare și neoriginare este considerat originar în ansamblu, cu condiția ca valoarea articolelor neoriginare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96.06-9608.40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9608.50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Fiecare articol din set trebuie să respecte regula care i s-ar aplica dacă nu ar face parte din setul respectiv. Cu toate acestea, un set alcătuit din articole originare și neoriginare este considerat originar în ansamblu, cu condiția ca valoarea articolelor neoriginare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9608.60-96.20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DE ARTĂ, OBIECTE DE COLECȚIE ȘI ANTICHITĂȚI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de artă, obiecte de colecție și antichități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97.01-97.06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bl>
    <w:p>
      <w:pPr>
        <w:rPr>
          <w:noProof/>
        </w:rPr>
      </w:pPr>
    </w:p>
    <w:p>
      <w:pPr>
        <w:rPr>
          <w:noProof/>
        </w:rPr>
      </w:pPr>
    </w:p>
    <w:p>
      <w:pPr>
        <w:rPr>
          <w:noProof/>
        </w:rPr>
      </w:pPr>
      <w:r>
        <w:rPr>
          <w:noProof/>
        </w:rPr>
        <w:br w:type="page"/>
      </w:r>
    </w:p>
    <w:p>
      <w:pPr>
        <w:jc w:val="right"/>
        <w:rPr>
          <w:rFonts w:eastAsia="Calibri"/>
          <w:b/>
          <w:bCs/>
          <w:noProof/>
          <w:u w:val="single"/>
        </w:rPr>
      </w:pPr>
      <w:r>
        <w:rPr>
          <w:b/>
          <w:noProof/>
          <w:u w:val="single"/>
        </w:rPr>
        <w:lastRenderedPageBreak/>
        <w:t>Apendicele 3-B-1</w:t>
      </w:r>
    </w:p>
    <w:p>
      <w:pPr>
        <w:rPr>
          <w:rFonts w:eastAsia="Calibri"/>
          <w:noProof/>
        </w:rPr>
      </w:pPr>
    </w:p>
    <w:p>
      <w:pPr>
        <w:rPr>
          <w:rFonts w:eastAsia="Calibri"/>
          <w:noProof/>
        </w:rPr>
      </w:pPr>
    </w:p>
    <w:p>
      <w:pPr>
        <w:jc w:val="center"/>
        <w:rPr>
          <w:rFonts w:eastAsia="Calibri"/>
          <w:noProof/>
        </w:rPr>
      </w:pPr>
      <w:r>
        <w:rPr>
          <w:noProof/>
        </w:rPr>
        <w:t xml:space="preserve">Addendum la regulile de origine specifice produsului </w:t>
      </w:r>
      <w:r>
        <w:rPr>
          <w:noProof/>
        </w:rPr>
        <w:br/>
        <w:t>din anexa 3-B (Reguli de origine specifice produsului)</w:t>
      </w:r>
    </w:p>
    <w:p>
      <w:pPr>
        <w:rPr>
          <w:rFonts w:eastAsia="Calibri"/>
          <w:noProof/>
        </w:rPr>
      </w:pPr>
    </w:p>
    <w:p>
      <w:pPr>
        <w:rPr>
          <w:noProof/>
        </w:rPr>
      </w:pPr>
      <w:r>
        <w:rPr>
          <w:noProof/>
        </w:rPr>
        <w:t>1.</w:t>
      </w:r>
      <w:r>
        <w:rPr>
          <w:noProof/>
        </w:rPr>
        <w:tab/>
        <w:t>Pentru produsele enumerate în tabelul de mai jos, regulile de origine corespunzătoare sunt alternative la cele enunțate în anexa 3-B (Reguli de origine specifice produsului), în limitele contingentului anual aplicabil.</w:t>
      </w:r>
    </w:p>
    <w:p>
      <w:pPr>
        <w:rPr>
          <w:noProof/>
        </w:rPr>
      </w:pPr>
    </w:p>
    <w:p>
      <w:pPr>
        <w:rPr>
          <w:noProof/>
        </w:rPr>
      </w:pPr>
      <w:r>
        <w:rPr>
          <w:noProof/>
        </w:rPr>
        <w:t>2.</w:t>
      </w:r>
      <w:r>
        <w:rPr>
          <w:noProof/>
        </w:rPr>
        <w:tab/>
        <w:t>Un atestat de origine întocmit în conformitate cu tabelul 1 din prezentul apendice conține următoarea mențiune: „Contingente de origine – Produse originare în conformitate cu tabelul 1 din apendicele 1 la anexa 3-B (Reguli de origine specifice produsului)”.</w:t>
      </w:r>
    </w:p>
    <w:p>
      <w:pPr>
        <w:rPr>
          <w:noProof/>
        </w:rPr>
      </w:pPr>
    </w:p>
    <w:p>
      <w:pPr>
        <w:rPr>
          <w:noProof/>
        </w:rPr>
      </w:pPr>
      <w:r>
        <w:rPr>
          <w:noProof/>
        </w:rPr>
        <w:t>3.</w:t>
      </w:r>
      <w:r>
        <w:rPr>
          <w:noProof/>
        </w:rPr>
        <w:tab/>
        <w:t>În Uniune, orice cantități menționate în prezentul apendice se gestionează de către Comisia Europeană, care întreprinde toate acțiunile administrative pe care le consideră recomandabile pentru gestionarea eficientă a acestora în conformitate cu legislația aplicabilă a Uniunii.</w:t>
      </w:r>
    </w:p>
    <w:p>
      <w:pPr>
        <w:rPr>
          <w:noProof/>
        </w:rPr>
      </w:pPr>
    </w:p>
    <w:p>
      <w:pPr>
        <w:rPr>
          <w:noProof/>
        </w:rPr>
      </w:pPr>
      <w:r>
        <w:rPr>
          <w:noProof/>
        </w:rPr>
        <w:t>4.</w:t>
      </w:r>
      <w:r>
        <w:rPr>
          <w:noProof/>
        </w:rPr>
        <w:tab/>
        <w:t>Contingentul de origine este gestionat de Comisia Europeană pe baza unui an calendaristic, întregul volum al contingentului fiind pus la dispoziție la data de 1 ianuarie a fiecărui an, și pe baza principiului „primul venit, primul servit”. În cazul în care acordul intră în vigoare la o altă dată decât 1 ianuarie, părțile calculează volumul disponibil al acestui contingent de origine scăzând volumul corespunzător perioadei cuprinse între 1 ianuarie și data intrării în vigoare a acordului.</w:t>
      </w:r>
    </w:p>
    <w:p>
      <w:pPr>
        <w:rPr>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Tabelul 1 – Alocarea contingentelor anuale de produse din crab</w:t>
      </w:r>
    </w:p>
    <w:p>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trPr>
          <w:cantSplit/>
          <w:tblHeader/>
        </w:trPr>
        <w:tc>
          <w:tcPr>
            <w:tcW w:w="945"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Clasificarea în Sistemul armonizat (SA 2022)</w:t>
            </w:r>
          </w:p>
        </w:tc>
        <w:tc>
          <w:tcPr>
            <w:tcW w:w="2517"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produsului</w:t>
            </w:r>
          </w:p>
        </w:tc>
        <w:tc>
          <w:tcPr>
            <w:tcW w:w="96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Regula specifică produsului alternativă</w:t>
            </w:r>
          </w:p>
        </w:tc>
        <w:tc>
          <w:tcPr>
            <w:tcW w:w="576"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Contingent anual (t)</w:t>
            </w:r>
          </w:p>
        </w:tc>
      </w:tr>
      <w:tr>
        <w:tc>
          <w:tcPr>
            <w:tcW w:w="945"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1605 10</w:t>
            </w:r>
          </w:p>
        </w:tc>
        <w:tc>
          <w:tcPr>
            <w:tcW w:w="251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Crabi</w:t>
            </w:r>
          </w:p>
        </w:tc>
        <w:tc>
          <w:tcPr>
            <w:tcW w:w="962"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CTH</w:t>
            </w:r>
          </w:p>
        </w:tc>
        <w:tc>
          <w:tcPr>
            <w:tcW w:w="576"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376</w:t>
            </w:r>
          </w:p>
        </w:tc>
      </w:tr>
    </w:tbl>
    <w:p>
      <w:pPr>
        <w:rPr>
          <w:rFonts w:eastAsia="Calibri"/>
          <w:noProof/>
        </w:rPr>
      </w:pPr>
    </w:p>
    <w:p>
      <w:pPr>
        <w:rPr>
          <w:noProof/>
        </w:rPr>
      </w:pPr>
    </w:p>
    <w:p>
      <w:pPr>
        <w:widowControl/>
        <w:spacing w:line="240" w:lineRule="auto"/>
        <w:rPr>
          <w:rFonts w:eastAsia="Calibri"/>
          <w:noProof/>
        </w:rPr>
      </w:pPr>
      <w:r>
        <w:rPr>
          <w:noProof/>
        </w:rPr>
        <w:br w:type="page"/>
      </w:r>
    </w:p>
    <w:p>
      <w:pPr>
        <w:jc w:val="right"/>
        <w:rPr>
          <w:rFonts w:eastAsia="Calibri"/>
          <w:b/>
          <w:bCs/>
          <w:noProof/>
          <w:u w:val="single"/>
        </w:rPr>
      </w:pPr>
      <w:r>
        <w:rPr>
          <w:b/>
          <w:noProof/>
          <w:u w:val="single"/>
        </w:rPr>
        <w:lastRenderedPageBreak/>
        <w:t>Apendicele 3-B-2</w:t>
      </w:r>
    </w:p>
    <w:p>
      <w:pPr>
        <w:rPr>
          <w:rFonts w:eastAsia="Calibri"/>
          <w:noProof/>
        </w:rPr>
      </w:pPr>
    </w:p>
    <w:p>
      <w:pPr>
        <w:rPr>
          <w:rFonts w:eastAsia="Calibri"/>
          <w:noProof/>
        </w:rPr>
      </w:pPr>
    </w:p>
    <w:p>
      <w:pPr>
        <w:jc w:val="center"/>
        <w:rPr>
          <w:rFonts w:eastAsia="Calibri"/>
          <w:noProof/>
        </w:rPr>
      </w:pPr>
      <w:r>
        <w:rPr>
          <w:noProof/>
        </w:rPr>
        <w:t xml:space="preserve">PRODUSE MENȚIONATE LA ARTICOLUL 3.3 ALINEATUL (2) PENTRU CARE </w:t>
      </w:r>
      <w:r>
        <w:rPr>
          <w:noProof/>
        </w:rPr>
        <w:br/>
        <w:t xml:space="preserve">MATERIALELE ORIGINARE DIN JAPONIA SAU DIN STATELE MEMBRE ALE ASEAN </w:t>
      </w:r>
      <w:r>
        <w:rPr>
          <w:noProof/>
        </w:rPr>
        <w:br/>
        <w:t>POT FI CONSIDERATE MATERIALE ORIGINARE DIN INDONEZIA</w:t>
      </w:r>
    </w:p>
    <w:p>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trPr>
          <w:cantSplit/>
          <w:tblHeader/>
        </w:trPr>
        <w:tc>
          <w:tcPr>
            <w:tcW w:w="249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Coduri SA</w:t>
            </w:r>
          </w:p>
        </w:tc>
        <w:tc>
          <w:tcPr>
            <w:tcW w:w="250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Țări cu care este posibil cumulul</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8482 10, 8482 20, 8482 80, 8482 91, 8543 70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Japonia</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8413 20, 8413 30, 8413 50, 8413 60, 8414 80, 8452 29, 8467 11, 8467 29, 8467 89, 8481 10, 8481 20, 8481 30, 8481 40, 8481 80, 8501 31, 8501 40, 8504 21, 8504 22, 8504 23, 8504 31, 8504 34, 8516 71, 8536 10, 8536 20,</w:t>
            </w:r>
          </w:p>
          <w:p>
            <w:pPr>
              <w:widowControl/>
              <w:suppressAutoHyphens/>
              <w:spacing w:before="60" w:after="60" w:line="240" w:lineRule="auto"/>
              <w:rPr>
                <w:rFonts w:ascii="Times New Roman" w:hAnsi="Times New Roman"/>
                <w:noProof/>
              </w:rPr>
            </w:pPr>
            <w:r>
              <w:rPr>
                <w:rFonts w:ascii="Times New Roman" w:hAnsi="Times New Roman"/>
                <w:noProof/>
              </w:rPr>
              <w:t>8536 41, 8536 49, 8536 61, 8536 69, 8536 70, 8536 90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Statele membre ale ASEAN</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9028</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Singapore, Vietnam</w:t>
            </w:r>
          </w:p>
        </w:tc>
      </w:tr>
    </w:tbl>
    <w:p>
      <w:pPr>
        <w:rPr>
          <w:noProof/>
        </w:rPr>
      </w:pPr>
    </w:p>
    <w:p>
      <w:pPr>
        <w:rPr>
          <w:noProof/>
        </w:rPr>
      </w:pPr>
    </w:p>
    <w:p>
      <w:pPr>
        <w:jc w:val="center"/>
        <w:rPr>
          <w:noProof/>
        </w:rPr>
      </w:pPr>
      <w:r>
        <w:rPr>
          <w:noProof/>
        </w:rPr>
        <w:t>________________</w:t>
      </w: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3-C</w:t>
      </w:r>
    </w:p>
    <w:p>
      <w:pPr>
        <w:rPr>
          <w:noProof/>
        </w:rPr>
      </w:pPr>
    </w:p>
    <w:p>
      <w:pPr>
        <w:rPr>
          <w:noProof/>
        </w:rPr>
      </w:pPr>
    </w:p>
    <w:p>
      <w:pPr>
        <w:jc w:val="center"/>
        <w:rPr>
          <w:noProof/>
        </w:rPr>
      </w:pPr>
      <w:r>
        <w:rPr>
          <w:noProof/>
        </w:rPr>
        <w:t>TEXTUL ATESTATULUI DE ORIGINE</w:t>
      </w:r>
    </w:p>
    <w:p>
      <w:pPr>
        <w:rPr>
          <w:rFonts w:eastAsia="MS Mincho"/>
          <w:noProof/>
        </w:rPr>
      </w:pPr>
    </w:p>
    <w:p>
      <w:pPr>
        <w:rPr>
          <w:rFonts w:eastAsia="MS Mincho"/>
          <w:noProof/>
        </w:rPr>
      </w:pPr>
      <w:r>
        <w:rPr>
          <w:noProof/>
        </w:rPr>
        <w:t>Atestatul de origine trebuie întocmit în conformitate cu notele de subsol din prezenta anexă. Nu este necesar ca notele de subsol să fie reproduse.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Textul atestatului de origine în limba bulgară:</w:t>
      </w:r>
    </w:p>
    <w:p>
      <w:pPr>
        <w:rPr>
          <w:rFonts w:eastAsia="MS Mincho"/>
          <w:noProof/>
        </w:rPr>
      </w:pPr>
    </w:p>
    <w:p>
      <w:pPr>
        <w:rPr>
          <w:rFonts w:eastAsia="MS Mincho"/>
          <w:noProof/>
        </w:rPr>
      </w:pPr>
      <w:r>
        <w:rPr>
          <w:noProof/>
        </w:rPr>
        <w:t>Текст на изявлението за произход на български език:</w:t>
      </w:r>
    </w:p>
    <w:p>
      <w:pPr>
        <w:rPr>
          <w:rFonts w:eastAsia="MS Mincho"/>
          <w:noProof/>
        </w:rPr>
      </w:pPr>
    </w:p>
    <w:p>
      <w:pPr>
        <w:rPr>
          <w:rFonts w:eastAsia="MS Mincho"/>
          <w:noProof/>
        </w:rPr>
      </w:pPr>
      <w:r>
        <w:rPr>
          <w:noProof/>
        </w:rPr>
        <w:t xml:space="preserve">(Период: от___________ до __________ </w:t>
      </w:r>
      <w:r>
        <w:rPr>
          <w:b/>
          <w:noProof/>
          <w:vertAlign w:val="superscript"/>
        </w:rPr>
        <w:t>(1)</w:t>
      </w:r>
      <w:r>
        <w:rPr>
          <w:noProof/>
        </w:rPr>
        <w:t>)</w:t>
      </w:r>
    </w:p>
    <w:p>
      <w:pPr>
        <w:rPr>
          <w:rFonts w:eastAsia="MS Mincho"/>
          <w:noProof/>
        </w:rPr>
      </w:pPr>
    </w:p>
    <w:p>
      <w:pPr>
        <w:rPr>
          <w:rFonts w:eastAsia="MS Mincho"/>
          <w:noProof/>
        </w:rPr>
      </w:pPr>
      <w:r>
        <w:rPr>
          <w:noProof/>
        </w:rPr>
        <w:t xml:space="preserve">Износителят на продуктите, обхванати от настоящия документ (референтен № на износител … </w:t>
      </w:r>
      <w:r>
        <w:rPr>
          <w:b/>
          <w:noProof/>
          <w:vertAlign w:val="superscript"/>
        </w:rPr>
        <w:t>(2)</w:t>
      </w:r>
      <w:r>
        <w:rPr>
          <w:noProof/>
        </w:rPr>
        <w:t xml:space="preserve">), декларира, че освен когато ясно е посочено друго, тези продукти са с преференциален произход от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(място и дата)</w:t>
      </w:r>
    </w:p>
    <w:p>
      <w:pPr>
        <w:tabs>
          <w:tab w:val="right" w:leader="dot" w:pos="9356"/>
        </w:tabs>
        <w:rPr>
          <w:rFonts w:eastAsia="MS Mincho"/>
          <w:noProof/>
        </w:rPr>
      </w:pPr>
      <w:r>
        <w:rPr>
          <w:noProof/>
        </w:rPr>
        <w:tab/>
      </w:r>
    </w:p>
    <w:p>
      <w:pPr>
        <w:jc w:val="center"/>
        <w:rPr>
          <w:rFonts w:eastAsia="MS Mincho"/>
          <w:noProof/>
        </w:rPr>
      </w:pPr>
      <w:r>
        <w:rPr>
          <w:noProof/>
        </w:rPr>
        <w:t>(име с печатни букви и подпис</w:t>
      </w:r>
      <w:r>
        <w:rPr>
          <w:b/>
          <w:noProof/>
          <w:vertAlign w:val="superscript"/>
        </w:rPr>
        <w:t>(5)</w:t>
      </w:r>
      <w:r>
        <w:rPr>
          <w:noProof/>
        </w:rPr>
        <w:t xml:space="preserve"> на износителя)</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pPr>
        <w:spacing w:line="240" w:lineRule="auto"/>
        <w:ind w:left="567" w:hanging="567"/>
        <w:rPr>
          <w:rFonts w:eastAsia="MS Mincho"/>
          <w:noProof/>
        </w:rPr>
      </w:pPr>
      <w:r>
        <w:rPr>
          <w:b/>
          <w:noProof/>
          <w:vertAlign w:val="superscript"/>
        </w:rPr>
        <w:t>(2)</w:t>
      </w:r>
      <w:r>
        <w:rPr>
          <w:noProof/>
        </w:rPr>
        <w:tab/>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pPr>
        <w:spacing w:line="240" w:lineRule="auto"/>
        <w:ind w:left="567" w:hanging="567"/>
        <w:rPr>
          <w:rFonts w:eastAsia="MS Mincho"/>
          <w:noProof/>
        </w:rPr>
      </w:pPr>
      <w:r>
        <w:rPr>
          <w:b/>
          <w:noProof/>
          <w:vertAlign w:val="superscript"/>
        </w:rPr>
        <w:t>(3)</w:t>
      </w:r>
      <w:r>
        <w:rPr>
          <w:noProof/>
        </w:rPr>
        <w:tab/>
        <w:t>Посочва се произходът на продукта: Индонезия, Европейския съюз или ЕС.</w:t>
      </w:r>
    </w:p>
    <w:p>
      <w:pPr>
        <w:spacing w:line="240" w:lineRule="auto"/>
        <w:ind w:left="567" w:hanging="567"/>
        <w:rPr>
          <w:rFonts w:eastAsia="MS Mincho"/>
          <w:noProof/>
        </w:rPr>
      </w:pPr>
      <w:r>
        <w:rPr>
          <w:b/>
          <w:noProof/>
          <w:vertAlign w:val="superscript"/>
        </w:rPr>
        <w:t>(4)</w:t>
      </w:r>
      <w:r>
        <w:rPr>
          <w:noProof/>
        </w:rPr>
        <w:tab/>
        <w:t>Мястото и датата може да се пропуснат, ако информацията се съдържа в самия документ.</w:t>
      </w:r>
    </w:p>
    <w:p>
      <w:pPr>
        <w:spacing w:line="240" w:lineRule="auto"/>
        <w:ind w:left="567" w:hanging="567"/>
        <w:rPr>
          <w:noProof/>
        </w:rPr>
      </w:pPr>
      <w:r>
        <w:rPr>
          <w:b/>
          <w:noProof/>
          <w:vertAlign w:val="superscript"/>
        </w:rPr>
        <w:t>(5)</w:t>
      </w:r>
      <w:r>
        <w:rPr>
          <w:noProof/>
        </w:rPr>
        <w:tab/>
        <w:t>Ако на износителя е определен номер, от него не се изисква да подписва изявлението за произход.</w:t>
      </w:r>
    </w:p>
    <w:p>
      <w:pPr>
        <w:spacing w:line="240" w:lineRule="auto"/>
        <w:ind w:left="567" w:hanging="567"/>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croată:</w:t>
      </w:r>
    </w:p>
    <w:p>
      <w:pPr>
        <w:rPr>
          <w:rFonts w:eastAsia="MS Mincho"/>
          <w:noProof/>
        </w:rPr>
      </w:pPr>
    </w:p>
    <w:p>
      <w:pPr>
        <w:rPr>
          <w:rFonts w:eastAsia="MS Mincho"/>
          <w:noProof/>
        </w:rPr>
      </w:pPr>
      <w:r>
        <w:rPr>
          <w:noProof/>
        </w:rPr>
        <w:t>Tekst tvrdnje o podrijetlu na hrvatskom:</w:t>
      </w:r>
    </w:p>
    <w:p>
      <w:pPr>
        <w:rPr>
          <w:rFonts w:eastAsia="MS Mincho"/>
          <w:noProof/>
        </w:rPr>
      </w:pPr>
    </w:p>
    <w:p>
      <w:pPr>
        <w:rPr>
          <w:rFonts w:eastAsia="MS Mincho"/>
          <w:noProof/>
        </w:rPr>
      </w:pPr>
      <w:r>
        <w:rPr>
          <w:noProof/>
        </w:rPr>
        <w:t xml:space="preserve">(Razdoblje: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Izvoznik proizvoda obuhvaćenih ovom ispravom (referentni broj izvoznika … </w:t>
      </w:r>
      <w:r>
        <w:rPr>
          <w:b/>
          <w:noProof/>
          <w:vertAlign w:val="superscript"/>
        </w:rPr>
        <w:t>(2)</w:t>
      </w:r>
      <w:r>
        <w:rPr>
          <w:noProof/>
        </w:rPr>
        <w:t xml:space="preserve">) izjavljuje da su, osim ako je drukčije jasno navedeno, ti proizvodi … </w:t>
      </w:r>
      <w:r>
        <w:rPr>
          <w:b/>
          <w:noProof/>
          <w:vertAlign w:val="superscript"/>
        </w:rPr>
        <w:t>(3)</w:t>
      </w:r>
      <w:r>
        <w:rPr>
          <w:noProof/>
        </w:rPr>
        <w:t xml:space="preserve"> povlaštenog podrijetla.</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(Mjesto i datum)</w:t>
      </w:r>
    </w:p>
    <w:p>
      <w:pPr>
        <w:tabs>
          <w:tab w:val="right" w:leader="dot" w:pos="9356"/>
        </w:tabs>
        <w:rPr>
          <w:rFonts w:eastAsia="MS Mincho"/>
          <w:noProof/>
        </w:rPr>
      </w:pPr>
      <w:r>
        <w:rPr>
          <w:noProof/>
        </w:rPr>
        <w:tab/>
      </w:r>
    </w:p>
    <w:p>
      <w:pPr>
        <w:jc w:val="center"/>
        <w:rPr>
          <w:rFonts w:eastAsia="MS Mincho"/>
          <w:noProof/>
        </w:rPr>
      </w:pPr>
      <w:r>
        <w:rPr>
          <w:noProof/>
        </w:rPr>
        <w:t>(Ispisano ime i potpis</w:t>
      </w:r>
      <w:r>
        <w:rPr>
          <w:b/>
          <w:noProof/>
          <w:vertAlign w:val="superscript"/>
        </w:rPr>
        <w:t>(5)</w:t>
      </w:r>
      <w:r>
        <w:rPr>
          <w:noProof/>
        </w:rPr>
        <w:t xml:space="preserve"> izvoznika)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pPr>
        <w:spacing w:line="240" w:lineRule="auto"/>
        <w:ind w:left="567" w:hanging="567"/>
        <w:rPr>
          <w:rFonts w:eastAsia="MS Mincho"/>
          <w:noProof/>
        </w:rPr>
      </w:pPr>
      <w:r>
        <w:rPr>
          <w:b/>
          <w:noProof/>
          <w:vertAlign w:val="superscript"/>
        </w:rPr>
        <w:t>(2)</w:t>
      </w:r>
      <w:r>
        <w:rPr>
          <w:noProof/>
        </w:rPr>
        <w:tab/>
        <w:t>Navesti referentni broj za identifikaciju izvoznika. 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pPr>
        <w:spacing w:line="240" w:lineRule="auto"/>
        <w:ind w:left="567" w:hanging="567"/>
        <w:rPr>
          <w:rFonts w:eastAsia="MS Mincho"/>
          <w:noProof/>
        </w:rPr>
      </w:pPr>
      <w:r>
        <w:rPr>
          <w:b/>
          <w:noProof/>
          <w:vertAlign w:val="superscript"/>
        </w:rPr>
        <w:t>(3)</w:t>
      </w:r>
      <w:r>
        <w:rPr>
          <w:noProof/>
        </w:rPr>
        <w:tab/>
        <w:t>Navesti podrijetlo proizvoda: Indonezija ili Europska unija ili EU.</w:t>
      </w:r>
    </w:p>
    <w:p>
      <w:pPr>
        <w:spacing w:line="240" w:lineRule="auto"/>
        <w:ind w:left="567" w:hanging="567"/>
        <w:rPr>
          <w:rFonts w:eastAsia="MS Mincho"/>
          <w:noProof/>
        </w:rPr>
      </w:pPr>
      <w:r>
        <w:rPr>
          <w:b/>
          <w:noProof/>
          <w:vertAlign w:val="superscript"/>
        </w:rPr>
        <w:t>(4)</w:t>
      </w:r>
      <w:r>
        <w:rPr>
          <w:noProof/>
        </w:rPr>
        <w:tab/>
        <w:t>Mjesto i datum mogu se izostaviti ako su te informacije sadržane u samoj ispravi.</w:t>
      </w:r>
    </w:p>
    <w:p>
      <w:pPr>
        <w:spacing w:line="240" w:lineRule="auto"/>
        <w:ind w:left="567" w:hanging="567"/>
        <w:rPr>
          <w:rFonts w:eastAsia="MS Mincho"/>
          <w:noProof/>
        </w:rPr>
      </w:pPr>
      <w:r>
        <w:rPr>
          <w:b/>
          <w:noProof/>
          <w:vertAlign w:val="superscript"/>
        </w:rPr>
        <w:t>(5)</w:t>
      </w:r>
      <w:r>
        <w:rPr>
          <w:noProof/>
        </w:rPr>
        <w:tab/>
        <w:t>Ako je izvozniku dodijeljen broj, on ne mora potpisati tvrdnju o podrijetlu.</w:t>
      </w:r>
    </w:p>
    <w:p>
      <w:pPr>
        <w:spacing w:line="240" w:lineRule="auto"/>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cehă:</w:t>
      </w:r>
    </w:p>
    <w:p>
      <w:pPr>
        <w:rPr>
          <w:rFonts w:eastAsia="MS Mincho"/>
          <w:noProof/>
        </w:rPr>
      </w:pPr>
    </w:p>
    <w:p>
      <w:pPr>
        <w:rPr>
          <w:rFonts w:eastAsia="MS Mincho"/>
          <w:noProof/>
        </w:rPr>
      </w:pPr>
      <w:r>
        <w:rPr>
          <w:noProof/>
        </w:rPr>
        <w:t>České znění deklarace o původu:</w:t>
      </w:r>
    </w:p>
    <w:p>
      <w:pPr>
        <w:rPr>
          <w:rFonts w:eastAsia="MS Mincho"/>
          <w:noProof/>
        </w:rPr>
      </w:pPr>
    </w:p>
    <w:p>
      <w:pPr>
        <w:rPr>
          <w:rFonts w:eastAsia="MS Mincho"/>
          <w:noProof/>
        </w:rPr>
      </w:pPr>
      <w:r>
        <w:rPr>
          <w:noProof/>
        </w:rPr>
        <w:t xml:space="preserve">(Období: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Vývozce produktů, na které se vztahuje tento doklad (referenční č. vývozce … </w:t>
      </w:r>
      <w:r>
        <w:rPr>
          <w:b/>
          <w:noProof/>
          <w:vertAlign w:val="superscript"/>
        </w:rPr>
        <w:t>(2)</w:t>
      </w:r>
      <w:r>
        <w:rPr>
          <w:noProof/>
        </w:rPr>
        <w:t xml:space="preserve">) prohlašuje, že pokud není zřetelně uvedeno jinak, jsou tyto produkty preferenčního původu z/ze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(Místo a datum)</w:t>
      </w:r>
    </w:p>
    <w:p>
      <w:pPr>
        <w:tabs>
          <w:tab w:val="right" w:leader="dot" w:pos="9356"/>
        </w:tabs>
        <w:rPr>
          <w:rFonts w:eastAsia="MS Mincho"/>
          <w:noProof/>
        </w:rPr>
      </w:pPr>
      <w:r>
        <w:rPr>
          <w:noProof/>
        </w:rPr>
        <w:tab/>
      </w:r>
    </w:p>
    <w:p>
      <w:pPr>
        <w:jc w:val="center"/>
        <w:rPr>
          <w:rFonts w:eastAsia="MS Mincho"/>
          <w:noProof/>
        </w:rPr>
      </w:pPr>
      <w:r>
        <w:rPr>
          <w:noProof/>
        </w:rPr>
        <w:t xml:space="preserve">(Jméno vývozce tiskacím písmem a jeho podpis </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pPr>
        <w:spacing w:line="240" w:lineRule="auto"/>
        <w:ind w:left="567" w:hanging="567"/>
        <w:rPr>
          <w:rFonts w:eastAsia="MS Mincho"/>
          <w:noProof/>
        </w:rPr>
      </w:pPr>
      <w:r>
        <w:rPr>
          <w:b/>
          <w:noProof/>
          <w:vertAlign w:val="superscript"/>
        </w:rPr>
        <w:t>(2)</w:t>
      </w:r>
      <w:r>
        <w:rPr>
          <w:noProof/>
        </w:rPr>
        <w:tab/>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pPr>
        <w:spacing w:line="240" w:lineRule="auto"/>
        <w:ind w:left="567" w:hanging="567"/>
        <w:rPr>
          <w:rFonts w:eastAsia="MS Mincho"/>
          <w:noProof/>
        </w:rPr>
      </w:pPr>
      <w:r>
        <w:rPr>
          <w:b/>
          <w:noProof/>
          <w:vertAlign w:val="superscript"/>
        </w:rPr>
        <w:t>(3)</w:t>
      </w:r>
      <w:r>
        <w:rPr>
          <w:noProof/>
        </w:rPr>
        <w:tab/>
        <w:t>Uveďte původ produktu: Indonésie nebo Evropská unie nebo EU.</w:t>
      </w:r>
    </w:p>
    <w:p>
      <w:pPr>
        <w:spacing w:line="240" w:lineRule="auto"/>
        <w:ind w:left="567" w:hanging="567"/>
        <w:rPr>
          <w:rFonts w:eastAsia="MS Mincho"/>
          <w:noProof/>
        </w:rPr>
      </w:pPr>
      <w:r>
        <w:rPr>
          <w:b/>
          <w:noProof/>
          <w:vertAlign w:val="superscript"/>
        </w:rPr>
        <w:t>(4)</w:t>
      </w:r>
      <w:r>
        <w:rPr>
          <w:noProof/>
        </w:rPr>
        <w:tab/>
        <w:t>Místo a datum se mohou vynechat, jsou-li tyto informace již uvedeny na samotném dokladu.</w:t>
      </w:r>
    </w:p>
    <w:p>
      <w:pPr>
        <w:spacing w:line="240" w:lineRule="auto"/>
        <w:ind w:left="567" w:hanging="567"/>
        <w:rPr>
          <w:rFonts w:eastAsia="MS Mincho"/>
          <w:noProof/>
        </w:rPr>
      </w:pPr>
      <w:r>
        <w:rPr>
          <w:b/>
          <w:noProof/>
          <w:vertAlign w:val="superscript"/>
        </w:rPr>
        <w:t>(5)</w:t>
      </w:r>
      <w:r>
        <w:rPr>
          <w:noProof/>
        </w:rPr>
        <w:tab/>
        <w:t>Pokud vývozce má přiřazené číslo, není povinen podepisovat deklaraci o původu.</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daneză:</w:t>
      </w:r>
    </w:p>
    <w:p>
      <w:pPr>
        <w:rPr>
          <w:rFonts w:eastAsia="MS Mincho"/>
          <w:noProof/>
        </w:rPr>
      </w:pPr>
    </w:p>
    <w:p>
      <w:pPr>
        <w:rPr>
          <w:rFonts w:eastAsia="MS Mincho"/>
          <w:noProof/>
        </w:rPr>
      </w:pPr>
      <w:r>
        <w:rPr>
          <w:noProof/>
        </w:rPr>
        <w:t>Oprindelseserklæringens ordlyd på dansk:</w:t>
      </w:r>
    </w:p>
    <w:p>
      <w:pPr>
        <w:rPr>
          <w:rFonts w:eastAsia="MS Mincho"/>
          <w:noProof/>
        </w:rPr>
      </w:pPr>
    </w:p>
    <w:p>
      <w:pPr>
        <w:rPr>
          <w:rFonts w:eastAsia="MS Mincho"/>
          <w:noProof/>
        </w:rPr>
      </w:pPr>
      <w:r>
        <w:rPr>
          <w:noProof/>
        </w:rPr>
        <w:t xml:space="preserve">(Periode: fra den___________ til den__________ </w:t>
      </w:r>
      <w:r>
        <w:rPr>
          <w:b/>
          <w:noProof/>
          <w:vertAlign w:val="superscript"/>
        </w:rPr>
        <w:t>(1)</w:t>
      </w:r>
      <w:r>
        <w:rPr>
          <w:noProof/>
        </w:rPr>
        <w:t>)</w:t>
      </w:r>
    </w:p>
    <w:p>
      <w:pPr>
        <w:rPr>
          <w:rFonts w:eastAsia="MS Mincho"/>
          <w:noProof/>
        </w:rPr>
      </w:pPr>
    </w:p>
    <w:p>
      <w:pPr>
        <w:rPr>
          <w:rFonts w:eastAsia="MS Mincho"/>
          <w:noProof/>
        </w:rPr>
      </w:pPr>
      <w:r>
        <w:rPr>
          <w:noProof/>
        </w:rPr>
        <w:t xml:space="preserve">Eksportøren af de produkter, der er omfattet af dette dokument (eksportørreferencenummer … </w:t>
      </w:r>
      <w:r>
        <w:rPr>
          <w:b/>
          <w:noProof/>
          <w:vertAlign w:val="superscript"/>
        </w:rPr>
        <w:t>(2)</w:t>
      </w:r>
      <w:r>
        <w:rPr>
          <w:noProof/>
        </w:rPr>
        <w:t xml:space="preserve">), erklærer, at disse produkter, medmindre andet klart er angivet, er af … </w:t>
      </w:r>
      <w:r>
        <w:rPr>
          <w:b/>
          <w:noProof/>
          <w:vertAlign w:val="superscript"/>
        </w:rPr>
        <w:t>(3)</w:t>
      </w:r>
      <w:r>
        <w:rPr>
          <w:noProof/>
        </w:rPr>
        <w:t xml:space="preserve"> præferenceoprindelse.</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(Sted og dato)</w:t>
      </w:r>
    </w:p>
    <w:p>
      <w:pPr>
        <w:tabs>
          <w:tab w:val="right" w:leader="dot" w:pos="9356"/>
        </w:tabs>
        <w:rPr>
          <w:rFonts w:eastAsia="MS Mincho"/>
          <w:noProof/>
        </w:rPr>
      </w:pPr>
      <w:r>
        <w:rPr>
          <w:noProof/>
        </w:rPr>
        <w:tab/>
      </w:r>
    </w:p>
    <w:p>
      <w:pPr>
        <w:jc w:val="center"/>
        <w:rPr>
          <w:rFonts w:eastAsia="MS Mincho"/>
          <w:noProof/>
        </w:rPr>
      </w:pPr>
      <w:r>
        <w:rPr>
          <w:noProof/>
        </w:rPr>
        <w:t>(Eksportørens navn med blokbogstaver og underskrift</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pPr>
        <w:spacing w:line="240" w:lineRule="auto"/>
        <w:ind w:left="567" w:hanging="567"/>
        <w:rPr>
          <w:rFonts w:eastAsia="MS Mincho"/>
          <w:noProof/>
        </w:rPr>
      </w:pPr>
      <w:r>
        <w:rPr>
          <w:b/>
          <w:noProof/>
          <w:vertAlign w:val="superscript"/>
        </w:rPr>
        <w:t>(2)</w:t>
      </w:r>
      <w:r>
        <w:rPr>
          <w:noProof/>
        </w:rPr>
        <w:tab/>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pPr>
        <w:spacing w:line="240" w:lineRule="auto"/>
        <w:ind w:left="567" w:hanging="567"/>
        <w:rPr>
          <w:rFonts w:eastAsia="MS Mincho"/>
          <w:noProof/>
        </w:rPr>
      </w:pPr>
      <w:r>
        <w:rPr>
          <w:b/>
          <w:noProof/>
          <w:vertAlign w:val="superscript"/>
        </w:rPr>
        <w:t>(3)</w:t>
      </w:r>
      <w:r>
        <w:rPr>
          <w:noProof/>
        </w:rPr>
        <w:tab/>
        <w:t>Angiv produktets oprindelse: Indonesien eller Den Europæiske Union eller EU.</w:t>
      </w:r>
    </w:p>
    <w:p>
      <w:pPr>
        <w:spacing w:line="240" w:lineRule="auto"/>
        <w:ind w:left="567" w:hanging="567"/>
        <w:rPr>
          <w:rFonts w:eastAsia="MS Mincho"/>
          <w:noProof/>
        </w:rPr>
      </w:pPr>
      <w:r>
        <w:rPr>
          <w:b/>
          <w:noProof/>
          <w:vertAlign w:val="superscript"/>
        </w:rPr>
        <w:t>(4)</w:t>
      </w:r>
      <w:r>
        <w:rPr>
          <w:noProof/>
        </w:rPr>
        <w:tab/>
        <w:t>Sted og dato kan udelades, hvis de pågældende oplysninger findes i selve dokumentet.</w:t>
      </w:r>
    </w:p>
    <w:p>
      <w:pPr>
        <w:spacing w:line="240" w:lineRule="auto"/>
        <w:ind w:left="567" w:hanging="567"/>
        <w:rPr>
          <w:rFonts w:eastAsia="MS Mincho"/>
          <w:noProof/>
        </w:rPr>
      </w:pPr>
      <w:r>
        <w:rPr>
          <w:b/>
          <w:noProof/>
          <w:vertAlign w:val="superscript"/>
        </w:rPr>
        <w:t>(5)</w:t>
      </w:r>
      <w:r>
        <w:rPr>
          <w:noProof/>
        </w:rPr>
        <w:tab/>
        <w:t>Hvis eksportøren har fået tildelt et nummer, er vedkommende ikke forpligtet til at underskrive oprindelseserklæringen.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neerlandeză:</w:t>
      </w:r>
    </w:p>
    <w:p>
      <w:pPr>
        <w:rPr>
          <w:rFonts w:eastAsia="MS Mincho"/>
          <w:noProof/>
        </w:rPr>
      </w:pPr>
    </w:p>
    <w:p>
      <w:pPr>
        <w:rPr>
          <w:rFonts w:eastAsia="MS Mincho"/>
          <w:noProof/>
        </w:rPr>
      </w:pPr>
      <w:r>
        <w:rPr>
          <w:noProof/>
        </w:rPr>
        <w:t>Tekst van het attest van oorsprong in het Nederlands:</w:t>
      </w:r>
    </w:p>
    <w:p>
      <w:pPr>
        <w:rPr>
          <w:rFonts w:eastAsia="MS Mincho"/>
          <w:noProof/>
        </w:rPr>
      </w:pPr>
    </w:p>
    <w:p>
      <w:pPr>
        <w:rPr>
          <w:rFonts w:eastAsia="MS Mincho"/>
          <w:noProof/>
        </w:rPr>
      </w:pPr>
      <w:r>
        <w:rPr>
          <w:noProof/>
        </w:rPr>
        <w:t xml:space="preserve">(Periode: van ___________ tot en met __________ </w:t>
      </w:r>
      <w:r>
        <w:rPr>
          <w:b/>
          <w:noProof/>
          <w:vertAlign w:val="superscript"/>
        </w:rPr>
        <w:t>(1)</w:t>
      </w:r>
      <w:r>
        <w:rPr>
          <w:noProof/>
        </w:rPr>
        <w:t>)</w:t>
      </w:r>
    </w:p>
    <w:p>
      <w:pPr>
        <w:rPr>
          <w:rFonts w:eastAsia="MS Mincho"/>
          <w:noProof/>
        </w:rPr>
      </w:pPr>
    </w:p>
    <w:p>
      <w:pPr>
        <w:rPr>
          <w:rFonts w:eastAsia="MS Mincho"/>
          <w:noProof/>
        </w:rPr>
      </w:pPr>
      <w:r>
        <w:rPr>
          <w:noProof/>
        </w:rPr>
        <w:t>De exporteur van de producten waarop dit document betrekking heeft (referentienummer exporteur …</w:t>
      </w:r>
      <w:r>
        <w:rPr>
          <w:b/>
          <w:noProof/>
          <w:vertAlign w:val="superscript"/>
        </w:rPr>
        <w:t>(2)</w:t>
      </w:r>
      <w:r>
        <w:rPr>
          <w:noProof/>
        </w:rPr>
        <w:t>) verklaart dat, tenzij duidelijk anders vermeld, deze producten van preferentiële oorsprong uit …</w:t>
      </w:r>
      <w:r>
        <w:rPr>
          <w:b/>
          <w:noProof/>
          <w:vertAlign w:val="superscript"/>
        </w:rPr>
        <w:t>(3)</w:t>
      </w:r>
      <w:r>
        <w:rPr>
          <w:noProof/>
        </w:rPr>
        <w:t xml:space="preserve"> zijn.</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(Plaats en datum)</w:t>
      </w:r>
    </w:p>
    <w:p>
      <w:pPr>
        <w:tabs>
          <w:tab w:val="right" w:leader="dot" w:pos="9356"/>
        </w:tabs>
        <w:rPr>
          <w:rFonts w:eastAsia="MS Mincho"/>
          <w:noProof/>
        </w:rPr>
      </w:pPr>
      <w:r>
        <w:rPr>
          <w:noProof/>
        </w:rPr>
        <w:tab/>
      </w:r>
    </w:p>
    <w:p>
      <w:pPr>
        <w:jc w:val="center"/>
        <w:rPr>
          <w:rFonts w:eastAsia="MS Mincho"/>
          <w:noProof/>
        </w:rPr>
      </w:pPr>
      <w:r>
        <w:rPr>
          <w:noProof/>
        </w:rPr>
        <w:t xml:space="preserve">(Naam in blokletters en handtekening </w:t>
      </w:r>
      <w:r>
        <w:rPr>
          <w:b/>
          <w:noProof/>
          <w:vertAlign w:val="superscript"/>
        </w:rPr>
        <w:t>(5)</w:t>
      </w:r>
      <w:r>
        <w:rPr>
          <w:noProof/>
        </w:rPr>
        <w:t xml:space="preserve"> van de exporteur)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pPr>
        <w:spacing w:line="240" w:lineRule="auto"/>
        <w:ind w:left="567" w:hanging="567"/>
        <w:rPr>
          <w:rFonts w:eastAsia="MS Mincho"/>
          <w:noProof/>
        </w:rPr>
      </w:pPr>
      <w:r>
        <w:rPr>
          <w:b/>
          <w:noProof/>
          <w:vertAlign w:val="superscript"/>
        </w:rPr>
        <w:t>(2)</w:t>
      </w:r>
      <w:r>
        <w:rPr>
          <w:noProof/>
        </w:rPr>
        <w:tab/>
        <w:t>Vermeld het referentienummer aan de hand waarvan de exporteur kan worden geïdentificeerd. 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pPr>
        <w:spacing w:line="240" w:lineRule="auto"/>
        <w:ind w:left="567" w:hanging="567"/>
        <w:rPr>
          <w:rFonts w:eastAsia="MS Mincho"/>
          <w:noProof/>
        </w:rPr>
      </w:pPr>
      <w:r>
        <w:rPr>
          <w:b/>
          <w:noProof/>
          <w:vertAlign w:val="superscript"/>
        </w:rPr>
        <w:t>(3)</w:t>
      </w:r>
      <w:r>
        <w:rPr>
          <w:noProof/>
        </w:rPr>
        <w:tab/>
        <w:t>Vermeld de oorsprong van het product: Indonesië of de Europese Unie (EU).</w:t>
      </w:r>
    </w:p>
    <w:p>
      <w:pPr>
        <w:spacing w:line="240" w:lineRule="auto"/>
        <w:ind w:left="567" w:hanging="567"/>
        <w:rPr>
          <w:rFonts w:eastAsia="MS Mincho"/>
          <w:noProof/>
        </w:rPr>
      </w:pPr>
      <w:r>
        <w:rPr>
          <w:b/>
          <w:noProof/>
          <w:vertAlign w:val="superscript"/>
        </w:rPr>
        <w:t>(4)</w:t>
      </w:r>
      <w:r>
        <w:rPr>
          <w:noProof/>
        </w:rPr>
        <w:tab/>
        <w:t>Plaats en datum kunnen achterwege blijven indien de informatie op het document zelf is aangegeven.</w:t>
      </w:r>
    </w:p>
    <w:p>
      <w:pPr>
        <w:spacing w:line="240" w:lineRule="auto"/>
        <w:ind w:left="567" w:hanging="567"/>
        <w:rPr>
          <w:rFonts w:eastAsia="MS Mincho"/>
          <w:noProof/>
        </w:rPr>
      </w:pPr>
      <w:r>
        <w:rPr>
          <w:b/>
          <w:noProof/>
          <w:vertAlign w:val="superscript"/>
        </w:rPr>
        <w:t>(5)</w:t>
      </w:r>
      <w:r>
        <w:rPr>
          <w:noProof/>
        </w:rPr>
        <w:tab/>
        <w:t>Indien aan de exporteur een nummer is toegekend, hoeft die exporteur het attest van oorsprong niet te ondertekenen.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engleză:</w:t>
      </w:r>
    </w:p>
    <w:p>
      <w:pPr>
        <w:rPr>
          <w:rFonts w:eastAsia="MS Mincho"/>
          <w:noProof/>
        </w:rPr>
      </w:pPr>
    </w:p>
    <w:p>
      <w:pPr>
        <w:rPr>
          <w:rFonts w:eastAsia="MS Mincho"/>
          <w:noProof/>
        </w:rPr>
      </w:pPr>
      <w:r>
        <w:rPr>
          <w:noProof/>
        </w:rPr>
        <w:t xml:space="preserve">(Period: from___________ to __________ </w:t>
      </w:r>
      <w:r>
        <w:rPr>
          <w:b/>
          <w:noProof/>
          <w:vertAlign w:val="superscript"/>
        </w:rPr>
        <w:t>(1)</w:t>
      </w:r>
      <w:r>
        <w:rPr>
          <w:noProof/>
        </w:rPr>
        <w:t>)</w:t>
      </w:r>
    </w:p>
    <w:p>
      <w:pPr>
        <w:rPr>
          <w:rFonts w:eastAsia="MS Mincho"/>
          <w:noProof/>
        </w:rPr>
      </w:pPr>
    </w:p>
    <w:p>
      <w:pPr>
        <w:rPr>
          <w:rFonts w:eastAsia="MS Mincho"/>
          <w:noProof/>
        </w:rPr>
      </w:pPr>
      <w:bookmarkStart w:id="17" w:name="_Hlk229588307"/>
      <w:r>
        <w:rPr>
          <w:noProof/>
        </w:rPr>
        <w:t xml:space="preserve">The exporter of the products covered by this document (Exporter Reference No … </w:t>
      </w:r>
      <w:r>
        <w:rPr>
          <w:b/>
          <w:noProof/>
          <w:vertAlign w:val="superscript"/>
        </w:rPr>
        <w:t>(2)</w:t>
      </w:r>
      <w:r>
        <w:rPr>
          <w:noProof/>
        </w:rPr>
        <w:t xml:space="preserve">) declares that, except where otherwise clearly indicated, these products are of … </w:t>
      </w:r>
      <w:r>
        <w:rPr>
          <w:b/>
          <w:noProof/>
          <w:vertAlign w:val="superscript"/>
        </w:rPr>
        <w:t>(3)</w:t>
      </w:r>
      <w:r>
        <w:rPr>
          <w:noProof/>
        </w:rPr>
        <w:t xml:space="preserve"> preferential origin.</w:t>
      </w:r>
    </w:p>
    <w:bookmarkEnd w:id="17"/>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(Place and date)</w:t>
      </w:r>
    </w:p>
    <w:p>
      <w:pPr>
        <w:tabs>
          <w:tab w:val="right" w:leader="dot" w:pos="9356"/>
        </w:tabs>
        <w:rPr>
          <w:rFonts w:eastAsia="MS Mincho"/>
          <w:noProof/>
        </w:rPr>
      </w:pPr>
      <w:r>
        <w:rPr>
          <w:noProof/>
        </w:rPr>
        <w:tab/>
      </w:r>
    </w:p>
    <w:p>
      <w:pPr>
        <w:jc w:val="center"/>
        <w:rPr>
          <w:rFonts w:eastAsia="MS Mincho"/>
          <w:noProof/>
        </w:rPr>
      </w:pPr>
      <w:r>
        <w:rPr>
          <w:noProof/>
        </w:rPr>
        <w:t>(Printed name and signature</w:t>
      </w:r>
      <w:r>
        <w:rPr>
          <w:b/>
          <w:noProof/>
          <w:vertAlign w:val="superscript"/>
        </w:rPr>
        <w:t>(5)</w:t>
      </w:r>
      <w:r>
        <w:rPr>
          <w:noProof/>
        </w:rPr>
        <w:t xml:space="preserve"> of the exporter)</w:t>
      </w:r>
    </w:p>
    <w:p>
      <w:pPr>
        <w:rPr>
          <w:rFonts w:eastAsia="Batang"/>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pPr>
        <w:spacing w:line="240" w:lineRule="auto"/>
        <w:ind w:left="567" w:hanging="567"/>
        <w:rPr>
          <w:rFonts w:eastAsia="MS Mincho"/>
          <w:noProof/>
        </w:rPr>
      </w:pPr>
      <w:r>
        <w:rPr>
          <w:b/>
          <w:noProof/>
          <w:vertAlign w:val="superscript"/>
        </w:rPr>
        <w:t>(2)</w:t>
      </w:r>
      <w:r>
        <w:rPr>
          <w:noProof/>
        </w:rPr>
        <w:tab/>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pPr>
        <w:spacing w:line="240" w:lineRule="auto"/>
        <w:ind w:left="567" w:hanging="567"/>
        <w:rPr>
          <w:rFonts w:eastAsia="MS Mincho"/>
          <w:noProof/>
        </w:rPr>
      </w:pPr>
      <w:r>
        <w:rPr>
          <w:b/>
          <w:noProof/>
          <w:vertAlign w:val="superscript"/>
        </w:rPr>
        <w:t>(3)</w:t>
      </w:r>
      <w:r>
        <w:rPr>
          <w:noProof/>
        </w:rPr>
        <w:tab/>
        <w:t>Indicate the origin of the product: Indonesia or the European Union or EU.</w:t>
      </w:r>
    </w:p>
    <w:p>
      <w:pPr>
        <w:spacing w:line="240" w:lineRule="auto"/>
        <w:ind w:left="567" w:hanging="567"/>
        <w:rPr>
          <w:rFonts w:eastAsia="MS Mincho"/>
          <w:noProof/>
        </w:rPr>
      </w:pPr>
      <w:r>
        <w:rPr>
          <w:b/>
          <w:noProof/>
          <w:vertAlign w:val="superscript"/>
        </w:rPr>
        <w:t>(4)</w:t>
      </w:r>
      <w:r>
        <w:rPr>
          <w:noProof/>
        </w:rPr>
        <w:tab/>
        <w:t>Place and date may be omitted if the information is contained on the document itself.</w:t>
      </w:r>
    </w:p>
    <w:p>
      <w:pPr>
        <w:spacing w:line="240" w:lineRule="auto"/>
        <w:ind w:left="567" w:hanging="567"/>
        <w:rPr>
          <w:rFonts w:eastAsia="MS Mincho"/>
          <w:noProof/>
        </w:rPr>
      </w:pPr>
      <w:r>
        <w:rPr>
          <w:b/>
          <w:noProof/>
          <w:vertAlign w:val="superscript"/>
        </w:rPr>
        <w:t>(5)</w:t>
      </w:r>
      <w:r>
        <w:rPr>
          <w:noProof/>
        </w:rPr>
        <w:tab/>
        <w:t>If the exporter has been assigned a number, that exporter is not required to sign the statement on origin.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estonă:</w:t>
      </w:r>
    </w:p>
    <w:p>
      <w:pPr>
        <w:rPr>
          <w:rFonts w:eastAsia="MS Mincho"/>
          <w:noProof/>
        </w:rPr>
      </w:pPr>
    </w:p>
    <w:p>
      <w:pPr>
        <w:rPr>
          <w:rFonts w:eastAsia="MS Mincho"/>
          <w:noProof/>
        </w:rPr>
      </w:pPr>
      <w:r>
        <w:rPr>
          <w:noProof/>
        </w:rPr>
        <w:t>Eestikeelne päritolukinnituse tekst:</w:t>
      </w:r>
    </w:p>
    <w:p>
      <w:pPr>
        <w:rPr>
          <w:rFonts w:eastAsia="MS Mincho"/>
          <w:noProof/>
        </w:rPr>
      </w:pPr>
    </w:p>
    <w:p>
      <w:pPr>
        <w:rPr>
          <w:rFonts w:eastAsia="MS Mincho"/>
          <w:noProof/>
        </w:rPr>
      </w:pPr>
      <w:r>
        <w:rPr>
          <w:noProof/>
        </w:rPr>
        <w:t xml:space="preserve">(Ajavahemik: alates___________ kuni __________ </w:t>
      </w:r>
      <w:r>
        <w:rPr>
          <w:b/>
          <w:noProof/>
          <w:vertAlign w:val="superscript"/>
        </w:rPr>
        <w:t>(1)</w:t>
      </w:r>
      <w:r>
        <w:rPr>
          <w:noProof/>
        </w:rPr>
        <w:t>)</w:t>
      </w:r>
    </w:p>
    <w:p>
      <w:pPr>
        <w:rPr>
          <w:rFonts w:eastAsia="MS Mincho"/>
          <w:noProof/>
        </w:rPr>
      </w:pPr>
    </w:p>
    <w:p>
      <w:pPr>
        <w:rPr>
          <w:rFonts w:eastAsia="MS Mincho"/>
          <w:noProof/>
        </w:rPr>
      </w:pPr>
      <w:r>
        <w:rPr>
          <w:noProof/>
        </w:rPr>
        <w:t xml:space="preserve">Käesoleva dokumendiga hõlmatud toodete eksportija (eksportija viitenumber... </w:t>
      </w:r>
      <w:r>
        <w:rPr>
          <w:b/>
          <w:noProof/>
          <w:vertAlign w:val="superscript"/>
        </w:rPr>
        <w:t>(2)</w:t>
      </w:r>
      <w:r>
        <w:rPr>
          <w:noProof/>
        </w:rPr>
        <w:t>) deklareerib, et need tooted on … sooduspäritoluga</w:t>
      </w:r>
      <w:r>
        <w:rPr>
          <w:b/>
          <w:noProof/>
          <w:vertAlign w:val="superscript"/>
        </w:rPr>
        <w:t>(3)</w:t>
      </w:r>
      <w:r>
        <w:rPr>
          <w:noProof/>
        </w:rPr>
        <w:t>, kui ei ole selgelt näidatud teisiti.</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(Koht ja kuupäev)</w:t>
      </w:r>
    </w:p>
    <w:p>
      <w:pPr>
        <w:tabs>
          <w:tab w:val="right" w:leader="dot" w:pos="9356"/>
        </w:tabs>
        <w:rPr>
          <w:rFonts w:eastAsia="MS Mincho"/>
          <w:noProof/>
        </w:rPr>
      </w:pPr>
      <w:r>
        <w:rPr>
          <w:noProof/>
        </w:rPr>
        <w:tab/>
      </w:r>
    </w:p>
    <w:p>
      <w:pPr>
        <w:jc w:val="center"/>
        <w:rPr>
          <w:rFonts w:eastAsia="MS Mincho"/>
          <w:noProof/>
        </w:rPr>
      </w:pPr>
      <w:r>
        <w:rPr>
          <w:noProof/>
        </w:rPr>
        <w:t>(Eksportija nimi suurtähtedega ja allkiri</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Kui ajavahemikku ei kohaldata, võib välja tühjaks jätta.</w:t>
      </w:r>
    </w:p>
    <w:p>
      <w:pPr>
        <w:spacing w:line="240" w:lineRule="auto"/>
        <w:ind w:left="567" w:hanging="567"/>
        <w:rPr>
          <w:rFonts w:eastAsia="MS Mincho"/>
          <w:noProof/>
        </w:rPr>
      </w:pPr>
      <w:r>
        <w:rPr>
          <w:b/>
          <w:noProof/>
          <w:vertAlign w:val="superscript"/>
        </w:rPr>
        <w:t>(2)</w:t>
      </w:r>
      <w:r>
        <w:rPr>
          <w:noProof/>
        </w:rPr>
        <w:tab/>
        <w:t>Märkida viitenumber, mille järgi eksportija tuvastatakse. Liidu eksportija puhul on selleks liidu õigusnormide kohaselt määratud number. Indoneesia eksportija puhul on selleks Indoneesia õigusnormide kohaselt määratud number. Kui eksportijale ei ole lepinguosaliste õigusnormide kohaselt numbrit antud, võib selle välja tühjaks jätta.</w:t>
      </w:r>
    </w:p>
    <w:p>
      <w:pPr>
        <w:spacing w:line="240" w:lineRule="auto"/>
        <w:ind w:left="567" w:hanging="567"/>
        <w:rPr>
          <w:rFonts w:eastAsia="MS Mincho"/>
          <w:noProof/>
        </w:rPr>
      </w:pPr>
      <w:r>
        <w:rPr>
          <w:b/>
          <w:noProof/>
          <w:vertAlign w:val="superscript"/>
        </w:rPr>
        <w:t>(3)</w:t>
      </w:r>
      <w:r>
        <w:rPr>
          <w:noProof/>
        </w:rPr>
        <w:tab/>
        <w:t>Märkida toote päritolu: Indoneesia või Euroopa Liit või EL.</w:t>
      </w:r>
    </w:p>
    <w:p>
      <w:pPr>
        <w:spacing w:line="240" w:lineRule="auto"/>
        <w:ind w:left="567" w:hanging="567"/>
        <w:rPr>
          <w:rFonts w:eastAsia="MS Mincho"/>
          <w:noProof/>
        </w:rPr>
      </w:pPr>
      <w:r>
        <w:rPr>
          <w:b/>
          <w:noProof/>
          <w:vertAlign w:val="superscript"/>
        </w:rPr>
        <w:t>(4)</w:t>
      </w:r>
      <w:r>
        <w:rPr>
          <w:noProof/>
        </w:rPr>
        <w:tab/>
        <w:t>Koha ja kuupäeva võib märkimata jätta, kui see teave sisaldub dokumendis endas.</w:t>
      </w:r>
    </w:p>
    <w:p>
      <w:pPr>
        <w:spacing w:line="240" w:lineRule="auto"/>
        <w:ind w:left="567" w:hanging="567"/>
        <w:rPr>
          <w:rFonts w:eastAsia="MS Mincho"/>
          <w:noProof/>
        </w:rPr>
      </w:pPr>
      <w:r>
        <w:rPr>
          <w:b/>
          <w:noProof/>
          <w:vertAlign w:val="superscript"/>
        </w:rPr>
        <w:t>(5)</w:t>
      </w:r>
      <w:r>
        <w:rPr>
          <w:noProof/>
        </w:rPr>
        <w:tab/>
        <w:t>Kui eksportijale on antud number, ei pea ta päritolukinnitust allkirjastama.</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finlandeză:</w:t>
      </w:r>
    </w:p>
    <w:p>
      <w:pPr>
        <w:rPr>
          <w:rFonts w:eastAsia="MS Mincho"/>
          <w:noProof/>
        </w:rPr>
      </w:pPr>
    </w:p>
    <w:p>
      <w:pPr>
        <w:rPr>
          <w:rFonts w:eastAsia="MS Mincho"/>
          <w:noProof/>
        </w:rPr>
      </w:pPr>
      <w:r>
        <w:rPr>
          <w:noProof/>
        </w:rPr>
        <w:t>Suomenkielinen alkuperävakuutuksen teksti:</w:t>
      </w:r>
    </w:p>
    <w:p>
      <w:pPr>
        <w:rPr>
          <w:rFonts w:eastAsia="MS Mincho"/>
          <w:noProof/>
        </w:rPr>
      </w:pPr>
    </w:p>
    <w:p>
      <w:pPr>
        <w:rPr>
          <w:rFonts w:eastAsia="MS Mincho"/>
          <w:noProof/>
        </w:rPr>
      </w:pPr>
      <w:r>
        <w:rPr>
          <w:noProof/>
        </w:rPr>
        <w:t>(___________ ja___________ välinen aika</w:t>
      </w:r>
      <w:r>
        <w:rPr>
          <w:b/>
          <w:noProof/>
          <w:vertAlign w:val="superscript"/>
        </w:rPr>
        <w:t>(1)</w:t>
      </w:r>
      <w:r>
        <w:rPr>
          <w:noProof/>
        </w:rPr>
        <w:t>)</w:t>
      </w:r>
    </w:p>
    <w:p>
      <w:pPr>
        <w:rPr>
          <w:rFonts w:eastAsia="MS Mincho"/>
          <w:noProof/>
        </w:rPr>
      </w:pPr>
    </w:p>
    <w:p>
      <w:pPr>
        <w:rPr>
          <w:rFonts w:eastAsia="MS Mincho"/>
          <w:noProof/>
        </w:rPr>
      </w:pPr>
      <w:r>
        <w:rPr>
          <w:noProof/>
        </w:rPr>
        <w:t>Tässä asiakirjassa mainittujen tuotteiden viejä (viejän viitenumero …</w:t>
      </w:r>
      <w:r>
        <w:rPr>
          <w:b/>
          <w:noProof/>
          <w:vertAlign w:val="superscript"/>
        </w:rPr>
        <w:t>(2)</w:t>
      </w:r>
      <w:r>
        <w:rPr>
          <w:noProof/>
        </w:rPr>
        <w:t>) ilmoittaa, että nämä tuotteet ovat, ellei toisin ole selvästi merkitty, etuuskohteluun oikeutettuja …</w:t>
      </w:r>
      <w:r>
        <w:rPr>
          <w:b/>
          <w:noProof/>
          <w:vertAlign w:val="superscript"/>
        </w:rPr>
        <w:t>(3)</w:t>
      </w:r>
      <w:r>
        <w:rPr>
          <w:noProof/>
        </w:rPr>
        <w:t xml:space="preserve"> alkuperätuotteita.</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(Paikka ja päiväys)</w:t>
      </w:r>
    </w:p>
    <w:p>
      <w:pPr>
        <w:tabs>
          <w:tab w:val="right" w:leader="dot" w:pos="9356"/>
        </w:tabs>
        <w:rPr>
          <w:rFonts w:eastAsia="MS Mincho"/>
          <w:noProof/>
        </w:rPr>
      </w:pPr>
      <w:r>
        <w:rPr>
          <w:noProof/>
        </w:rPr>
        <w:tab/>
      </w:r>
    </w:p>
    <w:p>
      <w:pPr>
        <w:jc w:val="center"/>
        <w:rPr>
          <w:rFonts w:eastAsia="MS Mincho"/>
          <w:noProof/>
        </w:rPr>
      </w:pPr>
      <w:r>
        <w:rPr>
          <w:noProof/>
        </w:rPr>
        <w:t>(Viejän nimi painokirjaimin ja allekirjoitus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pPr>
        <w:spacing w:line="240" w:lineRule="auto"/>
        <w:ind w:left="567" w:hanging="567"/>
        <w:rPr>
          <w:rFonts w:eastAsia="MS Mincho"/>
          <w:noProof/>
        </w:rPr>
      </w:pPr>
      <w:r>
        <w:rPr>
          <w:b/>
          <w:noProof/>
          <w:vertAlign w:val="superscript"/>
        </w:rPr>
        <w:t>(2)</w:t>
      </w:r>
      <w:r>
        <w:rPr>
          <w:noProof/>
        </w:rPr>
        <w:tab/>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pPr>
        <w:spacing w:line="240" w:lineRule="auto"/>
        <w:ind w:left="567" w:hanging="567"/>
        <w:rPr>
          <w:rFonts w:eastAsia="MS Mincho"/>
          <w:noProof/>
        </w:rPr>
      </w:pPr>
      <w:r>
        <w:rPr>
          <w:b/>
          <w:noProof/>
          <w:vertAlign w:val="superscript"/>
        </w:rPr>
        <w:t>(3)</w:t>
      </w:r>
      <w:r>
        <w:rPr>
          <w:noProof/>
        </w:rPr>
        <w:tab/>
        <w:t>Ilmoitetaan tuotteen alkuperä: Indonesia tai Euroopan unioni tai EU.</w:t>
      </w:r>
    </w:p>
    <w:p>
      <w:pPr>
        <w:spacing w:line="240" w:lineRule="auto"/>
        <w:ind w:left="567" w:hanging="567"/>
        <w:rPr>
          <w:rFonts w:eastAsia="MS Mincho"/>
          <w:noProof/>
        </w:rPr>
      </w:pPr>
      <w:r>
        <w:rPr>
          <w:b/>
          <w:noProof/>
          <w:vertAlign w:val="superscript"/>
        </w:rPr>
        <w:t>(4)</w:t>
      </w:r>
      <w:r>
        <w:rPr>
          <w:noProof/>
        </w:rPr>
        <w:tab/>
        <w:t>Paikka ja päiväys voidaan jättää pois, jos tiedot sisältyvät itse asiakirjaan.</w:t>
      </w:r>
    </w:p>
    <w:p>
      <w:pPr>
        <w:spacing w:line="240" w:lineRule="auto"/>
        <w:ind w:left="567" w:hanging="567"/>
        <w:rPr>
          <w:rFonts w:eastAsia="MS Mincho"/>
          <w:noProof/>
        </w:rPr>
      </w:pPr>
      <w:r>
        <w:rPr>
          <w:b/>
          <w:noProof/>
          <w:vertAlign w:val="superscript"/>
        </w:rPr>
        <w:t>(5)</w:t>
      </w:r>
      <w:r>
        <w:rPr>
          <w:noProof/>
        </w:rPr>
        <w:tab/>
        <w:t>Jos viejälle on annettu numero, sen ei tarvitse allekirjoittaa alkuperävakuutusta.</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franceză:</w:t>
      </w:r>
    </w:p>
    <w:p>
      <w:pPr>
        <w:rPr>
          <w:rFonts w:eastAsia="MS Mincho"/>
          <w:noProof/>
        </w:rPr>
      </w:pPr>
    </w:p>
    <w:p>
      <w:pPr>
        <w:rPr>
          <w:rFonts w:eastAsia="MS Mincho"/>
          <w:noProof/>
        </w:rPr>
      </w:pPr>
      <w:r>
        <w:rPr>
          <w:noProof/>
        </w:rPr>
        <w:t>Texte de l’attestation d’origine en français:</w:t>
      </w:r>
    </w:p>
    <w:p>
      <w:pPr>
        <w:rPr>
          <w:rFonts w:eastAsia="MS Mincho"/>
          <w:noProof/>
        </w:rPr>
      </w:pPr>
    </w:p>
    <w:p>
      <w:pPr>
        <w:rPr>
          <w:rFonts w:eastAsia="MS Mincho"/>
          <w:noProof/>
        </w:rPr>
      </w:pPr>
      <w:r>
        <w:rPr>
          <w:noProof/>
        </w:rPr>
        <w:t>(Période: du ___________ au ___________ </w:t>
      </w:r>
      <w:r>
        <w:rPr>
          <w:b/>
          <w:noProof/>
          <w:vertAlign w:val="superscript"/>
        </w:rPr>
        <w:t>(1)</w:t>
      </w:r>
      <w:r>
        <w:rPr>
          <w:noProof/>
        </w:rPr>
        <w:t>)</w:t>
      </w:r>
    </w:p>
    <w:p>
      <w:pPr>
        <w:rPr>
          <w:rFonts w:eastAsia="MS Mincho"/>
          <w:noProof/>
        </w:rPr>
      </w:pPr>
    </w:p>
    <w:p>
      <w:pPr>
        <w:rPr>
          <w:rFonts w:eastAsia="MS Mincho"/>
          <w:noProof/>
        </w:rPr>
      </w:pPr>
      <w:r>
        <w:rPr>
          <w:noProof/>
        </w:rPr>
        <w:t xml:space="preserve">L’exportateur des produits couverts par le présent document (numéro de référence de l’exportateur: … </w:t>
      </w:r>
      <w:r>
        <w:rPr>
          <w:b/>
          <w:noProof/>
          <w:vertAlign w:val="superscript"/>
        </w:rPr>
        <w:t>(2)</w:t>
      </w:r>
      <w:r>
        <w:rPr>
          <w:noProof/>
        </w:rPr>
        <w:t>) déclare que, sauf indication claire du contraire, ces produits ont l’origine préférentielle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t xml:space="preserve"> </w:t>
      </w:r>
      <w:r>
        <w:rPr>
          <w:b/>
          <w:noProof/>
          <w:vertAlign w:val="superscript"/>
        </w:rPr>
        <w:t>(4)</w:t>
      </w:r>
    </w:p>
    <w:p>
      <w:pPr>
        <w:jc w:val="center"/>
        <w:rPr>
          <w:rFonts w:eastAsia="MS Mincho"/>
          <w:noProof/>
        </w:rPr>
      </w:pPr>
      <w:r>
        <w:rPr>
          <w:noProof/>
        </w:rPr>
        <w:t>(Lieu et date)</w:t>
      </w:r>
    </w:p>
    <w:p>
      <w:pPr>
        <w:tabs>
          <w:tab w:val="right" w:leader="dot" w:pos="9356"/>
        </w:tabs>
        <w:rPr>
          <w:rFonts w:eastAsia="MS Mincho"/>
          <w:noProof/>
        </w:rPr>
      </w:pPr>
      <w:r>
        <w:rPr>
          <w:noProof/>
        </w:rPr>
        <w:tab/>
      </w:r>
    </w:p>
    <w:p>
      <w:pPr>
        <w:jc w:val="center"/>
        <w:rPr>
          <w:rFonts w:eastAsia="MS Mincho"/>
          <w:noProof/>
        </w:rPr>
      </w:pPr>
      <w:r>
        <w:rPr>
          <w:noProof/>
        </w:rPr>
        <w:t>(Nom en caractères d’imprimerie et signature </w:t>
      </w:r>
      <w:r>
        <w:rPr>
          <w:b/>
          <w:noProof/>
          <w:vertAlign w:val="superscript"/>
        </w:rPr>
        <w:t>(5)</w:t>
      </w:r>
      <w:r>
        <w:rPr>
          <w:noProof/>
        </w:rPr>
        <w:t xml:space="preserve"> de l’exportateur)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pPr>
        <w:spacing w:line="240" w:lineRule="auto"/>
        <w:ind w:left="567" w:hanging="567"/>
        <w:rPr>
          <w:rFonts w:eastAsia="MS Mincho"/>
          <w:noProof/>
        </w:rPr>
      </w:pPr>
      <w:r>
        <w:rPr>
          <w:b/>
          <w:noProof/>
          <w:vertAlign w:val="superscript"/>
        </w:rPr>
        <w:t>(2)</w:t>
      </w:r>
      <w:r>
        <w:rPr>
          <w:noProof/>
        </w:rPr>
        <w:tab/>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pPr>
        <w:spacing w:line="240" w:lineRule="auto"/>
        <w:ind w:left="567" w:hanging="567"/>
        <w:rPr>
          <w:rFonts w:eastAsia="MS Mincho"/>
          <w:noProof/>
        </w:rPr>
      </w:pPr>
      <w:r>
        <w:rPr>
          <w:b/>
          <w:noProof/>
          <w:vertAlign w:val="superscript"/>
        </w:rPr>
        <w:t>(3)</w:t>
      </w:r>
      <w:r>
        <w:rPr>
          <w:noProof/>
        </w:rPr>
        <w:tab/>
        <w:t>Indiquer l’origine du produit: Indonésie, ou Union européenne ou UE.</w:t>
      </w:r>
    </w:p>
    <w:p>
      <w:pPr>
        <w:spacing w:line="240" w:lineRule="auto"/>
        <w:ind w:left="567" w:hanging="567"/>
        <w:rPr>
          <w:rFonts w:eastAsia="MS Mincho"/>
          <w:noProof/>
        </w:rPr>
      </w:pPr>
      <w:r>
        <w:rPr>
          <w:b/>
          <w:noProof/>
          <w:vertAlign w:val="superscript"/>
        </w:rPr>
        <w:t>(4)</w:t>
      </w:r>
      <w:r>
        <w:rPr>
          <w:noProof/>
        </w:rPr>
        <w:tab/>
        <w:t>Le lieu et la date sont facultatifs si ces renseignements figurent dans le document proprement dit.</w:t>
      </w:r>
    </w:p>
    <w:p>
      <w:pPr>
        <w:spacing w:line="240" w:lineRule="auto"/>
        <w:ind w:left="567" w:hanging="567"/>
        <w:rPr>
          <w:rFonts w:eastAsia="MS Mincho"/>
          <w:noProof/>
        </w:rPr>
      </w:pPr>
      <w:r>
        <w:rPr>
          <w:b/>
          <w:noProof/>
          <w:vertAlign w:val="superscript"/>
        </w:rPr>
        <w:t>(5)</w:t>
      </w:r>
      <w:r>
        <w:rPr>
          <w:noProof/>
        </w:rPr>
        <w:tab/>
        <w:t>Si un numéro a été attribué à l’exportateur, celui-ci n’est pas tenu de signer l’attestation d’origine.</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germană:</w:t>
      </w:r>
    </w:p>
    <w:p>
      <w:pPr>
        <w:rPr>
          <w:rFonts w:eastAsia="MS Mincho"/>
          <w:noProof/>
        </w:rPr>
      </w:pPr>
    </w:p>
    <w:p>
      <w:pPr>
        <w:rPr>
          <w:rFonts w:eastAsia="MS Mincho"/>
          <w:noProof/>
        </w:rPr>
      </w:pPr>
      <w:r>
        <w:rPr>
          <w:noProof/>
        </w:rPr>
        <w:t>Wortlaut der Erklärung zum Ursprung auf Deutsch:</w:t>
      </w:r>
    </w:p>
    <w:p>
      <w:pPr>
        <w:rPr>
          <w:rFonts w:eastAsia="MS Mincho"/>
          <w:noProof/>
        </w:rPr>
      </w:pPr>
    </w:p>
    <w:p>
      <w:pPr>
        <w:rPr>
          <w:rFonts w:eastAsia="MS Mincho"/>
          <w:noProof/>
        </w:rPr>
      </w:pPr>
      <w:r>
        <w:rPr>
          <w:noProof/>
        </w:rPr>
        <w:t xml:space="preserve">(Zeitraum: vom___________ bis zum __________ </w:t>
      </w:r>
      <w:r>
        <w:rPr>
          <w:b/>
          <w:noProof/>
          <w:vertAlign w:val="superscript"/>
        </w:rPr>
        <w:t>(1)</w:t>
      </w:r>
      <w:r>
        <w:rPr>
          <w:noProof/>
        </w:rPr>
        <w:t>)</w:t>
      </w:r>
    </w:p>
    <w:p>
      <w:pPr>
        <w:rPr>
          <w:rFonts w:eastAsia="MS Mincho"/>
          <w:noProof/>
        </w:rPr>
      </w:pPr>
    </w:p>
    <w:p>
      <w:pPr>
        <w:rPr>
          <w:rFonts w:eastAsia="MS Mincho"/>
          <w:noProof/>
        </w:rPr>
      </w:pPr>
      <w:r>
        <w:rPr>
          <w:noProof/>
        </w:rPr>
        <w:t xml:space="preserve">Der Ausführer (Referenznummer des Ausführers … </w:t>
      </w:r>
      <w:r>
        <w:rPr>
          <w:b/>
          <w:noProof/>
          <w:vertAlign w:val="superscript"/>
        </w:rPr>
        <w:t>(2)</w:t>
      </w:r>
      <w:r>
        <w:rPr>
          <w:noProof/>
        </w:rPr>
        <w:t xml:space="preserve">) der Waren, auf die sich dieses Handelspapier bezieht, erklärt, dass diese Waren, soweit nicht anders angegeben, präferenzbegünstigte Ursprungswaren … </w:t>
      </w:r>
      <w:r>
        <w:rPr>
          <w:b/>
          <w:noProof/>
          <w:vertAlign w:val="superscript"/>
        </w:rPr>
        <w:t>(3)</w:t>
      </w:r>
      <w:r>
        <w:rPr>
          <w:noProof/>
        </w:rPr>
        <w:t xml:space="preserve"> sind.</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(Ort und Datum)</w:t>
      </w:r>
    </w:p>
    <w:p>
      <w:pPr>
        <w:tabs>
          <w:tab w:val="right" w:leader="dot" w:pos="9356"/>
        </w:tabs>
        <w:rPr>
          <w:rFonts w:eastAsia="MS Mincho"/>
          <w:noProof/>
        </w:rPr>
      </w:pPr>
      <w:r>
        <w:rPr>
          <w:noProof/>
        </w:rPr>
        <w:tab/>
      </w:r>
    </w:p>
    <w:p>
      <w:pPr>
        <w:jc w:val="center"/>
        <w:rPr>
          <w:rFonts w:eastAsia="MS Mincho"/>
          <w:noProof/>
        </w:rPr>
      </w:pPr>
      <w:r>
        <w:rPr>
          <w:noProof/>
        </w:rPr>
        <w:t>(Name des Ausführers in Druckbuchstaben und Unterschrift</w:t>
      </w:r>
      <w:r>
        <w:rPr>
          <w:b/>
          <w:noProof/>
          <w:vertAlign w:val="superscript"/>
        </w:rPr>
        <w:t>(5)</w:t>
      </w:r>
      <w:r>
        <w:rPr>
          <w:noProof/>
        </w:rPr>
        <w:t xml:space="preserve"> des Ausführers)</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pPr>
        <w:spacing w:line="240" w:lineRule="auto"/>
        <w:ind w:left="567" w:hanging="567"/>
        <w:rPr>
          <w:rFonts w:eastAsia="MS Mincho"/>
          <w:noProof/>
        </w:rPr>
      </w:pPr>
      <w:r>
        <w:rPr>
          <w:b/>
          <w:noProof/>
          <w:vertAlign w:val="superscript"/>
        </w:rPr>
        <w:t>(2)</w:t>
      </w:r>
      <w:r>
        <w:rPr>
          <w:noProof/>
        </w:rPr>
        <w:tab/>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pPr>
        <w:spacing w:line="240" w:lineRule="auto"/>
        <w:ind w:left="567" w:hanging="567"/>
        <w:rPr>
          <w:rFonts w:eastAsia="MS Mincho"/>
          <w:noProof/>
        </w:rPr>
      </w:pPr>
      <w:r>
        <w:rPr>
          <w:b/>
          <w:noProof/>
          <w:vertAlign w:val="superscript"/>
        </w:rPr>
        <w:t>(3)</w:t>
      </w:r>
      <w:r>
        <w:rPr>
          <w:noProof/>
        </w:rPr>
        <w:tab/>
        <w:t>Bitte geben Sie den Ursprung der Ware an: Indonesien oder Europäische Union oder EU.</w:t>
      </w:r>
    </w:p>
    <w:p>
      <w:pPr>
        <w:spacing w:line="240" w:lineRule="auto"/>
        <w:ind w:left="567" w:hanging="567"/>
        <w:rPr>
          <w:rFonts w:eastAsia="MS Mincho"/>
          <w:noProof/>
        </w:rPr>
      </w:pPr>
      <w:r>
        <w:rPr>
          <w:b/>
          <w:noProof/>
          <w:vertAlign w:val="superscript"/>
        </w:rPr>
        <w:t>(4)</w:t>
      </w:r>
      <w:r>
        <w:rPr>
          <w:noProof/>
        </w:rPr>
        <w:tab/>
        <w:t>Die Angaben zu Ort und Datum dürfen entfallen, wenn sie in dem Papier selbst enthalten sind.</w:t>
      </w:r>
    </w:p>
    <w:p>
      <w:pPr>
        <w:spacing w:line="240" w:lineRule="auto"/>
        <w:ind w:left="567" w:hanging="567"/>
        <w:rPr>
          <w:rFonts w:eastAsia="MS Mincho"/>
          <w:noProof/>
        </w:rPr>
      </w:pPr>
      <w:r>
        <w:rPr>
          <w:b/>
          <w:noProof/>
          <w:vertAlign w:val="superscript"/>
        </w:rPr>
        <w:t>(5)</w:t>
      </w:r>
      <w:r>
        <w:rPr>
          <w:noProof/>
        </w:rPr>
        <w:tab/>
        <w:t>Wurde dem Ausführer eine Nummer zugeteilt, so braucht er die Erklärung zum Ursprung nicht zu unterzeichnen.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greacă:</w:t>
      </w:r>
    </w:p>
    <w:p>
      <w:pPr>
        <w:rPr>
          <w:rFonts w:eastAsia="MS Mincho"/>
          <w:noProof/>
        </w:rPr>
      </w:pPr>
    </w:p>
    <w:p>
      <w:pPr>
        <w:rPr>
          <w:rFonts w:eastAsia="MS Mincho"/>
          <w:noProof/>
        </w:rPr>
      </w:pPr>
      <w:r>
        <w:rPr>
          <w:noProof/>
        </w:rPr>
        <w:t>Κείμενο της βεβαίωσης καταγωγής στην ελληνική γλώσσα:</w:t>
      </w:r>
    </w:p>
    <w:p>
      <w:pPr>
        <w:rPr>
          <w:rFonts w:eastAsia="MS Mincho"/>
          <w:noProof/>
        </w:rPr>
      </w:pPr>
    </w:p>
    <w:p>
      <w:pPr>
        <w:rPr>
          <w:rFonts w:eastAsia="MS Mincho"/>
          <w:noProof/>
        </w:rPr>
      </w:pPr>
      <w:r>
        <w:rPr>
          <w:noProof/>
        </w:rPr>
        <w:t xml:space="preserve">(Περίοδος: από___ έως ___ </w:t>
      </w:r>
      <w:r>
        <w:rPr>
          <w:b/>
          <w:noProof/>
          <w:vertAlign w:val="superscript"/>
        </w:rPr>
        <w:t>(1)</w:t>
      </w:r>
      <w:r>
        <w:rPr>
          <w:noProof/>
        </w:rPr>
        <w:t>)</w:t>
      </w:r>
    </w:p>
    <w:p>
      <w:pPr>
        <w:rPr>
          <w:rFonts w:eastAsia="MS Mincho"/>
          <w:noProof/>
        </w:rPr>
      </w:pPr>
    </w:p>
    <w:p>
      <w:pPr>
        <w:rPr>
          <w:rFonts w:eastAsia="MS Mincho"/>
          <w:noProof/>
        </w:rPr>
      </w:pPr>
      <w:r>
        <w:rPr>
          <w:noProof/>
        </w:rPr>
        <w:t xml:space="preserve">Ο εξαγωγέας των προϊόντων που καλύπτονται από το παρόν έγγραφο (Αριθμός αναφοράς εξαγωγέα... </w:t>
      </w:r>
      <w:r>
        <w:rPr>
          <w:b/>
          <w:noProof/>
          <w:vertAlign w:val="superscript"/>
        </w:rPr>
        <w:t>(2)</w:t>
      </w:r>
      <w:r>
        <w:rPr>
          <w:noProof/>
        </w:rPr>
        <w:t xml:space="preserve">) δηλώνει ότι, εκτός εάν δηλώνεται σαφώς διαφορετικά, τα προϊόντα αυτά είναι... </w:t>
      </w:r>
      <w:r>
        <w:rPr>
          <w:b/>
          <w:noProof/>
          <w:vertAlign w:val="superscript"/>
        </w:rPr>
        <w:t>(3)</w:t>
      </w:r>
      <w:r>
        <w:rPr>
          <w:noProof/>
        </w:rPr>
        <w:t xml:space="preserve"> προτιμησιακής καταγωγής.</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(Τόπος και ημερομηνία)</w:t>
      </w:r>
    </w:p>
    <w:p>
      <w:pPr>
        <w:tabs>
          <w:tab w:val="right" w:leader="dot" w:pos="9356"/>
        </w:tabs>
        <w:rPr>
          <w:rFonts w:eastAsia="MS Mincho"/>
          <w:noProof/>
        </w:rPr>
      </w:pPr>
      <w:r>
        <w:rPr>
          <w:noProof/>
        </w:rPr>
        <w:tab/>
      </w:r>
    </w:p>
    <w:p>
      <w:pPr>
        <w:jc w:val="center"/>
        <w:rPr>
          <w:rFonts w:eastAsia="MS Mincho"/>
          <w:noProof/>
        </w:rPr>
      </w:pPr>
      <w:r>
        <w:rPr>
          <w:noProof/>
        </w:rPr>
        <w:t>(Τυπωμένο όνομα και υπογραφή</w:t>
      </w:r>
      <w:r>
        <w:rPr>
          <w:b/>
          <w:noProof/>
          <w:vertAlign w:val="superscript"/>
        </w:rPr>
        <w:t>(5)</w:t>
      </w:r>
      <w:r>
        <w:rPr>
          <w:noProof/>
        </w:rPr>
        <w:t xml:space="preserve"> του εξαγωγέα)</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Όταν η βεβαίωση καταγωγής συμπληρώνεται για πολλαπλές αποστολές πανομοιότυπων καταγόμενων προϊόντων κατά την έννοια του άρθρου 3.18, να οριστεί η χρονική περίοδος για την οποία θα εφαρμόζεται η βεβαίωση καταγωγής. Το χρονικό διάστημα δεν πρέπει να υπερβαίνει τους 12 μήνες. Όλες οι εισαγωγές του προϊόντος πρέπει να πραγματοποιηθούν εντός της αναγραφόμενης περιόδου. Εάν δεν αναγράφεται χρονική περίοδος, αυτό το πεδίο μπορεί να παραμείνει κενό.</w:t>
      </w:r>
    </w:p>
    <w:p>
      <w:pPr>
        <w:spacing w:line="240" w:lineRule="auto"/>
        <w:ind w:left="567" w:hanging="567"/>
        <w:rPr>
          <w:rFonts w:eastAsia="MS Mincho"/>
          <w:noProof/>
        </w:rPr>
      </w:pPr>
      <w:r>
        <w:rPr>
          <w:b/>
          <w:noProof/>
          <w:vertAlign w:val="superscript"/>
        </w:rPr>
        <w:t>(2)</w:t>
      </w:r>
      <w:r>
        <w:rPr>
          <w:noProof/>
        </w:rPr>
        <w:tab/>
        <w:t>Να αναφέρετε τον αριθμό αναφοράς με τον οποίο εξακριβώνεται η ταυτότητα του εξαγωγέα. Για τον εξαγωγέα της Ένωσης, θα είναι ο αριθμός που αποδίδεται σύμφωνα με τις νομοθετικές και κανονιστικές διατάξεις της Ένωσης. Για τον εξαγωγέα της Ινδονησίας, θα είναι ο αριθμός που αποδίδεται σύμφωνα με τις νομοθετικές και κανονιστικές διατάξεις της Ινδονησίας. Όταν ο εξαγωγέας δεν έχει λάβει αριθμό σύμφωνα με τις νομοθετικές και κανονιστικές διατάξεις των μερών, το πεδίο αυτό μπορεί να παραμείνει κενό.</w:t>
      </w:r>
    </w:p>
    <w:p>
      <w:pPr>
        <w:spacing w:line="240" w:lineRule="auto"/>
        <w:ind w:left="567" w:hanging="567"/>
        <w:rPr>
          <w:rFonts w:eastAsia="MS Mincho"/>
          <w:noProof/>
        </w:rPr>
      </w:pPr>
      <w:r>
        <w:rPr>
          <w:b/>
          <w:noProof/>
          <w:vertAlign w:val="superscript"/>
        </w:rPr>
        <w:t>(3)</w:t>
      </w:r>
      <w:r>
        <w:rPr>
          <w:noProof/>
        </w:rPr>
        <w:tab/>
        <w:t>Να αναφερθεί η καταγωγή του προϊόντος: Ινδονησία ή Ευρωπαϊκή Ένωση ή ΕΕ.</w:t>
      </w:r>
    </w:p>
    <w:p>
      <w:pPr>
        <w:spacing w:line="240" w:lineRule="auto"/>
        <w:ind w:left="567" w:hanging="567"/>
        <w:rPr>
          <w:rFonts w:eastAsia="MS Mincho"/>
          <w:noProof/>
        </w:rPr>
      </w:pPr>
      <w:r>
        <w:rPr>
          <w:b/>
          <w:noProof/>
          <w:vertAlign w:val="superscript"/>
        </w:rPr>
        <w:t>(4)</w:t>
      </w:r>
      <w:r>
        <w:rPr>
          <w:noProof/>
        </w:rPr>
        <w:tab/>
        <w:t>Ο τόπος και η ημερομηνία μπορούν να παραλείπονται, εάν η πληροφορία περιέχεται στο ίδιο το έγγραφο.</w:t>
      </w:r>
    </w:p>
    <w:p>
      <w:pPr>
        <w:spacing w:line="240" w:lineRule="auto"/>
        <w:ind w:left="567" w:hanging="567"/>
        <w:rPr>
          <w:rFonts w:eastAsia="MS Mincho"/>
          <w:noProof/>
        </w:rPr>
      </w:pPr>
      <w:r>
        <w:rPr>
          <w:b/>
          <w:noProof/>
          <w:vertAlign w:val="superscript"/>
        </w:rPr>
        <w:t>(5)</w:t>
      </w:r>
      <w:r>
        <w:rPr>
          <w:noProof/>
        </w:rPr>
        <w:tab/>
        <w:t>Εάν έχει αποδοθεί αριθμός στον εξαγωγέα, ο εν λόγω εξαγωγέας δεν υποχρεούται να υπογράψει τη βεβαίωση καταγωγής.</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maghiară:</w:t>
      </w:r>
    </w:p>
    <w:p>
      <w:pPr>
        <w:rPr>
          <w:rFonts w:eastAsia="MS Mincho"/>
          <w:noProof/>
        </w:rPr>
      </w:pPr>
    </w:p>
    <w:p>
      <w:pPr>
        <w:rPr>
          <w:rFonts w:eastAsia="MS Mincho"/>
          <w:noProof/>
        </w:rPr>
      </w:pPr>
      <w:r>
        <w:rPr>
          <w:noProof/>
        </w:rPr>
        <w:t>A származásmegjelölő nyilatkozat magyar nyelvű szövege:</w:t>
      </w:r>
    </w:p>
    <w:p>
      <w:pPr>
        <w:rPr>
          <w:rFonts w:eastAsia="MS Mincho"/>
          <w:noProof/>
        </w:rPr>
      </w:pPr>
    </w:p>
    <w:p>
      <w:pPr>
        <w:rPr>
          <w:rFonts w:eastAsia="MS Mincho"/>
          <w:noProof/>
        </w:rPr>
      </w:pPr>
      <w:r>
        <w:rPr>
          <w:noProof/>
        </w:rPr>
        <w:t xml:space="preserve">(Időszak: ___________-tól/-től __________-ig </w:t>
      </w:r>
      <w:r>
        <w:rPr>
          <w:b/>
          <w:noProof/>
          <w:vertAlign w:val="superscript"/>
        </w:rPr>
        <w:t>(1)</w:t>
      </w:r>
      <w:r>
        <w:rPr>
          <w:noProof/>
        </w:rPr>
        <w:t>)</w:t>
      </w:r>
    </w:p>
    <w:p>
      <w:pPr>
        <w:rPr>
          <w:rFonts w:eastAsia="MS Mincho"/>
          <w:noProof/>
        </w:rPr>
      </w:pPr>
    </w:p>
    <w:p>
      <w:pPr>
        <w:rPr>
          <w:rFonts w:eastAsia="MS Mincho"/>
          <w:noProof/>
        </w:rPr>
      </w:pPr>
      <w:r>
        <w:rPr>
          <w:noProof/>
        </w:rPr>
        <w:t xml:space="preserve">A jelen okmányban szereplő termékek exportőreként (az exportőr azonosító száma... </w:t>
      </w:r>
      <w:r>
        <w:rPr>
          <w:b/>
          <w:noProof/>
          <w:vertAlign w:val="superscript"/>
        </w:rPr>
        <w:t>(2)</w:t>
      </w:r>
      <w:r>
        <w:rPr>
          <w:noProof/>
        </w:rPr>
        <w:t xml:space="preserve">) kijelentem, hogy – eltérő egyértelmű jelzés hiányában – ezek a termékek … </w:t>
      </w:r>
      <w:r>
        <w:rPr>
          <w:b/>
          <w:noProof/>
          <w:vertAlign w:val="superscript"/>
        </w:rPr>
        <w:t>(3)</w:t>
      </w:r>
      <w:r>
        <w:rPr>
          <w:noProof/>
        </w:rPr>
        <w:t xml:space="preserve"> preferenciális származásúak.</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(Hely és dátum)</w:t>
      </w:r>
    </w:p>
    <w:p>
      <w:pPr>
        <w:tabs>
          <w:tab w:val="right" w:leader="dot" w:pos="9356"/>
        </w:tabs>
        <w:rPr>
          <w:rFonts w:eastAsia="MS Mincho"/>
          <w:noProof/>
        </w:rPr>
      </w:pPr>
      <w:r>
        <w:rPr>
          <w:noProof/>
        </w:rPr>
        <w:tab/>
      </w:r>
    </w:p>
    <w:p>
      <w:pPr>
        <w:jc w:val="center"/>
        <w:rPr>
          <w:rFonts w:eastAsia="MS Mincho"/>
          <w:noProof/>
        </w:rPr>
      </w:pPr>
      <w:r>
        <w:rPr>
          <w:noProof/>
        </w:rPr>
        <w:t>(Az exportőr nyomtatott neve és aláírása</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Amennyiben a származásmegjelölő nyilatkozatot a 3.18. cikk értelmében azonos származó termékeket tartalmazó több szállítmányra vonatkozóan tölti ki, tüntesse fel azt az időszakot, amelyre a származásmegjelölő nyilatkozat alkalmazandó. Ez az időszak nem haladhatja meg a 12 hónapot. A termék valamennyi importjának a jelzett időtartamon belül kell megtörténnie. Ha időtartam nem alkalmazható, ezt a rovatot üresen kell hagyni.</w:t>
      </w:r>
    </w:p>
    <w:p>
      <w:pPr>
        <w:spacing w:line="240" w:lineRule="auto"/>
        <w:ind w:left="567" w:hanging="567"/>
        <w:rPr>
          <w:rFonts w:eastAsia="MS Mincho"/>
          <w:noProof/>
        </w:rPr>
      </w:pPr>
      <w:r>
        <w:rPr>
          <w:b/>
          <w:noProof/>
          <w:vertAlign w:val="superscript"/>
        </w:rPr>
        <w:t>(2)</w:t>
      </w:r>
      <w:r>
        <w:rPr>
          <w:noProof/>
        </w:rPr>
        <w:tab/>
        <w:t>Tüntesse fel az exportőr azonosító számát. Uniós exportőr esetében ez a szám az Unió jogszabályaival és egyéb rendelkezéseivel összhangban kiadott szám. Indonéz exportőr esetében ez a szám az Indonézia jogszabályaival és egyéb rendelkezéseivel összhangban kiadott szám. Ha az exportőr nem kapott számot a Felek jogszabályaival és egyéb rendelkezéseivel összhangban, ezt a rovatot üresen kell hagyni.</w:t>
      </w:r>
    </w:p>
    <w:p>
      <w:pPr>
        <w:spacing w:line="240" w:lineRule="auto"/>
        <w:ind w:left="567" w:hanging="567"/>
        <w:rPr>
          <w:rFonts w:eastAsia="MS Mincho"/>
          <w:noProof/>
        </w:rPr>
      </w:pPr>
      <w:r>
        <w:rPr>
          <w:b/>
          <w:noProof/>
          <w:vertAlign w:val="superscript"/>
        </w:rPr>
        <w:t>(3)</w:t>
      </w:r>
      <w:r>
        <w:rPr>
          <w:noProof/>
        </w:rPr>
        <w:tab/>
        <w:t>Tüntesse fel a termék származását: Indonézia vagy az Európai Unió, illetve EU.</w:t>
      </w:r>
    </w:p>
    <w:p>
      <w:pPr>
        <w:spacing w:line="240" w:lineRule="auto"/>
        <w:ind w:left="567" w:hanging="567"/>
        <w:rPr>
          <w:rFonts w:eastAsia="MS Mincho"/>
          <w:noProof/>
        </w:rPr>
      </w:pPr>
      <w:r>
        <w:rPr>
          <w:b/>
          <w:noProof/>
          <w:vertAlign w:val="superscript"/>
        </w:rPr>
        <w:t>(4)</w:t>
      </w:r>
      <w:r>
        <w:rPr>
          <w:noProof/>
        </w:rPr>
        <w:tab/>
        <w:t>A hely és dátum feltüntetése elhagyható, ha az információ már szerepel magán az okmányon.</w:t>
      </w:r>
    </w:p>
    <w:p>
      <w:pPr>
        <w:spacing w:line="240" w:lineRule="auto"/>
        <w:ind w:left="567" w:hanging="567"/>
        <w:rPr>
          <w:rFonts w:eastAsia="MS Mincho"/>
          <w:noProof/>
        </w:rPr>
      </w:pPr>
      <w:r>
        <w:rPr>
          <w:b/>
          <w:noProof/>
          <w:vertAlign w:val="superscript"/>
        </w:rPr>
        <w:t>(5)</w:t>
      </w:r>
      <w:r>
        <w:rPr>
          <w:noProof/>
        </w:rPr>
        <w:tab/>
        <w:t>Ha az exportőr rendelkezik azonosító számmal, akkor nem köteles aláírni a származásmegjelölő nyilatkozatot.</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irlandeză:</w:t>
      </w:r>
    </w:p>
    <w:p>
      <w:pPr>
        <w:rPr>
          <w:rFonts w:eastAsia="MS Mincho"/>
          <w:noProof/>
        </w:rPr>
      </w:pPr>
    </w:p>
    <w:p>
      <w:pPr>
        <w:rPr>
          <w:rFonts w:eastAsia="MS Mincho"/>
          <w:noProof/>
        </w:rPr>
      </w:pPr>
      <w:r>
        <w:rPr>
          <w:noProof/>
        </w:rPr>
        <w:t>Téacs an ráitis maidir le tionscnamh i nGaeilge:</w:t>
      </w:r>
    </w:p>
    <w:p>
      <w:pPr>
        <w:rPr>
          <w:rFonts w:eastAsia="MS Mincho"/>
          <w:noProof/>
        </w:rPr>
      </w:pPr>
    </w:p>
    <w:p>
      <w:pPr>
        <w:rPr>
          <w:rFonts w:eastAsia="MS Mincho"/>
          <w:noProof/>
        </w:rPr>
      </w:pPr>
      <w:r>
        <w:rPr>
          <w:noProof/>
        </w:rPr>
        <w:t xml:space="preserve">(Tréimhse: ón___________ go dtí an __________ </w:t>
      </w:r>
      <w:r>
        <w:rPr>
          <w:b/>
          <w:noProof/>
          <w:vertAlign w:val="superscript"/>
        </w:rPr>
        <w:t>(1)</w:t>
      </w:r>
      <w:r>
        <w:rPr>
          <w:noProof/>
        </w:rPr>
        <w:t>)</w:t>
      </w:r>
    </w:p>
    <w:p>
      <w:pPr>
        <w:rPr>
          <w:rFonts w:eastAsia="MS Mincho"/>
          <w:noProof/>
        </w:rPr>
      </w:pPr>
    </w:p>
    <w:p>
      <w:pPr>
        <w:rPr>
          <w:rFonts w:eastAsia="MS Mincho"/>
          <w:noProof/>
        </w:rPr>
      </w:pPr>
      <w:r>
        <w:rPr>
          <w:noProof/>
        </w:rPr>
        <w:t xml:space="preserve">Onnmhaireoir na dtáirgí a chumhdaítear sa doiciméad seo (Uimhir Thagartha an Onnmhaireora... </w:t>
      </w:r>
      <w:r>
        <w:rPr>
          <w:b/>
          <w:noProof/>
          <w:vertAlign w:val="superscript"/>
        </w:rPr>
        <w:t>(2)</w:t>
      </w:r>
      <w:r>
        <w:rPr>
          <w:noProof/>
        </w:rPr>
        <w:t xml:space="preserve">), dearbhaíonn sé, ach amháin i gcás ina sonraítear a mhalairt go soiléir, gur táirgí de </w:t>
      </w:r>
      <w:r>
        <w:rPr>
          <w:b/>
          <w:noProof/>
          <w:vertAlign w:val="superscript"/>
        </w:rPr>
        <w:t>(3)</w:t>
      </w:r>
      <w:r>
        <w:rPr>
          <w:noProof/>
        </w:rPr>
        <w:t xml:space="preserve"> thionscnamh fabhair … iad na táirgí seo.</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(Áit agus dáta)</w:t>
      </w:r>
    </w:p>
    <w:p>
      <w:pPr>
        <w:tabs>
          <w:tab w:val="right" w:leader="dot" w:pos="9356"/>
        </w:tabs>
        <w:rPr>
          <w:rFonts w:eastAsia="MS Mincho"/>
          <w:noProof/>
        </w:rPr>
      </w:pPr>
      <w:r>
        <w:rPr>
          <w:noProof/>
        </w:rPr>
        <w:tab/>
      </w:r>
    </w:p>
    <w:p>
      <w:pPr>
        <w:jc w:val="center"/>
        <w:rPr>
          <w:rFonts w:eastAsia="MS Mincho"/>
          <w:noProof/>
        </w:rPr>
      </w:pPr>
      <w:r>
        <w:rPr>
          <w:noProof/>
        </w:rPr>
        <w:t>(Ainm priontáilte agus síniú</w:t>
      </w:r>
      <w:r>
        <w:rPr>
          <w:b/>
          <w:noProof/>
          <w:vertAlign w:val="superscript"/>
        </w:rPr>
        <w:t>(5)</w:t>
      </w:r>
      <w:r>
        <w:rPr>
          <w:noProof/>
        </w:rPr>
        <w:t xml:space="preserve"> an onnmhaireora)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I gcás ina bhfuil an ráiteas maidir le tionscnamh déanta le haghaidh il-lastais de tháirgí tionscnaimh comhionanna de réir bhrí fhomhír 3.18, sonraigh an tréimhse ama a mbeidh feidhm ag an ráiteas maidir le tionscnamh maidir leis. Ní bheidh an tréimhse sin níos faide ná 12 mhí. Ní mór allmhairithe uile an táirge tarlú laistigh den tréimhse shonraithe. I gcás nach bhfuil tréimhse infheidhme, féadfar an réimse a fhágáil bán.</w:t>
      </w:r>
    </w:p>
    <w:p>
      <w:pPr>
        <w:spacing w:line="240" w:lineRule="auto"/>
        <w:ind w:left="567" w:hanging="567"/>
        <w:rPr>
          <w:rFonts w:eastAsia="MS Mincho"/>
          <w:noProof/>
        </w:rPr>
      </w:pPr>
      <w:r>
        <w:rPr>
          <w:b/>
          <w:noProof/>
          <w:vertAlign w:val="superscript"/>
        </w:rPr>
        <w:t>(2)</w:t>
      </w:r>
      <w:r>
        <w:rPr>
          <w:noProof/>
        </w:rPr>
        <w:tab/>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pPr>
        <w:spacing w:line="240" w:lineRule="auto"/>
        <w:ind w:left="567" w:hanging="567"/>
        <w:rPr>
          <w:rFonts w:eastAsia="MS Mincho"/>
          <w:noProof/>
        </w:rPr>
      </w:pPr>
      <w:r>
        <w:rPr>
          <w:b/>
          <w:noProof/>
          <w:vertAlign w:val="superscript"/>
        </w:rPr>
        <w:t>(3)</w:t>
      </w:r>
      <w:r>
        <w:rPr>
          <w:noProof/>
        </w:rPr>
        <w:tab/>
        <w:t>Sonraigh áit tionscnamh an táirge: An Indinéis nó an tAontas Eorpach nó AE.</w:t>
      </w:r>
    </w:p>
    <w:p>
      <w:pPr>
        <w:spacing w:line="240" w:lineRule="auto"/>
        <w:ind w:left="567" w:hanging="567"/>
        <w:rPr>
          <w:rFonts w:eastAsia="MS Mincho"/>
          <w:noProof/>
        </w:rPr>
      </w:pPr>
      <w:r>
        <w:rPr>
          <w:b/>
          <w:noProof/>
          <w:vertAlign w:val="superscript"/>
        </w:rPr>
        <w:t>(4)</w:t>
      </w:r>
      <w:r>
        <w:rPr>
          <w:noProof/>
        </w:rPr>
        <w:tab/>
        <w:t>Féadfar an áit agus an dáta a fhágáil ar lár má tá an fhaisnéis sin sa doiciméad féin.</w:t>
      </w:r>
    </w:p>
    <w:p>
      <w:pPr>
        <w:spacing w:line="240" w:lineRule="auto"/>
        <w:ind w:left="567" w:hanging="567"/>
        <w:rPr>
          <w:rFonts w:eastAsia="MS Mincho"/>
          <w:noProof/>
        </w:rPr>
      </w:pPr>
      <w:r>
        <w:rPr>
          <w:b/>
          <w:noProof/>
          <w:vertAlign w:val="superscript"/>
        </w:rPr>
        <w:t>(5)</w:t>
      </w:r>
      <w:r>
        <w:rPr>
          <w:noProof/>
        </w:rPr>
        <w:tab/>
        <w:t>Má tá uimhir sannta don onnmhaireoir, ní cheanglaítear ar an onnmhaireoir sin an ráiteas maidir le tionscnamh a shíniú.</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italiană:</w:t>
      </w:r>
    </w:p>
    <w:p>
      <w:pPr>
        <w:rPr>
          <w:rFonts w:eastAsia="MS Mincho"/>
          <w:noProof/>
        </w:rPr>
      </w:pPr>
    </w:p>
    <w:p>
      <w:pPr>
        <w:rPr>
          <w:rFonts w:eastAsia="MS Mincho"/>
          <w:noProof/>
        </w:rPr>
      </w:pPr>
      <w:r>
        <w:rPr>
          <w:noProof/>
        </w:rPr>
        <w:t>Testo dell'attestazione di origine nella versione italiana:</w:t>
      </w:r>
    </w:p>
    <w:p>
      <w:pPr>
        <w:rPr>
          <w:rFonts w:eastAsia="MS Mincho"/>
          <w:noProof/>
        </w:rPr>
      </w:pPr>
    </w:p>
    <w:p>
      <w:pPr>
        <w:rPr>
          <w:rFonts w:eastAsia="MS Mincho"/>
          <w:noProof/>
        </w:rPr>
      </w:pPr>
      <w:r>
        <w:rPr>
          <w:noProof/>
        </w:rPr>
        <w:t>(Periodo: dal___________ al __________</w:t>
      </w:r>
      <w:r>
        <w:rPr>
          <w:b/>
          <w:noProof/>
          <w:vertAlign w:val="superscript"/>
        </w:rPr>
        <w:t>(1)</w:t>
      </w:r>
      <w:r>
        <w:rPr>
          <w:noProof/>
        </w:rPr>
        <w:t>)</w:t>
      </w:r>
    </w:p>
    <w:p>
      <w:pPr>
        <w:rPr>
          <w:rFonts w:eastAsia="MS Mincho"/>
          <w:noProof/>
        </w:rPr>
      </w:pPr>
    </w:p>
    <w:p>
      <w:pPr>
        <w:rPr>
          <w:rFonts w:eastAsia="MS Mincho"/>
          <w:noProof/>
        </w:rPr>
      </w:pPr>
      <w:r>
        <w:rPr>
          <w:noProof/>
        </w:rPr>
        <w:t>L'esportatore dei prodotti contemplati nel presente documento (n. di riferimento dell'esportatore …</w:t>
      </w:r>
      <w:r>
        <w:rPr>
          <w:b/>
          <w:noProof/>
          <w:vertAlign w:val="superscript"/>
        </w:rPr>
        <w:t>(2)</w:t>
      </w:r>
      <w:r>
        <w:rPr>
          <w:noProof/>
        </w:rPr>
        <w:t>) dichiara che, eccetto nei casi chiaramente indicati, tali prodotti sono di origine preferenziale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(Luogo e data)</w:t>
      </w:r>
    </w:p>
    <w:p>
      <w:pPr>
        <w:tabs>
          <w:tab w:val="right" w:leader="dot" w:pos="9356"/>
        </w:tabs>
        <w:rPr>
          <w:rFonts w:eastAsia="MS Mincho"/>
          <w:noProof/>
        </w:rPr>
      </w:pPr>
      <w:r>
        <w:rPr>
          <w:noProof/>
        </w:rPr>
        <w:tab/>
      </w:r>
    </w:p>
    <w:p>
      <w:pPr>
        <w:jc w:val="center"/>
        <w:rPr>
          <w:rFonts w:eastAsia="MS Mincho"/>
          <w:noProof/>
        </w:rPr>
      </w:pPr>
      <w:r>
        <w:rPr>
          <w:noProof/>
        </w:rPr>
        <w:t>(Nome stampato e firma</w:t>
      </w:r>
      <w:r>
        <w:rPr>
          <w:b/>
          <w:noProof/>
          <w:vertAlign w:val="superscript"/>
        </w:rPr>
        <w:t>(5)</w:t>
      </w:r>
      <w:r>
        <w:rPr>
          <w:noProof/>
        </w:rPr>
        <w:t xml:space="preserve"> dell'esportatore)</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pPr>
        <w:spacing w:line="240" w:lineRule="auto"/>
        <w:ind w:left="567" w:hanging="567"/>
        <w:rPr>
          <w:rFonts w:eastAsia="MS Mincho"/>
          <w:noProof/>
        </w:rPr>
      </w:pPr>
      <w:r>
        <w:rPr>
          <w:b/>
          <w:noProof/>
          <w:vertAlign w:val="superscript"/>
        </w:rPr>
        <w:t>(2)</w:t>
      </w:r>
      <w:r>
        <w:rPr>
          <w:noProof/>
        </w:rPr>
        <w:tab/>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pPr>
        <w:spacing w:line="240" w:lineRule="auto"/>
        <w:ind w:left="567" w:hanging="567"/>
        <w:rPr>
          <w:rFonts w:eastAsia="MS Mincho"/>
          <w:noProof/>
        </w:rPr>
      </w:pPr>
      <w:r>
        <w:rPr>
          <w:b/>
          <w:noProof/>
          <w:vertAlign w:val="superscript"/>
        </w:rPr>
        <w:t>(3)</w:t>
      </w:r>
      <w:r>
        <w:rPr>
          <w:noProof/>
        </w:rPr>
        <w:tab/>
        <w:t>Indicare l'origine del prodotto: Indonesia o Unione europea o UE.</w:t>
      </w:r>
    </w:p>
    <w:p>
      <w:pPr>
        <w:spacing w:line="240" w:lineRule="auto"/>
        <w:ind w:left="567" w:hanging="567"/>
        <w:rPr>
          <w:rFonts w:eastAsia="MS Mincho"/>
          <w:noProof/>
        </w:rPr>
      </w:pPr>
      <w:r>
        <w:rPr>
          <w:b/>
          <w:noProof/>
          <w:vertAlign w:val="superscript"/>
        </w:rPr>
        <w:t>(4)</w:t>
      </w:r>
      <w:r>
        <w:rPr>
          <w:noProof/>
        </w:rPr>
        <w:tab/>
        <w:t>Luogo e data possono essere omessi se già contenuti nel documento stesso.</w:t>
      </w:r>
    </w:p>
    <w:p>
      <w:pPr>
        <w:spacing w:line="240" w:lineRule="auto"/>
        <w:ind w:left="567" w:hanging="567"/>
        <w:rPr>
          <w:rFonts w:eastAsia="MS Mincho"/>
          <w:noProof/>
        </w:rPr>
      </w:pPr>
      <w:r>
        <w:rPr>
          <w:b/>
          <w:noProof/>
          <w:vertAlign w:val="superscript"/>
        </w:rPr>
        <w:t>(5)</w:t>
      </w:r>
      <w:r>
        <w:rPr>
          <w:noProof/>
        </w:rPr>
        <w:tab/>
        <w:t>Se gli è stato assegnato un numero, l'esportatore non è tenuto a firmare l'attestazione di origine.</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letonă:</w:t>
      </w:r>
    </w:p>
    <w:p>
      <w:pPr>
        <w:rPr>
          <w:rFonts w:eastAsia="MS Mincho"/>
          <w:noProof/>
        </w:rPr>
      </w:pPr>
    </w:p>
    <w:p>
      <w:pPr>
        <w:rPr>
          <w:rFonts w:eastAsia="MS Mincho"/>
          <w:noProof/>
        </w:rPr>
      </w:pPr>
      <w:r>
        <w:rPr>
          <w:noProof/>
        </w:rPr>
        <w:t>Paziņojuma par izcelsmi teksts latviešu valodā:</w:t>
      </w:r>
    </w:p>
    <w:p>
      <w:pPr>
        <w:rPr>
          <w:rFonts w:eastAsia="MS Mincho"/>
          <w:noProof/>
        </w:rPr>
      </w:pPr>
    </w:p>
    <w:p>
      <w:pPr>
        <w:rPr>
          <w:rFonts w:eastAsia="MS Mincho"/>
          <w:noProof/>
        </w:rPr>
      </w:pPr>
      <w:r>
        <w:rPr>
          <w:noProof/>
        </w:rPr>
        <w:t xml:space="preserve">(Laikposms: no___________ līdz __________ </w:t>
      </w:r>
      <w:r>
        <w:rPr>
          <w:b/>
          <w:noProof/>
          <w:vertAlign w:val="superscript"/>
        </w:rPr>
        <w:t>(1)</w:t>
      </w:r>
      <w:r>
        <w:rPr>
          <w:noProof/>
        </w:rPr>
        <w:t>)</w:t>
      </w:r>
    </w:p>
    <w:p>
      <w:pPr>
        <w:rPr>
          <w:rFonts w:eastAsia="MS Mincho"/>
          <w:noProof/>
        </w:rPr>
      </w:pPr>
    </w:p>
    <w:p>
      <w:pPr>
        <w:rPr>
          <w:rFonts w:eastAsia="MS Mincho"/>
          <w:noProof/>
        </w:rPr>
      </w:pPr>
      <w:r>
        <w:rPr>
          <w:noProof/>
        </w:rPr>
        <w:t xml:space="preserve">To ražojumu eksportētājs, kuri ietverti šajā dokumentā (eksportētāja atsauces Nr. … </w:t>
      </w:r>
      <w:r>
        <w:rPr>
          <w:b/>
          <w:noProof/>
          <w:vertAlign w:val="superscript"/>
        </w:rPr>
        <w:t>(2)</w:t>
      </w:r>
      <w:r>
        <w:rPr>
          <w:noProof/>
        </w:rPr>
        <w:t xml:space="preserve">), deklarē, ka, izņemot tur, kur ir skaidri noteikts citādi, šiem ražojumiem ir … </w:t>
      </w:r>
      <w:r>
        <w:rPr>
          <w:b/>
          <w:noProof/>
          <w:vertAlign w:val="superscript"/>
        </w:rPr>
        <w:t>(3)</w:t>
      </w:r>
      <w:r>
        <w:rPr>
          <w:noProof/>
        </w:rPr>
        <w:t xml:space="preserve"> preferenciāla izcelsme.</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(Vieta un datums)</w:t>
      </w:r>
    </w:p>
    <w:p>
      <w:pPr>
        <w:tabs>
          <w:tab w:val="right" w:leader="dot" w:pos="9356"/>
        </w:tabs>
        <w:rPr>
          <w:rFonts w:eastAsia="MS Mincho"/>
          <w:noProof/>
        </w:rPr>
      </w:pPr>
      <w:r>
        <w:rPr>
          <w:noProof/>
        </w:rPr>
        <w:tab/>
      </w:r>
    </w:p>
    <w:p>
      <w:pPr>
        <w:jc w:val="center"/>
        <w:rPr>
          <w:rFonts w:eastAsia="MS Mincho"/>
          <w:noProof/>
        </w:rPr>
      </w:pPr>
      <w:r>
        <w:rPr>
          <w:noProof/>
        </w:rPr>
        <w:t>(Eksportētāja vārda atšifrējums un paraksts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pPr>
        <w:spacing w:line="240" w:lineRule="auto"/>
        <w:ind w:left="567" w:hanging="567"/>
        <w:rPr>
          <w:rFonts w:eastAsia="MS Mincho"/>
          <w:noProof/>
        </w:rPr>
      </w:pPr>
      <w:r>
        <w:rPr>
          <w:b/>
          <w:noProof/>
          <w:vertAlign w:val="superscript"/>
        </w:rPr>
        <w:t>(2)</w:t>
      </w:r>
      <w:r>
        <w:rPr>
          <w:noProof/>
        </w:rPr>
        <w:tab/>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pPr>
        <w:spacing w:line="240" w:lineRule="auto"/>
        <w:ind w:left="567" w:hanging="567"/>
        <w:rPr>
          <w:rFonts w:eastAsia="MS Mincho"/>
          <w:noProof/>
        </w:rPr>
      </w:pPr>
      <w:r>
        <w:rPr>
          <w:b/>
          <w:noProof/>
          <w:vertAlign w:val="superscript"/>
        </w:rPr>
        <w:t>(3)</w:t>
      </w:r>
      <w:r>
        <w:rPr>
          <w:noProof/>
        </w:rPr>
        <w:tab/>
        <w:t>Norāda ražojuma izcelsmi — Indonēzija vai Eiropas Savienība, vai ES.</w:t>
      </w:r>
    </w:p>
    <w:p>
      <w:pPr>
        <w:spacing w:line="240" w:lineRule="auto"/>
        <w:ind w:left="567" w:hanging="567"/>
        <w:rPr>
          <w:rFonts w:eastAsia="MS Mincho"/>
          <w:noProof/>
        </w:rPr>
      </w:pPr>
      <w:r>
        <w:rPr>
          <w:b/>
          <w:noProof/>
          <w:vertAlign w:val="superscript"/>
        </w:rPr>
        <w:t>(4)</w:t>
      </w:r>
      <w:r>
        <w:rPr>
          <w:noProof/>
        </w:rPr>
        <w:tab/>
        <w:t>Vietu un datumu var izlaist, ja informācija jau ir sniegta pašā dokumentā.</w:t>
      </w:r>
    </w:p>
    <w:p>
      <w:pPr>
        <w:spacing w:line="240" w:lineRule="auto"/>
        <w:ind w:left="567" w:hanging="567"/>
        <w:rPr>
          <w:rFonts w:eastAsia="MS Mincho"/>
          <w:noProof/>
        </w:rPr>
      </w:pPr>
      <w:r>
        <w:rPr>
          <w:b/>
          <w:noProof/>
          <w:vertAlign w:val="superscript"/>
        </w:rPr>
        <w:t>(5)</w:t>
      </w:r>
      <w:r>
        <w:rPr>
          <w:noProof/>
        </w:rPr>
        <w:tab/>
        <w:t>Ja eksportētājam ir piešķirts numurs, šim eksportētājam nav jāparaksta paziņojums par izcelsmi.</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lituaniană:</w:t>
      </w:r>
    </w:p>
    <w:p>
      <w:pPr>
        <w:rPr>
          <w:rFonts w:eastAsia="MS Mincho"/>
          <w:noProof/>
        </w:rPr>
      </w:pPr>
    </w:p>
    <w:p>
      <w:pPr>
        <w:rPr>
          <w:rFonts w:eastAsia="MS Mincho"/>
          <w:noProof/>
        </w:rPr>
      </w:pPr>
      <w:r>
        <w:rPr>
          <w:noProof/>
        </w:rPr>
        <w:t>Pareiškimo apie prekių kilmę tekstas lietuvių kalba:</w:t>
      </w:r>
    </w:p>
    <w:p>
      <w:pPr>
        <w:rPr>
          <w:rFonts w:eastAsia="MS Mincho"/>
          <w:noProof/>
        </w:rPr>
      </w:pPr>
    </w:p>
    <w:p>
      <w:pPr>
        <w:rPr>
          <w:rFonts w:eastAsia="MS Mincho"/>
          <w:noProof/>
        </w:rPr>
      </w:pPr>
      <w:r>
        <w:rPr>
          <w:noProof/>
        </w:rPr>
        <w:t>(Laikotarpis: nuo___________ iki __________ </w:t>
      </w:r>
      <w:r>
        <w:rPr>
          <w:b/>
          <w:noProof/>
          <w:vertAlign w:val="superscript"/>
        </w:rPr>
        <w:t>(1)</w:t>
      </w:r>
      <w:r>
        <w:rPr>
          <w:noProof/>
        </w:rPr>
        <w:t>)</w:t>
      </w:r>
    </w:p>
    <w:p>
      <w:pPr>
        <w:rPr>
          <w:rFonts w:eastAsia="MS Mincho"/>
          <w:noProof/>
        </w:rPr>
      </w:pPr>
    </w:p>
    <w:p>
      <w:pPr>
        <w:rPr>
          <w:rFonts w:eastAsia="MS Mincho"/>
          <w:noProof/>
        </w:rPr>
      </w:pPr>
      <w:r>
        <w:rPr>
          <w:noProof/>
        </w:rPr>
        <w:t xml:space="preserve">Produktų, kuriems taikomas šis dokumentas, eksportuotojas (eksportuotojo registracijos Nr. … </w:t>
      </w:r>
      <w:r>
        <w:rPr>
          <w:b/>
          <w:noProof/>
          <w:vertAlign w:val="superscript"/>
        </w:rPr>
        <w:t>(2)</w:t>
      </w:r>
      <w:r>
        <w:rPr>
          <w:noProof/>
        </w:rPr>
        <w:t xml:space="preserve">) deklaruoja, kad, jeigu aiškiai nenurodyta kitaip, šie produktai turi … </w:t>
      </w:r>
      <w:r>
        <w:rPr>
          <w:b/>
          <w:noProof/>
          <w:vertAlign w:val="superscript"/>
        </w:rPr>
        <w:t>(3)</w:t>
      </w:r>
      <w:r>
        <w:rPr>
          <w:noProof/>
        </w:rPr>
        <w:t xml:space="preserve"> lengvatinės kilmės statusą.</w:t>
      </w:r>
    </w:p>
    <w:p>
      <w:pPr>
        <w:rPr>
          <w:rFonts w:eastAsia="MS Mincho"/>
          <w:noProof/>
        </w:rPr>
      </w:pPr>
    </w:p>
    <w:p>
      <w:pPr>
        <w:tabs>
          <w:tab w:val="right" w:leader="dot" w:pos="9356"/>
        </w:tabs>
        <w:rPr>
          <w:rFonts w:eastAsia="MS Mincho"/>
          <w:noProof/>
        </w:rPr>
      </w:pPr>
      <w:r>
        <w:rPr>
          <w:noProof/>
        </w:rPr>
        <w:tab/>
        <w:t xml:space="preserve"> </w:t>
      </w:r>
      <w:r>
        <w:rPr>
          <w:b/>
          <w:noProof/>
          <w:vertAlign w:val="superscript"/>
        </w:rPr>
        <w:t>(4)</w:t>
      </w:r>
    </w:p>
    <w:p>
      <w:pPr>
        <w:jc w:val="center"/>
        <w:rPr>
          <w:rFonts w:eastAsia="MS Mincho"/>
          <w:noProof/>
        </w:rPr>
      </w:pPr>
      <w:r>
        <w:rPr>
          <w:noProof/>
        </w:rPr>
        <w:t>(Vieta ir data)</w:t>
      </w:r>
    </w:p>
    <w:p>
      <w:pPr>
        <w:tabs>
          <w:tab w:val="right" w:leader="dot" w:pos="9356"/>
        </w:tabs>
        <w:rPr>
          <w:rFonts w:eastAsia="MS Mincho"/>
          <w:noProof/>
        </w:rPr>
      </w:pPr>
      <w:r>
        <w:rPr>
          <w:noProof/>
        </w:rPr>
        <w:tab/>
      </w:r>
    </w:p>
    <w:p>
      <w:pPr>
        <w:jc w:val="center"/>
        <w:rPr>
          <w:rFonts w:eastAsia="MS Mincho"/>
          <w:noProof/>
        </w:rPr>
      </w:pPr>
      <w:r>
        <w:rPr>
          <w:noProof/>
        </w:rPr>
        <w:t>(Atspausdintas eksportuotojo vardas ir pavardė (pavadinimas) ir parašas </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pPr>
        <w:spacing w:line="240" w:lineRule="auto"/>
        <w:ind w:left="567" w:hanging="567"/>
        <w:rPr>
          <w:rFonts w:eastAsia="MS Mincho"/>
          <w:noProof/>
        </w:rPr>
      </w:pPr>
      <w:r>
        <w:rPr>
          <w:b/>
          <w:noProof/>
          <w:vertAlign w:val="superscript"/>
        </w:rPr>
        <w:t>(2)</w:t>
      </w:r>
      <w:r>
        <w:rPr>
          <w:noProof/>
        </w:rPr>
        <w:tab/>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pPr>
        <w:spacing w:line="240" w:lineRule="auto"/>
        <w:ind w:left="567" w:hanging="567"/>
        <w:rPr>
          <w:rFonts w:eastAsia="MS Mincho"/>
          <w:noProof/>
        </w:rPr>
      </w:pPr>
      <w:r>
        <w:rPr>
          <w:b/>
          <w:noProof/>
          <w:vertAlign w:val="superscript"/>
        </w:rPr>
        <w:t>(3)</w:t>
      </w:r>
      <w:r>
        <w:rPr>
          <w:noProof/>
        </w:rPr>
        <w:tab/>
        <w:t>Nurodoma produkto kilmė – Indonezija arba Europos Sąjunga ar ES.</w:t>
      </w:r>
    </w:p>
    <w:p>
      <w:pPr>
        <w:spacing w:line="240" w:lineRule="auto"/>
        <w:ind w:left="567" w:hanging="567"/>
        <w:rPr>
          <w:rFonts w:eastAsia="MS Mincho"/>
          <w:noProof/>
        </w:rPr>
      </w:pPr>
      <w:r>
        <w:rPr>
          <w:b/>
          <w:noProof/>
          <w:vertAlign w:val="superscript"/>
        </w:rPr>
        <w:t>(4)</w:t>
      </w:r>
      <w:r>
        <w:rPr>
          <w:noProof/>
        </w:rPr>
        <w:tab/>
        <w:t>Vietos ir datos galima nenurodyti, jei ši informacija pateikiama pačiame dokumente.</w:t>
      </w:r>
    </w:p>
    <w:p>
      <w:pPr>
        <w:spacing w:line="240" w:lineRule="auto"/>
        <w:ind w:left="567" w:hanging="567"/>
        <w:rPr>
          <w:rFonts w:eastAsia="MS Mincho"/>
          <w:noProof/>
        </w:rPr>
      </w:pPr>
      <w:r>
        <w:rPr>
          <w:b/>
          <w:noProof/>
          <w:vertAlign w:val="superscript"/>
        </w:rPr>
        <w:t>(5)</w:t>
      </w:r>
      <w:r>
        <w:rPr>
          <w:noProof/>
        </w:rPr>
        <w:tab/>
        <w:t>Jei eksportuotojui numeris suteiktas, nereikalaujama, kad jis pasirašytų pareiškimą apie prekių kilmę.</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malteză:</w:t>
      </w:r>
    </w:p>
    <w:p>
      <w:pPr>
        <w:rPr>
          <w:rFonts w:eastAsia="MS Mincho"/>
          <w:noProof/>
        </w:rPr>
      </w:pPr>
    </w:p>
    <w:p>
      <w:pPr>
        <w:rPr>
          <w:rFonts w:eastAsia="MS Mincho"/>
          <w:noProof/>
        </w:rPr>
      </w:pPr>
      <w:r>
        <w:rPr>
          <w:noProof/>
        </w:rPr>
        <w:t>Test tad-dikjarazzjoni dwar l-oriġini bil-Malti:</w:t>
      </w:r>
    </w:p>
    <w:p>
      <w:pPr>
        <w:rPr>
          <w:rFonts w:eastAsia="MS Mincho"/>
          <w:noProof/>
        </w:rPr>
      </w:pPr>
    </w:p>
    <w:p>
      <w:pPr>
        <w:rPr>
          <w:rFonts w:eastAsia="MS Mincho"/>
          <w:noProof/>
        </w:rPr>
      </w:pPr>
      <w:r>
        <w:rPr>
          <w:noProof/>
        </w:rPr>
        <w:t xml:space="preserve">(Perjodu: minn___________ sa __________ </w:t>
      </w:r>
      <w:r>
        <w:rPr>
          <w:b/>
          <w:noProof/>
          <w:vertAlign w:val="superscript"/>
        </w:rPr>
        <w:t>(1)</w:t>
      </w:r>
      <w:r>
        <w:rPr>
          <w:noProof/>
        </w:rPr>
        <w:t>)</w:t>
      </w:r>
    </w:p>
    <w:p>
      <w:pPr>
        <w:rPr>
          <w:rFonts w:eastAsia="MS Mincho"/>
          <w:noProof/>
        </w:rPr>
      </w:pPr>
    </w:p>
    <w:p>
      <w:pPr>
        <w:rPr>
          <w:rFonts w:eastAsia="MS Mincho"/>
          <w:noProof/>
        </w:rPr>
      </w:pPr>
      <w:r>
        <w:rPr>
          <w:noProof/>
        </w:rPr>
        <w:t xml:space="preserve">L-esportatur tal-prodotti koperti minn dan id-dokument (Nru ta’ Referenza tal-Esportatur … </w:t>
      </w:r>
      <w:r>
        <w:rPr>
          <w:b/>
          <w:noProof/>
          <w:vertAlign w:val="superscript"/>
        </w:rPr>
        <w:t>(2)</w:t>
      </w:r>
      <w:r>
        <w:rPr>
          <w:noProof/>
        </w:rPr>
        <w:t xml:space="preserve">) jiddikjara li, ħlief fejn indikat mod ieħor b’mod ċar, dawn il-prodotti huma ta’… </w:t>
      </w:r>
      <w:r>
        <w:rPr>
          <w:b/>
          <w:noProof/>
          <w:vertAlign w:val="superscript"/>
        </w:rPr>
        <w:t>(3)</w:t>
      </w:r>
      <w:r>
        <w:rPr>
          <w:noProof/>
        </w:rPr>
        <w:t xml:space="preserve"> oriġini preferenzjali.</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(Post u data)</w:t>
      </w:r>
    </w:p>
    <w:p>
      <w:pPr>
        <w:tabs>
          <w:tab w:val="right" w:leader="dot" w:pos="9356"/>
        </w:tabs>
        <w:rPr>
          <w:rFonts w:eastAsia="MS Mincho"/>
          <w:noProof/>
        </w:rPr>
      </w:pPr>
      <w:r>
        <w:rPr>
          <w:noProof/>
        </w:rPr>
        <w:tab/>
      </w:r>
    </w:p>
    <w:p>
      <w:pPr>
        <w:jc w:val="center"/>
        <w:rPr>
          <w:rFonts w:eastAsia="MS Mincho"/>
          <w:noProof/>
        </w:rPr>
      </w:pPr>
      <w:r>
        <w:rPr>
          <w:noProof/>
        </w:rPr>
        <w:t>(L-isem stampat u l-firma</w:t>
      </w:r>
      <w:r>
        <w:rPr>
          <w:b/>
          <w:noProof/>
          <w:vertAlign w:val="superscript"/>
        </w:rPr>
        <w:t>(5)</w:t>
      </w:r>
      <w:r>
        <w:rPr>
          <w:noProof/>
        </w:rPr>
        <w:t xml:space="preserve"> tal-esportatur)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pPr>
        <w:spacing w:line="240" w:lineRule="auto"/>
        <w:ind w:left="567" w:hanging="567"/>
        <w:rPr>
          <w:rFonts w:eastAsia="MS Mincho"/>
          <w:noProof/>
        </w:rPr>
      </w:pPr>
      <w:r>
        <w:rPr>
          <w:b/>
          <w:noProof/>
          <w:vertAlign w:val="superscript"/>
        </w:rPr>
        <w:t>(2)</w:t>
      </w:r>
      <w:r>
        <w:rPr>
          <w:noProof/>
        </w:rPr>
        <w:tab/>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pPr>
        <w:spacing w:line="240" w:lineRule="auto"/>
        <w:ind w:left="567" w:hanging="567"/>
        <w:rPr>
          <w:rFonts w:eastAsia="MS Mincho"/>
          <w:noProof/>
        </w:rPr>
      </w:pPr>
      <w:r>
        <w:rPr>
          <w:b/>
          <w:noProof/>
          <w:vertAlign w:val="superscript"/>
        </w:rPr>
        <w:t>(3)</w:t>
      </w:r>
      <w:r>
        <w:rPr>
          <w:noProof/>
        </w:rPr>
        <w:tab/>
        <w:t>Indika l-oriġini tal-prodott: L-Indoneżja jew l-Unjoni Ewropea jew l-UE.</w:t>
      </w:r>
    </w:p>
    <w:p>
      <w:pPr>
        <w:spacing w:line="240" w:lineRule="auto"/>
        <w:ind w:left="567" w:hanging="567"/>
        <w:rPr>
          <w:rFonts w:eastAsia="MS Mincho"/>
          <w:noProof/>
        </w:rPr>
      </w:pPr>
      <w:r>
        <w:rPr>
          <w:b/>
          <w:noProof/>
          <w:vertAlign w:val="superscript"/>
        </w:rPr>
        <w:t>(4)</w:t>
      </w:r>
      <w:r>
        <w:rPr>
          <w:noProof/>
        </w:rPr>
        <w:tab/>
        <w:t>Il-post u d-data jistgħu jitħallew barra jekk l-informazzjoni tinsab fid-dokument innifsu.</w:t>
      </w:r>
    </w:p>
    <w:p>
      <w:pPr>
        <w:spacing w:line="240" w:lineRule="auto"/>
        <w:ind w:left="567" w:hanging="567"/>
        <w:rPr>
          <w:rFonts w:eastAsia="MS Mincho"/>
          <w:noProof/>
        </w:rPr>
      </w:pPr>
      <w:r>
        <w:rPr>
          <w:b/>
          <w:noProof/>
          <w:vertAlign w:val="superscript"/>
        </w:rPr>
        <w:t>(5)</w:t>
      </w:r>
      <w:r>
        <w:rPr>
          <w:noProof/>
        </w:rPr>
        <w:tab/>
        <w:t>Jekk l-esportatur ikun ġie assenjat numru, dak l-esportatur ma jkunx meħtieġ jiffirma d-dikjarazzjoni dwar l-oriġini.</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polonă:</w:t>
      </w:r>
    </w:p>
    <w:p>
      <w:pPr>
        <w:rPr>
          <w:rFonts w:eastAsia="MS Mincho"/>
          <w:noProof/>
        </w:rPr>
      </w:pPr>
    </w:p>
    <w:p>
      <w:pPr>
        <w:rPr>
          <w:rFonts w:eastAsia="MS Mincho"/>
          <w:noProof/>
        </w:rPr>
      </w:pPr>
      <w:r>
        <w:rPr>
          <w:noProof/>
        </w:rPr>
        <w:t>Tekst oświadczenia o pochodzeniu w języku polskim:</w:t>
      </w:r>
    </w:p>
    <w:p>
      <w:pPr>
        <w:rPr>
          <w:rFonts w:eastAsia="MS Mincho"/>
          <w:noProof/>
        </w:rPr>
      </w:pPr>
    </w:p>
    <w:p>
      <w:pPr>
        <w:rPr>
          <w:rFonts w:eastAsia="MS Mincho"/>
          <w:noProof/>
        </w:rPr>
      </w:pPr>
      <w:r>
        <w:rPr>
          <w:noProof/>
        </w:rPr>
        <w:t xml:space="preserve">(Okres: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Eksporter produktów objętych niniejszym dokumentem (nr referencyjny eksportera … </w:t>
      </w:r>
      <w:r>
        <w:rPr>
          <w:b/>
          <w:noProof/>
          <w:vertAlign w:val="superscript"/>
        </w:rPr>
        <w:t>(2)</w:t>
      </w:r>
      <w:r>
        <w:rPr>
          <w:noProof/>
        </w:rPr>
        <w:t xml:space="preserve">) oświadcza, że o ile nie zostało to wyraźnie określone inaczej, produkty te mają </w:t>
      </w:r>
      <w:r>
        <w:rPr>
          <w:b/>
          <w:noProof/>
          <w:vertAlign w:val="superscript"/>
        </w:rPr>
        <w:t>(3)</w:t>
      </w:r>
      <w:r>
        <w:rPr>
          <w:noProof/>
        </w:rPr>
        <w:t xml:space="preserve"> preferencyjne pochodzenie …</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(Miejscowość i data)</w:t>
      </w:r>
    </w:p>
    <w:p>
      <w:pPr>
        <w:tabs>
          <w:tab w:val="right" w:leader="dot" w:pos="9356"/>
        </w:tabs>
        <w:rPr>
          <w:rFonts w:eastAsia="MS Mincho"/>
          <w:noProof/>
        </w:rPr>
      </w:pPr>
      <w:r>
        <w:rPr>
          <w:noProof/>
        </w:rPr>
        <w:tab/>
      </w:r>
    </w:p>
    <w:p>
      <w:pPr>
        <w:jc w:val="center"/>
        <w:rPr>
          <w:rFonts w:eastAsia="MS Mincho"/>
          <w:noProof/>
        </w:rPr>
      </w:pPr>
      <w:r>
        <w:rPr>
          <w:noProof/>
        </w:rPr>
        <w:t xml:space="preserve">(Wydrukowana nazwa i podpis </w:t>
      </w:r>
      <w:r>
        <w:rPr>
          <w:b/>
          <w:noProof/>
          <w:vertAlign w:val="superscript"/>
        </w:rPr>
        <w:t>(5)</w:t>
      </w:r>
      <w:r>
        <w:rPr>
          <w:noProof/>
        </w:rPr>
        <w:t xml:space="preserve"> eksportera)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pPr>
        <w:spacing w:line="240" w:lineRule="auto"/>
        <w:ind w:left="567" w:hanging="567"/>
        <w:rPr>
          <w:rFonts w:eastAsia="MS Mincho"/>
          <w:noProof/>
        </w:rPr>
      </w:pPr>
      <w:r>
        <w:rPr>
          <w:b/>
          <w:noProof/>
          <w:vertAlign w:val="superscript"/>
        </w:rPr>
        <w:t>(2)</w:t>
      </w:r>
      <w:r>
        <w:rPr>
          <w:noProof/>
        </w:rPr>
        <w:tab/>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pPr>
        <w:spacing w:line="240" w:lineRule="auto"/>
        <w:ind w:left="567" w:hanging="567"/>
        <w:rPr>
          <w:rFonts w:eastAsia="MS Mincho"/>
          <w:noProof/>
        </w:rPr>
      </w:pPr>
      <w:r>
        <w:rPr>
          <w:b/>
          <w:noProof/>
          <w:vertAlign w:val="superscript"/>
        </w:rPr>
        <w:t>(3)</w:t>
      </w:r>
      <w:r>
        <w:rPr>
          <w:noProof/>
        </w:rPr>
        <w:tab/>
        <w:t>Należy wskazać pochodzenie produktu: Indonezja lub Unia Europejska lub UE.</w:t>
      </w:r>
    </w:p>
    <w:p>
      <w:pPr>
        <w:spacing w:line="240" w:lineRule="auto"/>
        <w:ind w:left="567" w:hanging="567"/>
        <w:rPr>
          <w:rFonts w:eastAsia="MS Mincho"/>
          <w:noProof/>
        </w:rPr>
      </w:pPr>
      <w:r>
        <w:rPr>
          <w:b/>
          <w:noProof/>
          <w:vertAlign w:val="superscript"/>
        </w:rPr>
        <w:t>(4)</w:t>
      </w:r>
      <w:r>
        <w:rPr>
          <w:noProof/>
        </w:rPr>
        <w:tab/>
        <w:t>Miejscowość i data mogą zostać pominięte, jeżeli odpowiednie informacje są zawarte w samym dokumencie.</w:t>
      </w:r>
    </w:p>
    <w:p>
      <w:pPr>
        <w:spacing w:line="240" w:lineRule="auto"/>
        <w:ind w:left="567" w:hanging="567"/>
        <w:rPr>
          <w:rFonts w:eastAsia="MS Mincho"/>
          <w:noProof/>
        </w:rPr>
      </w:pPr>
      <w:r>
        <w:rPr>
          <w:b/>
          <w:noProof/>
          <w:vertAlign w:val="superscript"/>
        </w:rPr>
        <w:t>(5)</w:t>
      </w:r>
      <w:r>
        <w:rPr>
          <w:noProof/>
        </w:rPr>
        <w:tab/>
        <w:t>Jeżeli eksporterowi nadano numer, eksporter ten nie jest zobowiązany do podpisania oświadczenia o pochodzeniu.</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portugheză:</w:t>
      </w:r>
    </w:p>
    <w:p>
      <w:pPr>
        <w:rPr>
          <w:rFonts w:eastAsia="MS Mincho"/>
          <w:noProof/>
        </w:rPr>
      </w:pPr>
    </w:p>
    <w:p>
      <w:pPr>
        <w:rPr>
          <w:rFonts w:eastAsia="MS Mincho"/>
          <w:noProof/>
        </w:rPr>
      </w:pPr>
      <w:r>
        <w:rPr>
          <w:noProof/>
        </w:rPr>
        <w:t>Versão portuguesa do atestado de origem:</w:t>
      </w:r>
    </w:p>
    <w:p>
      <w:pPr>
        <w:rPr>
          <w:rFonts w:eastAsia="MS Mincho"/>
          <w:noProof/>
        </w:rPr>
      </w:pPr>
    </w:p>
    <w:p>
      <w:pPr>
        <w:rPr>
          <w:rFonts w:eastAsia="MS Mincho"/>
          <w:noProof/>
        </w:rPr>
      </w:pPr>
      <w:r>
        <w:rPr>
          <w:noProof/>
        </w:rPr>
        <w:t xml:space="preserve">(Período: de___________ a __________ </w:t>
      </w:r>
      <w:r>
        <w:rPr>
          <w:b/>
          <w:noProof/>
          <w:vertAlign w:val="superscript"/>
        </w:rPr>
        <w:t>(1)</w:t>
      </w:r>
      <w:r>
        <w:rPr>
          <w:noProof/>
        </w:rPr>
        <w:t>)</w:t>
      </w:r>
    </w:p>
    <w:p>
      <w:pPr>
        <w:rPr>
          <w:rFonts w:eastAsia="MS Mincho"/>
          <w:noProof/>
        </w:rPr>
      </w:pPr>
    </w:p>
    <w:p>
      <w:pPr>
        <w:rPr>
          <w:rFonts w:eastAsia="MS Mincho"/>
          <w:noProof/>
        </w:rPr>
      </w:pPr>
      <w:r>
        <w:rPr>
          <w:noProof/>
        </w:rPr>
        <w:t xml:space="preserve">O exportador dos produtos cobertos pelo presente documento (Referência do Exportador n.º … </w:t>
      </w:r>
      <w:r>
        <w:rPr>
          <w:b/>
          <w:noProof/>
          <w:vertAlign w:val="superscript"/>
        </w:rPr>
        <w:t>(2)</w:t>
      </w:r>
      <w:r>
        <w:rPr>
          <w:noProof/>
        </w:rPr>
        <w:t xml:space="preserve">) declara que, salvo expressamente indicado em contrário, estes produtos são de … </w:t>
      </w:r>
      <w:r>
        <w:rPr>
          <w:b/>
          <w:noProof/>
          <w:vertAlign w:val="superscript"/>
        </w:rPr>
        <w:t>(3)</w:t>
      </w:r>
      <w:r>
        <w:rPr>
          <w:noProof/>
        </w:rPr>
        <w:t xml:space="preserve"> origem preferencial.</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(Local e data)</w:t>
      </w:r>
    </w:p>
    <w:p>
      <w:pPr>
        <w:tabs>
          <w:tab w:val="right" w:leader="dot" w:pos="9356"/>
        </w:tabs>
        <w:rPr>
          <w:rFonts w:eastAsia="MS Mincho"/>
          <w:noProof/>
        </w:rPr>
      </w:pPr>
      <w:r>
        <w:rPr>
          <w:noProof/>
        </w:rPr>
        <w:tab/>
      </w:r>
    </w:p>
    <w:p>
      <w:pPr>
        <w:jc w:val="center"/>
        <w:rPr>
          <w:rFonts w:eastAsia="MS Mincho"/>
          <w:noProof/>
        </w:rPr>
      </w:pPr>
      <w:r>
        <w:rPr>
          <w:noProof/>
        </w:rPr>
        <w:t>(Nome impresso e assinatura</w:t>
      </w:r>
      <w:r>
        <w:rPr>
          <w:b/>
          <w:noProof/>
          <w:vertAlign w:val="superscript"/>
        </w:rPr>
        <w:t>(5)</w:t>
      </w:r>
      <w:r>
        <w:rPr>
          <w:noProof/>
        </w:rPr>
        <w:t xml:space="preserve"> do exportador)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pPr>
        <w:spacing w:line="240" w:lineRule="auto"/>
        <w:ind w:left="567" w:hanging="567"/>
        <w:rPr>
          <w:rFonts w:eastAsia="MS Mincho"/>
          <w:noProof/>
        </w:rPr>
      </w:pPr>
      <w:r>
        <w:rPr>
          <w:b/>
          <w:noProof/>
          <w:vertAlign w:val="superscript"/>
        </w:rPr>
        <w:t>(2)</w:t>
      </w:r>
      <w:r>
        <w:rPr>
          <w:noProof/>
        </w:rPr>
        <w:tab/>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pPr>
        <w:spacing w:line="240" w:lineRule="auto"/>
        <w:ind w:left="567" w:hanging="567"/>
        <w:rPr>
          <w:rFonts w:eastAsia="MS Mincho"/>
          <w:noProof/>
        </w:rPr>
      </w:pPr>
      <w:r>
        <w:rPr>
          <w:b/>
          <w:noProof/>
          <w:vertAlign w:val="superscript"/>
        </w:rPr>
        <w:t>(3)</w:t>
      </w:r>
      <w:r>
        <w:rPr>
          <w:noProof/>
        </w:rPr>
        <w:tab/>
        <w:t>Indicar a origem do produto: Indonésia, ou União Europeia ou UE.</w:t>
      </w:r>
    </w:p>
    <w:p>
      <w:pPr>
        <w:spacing w:line="240" w:lineRule="auto"/>
        <w:ind w:left="567" w:hanging="567"/>
        <w:rPr>
          <w:rFonts w:eastAsia="MS Mincho"/>
          <w:noProof/>
        </w:rPr>
      </w:pPr>
      <w:r>
        <w:rPr>
          <w:b/>
          <w:noProof/>
          <w:vertAlign w:val="superscript"/>
        </w:rPr>
        <w:t>(4)</w:t>
      </w:r>
      <w:r>
        <w:rPr>
          <w:noProof/>
        </w:rPr>
        <w:tab/>
        <w:t>Caso essa informação esteja contida no próprio documento, o local e a data podem ser omitidos.</w:t>
      </w:r>
    </w:p>
    <w:p>
      <w:pPr>
        <w:spacing w:line="240" w:lineRule="auto"/>
        <w:ind w:left="567" w:hanging="567"/>
        <w:rPr>
          <w:rFonts w:eastAsia="MS Mincho"/>
          <w:noProof/>
        </w:rPr>
      </w:pPr>
      <w:r>
        <w:rPr>
          <w:b/>
          <w:noProof/>
          <w:vertAlign w:val="superscript"/>
        </w:rPr>
        <w:t>(5)</w:t>
      </w:r>
      <w:r>
        <w:rPr>
          <w:noProof/>
        </w:rPr>
        <w:tab/>
        <w:t>Se tiver sido atribuído um número ao exportador, este não é obrigado a assinar o atestado de origem.</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română:</w:t>
      </w:r>
    </w:p>
    <w:p>
      <w:pPr>
        <w:rPr>
          <w:rFonts w:eastAsia="MS Mincho"/>
          <w:noProof/>
        </w:rPr>
      </w:pPr>
    </w:p>
    <w:p>
      <w:pPr>
        <w:rPr>
          <w:rFonts w:eastAsia="MS Mincho"/>
          <w:noProof/>
        </w:rPr>
      </w:pPr>
      <w:r>
        <w:rPr>
          <w:noProof/>
        </w:rPr>
        <w:t>Textul atestatului de origine în limba română:</w:t>
      </w:r>
    </w:p>
    <w:p>
      <w:pPr>
        <w:rPr>
          <w:rFonts w:eastAsia="MS Mincho"/>
          <w:noProof/>
        </w:rPr>
      </w:pPr>
    </w:p>
    <w:p>
      <w:pPr>
        <w:rPr>
          <w:rFonts w:eastAsia="MS Mincho"/>
          <w:noProof/>
        </w:rPr>
      </w:pPr>
      <w:r>
        <w:rPr>
          <w:noProof/>
        </w:rPr>
        <w:t xml:space="preserve">(Perioada: de la___________ până la __________ </w:t>
      </w:r>
      <w:r>
        <w:rPr>
          <w:b/>
          <w:noProof/>
          <w:vertAlign w:val="superscript"/>
        </w:rPr>
        <w:t>(1)</w:t>
      </w:r>
      <w:r>
        <w:rPr>
          <w:noProof/>
        </w:rPr>
        <w:t>)</w:t>
      </w:r>
    </w:p>
    <w:p>
      <w:pPr>
        <w:rPr>
          <w:rFonts w:eastAsia="MS Mincho"/>
          <w:noProof/>
        </w:rPr>
      </w:pPr>
    </w:p>
    <w:p>
      <w:pPr>
        <w:rPr>
          <w:rFonts w:eastAsia="MS Mincho"/>
          <w:noProof/>
        </w:rPr>
      </w:pPr>
      <w:r>
        <w:rPr>
          <w:noProof/>
        </w:rPr>
        <w:t>Exportatorul produselor care fac obiectul prezentului document (nr. de referință al exportatorului … </w:t>
      </w:r>
      <w:r>
        <w:rPr>
          <w:b/>
          <w:noProof/>
          <w:vertAlign w:val="superscript"/>
        </w:rPr>
        <w:t>(2)</w:t>
      </w:r>
      <w:r>
        <w:rPr>
          <w:noProof/>
        </w:rPr>
        <w:t xml:space="preserve">) declară că, exceptând cazul în care se indică altfel în mod clar, aceste produse sunt de origine preferențială din … </w:t>
      </w:r>
      <w:r>
        <w:rPr>
          <w:b/>
          <w:noProof/>
          <w:vertAlign w:val="superscript"/>
        </w:rPr>
        <w:t>(3)</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(Locul și data)</w:t>
      </w:r>
    </w:p>
    <w:p>
      <w:pPr>
        <w:tabs>
          <w:tab w:val="right" w:leader="dot" w:pos="9356"/>
        </w:tabs>
        <w:rPr>
          <w:rFonts w:eastAsia="MS Mincho"/>
          <w:noProof/>
        </w:rPr>
      </w:pPr>
      <w:r>
        <w:rPr>
          <w:noProof/>
        </w:rPr>
        <w:tab/>
      </w:r>
    </w:p>
    <w:p>
      <w:pPr>
        <w:jc w:val="center"/>
        <w:rPr>
          <w:rFonts w:eastAsia="MS Mincho"/>
          <w:noProof/>
        </w:rPr>
      </w:pPr>
      <w:r>
        <w:rPr>
          <w:noProof/>
        </w:rPr>
        <w:t xml:space="preserve">(Numele în clar și semnătura </w:t>
      </w:r>
      <w:r>
        <w:rPr>
          <w:b/>
          <w:noProof/>
          <w:vertAlign w:val="superscript"/>
        </w:rPr>
        <w:t>(5)</w:t>
      </w:r>
      <w:r>
        <w:rPr>
          <w:noProof/>
        </w:rPr>
        <w:t xml:space="preserve"> exportatorului)</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pPr>
        <w:spacing w:line="240" w:lineRule="auto"/>
        <w:ind w:left="567" w:hanging="567"/>
        <w:rPr>
          <w:rFonts w:eastAsia="MS Mincho"/>
          <w:noProof/>
        </w:rPr>
      </w:pPr>
      <w:r>
        <w:rPr>
          <w:b/>
          <w:noProof/>
          <w:vertAlign w:val="superscript"/>
        </w:rPr>
        <w:t>(2)</w:t>
      </w:r>
      <w:r>
        <w:rPr>
          <w:noProof/>
        </w:rPr>
        <w:tab/>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pPr>
        <w:spacing w:line="240" w:lineRule="auto"/>
        <w:ind w:left="567" w:hanging="567"/>
        <w:rPr>
          <w:rFonts w:eastAsia="MS Mincho"/>
          <w:noProof/>
        </w:rPr>
      </w:pPr>
      <w:r>
        <w:rPr>
          <w:b/>
          <w:noProof/>
          <w:vertAlign w:val="superscript"/>
        </w:rPr>
        <w:t>(3)</w:t>
      </w:r>
      <w:r>
        <w:rPr>
          <w:noProof/>
        </w:rPr>
        <w:tab/>
        <w:t>A se indica originea produsului: Indonezia sau Uniunea Europeană sau UE.</w:t>
      </w:r>
    </w:p>
    <w:p>
      <w:pPr>
        <w:spacing w:line="240" w:lineRule="auto"/>
        <w:ind w:left="567" w:hanging="567"/>
        <w:rPr>
          <w:rFonts w:eastAsia="MS Mincho"/>
          <w:noProof/>
        </w:rPr>
      </w:pPr>
      <w:r>
        <w:rPr>
          <w:b/>
          <w:noProof/>
          <w:vertAlign w:val="superscript"/>
        </w:rPr>
        <w:t>(4)</w:t>
      </w:r>
      <w:r>
        <w:rPr>
          <w:noProof/>
        </w:rPr>
        <w:tab/>
        <w:t>Locul și data pot fi omise dacă informațiile există deja în documentul propriu-zis.</w:t>
      </w:r>
    </w:p>
    <w:p>
      <w:pPr>
        <w:spacing w:line="240" w:lineRule="auto"/>
        <w:ind w:left="567" w:hanging="567"/>
        <w:rPr>
          <w:rFonts w:eastAsia="MS Mincho"/>
          <w:noProof/>
        </w:rPr>
      </w:pPr>
      <w:r>
        <w:rPr>
          <w:b/>
          <w:noProof/>
          <w:vertAlign w:val="superscript"/>
        </w:rPr>
        <w:t>(5)</w:t>
      </w:r>
      <w:r>
        <w:rPr>
          <w:noProof/>
        </w:rPr>
        <w:tab/>
        <w:t>În cazul în care exportatorului i s-a atribuit un număr, acesta nu este obligat să semneze atestatul de origine.</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slovacă:</w:t>
      </w:r>
    </w:p>
    <w:p>
      <w:pPr>
        <w:rPr>
          <w:rFonts w:eastAsia="MS Mincho"/>
          <w:noProof/>
        </w:rPr>
      </w:pPr>
    </w:p>
    <w:p>
      <w:pPr>
        <w:rPr>
          <w:rFonts w:eastAsia="MS Mincho"/>
          <w:noProof/>
        </w:rPr>
      </w:pPr>
      <w:r>
        <w:rPr>
          <w:noProof/>
        </w:rPr>
        <w:t>Text potvrdenia o pôvode v slovenskom jazyku:</w:t>
      </w:r>
    </w:p>
    <w:p>
      <w:pPr>
        <w:rPr>
          <w:rFonts w:eastAsia="MS Mincho"/>
          <w:noProof/>
        </w:rPr>
      </w:pPr>
    </w:p>
    <w:p>
      <w:pPr>
        <w:rPr>
          <w:rFonts w:eastAsia="MS Mincho"/>
          <w:noProof/>
        </w:rPr>
      </w:pPr>
      <w:r>
        <w:rPr>
          <w:noProof/>
        </w:rPr>
        <w:t xml:space="preserve">(Obdobie: od 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Vývozca výrobkov, na ktoré sa vzťahuje tento doklad (referenčné číslo vývozcu… </w:t>
      </w:r>
      <w:r>
        <w:rPr>
          <w:b/>
          <w:noProof/>
          <w:vertAlign w:val="superscript"/>
        </w:rPr>
        <w:t>(2)</w:t>
      </w:r>
      <w:r>
        <w:rPr>
          <w:noProof/>
        </w:rPr>
        <w:t xml:space="preserve">) vyhlasuje, že pokiaľ nie je zreteľne uvedené inak, tieto výrobky majú preferenčný pôvod v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(miesto a dátum)</w:t>
      </w:r>
    </w:p>
    <w:p>
      <w:pPr>
        <w:tabs>
          <w:tab w:val="right" w:leader="dot" w:pos="9356"/>
        </w:tabs>
        <w:rPr>
          <w:rFonts w:eastAsia="MS Mincho"/>
          <w:noProof/>
        </w:rPr>
      </w:pPr>
      <w:r>
        <w:rPr>
          <w:noProof/>
        </w:rPr>
        <w:tab/>
      </w:r>
    </w:p>
    <w:p>
      <w:pPr>
        <w:jc w:val="center"/>
        <w:rPr>
          <w:rFonts w:eastAsia="MS Mincho"/>
          <w:noProof/>
        </w:rPr>
      </w:pPr>
      <w:r>
        <w:rPr>
          <w:noProof/>
        </w:rPr>
        <w:t>(meno/názov vývozcu tlačeným písmom a jeho podpis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pPr>
        <w:spacing w:line="240" w:lineRule="auto"/>
        <w:ind w:left="567" w:hanging="567"/>
        <w:rPr>
          <w:rFonts w:eastAsia="MS Mincho"/>
          <w:noProof/>
        </w:rPr>
      </w:pPr>
      <w:r>
        <w:rPr>
          <w:b/>
          <w:noProof/>
          <w:vertAlign w:val="superscript"/>
        </w:rPr>
        <w:t>(2)</w:t>
      </w:r>
      <w:r>
        <w:rPr>
          <w:noProof/>
        </w:rPr>
        <w:tab/>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pPr>
        <w:spacing w:line="240" w:lineRule="auto"/>
        <w:ind w:left="567" w:hanging="567"/>
        <w:rPr>
          <w:rFonts w:eastAsia="MS Mincho"/>
          <w:noProof/>
        </w:rPr>
      </w:pPr>
      <w:r>
        <w:rPr>
          <w:b/>
          <w:noProof/>
          <w:vertAlign w:val="superscript"/>
        </w:rPr>
        <w:t>(3)</w:t>
      </w:r>
      <w:r>
        <w:rPr>
          <w:noProof/>
        </w:rPr>
        <w:tab/>
        <w:t>Uveďte pôvod výrobku: Indonézia alebo Európska únia alebo EÚ.</w:t>
      </w:r>
    </w:p>
    <w:p>
      <w:pPr>
        <w:spacing w:line="240" w:lineRule="auto"/>
        <w:ind w:left="567" w:hanging="567"/>
        <w:rPr>
          <w:rFonts w:eastAsia="MS Mincho"/>
          <w:noProof/>
        </w:rPr>
      </w:pPr>
      <w:r>
        <w:rPr>
          <w:b/>
          <w:noProof/>
          <w:vertAlign w:val="superscript"/>
        </w:rPr>
        <w:t>(4)</w:t>
      </w:r>
      <w:r>
        <w:rPr>
          <w:noProof/>
        </w:rPr>
        <w:tab/>
        <w:t>Miesto a dátum sa môžu vynechať, ak tieto informácie obsahuje samotný doklad.</w:t>
      </w:r>
    </w:p>
    <w:p>
      <w:pPr>
        <w:spacing w:line="240" w:lineRule="auto"/>
        <w:ind w:left="567" w:hanging="567"/>
        <w:rPr>
          <w:rFonts w:eastAsia="MS Mincho"/>
          <w:noProof/>
        </w:rPr>
      </w:pPr>
      <w:r>
        <w:rPr>
          <w:b/>
          <w:noProof/>
          <w:vertAlign w:val="superscript"/>
        </w:rPr>
        <w:t>(5)</w:t>
      </w:r>
      <w:r>
        <w:rPr>
          <w:noProof/>
        </w:rPr>
        <w:tab/>
        <w:t>Ak bolo vývozcovi pridelené číslo, tento vývozca potvrdenie o pôvode podpísať nemusí.</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slovenă:</w:t>
      </w:r>
    </w:p>
    <w:p>
      <w:pPr>
        <w:rPr>
          <w:rFonts w:eastAsia="MS Mincho"/>
          <w:noProof/>
        </w:rPr>
      </w:pPr>
    </w:p>
    <w:p>
      <w:pPr>
        <w:rPr>
          <w:rFonts w:eastAsia="MS Mincho"/>
          <w:noProof/>
        </w:rPr>
      </w:pPr>
      <w:r>
        <w:rPr>
          <w:noProof/>
        </w:rPr>
        <w:t>Besedilo navedbe o poreklu v slovenščini:</w:t>
      </w:r>
    </w:p>
    <w:p>
      <w:pPr>
        <w:rPr>
          <w:rFonts w:eastAsia="MS Mincho"/>
          <w:noProof/>
        </w:rPr>
      </w:pPr>
    </w:p>
    <w:p>
      <w:pPr>
        <w:rPr>
          <w:rFonts w:eastAsia="MS Mincho"/>
          <w:noProof/>
        </w:rPr>
      </w:pPr>
      <w:r>
        <w:rPr>
          <w:noProof/>
        </w:rPr>
        <w:t xml:space="preserve">(Obdobje: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Izvoznik izdelkov, zajetih s tem dokumentom (referenčna št. Izvoznika … </w:t>
      </w:r>
      <w:r>
        <w:rPr>
          <w:b/>
          <w:noProof/>
          <w:vertAlign w:val="superscript"/>
        </w:rPr>
        <w:t>(2)</w:t>
      </w:r>
      <w:r>
        <w:rPr>
          <w:noProof/>
        </w:rPr>
        <w:t xml:space="preserve">), izjavlja, da imajo ti izdelki, razen če je jasno navedeno drugače, </w:t>
      </w:r>
      <w:r>
        <w:rPr>
          <w:b/>
          <w:noProof/>
          <w:vertAlign w:val="superscript"/>
        </w:rPr>
        <w:t>(3)</w:t>
      </w:r>
      <w:r>
        <w:rPr>
          <w:noProof/>
        </w:rPr>
        <w:t xml:space="preserve"> preferencialno poreklo.</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(Kraj in datum)</w:t>
      </w:r>
    </w:p>
    <w:p>
      <w:pPr>
        <w:tabs>
          <w:tab w:val="right" w:leader="dot" w:pos="9356"/>
        </w:tabs>
        <w:rPr>
          <w:rFonts w:eastAsia="MS Mincho"/>
          <w:noProof/>
        </w:rPr>
      </w:pPr>
      <w:r>
        <w:rPr>
          <w:noProof/>
        </w:rPr>
        <w:tab/>
      </w:r>
    </w:p>
    <w:p>
      <w:pPr>
        <w:jc w:val="center"/>
        <w:rPr>
          <w:rFonts w:eastAsia="MS Mincho"/>
          <w:noProof/>
        </w:rPr>
      </w:pPr>
      <w:r>
        <w:rPr>
          <w:noProof/>
        </w:rPr>
        <w:t>(Natisnjeno ime in podpis</w:t>
      </w:r>
      <w:r>
        <w:rPr>
          <w:b/>
          <w:noProof/>
          <w:vertAlign w:val="superscript"/>
        </w:rPr>
        <w:t>(5)</w:t>
      </w:r>
      <w:r>
        <w:rPr>
          <w:noProof/>
        </w:rPr>
        <w:t xml:space="preserve"> izvoznika)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pPr>
        <w:spacing w:line="240" w:lineRule="auto"/>
        <w:ind w:left="567" w:hanging="567"/>
        <w:rPr>
          <w:rFonts w:eastAsia="MS Mincho"/>
          <w:noProof/>
        </w:rPr>
      </w:pPr>
      <w:r>
        <w:rPr>
          <w:b/>
          <w:noProof/>
          <w:vertAlign w:val="superscript"/>
        </w:rPr>
        <w:t>(2)</w:t>
      </w:r>
      <w:r>
        <w:rPr>
          <w:noProof/>
        </w:rPr>
        <w:tab/>
        <w:t>Navedite referenčno številko, s katero se identificira izvoznik. Za izvoznika iz Unije bo to številka, dodeljena v skladu z zakoni in drugimi predpisi Unije. Za izvoznika iz Indonezije bo to številka, dodeljena v skladu z zakoni in drugimi predpisi Indonezije. Če izvozniku ni bila dodeljena številka v skladu z zakoni in drugimi predpisi pogodbenic, se lahko to polje pusti prazno.</w:t>
      </w:r>
    </w:p>
    <w:p>
      <w:pPr>
        <w:spacing w:line="240" w:lineRule="auto"/>
        <w:ind w:left="567" w:hanging="567"/>
        <w:rPr>
          <w:rFonts w:eastAsia="MS Mincho"/>
          <w:noProof/>
        </w:rPr>
      </w:pPr>
      <w:r>
        <w:rPr>
          <w:b/>
          <w:noProof/>
          <w:vertAlign w:val="superscript"/>
        </w:rPr>
        <w:t>(3)</w:t>
      </w:r>
      <w:r>
        <w:rPr>
          <w:noProof/>
        </w:rPr>
        <w:tab/>
        <w:t>Navedite poreklo izdelka: Indonezija ali Evropska unija ali EU.</w:t>
      </w:r>
    </w:p>
    <w:p>
      <w:pPr>
        <w:spacing w:line="240" w:lineRule="auto"/>
        <w:ind w:left="567" w:hanging="567"/>
        <w:rPr>
          <w:rFonts w:eastAsia="MS Mincho"/>
          <w:noProof/>
        </w:rPr>
      </w:pPr>
      <w:r>
        <w:rPr>
          <w:b/>
          <w:noProof/>
          <w:vertAlign w:val="superscript"/>
        </w:rPr>
        <w:t>(4)</w:t>
      </w:r>
      <w:r>
        <w:rPr>
          <w:noProof/>
        </w:rPr>
        <w:tab/>
        <w:t>Kraj in datum se lahko izpustita, če so informacije navedene v samem dokumentu.</w:t>
      </w:r>
    </w:p>
    <w:p>
      <w:pPr>
        <w:spacing w:line="240" w:lineRule="auto"/>
        <w:ind w:left="567" w:hanging="567"/>
        <w:rPr>
          <w:rFonts w:eastAsia="MS Mincho"/>
          <w:noProof/>
        </w:rPr>
      </w:pPr>
      <w:r>
        <w:rPr>
          <w:b/>
          <w:noProof/>
          <w:vertAlign w:val="superscript"/>
        </w:rPr>
        <w:t>(5)</w:t>
      </w:r>
      <w:r>
        <w:rPr>
          <w:noProof/>
        </w:rPr>
        <w:tab/>
        <w:t>Če je bila izvozniku dodeljena številka, temu izvozniku ni treba podpisati navedbe o poreklu.</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spaniolă:</w:t>
      </w:r>
    </w:p>
    <w:p>
      <w:pPr>
        <w:rPr>
          <w:rFonts w:eastAsia="MS Mincho"/>
          <w:noProof/>
        </w:rPr>
      </w:pPr>
    </w:p>
    <w:p>
      <w:pPr>
        <w:rPr>
          <w:rFonts w:eastAsia="MS Mincho"/>
          <w:noProof/>
        </w:rPr>
      </w:pPr>
      <w:r>
        <w:rPr>
          <w:noProof/>
        </w:rPr>
        <w:t>Texto de la comunicación sobre el origen en español:</w:t>
      </w:r>
    </w:p>
    <w:p>
      <w:pPr>
        <w:rPr>
          <w:rFonts w:eastAsia="MS Mincho"/>
          <w:noProof/>
        </w:rPr>
      </w:pPr>
    </w:p>
    <w:p>
      <w:pPr>
        <w:rPr>
          <w:rFonts w:eastAsia="MS Mincho"/>
          <w:noProof/>
        </w:rPr>
      </w:pPr>
      <w:r>
        <w:rPr>
          <w:noProof/>
        </w:rPr>
        <w:t xml:space="preserve">(Período: del___________ al __________ </w:t>
      </w:r>
      <w:r>
        <w:rPr>
          <w:b/>
          <w:noProof/>
          <w:vertAlign w:val="superscript"/>
        </w:rPr>
        <w:t>(1)</w:t>
      </w:r>
      <w:r>
        <w:rPr>
          <w:noProof/>
        </w:rPr>
        <w:t>)</w:t>
      </w:r>
    </w:p>
    <w:p>
      <w:pPr>
        <w:rPr>
          <w:rFonts w:eastAsia="MS Mincho"/>
          <w:noProof/>
        </w:rPr>
      </w:pPr>
    </w:p>
    <w:p>
      <w:pPr>
        <w:rPr>
          <w:rFonts w:eastAsia="MS Mincho"/>
          <w:noProof/>
        </w:rPr>
      </w:pPr>
      <w:r>
        <w:rPr>
          <w:noProof/>
        </w:rPr>
        <w:t xml:space="preserve">El exportador de los productos incluidos en el presente documento (número de referencia del exportador: … </w:t>
      </w:r>
      <w:r>
        <w:rPr>
          <w:b/>
          <w:noProof/>
          <w:vertAlign w:val="superscript"/>
        </w:rPr>
        <w:t>(2)</w:t>
      </w:r>
      <w:r>
        <w:rPr>
          <w:noProof/>
        </w:rPr>
        <w:t xml:space="preserve">) declara que, salvo que se indique claramente lo contrario, estos productos son de origen preferencial de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(Lugar y fecha)</w:t>
      </w:r>
    </w:p>
    <w:p>
      <w:pPr>
        <w:tabs>
          <w:tab w:val="right" w:leader="dot" w:pos="9356"/>
        </w:tabs>
        <w:rPr>
          <w:rFonts w:eastAsia="MS Mincho"/>
          <w:noProof/>
        </w:rPr>
      </w:pPr>
      <w:r>
        <w:rPr>
          <w:noProof/>
        </w:rPr>
        <w:tab/>
      </w:r>
    </w:p>
    <w:p>
      <w:pPr>
        <w:jc w:val="center"/>
        <w:rPr>
          <w:rFonts w:eastAsia="MS Mincho"/>
          <w:noProof/>
        </w:rPr>
      </w:pPr>
      <w:r>
        <w:rPr>
          <w:noProof/>
        </w:rPr>
        <w:t>(Nombre impreso</w:t>
      </w:r>
      <w:r>
        <w:rPr>
          <w:b/>
          <w:noProof/>
          <w:vertAlign w:val="superscript"/>
        </w:rPr>
        <w:t>(5)</w:t>
      </w:r>
      <w:r>
        <w:rPr>
          <w:noProof/>
        </w:rPr>
        <w:t xml:space="preserve"> y firma del exportador)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Cuando se cumplimente una declaración sobre el origen para varios envíos de productos originarios idénticos en el sentido del artículo 3.18, se indicará el período de tiempo al que se aplica la declaración de origen. El período no será superior a doce meses. Todas las importaciones del producto deberán realizarse dentro del período indicado. Cuando un período no sea aplicable, podrá dejarse el campo en blanco.</w:t>
      </w:r>
    </w:p>
    <w:p>
      <w:pPr>
        <w:spacing w:line="240" w:lineRule="auto"/>
        <w:ind w:left="567" w:hanging="567"/>
        <w:rPr>
          <w:rFonts w:eastAsia="MS Mincho"/>
          <w:noProof/>
        </w:rPr>
      </w:pPr>
      <w:r>
        <w:rPr>
          <w:b/>
          <w:noProof/>
          <w:vertAlign w:val="superscript"/>
        </w:rPr>
        <w:t>(2)</w:t>
      </w:r>
      <w:r>
        <w:rPr>
          <w:noProof/>
        </w:rPr>
        <w:tab/>
        <w:t>Indíquese el número de referencia a través del cual se identifica al exportador. 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pPr>
        <w:spacing w:line="240" w:lineRule="auto"/>
        <w:ind w:left="567" w:hanging="567"/>
        <w:rPr>
          <w:rFonts w:eastAsia="MS Mincho"/>
          <w:noProof/>
        </w:rPr>
      </w:pPr>
      <w:r>
        <w:rPr>
          <w:b/>
          <w:noProof/>
          <w:vertAlign w:val="superscript"/>
        </w:rPr>
        <w:t>(3)</w:t>
      </w:r>
      <w:r>
        <w:rPr>
          <w:noProof/>
        </w:rPr>
        <w:tab/>
        <w:t>Indíquese el origen del producto: Indonesia, o la Unión Europea o UE.</w:t>
      </w:r>
    </w:p>
    <w:p>
      <w:pPr>
        <w:spacing w:line="240" w:lineRule="auto"/>
        <w:ind w:left="567" w:hanging="567"/>
        <w:rPr>
          <w:rFonts w:eastAsia="MS Mincho"/>
          <w:noProof/>
        </w:rPr>
      </w:pPr>
      <w:r>
        <w:rPr>
          <w:b/>
          <w:noProof/>
          <w:vertAlign w:val="superscript"/>
        </w:rPr>
        <w:t>(4)</w:t>
      </w:r>
      <w:r>
        <w:rPr>
          <w:noProof/>
        </w:rPr>
        <w:tab/>
        <w:t>El lugar y la fecha pueden omitirse si el propio documento contiene ya dicha información.</w:t>
      </w:r>
    </w:p>
    <w:p>
      <w:pPr>
        <w:spacing w:line="240" w:lineRule="auto"/>
        <w:ind w:left="567" w:hanging="567"/>
        <w:rPr>
          <w:rFonts w:eastAsia="MS Mincho"/>
          <w:noProof/>
        </w:rPr>
      </w:pPr>
      <w:r>
        <w:rPr>
          <w:b/>
          <w:noProof/>
          <w:vertAlign w:val="superscript"/>
        </w:rPr>
        <w:t>(5)</w:t>
      </w:r>
      <w:r>
        <w:rPr>
          <w:noProof/>
        </w:rPr>
        <w:tab/>
        <w:t>Si se ha asignado un número al exportador, este no estará obligado a firmar la declaración sobre el origen.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suedeză:</w:t>
      </w:r>
    </w:p>
    <w:p>
      <w:pPr>
        <w:rPr>
          <w:rFonts w:eastAsia="MS Mincho"/>
          <w:noProof/>
        </w:rPr>
      </w:pPr>
    </w:p>
    <w:p>
      <w:pPr>
        <w:rPr>
          <w:rFonts w:eastAsia="MS Mincho"/>
          <w:noProof/>
        </w:rPr>
      </w:pPr>
      <w:r>
        <w:rPr>
          <w:noProof/>
        </w:rPr>
        <w:t>Texten till ursprungsförsäkran på svenska:</w:t>
      </w:r>
    </w:p>
    <w:p>
      <w:pPr>
        <w:rPr>
          <w:rFonts w:eastAsia="MS Mincho"/>
          <w:noProof/>
        </w:rPr>
      </w:pPr>
    </w:p>
    <w:p>
      <w:pPr>
        <w:rPr>
          <w:rFonts w:eastAsia="MS Mincho"/>
          <w:noProof/>
        </w:rPr>
      </w:pPr>
      <w:r>
        <w:rPr>
          <w:noProof/>
        </w:rPr>
        <w:t xml:space="preserve">(Period: från___________ till __________ </w:t>
      </w:r>
      <w:r>
        <w:rPr>
          <w:b/>
          <w:noProof/>
          <w:vertAlign w:val="superscript"/>
        </w:rPr>
        <w:t>(1)</w:t>
      </w:r>
      <w:r>
        <w:rPr>
          <w:noProof/>
        </w:rPr>
        <w:t>)</w:t>
      </w:r>
    </w:p>
    <w:p>
      <w:pPr>
        <w:rPr>
          <w:rFonts w:eastAsia="MS Mincho"/>
          <w:noProof/>
        </w:rPr>
      </w:pPr>
    </w:p>
    <w:p>
      <w:pPr>
        <w:rPr>
          <w:rFonts w:eastAsia="MS Mincho"/>
          <w:noProof/>
        </w:rPr>
      </w:pPr>
      <w:r>
        <w:rPr>
          <w:noProof/>
        </w:rPr>
        <w:t xml:space="preserve">Exportören av de produkter som omfattas av detta dokument (exportörens referensnummer … </w:t>
      </w:r>
      <w:r>
        <w:rPr>
          <w:b/>
          <w:noProof/>
          <w:vertAlign w:val="superscript"/>
        </w:rPr>
        <w:t>(2)</w:t>
      </w:r>
      <w:r>
        <w:rPr>
          <w:noProof/>
        </w:rPr>
        <w:t>) försäkrar att dessa produkter, om inte annat tydligt markerats, har förmånsberättigande ursprung i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(Ort och datum)</w:t>
      </w:r>
    </w:p>
    <w:p>
      <w:pPr>
        <w:tabs>
          <w:tab w:val="right" w:leader="dot" w:pos="9356"/>
        </w:tabs>
        <w:rPr>
          <w:rFonts w:eastAsia="MS Mincho"/>
          <w:noProof/>
        </w:rPr>
      </w:pPr>
      <w:r>
        <w:rPr>
          <w:noProof/>
        </w:rPr>
        <w:tab/>
      </w:r>
    </w:p>
    <w:p>
      <w:pPr>
        <w:jc w:val="center"/>
        <w:rPr>
          <w:rFonts w:eastAsia="MS Mincho"/>
          <w:noProof/>
        </w:rPr>
      </w:pPr>
      <w:r>
        <w:rPr>
          <w:noProof/>
        </w:rPr>
        <w:t>(Exportörens tryckta namn och underskrift</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När ursprungsförsäkran fylls i för flera sändningar av identiska ursprungsprodukter i den mening som avses i artikel 3.18, ange för vilken period som ursprungsförsäkran gäller. Perioden får inte överstiga tolv månader. All import av produkten måste ske inom den angivna perioden. När en period inte är tillämplig får detta fält lämnas tomt.</w:t>
      </w:r>
    </w:p>
    <w:p>
      <w:pPr>
        <w:spacing w:line="240" w:lineRule="auto"/>
        <w:ind w:left="567" w:hanging="567"/>
        <w:rPr>
          <w:rFonts w:eastAsia="MS Mincho"/>
          <w:noProof/>
        </w:rPr>
      </w:pPr>
      <w:r>
        <w:rPr>
          <w:b/>
          <w:noProof/>
          <w:vertAlign w:val="superscript"/>
        </w:rPr>
        <w:t>(2)</w:t>
      </w:r>
      <w:r>
        <w:rPr>
          <w:noProof/>
        </w:rPr>
        <w:tab/>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pPr>
        <w:spacing w:line="240" w:lineRule="auto"/>
        <w:ind w:left="567" w:hanging="567"/>
        <w:rPr>
          <w:rFonts w:eastAsia="MS Mincho"/>
          <w:noProof/>
        </w:rPr>
      </w:pPr>
      <w:r>
        <w:rPr>
          <w:b/>
          <w:noProof/>
          <w:vertAlign w:val="superscript"/>
        </w:rPr>
        <w:t>(3)</w:t>
      </w:r>
      <w:r>
        <w:rPr>
          <w:noProof/>
        </w:rPr>
        <w:tab/>
        <w:t>Ange produktens ursprung: Indonesien eller Europeiska unionen eller EU.</w:t>
      </w:r>
    </w:p>
    <w:p>
      <w:pPr>
        <w:spacing w:line="240" w:lineRule="auto"/>
        <w:ind w:left="567" w:hanging="567"/>
        <w:rPr>
          <w:rFonts w:eastAsia="MS Mincho"/>
          <w:noProof/>
        </w:rPr>
      </w:pPr>
      <w:r>
        <w:rPr>
          <w:b/>
          <w:noProof/>
          <w:vertAlign w:val="superscript"/>
        </w:rPr>
        <w:t>(4)</w:t>
      </w:r>
      <w:r>
        <w:rPr>
          <w:noProof/>
        </w:rPr>
        <w:tab/>
        <w:t>Ort och datum får utelämnas om informationen finns i själva dokumentet.</w:t>
      </w:r>
    </w:p>
    <w:p>
      <w:pPr>
        <w:spacing w:line="240" w:lineRule="auto"/>
        <w:ind w:left="567" w:hanging="567"/>
        <w:rPr>
          <w:rFonts w:eastAsia="MS Mincho"/>
          <w:noProof/>
        </w:rPr>
      </w:pPr>
      <w:r>
        <w:rPr>
          <w:b/>
          <w:noProof/>
          <w:vertAlign w:val="superscript"/>
        </w:rPr>
        <w:t>(5)</w:t>
      </w:r>
      <w:r>
        <w:rPr>
          <w:noProof/>
        </w:rPr>
        <w:tab/>
        <w:t>Om exportören har tilldelats ett nummer behöver exportören inte underteckna ursprungsförsäkran.</w:t>
      </w:r>
    </w:p>
    <w:p>
      <w:pPr>
        <w:rPr>
          <w:rFonts w:eastAsia="MS Mincho"/>
          <w:noProof/>
        </w:rPr>
      </w:pPr>
      <w:r>
        <w:rPr>
          <w:noProof/>
        </w:rPr>
        <w:br w:type="page"/>
      </w:r>
    </w:p>
    <w:p>
      <w:pPr>
        <w:rPr>
          <w:rFonts w:eastAsia="MS Mincho"/>
          <w:noProof/>
        </w:rPr>
      </w:pPr>
      <w:r>
        <w:rPr>
          <w:noProof/>
        </w:rPr>
        <w:lastRenderedPageBreak/>
        <w:t>Textul atestatului de origine în limba indoneziană:</w:t>
      </w:r>
    </w:p>
    <w:p>
      <w:pPr>
        <w:rPr>
          <w:rFonts w:eastAsia="MS Mincho"/>
          <w:noProof/>
        </w:rPr>
      </w:pPr>
    </w:p>
    <w:p>
      <w:pPr>
        <w:rPr>
          <w:rFonts w:eastAsia="MS Mincho"/>
          <w:noProof/>
        </w:rPr>
      </w:pPr>
      <w:r>
        <w:rPr>
          <w:noProof/>
        </w:rPr>
        <w:t xml:space="preserve">(Periode: dari___________ sampai dengan __________ </w:t>
      </w:r>
      <w:r>
        <w:rPr>
          <w:b/>
          <w:noProof/>
          <w:vertAlign w:val="superscript"/>
        </w:rPr>
        <w:t>(1)</w:t>
      </w:r>
      <w:r>
        <w:rPr>
          <w:noProof/>
        </w:rPr>
        <w:t>)</w:t>
      </w:r>
    </w:p>
    <w:p>
      <w:pPr>
        <w:rPr>
          <w:rFonts w:eastAsia="MS Mincho"/>
          <w:noProof/>
        </w:rPr>
      </w:pPr>
    </w:p>
    <w:p>
      <w:pPr>
        <w:rPr>
          <w:rFonts w:eastAsia="MS Mincho"/>
          <w:noProof/>
        </w:rPr>
      </w:pPr>
      <w:r>
        <w:rPr>
          <w:noProof/>
        </w:rPr>
        <w:t>Eksportir dari produk yang tercakup dalam dokumen ini (Nomor Referensi Eksportir …</w:t>
      </w:r>
      <w:r>
        <w:rPr>
          <w:b/>
          <w:noProof/>
          <w:vertAlign w:val="superscript"/>
        </w:rPr>
        <w:t>(2)</w:t>
      </w:r>
      <w:r>
        <w:rPr>
          <w:noProof/>
        </w:rPr>
        <w:t xml:space="preserve">) mendeklarasikan bahwa, kecuali secara terang diindikasikan sebaliknya, produk tersebut merupakan preferensi asal…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(Tempat dan tanggal)</w:t>
      </w:r>
    </w:p>
    <w:p>
      <w:pPr>
        <w:tabs>
          <w:tab w:val="right" w:leader="dot" w:pos="9356"/>
        </w:tabs>
        <w:rPr>
          <w:rFonts w:eastAsia="MS Mincho"/>
          <w:noProof/>
        </w:rPr>
      </w:pPr>
      <w:r>
        <w:rPr>
          <w:noProof/>
        </w:rPr>
        <w:tab/>
      </w:r>
    </w:p>
    <w:p>
      <w:pPr>
        <w:jc w:val="center"/>
        <w:rPr>
          <w:rFonts w:eastAsia="MS Mincho"/>
          <w:noProof/>
        </w:rPr>
      </w:pPr>
      <w:r>
        <w:rPr>
          <w:noProof/>
        </w:rPr>
        <w:t>(Nama cetak dan tanda tangan</w:t>
      </w:r>
      <w:r>
        <w:rPr>
          <w:b/>
          <w:noProof/>
          <w:vertAlign w:val="superscript"/>
        </w:rPr>
        <w:t>(5)</w:t>
      </w:r>
      <w:r>
        <w:rPr>
          <w:noProof/>
        </w:rPr>
        <w:t xml:space="preserve"> dari eksportir)</w:t>
      </w:r>
    </w:p>
    <w:p>
      <w:pPr>
        <w:rPr>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Apabila pernyataan asal dibuat untuk beberapa pengiriman produk asal yang identik sebagaimana dimaksud dalam Pasal 3.18, indikasikan periode berlakunya pernyataan asal tersebut. Periode tersebut wajib tidak melebihi 12 bulan. Semua importasi produk harus terjadi dalam periode yang diindikasikan. Apabila suatu periode tidak berlaku, kolom ini dapat dikosongkan.</w:t>
      </w:r>
    </w:p>
    <w:p>
      <w:pPr>
        <w:spacing w:line="240" w:lineRule="auto"/>
        <w:ind w:left="567" w:hanging="567"/>
        <w:rPr>
          <w:rFonts w:eastAsia="MS Mincho"/>
          <w:noProof/>
        </w:rPr>
      </w:pPr>
      <w:r>
        <w:rPr>
          <w:b/>
          <w:noProof/>
          <w:vertAlign w:val="superscript"/>
        </w:rPr>
        <w:t>(2)</w:t>
      </w:r>
      <w:r>
        <w:rPr>
          <w:noProof/>
        </w:rPr>
        <w:tab/>
        <w:t>Indikasikan nomor referensi yang digunakan untuk mengidentifikasi eksportir. Bagi eksportir Uni Eropa, nomor referensi adalah nomor yang diberikan sesuai dengan peraturan perundang-undangan Uni Eropa. Bagi eksportir Indonesia, nomor referensi tersebut adalah nomor yang diberikan sesuai dengan peraturan perundang-undangan Indonesia. Apabila eksportir belum diberikan nomor sesuai dengan peraturan perundang-undangan Para Pihak, kolom ini dapat dikosongkan.</w:t>
      </w:r>
    </w:p>
    <w:p>
      <w:pPr>
        <w:spacing w:line="240" w:lineRule="auto"/>
        <w:ind w:left="567" w:hanging="567"/>
        <w:rPr>
          <w:rFonts w:eastAsia="MS Mincho"/>
          <w:noProof/>
        </w:rPr>
      </w:pPr>
      <w:r>
        <w:rPr>
          <w:b/>
          <w:noProof/>
          <w:vertAlign w:val="superscript"/>
        </w:rPr>
        <w:t>(3)</w:t>
      </w:r>
      <w:r>
        <w:rPr>
          <w:noProof/>
        </w:rPr>
        <w:tab/>
        <w:t>Indikasikan asal produk: yaitu Indonesia atau Uni Eropa atau UE.</w:t>
      </w:r>
    </w:p>
    <w:p>
      <w:pPr>
        <w:spacing w:line="240" w:lineRule="auto"/>
        <w:ind w:left="567" w:hanging="567"/>
        <w:rPr>
          <w:rFonts w:eastAsia="MS Mincho"/>
          <w:noProof/>
        </w:rPr>
      </w:pPr>
      <w:r>
        <w:rPr>
          <w:b/>
          <w:noProof/>
          <w:vertAlign w:val="superscript"/>
        </w:rPr>
        <w:t>(4)</w:t>
      </w:r>
      <w:r>
        <w:rPr>
          <w:noProof/>
        </w:rPr>
        <w:tab/>
        <w:t>Tempat dan tanggal dapat tidak dicantumkan apabila informasi tersebut telah termuat dalam dokumen yang bersangkutan.</w:t>
      </w:r>
    </w:p>
    <w:p>
      <w:pPr>
        <w:spacing w:line="240" w:lineRule="auto"/>
        <w:ind w:left="567" w:hanging="567"/>
        <w:rPr>
          <w:rFonts w:eastAsia="MS Mincho"/>
          <w:noProof/>
        </w:rPr>
      </w:pPr>
      <w:r>
        <w:rPr>
          <w:b/>
          <w:noProof/>
          <w:vertAlign w:val="superscript"/>
        </w:rPr>
        <w:t>(5)</w:t>
      </w:r>
      <w:r>
        <w:rPr>
          <w:noProof/>
        </w:rPr>
        <w:tab/>
        <w:t>Apabila eksportir telah diberikan nomor, eksportir tersebut tidak disyaratkan untuk menandatangani pernyataan asal.</w:t>
      </w:r>
    </w:p>
    <w:p>
      <w:pPr>
        <w:rPr>
          <w:noProof/>
        </w:rPr>
      </w:pPr>
    </w:p>
    <w:p>
      <w:pPr>
        <w:rPr>
          <w:noProof/>
        </w:rPr>
      </w:pPr>
    </w:p>
    <w:p>
      <w:pPr>
        <w:jc w:val="center"/>
        <w:rPr>
          <w:noProof/>
        </w:rPr>
      </w:pPr>
      <w:r>
        <w:rPr>
          <w:noProof/>
        </w:rPr>
        <w:t>________________</w:t>
      </w:r>
    </w:p>
    <w:p>
      <w:pPr>
        <w:rPr>
          <w:noProof/>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Batang"/>
          <w:b/>
          <w:bCs/>
          <w:noProof/>
          <w:u w:val="single"/>
        </w:rPr>
      </w:pPr>
      <w:r>
        <w:rPr>
          <w:b/>
          <w:noProof/>
          <w:u w:val="single"/>
        </w:rPr>
        <w:lastRenderedPageBreak/>
        <w:t>ANEXA 3-D</w:t>
      </w:r>
    </w:p>
    <w:p>
      <w:pPr>
        <w:rPr>
          <w:rFonts w:eastAsia="Batang"/>
          <w:noProof/>
        </w:rPr>
      </w:pPr>
    </w:p>
    <w:p>
      <w:pPr>
        <w:rPr>
          <w:rFonts w:eastAsia="Batang"/>
          <w:noProof/>
        </w:rPr>
      </w:pPr>
    </w:p>
    <w:p>
      <w:pPr>
        <w:jc w:val="center"/>
        <w:rPr>
          <w:rFonts w:eastAsia="Batang"/>
          <w:noProof/>
        </w:rPr>
      </w:pPr>
      <w:r>
        <w:rPr>
          <w:noProof/>
        </w:rPr>
        <w:t>NOTE EXPLICATIVE</w:t>
      </w:r>
    </w:p>
    <w:p>
      <w:pPr>
        <w:rPr>
          <w:rFonts w:eastAsia="Batang"/>
          <w:noProof/>
        </w:rPr>
      </w:pPr>
    </w:p>
    <w:p>
      <w:pPr>
        <w:rPr>
          <w:rFonts w:eastAsia="Batang"/>
          <w:noProof/>
        </w:rPr>
      </w:pPr>
      <w:r>
        <w:rPr>
          <w:noProof/>
        </w:rPr>
        <w:t>Articolul 3.1</w:t>
      </w:r>
    </w:p>
    <w:p>
      <w:pPr>
        <w:rPr>
          <w:noProof/>
        </w:rPr>
      </w:pPr>
    </w:p>
    <w:p>
      <w:pPr>
        <w:rPr>
          <w:noProof/>
        </w:rPr>
      </w:pPr>
      <w:r>
        <w:rPr>
          <w:noProof/>
        </w:rPr>
        <w:t>1.</w:t>
      </w:r>
      <w:r>
        <w:rPr>
          <w:noProof/>
        </w:rPr>
        <w:tab/>
        <w:t>În sensul articolului 3.1 litera (g), „exportatorul” nu este neapărat vânzătorul care emite factura de vânzare pentru transport (facturare de către un terț). Vânzătorul poate fi situat pe teritoriul unei țări terțe.</w:t>
      </w:r>
    </w:p>
    <w:p>
      <w:pPr>
        <w:rPr>
          <w:noProof/>
        </w:rPr>
      </w:pPr>
    </w:p>
    <w:p>
      <w:pPr>
        <w:rPr>
          <w:noProof/>
        </w:rPr>
      </w:pPr>
      <w:bookmarkStart w:id="18" w:name="_Hlk229586627"/>
      <w:r>
        <w:rPr>
          <w:noProof/>
        </w:rPr>
        <w:t>Articolul 3.14</w:t>
      </w:r>
    </w:p>
    <w:p>
      <w:pPr>
        <w:rPr>
          <w:noProof/>
        </w:rPr>
      </w:pPr>
    </w:p>
    <w:p>
      <w:pPr>
        <w:rPr>
          <w:noProof/>
        </w:rPr>
      </w:pPr>
      <w:r>
        <w:rPr>
          <w:noProof/>
        </w:rPr>
        <w:t>2.</w:t>
      </w:r>
      <w:r>
        <w:rPr>
          <w:noProof/>
        </w:rPr>
        <w:tab/>
        <w:t>În sensul articolului 3.14 alineatul (4), partea importatoare dispune de libertatea de a stabili cazurile în care declarantul trebuie să ofere dovezi cu privire la respectarea articolului 3.14, dar nu poate solicita în mod obișnuit prezentarea dovezilor respective.</w:t>
      </w:r>
    </w:p>
    <w:bookmarkEnd w:id="18"/>
    <w:p>
      <w:pPr>
        <w:rPr>
          <w:noProof/>
        </w:rPr>
      </w:pPr>
    </w:p>
    <w:p>
      <w:pPr>
        <w:rPr>
          <w:noProof/>
        </w:rPr>
      </w:pPr>
      <w:r>
        <w:rPr>
          <w:noProof/>
        </w:rPr>
        <w:t>Articolul 3.18</w:t>
      </w:r>
    </w:p>
    <w:p>
      <w:pPr>
        <w:rPr>
          <w:noProof/>
        </w:rPr>
      </w:pPr>
    </w:p>
    <w:p>
      <w:pPr>
        <w:rPr>
          <w:noProof/>
        </w:rPr>
      </w:pPr>
      <w:r>
        <w:rPr>
          <w:noProof/>
        </w:rPr>
        <w:t>3.</w:t>
      </w:r>
      <w:r>
        <w:rPr>
          <w:noProof/>
        </w:rPr>
        <w:tab/>
        <w:t>Un atestat de origine poate fi întocmit atunci când produsele la care se referă atestatul de origine respectiv sunt exportate din partea respectivă sau după export.</w:t>
      </w:r>
    </w:p>
    <w:p>
      <w:pPr>
        <w:rPr>
          <w:noProof/>
        </w:rPr>
      </w:pPr>
    </w:p>
    <w:p>
      <w:pPr>
        <w:rPr>
          <w:noProof/>
        </w:rPr>
      </w:pPr>
      <w:r>
        <w:rPr>
          <w:noProof/>
        </w:rPr>
        <w:t>4.</w:t>
      </w:r>
      <w:r>
        <w:rPr>
          <w:noProof/>
        </w:rPr>
        <w:tab/>
        <w:t>Atestatul de origine poate fi întocmit pe o foaie de hârtie separată, cu sau fără antet. În cazul în care este întocmit pe o foaie de hârtie separată, această foaie separată trebuie fie să identifice mărfurile originare, fie să includă o trimitere la factură sau la un alt document comercial, cum ar fi o listă de colisaj sau o notă de livrare, în care sunt identificate mărfurile.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Un atestat de origine poate fi întocmit pe versoul facturii sau al altui document.</w:t>
      </w:r>
    </w:p>
    <w:p>
      <w:pPr>
        <w:rPr>
          <w:noProof/>
        </w:rPr>
      </w:pPr>
    </w:p>
    <w:p>
      <w:pPr>
        <w:rPr>
          <w:noProof/>
        </w:rPr>
      </w:pPr>
      <w:r>
        <w:rPr>
          <w:noProof/>
        </w:rPr>
        <w:t>6.</w:t>
      </w:r>
      <w:r>
        <w:rPr>
          <w:noProof/>
        </w:rPr>
        <w:tab/>
        <w:t>Atestatul de origine poate fi întocmit prin dactilografierea, imprimarea sau ștampilarea textului pe factură sau pe orice alt document.</w:t>
      </w:r>
    </w:p>
    <w:p>
      <w:pPr>
        <w:rPr>
          <w:noProof/>
        </w:rPr>
      </w:pPr>
    </w:p>
    <w:p>
      <w:pPr>
        <w:rPr>
          <w:noProof/>
        </w:rPr>
      </w:pPr>
      <w:r>
        <w:rPr>
          <w:noProof/>
        </w:rPr>
        <w:t>7.</w:t>
      </w:r>
      <w:r>
        <w:rPr>
          <w:noProof/>
        </w:rPr>
        <w:tab/>
        <w:t>Deși atestatul de origine trebuie să fie întocmit de exportator, iar exportatorul are responsabilitatea de a furniza suficiente detalii pentru identificarea produsului originar, nu se impune nicio condiție nici cu privire la identitatea, nici cu privire la locul de stabilire al persoanei care completează factura sau orice alt document pe care se întocmește atestatul de origine, în măsura în care documentul respectiv permite identificarea clară a exportatorului.</w:t>
      </w:r>
    </w:p>
    <w:p>
      <w:pPr>
        <w:rPr>
          <w:noProof/>
        </w:rPr>
      </w:pPr>
    </w:p>
    <w:p>
      <w:pPr>
        <w:rPr>
          <w:noProof/>
        </w:rPr>
      </w:pPr>
      <w:r>
        <w:rPr>
          <w:noProof/>
        </w:rPr>
        <w:t>8.</w:t>
      </w:r>
      <w:r>
        <w:rPr>
          <w:noProof/>
        </w:rPr>
        <w:tab/>
        <w:t>În cazul în care nu este posibil sau adecvat ca exportatorul să întocmească atestatul de origine pe factură sau pe alte documente, se poate utiliza o factură sau un alt document al unei părți terțe. Acest lucru se poate întâmpla atunci când un transport de produse originare este divizat într-o țară terță în conformitate cu condițiile prevăzute la articolul 3.14.</w:t>
      </w:r>
    </w:p>
    <w:p>
      <w:pPr>
        <w:rPr>
          <w:noProof/>
        </w:rPr>
      </w:pPr>
    </w:p>
    <w:p>
      <w:pPr>
        <w:rPr>
          <w:noProof/>
        </w:rPr>
      </w:pPr>
      <w:r>
        <w:rPr>
          <w:noProof/>
        </w:rPr>
        <w:t>9.</w:t>
      </w:r>
      <w:r>
        <w:rPr>
          <w:noProof/>
        </w:rPr>
        <w:tab/>
        <w:t>Atunci când documentul pe care se întocmește atestatul de origine include produse originare și neoriginare, acestea ar trebui identificate ca atare în prezentul document. În acest caz, produsele neoriginare trebuie să fie clar identificate separat. Nu s-a stabilit o modalitate anume de identificare separată a produselor neoriginare. Totuși, acest lucru se poate realiza, de exemplu:</w:t>
      </w:r>
    </w:p>
    <w:p>
      <w:pPr>
        <w:rPr>
          <w:noProof/>
        </w:rPr>
      </w:pPr>
    </w:p>
    <w:p>
      <w:pPr>
        <w:ind w:left="567" w:hanging="567"/>
        <w:rPr>
          <w:noProof/>
        </w:rPr>
      </w:pPr>
      <w:r>
        <w:rPr>
          <w:noProof/>
        </w:rPr>
        <w:t>(a)</w:t>
      </w:r>
      <w:r>
        <w:rPr>
          <w:noProof/>
        </w:rPr>
        <w:tab/>
        <w:t>indicând dacă produsele sunt originare sau nu, între paranteze, după fiecare articol de mărfuri din document;</w:t>
      </w:r>
    </w:p>
    <w:p>
      <w:pPr>
        <w:ind w:left="567" w:hanging="567"/>
        <w:rPr>
          <w:noProof/>
        </w:rPr>
      </w:pPr>
    </w:p>
    <w:p>
      <w:pPr>
        <w:ind w:left="567" w:hanging="567"/>
        <w:rPr>
          <w:noProof/>
        </w:rPr>
      </w:pPr>
      <w:r>
        <w:rPr>
          <w:noProof/>
        </w:rPr>
        <w:t>(b)</w:t>
      </w:r>
      <w:r>
        <w:rPr>
          <w:noProof/>
        </w:rPr>
        <w:tab/>
        <w:t>stabilind două rubrici pe document, și anume una pentru produse originare și una pentru produse neoriginare, cu menționarea tipului de produse la rubrica aferentă; sau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atribuind un număr produselor și indicând numerele care se referă la produsele originare și cele care se referă la produsele neoriginare.</w:t>
      </w:r>
    </w:p>
    <w:p>
      <w:pPr>
        <w:rPr>
          <w:noProof/>
        </w:rPr>
      </w:pPr>
    </w:p>
    <w:p>
      <w:pPr>
        <w:rPr>
          <w:noProof/>
        </w:rPr>
      </w:pPr>
      <w:r>
        <w:rPr>
          <w:noProof/>
        </w:rPr>
        <w:t>Articolul 3.19</w:t>
      </w:r>
    </w:p>
    <w:p>
      <w:pPr>
        <w:rPr>
          <w:noProof/>
        </w:rPr>
      </w:pPr>
    </w:p>
    <w:p>
      <w:pPr>
        <w:rPr>
          <w:noProof/>
        </w:rPr>
      </w:pPr>
      <w:r>
        <w:rPr>
          <w:noProof/>
        </w:rPr>
        <w:t>10.</w:t>
      </w:r>
      <w:r>
        <w:rPr>
          <w:noProof/>
        </w:rPr>
        <w:tab/>
        <w:t>În sensul articolului 3.19, neconcordanțele sau erorile minore din atestatul de origine care nu creează îndoieli cu privire la exactitatea informațiilor conținute în documentele de import și care nu afectează caracterul originar al produselor în sine nu sunt motive pentru a respinge o cerere de tratament tarifar preferențial fără o cerere de verificare. Aceste neconcordanțe și erori minore pot include:</w:t>
      </w:r>
    </w:p>
    <w:p>
      <w:pPr>
        <w:rPr>
          <w:noProof/>
        </w:rPr>
      </w:pPr>
    </w:p>
    <w:p>
      <w:pPr>
        <w:ind w:left="567" w:hanging="567"/>
        <w:rPr>
          <w:noProof/>
        </w:rPr>
      </w:pPr>
      <w:r>
        <w:rPr>
          <w:noProof/>
        </w:rPr>
        <w:t>(a)</w:t>
      </w:r>
      <w:r>
        <w:rPr>
          <w:noProof/>
        </w:rPr>
        <w:tab/>
        <w:t>erori de dactilografiere, de exemplu, în descrierea produsului, în numele sau adresa exportatorului sau a destinatarului;</w:t>
      </w:r>
    </w:p>
    <w:p>
      <w:pPr>
        <w:ind w:left="567" w:hanging="567"/>
        <w:rPr>
          <w:noProof/>
        </w:rPr>
      </w:pPr>
    </w:p>
    <w:p>
      <w:pPr>
        <w:ind w:left="567" w:hanging="567"/>
        <w:rPr>
          <w:noProof/>
        </w:rPr>
      </w:pPr>
      <w:r>
        <w:rPr>
          <w:noProof/>
        </w:rPr>
        <w:t>(b)</w:t>
      </w:r>
      <w:r>
        <w:rPr>
          <w:noProof/>
        </w:rPr>
        <w:tab/>
        <w:t>erori de dactilografiere în textul atestatului de origine sau în țara de origine a produselor; sau</w:t>
      </w:r>
    </w:p>
    <w:p>
      <w:pPr>
        <w:ind w:left="567" w:hanging="567"/>
        <w:rPr>
          <w:noProof/>
        </w:rPr>
      </w:pPr>
    </w:p>
    <w:p>
      <w:pPr>
        <w:ind w:left="567" w:hanging="567"/>
        <w:rPr>
          <w:noProof/>
        </w:rPr>
      </w:pPr>
      <w:r>
        <w:rPr>
          <w:noProof/>
        </w:rPr>
        <w:t>(c)</w:t>
      </w:r>
      <w:r>
        <w:rPr>
          <w:noProof/>
        </w:rPr>
        <w:tab/>
        <w:t>erori în informațiile suplimentare privind exportatorul sau destinatarul, cum ar fi numărul de telefon, codul poștal sau adresa de e-mail.</w:t>
      </w:r>
    </w:p>
    <w:p>
      <w:pPr>
        <w:rPr>
          <w:noProof/>
        </w:rPr>
      </w:pPr>
    </w:p>
    <w:p>
      <w:pPr>
        <w:rPr>
          <w:noProof/>
        </w:rPr>
      </w:pPr>
      <w:r>
        <w:rPr>
          <w:noProof/>
        </w:rPr>
        <w:t>Articolul 3.23</w:t>
      </w:r>
    </w:p>
    <w:p>
      <w:pPr>
        <w:rPr>
          <w:noProof/>
        </w:rPr>
      </w:pPr>
    </w:p>
    <w:p>
      <w:pPr>
        <w:rPr>
          <w:noProof/>
        </w:rPr>
      </w:pPr>
      <w:r>
        <w:rPr>
          <w:noProof/>
        </w:rPr>
        <w:t>11.</w:t>
      </w:r>
      <w:r>
        <w:rPr>
          <w:noProof/>
        </w:rPr>
        <w:tab/>
        <w:t>În cazul verificării unui atestat de origine prezentat de importator, autoritățile vamale din partea importatoare nu îi solicită importatorului să colecteze de la exportator informațiile specificate la articolul 3.23 alineatul (2) literele (b) și (c).</w:t>
      </w:r>
    </w:p>
    <w:p>
      <w:pPr>
        <w:rPr>
          <w:noProof/>
        </w:rPr>
      </w:pPr>
    </w:p>
    <w:p>
      <w:pPr>
        <w:widowControl/>
        <w:spacing w:line="240" w:lineRule="auto"/>
        <w:rPr>
          <w:noProof/>
        </w:rPr>
      </w:pPr>
      <w:r>
        <w:rPr>
          <w:noProof/>
        </w:rPr>
        <w:br w:type="page"/>
      </w:r>
    </w:p>
    <w:p>
      <w:pPr>
        <w:rPr>
          <w:noProof/>
        </w:rPr>
      </w:pPr>
      <w:r>
        <w:rPr>
          <w:noProof/>
        </w:rPr>
        <w:lastRenderedPageBreak/>
        <w:t>Articolul 3.24</w:t>
      </w:r>
    </w:p>
    <w:p>
      <w:pPr>
        <w:rPr>
          <w:noProof/>
        </w:rPr>
      </w:pPr>
    </w:p>
    <w:p>
      <w:pPr>
        <w:rPr>
          <w:noProof/>
        </w:rPr>
      </w:pPr>
      <w:r>
        <w:rPr>
          <w:noProof/>
        </w:rPr>
        <w:t>12.</w:t>
      </w:r>
      <w:r>
        <w:rPr>
          <w:noProof/>
        </w:rPr>
        <w:tab/>
        <w:t>În ceea ce privește aplicarea articolului 3.24 alineatul (2), comunicarea cererilor de verificare și a notificărilor rezultatelor acestora între autoritățile competente ale ambelor părți se efectuează prin poșta convențională. În paralel, autoritățile competente ale ambelor părți pot utiliza, de asemenea, mijloace auxiliare precum poșta electronică pentru a comunica rapid și a se asigura că respectivele cereri sau răspunsurile ajung la destinatar în partea relevantă.</w:t>
      </w:r>
    </w:p>
    <w:p>
      <w:pPr>
        <w:rPr>
          <w:noProof/>
        </w:rPr>
      </w:pPr>
    </w:p>
    <w:p>
      <w:pPr>
        <w:rPr>
          <w:noProof/>
        </w:rPr>
      </w:pPr>
      <w:r>
        <w:rPr>
          <w:noProof/>
        </w:rPr>
        <w:t>Articolul 3.25</w:t>
      </w:r>
    </w:p>
    <w:p>
      <w:pPr>
        <w:rPr>
          <w:noProof/>
        </w:rPr>
      </w:pPr>
    </w:p>
    <w:p>
      <w:pPr>
        <w:rPr>
          <w:noProof/>
        </w:rPr>
      </w:pPr>
      <w:r>
        <w:rPr>
          <w:noProof/>
        </w:rPr>
        <w:t>13.</w:t>
      </w:r>
      <w:r>
        <w:rPr>
          <w:noProof/>
        </w:rPr>
        <w:tab/>
        <w:t>În eventualitatea unei cereri de cooperare administrativă în temeiul articolului 3.24 alineatul (2), în cazul în care autoritățile vamale ale părții importatoare nu au primit niciun răspuns, se recomandă transmiterea unei atenționări autorităților competente ale părții exportatoare înainte de încheierea perioadei menționate la articolul 3.25 alineatul (1) litera (c).</w:t>
      </w:r>
    </w:p>
    <w:p>
      <w:pPr>
        <w:rPr>
          <w:noProof/>
        </w:rPr>
      </w:pPr>
    </w:p>
    <w:p>
      <w:pPr>
        <w:rPr>
          <w:noProof/>
        </w:rPr>
      </w:pPr>
      <w:r>
        <w:rPr>
          <w:noProof/>
        </w:rPr>
        <w:t>14.</w:t>
      </w:r>
      <w:r>
        <w:rPr>
          <w:noProof/>
        </w:rPr>
        <w:tab/>
        <w:t>Se recomandă ca autoritățile competente ale părții importatoare să verifice împreună cu autoritățile competente ale părții exportatoare dacă au primit efectiv cererea înainte de a refuza dreptul la tratament tarifar preferențial.</w:t>
      </w:r>
    </w:p>
    <w:p>
      <w:pPr>
        <w:rPr>
          <w:noProof/>
        </w:rPr>
      </w:pPr>
    </w:p>
    <w:p>
      <w:pPr>
        <w:rPr>
          <w:noProof/>
        </w:rPr>
      </w:pPr>
    </w:p>
    <w:p>
      <w:pPr>
        <w:jc w:val="center"/>
        <w:rPr>
          <w:noProof/>
        </w:rPr>
      </w:pPr>
      <w:r>
        <w:rPr>
          <w:noProof/>
        </w:rPr>
        <w:t>________________</w:t>
      </w:r>
    </w:p>
    <w:p>
      <w:pPr>
        <w:rPr>
          <w:noProof/>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3-E</w:t>
      </w:r>
    </w:p>
    <w:p>
      <w:pPr>
        <w:rPr>
          <w:noProof/>
        </w:rPr>
      </w:pPr>
    </w:p>
    <w:p>
      <w:pPr>
        <w:rPr>
          <w:noProof/>
        </w:rPr>
      </w:pPr>
    </w:p>
    <w:p>
      <w:pPr>
        <w:jc w:val="center"/>
        <w:rPr>
          <w:rFonts w:eastAsia="Calibri"/>
          <w:noProof/>
        </w:rPr>
      </w:pPr>
      <w:r>
        <w:rPr>
          <w:noProof/>
        </w:rPr>
        <w:t>ASPECTE PRIVIND PRINCIPATUL ANDORRA</w:t>
      </w:r>
    </w:p>
    <w:p>
      <w:pPr>
        <w:rPr>
          <w:rFonts w:eastAsia="Calibri"/>
          <w:noProof/>
        </w:rPr>
      </w:pPr>
    </w:p>
    <w:p>
      <w:pPr>
        <w:rPr>
          <w:rFonts w:eastAsia="Calibri"/>
          <w:noProof/>
        </w:rPr>
      </w:pPr>
      <w:r>
        <w:rPr>
          <w:noProof/>
        </w:rPr>
        <w:t>1.</w:t>
      </w:r>
      <w:r>
        <w:rPr>
          <w:noProof/>
        </w:rPr>
        <w:tab/>
        <w:t>Produsele originare din Principatul Andorra, clasificate la capitolele 25-97 din Sistemul armonizat, sunt acceptate în Indonezia ca produse originare din Uniune în sensul prezentului acord.</w:t>
      </w:r>
    </w:p>
    <w:p>
      <w:pPr>
        <w:rPr>
          <w:rFonts w:eastAsia="Calibri"/>
          <w:noProof/>
        </w:rPr>
      </w:pPr>
    </w:p>
    <w:p>
      <w:pPr>
        <w:rPr>
          <w:rFonts w:eastAsia="Calibri"/>
          <w:noProof/>
        </w:rPr>
      </w:pPr>
      <w:r>
        <w:rPr>
          <w:noProof/>
        </w:rPr>
        <w:t>2.</w:t>
      </w:r>
      <w:r>
        <w:rPr>
          <w:noProof/>
        </w:rPr>
        <w:tab/>
        <w:t>Punctul 1 se aplică dacă Principatul Andorra, în virtutea uniunii vamale stabilite prin Decizia 90/680/CEE a Consiliului din 26 noiembrie 1990 privind încheierea Acordului sub forma unui schimb de scrisori între Comunitatea Economică Europeană și Principatul Andorra, aplică același tratament tarifar preferențial pe care îl aplică Uniunea produselor originare din Indonezia care se încadrează la capitolele 25-97 din Sistemul armonizat.</w:t>
      </w:r>
    </w:p>
    <w:p>
      <w:pPr>
        <w:rPr>
          <w:rFonts w:eastAsia="Calibri"/>
          <w:noProof/>
        </w:rPr>
      </w:pPr>
    </w:p>
    <w:p>
      <w:pPr>
        <w:rPr>
          <w:noProof/>
        </w:rPr>
      </w:pPr>
      <w:r>
        <w:rPr>
          <w:noProof/>
        </w:rPr>
        <w:t>3.</w:t>
      </w:r>
      <w:r>
        <w:rPr>
          <w:noProof/>
        </w:rPr>
        <w:tab/>
        <w:t xml:space="preserve">Capitolul 3 se aplică </w:t>
      </w:r>
      <w:r>
        <w:rPr>
          <w:i/>
          <w:noProof/>
        </w:rPr>
        <w:t xml:space="preserve">mutatis mutandis </w:t>
      </w:r>
      <w:r>
        <w:rPr>
          <w:noProof/>
        </w:rPr>
        <w:t>în scopul prezentei anexe.</w:t>
      </w:r>
    </w:p>
    <w:p>
      <w:pPr>
        <w:rPr>
          <w:noProof/>
        </w:rPr>
      </w:pPr>
    </w:p>
    <w:p>
      <w:pPr>
        <w:rPr>
          <w:noProof/>
        </w:rPr>
      </w:pPr>
    </w:p>
    <w:p>
      <w:pPr>
        <w:jc w:val="center"/>
        <w:rPr>
          <w:noProof/>
        </w:rPr>
      </w:pPr>
      <w:r>
        <w:rPr>
          <w:noProof/>
        </w:rPr>
        <w:t>________________</w:t>
      </w:r>
    </w:p>
    <w:p>
      <w:pPr>
        <w:rPr>
          <w:noProof/>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3-F</w:t>
      </w:r>
    </w:p>
    <w:p>
      <w:pPr>
        <w:rPr>
          <w:noProof/>
        </w:rPr>
      </w:pPr>
    </w:p>
    <w:p>
      <w:pPr>
        <w:rPr>
          <w:noProof/>
        </w:rPr>
      </w:pPr>
    </w:p>
    <w:p>
      <w:pPr>
        <w:jc w:val="center"/>
        <w:rPr>
          <w:noProof/>
        </w:rPr>
      </w:pPr>
      <w:r>
        <w:rPr>
          <w:noProof/>
        </w:rPr>
        <w:t>ASPECTE PRIVIND REPUBLICA SAN MARINO</w:t>
      </w:r>
    </w:p>
    <w:p>
      <w:pPr>
        <w:rPr>
          <w:noProof/>
        </w:rPr>
      </w:pPr>
    </w:p>
    <w:p>
      <w:pPr>
        <w:rPr>
          <w:noProof/>
        </w:rPr>
      </w:pPr>
      <w:r>
        <w:rPr>
          <w:noProof/>
        </w:rPr>
        <w:t>1.</w:t>
      </w:r>
      <w:r>
        <w:rPr>
          <w:noProof/>
        </w:rPr>
        <w:tab/>
        <w:t>Produsele originare din Republica San Marino sunt acceptate în Indonezia ca produse originare din Uniune în sensul prezentului acord.</w:t>
      </w:r>
    </w:p>
    <w:p>
      <w:pPr>
        <w:rPr>
          <w:noProof/>
        </w:rPr>
      </w:pPr>
    </w:p>
    <w:p>
      <w:pPr>
        <w:rPr>
          <w:noProof/>
        </w:rPr>
      </w:pPr>
      <w:r>
        <w:rPr>
          <w:noProof/>
        </w:rPr>
        <w:t>2.</w:t>
      </w:r>
      <w:r>
        <w:rPr>
          <w:noProof/>
        </w:rPr>
        <w:tab/>
        <w:t>Punctul 1 se aplică dacă, în temeiul Acordului de cooperare și uniune vamală dintre Comunitatea Economică Europeană și Republica San Marino, încheiat la Bruxelles la 16 decembrie 1991, Republica San Marino aplică același tratament tarifar preferențial pe care îl aplică Uniunea produselor originare din Indonezia.</w:t>
      </w:r>
    </w:p>
    <w:p>
      <w:pPr>
        <w:rPr>
          <w:noProof/>
        </w:rPr>
      </w:pPr>
    </w:p>
    <w:p>
      <w:pPr>
        <w:rPr>
          <w:noProof/>
        </w:rPr>
      </w:pPr>
      <w:r>
        <w:rPr>
          <w:noProof/>
        </w:rPr>
        <w:t>3.</w:t>
      </w:r>
      <w:r>
        <w:rPr>
          <w:noProof/>
        </w:rPr>
        <w:tab/>
        <w:t xml:space="preserve">Capitolul 3 se aplică </w:t>
      </w:r>
      <w:r>
        <w:rPr>
          <w:i/>
          <w:noProof/>
        </w:rPr>
        <w:t xml:space="preserve">mutatis mutandis </w:t>
      </w:r>
      <w:r>
        <w:rPr>
          <w:noProof/>
        </w:rPr>
        <w:t>în scopul prezentei anexe.</w:t>
      </w:r>
    </w:p>
    <w:p>
      <w:pPr>
        <w:rPr>
          <w:noProof/>
        </w:rPr>
      </w:pPr>
    </w:p>
    <w:p>
      <w:pPr>
        <w:rPr>
          <w:noProof/>
        </w:rPr>
      </w:pPr>
    </w:p>
    <w:p>
      <w:pPr>
        <w:jc w:val="center"/>
        <w:rPr>
          <w:noProof/>
        </w:rPr>
      </w:pPr>
      <w:r>
        <w:rPr>
          <w:noProof/>
        </w:rPr>
        <w:t>________________</w:t>
      </w:r>
    </w:p>
    <w:p>
      <w:pPr>
        <w:rPr>
          <w:noProof/>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color w:val="000000" w:themeColor="text1"/>
          <w:szCs w:val="24"/>
        </w:rPr>
      </w:pPr>
      <w:r>
        <w:rPr>
          <w:b/>
          <w:noProof/>
          <w:color w:val="000000" w:themeColor="text1"/>
          <w:u w:val="single"/>
        </w:rPr>
        <w:lastRenderedPageBreak/>
        <w:t>ANEXA 7-A</w:t>
      </w:r>
    </w:p>
    <w:p>
      <w:pPr>
        <w:rPr>
          <w:noProof/>
        </w:rPr>
      </w:pPr>
    </w:p>
    <w:p>
      <w:pPr>
        <w:rPr>
          <w:noProof/>
        </w:rPr>
      </w:pPr>
    </w:p>
    <w:p>
      <w:pPr>
        <w:jc w:val="center"/>
        <w:rPr>
          <w:noProof/>
        </w:rPr>
      </w:pPr>
      <w:r>
        <w:rPr>
          <w:noProof/>
        </w:rPr>
        <w:t>LISTA ORGANISMELOR INTERNAȚIONALE DE STANDARDIZARE</w:t>
      </w:r>
    </w:p>
    <w:p>
      <w:pPr>
        <w:rPr>
          <w:rFonts w:eastAsia="MS Mincho"/>
          <w:noProof/>
        </w:rPr>
      </w:pPr>
    </w:p>
    <w:p>
      <w:pPr>
        <w:ind w:left="567" w:hanging="567"/>
        <w:rPr>
          <w:rFonts w:eastAsia="MS Mincho"/>
          <w:noProof/>
        </w:rPr>
      </w:pPr>
      <w:r>
        <w:rPr>
          <w:noProof/>
        </w:rPr>
        <w:t>1.</w:t>
      </w:r>
      <w:r>
        <w:rPr>
          <w:noProof/>
        </w:rPr>
        <w:tab/>
        <w:t>Organizația Internațională de Standardizare („ISO”);</w:t>
      </w:r>
    </w:p>
    <w:p>
      <w:pPr>
        <w:rPr>
          <w:rFonts w:eastAsia="MS Mincho"/>
          <w:noProof/>
        </w:rPr>
      </w:pPr>
    </w:p>
    <w:p>
      <w:pPr>
        <w:ind w:left="567" w:hanging="567"/>
        <w:rPr>
          <w:rFonts w:eastAsia="MS Mincho"/>
          <w:noProof/>
        </w:rPr>
      </w:pPr>
      <w:r>
        <w:rPr>
          <w:noProof/>
        </w:rPr>
        <w:t>2.</w:t>
      </w:r>
      <w:r>
        <w:rPr>
          <w:noProof/>
        </w:rPr>
        <w:tab/>
        <w:t>Comisia Electrotehnică Internațională („IEC”);</w:t>
      </w:r>
    </w:p>
    <w:p>
      <w:pPr>
        <w:rPr>
          <w:rFonts w:eastAsia="MS Mincho"/>
          <w:noProof/>
        </w:rPr>
      </w:pPr>
    </w:p>
    <w:p>
      <w:pPr>
        <w:ind w:left="567" w:hanging="567"/>
        <w:rPr>
          <w:rFonts w:eastAsia="MS Mincho"/>
          <w:noProof/>
        </w:rPr>
      </w:pPr>
      <w:r>
        <w:rPr>
          <w:noProof/>
        </w:rPr>
        <w:t>3.</w:t>
      </w:r>
      <w:r>
        <w:rPr>
          <w:noProof/>
        </w:rPr>
        <w:tab/>
        <w:t>Uniunea Internațională a Telecomunicațiilor („UIT”);</w:t>
      </w:r>
    </w:p>
    <w:p>
      <w:pPr>
        <w:rPr>
          <w:rFonts w:eastAsia="MS Mincho"/>
          <w:noProof/>
        </w:rPr>
      </w:pPr>
    </w:p>
    <w:p>
      <w:pPr>
        <w:ind w:left="567" w:hanging="567"/>
        <w:rPr>
          <w:rFonts w:eastAsia="MS Mincho"/>
          <w:noProof/>
        </w:rPr>
      </w:pPr>
      <w:r>
        <w:rPr>
          <w:noProof/>
        </w:rPr>
        <w:t>4.</w:t>
      </w:r>
      <w:r>
        <w:rPr>
          <w:noProof/>
        </w:rPr>
        <w:tab/>
        <w:t>Comisia Codex Alimentarius;</w:t>
      </w:r>
    </w:p>
    <w:p>
      <w:pPr>
        <w:rPr>
          <w:rFonts w:eastAsia="MS Mincho"/>
          <w:noProof/>
        </w:rPr>
      </w:pPr>
    </w:p>
    <w:p>
      <w:pPr>
        <w:ind w:left="567" w:hanging="567"/>
        <w:rPr>
          <w:rFonts w:eastAsia="MS Mincho"/>
          <w:noProof/>
        </w:rPr>
      </w:pPr>
      <w:r>
        <w:rPr>
          <w:noProof/>
        </w:rPr>
        <w:t>5.</w:t>
      </w:r>
      <w:r>
        <w:rPr>
          <w:noProof/>
        </w:rPr>
        <w:tab/>
        <w:t>Organizația Aviației Civile Internaționale („OACI”);</w:t>
      </w:r>
    </w:p>
    <w:p>
      <w:pPr>
        <w:rPr>
          <w:rFonts w:eastAsia="MS Mincho"/>
          <w:noProof/>
        </w:rPr>
      </w:pPr>
    </w:p>
    <w:p>
      <w:pPr>
        <w:ind w:left="567" w:hanging="567"/>
        <w:rPr>
          <w:rFonts w:eastAsia="MS Mincho"/>
          <w:noProof/>
        </w:rPr>
      </w:pPr>
      <w:r>
        <w:rPr>
          <w:noProof/>
        </w:rPr>
        <w:t>6.</w:t>
      </w:r>
      <w:r>
        <w:rPr>
          <w:noProof/>
        </w:rPr>
        <w:tab/>
        <w:t>Forumul mondial pentru armonizarea regulamentelor privind vehiculele (WP.29) din cadrul Comisiei Economice pentru Europa a Organizației Națiunilor Unite („CEE-ONU”);</w:t>
      </w:r>
    </w:p>
    <w:p>
      <w:pPr>
        <w:rPr>
          <w:rFonts w:eastAsia="MS Mincho"/>
          <w:noProof/>
        </w:rPr>
      </w:pPr>
    </w:p>
    <w:p>
      <w:pPr>
        <w:ind w:left="567" w:hanging="567"/>
        <w:rPr>
          <w:rFonts w:eastAsia="MS Mincho"/>
          <w:noProof/>
        </w:rPr>
      </w:pPr>
      <w:r>
        <w:rPr>
          <w:noProof/>
        </w:rPr>
        <w:t>7.</w:t>
      </w:r>
      <w:r>
        <w:rPr>
          <w:noProof/>
        </w:rPr>
        <w:tab/>
        <w:t>Subcomitetul de Experți al ONU privind Sistemul armonizat global de clasificare și etichetare a substanțelor chimice („UNSCEGHS”);</w:t>
      </w:r>
    </w:p>
    <w:p>
      <w:pPr>
        <w:rPr>
          <w:rFonts w:eastAsia="MS Mincho"/>
          <w:noProof/>
        </w:rPr>
      </w:pPr>
    </w:p>
    <w:p>
      <w:pPr>
        <w:ind w:left="567" w:hanging="567"/>
        <w:rPr>
          <w:rFonts w:eastAsia="MS Mincho"/>
          <w:noProof/>
        </w:rPr>
      </w:pPr>
      <w:r>
        <w:rPr>
          <w:noProof/>
        </w:rPr>
        <w:t>8.</w:t>
      </w:r>
      <w:r>
        <w:rPr>
          <w:noProof/>
        </w:rPr>
        <w:tab/>
        <w:t>Consiliul Internațional pentru Armonizarea Cerințelor Tehnice de Înregistrare a Produselor Farmaceutice de Uz Uman („ICH”);</w:t>
      </w:r>
    </w:p>
    <w:p>
      <w:pPr>
        <w:rPr>
          <w:rFonts w:eastAsia="MS Mincho"/>
          <w:noProof/>
        </w:rPr>
      </w:pPr>
    </w:p>
    <w:p>
      <w:pPr>
        <w:ind w:left="567" w:hanging="567"/>
        <w:rPr>
          <w:rFonts w:eastAsia="MS Mincho"/>
          <w:noProof/>
        </w:rPr>
      </w:pPr>
      <w:r>
        <w:rPr>
          <w:noProof/>
        </w:rPr>
        <w:t>9.</w:t>
      </w:r>
      <w:r>
        <w:rPr>
          <w:noProof/>
        </w:rPr>
        <w:tab/>
        <w:t>Organizația Maritimă Internațională („OMI”);</w:t>
      </w:r>
    </w:p>
    <w:p>
      <w:pPr>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10.</w:t>
      </w:r>
      <w:r>
        <w:rPr>
          <w:noProof/>
        </w:rPr>
        <w:tab/>
        <w:t>Organizația Internațională de Metrologie Legală („OIML”);</w:t>
      </w:r>
    </w:p>
    <w:p>
      <w:pPr>
        <w:rPr>
          <w:rFonts w:eastAsia="MS Mincho"/>
          <w:noProof/>
        </w:rPr>
      </w:pPr>
    </w:p>
    <w:p>
      <w:pPr>
        <w:ind w:left="567" w:hanging="567"/>
        <w:rPr>
          <w:rFonts w:eastAsia="MS Mincho"/>
          <w:noProof/>
        </w:rPr>
      </w:pPr>
      <w:r>
        <w:rPr>
          <w:noProof/>
        </w:rPr>
        <w:t>11.</w:t>
      </w:r>
      <w:r>
        <w:rPr>
          <w:noProof/>
        </w:rPr>
        <w:tab/>
        <w:t>Consiliul Oleicol Internațional („IOC”);</w:t>
      </w:r>
    </w:p>
    <w:p>
      <w:pPr>
        <w:rPr>
          <w:rFonts w:eastAsia="MS Mincho"/>
          <w:noProof/>
        </w:rPr>
      </w:pPr>
    </w:p>
    <w:p>
      <w:pPr>
        <w:ind w:left="567" w:hanging="567"/>
        <w:rPr>
          <w:rFonts w:eastAsia="MS Mincho"/>
          <w:noProof/>
        </w:rPr>
      </w:pPr>
      <w:r>
        <w:rPr>
          <w:noProof/>
        </w:rPr>
        <w:t>12.</w:t>
      </w:r>
      <w:r>
        <w:rPr>
          <w:noProof/>
        </w:rPr>
        <w:tab/>
        <w:t>Uniunea Poștală Universală („UPU”) și</w:t>
      </w:r>
    </w:p>
    <w:p>
      <w:pPr>
        <w:rPr>
          <w:rFonts w:eastAsia="MS Mincho"/>
          <w:noProof/>
        </w:rPr>
      </w:pPr>
    </w:p>
    <w:p>
      <w:pPr>
        <w:ind w:left="567" w:hanging="567"/>
        <w:rPr>
          <w:noProof/>
        </w:rPr>
      </w:pPr>
      <w:r>
        <w:rPr>
          <w:noProof/>
        </w:rPr>
        <w:t>13.</w:t>
      </w:r>
      <w:r>
        <w:rPr>
          <w:noProof/>
        </w:rPr>
        <w:tab/>
        <w:t>Biroul Internațional de Măsuri și Greutăți („BIPM”).</w:t>
      </w:r>
    </w:p>
    <w:p>
      <w:pPr>
        <w:rPr>
          <w:noProof/>
        </w:rPr>
      </w:pPr>
    </w:p>
    <w:p>
      <w:pPr>
        <w:rPr>
          <w:noProof/>
        </w:rPr>
      </w:pPr>
    </w:p>
    <w:p>
      <w:pPr>
        <w:jc w:val="center"/>
        <w:rPr>
          <w:noProof/>
        </w:rPr>
      </w:pPr>
      <w:r>
        <w:rPr>
          <w:noProof/>
        </w:rPr>
        <w:t>________________</w:t>
      </w: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7-B</w:t>
      </w:r>
    </w:p>
    <w:p>
      <w:pPr>
        <w:rPr>
          <w:noProof/>
        </w:rPr>
      </w:pPr>
    </w:p>
    <w:p>
      <w:pPr>
        <w:rPr>
          <w:noProof/>
        </w:rPr>
      </w:pPr>
    </w:p>
    <w:p>
      <w:pPr>
        <w:jc w:val="center"/>
        <w:rPr>
          <w:rFonts w:eastAsia="MS Mincho"/>
          <w:noProof/>
        </w:rPr>
      </w:pPr>
      <w:r>
        <w:rPr>
          <w:noProof/>
        </w:rPr>
        <w:t>DECLARAȚIA DE CONFORMITATE A FURNIZORULUI – DOMENII ȘI MODALITĂȚI</w:t>
      </w:r>
    </w:p>
    <w:p>
      <w:pPr>
        <w:rPr>
          <w:noProof/>
        </w:rPr>
      </w:pPr>
    </w:p>
    <w:p>
      <w:pPr>
        <w:rPr>
          <w:noProof/>
        </w:rPr>
      </w:pPr>
      <w:r>
        <w:rPr>
          <w:noProof/>
        </w:rPr>
        <w:t>1.</w:t>
      </w:r>
      <w:r>
        <w:rPr>
          <w:noProof/>
        </w:rPr>
        <w:tab/>
        <w:t>Prezenta anexă acoperă următoarele domenii:</w:t>
      </w:r>
    </w:p>
    <w:p>
      <w:pPr>
        <w:rPr>
          <w:noProof/>
        </w:rPr>
      </w:pPr>
    </w:p>
    <w:p>
      <w:pPr>
        <w:ind w:left="567" w:hanging="567"/>
        <w:rPr>
          <w:noProof/>
        </w:rPr>
      </w:pPr>
      <w:r>
        <w:rPr>
          <w:noProof/>
        </w:rPr>
        <w:t>(a)</w:t>
      </w:r>
      <w:r>
        <w:rPr>
          <w:noProof/>
        </w:rPr>
        <w:tab/>
        <w:t>domeniul aspectelor de siguranță ale echipamentelor electrice și electronice, care acoperă aspectele de siguranță ale echipamentelor, altele decât mașinile, care sunt dependente de curenți electrici pentru a funcționa corespunzător, ale echipamentelor pentru generarea, transferul și măsurarea acestor curenți și care sunt concepute pentru a fi utilizate cu o tensiune joasă nominală cuprinsă între 50 și 1 000 V pentru curentul alternativ și între 75 și 1 500 V pentru curentul continuu, precum și ale echipamentelor care emit sau recepționează intenționat unde electromagnetice cu frecvențe mai mici de 3 000 GHz în scopul comunicării radio sau al radiodeterminării;</w:t>
      </w:r>
    </w:p>
    <w:p>
      <w:pPr>
        <w:rPr>
          <w:rFonts w:eastAsiaTheme="minorHAnsi"/>
          <w:noProof/>
        </w:rPr>
      </w:pPr>
    </w:p>
    <w:p>
      <w:pPr>
        <w:ind w:left="567" w:hanging="567"/>
        <w:rPr>
          <w:rFonts w:eastAsiaTheme="minorHAnsi"/>
          <w:noProof/>
        </w:rPr>
      </w:pPr>
      <w:r>
        <w:rPr>
          <w:noProof/>
        </w:rPr>
        <w:t>(b)</w:t>
      </w:r>
      <w:r>
        <w:rPr>
          <w:noProof/>
        </w:rPr>
        <w:tab/>
        <w:t>domeniul aspectelor de siguranță a echipamentului tehnic, care acoperă aspectele de siguranță ale unui ansamblu constituit din cel puțin o piesă mobilă acționată de un sistem de transmisie care utilizează una sau mai multe surse de energie, cum ar fi energia termică, electrică, pneumatică, hidraulică sau mecanică, aranjat și controlat astfel încât să funcționeze ca un întreg, exceptând mașinile cu risc ridicat, astfel cum sunt definite de fiecare parte;</w:t>
      </w:r>
    </w:p>
    <w:p>
      <w:pPr>
        <w:rPr>
          <w:rFonts w:eastAsiaTheme="minorHAnsi"/>
          <w:noProof/>
        </w:rPr>
      </w:pPr>
    </w:p>
    <w:p>
      <w:pPr>
        <w:ind w:left="567" w:hanging="567"/>
        <w:rPr>
          <w:rFonts w:eastAsiaTheme="minorHAnsi"/>
          <w:noProof/>
        </w:rPr>
      </w:pPr>
      <w:r>
        <w:rPr>
          <w:noProof/>
        </w:rPr>
        <w:t>(c)</w:t>
      </w:r>
      <w:r>
        <w:rPr>
          <w:noProof/>
        </w:rPr>
        <w:tab/>
        <w:t>domeniul compatibilității electromagnetice a echipamentelor, care acoperă compatibilitatea electromagnetică (perturbație și imunitate) a echipamentelor care depind de curenți electrici sau de câmpuri electromagnetice pentru a funcționa corespunzător, precum și a echipamentelor pentru generarea, transferul și măsurarea acestor curenți;</w:t>
      </w:r>
    </w:p>
    <w:p>
      <w:pPr>
        <w:rPr>
          <w:rFonts w:eastAsiaTheme="minorHAnsi"/>
          <w:noProof/>
        </w:rPr>
      </w:pPr>
    </w:p>
    <w:p>
      <w:pPr>
        <w:widowControl/>
        <w:spacing w:line="240" w:lineRule="auto"/>
        <w:rPr>
          <w:rFonts w:eastAsiaTheme="minorHAnsi"/>
          <w:noProof/>
        </w:rPr>
      </w:pPr>
      <w:r>
        <w:rPr>
          <w:noProof/>
        </w:rPr>
        <w:br w:type="page"/>
      </w:r>
    </w:p>
    <w:p>
      <w:pPr>
        <w:ind w:left="567" w:hanging="567"/>
        <w:rPr>
          <w:rFonts w:eastAsiaTheme="minorHAnsi"/>
          <w:noProof/>
        </w:rPr>
      </w:pPr>
      <w:r>
        <w:rPr>
          <w:noProof/>
        </w:rPr>
        <w:lastRenderedPageBreak/>
        <w:t>(d)</w:t>
      </w:r>
      <w:r>
        <w:rPr>
          <w:noProof/>
        </w:rPr>
        <w:tab/>
        <w:t>domeniul eficienței energetice, care înseamnă raportul dintre performanța, serviciile, bunurile sau energia obținute și energia consumată de un produs, cu impact asupra consumului de energie din timpul utilizării și având în vedere alocarea eficientă a resurselor;</w:t>
      </w:r>
    </w:p>
    <w:p>
      <w:pPr>
        <w:rPr>
          <w:rFonts w:eastAsiaTheme="minorHAnsi"/>
          <w:noProof/>
        </w:rPr>
      </w:pPr>
    </w:p>
    <w:p>
      <w:pPr>
        <w:ind w:left="567" w:hanging="567"/>
        <w:rPr>
          <w:rFonts w:eastAsiaTheme="minorHAnsi"/>
          <w:noProof/>
        </w:rPr>
      </w:pPr>
      <w:r>
        <w:rPr>
          <w:noProof/>
        </w:rPr>
        <w:t>(e)</w:t>
      </w:r>
      <w:r>
        <w:rPr>
          <w:noProof/>
        </w:rPr>
        <w:tab/>
        <w:t>domeniul restricțiilor de utilizare a anumitor substanțe periculoase în echipamentele electrice și electronice; și</w:t>
      </w:r>
    </w:p>
    <w:p>
      <w:pPr>
        <w:rPr>
          <w:rFonts w:eastAsiaTheme="minorHAnsi"/>
          <w:noProof/>
        </w:rPr>
      </w:pPr>
    </w:p>
    <w:p>
      <w:pPr>
        <w:ind w:left="567" w:hanging="567"/>
        <w:rPr>
          <w:rFonts w:eastAsiaTheme="minorHAnsi"/>
          <w:noProof/>
        </w:rPr>
      </w:pPr>
      <w:r>
        <w:rPr>
          <w:noProof/>
        </w:rPr>
        <w:t>(f)</w:t>
      </w:r>
      <w:r>
        <w:rPr>
          <w:noProof/>
        </w:rPr>
        <w:tab/>
        <w:t>domeniul aparatelor sanitare neelectrice sau neelectronice, care cuprinde următoarele produse: toaletele, jacuzziurile, chiuvetele de bucătărie, pisoarele, căzile de baie, cădițele de duș, bideurile și chiuvetele de baie.</w:t>
      </w:r>
    </w:p>
    <w:p>
      <w:pPr>
        <w:rPr>
          <w:noProof/>
        </w:rPr>
      </w:pPr>
    </w:p>
    <w:p>
      <w:pPr>
        <w:rPr>
          <w:noProof/>
        </w:rPr>
      </w:pPr>
      <w:r>
        <w:rPr>
          <w:noProof/>
        </w:rPr>
        <w:t>2.</w:t>
      </w:r>
      <w:r>
        <w:rPr>
          <w:noProof/>
        </w:rPr>
        <w:tab/>
        <w:t>Prezenta anexă nu reglementează aeronavele, navele, vagoanele feroviare sau vehiculele (inclusiv vehiculele cu motoare cu ardere internă și vehiculele electrice) ca întreg, inclusiv sistemele acestora, și nici echipamentele specializate maritime, feroviare, aeriene și pentru vehicule.</w:t>
      </w:r>
    </w:p>
    <w:p>
      <w:pPr>
        <w:rPr>
          <w:noProof/>
        </w:rPr>
      </w:pPr>
    </w:p>
    <w:p>
      <w:pPr>
        <w:rPr>
          <w:rFonts w:eastAsiaTheme="minorHAnsi"/>
          <w:noProof/>
        </w:rPr>
      </w:pPr>
      <w:r>
        <w:rPr>
          <w:noProof/>
        </w:rPr>
        <w:t>3.</w:t>
      </w:r>
      <w:r>
        <w:rPr>
          <w:noProof/>
        </w:rPr>
        <w:tab/>
        <w:t>La cererea oricăreia dintre părți, comitetul revizuiește lista domeniilor prevăzută la punctul 1.</w:t>
      </w:r>
    </w:p>
    <w:p>
      <w:pPr>
        <w:rPr>
          <w:rFonts w:eastAsiaTheme="minorHAnsi"/>
          <w:noProof/>
        </w:rPr>
      </w:pPr>
    </w:p>
    <w:p>
      <w:pPr>
        <w:rPr>
          <w:rFonts w:eastAsiaTheme="minorHAnsi"/>
          <w:noProof/>
        </w:rPr>
      </w:pPr>
      <w:r>
        <w:rPr>
          <w:noProof/>
        </w:rPr>
        <w:t>4.</w:t>
      </w:r>
      <w:r>
        <w:rPr>
          <w:noProof/>
        </w:rPr>
        <w:tab/>
        <w:t>Dacă este cazul, oricare dintre părți poate introduce cerințe privind testarea sau certificarea obligatorie de către o parte terță pentru domeniile de produse specificate în prezenta anexă, cu condiția ca aceste cerințe să fie justificate de obiective legitime și să fie proporționale cu scopul de a-i oferi părții importatoare o garanție adecvată că produsele sunt conforme cu reglementările sau standardele tehnice aplicabile, ținând seama de riscurile pe care le-ar crea neconformitatea respectivă.</w:t>
      </w:r>
    </w:p>
    <w:p>
      <w:pPr>
        <w:rPr>
          <w:rFonts w:eastAsiaTheme="minorHAnsi"/>
          <w:noProof/>
        </w:rPr>
      </w:pPr>
    </w:p>
    <w:p>
      <w:pPr>
        <w:widowControl/>
        <w:spacing w:line="240" w:lineRule="auto"/>
        <w:rPr>
          <w:noProof/>
        </w:rPr>
      </w:pPr>
      <w:r>
        <w:rPr>
          <w:noProof/>
        </w:rPr>
        <w:br w:type="page"/>
      </w:r>
    </w:p>
    <w:p>
      <w:pPr>
        <w:rPr>
          <w:noProof/>
        </w:rPr>
      </w:pPr>
      <w:r>
        <w:rPr>
          <w:noProof/>
        </w:rPr>
        <w:lastRenderedPageBreak/>
        <w:t>5.</w:t>
      </w:r>
      <w:r>
        <w:rPr>
          <w:noProof/>
        </w:rPr>
        <w:tab/>
        <w:t>O parte care propune introducerea procedurilor de evaluare a conformității menționate la punctul 4 din prezenta anexă îi notifică acest lucru celeilalte părți într-un stadiu incipient și adecvat și ține seama de observațiile celeilalte părți la elaborarea oricăror astfel de proceduri de evaluare a conformității. Notificarea bazată pe dispozițiile relevante prevăzute la articolul 5 din Acordul BTC se consideră ca fiind o notificare adresată celeilalte părți.</w:t>
      </w:r>
    </w:p>
    <w:p>
      <w:pPr>
        <w:rPr>
          <w:noProof/>
        </w:rPr>
      </w:pPr>
    </w:p>
    <w:p>
      <w:pPr>
        <w:rPr>
          <w:noProof/>
        </w:rPr>
      </w:pPr>
    </w:p>
    <w:p>
      <w:pPr>
        <w:jc w:val="center"/>
        <w:rPr>
          <w:noProof/>
        </w:rPr>
      </w:pPr>
      <w:r>
        <w:rPr>
          <w:noProof/>
        </w:rPr>
        <w:t>________________</w:t>
      </w: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Gulim"/>
          <w:b/>
          <w:bCs/>
          <w:noProof/>
          <w:u w:val="single"/>
        </w:rPr>
      </w:pPr>
      <w:bookmarkStart w:id="19" w:name="_Hlk227942272"/>
      <w:r>
        <w:rPr>
          <w:b/>
          <w:noProof/>
          <w:u w:val="single"/>
        </w:rPr>
        <w:lastRenderedPageBreak/>
        <w:t>ANEXA 7-C</w:t>
      </w:r>
    </w:p>
    <w:bookmarkEnd w:id="19"/>
    <w:p>
      <w:pPr>
        <w:rPr>
          <w:rFonts w:eastAsia="Gulim"/>
          <w:noProof/>
        </w:rPr>
      </w:pPr>
    </w:p>
    <w:p>
      <w:pPr>
        <w:rPr>
          <w:rFonts w:eastAsia="Gulim"/>
          <w:noProof/>
        </w:rPr>
      </w:pPr>
    </w:p>
    <w:p>
      <w:pPr>
        <w:jc w:val="center"/>
        <w:rPr>
          <w:rFonts w:eastAsia="Gulim"/>
          <w:noProof/>
        </w:rPr>
      </w:pPr>
      <w:r>
        <w:rPr>
          <w:noProof/>
        </w:rPr>
        <w:t>AUTOVEHICULE, ECHIPAMENTE ȘI PĂRȚI ALE ACESTORA</w:t>
      </w:r>
    </w:p>
    <w:p>
      <w:pPr>
        <w:rPr>
          <w:rFonts w:eastAsia="Gulim"/>
          <w:noProof/>
        </w:rPr>
      </w:pPr>
    </w:p>
    <w:p>
      <w:pPr>
        <w:rPr>
          <w:rFonts w:eastAsia="Gulim"/>
          <w:noProof/>
        </w:rPr>
      </w:pPr>
    </w:p>
    <w:p>
      <w:pPr>
        <w:jc w:val="center"/>
        <w:rPr>
          <w:rFonts w:eastAsia="Gulim"/>
          <w:noProof/>
        </w:rPr>
      </w:pPr>
      <w:r>
        <w:rPr>
          <w:noProof/>
        </w:rPr>
        <w:t>SECȚIUNEA A</w:t>
      </w:r>
    </w:p>
    <w:p>
      <w:pPr>
        <w:jc w:val="center"/>
        <w:rPr>
          <w:rFonts w:eastAsia="Gulim"/>
          <w:noProof/>
        </w:rPr>
      </w:pPr>
    </w:p>
    <w:p>
      <w:pPr>
        <w:jc w:val="center"/>
        <w:rPr>
          <w:rFonts w:eastAsia="Gulim"/>
          <w:noProof/>
        </w:rPr>
      </w:pPr>
      <w:r>
        <w:rPr>
          <w:noProof/>
        </w:rPr>
        <w:t>DISPOZIȚII GENERALE</w:t>
      </w:r>
    </w:p>
    <w:p>
      <w:pPr>
        <w:rPr>
          <w:rFonts w:eastAsia="Gulim"/>
          <w:noProof/>
        </w:rPr>
      </w:pPr>
    </w:p>
    <w:p>
      <w:pPr>
        <w:rPr>
          <w:noProof/>
        </w:rPr>
      </w:pPr>
      <w:r>
        <w:rPr>
          <w:noProof/>
        </w:rPr>
        <w:t>1.</w:t>
      </w:r>
      <w:r>
        <w:rPr>
          <w:noProof/>
        </w:rPr>
        <w:tab/>
        <w:t>În sensul prezentei anexe, se aplică următoarele definiții:</w:t>
      </w:r>
    </w:p>
    <w:p>
      <w:pPr>
        <w:rPr>
          <w:noProof/>
        </w:rPr>
      </w:pPr>
    </w:p>
    <w:p>
      <w:pPr>
        <w:ind w:left="567" w:hanging="567"/>
        <w:rPr>
          <w:noProof/>
        </w:rPr>
      </w:pPr>
      <w:r>
        <w:rPr>
          <w:noProof/>
        </w:rPr>
        <w:t>(a)</w:t>
      </w:r>
      <w:r>
        <w:rPr>
          <w:noProof/>
        </w:rPr>
        <w:tab/>
        <w:t>„WP.29” înseamnă Forumul mondial pentru armonizarea regulamentelor privind vehiculele din cadrul Comisiei Economice pentru Europa a Organizației Națiunilor Unite (denumită în continuare „CEE-ONU”);</w:t>
      </w:r>
    </w:p>
    <w:p>
      <w:pPr>
        <w:rPr>
          <w:noProof/>
        </w:rPr>
      </w:pPr>
    </w:p>
    <w:p>
      <w:pPr>
        <w:ind w:left="567" w:hanging="567"/>
        <w:rPr>
          <w:noProof/>
        </w:rPr>
      </w:pPr>
      <w:r>
        <w:rPr>
          <w:noProof/>
        </w:rPr>
        <w:t>(b)</w:t>
      </w:r>
      <w:r>
        <w:rPr>
          <w:noProof/>
        </w:rPr>
        <w:tab/>
        <w:t>„Acordul din 1958” înseamnă Acordul privind adoptarea specificațiilor tehnice uniforme pentru vehicule cu roți, echipamente și componente care pot fi montate și/sau folosite la vehicule cu roți și condițiile pentru recunoașterea reciprocă a omologărilor acordate pe baza acestor specificații (Geneva, 1958), administrat de WP.29, cu toate modificările și revizuirile ulterioare;</w:t>
      </w:r>
    </w:p>
    <w:p>
      <w:pPr>
        <w:rPr>
          <w:noProof/>
        </w:rPr>
      </w:pPr>
    </w:p>
    <w:p>
      <w:pPr>
        <w:ind w:left="567" w:hanging="567"/>
        <w:rPr>
          <w:noProof/>
        </w:rPr>
      </w:pPr>
      <w:r>
        <w:rPr>
          <w:noProof/>
        </w:rPr>
        <w:t>(c)</w:t>
      </w:r>
      <w:r>
        <w:rPr>
          <w:noProof/>
        </w:rPr>
        <w:tab/>
        <w:t>„regulamente ONU” înseamnă regulamentele tehnice adoptate în conformitate cu Acordul din 1958 și</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„SA 2022” înseamnă ediția din 2022 a Nomenclaturii Sistemului armonizat, publicată de Organizația Mondială a Vămilor.</w:t>
      </w:r>
    </w:p>
    <w:p>
      <w:pPr>
        <w:rPr>
          <w:noProof/>
        </w:rPr>
      </w:pPr>
    </w:p>
    <w:p>
      <w:pPr>
        <w:rPr>
          <w:noProof/>
        </w:rPr>
      </w:pPr>
      <w:r>
        <w:rPr>
          <w:noProof/>
        </w:rPr>
        <w:t>2.</w:t>
      </w:r>
      <w:r>
        <w:rPr>
          <w:noProof/>
        </w:rPr>
        <w:tab/>
        <w:t>Termenii utilizați în prezenta anexă au același înțeles ca în definițiile din Acordul din 1958 sau din anexa 1 la Acordul BTC.</w:t>
      </w:r>
    </w:p>
    <w:p>
      <w:pPr>
        <w:rPr>
          <w:noProof/>
        </w:rPr>
      </w:pPr>
    </w:p>
    <w:p>
      <w:pPr>
        <w:rPr>
          <w:noProof/>
        </w:rPr>
      </w:pPr>
      <w:r>
        <w:rPr>
          <w:noProof/>
        </w:rPr>
        <w:t>3.</w:t>
      </w:r>
      <w:r>
        <w:rPr>
          <w:noProof/>
        </w:rPr>
        <w:tab/>
        <w:t>Prezenta anexă se aplică în ceea ce privește comerțul dintre părți cu toate categoriile de autovehicule, echipamente și părți ale acestora, astfel cum sunt definite în apendicele 7-C-1, care intră, printre altele, sub incidența capitolelor 40, 84, 85, 87 și 94 din SA 2022 (denumite în continuare „produsele reglementate”).</w:t>
      </w:r>
    </w:p>
    <w:p>
      <w:pPr>
        <w:rPr>
          <w:noProof/>
        </w:rPr>
      </w:pPr>
    </w:p>
    <w:p>
      <w:pPr>
        <w:rPr>
          <w:noProof/>
        </w:rPr>
      </w:pPr>
      <w:r>
        <w:rPr>
          <w:noProof/>
        </w:rPr>
        <w:t>4.</w:t>
      </w:r>
      <w:r>
        <w:rPr>
          <w:noProof/>
        </w:rPr>
        <w:tab/>
        <w:t>În vederea promovării competitivității economiilor părților, inclusiv a IMM-urilor, în special prin crearea unor condiții favorabile pentru investiții solide în sectorul autovehiculelor, în ceea ce privește produsele vizate, obiectivele prezentei anexe sunt:</w:t>
      </w:r>
    </w:p>
    <w:p>
      <w:pPr>
        <w:rPr>
          <w:noProof/>
        </w:rPr>
      </w:pPr>
    </w:p>
    <w:p>
      <w:pPr>
        <w:ind w:left="567" w:hanging="567"/>
        <w:rPr>
          <w:noProof/>
        </w:rPr>
      </w:pPr>
      <w:r>
        <w:rPr>
          <w:noProof/>
        </w:rPr>
        <w:t>(a)</w:t>
      </w:r>
      <w:r>
        <w:rPr>
          <w:noProof/>
        </w:rPr>
        <w:tab/>
        <w:t>identificarea și abordarea barierelor netarifare din calea comerțului bilateral, cu scopul de a le elimina sau de a le reduce;</w:t>
      </w:r>
    </w:p>
    <w:p>
      <w:pPr>
        <w:rPr>
          <w:noProof/>
        </w:rPr>
      </w:pPr>
    </w:p>
    <w:p>
      <w:pPr>
        <w:ind w:left="567" w:hanging="567"/>
        <w:rPr>
          <w:noProof/>
        </w:rPr>
      </w:pPr>
      <w:r>
        <w:rPr>
          <w:noProof/>
        </w:rPr>
        <w:t>(b)</w:t>
      </w:r>
      <w:r>
        <w:rPr>
          <w:noProof/>
        </w:rPr>
        <w:tab/>
        <w:t>cooperarea pentru atingerea compatibilității și a convergenței reglementărilor bazate pe standarde internaționale relevante;</w:t>
      </w:r>
    </w:p>
    <w:p>
      <w:pPr>
        <w:rPr>
          <w:noProof/>
        </w:rPr>
      </w:pPr>
    </w:p>
    <w:p>
      <w:pPr>
        <w:ind w:left="567" w:hanging="567"/>
        <w:rPr>
          <w:noProof/>
        </w:rPr>
      </w:pPr>
      <w:r>
        <w:rPr>
          <w:noProof/>
        </w:rPr>
        <w:t>(c)</w:t>
      </w:r>
      <w:r>
        <w:rPr>
          <w:noProof/>
        </w:rPr>
        <w:tab/>
        <w:t>promovarea recunoașterii omologărilor bazate în special pe sistemele de omologare aplicate în temeiul Acordului din 1958 și pe cele bazate pe omologările ONU de tip;</w:t>
      </w:r>
    </w:p>
    <w:p>
      <w:pPr>
        <w:rPr>
          <w:noProof/>
        </w:rPr>
      </w:pPr>
    </w:p>
    <w:p>
      <w:pPr>
        <w:ind w:left="567" w:hanging="567"/>
        <w:rPr>
          <w:noProof/>
        </w:rPr>
      </w:pPr>
      <w:r>
        <w:rPr>
          <w:noProof/>
        </w:rPr>
        <w:t>(d)</w:t>
      </w:r>
      <w:r>
        <w:rPr>
          <w:noProof/>
        </w:rPr>
        <w:tab/>
        <w:t>stabilirea unor condiții de piață competitive pe baza principiilor deschiderii, nediscriminării și transparenței;</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asigurarea protecției sănătății umane, a siguranței și a mediului înconjurător;</w:t>
      </w:r>
    </w:p>
    <w:p>
      <w:pPr>
        <w:rPr>
          <w:noProof/>
        </w:rPr>
      </w:pPr>
    </w:p>
    <w:p>
      <w:pPr>
        <w:ind w:left="567" w:hanging="567"/>
        <w:rPr>
          <w:noProof/>
        </w:rPr>
      </w:pPr>
      <w:r>
        <w:rPr>
          <w:noProof/>
        </w:rPr>
        <w:t>(f)</w:t>
      </w:r>
      <w:r>
        <w:rPr>
          <w:noProof/>
        </w:rPr>
        <w:tab/>
        <w:t>sporirea prezenței serviciilor de omologare de tip desemnate de ONU în Indonezia, în vederea consolidării potențialului de export al părților;</w:t>
      </w:r>
    </w:p>
    <w:p>
      <w:pPr>
        <w:rPr>
          <w:noProof/>
        </w:rPr>
      </w:pPr>
    </w:p>
    <w:p>
      <w:pPr>
        <w:ind w:left="567" w:hanging="567"/>
        <w:rPr>
          <w:noProof/>
        </w:rPr>
      </w:pPr>
      <w:r>
        <w:rPr>
          <w:noProof/>
        </w:rPr>
        <w:t>(g)</w:t>
      </w:r>
      <w:r>
        <w:rPr>
          <w:noProof/>
        </w:rPr>
        <w:tab/>
        <w:t>consolidarea capacității serviciilor tehnice indoneziene legate de certificarea vehiculelor și</w:t>
      </w:r>
    </w:p>
    <w:p>
      <w:pPr>
        <w:rPr>
          <w:noProof/>
        </w:rPr>
      </w:pPr>
    </w:p>
    <w:p>
      <w:pPr>
        <w:ind w:left="567" w:hanging="567"/>
        <w:rPr>
          <w:noProof/>
        </w:rPr>
      </w:pPr>
      <w:r>
        <w:rPr>
          <w:noProof/>
        </w:rPr>
        <w:t>(h)</w:t>
      </w:r>
      <w:r>
        <w:rPr>
          <w:noProof/>
        </w:rPr>
        <w:tab/>
        <w:t>îmbunătățirea cooperării pentru promovarea unei dezvoltări continue și reciproc avantajoase a comerțului.</w:t>
      </w:r>
    </w:p>
    <w:p>
      <w:pPr>
        <w:rPr>
          <w:noProof/>
        </w:rPr>
      </w:pPr>
    </w:p>
    <w:p>
      <w:pPr>
        <w:rPr>
          <w:noProof/>
        </w:rPr>
      </w:pPr>
      <w:r>
        <w:rPr>
          <w:noProof/>
        </w:rPr>
        <w:t>5.</w:t>
      </w:r>
      <w:r>
        <w:rPr>
          <w:noProof/>
        </w:rPr>
        <w:tab/>
        <w:t>Părțile recunosc că WP.29 este organismul internațional de standardizare relevant și că regulamentele ONU în temeiul Acordului din 1958 sunt considerate standardele internaționale relevante pentru produsele reglementate de prezenta anexă.</w:t>
      </w:r>
    </w:p>
    <w:p>
      <w:pPr>
        <w:rPr>
          <w:noProof/>
        </w:rPr>
      </w:pPr>
    </w:p>
    <w:p>
      <w:pPr>
        <w:rPr>
          <w:noProof/>
        </w:rPr>
      </w:pPr>
    </w:p>
    <w:p>
      <w:pPr>
        <w:jc w:val="center"/>
        <w:rPr>
          <w:noProof/>
        </w:rPr>
      </w:pPr>
      <w:r>
        <w:rPr>
          <w:noProof/>
        </w:rPr>
        <w:t>SECȚIUNEA B</w:t>
      </w:r>
    </w:p>
    <w:p>
      <w:pPr>
        <w:jc w:val="center"/>
        <w:rPr>
          <w:noProof/>
        </w:rPr>
      </w:pPr>
    </w:p>
    <w:p>
      <w:pPr>
        <w:jc w:val="center"/>
        <w:rPr>
          <w:noProof/>
        </w:rPr>
      </w:pPr>
      <w:r>
        <w:rPr>
          <w:noProof/>
        </w:rPr>
        <w:t>CONVERGENȚA REGLEMENTĂRILOR</w:t>
      </w:r>
    </w:p>
    <w:p>
      <w:pPr>
        <w:rPr>
          <w:noProof/>
        </w:rPr>
      </w:pPr>
    </w:p>
    <w:p>
      <w:pPr>
        <w:rPr>
          <w:noProof/>
        </w:rPr>
      </w:pPr>
      <w:r>
        <w:rPr>
          <w:noProof/>
        </w:rPr>
        <w:t>6.</w:t>
      </w:r>
      <w:r>
        <w:rPr>
          <w:noProof/>
        </w:rPr>
        <w:tab/>
        <w:t>Părțile se abțin de la introducerea sau menținerea unei reglementări tehnice, a unui marcaj sau a unei proceduri de evaluare a conformității care se abate de la regulamentele ONU în domeniile reglementate de astfel de regulamente, cu excepția cazului în care există motive întemeiate pentru care un anumit regulament al ONU să reprezinte un mijloc ineficace sau inadecvat de asigurare a siguranței rutiere sau a protecției mediului sau a sănătății umane. În acest sens, fiecare parte poate lua în considerare, de asemenea, regulamentele ONU care nu au fost adoptate, dar a căror adoptare este iminentă.</w:t>
      </w:r>
    </w:p>
    <w:p>
      <w:pPr>
        <w:rPr>
          <w:noProof/>
        </w:rPr>
      </w:pPr>
    </w:p>
    <w:p>
      <w:pPr>
        <w:widowControl/>
        <w:spacing w:line="240" w:lineRule="auto"/>
        <w:rPr>
          <w:noProof/>
        </w:rPr>
      </w:pPr>
      <w:r>
        <w:rPr>
          <w:noProof/>
        </w:rPr>
        <w:br w:type="page"/>
      </w:r>
    </w:p>
    <w:p>
      <w:pPr>
        <w:rPr>
          <w:noProof/>
        </w:rPr>
      </w:pPr>
      <w:r>
        <w:rPr>
          <w:noProof/>
        </w:rPr>
        <w:lastRenderedPageBreak/>
        <w:t>7.</w:t>
      </w:r>
      <w:r>
        <w:rPr>
          <w:noProof/>
        </w:rPr>
        <w:tab/>
        <w:t>O parte care introduce o reglementare tehnică, un marcaj sau o procedură de evaluare a conformității care se abate de la regulamentele ONU astfel cum se menționează la punctul 6 litera (a) identifică, la cererea celeilalte părți, părțile din respectiva reglementare tehnică, din respectivul marcaj sau din respectiva procedură de evaluare a conformității care se abat în mod substanțial de la regulamentele ONU relevante și furnizează o justificare a motivelor divergenței respective.</w:t>
      </w:r>
    </w:p>
    <w:p>
      <w:pPr>
        <w:rPr>
          <w:noProof/>
        </w:rPr>
      </w:pPr>
    </w:p>
    <w:p>
      <w:pPr>
        <w:rPr>
          <w:noProof/>
        </w:rPr>
      </w:pPr>
      <w:r>
        <w:rPr>
          <w:noProof/>
        </w:rPr>
        <w:t>8.</w:t>
      </w:r>
      <w:r>
        <w:rPr>
          <w:noProof/>
        </w:rPr>
        <w:tab/>
        <w:t>În cazul în care o parte introduce sau menține reglementări tehnice, marcaje și proceduri de evaluare a conformității care se abat de la regulamentele ONU, astfel cum se prevede la punctul 6, partea respectivă revizuiește respectivele reglementări tehnice, marcaje sau proceduri de evaluare a conformității la intervale regulate și rezonabile, în vederea sporirii convergenței acestora cu regulamentele ONU relevante. Atunci când revizuiește respectivele reglementări tehnice, marcaje și proceduri de evaluare a conformității, fiecare parte analizează dacă există în continuare motivele care au justificat divergența respectivă. Rezultatul acestor revizuiri, inclusiv dacă justificarea divergenței există în continuare, se notifică celeilalte părți, la cerere.</w:t>
      </w:r>
    </w:p>
    <w:p>
      <w:pPr>
        <w:rPr>
          <w:noProof/>
        </w:rPr>
      </w:pPr>
    </w:p>
    <w:p>
      <w:pPr>
        <w:rPr>
          <w:noProof/>
        </w:rPr>
      </w:pPr>
      <w:r>
        <w:rPr>
          <w:noProof/>
        </w:rPr>
        <w:t>9.</w:t>
      </w:r>
      <w:r>
        <w:rPr>
          <w:noProof/>
        </w:rPr>
        <w:tab/>
        <w:t>Fiecare parte se abține de la introducerea sau menținerea unor reglementări tehnice, a unor marcaje sau a unor proceduri de evaluare a conformității care au ca efect interzicerea, restricționarea sau creșterea sarcinii asupra importului, precum și de la punerea în funcțiune pe piața sa a unor produse pentru care au fost acordate omologări de tip în temeiul unor regulamente ONU pe care le aplică în conformitate cu Acordul din 1958 pentru domeniile reglementate de acele regulamente ONU, cu excepția cazului în care respectivele reglementări tehnice, marcaje sau proceduri de evaluare a conformității sunt prevăzute explicit de acele regulamente ONU sau sunt necesare pentru îndeplinirea obiectivelor legitime prevăzute la articolul 2.2 din Acordul BTC sau în Acordul din 1958.</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C</w:t>
      </w:r>
    </w:p>
    <w:p>
      <w:pPr>
        <w:jc w:val="center"/>
        <w:rPr>
          <w:noProof/>
        </w:rPr>
      </w:pPr>
    </w:p>
    <w:p>
      <w:pPr>
        <w:jc w:val="center"/>
        <w:rPr>
          <w:noProof/>
        </w:rPr>
      </w:pPr>
      <w:r>
        <w:rPr>
          <w:noProof/>
        </w:rPr>
        <w:t>ACCESUL PE PIAȚĂ</w:t>
      </w:r>
    </w:p>
    <w:p>
      <w:pPr>
        <w:rPr>
          <w:noProof/>
        </w:rPr>
      </w:pPr>
    </w:p>
    <w:p>
      <w:pPr>
        <w:rPr>
          <w:noProof/>
        </w:rPr>
      </w:pPr>
      <w:r>
        <w:rPr>
          <w:noProof/>
        </w:rPr>
        <w:t>10.</w:t>
      </w:r>
      <w:r>
        <w:rPr>
          <w:noProof/>
        </w:rPr>
        <w:tab/>
        <w:t>Fiecare parte:</w:t>
      </w:r>
    </w:p>
    <w:p>
      <w:pPr>
        <w:rPr>
          <w:noProof/>
        </w:rPr>
      </w:pPr>
    </w:p>
    <w:p>
      <w:pPr>
        <w:ind w:left="567" w:hanging="567"/>
        <w:rPr>
          <w:noProof/>
        </w:rPr>
      </w:pPr>
      <w:r>
        <w:rPr>
          <w:noProof/>
        </w:rPr>
        <w:t>(a)</w:t>
      </w:r>
      <w:r>
        <w:rPr>
          <w:noProof/>
        </w:rPr>
        <w:tab/>
        <w:t>acceptă pe piața sa produse care fac obiectul unui certificat de omologare ONU de tip valabil, însoțit de un raport de încercare sintetic, ca fiind conforme cu reglementările sale tehnice, cu marcajele și cu procedurile sale de evaluare a conformității, fără cerințe suplimentare de încercare sau de marcare pentru a verifica sau a atesta conformitatea cu orice cerință acoperită de o astfel de omologare ONU de tip, pentru componentele, unitățile tehnice sau sistemele încorporate în vehicule construite integral. În cazuri justificate, o parte poate solicita un raport de încercare complet. Numai certificatele de omologare ONU de tip eliberate de o parte care a aderat la regulamentele ONU relevante pot fi considerate valabile;</w:t>
      </w:r>
    </w:p>
    <w:p>
      <w:pPr>
        <w:rPr>
          <w:noProof/>
        </w:rPr>
      </w:pPr>
    </w:p>
    <w:p>
      <w:pPr>
        <w:ind w:left="567" w:hanging="567"/>
        <w:rPr>
          <w:noProof/>
        </w:rPr>
      </w:pPr>
      <w:r>
        <w:rPr>
          <w:noProof/>
        </w:rPr>
        <w:t>(b)</w:t>
      </w:r>
      <w:r>
        <w:rPr>
          <w:noProof/>
        </w:rPr>
        <w:tab/>
        <w:t>va fi obligată să accepte numai certificatele de omologare ONU de tip valabile care sunt însoțite de un raport de încercare sintetic și sunt emise în temeiul celei mai recente versiuni a regulamentelor ONU pe care le aplică partea importatoare.</w:t>
      </w:r>
      <w:bookmarkStart w:id="20" w:name="_Hlk202427269"/>
      <w:r>
        <w:rPr>
          <w:noProof/>
        </w:rPr>
        <w:t xml:space="preserve"> În cazuri justificate, o parte poate solicita un raport de încercare complet. </w:t>
      </w:r>
      <w:bookmarkEnd w:id="20"/>
      <w:r>
        <w:rPr>
          <w:noProof/>
        </w:rPr>
        <w:t>și</w:t>
      </w:r>
    </w:p>
    <w:p>
      <w:pPr>
        <w:rPr>
          <w:noProof/>
        </w:rPr>
      </w:pPr>
    </w:p>
    <w:p>
      <w:pPr>
        <w:ind w:left="567" w:hanging="567"/>
        <w:rPr>
          <w:noProof/>
        </w:rPr>
      </w:pPr>
      <w:bookmarkStart w:id="21" w:name="_Hlk202429795"/>
      <w:r>
        <w:rPr>
          <w:noProof/>
        </w:rPr>
        <w:t>(c)</w:t>
      </w:r>
      <w:r>
        <w:rPr>
          <w:noProof/>
        </w:rPr>
        <w:tab/>
        <w:t>prin derogare de la litera (b), continuă să acorde acces pe piață fără cerințe suplimentare de încercare sau marcare, în conformitate cu punctul 24 litera (a) din prezenta anexă</w:t>
      </w:r>
      <w:bookmarkEnd w:id="21"/>
      <w:r>
        <w:rPr>
          <w:noProof/>
        </w:rPr>
        <w:t>.</w:t>
      </w:r>
    </w:p>
    <w:p>
      <w:pPr>
        <w:rPr>
          <w:noProof/>
        </w:rPr>
      </w:pPr>
    </w:p>
    <w:p>
      <w:pPr>
        <w:rPr>
          <w:noProof/>
        </w:rPr>
      </w:pPr>
      <w:r>
        <w:rPr>
          <w:noProof/>
        </w:rPr>
        <w:t>11.</w:t>
      </w:r>
      <w:r>
        <w:rPr>
          <w:noProof/>
        </w:rPr>
        <w:tab/>
        <w:t>În sensul punctului 10, pentru orice produs reglementat de apendicele 7-C-2, un certificat de omologare ONU de tip valabil relevant însoțit de marca de omologare ONU de tip este considerat o dovadă suficientă a existenței unei omologări ONU de tip valabile.</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Autoritățile competente ale fiecărei părți pot verifica dacă produsele reglementate respectă, după caz, reglementările părții respective. O astfel de verificare poate fi efectuată numai prin eșantionare aleatorie, în conformitate cu aceste reglementări tehnice. Fiecare parte îi poate solicita furnizorului să retragă un produs de pe piața sa dacă acel produs nu respectă reglementările tehnice respective.</w:t>
      </w:r>
    </w:p>
    <w:p>
      <w:pPr>
        <w:rPr>
          <w:noProof/>
        </w:rPr>
      </w:pPr>
    </w:p>
    <w:p>
      <w:pPr>
        <w:rPr>
          <w:noProof/>
        </w:rPr>
      </w:pPr>
      <w:r>
        <w:rPr>
          <w:noProof/>
        </w:rPr>
        <w:t>13.</w:t>
      </w:r>
      <w:r>
        <w:rPr>
          <w:noProof/>
        </w:rPr>
        <w:tab/>
        <w:t>În pofida punctului 10 litera (c), prezenta anexă nu se interpretează ca impunându-i unei părți să extindă aplicarea apendicelui 7-C-2 la orice altă parte la Acordul din 1958.</w:t>
      </w:r>
    </w:p>
    <w:p>
      <w:pPr>
        <w:rPr>
          <w:noProof/>
        </w:rPr>
      </w:pPr>
    </w:p>
    <w:p>
      <w:pPr>
        <w:rPr>
          <w:noProof/>
        </w:rPr>
      </w:pPr>
      <w:r>
        <w:rPr>
          <w:noProof/>
        </w:rPr>
        <w:t>14.</w:t>
      </w:r>
      <w:r>
        <w:rPr>
          <w:noProof/>
        </w:rPr>
        <w:tab/>
        <w:t>Niciuna dintre părți nu împiedică și nu restricționează accesul pe piața sa al unui produs reglementat de prezenta anexă și aprobat de partea exportatoare pe motiv că produsul încorporează o tehnologie nouă sau o caracteristică nouă pe care partea importatoare nu a reglementat-o încă, cu excepția cazului în care poate demonstra că o astfel de tehnologie nouă sau caracteristică nouă creează un risc pentru sănătatea umană, siguranță sau mediu.</w:t>
      </w:r>
    </w:p>
    <w:p>
      <w:pPr>
        <w:rPr>
          <w:noProof/>
        </w:rPr>
      </w:pPr>
    </w:p>
    <w:p>
      <w:pPr>
        <w:rPr>
          <w:noProof/>
        </w:rPr>
      </w:pPr>
      <w:r>
        <w:rPr>
          <w:noProof/>
        </w:rPr>
        <w:t>15.</w:t>
      </w:r>
      <w:r>
        <w:rPr>
          <w:noProof/>
        </w:rPr>
        <w:tab/>
        <w:t>Atunci când o parte decide să refuze introducerea pe piața sa sau solicită retragerea de pe piața sa a unui produs al celeilalte părți reglementat de prezenta anexă pe motiv că acesta încorporează o tehnologie nouă sau o caracteristică nouă ce prezintă un risc pentru sănătatea umană, siguranță sau mediu, partea respectivă îi notifică imediat această decizie celeilalte părți și operatorului economic afectat sau operatorilor economici afectați. Notificarea include justificarea luată în considerare în decizia părții.</w:t>
      </w:r>
    </w:p>
    <w:p>
      <w:pPr>
        <w:rPr>
          <w:noProof/>
        </w:rPr>
      </w:pPr>
    </w:p>
    <w:p>
      <w:pPr>
        <w:rPr>
          <w:noProof/>
        </w:rPr>
      </w:pPr>
      <w:r>
        <w:rPr>
          <w:noProof/>
        </w:rPr>
        <w:t>16.</w:t>
      </w:r>
      <w:r>
        <w:rPr>
          <w:noProof/>
        </w:rPr>
        <w:tab/>
        <w:t>Fiecare parte se abține de la anularea sau reducerea avantajelor care îi revin celeilalte părți în temeiul prezentei anexe prin măsuri de reglementare specifice produselor reglementate.</w:t>
      </w:r>
    </w:p>
    <w:p>
      <w:pPr>
        <w:rPr>
          <w:noProof/>
        </w:rPr>
      </w:pPr>
    </w:p>
    <w:p>
      <w:pPr>
        <w:widowControl/>
        <w:spacing w:line="240" w:lineRule="auto"/>
        <w:rPr>
          <w:noProof/>
        </w:rPr>
      </w:pPr>
      <w:r>
        <w:rPr>
          <w:noProof/>
        </w:rPr>
        <w:br w:type="page"/>
      </w:r>
    </w:p>
    <w:p>
      <w:pPr>
        <w:rPr>
          <w:noProof/>
        </w:rPr>
      </w:pPr>
      <w:r>
        <w:rPr>
          <w:noProof/>
        </w:rPr>
        <w:lastRenderedPageBreak/>
        <w:t>17.</w:t>
      </w:r>
      <w:r>
        <w:rPr>
          <w:noProof/>
        </w:rPr>
        <w:tab/>
        <w:t>Punctul 16 nu aduce atingere dreptului unei părți de a adopta măsurile necesare pentru siguranța rutieră, inclusiv pentru infrastructura sa de transport relevantă, protecția mediului, protecția sănătății publice, prevenirea practicilor înșelătoare și protecția consumatorilor.</w:t>
      </w:r>
    </w:p>
    <w:p>
      <w:pPr>
        <w:rPr>
          <w:noProof/>
        </w:rPr>
      </w:pPr>
    </w:p>
    <w:p>
      <w:pPr>
        <w:rPr>
          <w:noProof/>
        </w:rPr>
      </w:pPr>
    </w:p>
    <w:p>
      <w:pPr>
        <w:jc w:val="center"/>
        <w:rPr>
          <w:noProof/>
        </w:rPr>
      </w:pPr>
      <w:r>
        <w:rPr>
          <w:noProof/>
        </w:rPr>
        <w:t>SECȚIUNEA D</w:t>
      </w:r>
    </w:p>
    <w:p>
      <w:pPr>
        <w:jc w:val="center"/>
        <w:rPr>
          <w:noProof/>
        </w:rPr>
      </w:pPr>
    </w:p>
    <w:p>
      <w:pPr>
        <w:jc w:val="center"/>
        <w:rPr>
          <w:noProof/>
        </w:rPr>
      </w:pPr>
      <w:r>
        <w:rPr>
          <w:noProof/>
        </w:rPr>
        <w:t>COOPERARE</w:t>
      </w:r>
    </w:p>
    <w:p>
      <w:pPr>
        <w:rPr>
          <w:noProof/>
        </w:rPr>
      </w:pPr>
    </w:p>
    <w:p>
      <w:pPr>
        <w:rPr>
          <w:noProof/>
        </w:rPr>
      </w:pPr>
      <w:r>
        <w:rPr>
          <w:noProof/>
        </w:rPr>
        <w:t>18.</w:t>
      </w:r>
      <w:r>
        <w:rPr>
          <w:noProof/>
        </w:rPr>
        <w:tab/>
        <w:t>Părțile cooperează și fac schimb de informații cu privire la orice aspecte relevante pentru punerea în aplicare a prezentei anexe în cadrul Comitetului pentru comerțul cu mărfuri, aspecte vamale și chestiuni sanitare și fitosanitare, reunit în configurația sa specifică pentru capitolele 2 (Tratamentul național și accesul pe piață al mărfurilor), 5 (Instrumente de apărare comercială) și 7 (Bariere tehnice în calea comerțului), instituit în temeiul articolului 24.4 (denumit în continuare „comitetul” în sensul prezentei anexe).</w:t>
      </w:r>
    </w:p>
    <w:p>
      <w:pPr>
        <w:rPr>
          <w:noProof/>
        </w:rPr>
      </w:pPr>
    </w:p>
    <w:p>
      <w:pPr>
        <w:rPr>
          <w:noProof/>
        </w:rPr>
      </w:pPr>
      <w:r>
        <w:rPr>
          <w:noProof/>
        </w:rPr>
        <w:t>19.</w:t>
      </w:r>
      <w:r>
        <w:rPr>
          <w:noProof/>
        </w:rPr>
        <w:tab/>
        <w:t>Indonezia depune eforturi pentru a deveni parte la Acordul din 1958. La cererea Indoneziei, Uniunea îi acordă asistență Indoneziei pentru a deveni parte la Acordul din 1958 și pentru a aplica regulamentele ONU.</w:t>
      </w:r>
    </w:p>
    <w:p>
      <w:pPr>
        <w:rPr>
          <w:noProof/>
        </w:rPr>
      </w:pPr>
    </w:p>
    <w:p>
      <w:pPr>
        <w:rPr>
          <w:noProof/>
        </w:rPr>
      </w:pPr>
      <w:r>
        <w:rPr>
          <w:noProof/>
        </w:rPr>
        <w:t>20.</w:t>
      </w:r>
      <w:r>
        <w:rPr>
          <w:noProof/>
        </w:rPr>
        <w:tab/>
        <w:t>Asistența menționată la punctul 19 vizează, dar nu se limitează la:</w:t>
      </w:r>
    </w:p>
    <w:p>
      <w:pPr>
        <w:rPr>
          <w:noProof/>
        </w:rPr>
      </w:pPr>
    </w:p>
    <w:p>
      <w:pPr>
        <w:ind w:left="567" w:hanging="567"/>
        <w:rPr>
          <w:noProof/>
        </w:rPr>
      </w:pPr>
      <w:r>
        <w:rPr>
          <w:noProof/>
        </w:rPr>
        <w:t>(a)</w:t>
      </w:r>
      <w:r>
        <w:rPr>
          <w:noProof/>
        </w:rPr>
        <w:tab/>
        <w:t>consolidarea capacității autorităților indoneziene, inclusiv prin asistență tehnică pentru îmbunătățirea și dezvoltarea infrastructurii indoneziene și a încercărilor de tip ale autovehiculelor pentru a se conforma cerințelor CEE-ONU în temeiul WP.29 sau al Acordului din 1958 sau</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încurajarea cercetării, inclusiv a schimbului de experți și de informații pentru a sprijini convergența Indoneziei către standardele CEE-ONU.</w:t>
      </w:r>
    </w:p>
    <w:p>
      <w:pPr>
        <w:rPr>
          <w:noProof/>
        </w:rPr>
      </w:pPr>
    </w:p>
    <w:p>
      <w:pPr>
        <w:rPr>
          <w:noProof/>
        </w:rPr>
      </w:pPr>
      <w:r>
        <w:rPr>
          <w:noProof/>
        </w:rPr>
        <w:t>21.</w:t>
      </w:r>
      <w:r>
        <w:rPr>
          <w:noProof/>
        </w:rPr>
        <w:tab/>
        <w:t>Grupul de lucru pentru autovehicule, echipamente și părți ale acestora, instituit în temeiul articolului 24.5 alineatul (1), este responsabil pentru punerea în aplicare a prezentei anexe, iar atribuțiile sale pot include:</w:t>
      </w:r>
    </w:p>
    <w:p>
      <w:pPr>
        <w:rPr>
          <w:noProof/>
        </w:rPr>
      </w:pPr>
    </w:p>
    <w:p>
      <w:pPr>
        <w:ind w:left="567" w:hanging="567"/>
        <w:rPr>
          <w:noProof/>
        </w:rPr>
      </w:pPr>
      <w:r>
        <w:rPr>
          <w:noProof/>
        </w:rPr>
        <w:t>(a)</w:t>
      </w:r>
      <w:r>
        <w:rPr>
          <w:noProof/>
        </w:rPr>
        <w:tab/>
        <w:t>facilitarea oricăror discuții tehnice și a oricărui schimb de informații, inclusiv cu privire la aspecte care decurg din punerea în aplicare a prezentei anexe, și acționarea ca forum pentru elaborarea orientărilor scrise care ar putea fi necesare pentru ca Indonezia să devină parte la Acordul din 1958 și să accepte regulamentele ONU;</w:t>
      </w:r>
    </w:p>
    <w:p>
      <w:pPr>
        <w:rPr>
          <w:noProof/>
        </w:rPr>
      </w:pPr>
    </w:p>
    <w:p>
      <w:pPr>
        <w:ind w:left="567" w:hanging="567"/>
        <w:rPr>
          <w:noProof/>
        </w:rPr>
      </w:pPr>
      <w:r>
        <w:rPr>
          <w:noProof/>
        </w:rPr>
        <w:t>(b)</w:t>
      </w:r>
      <w:r>
        <w:rPr>
          <w:noProof/>
        </w:rPr>
        <w:tab/>
        <w:t>continuarea discuțiilor tehnice în vederea stabilirii orientărilor scrise menționate la litera (a) pe care părțile le-ar fi putut elabora înainte de intrarea în vigoare a prezentului acord;</w:t>
      </w:r>
    </w:p>
    <w:p>
      <w:pPr>
        <w:rPr>
          <w:noProof/>
        </w:rPr>
      </w:pPr>
    </w:p>
    <w:p>
      <w:pPr>
        <w:ind w:left="567" w:hanging="567"/>
        <w:rPr>
          <w:noProof/>
        </w:rPr>
      </w:pPr>
      <w:r>
        <w:rPr>
          <w:noProof/>
        </w:rPr>
        <w:t>(c)</w:t>
      </w:r>
      <w:r>
        <w:rPr>
          <w:noProof/>
        </w:rPr>
        <w:tab/>
        <w:t>examinarea și identificarea oricăror eventuale modificări ale acestora și prezentarea de recomandări de modificare comitetului, pe baza cărora comitetul poate decide să propună modificări Comitetului pentru comerț în temeiul articolului 7.12 alineatul (3);</w:t>
      </w:r>
    </w:p>
    <w:p>
      <w:pPr>
        <w:rPr>
          <w:noProof/>
        </w:rPr>
      </w:pPr>
    </w:p>
    <w:p>
      <w:pPr>
        <w:ind w:left="567" w:hanging="567"/>
        <w:rPr>
          <w:noProof/>
        </w:rPr>
      </w:pPr>
      <w:r>
        <w:rPr>
          <w:noProof/>
        </w:rPr>
        <w:t>(d)</w:t>
      </w:r>
      <w:r>
        <w:rPr>
          <w:noProof/>
        </w:rPr>
        <w:tab/>
        <w:t>luarea de decizii cu privire la domeniile de interes reciproc pentru activitatea sau cooperarea viitoare în temeiul prezentei anexe și</w:t>
      </w:r>
    </w:p>
    <w:p>
      <w:pPr>
        <w:rPr>
          <w:noProof/>
        </w:rPr>
      </w:pPr>
    </w:p>
    <w:p>
      <w:pPr>
        <w:ind w:left="567" w:hanging="567"/>
        <w:rPr>
          <w:noProof/>
        </w:rPr>
      </w:pPr>
      <w:r>
        <w:rPr>
          <w:noProof/>
        </w:rPr>
        <w:t>(e)</w:t>
      </w:r>
      <w:r>
        <w:rPr>
          <w:noProof/>
        </w:rPr>
        <w:tab/>
        <w:t>îndeplinirea oricăror alte atribuții care îi pot fi delegate de către comitet.</w:t>
      </w:r>
    </w:p>
    <w:p>
      <w:pPr>
        <w:rPr>
          <w:rFonts w:eastAsia="Gulim"/>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APLICAREA ANEXEI</w:t>
      </w:r>
    </w:p>
    <w:p>
      <w:pPr>
        <w:rPr>
          <w:noProof/>
        </w:rPr>
      </w:pPr>
    </w:p>
    <w:p>
      <w:pPr>
        <w:rPr>
          <w:rFonts w:eastAsia="MS Mincho"/>
          <w:noProof/>
        </w:rPr>
      </w:pPr>
      <w:r>
        <w:rPr>
          <w:noProof/>
        </w:rPr>
        <w:t>22.</w:t>
      </w:r>
      <w:r>
        <w:rPr>
          <w:noProof/>
        </w:rPr>
        <w:tab/>
        <w:t>Punctele 6-15 din prezenta anexă se aplică atunci când Indonezia aderă la Acordul din 1958 sau cel târziu în 2033.</w:t>
      </w:r>
    </w:p>
    <w:p>
      <w:pPr>
        <w:rPr>
          <w:noProof/>
        </w:rPr>
      </w:pPr>
    </w:p>
    <w:p>
      <w:pPr>
        <w:rPr>
          <w:rFonts w:eastAsia="MS Mincho"/>
          <w:noProof/>
        </w:rPr>
      </w:pPr>
      <w:r>
        <w:rPr>
          <w:noProof/>
        </w:rPr>
        <w:t>23.</w:t>
      </w:r>
      <w:r>
        <w:rPr>
          <w:noProof/>
        </w:rPr>
        <w:tab/>
        <w:t xml:space="preserve">Comitetul efectuează o </w:t>
      </w:r>
      <w:bookmarkStart w:id="22" w:name="_Hlk224138871"/>
      <w:r>
        <w:rPr>
          <w:noProof/>
        </w:rPr>
        <w:t>examinare a acceptării de către părți pe piața lor a părților, a componentelor și a sistemelor care nu sunt încorporate în vehicule</w:t>
      </w:r>
      <w:bookmarkEnd w:id="22"/>
      <w:r>
        <w:rPr>
          <w:noProof/>
        </w:rPr>
        <w:t>, astfel cum se menționează la punctele 10-13, în termen de cel mult doi ani de la intrarea în vigoare a prezentului acord. Ca urmare a acestei reexaminări, Comitetul pentru comerț poate lua o decizie de modificare a prezentei anexe în temeiul articolului 24.2.</w:t>
      </w:r>
    </w:p>
    <w:p>
      <w:pPr>
        <w:rPr>
          <w:rFonts w:eastAsia="Gulim"/>
          <w:noProof/>
        </w:rPr>
      </w:pPr>
    </w:p>
    <w:p>
      <w:pPr>
        <w:rPr>
          <w:noProof/>
        </w:rPr>
      </w:pPr>
    </w:p>
    <w:p>
      <w:pPr>
        <w:jc w:val="center"/>
        <w:rPr>
          <w:noProof/>
        </w:rPr>
      </w:pPr>
      <w:r>
        <w:rPr>
          <w:noProof/>
        </w:rPr>
        <w:t>SECȚIUNEA F</w:t>
      </w:r>
    </w:p>
    <w:p>
      <w:pPr>
        <w:jc w:val="center"/>
        <w:rPr>
          <w:noProof/>
        </w:rPr>
      </w:pPr>
    </w:p>
    <w:p>
      <w:pPr>
        <w:jc w:val="center"/>
        <w:rPr>
          <w:noProof/>
        </w:rPr>
      </w:pPr>
      <w:r>
        <w:rPr>
          <w:noProof/>
        </w:rPr>
        <w:t>DISPOZIȚII TEMPORARE</w:t>
      </w:r>
    </w:p>
    <w:p>
      <w:pPr>
        <w:rPr>
          <w:noProof/>
        </w:rPr>
      </w:pPr>
    </w:p>
    <w:p>
      <w:pPr>
        <w:rPr>
          <w:noProof/>
        </w:rPr>
      </w:pPr>
      <w:r>
        <w:rPr>
          <w:noProof/>
        </w:rPr>
        <w:t>24.</w:t>
      </w:r>
      <w:bookmarkStart w:id="23" w:name="_Hlk213321553"/>
      <w:r>
        <w:rPr>
          <w:noProof/>
        </w:rPr>
        <w:tab/>
      </w:r>
      <w:bookmarkEnd w:id="23"/>
      <w:r>
        <w:rPr>
          <w:noProof/>
        </w:rPr>
        <w:t>Până la aplicarea punctelor 6-15 din prezenta anexă și prin derogare de la punctul 3:</w:t>
      </w:r>
    </w:p>
    <w:p>
      <w:pPr>
        <w:rPr>
          <w:noProof/>
        </w:rPr>
      </w:pPr>
    </w:p>
    <w:p>
      <w:pPr>
        <w:ind w:left="567" w:hanging="567"/>
        <w:rPr>
          <w:noProof/>
        </w:rPr>
      </w:pPr>
      <w:r>
        <w:rPr>
          <w:noProof/>
        </w:rPr>
        <w:t>(a)</w:t>
      </w:r>
      <w:r>
        <w:rPr>
          <w:noProof/>
        </w:rPr>
        <w:tab/>
        <w:t xml:space="preserve">fiecare parte acordă acces pe piață vehiculelor fabricate importate din cealaltă parte fără încercări </w:t>
      </w:r>
      <w:r>
        <w:rPr>
          <w:i/>
          <w:noProof/>
        </w:rPr>
        <w:t xml:space="preserve">ex ante </w:t>
      </w:r>
      <w:r>
        <w:rPr>
          <w:noProof/>
        </w:rPr>
        <w:t>suplimentare de omologare de tip și fără a prevedea cerințe de marcare suplimentare pentru categoria de vehicule, astfel cum sunt enumerate în apendicele 7-C-1, cu condiția ca respectivele componente, unități tehnice sau sisteme încorporate în vehicule să fie însoțite de un certificat de omologare ONU de tip valabil și de un raport de încercare sintetic</w:t>
      </w:r>
      <w:r>
        <w:rPr>
          <w:rStyle w:val="FootnoteReference"/>
          <w:noProof/>
        </w:rPr>
        <w:footnoteReference w:id="3"/>
      </w:r>
      <w:r>
        <w:rPr>
          <w:noProof/>
        </w:rPr>
        <w:t xml:space="preserve"> și să se bazeze pe cea mai recentă versiune a regulamentelor ONU corespunzătoare, astfel cum sunt enumerate în apendicele 7-C-2;</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atunci când pun în aplicare litera (a), autoritățile părților pot realiza o verificare a conformității prin supravegherea pieței în conformitate cu actele cu putere de lege și normele administrative ale fiecărei părți și pot lua măsurile corespunzătoare în caz de neconformitate;</w:t>
      </w:r>
    </w:p>
    <w:p>
      <w:pPr>
        <w:rPr>
          <w:noProof/>
        </w:rPr>
      </w:pPr>
    </w:p>
    <w:p>
      <w:pPr>
        <w:ind w:left="567" w:hanging="567"/>
        <w:rPr>
          <w:noProof/>
        </w:rPr>
      </w:pPr>
      <w:r>
        <w:rPr>
          <w:noProof/>
        </w:rPr>
        <w:t>(c)</w:t>
      </w:r>
      <w:r>
        <w:rPr>
          <w:noProof/>
        </w:rPr>
        <w:tab/>
        <w:t xml:space="preserve">prin derogare de la litera (a), </w:t>
      </w:r>
      <w:bookmarkStart w:id="24" w:name="_Hlk200113385"/>
      <w:r>
        <w:rPr>
          <w:noProof/>
        </w:rPr>
        <w:t>componentele, unitățile tehnice sau sistemele încorporate în vehicule</w:t>
      </w:r>
      <w:bookmarkEnd w:id="24"/>
      <w:r>
        <w:rPr>
          <w:noProof/>
        </w:rPr>
        <w:t xml:space="preserve"> și vehiculele construite în întregime respectă cerințele de omologare de tip pentru vehiculele construite în întregime ale părții importatoare, cu condiția ca această parte importatoare să demonstreze că regimul său este mai strict decât regulamentele ONU; în scopul unei astfel de demonstrații, partea importatoare se consultă cu producătorii sau importatorii și furnizează o explicație scrisă. Cerința de a demonstra că regimul său este mai strict decât regulamentele ONU nu li se aplică părților care sunt părți la Acordul din 1958.</w:t>
      </w:r>
    </w:p>
    <w:p>
      <w:pPr>
        <w:rPr>
          <w:noProof/>
        </w:rPr>
      </w:pPr>
    </w:p>
    <w:p>
      <w:pPr>
        <w:rPr>
          <w:noProof/>
        </w:rPr>
      </w:pPr>
      <w:r>
        <w:rPr>
          <w:noProof/>
        </w:rPr>
        <w:t>25.</w:t>
      </w:r>
      <w:r>
        <w:rPr>
          <w:noProof/>
        </w:rPr>
        <w:tab/>
        <w:t>Fiecare parte are dreptul de a revizui periodic punerea în aplicare a tratamentului acordat celeilalte părți în conformitate cu punctul 24.</w:t>
      </w:r>
    </w:p>
    <w:p>
      <w:pPr>
        <w:rPr>
          <w:noProof/>
        </w:rPr>
      </w:pPr>
    </w:p>
    <w:p>
      <w:pPr>
        <w:rPr>
          <w:noProof/>
        </w:rPr>
      </w:pPr>
      <w:r>
        <w:rPr>
          <w:noProof/>
        </w:rPr>
        <w:t>26.</w:t>
      </w:r>
      <w:r>
        <w:rPr>
          <w:noProof/>
        </w:rPr>
        <w:tab/>
        <w:t>Punctul 24 litera (a) continuă să se aplice după intrarea în vigoare a punctelor 6-15 din prezenta anexă.</w:t>
      </w:r>
    </w:p>
    <w:p>
      <w:pPr>
        <w:rPr>
          <w:noProof/>
        </w:rPr>
      </w:pPr>
    </w:p>
    <w:p>
      <w:pPr>
        <w:rPr>
          <w:noProof/>
        </w:rPr>
      </w:pPr>
      <w:bookmarkStart w:id="25" w:name="_Hlk198733842"/>
    </w:p>
    <w:p>
      <w:pPr>
        <w:widowControl/>
        <w:spacing w:line="240" w:lineRule="auto"/>
        <w:rPr>
          <w:noProof/>
        </w:rPr>
      </w:pPr>
      <w:r>
        <w:rPr>
          <w:noProof/>
        </w:rPr>
        <w:br w:type="page"/>
      </w:r>
    </w:p>
    <w:p>
      <w:pPr>
        <w:jc w:val="right"/>
        <w:rPr>
          <w:b/>
          <w:bCs/>
          <w:noProof/>
          <w:u w:val="single"/>
        </w:rPr>
      </w:pPr>
      <w:r>
        <w:rPr>
          <w:b/>
          <w:noProof/>
          <w:u w:val="single"/>
        </w:rPr>
        <w:lastRenderedPageBreak/>
        <w:t>Apendicele 7-C-1</w:t>
      </w:r>
    </w:p>
    <w:p>
      <w:pPr>
        <w:rPr>
          <w:noProof/>
        </w:rPr>
      </w:pPr>
    </w:p>
    <w:p>
      <w:pPr>
        <w:rPr>
          <w:noProof/>
        </w:rPr>
      </w:pPr>
    </w:p>
    <w:p>
      <w:pPr>
        <w:jc w:val="center"/>
        <w:rPr>
          <w:noProof/>
        </w:rPr>
      </w:pPr>
      <w:r>
        <w:rPr>
          <w:noProof/>
        </w:rPr>
        <w:t>CLASIFICAREA VEHICULELOR ACȚIONATE DE MOTOR</w:t>
      </w:r>
    </w:p>
    <w:p>
      <w:pPr>
        <w:rPr>
          <w:noProof/>
        </w:rPr>
      </w:pPr>
    </w:p>
    <w:p>
      <w:pPr>
        <w:rPr>
          <w:noProof/>
        </w:rPr>
      </w:pPr>
      <w:r>
        <w:rPr>
          <w:noProof/>
        </w:rPr>
        <w:t>1.</w:t>
      </w:r>
      <w:r>
        <w:rPr>
          <w:noProof/>
        </w:rPr>
        <w:tab/>
        <w:t>Categoria L – Autovehicule cu două, trei sau patru roți</w:t>
      </w:r>
    </w:p>
    <w:p>
      <w:pPr>
        <w:rPr>
          <w:noProof/>
        </w:rPr>
      </w:pPr>
    </w:p>
    <w:p>
      <w:pPr>
        <w:ind w:left="567" w:hanging="567"/>
        <w:rPr>
          <w:noProof/>
        </w:rPr>
      </w:pPr>
      <w:r>
        <w:rPr>
          <w:noProof/>
        </w:rPr>
        <w:t>(a)</w:t>
      </w:r>
      <w:r>
        <w:rPr>
          <w:noProof/>
        </w:rPr>
        <w:tab/>
        <w:t>„categoria L1”: un vehicul cu două roți, cu o capacitate cilindrică a motorului în cazul unui motor termic de maximum 50 cm³ și, indiferent de mijloacele de propulsie, cu o viteză maximă prin construcție care nu depășește 50 km/h. În cazul în care vehiculul este echipat cu o configurație cu „roți jumelate”, structura completă a vehiculului sau o parte a structurii vehiculului trebuie să se încline în momentul virării;</w:t>
      </w:r>
    </w:p>
    <w:p>
      <w:pPr>
        <w:rPr>
          <w:noProof/>
        </w:rPr>
      </w:pPr>
    </w:p>
    <w:p>
      <w:pPr>
        <w:ind w:left="567" w:hanging="567"/>
        <w:rPr>
          <w:noProof/>
        </w:rPr>
      </w:pPr>
      <w:r>
        <w:rPr>
          <w:noProof/>
        </w:rPr>
        <w:t>(b)</w:t>
      </w:r>
      <w:r>
        <w:rPr>
          <w:noProof/>
        </w:rPr>
        <w:tab/>
        <w:t>„categoria L2”: un vehicul cu trei roți din orice dispunere a roților, cu o capacitate cilindrică a motorului în cazul unui motor termic de maximum 50 cm³ și, indiferent de mijloacele de propulsie, cu o viteză maximă prin construcție care nu depășește 50 km/h;</w:t>
      </w:r>
    </w:p>
    <w:p>
      <w:pPr>
        <w:rPr>
          <w:noProof/>
        </w:rPr>
      </w:pPr>
    </w:p>
    <w:p>
      <w:pPr>
        <w:ind w:left="567" w:hanging="567"/>
        <w:rPr>
          <w:noProof/>
        </w:rPr>
      </w:pPr>
      <w:r>
        <w:rPr>
          <w:noProof/>
        </w:rPr>
        <w:t>(c)</w:t>
      </w:r>
      <w:r>
        <w:rPr>
          <w:noProof/>
        </w:rPr>
        <w:tab/>
        <w:t>„categoria L3”: un vehicul cu două roți cu o capacitate cilindrică a motorului în cazul unui motor termic de peste 50 cm³ sau, indiferent de mijloacele de propulsie, cu o viteză maximă prin construcție de peste 50 km/h. Dacă vehiculul este echipat cu o configurație cu „roți jumelate”, structura completă a vehiculului sau o parte a structurii vehiculului trebuie să se încline în momentul virării;</w:t>
      </w:r>
    </w:p>
    <w:p>
      <w:pPr>
        <w:rPr>
          <w:noProof/>
        </w:rPr>
      </w:pPr>
    </w:p>
    <w:p>
      <w:pPr>
        <w:ind w:left="567" w:hanging="567"/>
        <w:rPr>
          <w:noProof/>
        </w:rPr>
      </w:pPr>
      <w:r>
        <w:rPr>
          <w:noProof/>
        </w:rPr>
        <w:t>(d)</w:t>
      </w:r>
      <w:r>
        <w:rPr>
          <w:noProof/>
        </w:rPr>
        <w:tab/>
        <w:t>„categoria L4”: un vehicul cu trei roți dispuse asimetric în raport cu planul median longitudinal, cu o capacitate cilindrică a motorului în cazul unui motor termic de peste 50 cm³ sau, indiferent de mijloacele de propulsie, cu o viteză maximă prin construcție de peste 50 km/h (motociclete cu ataș) și</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„categoria L5”: un vehicul cu trei roți dispuse simetric în raport cu planul median longitudinal, cu o capacitate cilindrică a motorului în cazul unui motor termic de peste 50 cm³ sau, indiferent de mijloacele de propulsie, cu o viteză maximă prin construcție de peste 50 km/h.</w:t>
      </w:r>
    </w:p>
    <w:p>
      <w:pPr>
        <w:rPr>
          <w:noProof/>
        </w:rPr>
      </w:pPr>
    </w:p>
    <w:p>
      <w:pPr>
        <w:rPr>
          <w:noProof/>
        </w:rPr>
      </w:pPr>
      <w:r>
        <w:rPr>
          <w:noProof/>
        </w:rPr>
        <w:t>2.</w:t>
      </w:r>
      <w:r>
        <w:rPr>
          <w:noProof/>
        </w:rPr>
        <w:tab/>
        <w:t>Categoria M – vehicule acționate de motor, cu cel puțin patru roți, destinate transportului de persoane:</w:t>
      </w:r>
    </w:p>
    <w:p>
      <w:pPr>
        <w:rPr>
          <w:noProof/>
        </w:rPr>
      </w:pPr>
    </w:p>
    <w:p>
      <w:pPr>
        <w:ind w:left="567" w:hanging="567"/>
        <w:rPr>
          <w:noProof/>
        </w:rPr>
      </w:pPr>
      <w:r>
        <w:rPr>
          <w:noProof/>
        </w:rPr>
        <w:t>(a)</w:t>
      </w:r>
      <w:r>
        <w:rPr>
          <w:noProof/>
        </w:rPr>
        <w:tab/>
        <w:t>„categoria M1”: vehicule destinate transportului de persoane, care au, în afara scaunului conducătorului auto, maximum opt locuri pe scaune;</w:t>
      </w:r>
    </w:p>
    <w:p>
      <w:pPr>
        <w:rPr>
          <w:noProof/>
        </w:rPr>
      </w:pPr>
    </w:p>
    <w:p>
      <w:pPr>
        <w:ind w:left="567" w:hanging="567"/>
        <w:rPr>
          <w:noProof/>
        </w:rPr>
      </w:pPr>
      <w:r>
        <w:rPr>
          <w:noProof/>
        </w:rPr>
        <w:t>(b)</w:t>
      </w:r>
      <w:r>
        <w:rPr>
          <w:noProof/>
        </w:rPr>
        <w:tab/>
        <w:t>„categoria M2”: vehicule destinate transportului de persoane, care au, în afara locului conducătorului auto, mai mult de opt locuri pe scaune și o masă maximă care nu depășește 5 000 kg;</w:t>
      </w:r>
    </w:p>
    <w:p>
      <w:pPr>
        <w:rPr>
          <w:noProof/>
        </w:rPr>
      </w:pPr>
    </w:p>
    <w:p>
      <w:pPr>
        <w:ind w:left="567" w:hanging="567"/>
        <w:rPr>
          <w:noProof/>
        </w:rPr>
      </w:pPr>
      <w:r>
        <w:rPr>
          <w:noProof/>
        </w:rPr>
        <w:t>(c)</w:t>
      </w:r>
      <w:r>
        <w:rPr>
          <w:noProof/>
        </w:rPr>
        <w:tab/>
        <w:t>„categoria M3”: vehicule destinate transportului de persoane, care au, în afara locului conducătorului auto, mai mult de opt locuri pe scaune și o masă maximă care depășește 5 000 kg;</w:t>
      </w:r>
    </w:p>
    <w:p>
      <w:pPr>
        <w:rPr>
          <w:noProof/>
        </w:rPr>
      </w:pPr>
    </w:p>
    <w:p>
      <w:pPr>
        <w:ind w:left="567" w:hanging="567"/>
        <w:rPr>
          <w:noProof/>
        </w:rPr>
      </w:pPr>
      <w:r>
        <w:rPr>
          <w:noProof/>
        </w:rPr>
        <w:t>(d)</w:t>
      </w:r>
      <w:r>
        <w:rPr>
          <w:noProof/>
        </w:rPr>
        <w:tab/>
        <w:t>vehiculele din categoriile M2 și M3 care aparțin:</w:t>
      </w:r>
    </w:p>
    <w:p>
      <w:pPr>
        <w:rPr>
          <w:noProof/>
        </w:rPr>
      </w:pPr>
    </w:p>
    <w:p>
      <w:pPr>
        <w:ind w:left="1134" w:hanging="567"/>
        <w:rPr>
          <w:noProof/>
        </w:rPr>
      </w:pPr>
      <w:r>
        <w:rPr>
          <w:noProof/>
        </w:rPr>
        <w:t>(i)</w:t>
      </w:r>
      <w:r>
        <w:rPr>
          <w:noProof/>
        </w:rPr>
        <w:tab/>
        <w:t>celor trei clase de vehicule care au, în afara conducătorului auto, o capacitate de peste 22 de pasageri:</w:t>
      </w:r>
    </w:p>
    <w:p>
      <w:pPr>
        <w:rPr>
          <w:noProof/>
        </w:rPr>
      </w:pPr>
    </w:p>
    <w:p>
      <w:pPr>
        <w:ind w:left="1701" w:hanging="567"/>
        <w:rPr>
          <w:noProof/>
        </w:rPr>
      </w:pPr>
      <w:r>
        <w:rPr>
          <w:noProof/>
        </w:rPr>
        <w:t>(A)</w:t>
      </w:r>
      <w:r>
        <w:rPr>
          <w:noProof/>
        </w:rPr>
        <w:tab/>
        <w:t>„clasa I”: vehicule care conțin zone destinate pasagerilor care călătoresc în picioare, construite astfel încât să permită mișcări frecvente ale pasagerilor;</w:t>
      </w:r>
    </w:p>
    <w:p>
      <w:pPr>
        <w:ind w:left="1701" w:hanging="567"/>
        <w:rPr>
          <w:noProof/>
        </w:rPr>
      </w:pPr>
    </w:p>
    <w:p>
      <w:pPr>
        <w:widowControl/>
        <w:spacing w:line="240" w:lineRule="auto"/>
        <w:rPr>
          <w:noProof/>
        </w:rPr>
      </w:pPr>
      <w:r>
        <w:rPr>
          <w:noProof/>
        </w:rPr>
        <w:br w:type="page"/>
      </w:r>
    </w:p>
    <w:p>
      <w:pPr>
        <w:ind w:left="1701" w:hanging="567"/>
        <w:rPr>
          <w:noProof/>
        </w:rPr>
      </w:pPr>
      <w:r>
        <w:rPr>
          <w:noProof/>
        </w:rPr>
        <w:lastRenderedPageBreak/>
        <w:t>(B)</w:t>
      </w:r>
      <w:r>
        <w:rPr>
          <w:noProof/>
        </w:rPr>
        <w:tab/>
        <w:t>„clasa II”: vehicule construite în special pentru transportul pasagerilor așezați pe scaune și proiectate să permită transportul pasagerilor în picioare în culoarul central sau într-o zonă care nu depășește spațiul destinat pentru două scaune duble și</w:t>
      </w:r>
    </w:p>
    <w:p>
      <w:pPr>
        <w:ind w:left="1701" w:hanging="567"/>
        <w:rPr>
          <w:noProof/>
        </w:rPr>
      </w:pPr>
    </w:p>
    <w:p>
      <w:pPr>
        <w:ind w:left="1701" w:hanging="567"/>
        <w:rPr>
          <w:noProof/>
        </w:rPr>
      </w:pPr>
      <w:r>
        <w:rPr>
          <w:noProof/>
        </w:rPr>
        <w:t>(C)</w:t>
      </w:r>
      <w:r>
        <w:rPr>
          <w:noProof/>
        </w:rPr>
        <w:tab/>
        <w:t>„clasa III”: vehicule construite exclusiv pentru transportul pasagerilor așezați pe scaune.</w:t>
      </w:r>
    </w:p>
    <w:p>
      <w:pPr>
        <w:rPr>
          <w:noProof/>
        </w:rPr>
      </w:pPr>
    </w:p>
    <w:p>
      <w:pPr>
        <w:ind w:left="1134"/>
        <w:rPr>
          <w:noProof/>
        </w:rPr>
      </w:pPr>
      <w:r>
        <w:rPr>
          <w:noProof/>
        </w:rPr>
        <w:t>Un vehicul care aparține acestor trei categorii poate fi considerat ca aparținând mai multor clase. În asemenea cazuri, acesta poate fi omologat pentru fiecare clasă căreia îi corespunde;</w:t>
      </w:r>
    </w:p>
    <w:p>
      <w:pPr>
        <w:rPr>
          <w:noProof/>
        </w:rPr>
      </w:pPr>
    </w:p>
    <w:p>
      <w:pPr>
        <w:ind w:left="1134" w:hanging="567"/>
        <w:rPr>
          <w:noProof/>
        </w:rPr>
      </w:pPr>
      <w:r>
        <w:rPr>
          <w:noProof/>
        </w:rPr>
        <w:t>(ii)</w:t>
      </w:r>
      <w:r>
        <w:rPr>
          <w:noProof/>
        </w:rPr>
        <w:tab/>
        <w:t>celor două clase de vehicule care au, în afara conducătorului auto, o capacitate de maximum 22 de pasageri:</w:t>
      </w:r>
    </w:p>
    <w:p>
      <w:pPr>
        <w:rPr>
          <w:noProof/>
        </w:rPr>
      </w:pPr>
    </w:p>
    <w:p>
      <w:pPr>
        <w:ind w:left="1701" w:hanging="567"/>
        <w:rPr>
          <w:noProof/>
        </w:rPr>
      </w:pPr>
      <w:r>
        <w:rPr>
          <w:noProof/>
        </w:rPr>
        <w:t>(A)</w:t>
      </w:r>
      <w:r>
        <w:rPr>
          <w:noProof/>
        </w:rPr>
        <w:tab/>
        <w:t>„clasa A”: vehicule proiectate să transporte pasageri în picioare; un vehicul din această clasă are locuri și este prevăzut cu spațiu pentru pasageri în picioare și</w:t>
      </w:r>
    </w:p>
    <w:p>
      <w:pPr>
        <w:ind w:left="1701" w:hanging="567"/>
        <w:rPr>
          <w:rFonts w:eastAsia="Gulim"/>
          <w:noProof/>
        </w:rPr>
      </w:pPr>
    </w:p>
    <w:p>
      <w:pPr>
        <w:ind w:left="1701" w:hanging="567"/>
        <w:rPr>
          <w:noProof/>
        </w:rPr>
      </w:pPr>
      <w:r>
        <w:rPr>
          <w:noProof/>
        </w:rPr>
        <w:t>(B)</w:t>
      </w:r>
      <w:r>
        <w:rPr>
          <w:noProof/>
        </w:rPr>
        <w:tab/>
        <w:t>„clasa B”: vehicule care nu sunt proiectate să transporte pasageri în picioare și care nu sunt prevăzute cu spațiu pentru pasageri în picioare și</w:t>
      </w:r>
    </w:p>
    <w:p>
      <w:pPr>
        <w:rPr>
          <w:noProof/>
        </w:rPr>
      </w:pPr>
    </w:p>
    <w:p>
      <w:pPr>
        <w:ind w:left="567" w:hanging="567"/>
        <w:rPr>
          <w:noProof/>
        </w:rPr>
      </w:pPr>
      <w:r>
        <w:rPr>
          <w:noProof/>
        </w:rPr>
        <w:t>(e)</w:t>
      </w:r>
      <w:r>
        <w:rPr>
          <w:noProof/>
        </w:rPr>
        <w:tab/>
        <w:t>observații:</w:t>
      </w:r>
    </w:p>
    <w:p>
      <w:pPr>
        <w:rPr>
          <w:noProof/>
        </w:rPr>
      </w:pPr>
    </w:p>
    <w:p>
      <w:pPr>
        <w:ind w:left="1134" w:hanging="567"/>
        <w:rPr>
          <w:noProof/>
        </w:rPr>
      </w:pPr>
      <w:r>
        <w:rPr>
          <w:noProof/>
        </w:rPr>
        <w:t>(i)</w:t>
      </w:r>
      <w:r>
        <w:rPr>
          <w:noProof/>
        </w:rPr>
        <w:tab/>
        <w:t>un „autobuz sau autocar articulat” este un vehicul care constă în două sau mai multe secțiuni rigide care se articulează reciproc; compartimentele pentru pasageri din fiecare secțiune comunică, astfel încât pasagerii să se poată deplasa liber între ele; secțiunile rigide sunt permanent conectate, neputând fi separate decât printr-o operațiune care implică echipamente ce se găsesc în mod normal doar într-un atelier;</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autobuzele sau autocarele articulate care cuprind două sau mai multe unități inseparabile, dar articulate vor fi considerate ca fiind un singur vehicul;</w:t>
      </w:r>
    </w:p>
    <w:p>
      <w:pPr>
        <w:ind w:left="1134" w:hanging="567"/>
        <w:rPr>
          <w:noProof/>
        </w:rPr>
      </w:pPr>
    </w:p>
    <w:p>
      <w:pPr>
        <w:ind w:left="1134" w:hanging="567"/>
        <w:rPr>
          <w:noProof/>
        </w:rPr>
      </w:pPr>
      <w:r>
        <w:rPr>
          <w:noProof/>
        </w:rPr>
        <w:t>(iii)</w:t>
      </w:r>
      <w:r>
        <w:rPr>
          <w:noProof/>
        </w:rPr>
        <w:tab/>
        <w:t>în cazul unui vehicul de remorcare proiectat pentru a fi cuplat la o semiremorcă (tractor pentru semiremorcă), masa care se va lua în considerare pentru clasificarea vehiculului este masa vehiculului tractor în stare de funcționare, la care se adaugă masa corespunzătoare sarcinii statice verticale maxime transferată la vehiculul tractor de către semiremorcă și, dacă este cazul, de masa maximă a încărcăturii proprii a vehiculului tractor și</w:t>
      </w:r>
    </w:p>
    <w:p>
      <w:pPr>
        <w:ind w:left="1134" w:hanging="567"/>
        <w:rPr>
          <w:noProof/>
        </w:rPr>
      </w:pPr>
    </w:p>
    <w:p>
      <w:pPr>
        <w:ind w:left="1134" w:hanging="567"/>
        <w:rPr>
          <w:noProof/>
        </w:rPr>
      </w:pPr>
      <w:r>
        <w:rPr>
          <w:noProof/>
        </w:rPr>
        <w:t>(iv)</w:t>
      </w:r>
      <w:r>
        <w:rPr>
          <w:noProof/>
        </w:rPr>
        <w:tab/>
        <w:t>„masa vehiculului în stare de funcționare înseamnă masa unui vehicul neîncărcat, cu caroserie și cu dispozitiv de cuplare în cazul unui vehicul de remorcare, sau masa șasiului cu cabină dacă producătorul nu asamblează caroseria sau dispozitivul de cuplare, inclusiv lichidul de răcire, uleiuri, 90 % din combustibil, 100 % din alte lichide, exceptând ape uzate, instrumente, roata de rezervă, șoferul (75 kg) și, pentru autobuze și autocare, masa membrului de echipaj (75 kg) dacă există un loc pentru însoțitor de drum în vehicul.</w:t>
      </w:r>
    </w:p>
    <w:p>
      <w:pPr>
        <w:rPr>
          <w:noProof/>
        </w:rPr>
      </w:pPr>
    </w:p>
    <w:p>
      <w:pPr>
        <w:rPr>
          <w:noProof/>
        </w:rPr>
      </w:pPr>
      <w:r>
        <w:rPr>
          <w:noProof/>
        </w:rPr>
        <w:t>3.</w:t>
      </w:r>
      <w:r>
        <w:rPr>
          <w:noProof/>
        </w:rPr>
        <w:tab/>
        <w:t>Categoria N – vehicule acționate de motor, cu cel puțin patru roți, destinate transportului de mărfuri</w:t>
      </w:r>
    </w:p>
    <w:p>
      <w:pPr>
        <w:rPr>
          <w:noProof/>
        </w:rPr>
      </w:pPr>
    </w:p>
    <w:p>
      <w:pPr>
        <w:ind w:left="567" w:hanging="567"/>
        <w:rPr>
          <w:noProof/>
        </w:rPr>
      </w:pPr>
      <w:r>
        <w:rPr>
          <w:noProof/>
        </w:rPr>
        <w:t>(a)</w:t>
      </w:r>
      <w:r>
        <w:rPr>
          <w:noProof/>
        </w:rPr>
        <w:tab/>
        <w:t>„categoria N1”: vehicule destinate transportului de mărfuri, cu o masă maximă care nu depășește 3 500 kg;</w:t>
      </w:r>
    </w:p>
    <w:p>
      <w:pPr>
        <w:rPr>
          <w:noProof/>
        </w:rPr>
      </w:pPr>
    </w:p>
    <w:p>
      <w:pPr>
        <w:ind w:left="567" w:hanging="567"/>
        <w:rPr>
          <w:noProof/>
        </w:rPr>
      </w:pPr>
      <w:r>
        <w:rPr>
          <w:noProof/>
        </w:rPr>
        <w:t>(b)</w:t>
      </w:r>
      <w:r>
        <w:rPr>
          <w:noProof/>
        </w:rPr>
        <w:tab/>
        <w:t>„categoria N2”: vehicule destinate transportului de mărfuri, cu o masă maximă de peste 3 500 kg, dar care nu depășește 12 000 kg;</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„categoria N3”: vehicule destinate transportului de mărfuri, cu o masă maximă care depășește 12 000 kg;</w:t>
      </w:r>
    </w:p>
    <w:p>
      <w:pPr>
        <w:rPr>
          <w:noProof/>
        </w:rPr>
      </w:pPr>
    </w:p>
    <w:p>
      <w:pPr>
        <w:ind w:left="567" w:hanging="567"/>
        <w:rPr>
          <w:noProof/>
        </w:rPr>
      </w:pPr>
      <w:r>
        <w:rPr>
          <w:noProof/>
        </w:rPr>
        <w:t>(d)</w:t>
      </w:r>
      <w:r>
        <w:rPr>
          <w:noProof/>
        </w:rPr>
        <w:tab/>
        <w:t>observații:</w:t>
      </w:r>
    </w:p>
    <w:p>
      <w:pPr>
        <w:rPr>
          <w:noProof/>
        </w:rPr>
      </w:pPr>
    </w:p>
    <w:p>
      <w:pPr>
        <w:ind w:left="1134" w:hanging="567"/>
        <w:rPr>
          <w:noProof/>
        </w:rPr>
      </w:pPr>
      <w:r>
        <w:rPr>
          <w:noProof/>
        </w:rPr>
        <w:t>(i)</w:t>
      </w:r>
      <w:r>
        <w:rPr>
          <w:noProof/>
        </w:rPr>
        <w:tab/>
        <w:t>în cazul unui vehicul de remorcare proiectat pentru a fi cuplat la o semiremorcă (un tractor pentru o semiremorcă), masa care se va lua în considerare pentru clasificarea vehiculului este masa vehiculului tractor în stare de funcționare, la care se adaugă masa corespunzătoare sarcinii statice verticale maxime transferată la vehiculul tractor de către semiremorcă și, dacă este cazul, de masa maximă a încărcăturii proprii a vehiculului tractor și</w:t>
      </w:r>
    </w:p>
    <w:p>
      <w:pPr>
        <w:ind w:left="1134" w:hanging="567"/>
        <w:rPr>
          <w:noProof/>
        </w:rPr>
      </w:pPr>
    </w:p>
    <w:p>
      <w:pPr>
        <w:ind w:left="1134" w:hanging="567"/>
        <w:rPr>
          <w:noProof/>
        </w:rPr>
      </w:pPr>
      <w:r>
        <w:rPr>
          <w:noProof/>
        </w:rPr>
        <w:t>(ii)</w:t>
      </w:r>
      <w:r>
        <w:rPr>
          <w:noProof/>
        </w:rPr>
        <w:tab/>
        <w:t>echipamentele și instalațiile transportate pe anumite vehicule cu utilizări speciale (macarale, vehicule de atelier, vehicule de publicitate etc.) sunt considerate ca fiind echivalente cu mărfurile.</w:t>
      </w:r>
    </w:p>
    <w:p>
      <w:pPr>
        <w:rPr>
          <w:noProof/>
        </w:rPr>
      </w:pPr>
    </w:p>
    <w:p>
      <w:pPr>
        <w:rPr>
          <w:noProof/>
        </w:rPr>
      </w:pPr>
    </w:p>
    <w:bookmarkEnd w:id="25"/>
    <w:p>
      <w:pPr>
        <w:widowControl/>
        <w:spacing w:line="240" w:lineRule="auto"/>
        <w:rPr>
          <w:noProof/>
        </w:rPr>
      </w:pPr>
      <w:r>
        <w:rPr>
          <w:noProof/>
        </w:rPr>
        <w:br w:type="page"/>
      </w:r>
    </w:p>
    <w:p>
      <w:pPr>
        <w:jc w:val="right"/>
        <w:rPr>
          <w:b/>
          <w:bCs/>
          <w:noProof/>
          <w:u w:val="single"/>
        </w:rPr>
      </w:pPr>
      <w:r>
        <w:rPr>
          <w:b/>
          <w:noProof/>
          <w:u w:val="single"/>
        </w:rPr>
        <w:lastRenderedPageBreak/>
        <w:t>Apendicele 7-C-2</w:t>
      </w:r>
    </w:p>
    <w:p>
      <w:pPr>
        <w:rPr>
          <w:noProof/>
        </w:rPr>
      </w:pPr>
    </w:p>
    <w:p>
      <w:pPr>
        <w:rPr>
          <w:noProof/>
        </w:rPr>
      </w:pPr>
    </w:p>
    <w:p>
      <w:pPr>
        <w:jc w:val="center"/>
        <w:rPr>
          <w:noProof/>
        </w:rPr>
      </w:pPr>
      <w:r>
        <w:rPr>
          <w:noProof/>
        </w:rPr>
        <w:t xml:space="preserve">COMPONENTE, UNITĂȚI TEHNICE SAU SISTEME ÎNCORPORATE </w:t>
      </w:r>
      <w:r>
        <w:rPr>
          <w:noProof/>
        </w:rPr>
        <w:br/>
        <w:t>ÎN VEHICULELE DIN CATEGORIILE M1, M2, M3, N1, N2, N3 ȘI L</w:t>
      </w:r>
    </w:p>
    <w:p>
      <w:pPr>
        <w:rPr>
          <w:noProof/>
        </w:rPr>
      </w:pPr>
    </w:p>
    <w:tbl>
      <w:tblPr>
        <w:tblStyle w:val="TableGrid"/>
        <w:tblW w:w="5000" w:type="pct"/>
        <w:tblLayout w:type="fixed"/>
        <w:tblLook w:val="04A0" w:firstRow="1" w:lastRow="0" w:firstColumn="1" w:lastColumn="0" w:noHBand="0" w:noVBand="1"/>
      </w:tblPr>
      <w:tblGrid>
        <w:gridCol w:w="739"/>
        <w:gridCol w:w="4755"/>
        <w:gridCol w:w="4135"/>
      </w:tblGrid>
      <w:tr>
        <w:trPr>
          <w:cantSplit/>
          <w:tblHeader/>
        </w:trPr>
        <w:tc>
          <w:tcPr>
            <w:tcW w:w="384"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Nr.</w:t>
            </w:r>
          </w:p>
        </w:tc>
        <w:tc>
          <w:tcPr>
            <w:tcW w:w="2469"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Componente, unități tehnice sau sisteme încorporate în vehicule din categoriile M1, M2, M3, N1, N2, N și L</w:t>
            </w:r>
          </w:p>
        </w:tc>
        <w:tc>
          <w:tcPr>
            <w:tcW w:w="2147"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Certificate de omologare de tip, rapoarte de încercare sintetice sau rapoarte de încercare pe baza regulamentelor ONU</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Amenajări interioare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Scaune și tetiere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Scaune de autobuz</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80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Ancoraje ale centurilor de siguranță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Centuri de siguranță și sisteme de reținere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avertizare privind portul centurilor de siguranță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separare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Ancoraje pentru sisteme de reținere pentru copii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reținere pentru copii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îmbunătățite de reținere pentru copii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Protecție antiîmpănare față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Protecție antiîmpănare spate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Protecție laterală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73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rezervorului de combustibil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instalației de alimentare cu gaz petrolier lichefiat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instalației de alimentare cu gaz petrolier lichefiat și comprimat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utilizării hidrogenului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electrică în funcționare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Încercarea privind consumul de energie electrică și autonomia</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 frontal decalat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94</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21.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 frontal pe întreaga lățime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Protecția conducătorului auto față de sistemul de direcție în caz de impact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Airbag de înlocuire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asupra cabinei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lateral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lateral cu un stâlp</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posterior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Proiecția picioarelor și a capului pietonilor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Zonele extinse de protecție a capului în cazul unui impact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 de avertizare la mersul înapoi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Vizibilitate spre înainte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Geamuri securizate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vizibilitate indirectă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 de avertizare acustică pentru vehicule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Echipamente de direcție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79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 de avertizare la trecerea involuntară peste liniile de separare a benzilor de circulație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Frânare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13 ȘI 13-H</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Piese de schimb pentru sistemul de frânare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Frânare asistată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Controlul stabilității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13 ȘI 140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și performanțele de mediu ale pneurilor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30, 54 ȘI 117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Roțile de rezervă și sistemele cu posibilitate de rulare pe jantă („run-flat”)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Pneuri reșapate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108 ȘI 109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Monitorizarea presiunii în pneuri pentru vehiculele ușoare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141</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45.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Monitorizarea presiunii în pneuri pentru vehiculele grele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Instalarea pneurilor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Roți de schimb</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Avertizare sonoră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Interferența radio (compatibilitate electromagnetică)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Protecția împotriva utilizării neautorizate, sistemele de imobilizare și sistemele de alarmă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18, 97, 116, 161, 162 ȘI 163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Protecția vehiculului împotriva atacurilor cibernetice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Vitezometru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Odometru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limitare a vitezei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89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Identificarea comenzilor, a martorilor luminoși și a indicatoarelor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încălzire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semnalizare luminoasă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4, 6, 7, 19, 23, 38, 77, 87, 91 ȘI 148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iluminare a drumului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31, 98, 112, 119 ȘI 149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retroreflectorizante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 104 ȘI 150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Surse de lumină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37, 99 ȘI 128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Instalarea dispozitivelor de iluminat și reflectorizante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Semnal pentru frânare de urgență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Ștergătoare pentru faruri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Încuietorile și balamalele portierelor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Proiecții exterioare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26</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66.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Proeminențe exterioare ale cabinelor vehiculelor utilitare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Cuplaje mecanice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55 ȘI 102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Vehicule destinate transportului de mărfuri periculoase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Construcția generală a autobuzelor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Rezistența suprastructurii autobuzului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Inflamabilitatea în autobuze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Nivelul de zgomot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51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Emisiile la țeava de evacuare ale vehiculelor în laborator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83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Actualizarea software-ului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Încercarea la răsturnare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Emisiile de gaze de eșapament ale vehiculelor grele (emisii diesel)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Determinarea emisiilor specifice de CO</w:t>
            </w:r>
            <w:r>
              <w:rPr>
                <w:rFonts w:ascii="Times New Roman" w:hAnsi="Times New Roman"/>
                <w:noProof/>
                <w:vertAlign w:val="subscript"/>
              </w:rPr>
              <w:t>2</w:t>
            </w:r>
            <w:r>
              <w:rPr>
                <w:rFonts w:ascii="Times New Roman" w:hAnsi="Times New Roman"/>
                <w:noProof/>
              </w:rPr>
              <w:t xml:space="preserve"> și a consumului de combustibil ale vehiculului, încercarea privind consumul de energie electrică și autonomia</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Triunghi reflectorizant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Compatibilitate electromagnetică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avertizare acustică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Vitezometru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Emisiile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Instalarea dispozitivelor de iluminat și de semnalizare luminoasă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Comenzi acționate de conducătorul auto</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Frâne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78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Vehiculele electrice din categoria 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136</w:t>
            </w:r>
          </w:p>
        </w:tc>
      </w:tr>
    </w:tbl>
    <w:p>
      <w:pPr>
        <w:rPr>
          <w:noProof/>
        </w:rPr>
      </w:pPr>
    </w:p>
    <w:p>
      <w:pPr>
        <w:rPr>
          <w:noProof/>
        </w:rPr>
      </w:pPr>
    </w:p>
    <w:p>
      <w:pPr>
        <w:jc w:val="center"/>
        <w:rPr>
          <w:noProof/>
        </w:rPr>
      </w:pPr>
      <w:r>
        <w:rPr>
          <w:noProof/>
        </w:rPr>
        <w:t>________________</w:t>
      </w:r>
    </w:p>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charset w:val="00"/>
    <w:family w:val="auto"/>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Fonts w:eastAsiaTheme="majorEastAsia"/>
        </w:rPr>
        <w:footnoteRef/>
      </w:r>
      <w:r>
        <w:tab/>
        <w:t>„Fermentare” înseamnă procesul biotehnologic în care se utilizează celule umane, celule animale, celule vegetale, microorganisme precum bacterii, drojdii sau ciuperci pentru a fabrica produse încadrate la capitolele 29-39 din SA.</w:t>
      </w:r>
    </w:p>
  </w:footnote>
  <w:footnote w:id="2">
    <w:p>
      <w:pPr>
        <w:pStyle w:val="FootnoteText"/>
      </w:pPr>
      <w:r>
        <w:rPr>
          <w:rStyle w:val="FootnoteReference"/>
          <w:rFonts w:eastAsiaTheme="majorEastAsia"/>
        </w:rPr>
        <w:footnoteRef/>
      </w:r>
      <w:r>
        <w:tab/>
        <w:t>„Cultură celulară” înseamnă cultivarea de celule umane, de celule animale sau de celule vegetale în condiții controlate (cum ar fi la temperaturi, în medii de creștere, în amestec de gaze, cu pH definite) în afara unui organism viu, care sunt utilizate pentru a fabrica produse încadrate la capitolele 29-39 din SA.</w:t>
      </w:r>
    </w:p>
  </w:footnote>
  <w:footnote w:id="3">
    <w:p>
      <w:pPr>
        <w:pStyle w:val="FootnoteText"/>
      </w:pPr>
      <w:r>
        <w:rPr>
          <w:rStyle w:val="FootnoteReference"/>
        </w:rPr>
        <w:footnoteRef/>
      </w:r>
      <w:r>
        <w:tab/>
        <w:t>În cazuri justificate, o parte poate solicita un raport de încercare complet.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6"/>
  </w:num>
  <w:num w:numId="2">
    <w:abstractNumId w:val="22"/>
  </w:num>
  <w:num w:numId="3">
    <w:abstractNumId w:val="39"/>
  </w:num>
  <w:num w:numId="4">
    <w:abstractNumId w:val="11"/>
  </w:num>
  <w:num w:numId="5">
    <w:abstractNumId w:val="26"/>
  </w:num>
  <w:num w:numId="6">
    <w:abstractNumId w:val="20"/>
  </w:num>
  <w:num w:numId="7">
    <w:abstractNumId w:val="23"/>
  </w:num>
  <w:num w:numId="8">
    <w:abstractNumId w:val="36"/>
  </w:num>
  <w:num w:numId="9">
    <w:abstractNumId w:val="15"/>
  </w:num>
  <w:num w:numId="10">
    <w:abstractNumId w:val="3"/>
  </w:num>
  <w:num w:numId="11">
    <w:abstractNumId w:val="12"/>
  </w:num>
  <w:num w:numId="12">
    <w:abstractNumId w:val="25"/>
  </w:num>
  <w:num w:numId="13">
    <w:abstractNumId w:val="1"/>
  </w:num>
  <w:num w:numId="14">
    <w:abstractNumId w:val="0"/>
  </w:num>
  <w:num w:numId="15">
    <w:abstractNumId w:val="30"/>
  </w:num>
  <w:num w:numId="16">
    <w:abstractNumId w:val="21"/>
  </w:num>
  <w:num w:numId="17">
    <w:abstractNumId w:val="14"/>
  </w:num>
  <w:num w:numId="18">
    <w:abstractNumId w:val="7"/>
  </w:num>
  <w:num w:numId="19">
    <w:abstractNumId w:val="6"/>
  </w:num>
  <w:num w:numId="20">
    <w:abstractNumId w:val="33"/>
  </w:num>
  <w:num w:numId="21">
    <w:abstractNumId w:val="32"/>
  </w:num>
  <w:num w:numId="22">
    <w:abstractNumId w:val="37"/>
  </w:num>
  <w:num w:numId="23">
    <w:abstractNumId w:val="13"/>
  </w:num>
  <w:num w:numId="24">
    <w:abstractNumId w:val="24"/>
  </w:num>
  <w:num w:numId="25">
    <w:abstractNumId w:val="28"/>
  </w:num>
  <w:num w:numId="26">
    <w:abstractNumId w:val="27"/>
  </w:num>
  <w:num w:numId="27">
    <w:abstractNumId w:val="2"/>
  </w:num>
  <w:num w:numId="28">
    <w:abstractNumId w:val="29"/>
  </w:num>
  <w:num w:numId="29">
    <w:abstractNumId w:val="19"/>
  </w:num>
  <w:num w:numId="30">
    <w:abstractNumId w:val="4"/>
  </w:num>
  <w:num w:numId="31">
    <w:abstractNumId w:val="41"/>
  </w:num>
  <w:num w:numId="32">
    <w:abstractNumId w:val="31"/>
  </w:num>
  <w:num w:numId="33">
    <w:abstractNumId w:val="9"/>
  </w:num>
  <w:num w:numId="34">
    <w:abstractNumId w:val="17"/>
  </w:num>
  <w:num w:numId="35">
    <w:abstractNumId w:val="40"/>
  </w:num>
  <w:num w:numId="36">
    <w:abstractNumId w:val="18"/>
  </w:num>
  <w:num w:numId="37">
    <w:abstractNumId w:val="34"/>
  </w:num>
  <w:num w:numId="38">
    <w:abstractNumId w:val="38"/>
  </w:num>
  <w:num w:numId="39">
    <w:abstractNumId w:val="5"/>
  </w:num>
  <w:num w:numId="40">
    <w:abstractNumId w:val="35"/>
  </w:num>
  <w:num w:numId="41">
    <w:abstractNumId w:val="1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R_RefLast" w:val="0"/>
    <w:docVar w:name="DocStatus" w:val="Green"/>
    <w:docVar w:name="DW_DocType" w:val="_GenEn"/>
    <w:docVar w:name="LW_ACCOMPAGNANT.CP" w:val="la"/>
    <w:docVar w:name="LW_ANNEX_NBR_FIRST" w:val="3"/>
    <w:docVar w:name="LW_ANNEX_NBR_LAST" w:val="3"/>
    <w:docVar w:name="LW_ANNEX_UNIQUE" w:val="0"/>
    <w:docVar w:name="LW_CORRIGENDUM" w:val="&lt;UNUSED&gt;"/>
    <w:docVar w:name="LW_COVERPAGE_EXISTS" w:val="True"/>
    <w:docVar w:name="LW_COVERPAGE_GUID" w:val="7552452C-A981-442D-8BAD-7BF5AE65B4F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customStyle="1" w:styleId="footnote">
    <w:name w:val="footnote"/>
    <w:basedOn w:val="FootnoteText"/>
    <w:link w:val="footnoteChar"/>
    <w:qFormat/>
    <w:pPr>
      <w:widowControl/>
      <w:tabs>
        <w:tab w:val="clear" w:pos="567"/>
      </w:tabs>
      <w:spacing w:before="120"/>
    </w:pPr>
    <w:rPr>
      <w:szCs w:val="24"/>
      <w:lang w:eastAsia="en-GB"/>
    </w:rPr>
  </w:style>
  <w:style w:type="character" w:customStyle="1" w:styleId="footnoteChar">
    <w:name w:val="footnote Char"/>
    <w:basedOn w:val="DefaultParagraphFont"/>
    <w:link w:val="footnote"/>
    <w:rPr>
      <w:sz w:val="24"/>
      <w:szCs w:val="24"/>
    </w:rPr>
  </w:style>
  <w:style w:type="character" w:customStyle="1" w:styleId="Heading1Char">
    <w:name w:val="Heading 1 Char"/>
    <w:basedOn w:val="DefaultParagraphFont"/>
    <w:link w:val="Heading1"/>
    <w:uiPriority w:val="99"/>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basedOn w:val="Normal"/>
    <w:uiPriority w:val="99"/>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1">
    <w:name w:val="No List1"/>
    <w:next w:val="NoList"/>
    <w:uiPriority w:val="99"/>
    <w:semiHidden/>
    <w:unhideWhenUsed/>
  </w:style>
  <w:style w:type="character" w:customStyle="1" w:styleId="HeaderChar">
    <w:name w:val="Header Char"/>
    <w:aliases w:val="Header1 Char,6_G Char"/>
    <w:basedOn w:val="DefaultParagraphFont"/>
    <w:link w:val="Header"/>
    <w:rPr>
      <w:sz w:val="24"/>
      <w:lang w:eastAsia="fr-BE"/>
    </w:rPr>
  </w:style>
  <w:style w:type="paragraph" w:customStyle="1" w:styleId="ListDash">
    <w:name w:val="List Dash"/>
    <w:basedOn w:val="Normal"/>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pPr>
      <w:widowControl w:val="0"/>
      <w:autoSpaceDE w:val="0"/>
      <w:autoSpaceDN w:val="0"/>
      <w:adjustRightInd w:val="0"/>
      <w:spacing w:before="120" w:after="120"/>
    </w:pPr>
    <w:rPr>
      <w:rFonts w:eastAsia="Batang"/>
      <w:color w:val="000000"/>
      <w:sz w:val="24"/>
      <w:szCs w:val="24"/>
      <w:lang w:eastAsia="ko-KR"/>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character" w:customStyle="1" w:styleId="FooterChar">
    <w:name w:val="Footer Char"/>
    <w:basedOn w:val="DefaultParagraphFont"/>
    <w:link w:val="Footer"/>
    <w:uiPriority w:val="99"/>
    <w:rPr>
      <w:sz w:val="24"/>
      <w:lang w:eastAsia="fr-BE"/>
    </w:rPr>
  </w:style>
  <w:style w:type="paragraph" w:styleId="NoSpacing">
    <w:name w:val="No Spacing"/>
    <w:uiPriority w:val="1"/>
    <w:qFormat/>
    <w:pPr>
      <w:spacing w:before="120" w:after="120"/>
    </w:pPr>
    <w:rPr>
      <w:rFonts w:ascii="Calibri" w:eastAsia="Calibri" w:hAnsi="Calibri"/>
      <w:sz w:val="22"/>
      <w:szCs w:val="22"/>
      <w:lang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Pr>
      <w:rFonts w:ascii="Calibri" w:eastAsia="Calibri" w:hAnsi="Calibri"/>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Calibri" w:hAnsi="Calibri"/>
      <w:b/>
      <w:bCs/>
      <w:lang w:eastAsia="en-US"/>
    </w:rPr>
  </w:style>
  <w:style w:type="paragraph" w:styleId="Revision">
    <w:name w:val="Revision"/>
    <w:hidden/>
    <w:uiPriority w:val="99"/>
    <w:pPr>
      <w:spacing w:before="120" w:after="120"/>
    </w:pPr>
    <w:rPr>
      <w:rFonts w:ascii="Calibri" w:eastAsia="Calibri" w:hAnsi="Calibri"/>
      <w:sz w:val="22"/>
      <w:szCs w:val="22"/>
      <w:lang w:eastAsia="en-US"/>
    </w:rPr>
  </w:style>
  <w:style w:type="paragraph" w:customStyle="1" w:styleId="ManualNumPar1">
    <w:name w:val="Manual NumPar 1"/>
    <w:basedOn w:val="Normal"/>
    <w:next w:val="Normal"/>
    <w:pPr>
      <w:widowControl/>
      <w:spacing w:before="120" w:after="120" w:line="240" w:lineRule="auto"/>
      <w:ind w:left="850" w:hanging="850"/>
      <w:jc w:val="both"/>
    </w:pPr>
    <w:rPr>
      <w:szCs w:val="24"/>
      <w:lang w:eastAsia="de-DE"/>
    </w:rPr>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Pr>
      <w:rFonts w:ascii="Calibri" w:eastAsia="Calibri" w:hAnsi="Calibri"/>
      <w:sz w:val="22"/>
      <w:szCs w:val="21"/>
      <w:lang w:eastAsia="en-US"/>
    </w:rPr>
  </w:style>
  <w:style w:type="table" w:styleId="TableGrid">
    <w:name w:val="Table Grid"/>
    <w:basedOn w:val="TableNormal"/>
    <w:uiPriority w:val="39"/>
    <w:rPr>
      <w:rFonts w:ascii="Calibri" w:eastAsia="Calibri" w:hAnsi="Calibri"/>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ulletpoint1">
    <w:name w:val="Bullet point1"/>
    <w:basedOn w:val="Normal"/>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Pr>
      <w:rFonts w:eastAsia="Malgun Gothic"/>
      <w:sz w:val="24"/>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lang w:eastAsia="en-US"/>
    </w:rPr>
  </w:style>
  <w:style w:type="paragraph" w:styleId="BodyTextIndent">
    <w:name w:val="Body Text Indent"/>
    <w:basedOn w:val="Normal"/>
    <w:link w:val="BodyTextIndentChar"/>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Pr>
      <w:rFonts w:eastAsia="Malgun Gothic"/>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lang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styleId="DocumentMap">
    <w:name w:val="Document Map"/>
    <w:basedOn w:val="Normal"/>
    <w:link w:val="DocumentMapChar"/>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Pr>
      <w:rFonts w:ascii="Tahoma" w:eastAsia="Malgun Gothic" w:hAnsi="Tahoma"/>
      <w:sz w:val="24"/>
      <w:shd w:val="clear" w:color="auto" w:fill="00008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Pr>
      <w:sz w:val="24"/>
      <w:lang w:eastAsia="fr-BE"/>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tabs>
        <w:tab w:val="clear" w:pos="2160"/>
      </w:tabs>
      <w:ind w:left="800" w:hanging="400"/>
    </w:pPr>
  </w:style>
  <w:style w:type="paragraph" w:styleId="ListBullet3">
    <w:name w:val="List Bullet 3"/>
    <w:basedOn w:val="Text3"/>
    <w:pPr>
      <w:numPr>
        <w:numId w:val="18"/>
      </w:numPr>
      <w:tabs>
        <w:tab w:val="clear" w:pos="2199"/>
        <w:tab w:val="clear" w:pos="2302"/>
      </w:tabs>
      <w:ind w:left="0" w:firstLine="0"/>
    </w:pPr>
  </w:style>
  <w:style w:type="paragraph" w:styleId="ListBullet4">
    <w:name w:val="List Bullet 4"/>
    <w:basedOn w:val="Text4"/>
    <w:pPr>
      <w:numPr>
        <w:numId w:val="19"/>
      </w:numPr>
      <w:tabs>
        <w:tab w:val="clear" w:pos="3163"/>
      </w:tabs>
      <w:ind w:left="0" w:firstLine="0"/>
    </w:pPr>
  </w:style>
  <w:style w:type="paragraph" w:styleId="ListBullet5">
    <w:name w:val="List Bullet 5"/>
    <w:basedOn w:val="Normal"/>
    <w:autoRedefine/>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
    <w:name w:val="List Number"/>
    <w:basedOn w:val="Normal"/>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pPr>
      <w:numPr>
        <w:numId w:val="26"/>
      </w:numPr>
      <w:tabs>
        <w:tab w:val="clear" w:pos="1786"/>
        <w:tab w:val="clear" w:pos="2160"/>
      </w:tabs>
      <w:ind w:left="0" w:firstLine="0"/>
    </w:pPr>
  </w:style>
  <w:style w:type="paragraph" w:styleId="ListNumber3">
    <w:name w:val="List Number 3"/>
    <w:basedOn w:val="Text3"/>
    <w:pPr>
      <w:numPr>
        <w:numId w:val="27"/>
      </w:numPr>
      <w:tabs>
        <w:tab w:val="clear" w:pos="2302"/>
        <w:tab w:val="clear" w:pos="2625"/>
        <w:tab w:val="num" w:pos="1080"/>
      </w:tabs>
      <w:ind w:left="0" w:firstLine="0"/>
    </w:pPr>
  </w:style>
  <w:style w:type="paragraph" w:styleId="ListNumber4">
    <w:name w:val="List Number 4"/>
    <w:basedOn w:val="Text4"/>
    <w:pPr>
      <w:numPr>
        <w:numId w:val="28"/>
      </w:numPr>
      <w:tabs>
        <w:tab w:val="clear" w:pos="3589"/>
      </w:tabs>
      <w:ind w:left="0" w:firstLine="0"/>
    </w:pPr>
  </w:style>
  <w:style w:type="paragraph" w:styleId="ListNumber5">
    <w:name w:val="List Number 5"/>
    <w:basedOn w:val="Normal"/>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NoteHead">
    <w:name w:val="NoteHead"/>
    <w:basedOn w:val="Normal"/>
    <w:next w:val="Subject"/>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umPar2">
    <w:name w:val="NumPar 2"/>
    <w:basedOn w:val="Heading2"/>
    <w:next w:val="Text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eastAsia="en-US"/>
      <w14:ligatures w14:val="standardContextual"/>
    </w:rPr>
  </w:style>
  <w:style w:type="paragraph" w:customStyle="1" w:styleId="NumPar3">
    <w:name w:val="NumPar 3"/>
    <w:basedOn w:val="Heading3"/>
    <w:next w:val="Text3"/>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eastAsia="en-US"/>
      <w14:ligatures w14:val="standardContextual"/>
    </w:rPr>
  </w:style>
  <w:style w:type="paragraph" w:customStyle="1" w:styleId="NumPar4">
    <w:name w:val="NumPar 4"/>
    <w:basedOn w:val="Heading4"/>
    <w:next w:val="Text4"/>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eastAsia="en-US"/>
      <w14:ligatures w14:val="standardContextual"/>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pPr>
      <w:numPr>
        <w:numId w:val="21"/>
      </w:numPr>
      <w:tabs>
        <w:tab w:val="clear" w:pos="1360"/>
        <w:tab w:val="clear" w:pos="2160"/>
      </w:tabs>
      <w:ind w:left="0" w:firstLine="0"/>
    </w:pPr>
  </w:style>
  <w:style w:type="paragraph" w:customStyle="1" w:styleId="ListDash3">
    <w:name w:val="List Dash 3"/>
    <w:basedOn w:val="Text3"/>
    <w:pPr>
      <w:numPr>
        <w:numId w:val="22"/>
      </w:numPr>
      <w:tabs>
        <w:tab w:val="clear" w:pos="2199"/>
        <w:tab w:val="clear" w:pos="2302"/>
      </w:tabs>
      <w:ind w:left="0" w:firstLine="0"/>
    </w:pPr>
  </w:style>
  <w:style w:type="paragraph" w:customStyle="1" w:styleId="ListDash4">
    <w:name w:val="List Dash 4"/>
    <w:basedOn w:val="Text4"/>
    <w:pPr>
      <w:numPr>
        <w:numId w:val="23"/>
      </w:numPr>
      <w:tabs>
        <w:tab w:val="clear" w:pos="3163"/>
      </w:tabs>
      <w:ind w:left="0" w:firstLine="0"/>
    </w:pPr>
  </w:style>
  <w:style w:type="paragraph" w:customStyle="1" w:styleId="ListNumberLevel2">
    <w:name w:val="List Number (Level 2)"/>
    <w:basedOn w:val="Normal"/>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6"/>
      </w:numPr>
      <w:tabs>
        <w:tab w:val="clear" w:pos="2160"/>
        <w:tab w:val="clear" w:pos="2494"/>
      </w:tabs>
      <w:ind w:left="0" w:firstLine="0"/>
    </w:pPr>
  </w:style>
  <w:style w:type="paragraph" w:customStyle="1" w:styleId="ListNumber2Level3">
    <w:name w:val="List Number 2 (Level 3)"/>
    <w:basedOn w:val="Text2"/>
    <w:pPr>
      <w:numPr>
        <w:ilvl w:val="2"/>
        <w:numId w:val="26"/>
      </w:numPr>
      <w:tabs>
        <w:tab w:val="clear" w:pos="2160"/>
        <w:tab w:val="clear" w:pos="3203"/>
      </w:tabs>
      <w:ind w:left="0" w:firstLine="0"/>
    </w:pPr>
  </w:style>
  <w:style w:type="paragraph" w:customStyle="1" w:styleId="ListNumber2Level4">
    <w:name w:val="List Number 2 (Level 4)"/>
    <w:basedOn w:val="Text2"/>
    <w:pPr>
      <w:numPr>
        <w:ilvl w:val="3"/>
        <w:numId w:val="26"/>
      </w:numPr>
      <w:tabs>
        <w:tab w:val="clear" w:pos="2160"/>
        <w:tab w:val="clear" w:pos="3912"/>
      </w:tabs>
      <w:ind w:left="0" w:firstLine="0"/>
    </w:pPr>
  </w:style>
  <w:style w:type="paragraph" w:customStyle="1" w:styleId="ListNumber3Level2">
    <w:name w:val="List Number 3 (Level 2)"/>
    <w:basedOn w:val="Text3"/>
    <w:pPr>
      <w:numPr>
        <w:ilvl w:val="1"/>
        <w:numId w:val="27"/>
      </w:numPr>
      <w:tabs>
        <w:tab w:val="clear" w:pos="2302"/>
        <w:tab w:val="clear" w:pos="3333"/>
        <w:tab w:val="num" w:pos="1200"/>
      </w:tabs>
      <w:ind w:left="0" w:firstLine="0"/>
    </w:pPr>
  </w:style>
  <w:style w:type="paragraph" w:customStyle="1" w:styleId="ListNumber3Level3">
    <w:name w:val="List Number 3 (Level 3)"/>
    <w:basedOn w:val="Text3"/>
    <w:pPr>
      <w:numPr>
        <w:ilvl w:val="2"/>
        <w:numId w:val="27"/>
      </w:numPr>
      <w:tabs>
        <w:tab w:val="clear" w:pos="2302"/>
        <w:tab w:val="clear" w:pos="4042"/>
        <w:tab w:val="num" w:pos="1600"/>
      </w:tabs>
      <w:ind w:left="0" w:firstLine="0"/>
    </w:pPr>
  </w:style>
  <w:style w:type="paragraph" w:customStyle="1" w:styleId="ListNumber3Level4">
    <w:name w:val="List Number 3 (Level 4)"/>
    <w:basedOn w:val="Text3"/>
    <w:pPr>
      <w:numPr>
        <w:ilvl w:val="3"/>
        <w:numId w:val="27"/>
      </w:numPr>
      <w:tabs>
        <w:tab w:val="clear" w:pos="2302"/>
        <w:tab w:val="clear" w:pos="4751"/>
        <w:tab w:val="num" w:pos="2000"/>
      </w:tabs>
      <w:ind w:left="0" w:firstLine="0"/>
    </w:pPr>
  </w:style>
  <w:style w:type="paragraph" w:customStyle="1" w:styleId="ListNumber4Level2">
    <w:name w:val="List Number 4 (Level 2)"/>
    <w:basedOn w:val="Text4"/>
    <w:pPr>
      <w:numPr>
        <w:ilvl w:val="1"/>
        <w:numId w:val="28"/>
      </w:numPr>
      <w:tabs>
        <w:tab w:val="clear" w:pos="4297"/>
      </w:tabs>
      <w:ind w:left="0" w:firstLine="0"/>
    </w:pPr>
  </w:style>
  <w:style w:type="paragraph" w:customStyle="1" w:styleId="ListNumber4Level3">
    <w:name w:val="List Number 4 (Level 3)"/>
    <w:basedOn w:val="Text4"/>
    <w:pPr>
      <w:numPr>
        <w:ilvl w:val="2"/>
        <w:numId w:val="28"/>
      </w:numPr>
      <w:tabs>
        <w:tab w:val="clear" w:pos="5006"/>
      </w:tabs>
      <w:ind w:left="0" w:firstLine="0"/>
    </w:pPr>
  </w:style>
  <w:style w:type="paragraph" w:customStyle="1" w:styleId="ListNumber4Level4">
    <w:name w:val="List Number 4 (Level 4)"/>
    <w:basedOn w:val="Text4"/>
    <w:pPr>
      <w:numPr>
        <w:ilvl w:val="3"/>
        <w:numId w:val="28"/>
      </w:numPr>
      <w:tabs>
        <w:tab w:val="clear" w:pos="5715"/>
      </w:tabs>
      <w:ind w:left="0" w:firstLine="0"/>
    </w:pPr>
  </w:style>
  <w:style w:type="paragraph" w:styleId="TOCHeading">
    <w:name w:val="TOC Heading"/>
    <w:basedOn w:val="Normal"/>
    <w:next w:val="Normal"/>
    <w:qFormat/>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Pr>
      <w:color w:val="0000FF"/>
      <w:u w:val="single"/>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character" w:styleId="Emphasis">
    <w:name w:val="Emphasis"/>
    <w:qFormat/>
    <w:rPr>
      <w:i/>
      <w:iCs/>
    </w:rPr>
  </w:style>
  <w:style w:type="paragraph" w:customStyle="1" w:styleId="a">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character" w:styleId="Strong">
    <w:name w:val="Strong"/>
    <w:uiPriority w:val="22"/>
    <w:qFormat/>
    <w:rPr>
      <w:b/>
      <w:bCs/>
    </w:rPr>
  </w:style>
  <w:style w:type="paragraph" w:styleId="NormalWeb">
    <w:name w:val="Normal (Web)"/>
    <w:basedOn w:val="Normal"/>
    <w:uiPriority w:val="99"/>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Pr>
      <w:color w:val="000000"/>
      <w:sz w:val="24"/>
      <w:szCs w:val="24"/>
      <w:lang w:eastAsia="de-DE"/>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Point2">
    <w:name w:val="Point 2"/>
    <w:basedOn w:val="Normal"/>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ro-RO"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spacing w:after="240"/>
      <w:jc w:val="both"/>
    </w:pPr>
    <w:rPr>
      <w:szCs w:val="20"/>
      <w:lang w:eastAsia="en-GB"/>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ro-RO"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5"/>
      </w:numPr>
      <w:tabs>
        <w:tab w:val="clear" w:pos="720"/>
        <w:tab w:val="clear" w:pos="850"/>
      </w:tabs>
      <w:suppressAutoHyphens w:val="0"/>
      <w:ind w:left="0" w:firstLine="0"/>
    </w:pPr>
    <w:rPr>
      <w:color w:val="auto"/>
    </w:rPr>
  </w:style>
  <w:style w:type="paragraph" w:customStyle="1" w:styleId="Tiret1">
    <w:name w:val="Tiret 1"/>
    <w:basedOn w:val="Point1"/>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pPr>
      <w:numPr>
        <w:numId w:val="37"/>
      </w:numPr>
      <w:tabs>
        <w:tab w:val="clear" w:pos="2551"/>
      </w:tabs>
      <w:ind w:left="0" w:firstLine="0"/>
    </w:pPr>
  </w:style>
  <w:style w:type="paragraph" w:customStyle="1" w:styleId="Tiret4">
    <w:name w:val="Tiret 4"/>
    <w:basedOn w:val="Point4"/>
    <w:pPr>
      <w:numPr>
        <w:numId w:val="38"/>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ro-RO" w:eastAsia="x-none"/>
    </w:rPr>
  </w:style>
  <w:style w:type="character" w:customStyle="1" w:styleId="Marker1">
    <w:name w:val="Marker1"/>
    <w:rPr>
      <w:rFonts w:cs="Times New Roman"/>
      <w:color w:val="008000"/>
      <w:lang w:val="ro-RO" w:eastAsia="x-none"/>
    </w:rPr>
  </w:style>
  <w:style w:type="character" w:customStyle="1" w:styleId="Marker2">
    <w:name w:val="Marker2"/>
    <w:rPr>
      <w:rFonts w:cs="Times New Roman"/>
      <w:color w:val="FF0000"/>
      <w:lang w:val="ro-RO"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ro-RO" w:eastAsia="x-none"/>
    </w:rPr>
  </w:style>
  <w:style w:type="character" w:customStyle="1" w:styleId="Deleted">
    <w:name w:val="Deleted"/>
    <w:rPr>
      <w:rFonts w:cs="Times New Roman"/>
      <w:strike/>
      <w:lang w:val="ro-RO"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ro-RO"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CM4">
    <w:name w:val="CM4"/>
    <w:basedOn w:val="Normal"/>
    <w:next w:val="Normal"/>
    <w:pPr>
      <w:widowControl/>
      <w:autoSpaceDE w:val="0"/>
      <w:autoSpaceDN w:val="0"/>
      <w:adjustRightInd w:val="0"/>
      <w:spacing w:line="240" w:lineRule="auto"/>
    </w:pPr>
    <w:rPr>
      <w:rFonts w:ascii="EUAlbertina" w:eastAsia="Malgun Gothic" w:hAnsi="EUAlbertina" w:cs="EUAlbertina"/>
      <w:szCs w:val="24"/>
      <w:lang w:eastAsia="ru-RU"/>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jc w:val="both"/>
    </w:pPr>
    <w:rPr>
      <w:rFonts w:ascii="Times New Roman" w:eastAsia="Malgun Gothic" w:hAnsi="Times New Roman"/>
      <w:b/>
      <w:bCs/>
      <w:lang w:eastAsia="zh-CN"/>
    </w:rPr>
  </w:style>
  <w:style w:type="numbering" w:customStyle="1" w:styleId="Style3">
    <w:name w:val="Style3"/>
    <w:pPr>
      <w:numPr>
        <w:numId w:val="42"/>
      </w:numPr>
    </w:pPr>
  </w:style>
  <w:style w:type="numbering" w:styleId="1ai">
    <w:name w:val="Outline List 1"/>
    <w:basedOn w:val="NoList"/>
    <w:pPr>
      <w:numPr>
        <w:numId w:val="33"/>
      </w:numPr>
    </w:pPr>
  </w:style>
  <w:style w:type="numbering" w:customStyle="1" w:styleId="Style2">
    <w:name w:val="Style2"/>
    <w:pPr>
      <w:numPr>
        <w:numId w:val="41"/>
      </w:numPr>
    </w:pPr>
  </w:style>
  <w:style w:type="numbering" w:styleId="ArticleSection">
    <w:name w:val="Outline List 3"/>
    <w:basedOn w:val="NoList"/>
    <w:pPr>
      <w:numPr>
        <w:numId w:val="34"/>
      </w:numPr>
    </w:pPr>
  </w:style>
  <w:style w:type="numbering" w:styleId="111111">
    <w:name w:val="Outline List 2"/>
    <w:basedOn w:val="NoList"/>
    <w:pPr>
      <w:numPr>
        <w:numId w:val="32"/>
      </w:numPr>
    </w:pPr>
  </w:style>
  <w:style w:type="numbering" w:customStyle="1" w:styleId="Style1">
    <w:name w:val="Style1"/>
    <w:pPr>
      <w:numPr>
        <w:numId w:val="40"/>
      </w:numPr>
    </w:pPr>
  </w:style>
  <w:style w:type="numbering" w:customStyle="1" w:styleId="NoList11">
    <w:name w:val="No List11"/>
    <w:next w:val="NoList"/>
    <w:uiPriority w:val="99"/>
    <w:semiHidden/>
    <w:unhideWhenUsed/>
  </w:style>
  <w:style w:type="numbering" w:customStyle="1" w:styleId="NoList2">
    <w:name w:val="No List2"/>
    <w:next w:val="NoList"/>
    <w:uiPriority w:val="99"/>
    <w:semiHidden/>
    <w:unhideWhenUsed/>
  </w:style>
  <w:style w:type="numbering" w:customStyle="1" w:styleId="NoList111">
    <w:name w:val="No List1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1">
    <w:name w:val="No List1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character" w:customStyle="1" w:styleId="Corpsdutexte">
    <w:name w:val="Corps du texte_"/>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Pr>
      <w:rFonts w:ascii="Times New Roman" w:hAnsi="Times New Roman" w:cs="Times New Roman" w:hint="default"/>
    </w:rPr>
  </w:style>
  <w:style w:type="paragraph" w:customStyle="1" w:styleId="TEST">
    <w:name w:val="TEST"/>
    <w:basedOn w:val="Normal"/>
    <w:link w:val="TESTChar"/>
    <w:qFormat/>
    <w:pPr>
      <w:widowControl/>
      <w:jc w:val="center"/>
    </w:pPr>
    <w:rPr>
      <w:rFonts w:eastAsia="Gulim"/>
      <w:bCs/>
      <w:iCs/>
      <w:szCs w:val="24"/>
      <w:lang w:eastAsia="ko-KR"/>
    </w:rPr>
  </w:style>
  <w:style w:type="character" w:customStyle="1" w:styleId="TESTChar">
    <w:name w:val="TEST Char"/>
    <w:basedOn w:val="DefaultParagraphFont"/>
    <w:link w:val="TEST"/>
    <w:rPr>
      <w:rFonts w:eastAsia="Gulim"/>
      <w:bCs/>
      <w:iCs/>
      <w:sz w:val="24"/>
      <w:szCs w:val="24"/>
      <w:lang w:eastAsia="ko-KR"/>
    </w:rPr>
  </w:style>
  <w:style w:type="paragraph" w:customStyle="1" w:styleId="test2">
    <w:name w:val="test2"/>
    <w:basedOn w:val="TEST"/>
    <w:link w:val="test2Char"/>
    <w:qFormat/>
    <w:pPr>
      <w:ind w:left="567" w:hanging="567"/>
      <w:jc w:val="left"/>
    </w:pPr>
  </w:style>
  <w:style w:type="character" w:customStyle="1" w:styleId="test2Char">
    <w:name w:val="test2 Char"/>
    <w:basedOn w:val="TESTChar"/>
    <w:link w:val="test2"/>
    <w:rPr>
      <w:rFonts w:eastAsia="Gulim"/>
      <w:bCs/>
      <w:iCs/>
      <w:sz w:val="24"/>
      <w:szCs w:val="24"/>
      <w:lang w:val="ro-RO" w:eastAsia="ko-KR"/>
    </w:rPr>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ro-RO"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24962</Words>
  <Characters>142284</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166913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13</cp:revision>
  <cp:lastPrinted>2004-04-02T13:43:00Z</cp:lastPrinted>
  <dcterms:created xsi:type="dcterms:W3CDTF">2026-06-16T13:05:00Z</dcterms:created>
  <dcterms:modified xsi:type="dcterms:W3CDTF">2026-09-07T10:11:00Z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