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943588C-AA15-44D3-88B1-376464A672E4"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u w:val="single"/>
        </w:rPr>
      </w:pPr>
      <w:r>
        <w:rPr>
          <w:b/>
          <w:noProof/>
          <w:u w:val="single"/>
        </w:rPr>
        <w:lastRenderedPageBreak/>
        <w:t>ANNEXE 11-A</w:t>
      </w:r>
    </w:p>
    <w:p>
      <w:pPr>
        <w:rPr>
          <w:noProof/>
        </w:rPr>
      </w:pPr>
    </w:p>
    <w:p>
      <w:pPr>
        <w:rPr>
          <w:noProof/>
        </w:rPr>
      </w:pPr>
    </w:p>
    <w:p>
      <w:pPr>
        <w:jc w:val="center"/>
        <w:rPr>
          <w:noProof/>
        </w:rPr>
      </w:pPr>
      <w:r>
        <w:rPr>
          <w:noProof/>
        </w:rPr>
        <w:t>LISTE D’ACCÈS AUX MARCHÉS PUBLICS DE L’UNION</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ENTITÉS DU GOUVERNEMENT CENTRAL</w:t>
      </w:r>
    </w:p>
    <w:p>
      <w:pPr>
        <w:jc w:val="center"/>
        <w:rPr>
          <w:noProof/>
        </w:rPr>
      </w:pPr>
    </w:p>
    <w:p>
      <w:pPr>
        <w:jc w:val="center"/>
        <w:rPr>
          <w:noProof/>
        </w:rPr>
      </w:pPr>
    </w:p>
    <w:p>
      <w:pPr>
        <w:jc w:val="center"/>
        <w:rPr>
          <w:noProof/>
        </w:rPr>
      </w:pPr>
      <w:r>
        <w:rPr>
          <w:noProof/>
        </w:rPr>
        <w:t>SECTION B</w:t>
      </w:r>
    </w:p>
    <w:p>
      <w:pPr>
        <w:jc w:val="center"/>
        <w:rPr>
          <w:noProof/>
        </w:rPr>
      </w:pPr>
    </w:p>
    <w:p>
      <w:pPr>
        <w:jc w:val="center"/>
        <w:rPr>
          <w:noProof/>
        </w:rPr>
      </w:pPr>
      <w:r>
        <w:rPr>
          <w:noProof/>
        </w:rPr>
        <w:t>ENTITÉS DES GOUVERNEMENTS SOUS-CENTRAUX</w:t>
      </w:r>
    </w:p>
    <w:p>
      <w:pPr>
        <w:jc w:val="center"/>
        <w:rPr>
          <w:noProof/>
        </w:rPr>
      </w:pPr>
    </w:p>
    <w:p>
      <w:pPr>
        <w:jc w:val="center"/>
        <w:rPr>
          <w:noProof/>
        </w:rPr>
      </w:pPr>
    </w:p>
    <w:p>
      <w:pPr>
        <w:jc w:val="center"/>
        <w:rPr>
          <w:noProof/>
        </w:rPr>
      </w:pPr>
      <w:r>
        <w:rPr>
          <w:noProof/>
        </w:rPr>
        <w:t>SECTION C</w:t>
      </w:r>
    </w:p>
    <w:p>
      <w:pPr>
        <w:jc w:val="center"/>
        <w:rPr>
          <w:noProof/>
        </w:rPr>
      </w:pPr>
    </w:p>
    <w:p>
      <w:pPr>
        <w:jc w:val="center"/>
        <w:rPr>
          <w:noProof/>
        </w:rPr>
      </w:pPr>
      <w:r>
        <w:rPr>
          <w:noProof/>
        </w:rPr>
        <w:t>AUTRES ENTITÉS</w:t>
      </w:r>
    </w:p>
    <w:p>
      <w:pPr>
        <w:jc w:val="center"/>
        <w:rPr>
          <w:noProof/>
        </w:rPr>
      </w:pPr>
    </w:p>
    <w:p>
      <w:pPr>
        <w:jc w:val="center"/>
        <w:rPr>
          <w:noProof/>
        </w:rPr>
      </w:pPr>
    </w:p>
    <w:p>
      <w:pPr>
        <w:jc w:val="center"/>
        <w:rPr>
          <w:noProof/>
        </w:rPr>
      </w:pPr>
      <w:r>
        <w:rPr>
          <w:noProof/>
        </w:rPr>
        <w:t>SECTION D</w:t>
      </w:r>
    </w:p>
    <w:p>
      <w:pPr>
        <w:jc w:val="center"/>
        <w:rPr>
          <w:noProof/>
        </w:rPr>
      </w:pPr>
    </w:p>
    <w:p>
      <w:pPr>
        <w:jc w:val="center"/>
        <w:rPr>
          <w:noProof/>
        </w:rPr>
      </w:pPr>
      <w:r>
        <w:rPr>
          <w:noProof/>
        </w:rPr>
        <w:t>MARCHANDISES</w:t>
      </w:r>
    </w:p>
    <w:p>
      <w:pPr>
        <w:jc w:val="center"/>
        <w:rPr>
          <w:noProof/>
        </w:rPr>
      </w:pPr>
    </w:p>
    <w:p>
      <w:pPr>
        <w:jc w:val="center"/>
        <w:rPr>
          <w:noProof/>
        </w:rPr>
      </w:pPr>
    </w:p>
    <w:p>
      <w:pPr>
        <w:widowControl/>
        <w:spacing w:line="240" w:lineRule="auto"/>
        <w:rPr>
          <w:noProof/>
        </w:rPr>
      </w:pPr>
      <w:r>
        <w:rPr>
          <w:noProof/>
        </w:rPr>
        <w:br w:type="page"/>
      </w:r>
    </w:p>
    <w:p>
      <w:pPr>
        <w:jc w:val="center"/>
        <w:rPr>
          <w:noProof/>
        </w:rPr>
      </w:pPr>
      <w:r>
        <w:rPr>
          <w:noProof/>
        </w:rPr>
        <w:lastRenderedPageBreak/>
        <w:t>SECTION E</w:t>
      </w:r>
    </w:p>
    <w:p>
      <w:pPr>
        <w:jc w:val="center"/>
        <w:rPr>
          <w:noProof/>
          <w:lang w:val="fr-BE"/>
        </w:rPr>
      </w:pPr>
    </w:p>
    <w:p>
      <w:pPr>
        <w:jc w:val="center"/>
        <w:rPr>
          <w:noProof/>
        </w:rPr>
      </w:pPr>
      <w:r>
        <w:rPr>
          <w:noProof/>
        </w:rPr>
        <w:t>SERVICES</w:t>
      </w:r>
    </w:p>
    <w:p>
      <w:pPr>
        <w:jc w:val="center"/>
        <w:rPr>
          <w:noProof/>
          <w:lang w:val="fr-BE"/>
        </w:rPr>
      </w:pPr>
    </w:p>
    <w:p>
      <w:pPr>
        <w:jc w:val="center"/>
        <w:rPr>
          <w:noProof/>
          <w:lang w:val="fr-BE"/>
        </w:rPr>
      </w:pPr>
    </w:p>
    <w:p>
      <w:pPr>
        <w:jc w:val="center"/>
        <w:rPr>
          <w:noProof/>
        </w:rPr>
      </w:pPr>
      <w:r>
        <w:rPr>
          <w:noProof/>
        </w:rPr>
        <w:t>SECTION F</w:t>
      </w:r>
    </w:p>
    <w:p>
      <w:pPr>
        <w:jc w:val="center"/>
        <w:rPr>
          <w:noProof/>
          <w:lang w:val="fr-BE"/>
        </w:rPr>
      </w:pPr>
    </w:p>
    <w:p>
      <w:pPr>
        <w:jc w:val="center"/>
        <w:rPr>
          <w:noProof/>
        </w:rPr>
      </w:pPr>
      <w:r>
        <w:rPr>
          <w:noProof/>
        </w:rPr>
        <w:t>SERVICES DE CONSTRUCTION</w:t>
      </w:r>
    </w:p>
    <w:p>
      <w:pPr>
        <w:jc w:val="center"/>
        <w:rPr>
          <w:noProof/>
          <w:lang w:val="fr-BE"/>
        </w:rPr>
      </w:pPr>
    </w:p>
    <w:p>
      <w:pPr>
        <w:jc w:val="center"/>
        <w:rPr>
          <w:noProof/>
          <w:lang w:val="fr-BE"/>
        </w:rPr>
      </w:pPr>
    </w:p>
    <w:p>
      <w:pPr>
        <w:jc w:val="center"/>
        <w:rPr>
          <w:noProof/>
        </w:rPr>
      </w:pPr>
      <w:r>
        <w:rPr>
          <w:noProof/>
        </w:rPr>
        <w:t>SECTION G</w:t>
      </w:r>
    </w:p>
    <w:p>
      <w:pPr>
        <w:jc w:val="center"/>
        <w:rPr>
          <w:noProof/>
          <w:lang w:val="fr-BE"/>
        </w:rPr>
      </w:pPr>
    </w:p>
    <w:p>
      <w:pPr>
        <w:jc w:val="center"/>
        <w:rPr>
          <w:noProof/>
        </w:rPr>
      </w:pPr>
      <w:r>
        <w:rPr>
          <w:noProof/>
        </w:rPr>
        <w:t>NOTES GÉNÉRALES</w:t>
      </w:r>
    </w:p>
    <w:p>
      <w:pPr>
        <w:jc w:val="center"/>
        <w:rPr>
          <w:noProof/>
        </w:rPr>
      </w:pPr>
    </w:p>
    <w:p>
      <w:pPr>
        <w:jc w:val="center"/>
        <w:rPr>
          <w:noProof/>
        </w:rPr>
      </w:pPr>
    </w:p>
    <w:p>
      <w:pPr>
        <w:jc w:val="center"/>
        <w:rPr>
          <w:noProof/>
        </w:rPr>
      </w:pPr>
      <w:r>
        <w:rPr>
          <w:noProof/>
        </w:rPr>
        <w:t>SECTION H</w:t>
      </w:r>
    </w:p>
    <w:p>
      <w:pPr>
        <w:jc w:val="center"/>
        <w:rPr>
          <w:noProof/>
        </w:rPr>
      </w:pPr>
    </w:p>
    <w:p>
      <w:pPr>
        <w:jc w:val="center"/>
        <w:rPr>
          <w:noProof/>
        </w:rPr>
      </w:pPr>
      <w:r>
        <w:rPr>
          <w:noProof/>
        </w:rPr>
        <w:t>MÉDIAS DE PUBLICATION</w:t>
      </w:r>
    </w:p>
    <w:p>
      <w:pPr>
        <w:jc w:val="center"/>
        <w:rPr>
          <w:noProof/>
        </w:rPr>
      </w:pPr>
    </w:p>
    <w:p>
      <w:pPr>
        <w:jc w:val="center"/>
        <w:rPr>
          <w:noProof/>
        </w:rPr>
      </w:pPr>
    </w:p>
    <w:p>
      <w:pPr>
        <w:jc w:val="center"/>
        <w:rPr>
          <w:noProof/>
        </w:rPr>
      </w:pPr>
      <w:r>
        <w:rPr>
          <w:noProof/>
        </w:rPr>
        <w:t>________________</w:t>
      </w:r>
    </w:p>
    <w:p>
      <w:pP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11-B</w:t>
      </w:r>
    </w:p>
    <w:p>
      <w:pPr>
        <w:rPr>
          <w:noProof/>
        </w:rPr>
      </w:pPr>
    </w:p>
    <w:p>
      <w:pPr>
        <w:rPr>
          <w:noProof/>
        </w:rPr>
      </w:pPr>
    </w:p>
    <w:p>
      <w:pPr>
        <w:jc w:val="center"/>
        <w:rPr>
          <w:noProof/>
        </w:rPr>
      </w:pPr>
      <w:r>
        <w:rPr>
          <w:noProof/>
        </w:rPr>
        <w:t>LISTE D’ACCÈS AUX MARCHÉS PUBLICS DE L’INDONÉSIE</w:t>
      </w:r>
    </w:p>
    <w:p>
      <w:pPr>
        <w:jc w:val="center"/>
        <w:rPr>
          <w:noProof/>
        </w:rPr>
      </w:pPr>
    </w:p>
    <w:p>
      <w:pPr>
        <w:jc w:val="center"/>
        <w:rPr>
          <w:noProof/>
        </w:rPr>
      </w:pPr>
    </w:p>
    <w:p>
      <w:pPr>
        <w:jc w:val="center"/>
        <w:rPr>
          <w:noProof/>
        </w:rPr>
      </w:pPr>
      <w:r>
        <w:rPr>
          <w:noProof/>
        </w:rPr>
        <w:t>SECTION A</w:t>
      </w:r>
    </w:p>
    <w:p>
      <w:pPr>
        <w:jc w:val="center"/>
        <w:rPr>
          <w:noProof/>
        </w:rPr>
      </w:pPr>
    </w:p>
    <w:p>
      <w:pPr>
        <w:jc w:val="center"/>
        <w:rPr>
          <w:noProof/>
        </w:rPr>
      </w:pPr>
      <w:r>
        <w:rPr>
          <w:noProof/>
        </w:rPr>
        <w:t>ENTITÉS DU GOUVERNEMENT CENTRAL</w:t>
      </w:r>
    </w:p>
    <w:p>
      <w:pPr>
        <w:jc w:val="center"/>
        <w:rPr>
          <w:noProof/>
        </w:rPr>
      </w:pPr>
    </w:p>
    <w:p>
      <w:pPr>
        <w:jc w:val="center"/>
        <w:rPr>
          <w:noProof/>
        </w:rPr>
      </w:pPr>
    </w:p>
    <w:p>
      <w:pPr>
        <w:jc w:val="center"/>
        <w:rPr>
          <w:noProof/>
        </w:rPr>
      </w:pPr>
      <w:r>
        <w:rPr>
          <w:noProof/>
        </w:rPr>
        <w:t>SECTION B</w:t>
      </w:r>
    </w:p>
    <w:p>
      <w:pPr>
        <w:jc w:val="center"/>
        <w:rPr>
          <w:noProof/>
        </w:rPr>
      </w:pPr>
    </w:p>
    <w:p>
      <w:pPr>
        <w:jc w:val="center"/>
        <w:rPr>
          <w:noProof/>
        </w:rPr>
      </w:pPr>
      <w:r>
        <w:rPr>
          <w:noProof/>
        </w:rPr>
        <w:t>ENTITÉS DES GOUVERNEMENTS SOUS-CENTRAUX</w:t>
      </w:r>
    </w:p>
    <w:p>
      <w:pPr>
        <w:jc w:val="center"/>
        <w:rPr>
          <w:noProof/>
        </w:rPr>
      </w:pPr>
    </w:p>
    <w:p>
      <w:pPr>
        <w:jc w:val="center"/>
        <w:rPr>
          <w:noProof/>
        </w:rPr>
      </w:pPr>
    </w:p>
    <w:p>
      <w:pPr>
        <w:jc w:val="center"/>
        <w:rPr>
          <w:noProof/>
        </w:rPr>
      </w:pPr>
      <w:r>
        <w:rPr>
          <w:noProof/>
        </w:rPr>
        <w:t>SECTION C</w:t>
      </w:r>
    </w:p>
    <w:p>
      <w:pPr>
        <w:jc w:val="center"/>
        <w:rPr>
          <w:noProof/>
        </w:rPr>
      </w:pPr>
    </w:p>
    <w:p>
      <w:pPr>
        <w:jc w:val="center"/>
        <w:rPr>
          <w:noProof/>
        </w:rPr>
      </w:pPr>
      <w:r>
        <w:rPr>
          <w:noProof/>
        </w:rPr>
        <w:t>AUTRES ENTITÉS</w:t>
      </w:r>
    </w:p>
    <w:p>
      <w:pPr>
        <w:jc w:val="center"/>
        <w:rPr>
          <w:noProof/>
        </w:rPr>
      </w:pPr>
    </w:p>
    <w:p>
      <w:pPr>
        <w:jc w:val="center"/>
        <w:rPr>
          <w:noProof/>
        </w:rPr>
      </w:pPr>
    </w:p>
    <w:p>
      <w:pPr>
        <w:jc w:val="center"/>
        <w:rPr>
          <w:noProof/>
        </w:rPr>
      </w:pPr>
      <w:r>
        <w:rPr>
          <w:noProof/>
        </w:rPr>
        <w:t>SECTION D</w:t>
      </w:r>
    </w:p>
    <w:p>
      <w:pPr>
        <w:jc w:val="center"/>
        <w:rPr>
          <w:noProof/>
        </w:rPr>
      </w:pPr>
    </w:p>
    <w:p>
      <w:pPr>
        <w:jc w:val="center"/>
        <w:rPr>
          <w:noProof/>
        </w:rPr>
      </w:pPr>
      <w:r>
        <w:rPr>
          <w:noProof/>
        </w:rPr>
        <w:t>MARCHANDISES</w:t>
      </w:r>
    </w:p>
    <w:p>
      <w:pPr>
        <w:jc w:val="center"/>
        <w:rPr>
          <w:noProof/>
        </w:rPr>
      </w:pPr>
    </w:p>
    <w:p>
      <w:pPr>
        <w:jc w:val="center"/>
        <w:rPr>
          <w:noProof/>
        </w:rPr>
      </w:pPr>
    </w:p>
    <w:p>
      <w:pPr>
        <w:widowControl/>
        <w:spacing w:line="240" w:lineRule="auto"/>
        <w:rPr>
          <w:noProof/>
        </w:rPr>
      </w:pPr>
      <w:r>
        <w:rPr>
          <w:noProof/>
        </w:rPr>
        <w:br w:type="page"/>
      </w:r>
    </w:p>
    <w:p>
      <w:pPr>
        <w:jc w:val="center"/>
        <w:rPr>
          <w:noProof/>
        </w:rPr>
      </w:pPr>
      <w:r>
        <w:rPr>
          <w:noProof/>
        </w:rPr>
        <w:lastRenderedPageBreak/>
        <w:t>SECTION E</w:t>
      </w:r>
    </w:p>
    <w:p>
      <w:pPr>
        <w:jc w:val="center"/>
        <w:rPr>
          <w:noProof/>
          <w:lang w:val="fr-BE"/>
        </w:rPr>
      </w:pPr>
    </w:p>
    <w:p>
      <w:pPr>
        <w:jc w:val="center"/>
        <w:rPr>
          <w:noProof/>
        </w:rPr>
      </w:pPr>
      <w:r>
        <w:rPr>
          <w:noProof/>
        </w:rPr>
        <w:t>SERVICES</w:t>
      </w:r>
    </w:p>
    <w:p>
      <w:pPr>
        <w:jc w:val="center"/>
        <w:rPr>
          <w:noProof/>
          <w:lang w:val="fr-BE"/>
        </w:rPr>
      </w:pPr>
    </w:p>
    <w:p>
      <w:pPr>
        <w:jc w:val="center"/>
        <w:rPr>
          <w:noProof/>
          <w:lang w:val="fr-BE"/>
        </w:rPr>
      </w:pPr>
    </w:p>
    <w:p>
      <w:pPr>
        <w:jc w:val="center"/>
        <w:rPr>
          <w:noProof/>
        </w:rPr>
      </w:pPr>
      <w:r>
        <w:rPr>
          <w:noProof/>
        </w:rPr>
        <w:t>SECTION F</w:t>
      </w:r>
    </w:p>
    <w:p>
      <w:pPr>
        <w:jc w:val="center"/>
        <w:rPr>
          <w:noProof/>
          <w:lang w:val="fr-BE"/>
        </w:rPr>
      </w:pPr>
    </w:p>
    <w:p>
      <w:pPr>
        <w:jc w:val="center"/>
        <w:rPr>
          <w:noProof/>
        </w:rPr>
      </w:pPr>
      <w:r>
        <w:rPr>
          <w:noProof/>
        </w:rPr>
        <w:t>SERVICES DE CONSTRUCTION</w:t>
      </w:r>
    </w:p>
    <w:p>
      <w:pPr>
        <w:jc w:val="center"/>
        <w:rPr>
          <w:noProof/>
          <w:lang w:val="fr-BE"/>
        </w:rPr>
      </w:pPr>
    </w:p>
    <w:p>
      <w:pPr>
        <w:jc w:val="center"/>
        <w:rPr>
          <w:noProof/>
          <w:lang w:val="fr-BE"/>
        </w:rPr>
      </w:pPr>
    </w:p>
    <w:p>
      <w:pPr>
        <w:jc w:val="center"/>
        <w:rPr>
          <w:noProof/>
        </w:rPr>
      </w:pPr>
      <w:r>
        <w:rPr>
          <w:noProof/>
        </w:rPr>
        <w:t>SECTION G</w:t>
      </w:r>
    </w:p>
    <w:p>
      <w:pPr>
        <w:jc w:val="center"/>
        <w:rPr>
          <w:noProof/>
          <w:lang w:val="fr-BE"/>
        </w:rPr>
      </w:pPr>
    </w:p>
    <w:p>
      <w:pPr>
        <w:jc w:val="center"/>
        <w:rPr>
          <w:noProof/>
        </w:rPr>
      </w:pPr>
      <w:r>
        <w:rPr>
          <w:noProof/>
        </w:rPr>
        <w:t>NOTES GÉNÉRALES</w:t>
      </w:r>
    </w:p>
    <w:p>
      <w:pPr>
        <w:jc w:val="center"/>
        <w:rPr>
          <w:noProof/>
        </w:rPr>
      </w:pPr>
    </w:p>
    <w:p>
      <w:pPr>
        <w:jc w:val="center"/>
        <w:rPr>
          <w:noProof/>
        </w:rPr>
      </w:pPr>
    </w:p>
    <w:p>
      <w:pPr>
        <w:jc w:val="center"/>
        <w:rPr>
          <w:noProof/>
        </w:rPr>
      </w:pPr>
      <w:r>
        <w:rPr>
          <w:noProof/>
        </w:rPr>
        <w:t>SECTION H</w:t>
      </w:r>
    </w:p>
    <w:p>
      <w:pPr>
        <w:jc w:val="center"/>
        <w:rPr>
          <w:noProof/>
        </w:rPr>
      </w:pPr>
    </w:p>
    <w:p>
      <w:pPr>
        <w:jc w:val="center"/>
        <w:rPr>
          <w:noProof/>
        </w:rPr>
      </w:pPr>
      <w:r>
        <w:rPr>
          <w:noProof/>
        </w:rPr>
        <w:t>MÉDIAS DE PUBLICATION</w:t>
      </w:r>
    </w:p>
    <w:p>
      <w:pPr>
        <w:jc w:val="center"/>
        <w:rPr>
          <w:noProof/>
        </w:rPr>
      </w:pPr>
    </w:p>
    <w:p>
      <w:pPr>
        <w:jc w:val="center"/>
        <w:rPr>
          <w:noProof/>
        </w:rPr>
      </w:pPr>
    </w:p>
    <w:p>
      <w:pPr>
        <w:jc w:val="center"/>
        <w:rPr>
          <w:noProof/>
        </w:rPr>
      </w:pPr>
      <w:r>
        <w:rPr>
          <w:noProof/>
        </w:rPr>
        <w:t>________________</w:t>
      </w:r>
    </w:p>
    <w:p>
      <w:pPr>
        <w:rPr>
          <w:noProof/>
        </w:rPr>
      </w:pPr>
    </w:p>
    <w:p>
      <w:pPr>
        <w:rPr>
          <w:noProof/>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Cs/>
          <w:iCs/>
          <w:noProof/>
          <w:szCs w:val="24"/>
        </w:rPr>
      </w:pPr>
      <w:r>
        <w:rPr>
          <w:b/>
          <w:noProof/>
          <w:u w:val="single"/>
        </w:rPr>
        <w:lastRenderedPageBreak/>
        <w:t>ANNEXE 12-A</w:t>
      </w:r>
    </w:p>
    <w:p>
      <w:pPr>
        <w:rPr>
          <w:bCs/>
          <w:iCs/>
          <w:noProof/>
          <w:szCs w:val="24"/>
        </w:rPr>
      </w:pPr>
    </w:p>
    <w:p>
      <w:pPr>
        <w:rPr>
          <w:bCs/>
          <w:iCs/>
          <w:noProof/>
          <w:szCs w:val="24"/>
        </w:rPr>
      </w:pPr>
    </w:p>
    <w:p>
      <w:pPr>
        <w:jc w:val="center"/>
        <w:rPr>
          <w:bCs/>
          <w:iCs/>
          <w:noProof/>
        </w:rPr>
      </w:pPr>
      <w:r>
        <w:rPr>
          <w:noProof/>
        </w:rPr>
        <w:t xml:space="preserve">EXIGENCES APPLICABLES AUX DISPOSITIONS LÉGISLATIVES ET RÉGLEMENTAIRES </w:t>
      </w:r>
      <w:r>
        <w:rPr>
          <w:noProof/>
        </w:rPr>
        <w:br/>
        <w:t>RELATIVES AUX INDICATIONS GÉOGRAPHIQUES</w:t>
      </w:r>
    </w:p>
    <w:p>
      <w:pPr>
        <w:jc w:val="center"/>
        <w:rPr>
          <w:bCs/>
          <w:iCs/>
          <w:noProof/>
          <w:szCs w:val="24"/>
        </w:rPr>
      </w:pPr>
    </w:p>
    <w:p>
      <w:pPr>
        <w:jc w:val="center"/>
        <w:rPr>
          <w:bCs/>
          <w:iCs/>
          <w:noProof/>
          <w:szCs w:val="24"/>
        </w:rPr>
      </w:pPr>
    </w:p>
    <w:p>
      <w:pPr>
        <w:jc w:val="center"/>
        <w:rPr>
          <w:bCs/>
          <w:iCs/>
          <w:noProof/>
          <w:szCs w:val="24"/>
        </w:rPr>
      </w:pPr>
      <w:r>
        <w:rPr>
          <w:noProof/>
        </w:rPr>
        <w:t>SECTION A</w:t>
      </w:r>
    </w:p>
    <w:p>
      <w:pPr>
        <w:jc w:val="center"/>
        <w:rPr>
          <w:bCs/>
          <w:iCs/>
          <w:noProof/>
          <w:szCs w:val="24"/>
        </w:rPr>
      </w:pPr>
    </w:p>
    <w:p>
      <w:pPr>
        <w:jc w:val="center"/>
        <w:rPr>
          <w:bCs/>
          <w:iCs/>
          <w:noProof/>
          <w:szCs w:val="24"/>
        </w:rPr>
      </w:pPr>
      <w:r>
        <w:rPr>
          <w:noProof/>
        </w:rPr>
        <w:t>Législation des parties</w:t>
      </w:r>
    </w:p>
    <w:p>
      <w:pPr>
        <w:jc w:val="center"/>
        <w:rPr>
          <w:bCs/>
          <w:iCs/>
          <w:noProof/>
          <w:szCs w:val="24"/>
        </w:rPr>
      </w:pPr>
    </w:p>
    <w:p>
      <w:pPr>
        <w:jc w:val="center"/>
        <w:rPr>
          <w:bCs/>
          <w:iCs/>
          <w:noProof/>
          <w:szCs w:val="24"/>
        </w:rPr>
      </w:pPr>
    </w:p>
    <w:p>
      <w:pPr>
        <w:jc w:val="center"/>
        <w:rPr>
          <w:bCs/>
          <w:iCs/>
          <w:noProof/>
          <w:szCs w:val="24"/>
        </w:rPr>
      </w:pPr>
      <w:r>
        <w:rPr>
          <w:noProof/>
        </w:rPr>
        <w:t>Législation de l’Indonésie</w:t>
      </w:r>
    </w:p>
    <w:p>
      <w:pPr>
        <w:rPr>
          <w:bCs/>
          <w:iCs/>
          <w:noProof/>
          <w:szCs w:val="24"/>
        </w:rPr>
      </w:pPr>
    </w:p>
    <w:p>
      <w:pPr>
        <w:rPr>
          <w:bCs/>
          <w:iCs/>
          <w:noProof/>
          <w:szCs w:val="24"/>
        </w:rPr>
      </w:pPr>
      <w:r>
        <w:rPr>
          <w:noProof/>
        </w:rPr>
        <w:t>1.</w:t>
      </w:r>
      <w:bookmarkStart w:id="1" w:name="_Hlk213086160"/>
      <w:r>
        <w:rPr>
          <w:noProof/>
        </w:rPr>
        <w:tab/>
      </w:r>
      <w:bookmarkEnd w:id="1"/>
      <w:r>
        <w:rPr>
          <w:noProof/>
        </w:rPr>
        <w:t>Loi nº 20/2016 relative aux marques commerciales et indications géographiques; et</w:t>
      </w:r>
    </w:p>
    <w:p>
      <w:pPr>
        <w:rPr>
          <w:bCs/>
          <w:iCs/>
          <w:noProof/>
          <w:szCs w:val="24"/>
        </w:rPr>
      </w:pPr>
    </w:p>
    <w:p>
      <w:pPr>
        <w:rPr>
          <w:bCs/>
          <w:iCs/>
          <w:noProof/>
          <w:szCs w:val="24"/>
        </w:rPr>
      </w:pPr>
      <w:r>
        <w:rPr>
          <w:noProof/>
        </w:rPr>
        <w:t>2.</w:t>
      </w:r>
      <w:r>
        <w:rPr>
          <w:noProof/>
        </w:rPr>
        <w:tab/>
        <w:t>Règlement nº 12/2019 du Ministère du droit et des droits de l’homme relatif aux indications géographiques, tel que modifié par le règlement nº 10/2022 du Ministère du droit et des droits de l’homme concernant les modifications du règlement nº 12/2019 du Ministère du droit et des droits de l’homme relatif aux indications géographiques.</w:t>
      </w:r>
    </w:p>
    <w:p>
      <w:pPr>
        <w:rPr>
          <w:bCs/>
          <w:iCs/>
          <w:noProof/>
          <w:szCs w:val="24"/>
        </w:rPr>
      </w:pPr>
    </w:p>
    <w:p>
      <w:pPr>
        <w:rPr>
          <w:bCs/>
          <w:iCs/>
          <w:noProof/>
          <w:szCs w:val="24"/>
        </w:rPr>
      </w:pPr>
    </w:p>
    <w:p>
      <w:pPr>
        <w:widowControl/>
        <w:spacing w:line="240" w:lineRule="auto"/>
        <w:rPr>
          <w:bCs/>
          <w:iCs/>
          <w:noProof/>
          <w:szCs w:val="24"/>
        </w:rPr>
      </w:pPr>
      <w:r>
        <w:rPr>
          <w:noProof/>
        </w:rPr>
        <w:br w:type="page"/>
      </w:r>
    </w:p>
    <w:p>
      <w:pPr>
        <w:jc w:val="center"/>
        <w:rPr>
          <w:bCs/>
          <w:iCs/>
          <w:noProof/>
          <w:szCs w:val="24"/>
        </w:rPr>
      </w:pPr>
      <w:r>
        <w:rPr>
          <w:noProof/>
        </w:rPr>
        <w:lastRenderedPageBreak/>
        <w:t>Législation de l’Union</w:t>
      </w:r>
    </w:p>
    <w:p>
      <w:pPr>
        <w:rPr>
          <w:bCs/>
          <w:iCs/>
          <w:noProof/>
          <w:szCs w:val="24"/>
        </w:rPr>
      </w:pPr>
    </w:p>
    <w:p>
      <w:pPr>
        <w:rPr>
          <w:noProof/>
        </w:rPr>
      </w:pPr>
      <w:r>
        <w:rPr>
          <w:noProof/>
        </w:rPr>
        <w:t>1.</w:t>
      </w:r>
      <w:r>
        <w:rPr>
          <w:noProof/>
        </w:rPr>
        <w:tab/>
        <w:t>Règlement (UE) 2024/1143 du Parlement européen et du Conseil du 11 avril 2024 concernant les indications géographiques relatives au vin, aux boissons spiritueuses et aux produits agricoles, ainsi que les spécialités traditionnelles garanties et les mentions de qualité facultatives pour les produits agricoles, modifiant les règlements (UE) nº 1308/2013, (UE) 2019/787 et (UE) 2019/1753 et abrogeant le règlement (UE) nº 1151/2012</w:t>
      </w:r>
      <w:r>
        <w:rPr>
          <w:rStyle w:val="FootnoteReference"/>
          <w:noProof/>
        </w:rPr>
        <w:footnoteReference w:id="1"/>
      </w:r>
      <w:r>
        <w:rPr>
          <w:noProof/>
        </w:rPr>
        <w:t>;</w:t>
      </w:r>
    </w:p>
    <w:p>
      <w:pPr>
        <w:rPr>
          <w:bCs/>
          <w:iCs/>
          <w:noProof/>
          <w:szCs w:val="24"/>
        </w:rPr>
      </w:pPr>
    </w:p>
    <w:p>
      <w:pPr>
        <w:rPr>
          <w:bCs/>
          <w:iCs/>
          <w:noProof/>
          <w:szCs w:val="24"/>
        </w:rPr>
      </w:pPr>
      <w:r>
        <w:rPr>
          <w:noProof/>
        </w:rPr>
        <w:t>2.</w:t>
      </w:r>
      <w:r>
        <w:rPr>
          <w:noProof/>
        </w:rPr>
        <w:tab/>
        <w:t>Règlement (UE) nº 1308/2013 du Parlement européen et du Conseil</w:t>
      </w:r>
      <w:r>
        <w:rPr>
          <w:rStyle w:val="FootnoteReference"/>
          <w:bCs/>
          <w:iCs/>
          <w:noProof/>
          <w:szCs w:val="24"/>
        </w:rPr>
        <w:footnoteReference w:id="2"/>
      </w:r>
      <w:r>
        <w:rPr>
          <w:noProof/>
        </w:rPr>
        <w:t xml:space="preserve"> du 17 décembre 2013 portant organisation commune des marchés des produits agricoles et établissant des dispositions particulières pour certains produits agricoles (règlement OCM unique), notamment ses articles 92 à 111 relatifs aux appellations d’origine et indications géographiques, et ses actes d’exécution;</w:t>
      </w:r>
    </w:p>
    <w:p>
      <w:pPr>
        <w:pBdr>
          <w:top w:val="nil"/>
          <w:left w:val="nil"/>
          <w:bottom w:val="nil"/>
          <w:right w:val="nil"/>
          <w:between w:val="nil"/>
        </w:pBdr>
        <w:ind w:left="567" w:hanging="567"/>
        <w:rPr>
          <w:bCs/>
          <w:iCs/>
          <w:noProof/>
          <w:color w:val="000000"/>
          <w:szCs w:val="24"/>
        </w:rPr>
      </w:pPr>
    </w:p>
    <w:p>
      <w:pPr>
        <w:rPr>
          <w:bCs/>
          <w:iCs/>
          <w:noProof/>
          <w:szCs w:val="24"/>
        </w:rPr>
      </w:pPr>
      <w:r>
        <w:rPr>
          <w:noProof/>
        </w:rPr>
        <w:t>3.</w:t>
      </w:r>
      <w:r>
        <w:rPr>
          <w:noProof/>
        </w:rPr>
        <w:tab/>
        <w:t>Règlement (UE) 2019/787 du Parlement européen et du Conseil</w:t>
      </w:r>
      <w:r>
        <w:rPr>
          <w:rStyle w:val="FootnoteReference"/>
          <w:bCs/>
          <w:iCs/>
          <w:noProof/>
          <w:szCs w:val="24"/>
        </w:rPr>
        <w:footnoteReference w:id="3"/>
      </w:r>
      <w:r>
        <w:rPr>
          <w:noProof/>
        </w:rPr>
        <w:t xml:space="preserve"> du 17 avril 2019 concernant la définition, la désignation, la présentation et l’étiquetage des boissons spiritueuses, l’utilisation des noms de boissons spiritueuses dans la présentation et l’étiquetage d’autres denrées alimentaires, la protection des indications géographiques relatives aux boissons spiritueuses, ainsi que l’utilisation de l’alcool éthylique et des distillats d’origine agricole dans les boissons alcoolisées, et abrogeant le règlement (CE) nº 110/2008; et</w:t>
      </w:r>
    </w:p>
    <w:p>
      <w:pPr>
        <w:pBdr>
          <w:top w:val="nil"/>
          <w:left w:val="nil"/>
          <w:bottom w:val="nil"/>
          <w:right w:val="nil"/>
          <w:between w:val="nil"/>
        </w:pBdr>
        <w:ind w:left="567" w:hanging="567"/>
        <w:rPr>
          <w:bCs/>
          <w:iCs/>
          <w:noProof/>
          <w:color w:val="000000"/>
          <w:szCs w:val="24"/>
        </w:rPr>
      </w:pPr>
    </w:p>
    <w:p>
      <w:pPr>
        <w:rPr>
          <w:bCs/>
          <w:iCs/>
          <w:noProof/>
          <w:szCs w:val="24"/>
        </w:rPr>
      </w:pPr>
      <w:r>
        <w:rPr>
          <w:noProof/>
        </w:rPr>
        <w:t>4.</w:t>
      </w:r>
      <w:r>
        <w:rPr>
          <w:noProof/>
        </w:rPr>
        <w:tab/>
        <w:t>Règlement (UE) 2023/2411 du Parlement européen et du Conseil du 18 octobre 2023 relatif à la protection des indications géographiques pour les produits artisanaux et industriels et modifiant les règlements (UE) 2017/1001 et (UE) 2019/1753</w:t>
      </w:r>
      <w:r>
        <w:rPr>
          <w:rStyle w:val="FootnoteReference"/>
          <w:bCs/>
          <w:iCs/>
          <w:noProof/>
          <w:szCs w:val="24"/>
        </w:rPr>
        <w:footnoteReference w:id="4"/>
      </w:r>
      <w:r>
        <w:rPr>
          <w:noProof/>
        </w:rPr>
        <w:t>.</w:t>
      </w:r>
    </w:p>
    <w:p>
      <w:pPr>
        <w:rPr>
          <w:bCs/>
          <w:iCs/>
          <w:noProof/>
          <w:szCs w:val="24"/>
        </w:rPr>
      </w:pPr>
    </w:p>
    <w:p>
      <w:pPr>
        <w:rPr>
          <w:bCs/>
          <w:iCs/>
          <w:noProof/>
          <w:szCs w:val="24"/>
        </w:rPr>
      </w:pPr>
    </w:p>
    <w:p>
      <w:pPr>
        <w:widowControl/>
        <w:spacing w:line="240" w:lineRule="auto"/>
        <w:rPr>
          <w:bCs/>
          <w:iCs/>
          <w:noProof/>
          <w:szCs w:val="24"/>
        </w:rPr>
      </w:pPr>
      <w:r>
        <w:rPr>
          <w:noProof/>
        </w:rPr>
        <w:br w:type="page"/>
      </w:r>
    </w:p>
    <w:p>
      <w:pPr>
        <w:jc w:val="center"/>
        <w:rPr>
          <w:bCs/>
          <w:iCs/>
          <w:noProof/>
          <w:szCs w:val="24"/>
        </w:rPr>
      </w:pPr>
      <w:r>
        <w:rPr>
          <w:noProof/>
        </w:rPr>
        <w:lastRenderedPageBreak/>
        <w:t>SECTION B</w:t>
      </w:r>
    </w:p>
    <w:p>
      <w:pPr>
        <w:jc w:val="center"/>
        <w:rPr>
          <w:bCs/>
          <w:iCs/>
          <w:noProof/>
          <w:szCs w:val="24"/>
        </w:rPr>
      </w:pPr>
    </w:p>
    <w:p>
      <w:pPr>
        <w:jc w:val="center"/>
        <w:rPr>
          <w:bCs/>
          <w:iCs/>
          <w:noProof/>
          <w:szCs w:val="24"/>
        </w:rPr>
      </w:pPr>
      <w:r>
        <w:rPr>
          <w:noProof/>
        </w:rPr>
        <w:t>Éléments pour l’enregistrement et le contrôle des indications géographiques</w:t>
      </w:r>
    </w:p>
    <w:p>
      <w:pPr>
        <w:rPr>
          <w:bCs/>
          <w:iCs/>
          <w:noProof/>
          <w:szCs w:val="24"/>
        </w:rPr>
      </w:pPr>
    </w:p>
    <w:p>
      <w:pPr>
        <w:rPr>
          <w:bCs/>
          <w:iCs/>
          <w:noProof/>
          <w:szCs w:val="24"/>
        </w:rPr>
      </w:pPr>
      <w:r>
        <w:rPr>
          <w:noProof/>
        </w:rPr>
        <w:t>Les éléments pris en considération aux fins de l’article 12.31, paragraphes 1 et 2, sont les suivants:</w:t>
      </w:r>
    </w:p>
    <w:p>
      <w:pPr>
        <w:rPr>
          <w:bCs/>
          <w:iCs/>
          <w:noProof/>
          <w:szCs w:val="24"/>
        </w:rPr>
      </w:pPr>
    </w:p>
    <w:p>
      <w:pPr>
        <w:ind w:left="567" w:hanging="567"/>
        <w:rPr>
          <w:bCs/>
          <w:iCs/>
          <w:noProof/>
          <w:szCs w:val="24"/>
        </w:rPr>
      </w:pPr>
      <w:r>
        <w:rPr>
          <w:noProof/>
        </w:rPr>
        <w:t>a)</w:t>
      </w:r>
      <w:r>
        <w:rPr>
          <w:noProof/>
        </w:rPr>
        <w:tab/>
        <w:t>un registre énumérant les indications géographiques protégées sur le territoire;</w:t>
      </w:r>
    </w:p>
    <w:p>
      <w:pPr>
        <w:rPr>
          <w:bCs/>
          <w:iCs/>
          <w:noProof/>
          <w:szCs w:val="24"/>
        </w:rPr>
      </w:pPr>
    </w:p>
    <w:p>
      <w:pPr>
        <w:ind w:left="567" w:hanging="567"/>
        <w:rPr>
          <w:bCs/>
          <w:iCs/>
          <w:noProof/>
          <w:szCs w:val="24"/>
        </w:rPr>
      </w:pPr>
      <w:r>
        <w:rPr>
          <w:noProof/>
        </w:rPr>
        <w:t>b)</w:t>
      </w:r>
      <w:r>
        <w:rPr>
          <w:noProof/>
        </w:rPr>
        <w:tab/>
        <w:t>une procédure administrative vérifiant que des indications géographiques identifient une marchandise comme étant originaire d’un territoire, d’une région ou d’une localité de l’une des parties, dans le cas où une qualité, réputation ou autre caractéristique déterminée de la marchandise peut être attribuée essentiellement à son origine géographique;</w:t>
      </w:r>
    </w:p>
    <w:p>
      <w:pPr>
        <w:rPr>
          <w:bCs/>
          <w:iCs/>
          <w:noProof/>
          <w:szCs w:val="24"/>
        </w:rPr>
      </w:pPr>
    </w:p>
    <w:p>
      <w:pPr>
        <w:ind w:left="567" w:hanging="567"/>
        <w:rPr>
          <w:bCs/>
          <w:iCs/>
          <w:noProof/>
          <w:szCs w:val="24"/>
        </w:rPr>
      </w:pPr>
      <w:r>
        <w:rPr>
          <w:noProof/>
        </w:rPr>
        <w:t>c)</w:t>
      </w:r>
      <w:r>
        <w:rPr>
          <w:noProof/>
        </w:rPr>
        <w:tab/>
        <w:t>l’exigence qu’une dénomination enregistrée corresponde à un ou à plusieurs produits spécifiques pour lesquels un cahier des charges a été établi, celui-ci ne pouvant être modifié que par une procédure administrative appropriée;</w:t>
      </w:r>
    </w:p>
    <w:p>
      <w:pPr>
        <w:rPr>
          <w:bCs/>
          <w:iCs/>
          <w:noProof/>
          <w:szCs w:val="24"/>
        </w:rPr>
      </w:pPr>
    </w:p>
    <w:p>
      <w:pPr>
        <w:rPr>
          <w:bCs/>
          <w:iCs/>
          <w:noProof/>
          <w:szCs w:val="24"/>
        </w:rPr>
      </w:pPr>
      <w:r>
        <w:rPr>
          <w:noProof/>
        </w:rPr>
        <w:t>d)</w:t>
      </w:r>
      <w:r>
        <w:rPr>
          <w:noProof/>
        </w:rPr>
        <w:tab/>
        <w:t>des dispositions de contrôle applicables à la production;</w:t>
      </w:r>
    </w:p>
    <w:p>
      <w:pPr>
        <w:rPr>
          <w:bCs/>
          <w:iCs/>
          <w:noProof/>
          <w:szCs w:val="24"/>
        </w:rPr>
      </w:pPr>
    </w:p>
    <w:p>
      <w:pPr>
        <w:ind w:left="567" w:hanging="567"/>
        <w:rPr>
          <w:bCs/>
          <w:iCs/>
          <w:noProof/>
          <w:szCs w:val="24"/>
        </w:rPr>
      </w:pPr>
      <w:r>
        <w:rPr>
          <w:noProof/>
        </w:rPr>
        <w:t>e)</w:t>
      </w:r>
      <w:r>
        <w:rPr>
          <w:noProof/>
        </w:rPr>
        <w:tab/>
        <w:t>la mise en œuvre de la protection des dénominations enregistrées par l’action administrative appropriée des pouvoirs publics;</w:t>
      </w:r>
    </w:p>
    <w:p>
      <w:pPr>
        <w:rPr>
          <w:bCs/>
          <w:iCs/>
          <w:noProof/>
          <w:szCs w:val="24"/>
        </w:rPr>
      </w:pPr>
    </w:p>
    <w:p>
      <w:pPr>
        <w:ind w:left="567" w:hanging="567"/>
        <w:rPr>
          <w:bCs/>
          <w:iCs/>
          <w:noProof/>
          <w:szCs w:val="24"/>
        </w:rPr>
      </w:pPr>
      <w:r>
        <w:rPr>
          <w:noProof/>
        </w:rPr>
        <w:t>f)</w:t>
      </w:r>
      <w:r>
        <w:rPr>
          <w:noProof/>
        </w:rPr>
        <w:tab/>
        <w:t>des dispositions juridiques prévoyant qu’une dénomination enregistrée peut être utilisée par tout opérateur commercialisant des produits conformes au cahier des charges correspondant;</w:t>
      </w:r>
    </w:p>
    <w:p>
      <w:pPr>
        <w:rPr>
          <w:bCs/>
          <w:iCs/>
          <w:noProof/>
          <w:szCs w:val="24"/>
        </w:rPr>
      </w:pPr>
    </w:p>
    <w:p>
      <w:pPr>
        <w:widowControl/>
        <w:spacing w:line="240" w:lineRule="auto"/>
        <w:rPr>
          <w:bCs/>
          <w:iCs/>
          <w:noProof/>
          <w:szCs w:val="24"/>
        </w:rPr>
      </w:pPr>
      <w:r>
        <w:rPr>
          <w:noProof/>
        </w:rPr>
        <w:br w:type="page"/>
      </w:r>
    </w:p>
    <w:p>
      <w:pPr>
        <w:ind w:left="567" w:hanging="567"/>
        <w:rPr>
          <w:bCs/>
          <w:iCs/>
          <w:noProof/>
          <w:szCs w:val="24"/>
        </w:rPr>
      </w:pPr>
      <w:r>
        <w:rPr>
          <w:noProof/>
        </w:rPr>
        <w:lastRenderedPageBreak/>
        <w:t>g)</w:t>
      </w:r>
      <w:r>
        <w:rPr>
          <w:noProof/>
        </w:rPr>
        <w:tab/>
        <w:t>des dispositions applicables à l’enregistrement, qui peuvent inclure le refus d’enregistrement de termes homonymes ou partiellement homonymes à des termes enregistrés, de termes utilisés couramment dans le langage quotidien comme noms communs pour des marchandises et de termes comprenant les noms de variétés végétales et de races animales; ces dispositions doivent tenir compte des intérêts légitimes de toutes les parties concernées;</w:t>
      </w:r>
    </w:p>
    <w:p>
      <w:pPr>
        <w:rPr>
          <w:bCs/>
          <w:iCs/>
          <w:noProof/>
          <w:szCs w:val="24"/>
        </w:rPr>
      </w:pPr>
    </w:p>
    <w:p>
      <w:pPr>
        <w:ind w:left="567" w:hanging="567"/>
        <w:rPr>
          <w:bCs/>
          <w:iCs/>
          <w:noProof/>
          <w:szCs w:val="24"/>
        </w:rPr>
      </w:pPr>
      <w:r>
        <w:rPr>
          <w:noProof/>
        </w:rPr>
        <w:t>h)</w:t>
      </w:r>
      <w:r>
        <w:rPr>
          <w:noProof/>
        </w:rPr>
        <w:tab/>
        <w:t>des règles relatives à la relation entre les indications géographiques et les marques commerciales, prévoyant une exception limitée aux droits conférés au titre de la législation sur les marques commerciales en ce sens que l’existence d’une marque commerciale préalable ne saurait justifier d’empêcher l’enregistrement et l’utilisation d’une dénomination en tant qu’indication géographique enregistrée;</w:t>
      </w:r>
    </w:p>
    <w:p>
      <w:pPr>
        <w:rPr>
          <w:bCs/>
          <w:iCs/>
          <w:noProof/>
          <w:szCs w:val="24"/>
        </w:rPr>
      </w:pPr>
    </w:p>
    <w:p>
      <w:pPr>
        <w:ind w:left="567" w:hanging="567"/>
        <w:rPr>
          <w:bCs/>
          <w:iCs/>
          <w:noProof/>
          <w:szCs w:val="24"/>
        </w:rPr>
      </w:pPr>
      <w:r>
        <w:rPr>
          <w:noProof/>
        </w:rPr>
        <w:t>i)</w:t>
      </w:r>
      <w:r>
        <w:rPr>
          <w:noProof/>
        </w:rPr>
        <w:tab/>
        <w:t>le droit, pour un producteur établi dans la région qui se soumet au système de contrôle, de fabriquer le produit étiqueté avec la dénomination protégée, pour autant que ledit producteur respecte le cahier des charges; et</w:t>
      </w:r>
    </w:p>
    <w:p>
      <w:pPr>
        <w:rPr>
          <w:bCs/>
          <w:iCs/>
          <w:noProof/>
          <w:szCs w:val="24"/>
        </w:rPr>
      </w:pPr>
    </w:p>
    <w:p>
      <w:pPr>
        <w:ind w:left="567" w:hanging="567"/>
        <w:rPr>
          <w:bCs/>
          <w:iCs/>
          <w:noProof/>
          <w:szCs w:val="24"/>
        </w:rPr>
      </w:pPr>
      <w:r>
        <w:rPr>
          <w:noProof/>
        </w:rPr>
        <w:t>j)</w:t>
      </w:r>
      <w:r>
        <w:rPr>
          <w:noProof/>
        </w:rPr>
        <w:tab/>
        <w:t>une procédure d’opposition afin de tenir compte des intérêts légitimes des utilisateurs antérieurs de dénominations, que celles-ci soient ou non protégées sous la forme d’une propriété intellectuelle.</w:t>
      </w:r>
    </w:p>
    <w:p>
      <w:pPr>
        <w:rPr>
          <w:bCs/>
          <w:iCs/>
          <w:noProof/>
        </w:rPr>
      </w:pPr>
    </w:p>
    <w:p>
      <w:pPr>
        <w:rPr>
          <w:bCs/>
          <w:iCs/>
          <w:noProof/>
        </w:rPr>
      </w:pPr>
    </w:p>
    <w:p>
      <w:pPr>
        <w:jc w:val="center"/>
        <w:rPr>
          <w:bCs/>
          <w:iCs/>
          <w:noProof/>
        </w:rPr>
      </w:pPr>
      <w:r>
        <w:rPr>
          <w:noProof/>
        </w:rPr>
        <w:t>________________</w:t>
      </w:r>
    </w:p>
    <w:p>
      <w:pPr>
        <w:jc w:val="right"/>
        <w:rPr>
          <w:b/>
          <w:iCs/>
          <w:noProof/>
          <w:szCs w:val="24"/>
          <w:u w:val="single"/>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iCs/>
          <w:noProof/>
          <w:szCs w:val="24"/>
          <w:u w:val="single"/>
        </w:rPr>
      </w:pPr>
      <w:r>
        <w:rPr>
          <w:b/>
          <w:noProof/>
          <w:u w:val="single"/>
        </w:rPr>
        <w:lastRenderedPageBreak/>
        <w:t>ANNEXE 12-B</w:t>
      </w:r>
    </w:p>
    <w:p>
      <w:pPr>
        <w:rPr>
          <w:bCs/>
          <w:iCs/>
          <w:noProof/>
          <w:szCs w:val="24"/>
        </w:rPr>
      </w:pPr>
    </w:p>
    <w:p>
      <w:pPr>
        <w:rPr>
          <w:bCs/>
          <w:iCs/>
          <w:noProof/>
          <w:szCs w:val="24"/>
        </w:rPr>
      </w:pPr>
    </w:p>
    <w:p>
      <w:pPr>
        <w:jc w:val="center"/>
        <w:rPr>
          <w:bCs/>
          <w:iCs/>
          <w:noProof/>
          <w:szCs w:val="24"/>
        </w:rPr>
      </w:pPr>
      <w:r>
        <w:rPr>
          <w:noProof/>
        </w:rPr>
        <w:t>CRITÈRES DEVANT ÊTRE INCLUS DANS LA PROCÉDURE D’OPPOSITION</w:t>
      </w:r>
    </w:p>
    <w:p>
      <w:pPr>
        <w:ind w:left="567" w:hanging="567"/>
        <w:jc w:val="both"/>
        <w:rPr>
          <w:bCs/>
          <w:iCs/>
          <w:noProof/>
          <w:szCs w:val="24"/>
        </w:rPr>
      </w:pPr>
    </w:p>
    <w:p>
      <w:pPr>
        <w:jc w:val="both"/>
        <w:rPr>
          <w:bCs/>
          <w:iCs/>
          <w:noProof/>
          <w:szCs w:val="24"/>
        </w:rPr>
      </w:pPr>
      <w:r>
        <w:rPr>
          <w:noProof/>
        </w:rPr>
        <w:t>1.</w:t>
      </w:r>
      <w:r>
        <w:rPr>
          <w:noProof/>
        </w:rPr>
        <w:tab/>
        <w:t>Aux fins de la procédure d’opposition visée à l’article 12.31, paragraphes 3 et 4, une partie ne prend en considération que les informations suivantes si sa législation prévoit cette possibilité:</w:t>
      </w:r>
    </w:p>
    <w:p>
      <w:pPr>
        <w:ind w:left="567" w:hanging="567"/>
        <w:jc w:val="both"/>
        <w:rPr>
          <w:bCs/>
          <w:iCs/>
          <w:noProof/>
          <w:szCs w:val="24"/>
        </w:rPr>
      </w:pPr>
    </w:p>
    <w:p>
      <w:pPr>
        <w:jc w:val="both"/>
        <w:rPr>
          <w:bCs/>
          <w:iCs/>
          <w:noProof/>
          <w:szCs w:val="24"/>
        </w:rPr>
      </w:pPr>
      <w:r>
        <w:rPr>
          <w:noProof/>
        </w:rPr>
        <w:t>a)</w:t>
      </w:r>
      <w:r>
        <w:rPr>
          <w:noProof/>
        </w:rPr>
        <w:tab/>
        <w:t>une liste des dénominations avec leur transcription correspondante en caractères latins;</w:t>
      </w:r>
    </w:p>
    <w:p>
      <w:pPr>
        <w:rPr>
          <w:bCs/>
          <w:iCs/>
          <w:noProof/>
          <w:szCs w:val="24"/>
        </w:rPr>
      </w:pPr>
    </w:p>
    <w:p>
      <w:pPr>
        <w:jc w:val="both"/>
        <w:rPr>
          <w:bCs/>
          <w:iCs/>
          <w:noProof/>
          <w:szCs w:val="24"/>
        </w:rPr>
      </w:pPr>
      <w:r>
        <w:rPr>
          <w:noProof/>
        </w:rPr>
        <w:t>b)</w:t>
      </w:r>
      <w:r>
        <w:rPr>
          <w:noProof/>
        </w:rPr>
        <w:tab/>
        <w:t>le type de produit;</w:t>
      </w:r>
    </w:p>
    <w:p>
      <w:pPr>
        <w:rPr>
          <w:bCs/>
          <w:iCs/>
          <w:noProof/>
          <w:szCs w:val="24"/>
        </w:rPr>
      </w:pPr>
    </w:p>
    <w:p>
      <w:pPr>
        <w:jc w:val="both"/>
        <w:rPr>
          <w:bCs/>
          <w:iCs/>
          <w:noProof/>
          <w:szCs w:val="24"/>
        </w:rPr>
      </w:pPr>
      <w:r>
        <w:rPr>
          <w:noProof/>
        </w:rPr>
        <w:t>c)</w:t>
      </w:r>
      <w:r>
        <w:rPr>
          <w:noProof/>
        </w:rPr>
        <w:tab/>
        <w:t>une invitation:</w:t>
      </w:r>
    </w:p>
    <w:p>
      <w:pPr>
        <w:rPr>
          <w:bCs/>
          <w:iCs/>
          <w:noProof/>
          <w:szCs w:val="24"/>
        </w:rPr>
      </w:pPr>
    </w:p>
    <w:p>
      <w:pPr>
        <w:ind w:left="1134" w:hanging="567"/>
        <w:rPr>
          <w:bCs/>
          <w:iCs/>
          <w:noProof/>
          <w:szCs w:val="24"/>
        </w:rPr>
      </w:pPr>
      <w:r>
        <w:rPr>
          <w:noProof/>
        </w:rPr>
        <w:t>–</w:t>
      </w:r>
      <w:r>
        <w:rPr>
          <w:noProof/>
        </w:rPr>
        <w:tab/>
        <w:t>dans le cas de l’Union, à toute personne physique ou morale ayant un intérêt légitime, à l’exception de celles établies ou résidant en Indonésie, de soumettre des objections à cette protection en déposant une déclaration dûment motivée, et</w:t>
      </w:r>
    </w:p>
    <w:p>
      <w:pPr>
        <w:ind w:left="567"/>
        <w:rPr>
          <w:bCs/>
          <w:iCs/>
          <w:noProof/>
          <w:szCs w:val="24"/>
        </w:rPr>
      </w:pPr>
    </w:p>
    <w:p>
      <w:pPr>
        <w:ind w:left="1134" w:hanging="567"/>
        <w:rPr>
          <w:bCs/>
          <w:iCs/>
          <w:noProof/>
          <w:szCs w:val="24"/>
        </w:rPr>
      </w:pPr>
      <w:r>
        <w:rPr>
          <w:noProof/>
        </w:rPr>
        <w:t>–</w:t>
      </w:r>
      <w:r>
        <w:rPr>
          <w:noProof/>
        </w:rPr>
        <w:tab/>
        <w:t>dans le cas de l’Indonésie, à toute personne physique ou morale ayant un intérêt légitime, à l’exception de celles établies ou résidant dans un État membre de l’Union, de soumettre des objections à cette protection en déposant une déclaration dûment motivée.</w:t>
      </w:r>
    </w:p>
    <w:p>
      <w:pPr>
        <w:rPr>
          <w:bCs/>
          <w:iCs/>
          <w:noProof/>
          <w:szCs w:val="24"/>
        </w:rPr>
      </w:pPr>
    </w:p>
    <w:p>
      <w:pPr>
        <w:widowControl/>
        <w:spacing w:line="240" w:lineRule="auto"/>
        <w:rPr>
          <w:bCs/>
          <w:iCs/>
          <w:noProof/>
          <w:szCs w:val="24"/>
        </w:rPr>
      </w:pPr>
      <w:r>
        <w:rPr>
          <w:noProof/>
        </w:rPr>
        <w:br w:type="page"/>
      </w:r>
    </w:p>
    <w:p>
      <w:pPr>
        <w:rPr>
          <w:bCs/>
          <w:iCs/>
          <w:noProof/>
          <w:szCs w:val="24"/>
        </w:rPr>
      </w:pPr>
      <w:r>
        <w:rPr>
          <w:noProof/>
        </w:rPr>
        <w:lastRenderedPageBreak/>
        <w:t>2.</w:t>
      </w:r>
      <w:r>
        <w:rPr>
          <w:noProof/>
        </w:rPr>
        <w:tab/>
      </w:r>
      <w:bookmarkStart w:id="2" w:name="_Hlk166679294"/>
      <w:r>
        <w:rPr>
          <w:noProof/>
        </w:rPr>
        <w:t>Les déclarations d’opposition doivent parvenir:</w:t>
      </w:r>
    </w:p>
    <w:p>
      <w:pPr>
        <w:rPr>
          <w:bCs/>
          <w:iCs/>
          <w:noProof/>
          <w:szCs w:val="24"/>
        </w:rPr>
      </w:pPr>
    </w:p>
    <w:p>
      <w:pPr>
        <w:ind w:left="567" w:hanging="567"/>
        <w:rPr>
          <w:bCs/>
          <w:iCs/>
          <w:noProof/>
          <w:szCs w:val="24"/>
        </w:rPr>
      </w:pPr>
      <w:r>
        <w:rPr>
          <w:noProof/>
        </w:rPr>
        <w:t>a)</w:t>
      </w:r>
      <w:r>
        <w:rPr>
          <w:noProof/>
        </w:rPr>
        <w:tab/>
        <w:t>pour l’Union, en ce qui concerne les indications géographiques agricoles, à la Commission européenne et, en ce qui concerne les produits artisanaux et industriels, à la Commission européenne et à l’Office de l’Union européenne pour la propriété intellectuelle, dans un délai de trois mois à compter de la date de publication de l’avis d’information; ou</w:t>
      </w:r>
    </w:p>
    <w:p>
      <w:pPr>
        <w:ind w:left="567" w:hanging="567"/>
        <w:rPr>
          <w:bCs/>
          <w:iCs/>
          <w:noProof/>
          <w:szCs w:val="24"/>
        </w:rPr>
      </w:pPr>
    </w:p>
    <w:p>
      <w:pPr>
        <w:ind w:left="567" w:hanging="567"/>
        <w:rPr>
          <w:bCs/>
          <w:iCs/>
          <w:noProof/>
          <w:szCs w:val="24"/>
        </w:rPr>
      </w:pPr>
      <w:r>
        <w:rPr>
          <w:noProof/>
        </w:rPr>
        <w:t>b)</w:t>
      </w:r>
      <w:r>
        <w:rPr>
          <w:noProof/>
        </w:rPr>
        <w:tab/>
        <w:t>pour l’Indonésie, à la direction générale de la propriété intellectuelle, Ministère du droit, dans un délai de deux mois à compter de la date de publication de l’avis d’information</w:t>
      </w:r>
      <w:bookmarkEnd w:id="2"/>
      <w:r>
        <w:rPr>
          <w:noProof/>
        </w:rPr>
        <w:t>.</w:t>
      </w:r>
    </w:p>
    <w:p>
      <w:pPr>
        <w:ind w:left="567" w:hanging="567"/>
        <w:rPr>
          <w:bCs/>
          <w:iCs/>
          <w:noProof/>
          <w:szCs w:val="24"/>
        </w:rPr>
      </w:pPr>
    </w:p>
    <w:p>
      <w:pPr>
        <w:rPr>
          <w:bCs/>
          <w:iCs/>
          <w:noProof/>
          <w:szCs w:val="24"/>
        </w:rPr>
      </w:pPr>
      <w:r>
        <w:rPr>
          <w:noProof/>
        </w:rPr>
        <w:t>3.</w:t>
      </w:r>
      <w:r>
        <w:rPr>
          <w:noProof/>
        </w:rPr>
        <w:tab/>
        <w:t>Ces déclarations d’opposition ne sont valables que si elles sont reçues dans le délai prescrit au paragraphe 2 et:</w:t>
      </w:r>
    </w:p>
    <w:p>
      <w:pPr>
        <w:rPr>
          <w:bCs/>
          <w:iCs/>
          <w:noProof/>
          <w:szCs w:val="24"/>
        </w:rPr>
      </w:pPr>
    </w:p>
    <w:p>
      <w:pPr>
        <w:ind w:left="567" w:hanging="567"/>
        <w:rPr>
          <w:bCs/>
          <w:iCs/>
          <w:noProof/>
          <w:szCs w:val="24"/>
        </w:rPr>
      </w:pPr>
      <w:r>
        <w:rPr>
          <w:noProof/>
        </w:rPr>
        <w:t>a)</w:t>
      </w:r>
      <w:r>
        <w:rPr>
          <w:noProof/>
        </w:rPr>
        <w:tab/>
        <w:t>si elles établissent que la protection de la dénomination proposée pourrait:</w:t>
      </w:r>
    </w:p>
    <w:p>
      <w:pPr>
        <w:rPr>
          <w:bCs/>
          <w:iCs/>
          <w:noProof/>
          <w:szCs w:val="24"/>
        </w:rPr>
      </w:pPr>
    </w:p>
    <w:p>
      <w:pPr>
        <w:ind w:left="1134" w:hanging="567"/>
        <w:rPr>
          <w:noProof/>
        </w:rPr>
      </w:pPr>
      <w:r>
        <w:rPr>
          <w:noProof/>
        </w:rPr>
        <w:t>i)</w:t>
      </w:r>
      <w:r>
        <w:rPr>
          <w:noProof/>
        </w:rPr>
        <w:tab/>
        <w:t>dans le cas d’indications géographiques agricoles, être en conflit avec le nom d’une variété végétale, y compris une variété à raisins de cuve, ou d’une race animale et être susceptible d’induire le consommateur en erreur quant à la véritable origine du produit;</w:t>
      </w:r>
    </w:p>
    <w:p>
      <w:pPr>
        <w:ind w:left="1134" w:hanging="567"/>
        <w:rPr>
          <w:noProof/>
        </w:rPr>
      </w:pPr>
    </w:p>
    <w:p>
      <w:pPr>
        <w:ind w:left="1134" w:hanging="567"/>
        <w:rPr>
          <w:noProof/>
        </w:rPr>
      </w:pPr>
      <w:r>
        <w:rPr>
          <w:noProof/>
        </w:rPr>
        <w:t>ii)</w:t>
      </w:r>
      <w:r>
        <w:rPr>
          <w:noProof/>
        </w:rPr>
        <w:tab/>
        <w:t>être une dénomination homonyme qui induit le consommateur en erreur en lui laissant croire que les produits sont originaires d’un autre territoire;</w:t>
      </w:r>
    </w:p>
    <w:p>
      <w:pPr>
        <w:ind w:left="1134" w:hanging="567"/>
        <w:rPr>
          <w:noProof/>
        </w:rPr>
      </w:pPr>
    </w:p>
    <w:p>
      <w:pPr>
        <w:ind w:left="1134" w:hanging="567"/>
        <w:rPr>
          <w:noProof/>
        </w:rPr>
      </w:pPr>
      <w:r>
        <w:rPr>
          <w:noProof/>
        </w:rPr>
        <w:t>iii)</w:t>
      </w:r>
      <w:r>
        <w:rPr>
          <w:noProof/>
        </w:rPr>
        <w:tab/>
        <w:t>compte tenu de la renommée d’une marque commerciale, de sa notoriété et de la durée de son usage, être de nature à induire le consommateur en erreur quant à la véritable identité du produit;</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iv)</w:t>
      </w:r>
      <w:r>
        <w:rPr>
          <w:noProof/>
        </w:rPr>
        <w:tab/>
        <w:t>porter préjudice à l’existence d’une dénomination totalement ou partiellement homonyme ou d’une marque commerciale ou à l’existence de produits qui se trouvent légalement sur le marché depuis au moins cinq ans avant la date de la publication de cet avis; ou</w:t>
      </w:r>
    </w:p>
    <w:p>
      <w:pPr>
        <w:ind w:left="1134" w:hanging="567"/>
        <w:rPr>
          <w:noProof/>
        </w:rPr>
      </w:pPr>
    </w:p>
    <w:p>
      <w:pPr>
        <w:ind w:left="567" w:hanging="567"/>
        <w:rPr>
          <w:noProof/>
        </w:rPr>
      </w:pPr>
      <w:r>
        <w:rPr>
          <w:noProof/>
        </w:rPr>
        <w:t>b)</w:t>
      </w:r>
      <w:r>
        <w:rPr>
          <w:noProof/>
        </w:rPr>
        <w:tab/>
        <w:t>si elles peuvent apporter des informations détaillées permettant de conclure que la dénomination dont la protection et l’enregistrement sont envisagés est générique.</w:t>
      </w:r>
    </w:p>
    <w:p>
      <w:pPr>
        <w:ind w:left="567" w:hanging="567"/>
        <w:rPr>
          <w:noProof/>
        </w:rPr>
      </w:pPr>
    </w:p>
    <w:p>
      <w:pPr>
        <w:rPr>
          <w:bCs/>
          <w:iCs/>
          <w:noProof/>
          <w:szCs w:val="24"/>
        </w:rPr>
      </w:pPr>
      <w:r>
        <w:rPr>
          <w:noProof/>
        </w:rPr>
        <w:t>4.</w:t>
      </w:r>
      <w:r>
        <w:rPr>
          <w:noProof/>
        </w:rPr>
        <w:tab/>
        <w:t>Les critères visés aux paragraphes 1, 2 et 3 sont appréciés par rapport au territoire de la partie sur le territoire de laquelle la protection de l’indication géographique est demandée.</w:t>
      </w:r>
    </w:p>
    <w:p>
      <w:pPr>
        <w:rPr>
          <w:noProof/>
        </w:rPr>
      </w:pPr>
    </w:p>
    <w:p>
      <w:pPr>
        <w:rPr>
          <w:noProof/>
        </w:rPr>
      </w:pPr>
    </w:p>
    <w:p>
      <w:pPr>
        <w:jc w:val="center"/>
        <w:rPr>
          <w:noProof/>
        </w:rPr>
      </w:pPr>
      <w:r>
        <w:rPr>
          <w:noProof/>
        </w:rPr>
        <w:t>________________</w:t>
      </w:r>
    </w:p>
    <w:p>
      <w:pPr>
        <w:jc w:val="right"/>
        <w:rPr>
          <w:b/>
          <w:bCs/>
          <w:noProof/>
          <w:u w:val="single"/>
        </w:rPr>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12-C</w:t>
      </w:r>
    </w:p>
    <w:p>
      <w:pPr>
        <w:rPr>
          <w:noProof/>
        </w:rPr>
      </w:pPr>
    </w:p>
    <w:p>
      <w:pPr>
        <w:rPr>
          <w:noProof/>
        </w:rPr>
      </w:pPr>
    </w:p>
    <w:p>
      <w:pPr>
        <w:jc w:val="center"/>
        <w:rPr>
          <w:noProof/>
        </w:rPr>
      </w:pPr>
      <w:r>
        <w:rPr>
          <w:noProof/>
        </w:rPr>
        <w:t xml:space="preserve">INDICATIONS GÉOGRAPHIQUES DES PRODUITS </w:t>
      </w:r>
      <w:r>
        <w:rPr>
          <w:noProof/>
        </w:rPr>
        <w:br/>
        <w:t>VISÉES À L’ARTICLE 12.31, PARAGRAPHES 3 ET 4</w:t>
      </w:r>
    </w:p>
    <w:p>
      <w:pPr>
        <w:rPr>
          <w:noProof/>
        </w:rPr>
      </w:pPr>
    </w:p>
    <w:p>
      <w:pPr>
        <w:rPr>
          <w:noProof/>
        </w:rPr>
      </w:pPr>
    </w:p>
    <w:p>
      <w:pPr>
        <w:jc w:val="center"/>
        <w:rPr>
          <w:noProof/>
        </w:rPr>
      </w:pPr>
      <w:r>
        <w:rPr>
          <w:noProof/>
        </w:rPr>
        <w:t>SECTION A</w:t>
      </w:r>
    </w:p>
    <w:p>
      <w:pPr>
        <w:rPr>
          <w:noProof/>
        </w:rPr>
      </w:pPr>
    </w:p>
    <w:p>
      <w:pPr>
        <w:jc w:val="center"/>
        <w:rPr>
          <w:noProof/>
        </w:rPr>
      </w:pPr>
      <w:r>
        <w:rPr>
          <w:noProof/>
        </w:rPr>
        <w:t>Indications géographiques des produits de l’Union à protéger en Indonésie</w:t>
      </w:r>
    </w:p>
    <w:p>
      <w:pPr>
        <w:rPr>
          <w:rFonts w:eastAsia="MS Mincho"/>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833"/>
        <w:gridCol w:w="4078"/>
        <w:gridCol w:w="2367"/>
      </w:tblGrid>
      <w:tr>
        <w:trPr>
          <w:tblHeader/>
        </w:trPr>
        <w:tc>
          <w:tcPr>
            <w:tcW w:w="631" w:type="pct"/>
            <w:vAlign w:val="center"/>
          </w:tcPr>
          <w:p>
            <w:pPr>
              <w:spacing w:before="60" w:after="60" w:line="240" w:lineRule="auto"/>
              <w:jc w:val="center"/>
              <w:rPr>
                <w:rFonts w:eastAsia="MS Mincho"/>
                <w:noProof/>
                <w:szCs w:val="24"/>
                <w:lang w:eastAsia="ja-JP"/>
              </w:rPr>
            </w:pPr>
          </w:p>
        </w:tc>
        <w:tc>
          <w:tcPr>
            <w:tcW w:w="975" w:type="pct"/>
            <w:vAlign w:val="center"/>
          </w:tcPr>
          <w:p>
            <w:pPr>
              <w:spacing w:before="60" w:after="60" w:line="240" w:lineRule="auto"/>
              <w:jc w:val="center"/>
              <w:rPr>
                <w:rFonts w:eastAsia="MS Mincho"/>
                <w:noProof/>
                <w:szCs w:val="24"/>
              </w:rPr>
            </w:pPr>
            <w:r>
              <w:rPr>
                <w:noProof/>
              </w:rPr>
              <w:t>État membre</w:t>
            </w:r>
          </w:p>
        </w:tc>
        <w:tc>
          <w:tcPr>
            <w:tcW w:w="2141" w:type="pct"/>
            <w:vAlign w:val="center"/>
          </w:tcPr>
          <w:p>
            <w:pPr>
              <w:spacing w:before="60" w:after="60" w:line="240" w:lineRule="auto"/>
              <w:jc w:val="center"/>
              <w:rPr>
                <w:rFonts w:eastAsia="MS Mincho"/>
                <w:noProof/>
                <w:szCs w:val="24"/>
              </w:rPr>
            </w:pPr>
            <w:r>
              <w:rPr>
                <w:noProof/>
              </w:rPr>
              <w:t>Dénomination de l’indication géographique (telle qu’enregistrée dans l’UE)</w:t>
            </w:r>
          </w:p>
        </w:tc>
        <w:tc>
          <w:tcPr>
            <w:tcW w:w="1252" w:type="pct"/>
            <w:vAlign w:val="center"/>
          </w:tcPr>
          <w:p>
            <w:pPr>
              <w:spacing w:before="60" w:after="60" w:line="240" w:lineRule="auto"/>
              <w:jc w:val="center"/>
              <w:rPr>
                <w:rFonts w:eastAsia="MS Mincho"/>
                <w:noProof/>
                <w:szCs w:val="24"/>
              </w:rPr>
            </w:pPr>
            <w:r>
              <w:rPr>
                <w:noProof/>
              </w:rPr>
              <w:t>Classe de produit et brève description [entre crochets, à titre d’information]</w:t>
            </w:r>
          </w:p>
        </w:tc>
      </w:tr>
      <w:tr>
        <w:tc>
          <w:tcPr>
            <w:tcW w:w="631" w:type="pct"/>
          </w:tcPr>
          <w:p>
            <w:pPr>
              <w:widowControl/>
              <w:spacing w:before="60" w:after="60" w:line="240" w:lineRule="auto"/>
              <w:ind w:left="720" w:hanging="360"/>
              <w:rPr>
                <w:rFonts w:eastAsia="MS Mincho"/>
                <w:noProof/>
                <w:szCs w:val="24"/>
              </w:rPr>
            </w:pPr>
            <w:r>
              <w:rPr>
                <w:noProof/>
              </w:rPr>
              <w:t>1</w:t>
            </w:r>
            <w:r>
              <w:rPr>
                <w:noProof/>
              </w:rPr>
              <w:tab/>
            </w:r>
          </w:p>
        </w:tc>
        <w:tc>
          <w:tcPr>
            <w:tcW w:w="975" w:type="pct"/>
          </w:tcPr>
          <w:p>
            <w:pPr>
              <w:spacing w:before="60" w:after="60" w:line="240" w:lineRule="auto"/>
              <w:rPr>
                <w:rFonts w:eastAsia="MS Mincho"/>
                <w:noProof/>
                <w:szCs w:val="24"/>
              </w:rPr>
            </w:pPr>
            <w:r>
              <w:rPr>
                <w:noProof/>
              </w:rPr>
              <w:t>Autriche</w:t>
            </w:r>
          </w:p>
        </w:tc>
        <w:tc>
          <w:tcPr>
            <w:tcW w:w="2141" w:type="pct"/>
          </w:tcPr>
          <w:p>
            <w:pPr>
              <w:spacing w:before="60" w:after="60" w:line="240" w:lineRule="auto"/>
              <w:rPr>
                <w:rFonts w:eastAsia="MS Mincho"/>
                <w:noProof/>
                <w:szCs w:val="24"/>
              </w:rPr>
            </w:pPr>
            <w:r>
              <w:rPr>
                <w:noProof/>
                <w:color w:val="000000"/>
              </w:rPr>
              <w:t>Inländerrum</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2</w:t>
            </w:r>
            <w:r>
              <w:rPr>
                <w:noProof/>
              </w:rPr>
              <w:tab/>
            </w:r>
          </w:p>
        </w:tc>
        <w:tc>
          <w:tcPr>
            <w:tcW w:w="975" w:type="pct"/>
          </w:tcPr>
          <w:p>
            <w:pPr>
              <w:spacing w:before="60" w:after="60" w:line="240" w:lineRule="auto"/>
              <w:rPr>
                <w:rFonts w:eastAsia="MS Mincho"/>
                <w:noProof/>
                <w:szCs w:val="24"/>
              </w:rPr>
            </w:pPr>
            <w:r>
              <w:rPr>
                <w:noProof/>
              </w:rPr>
              <w:t>Autriche</w:t>
            </w:r>
          </w:p>
        </w:tc>
        <w:tc>
          <w:tcPr>
            <w:tcW w:w="2141" w:type="pct"/>
          </w:tcPr>
          <w:p>
            <w:pPr>
              <w:spacing w:before="60" w:after="60" w:line="240" w:lineRule="auto"/>
              <w:rPr>
                <w:rFonts w:eastAsia="MS Mincho"/>
                <w:noProof/>
                <w:szCs w:val="24"/>
              </w:rPr>
            </w:pPr>
            <w:r>
              <w:rPr>
                <w:noProof/>
                <w:color w:val="000000"/>
              </w:rPr>
              <w:t>Jägertee/Jagertee/Jagatee</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3</w:t>
            </w:r>
            <w:r>
              <w:rPr>
                <w:noProof/>
              </w:rPr>
              <w:tab/>
            </w:r>
          </w:p>
        </w:tc>
        <w:tc>
          <w:tcPr>
            <w:tcW w:w="975" w:type="pct"/>
          </w:tcPr>
          <w:p>
            <w:pPr>
              <w:spacing w:before="60" w:after="60" w:line="240" w:lineRule="auto"/>
              <w:rPr>
                <w:rFonts w:eastAsia="MS Mincho"/>
                <w:noProof/>
                <w:szCs w:val="24"/>
              </w:rPr>
            </w:pPr>
            <w:r>
              <w:rPr>
                <w:noProof/>
              </w:rPr>
              <w:t>Autriche</w:t>
            </w:r>
          </w:p>
        </w:tc>
        <w:tc>
          <w:tcPr>
            <w:tcW w:w="2141" w:type="pct"/>
          </w:tcPr>
          <w:p>
            <w:pPr>
              <w:spacing w:before="60" w:after="60" w:line="240" w:lineRule="auto"/>
              <w:rPr>
                <w:rFonts w:eastAsia="MS Mincho"/>
                <w:noProof/>
                <w:szCs w:val="24"/>
              </w:rPr>
            </w:pPr>
            <w:r>
              <w:rPr>
                <w:noProof/>
                <w:color w:val="000000"/>
              </w:rPr>
              <w:t>Steirisches Kürbiskernöl</w:t>
            </w:r>
          </w:p>
        </w:tc>
        <w:tc>
          <w:tcPr>
            <w:tcW w:w="1252" w:type="pct"/>
          </w:tcPr>
          <w:p>
            <w:pPr>
              <w:spacing w:before="60" w:after="60" w:line="240" w:lineRule="auto"/>
              <w:rPr>
                <w:rFonts w:eastAsia="MS Mincho"/>
                <w:noProof/>
                <w:szCs w:val="24"/>
              </w:rPr>
            </w:pPr>
            <w:r>
              <w:rPr>
                <w:noProof/>
              </w:rPr>
              <w:t>Huiles végétales et graisses animales [huile de pépins de courge]</w:t>
            </w:r>
          </w:p>
        </w:tc>
      </w:tr>
      <w:tr>
        <w:tc>
          <w:tcPr>
            <w:tcW w:w="631" w:type="pct"/>
          </w:tcPr>
          <w:p>
            <w:pPr>
              <w:widowControl/>
              <w:spacing w:before="60" w:after="60" w:line="240" w:lineRule="auto"/>
              <w:ind w:left="720" w:hanging="360"/>
              <w:rPr>
                <w:rFonts w:eastAsia="MS Mincho"/>
                <w:noProof/>
                <w:szCs w:val="24"/>
              </w:rPr>
            </w:pPr>
            <w:r>
              <w:rPr>
                <w:noProof/>
              </w:rPr>
              <w:t>4</w:t>
            </w:r>
            <w:r>
              <w:rPr>
                <w:noProof/>
              </w:rPr>
              <w:tab/>
            </w:r>
          </w:p>
        </w:tc>
        <w:tc>
          <w:tcPr>
            <w:tcW w:w="975" w:type="pct"/>
          </w:tcPr>
          <w:p>
            <w:pPr>
              <w:spacing w:before="60" w:after="60" w:line="240" w:lineRule="auto"/>
              <w:rPr>
                <w:rFonts w:eastAsia="MS Mincho"/>
                <w:noProof/>
                <w:szCs w:val="24"/>
              </w:rPr>
            </w:pPr>
            <w:r>
              <w:rPr>
                <w:noProof/>
              </w:rPr>
              <w:t>Autriche</w:t>
            </w:r>
          </w:p>
        </w:tc>
        <w:tc>
          <w:tcPr>
            <w:tcW w:w="2141" w:type="pct"/>
          </w:tcPr>
          <w:p>
            <w:pPr>
              <w:spacing w:before="60" w:after="60" w:line="240" w:lineRule="auto"/>
              <w:rPr>
                <w:rFonts w:eastAsia="MS Mincho"/>
                <w:noProof/>
                <w:szCs w:val="24"/>
              </w:rPr>
            </w:pPr>
            <w:r>
              <w:rPr>
                <w:noProof/>
              </w:rPr>
              <w:t>Tiroler Speck</w:t>
            </w:r>
          </w:p>
        </w:tc>
        <w:tc>
          <w:tcPr>
            <w:tcW w:w="1252" w:type="pct"/>
          </w:tcPr>
          <w:p>
            <w:pPr>
              <w:spacing w:before="60" w:after="60" w:line="240" w:lineRule="auto"/>
              <w:rPr>
                <w:rFonts w:eastAsia="MS Mincho"/>
                <w:noProof/>
                <w:szCs w:val="24"/>
              </w:rPr>
            </w:pPr>
            <w:r>
              <w:rPr>
                <w:noProof/>
              </w:rPr>
              <w:t>Viandes fraîches, congelées et transformées [lard]</w:t>
            </w:r>
          </w:p>
        </w:tc>
      </w:tr>
      <w:tr>
        <w:tc>
          <w:tcPr>
            <w:tcW w:w="631" w:type="pct"/>
          </w:tcPr>
          <w:p>
            <w:pPr>
              <w:widowControl/>
              <w:spacing w:before="60" w:after="60" w:line="240" w:lineRule="auto"/>
              <w:ind w:left="720" w:hanging="360"/>
              <w:rPr>
                <w:rFonts w:eastAsia="MS Mincho"/>
                <w:noProof/>
                <w:szCs w:val="24"/>
              </w:rPr>
            </w:pPr>
            <w:r>
              <w:rPr>
                <w:noProof/>
              </w:rPr>
              <w:t>5</w:t>
            </w:r>
            <w:r>
              <w:rPr>
                <w:noProof/>
              </w:rPr>
              <w:tab/>
            </w:r>
          </w:p>
        </w:tc>
        <w:tc>
          <w:tcPr>
            <w:tcW w:w="975" w:type="pct"/>
          </w:tcPr>
          <w:p>
            <w:pPr>
              <w:spacing w:before="60" w:after="60" w:line="240" w:lineRule="auto"/>
              <w:rPr>
                <w:rFonts w:eastAsia="MS Mincho"/>
                <w:noProof/>
                <w:szCs w:val="24"/>
              </w:rPr>
            </w:pPr>
            <w:r>
              <w:rPr>
                <w:noProof/>
              </w:rPr>
              <w:t>Croatie</w:t>
            </w:r>
          </w:p>
        </w:tc>
        <w:tc>
          <w:tcPr>
            <w:tcW w:w="2141" w:type="pct"/>
          </w:tcPr>
          <w:p>
            <w:pPr>
              <w:spacing w:before="60" w:after="60" w:line="240" w:lineRule="auto"/>
              <w:rPr>
                <w:rFonts w:eastAsia="MS Mincho"/>
                <w:noProof/>
                <w:szCs w:val="24"/>
              </w:rPr>
            </w:pPr>
            <w:r>
              <w:rPr>
                <w:noProof/>
              </w:rPr>
              <w:t>Baranjski kulen</w:t>
            </w:r>
          </w:p>
        </w:tc>
        <w:tc>
          <w:tcPr>
            <w:tcW w:w="1252" w:type="pct"/>
          </w:tcPr>
          <w:p>
            <w:pPr>
              <w:spacing w:before="60" w:after="60" w:line="240" w:lineRule="auto"/>
              <w:rPr>
                <w:rFonts w:eastAsia="MS Mincho"/>
                <w:noProof/>
                <w:szCs w:val="24"/>
              </w:rPr>
            </w:pPr>
            <w:r>
              <w:rPr>
                <w:noProof/>
              </w:rPr>
              <w:t>Viandes fraîches, congelées et transformées [saucisse]</w:t>
            </w:r>
          </w:p>
        </w:tc>
      </w:tr>
      <w:tr>
        <w:tc>
          <w:tcPr>
            <w:tcW w:w="631" w:type="pct"/>
          </w:tcPr>
          <w:p>
            <w:pPr>
              <w:widowControl/>
              <w:spacing w:before="60" w:after="60" w:line="240" w:lineRule="auto"/>
              <w:ind w:left="720" w:hanging="360"/>
              <w:rPr>
                <w:rFonts w:eastAsia="MS Mincho"/>
                <w:noProof/>
                <w:szCs w:val="24"/>
              </w:rPr>
            </w:pPr>
            <w:r>
              <w:rPr>
                <w:noProof/>
              </w:rPr>
              <w:t>6</w:t>
            </w:r>
            <w:r>
              <w:rPr>
                <w:noProof/>
              </w:rPr>
              <w:tab/>
            </w:r>
          </w:p>
        </w:tc>
        <w:tc>
          <w:tcPr>
            <w:tcW w:w="975" w:type="pct"/>
          </w:tcPr>
          <w:p>
            <w:pPr>
              <w:spacing w:before="60" w:after="60" w:line="240" w:lineRule="auto"/>
              <w:rPr>
                <w:rFonts w:eastAsia="MS Mincho"/>
                <w:noProof/>
                <w:szCs w:val="24"/>
              </w:rPr>
            </w:pPr>
            <w:r>
              <w:rPr>
                <w:noProof/>
              </w:rPr>
              <w:t>Croatie</w:t>
            </w:r>
          </w:p>
        </w:tc>
        <w:tc>
          <w:tcPr>
            <w:tcW w:w="2141" w:type="pct"/>
          </w:tcPr>
          <w:p>
            <w:pPr>
              <w:spacing w:before="60" w:after="60" w:line="240" w:lineRule="auto"/>
              <w:rPr>
                <w:rFonts w:eastAsia="MS Mincho"/>
                <w:noProof/>
                <w:szCs w:val="24"/>
              </w:rPr>
            </w:pPr>
            <w:r>
              <w:rPr>
                <w:noProof/>
              </w:rPr>
              <w:t>Dalmatinski pršut</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widowControl/>
              <w:spacing w:before="60" w:after="60" w:line="240" w:lineRule="auto"/>
              <w:ind w:left="720" w:hanging="360"/>
              <w:rPr>
                <w:rFonts w:eastAsia="MS Mincho"/>
                <w:noProof/>
                <w:szCs w:val="24"/>
              </w:rPr>
            </w:pPr>
            <w:r>
              <w:rPr>
                <w:noProof/>
              </w:rPr>
              <w:t>7</w:t>
            </w:r>
            <w:r>
              <w:rPr>
                <w:noProof/>
              </w:rPr>
              <w:tab/>
            </w:r>
          </w:p>
        </w:tc>
        <w:tc>
          <w:tcPr>
            <w:tcW w:w="975" w:type="pct"/>
          </w:tcPr>
          <w:p>
            <w:pPr>
              <w:spacing w:before="60" w:after="60" w:line="240" w:lineRule="auto"/>
              <w:rPr>
                <w:rFonts w:eastAsia="MS Mincho"/>
                <w:noProof/>
                <w:szCs w:val="24"/>
              </w:rPr>
            </w:pPr>
            <w:r>
              <w:rPr>
                <w:noProof/>
              </w:rPr>
              <w:t>Croatie</w:t>
            </w:r>
          </w:p>
        </w:tc>
        <w:tc>
          <w:tcPr>
            <w:tcW w:w="2141" w:type="pct"/>
          </w:tcPr>
          <w:p>
            <w:pPr>
              <w:spacing w:before="60" w:after="60" w:line="240" w:lineRule="auto"/>
              <w:rPr>
                <w:rFonts w:eastAsia="MS Mincho"/>
                <w:noProof/>
                <w:szCs w:val="24"/>
              </w:rPr>
            </w:pPr>
            <w:r>
              <w:rPr>
                <w:noProof/>
              </w:rPr>
              <w:t>Dingač</w:t>
            </w:r>
          </w:p>
        </w:tc>
        <w:tc>
          <w:tcPr>
            <w:tcW w:w="1252" w:type="pct"/>
          </w:tcPr>
          <w:p>
            <w:pPr>
              <w:spacing w:before="60" w:after="60" w:line="240" w:lineRule="auto"/>
              <w:rPr>
                <w:rFonts w:eastAsia="MS Mincho"/>
                <w:noProof/>
                <w:szCs w:val="24"/>
              </w:rPr>
            </w:pPr>
            <w:r>
              <w:rPr>
                <w:noProof/>
              </w:rPr>
              <w:t>Vins</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8</w:t>
            </w:r>
            <w:r>
              <w:rPr>
                <w:noProof/>
              </w:rPr>
              <w:tab/>
            </w:r>
          </w:p>
        </w:tc>
        <w:tc>
          <w:tcPr>
            <w:tcW w:w="975" w:type="pct"/>
          </w:tcPr>
          <w:p>
            <w:pPr>
              <w:spacing w:before="60" w:after="60" w:line="240" w:lineRule="auto"/>
              <w:rPr>
                <w:rFonts w:eastAsia="MS Mincho"/>
                <w:noProof/>
                <w:szCs w:val="24"/>
              </w:rPr>
            </w:pPr>
            <w:r>
              <w:rPr>
                <w:noProof/>
              </w:rPr>
              <w:t>Croatie</w:t>
            </w:r>
          </w:p>
        </w:tc>
        <w:tc>
          <w:tcPr>
            <w:tcW w:w="2141" w:type="pct"/>
          </w:tcPr>
          <w:p>
            <w:pPr>
              <w:spacing w:before="60" w:after="60" w:line="240" w:lineRule="auto"/>
              <w:rPr>
                <w:rFonts w:eastAsia="MS Mincho"/>
                <w:noProof/>
                <w:szCs w:val="24"/>
              </w:rPr>
            </w:pPr>
            <w:r>
              <w:rPr>
                <w:noProof/>
              </w:rPr>
              <w:t>Lički krumpir</w:t>
            </w:r>
          </w:p>
        </w:tc>
        <w:tc>
          <w:tcPr>
            <w:tcW w:w="1252" w:type="pct"/>
          </w:tcPr>
          <w:p>
            <w:pPr>
              <w:spacing w:before="60" w:after="60" w:line="240" w:lineRule="auto"/>
              <w:rPr>
                <w:rFonts w:eastAsia="MS Mincho"/>
                <w:noProof/>
                <w:szCs w:val="24"/>
              </w:rPr>
            </w:pPr>
            <w:r>
              <w:rPr>
                <w:noProof/>
              </w:rPr>
              <w:t>Fruits et noix frais et transformés [pomme de terre]</w:t>
            </w:r>
          </w:p>
        </w:tc>
      </w:tr>
      <w:tr>
        <w:tc>
          <w:tcPr>
            <w:tcW w:w="631" w:type="pct"/>
          </w:tcPr>
          <w:p>
            <w:pPr>
              <w:widowControl/>
              <w:spacing w:before="60" w:after="60" w:line="240" w:lineRule="auto"/>
              <w:ind w:left="720" w:hanging="360"/>
              <w:rPr>
                <w:rFonts w:eastAsia="MS Mincho"/>
                <w:noProof/>
                <w:szCs w:val="24"/>
              </w:rPr>
            </w:pPr>
            <w:r>
              <w:rPr>
                <w:noProof/>
              </w:rPr>
              <w:t>9</w:t>
            </w:r>
            <w:r>
              <w:rPr>
                <w:noProof/>
              </w:rPr>
              <w:tab/>
            </w:r>
          </w:p>
        </w:tc>
        <w:tc>
          <w:tcPr>
            <w:tcW w:w="975" w:type="pct"/>
          </w:tcPr>
          <w:p>
            <w:pPr>
              <w:spacing w:before="60" w:after="60" w:line="240" w:lineRule="auto"/>
              <w:rPr>
                <w:rFonts w:eastAsia="MS Mincho"/>
                <w:noProof/>
                <w:szCs w:val="24"/>
              </w:rPr>
            </w:pPr>
            <w:r>
              <w:rPr>
                <w:noProof/>
              </w:rPr>
              <w:t>Croatie</w:t>
            </w:r>
          </w:p>
        </w:tc>
        <w:tc>
          <w:tcPr>
            <w:tcW w:w="2141" w:type="pct"/>
          </w:tcPr>
          <w:p>
            <w:pPr>
              <w:spacing w:before="60" w:after="60" w:line="240" w:lineRule="auto"/>
              <w:rPr>
                <w:rFonts w:eastAsia="MS Mincho"/>
                <w:noProof/>
                <w:szCs w:val="24"/>
              </w:rPr>
            </w:pPr>
            <w:r>
              <w:rPr>
                <w:noProof/>
              </w:rPr>
              <w:t>Neretvanska mandarina</w:t>
            </w:r>
          </w:p>
        </w:tc>
        <w:tc>
          <w:tcPr>
            <w:tcW w:w="1252" w:type="pct"/>
          </w:tcPr>
          <w:p>
            <w:pPr>
              <w:spacing w:before="60" w:after="60" w:line="240" w:lineRule="auto"/>
              <w:rPr>
                <w:rFonts w:eastAsia="MS Mincho"/>
                <w:noProof/>
                <w:szCs w:val="24"/>
              </w:rPr>
            </w:pPr>
            <w:r>
              <w:rPr>
                <w:noProof/>
              </w:rPr>
              <w:t>Fruits et noix frais et transformés [mandarine]</w:t>
            </w:r>
          </w:p>
        </w:tc>
      </w:tr>
      <w:tr>
        <w:tc>
          <w:tcPr>
            <w:tcW w:w="631" w:type="pct"/>
          </w:tcPr>
          <w:p>
            <w:pPr>
              <w:widowControl/>
              <w:spacing w:before="60" w:after="60" w:line="240" w:lineRule="auto"/>
              <w:ind w:left="720" w:hanging="360"/>
              <w:rPr>
                <w:rFonts w:eastAsia="MS Mincho"/>
                <w:noProof/>
                <w:szCs w:val="24"/>
              </w:rPr>
            </w:pPr>
            <w:r>
              <w:rPr>
                <w:noProof/>
              </w:rPr>
              <w:t>10</w:t>
            </w:r>
            <w:r>
              <w:rPr>
                <w:noProof/>
              </w:rPr>
              <w:tab/>
            </w:r>
          </w:p>
        </w:tc>
        <w:tc>
          <w:tcPr>
            <w:tcW w:w="975" w:type="pct"/>
          </w:tcPr>
          <w:p>
            <w:pPr>
              <w:spacing w:before="60" w:after="60" w:line="240" w:lineRule="auto"/>
              <w:rPr>
                <w:rFonts w:eastAsia="MS Mincho"/>
                <w:noProof/>
                <w:szCs w:val="24"/>
              </w:rPr>
            </w:pPr>
            <w:r>
              <w:rPr>
                <w:noProof/>
              </w:rPr>
              <w:t>Chypre</w:t>
            </w:r>
          </w:p>
        </w:tc>
        <w:tc>
          <w:tcPr>
            <w:tcW w:w="2141" w:type="pct"/>
          </w:tcPr>
          <w:p>
            <w:pPr>
              <w:spacing w:before="60" w:after="60" w:line="240" w:lineRule="auto"/>
              <w:rPr>
                <w:rFonts w:eastAsia="MS Mincho"/>
                <w:noProof/>
                <w:szCs w:val="24"/>
              </w:rPr>
            </w:pPr>
            <w:r>
              <w:rPr>
                <w:noProof/>
              </w:rPr>
              <w:t>Κουμανδαρία (</w:t>
            </w:r>
            <w:r>
              <w:rPr>
                <w:i/>
                <w:iCs/>
                <w:noProof/>
              </w:rPr>
              <w:t>transcription en alphabet latin:</w:t>
            </w:r>
            <w:r>
              <w:rPr>
                <w:noProof/>
              </w:rPr>
              <w:t xml:space="preserve"> Koumandaria)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w:t>
            </w:r>
            <w:r>
              <w:rPr>
                <w:noProof/>
              </w:rPr>
              <w:tab/>
            </w:r>
          </w:p>
        </w:tc>
        <w:tc>
          <w:tcPr>
            <w:tcW w:w="975" w:type="pct"/>
          </w:tcPr>
          <w:p>
            <w:pPr>
              <w:spacing w:before="60" w:after="60" w:line="240" w:lineRule="auto"/>
              <w:rPr>
                <w:rFonts w:eastAsia="MS Mincho"/>
                <w:noProof/>
                <w:szCs w:val="24"/>
              </w:rPr>
            </w:pPr>
            <w:r>
              <w:rPr>
                <w:noProof/>
              </w:rPr>
              <w:t>Chypre</w:t>
            </w:r>
          </w:p>
        </w:tc>
        <w:tc>
          <w:tcPr>
            <w:tcW w:w="2141" w:type="pct"/>
          </w:tcPr>
          <w:p>
            <w:pPr>
              <w:spacing w:before="60" w:after="60" w:line="240" w:lineRule="auto"/>
              <w:rPr>
                <w:rFonts w:eastAsia="MS Mincho"/>
                <w:noProof/>
                <w:szCs w:val="24"/>
              </w:rPr>
            </w:pPr>
            <w:r>
              <w:rPr>
                <w:noProof/>
              </w:rPr>
              <w:t>Ζιβανία (</w:t>
            </w:r>
            <w:r>
              <w:rPr>
                <w:i/>
                <w:iCs/>
                <w:noProof/>
              </w:rPr>
              <w:t>transcription en alphabet latin:</w:t>
            </w:r>
            <w:r>
              <w:rPr>
                <w:noProof/>
              </w:rPr>
              <w:t xml:space="preserve"> Zivania) / Τζιβανία (</w:t>
            </w:r>
            <w:r>
              <w:rPr>
                <w:i/>
                <w:iCs/>
                <w:noProof/>
              </w:rPr>
              <w:t>transcription en alphabet latin:</w:t>
            </w:r>
            <w:r>
              <w:rPr>
                <w:noProof/>
              </w:rPr>
              <w:t xml:space="preserve"> Tzivania) / Ζιβάνα (</w:t>
            </w:r>
            <w:r>
              <w:rPr>
                <w:i/>
                <w:iCs/>
                <w:noProof/>
              </w:rPr>
              <w:t>transcription en alphabet latin:</w:t>
            </w:r>
            <w:r>
              <w:rPr>
                <w:noProof/>
              </w:rPr>
              <w:t xml:space="preserve"> Zivana) / Zivania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12</w:t>
            </w:r>
            <w:r>
              <w:rPr>
                <w:noProof/>
              </w:rPr>
              <w:tab/>
            </w:r>
          </w:p>
        </w:tc>
        <w:tc>
          <w:tcPr>
            <w:tcW w:w="975" w:type="pct"/>
          </w:tcPr>
          <w:p>
            <w:pPr>
              <w:spacing w:before="60" w:after="60" w:line="240" w:lineRule="auto"/>
              <w:rPr>
                <w:rFonts w:eastAsia="MS Mincho"/>
                <w:noProof/>
                <w:szCs w:val="24"/>
              </w:rPr>
            </w:pPr>
            <w:r>
              <w:rPr>
                <w:noProof/>
              </w:rPr>
              <w:t>Tchéquie</w:t>
            </w:r>
          </w:p>
        </w:tc>
        <w:tc>
          <w:tcPr>
            <w:tcW w:w="2141" w:type="pct"/>
          </w:tcPr>
          <w:p>
            <w:pPr>
              <w:spacing w:before="60" w:after="60" w:line="240" w:lineRule="auto"/>
              <w:rPr>
                <w:rFonts w:eastAsia="MS Mincho"/>
                <w:noProof/>
                <w:szCs w:val="24"/>
              </w:rPr>
            </w:pPr>
            <w:r>
              <w:rPr>
                <w:noProof/>
              </w:rPr>
              <w:t>Budějovické pivo</w:t>
            </w:r>
          </w:p>
        </w:tc>
        <w:tc>
          <w:tcPr>
            <w:tcW w:w="1252" w:type="pct"/>
          </w:tcPr>
          <w:p>
            <w:pPr>
              <w:spacing w:before="60" w:after="60" w:line="240" w:lineRule="auto"/>
              <w:rPr>
                <w:rFonts w:eastAsia="MS Mincho"/>
                <w:noProof/>
                <w:szCs w:val="24"/>
              </w:rPr>
            </w:pPr>
            <w:r>
              <w:rPr>
                <w:noProof/>
                <w:color w:val="000000"/>
              </w:rPr>
              <w:t>Bières</w:t>
            </w:r>
          </w:p>
        </w:tc>
      </w:tr>
      <w:tr>
        <w:tc>
          <w:tcPr>
            <w:tcW w:w="631" w:type="pct"/>
          </w:tcPr>
          <w:p>
            <w:pPr>
              <w:widowControl/>
              <w:spacing w:before="60" w:after="60" w:line="240" w:lineRule="auto"/>
              <w:ind w:left="720" w:hanging="360"/>
              <w:rPr>
                <w:rFonts w:eastAsia="MS Mincho"/>
                <w:noProof/>
                <w:szCs w:val="24"/>
              </w:rPr>
            </w:pPr>
            <w:r>
              <w:rPr>
                <w:noProof/>
              </w:rPr>
              <w:t>13</w:t>
            </w:r>
            <w:r>
              <w:rPr>
                <w:noProof/>
              </w:rPr>
              <w:tab/>
            </w:r>
          </w:p>
        </w:tc>
        <w:tc>
          <w:tcPr>
            <w:tcW w:w="975" w:type="pct"/>
          </w:tcPr>
          <w:p>
            <w:pPr>
              <w:spacing w:before="60" w:after="60" w:line="240" w:lineRule="auto"/>
              <w:rPr>
                <w:rFonts w:eastAsia="MS Mincho"/>
                <w:noProof/>
                <w:szCs w:val="24"/>
              </w:rPr>
            </w:pPr>
            <w:r>
              <w:rPr>
                <w:noProof/>
              </w:rPr>
              <w:t>Tchéquie</w:t>
            </w:r>
          </w:p>
        </w:tc>
        <w:tc>
          <w:tcPr>
            <w:tcW w:w="2141" w:type="pct"/>
          </w:tcPr>
          <w:p>
            <w:pPr>
              <w:spacing w:before="60" w:after="60" w:line="240" w:lineRule="auto"/>
              <w:rPr>
                <w:rFonts w:eastAsia="MS Mincho"/>
                <w:noProof/>
                <w:szCs w:val="24"/>
              </w:rPr>
            </w:pPr>
            <w:r>
              <w:rPr>
                <w:noProof/>
              </w:rPr>
              <w:t>Budějovický měšťanský var</w:t>
            </w:r>
          </w:p>
        </w:tc>
        <w:tc>
          <w:tcPr>
            <w:tcW w:w="1252" w:type="pct"/>
          </w:tcPr>
          <w:p>
            <w:pPr>
              <w:spacing w:before="60" w:after="60" w:line="240" w:lineRule="auto"/>
              <w:rPr>
                <w:rFonts w:eastAsia="MS Mincho"/>
                <w:noProof/>
                <w:szCs w:val="24"/>
              </w:rPr>
            </w:pPr>
            <w:r>
              <w:rPr>
                <w:noProof/>
                <w:color w:val="000000"/>
              </w:rPr>
              <w:t>Bières</w:t>
            </w:r>
          </w:p>
        </w:tc>
      </w:tr>
      <w:tr>
        <w:tc>
          <w:tcPr>
            <w:tcW w:w="631" w:type="pct"/>
          </w:tcPr>
          <w:p>
            <w:pPr>
              <w:widowControl/>
              <w:spacing w:before="60" w:after="60" w:line="240" w:lineRule="auto"/>
              <w:ind w:left="720" w:hanging="360"/>
              <w:rPr>
                <w:rFonts w:eastAsia="MS Mincho"/>
                <w:noProof/>
                <w:szCs w:val="24"/>
              </w:rPr>
            </w:pPr>
            <w:r>
              <w:rPr>
                <w:noProof/>
              </w:rPr>
              <w:t>14</w:t>
            </w:r>
            <w:r>
              <w:rPr>
                <w:noProof/>
              </w:rPr>
              <w:tab/>
            </w:r>
          </w:p>
        </w:tc>
        <w:tc>
          <w:tcPr>
            <w:tcW w:w="975" w:type="pct"/>
          </w:tcPr>
          <w:p>
            <w:pPr>
              <w:spacing w:before="60" w:after="60" w:line="240" w:lineRule="auto"/>
              <w:rPr>
                <w:rFonts w:eastAsia="MS Mincho"/>
                <w:noProof/>
                <w:szCs w:val="24"/>
              </w:rPr>
            </w:pPr>
            <w:r>
              <w:rPr>
                <w:noProof/>
              </w:rPr>
              <w:t>Tchéquie</w:t>
            </w:r>
          </w:p>
        </w:tc>
        <w:tc>
          <w:tcPr>
            <w:tcW w:w="2141" w:type="pct"/>
          </w:tcPr>
          <w:p>
            <w:pPr>
              <w:spacing w:before="60" w:after="60" w:line="240" w:lineRule="auto"/>
              <w:rPr>
                <w:rFonts w:eastAsia="MS Mincho"/>
                <w:noProof/>
                <w:szCs w:val="24"/>
              </w:rPr>
            </w:pPr>
            <w:r>
              <w:rPr>
                <w:noProof/>
              </w:rPr>
              <w:t>České pivo</w:t>
            </w:r>
          </w:p>
        </w:tc>
        <w:tc>
          <w:tcPr>
            <w:tcW w:w="1252" w:type="pct"/>
          </w:tcPr>
          <w:p>
            <w:pPr>
              <w:spacing w:before="60" w:after="60" w:line="240" w:lineRule="auto"/>
              <w:rPr>
                <w:rFonts w:eastAsia="MS Mincho"/>
                <w:noProof/>
                <w:szCs w:val="24"/>
              </w:rPr>
            </w:pPr>
            <w:r>
              <w:rPr>
                <w:noProof/>
                <w:color w:val="000000"/>
              </w:rPr>
              <w:t>Bières</w:t>
            </w:r>
          </w:p>
        </w:tc>
      </w:tr>
      <w:tr>
        <w:tc>
          <w:tcPr>
            <w:tcW w:w="631" w:type="pct"/>
          </w:tcPr>
          <w:p>
            <w:pPr>
              <w:widowControl/>
              <w:spacing w:before="60" w:after="60" w:line="240" w:lineRule="auto"/>
              <w:ind w:left="720" w:hanging="360"/>
              <w:rPr>
                <w:rFonts w:eastAsia="MS Mincho"/>
                <w:noProof/>
                <w:szCs w:val="24"/>
              </w:rPr>
            </w:pPr>
            <w:r>
              <w:rPr>
                <w:noProof/>
              </w:rPr>
              <w:t>15</w:t>
            </w:r>
            <w:r>
              <w:rPr>
                <w:noProof/>
              </w:rPr>
              <w:tab/>
            </w:r>
          </w:p>
        </w:tc>
        <w:tc>
          <w:tcPr>
            <w:tcW w:w="975" w:type="pct"/>
          </w:tcPr>
          <w:p>
            <w:pPr>
              <w:spacing w:before="60" w:after="60" w:line="240" w:lineRule="auto"/>
              <w:rPr>
                <w:rFonts w:eastAsia="MS Mincho"/>
                <w:noProof/>
                <w:szCs w:val="24"/>
              </w:rPr>
            </w:pPr>
            <w:r>
              <w:rPr>
                <w:noProof/>
              </w:rPr>
              <w:t>Tchéquie</w:t>
            </w:r>
          </w:p>
        </w:tc>
        <w:tc>
          <w:tcPr>
            <w:tcW w:w="2141" w:type="pct"/>
          </w:tcPr>
          <w:p>
            <w:pPr>
              <w:spacing w:before="60" w:after="60" w:line="240" w:lineRule="auto"/>
              <w:rPr>
                <w:rFonts w:eastAsia="MS Mincho"/>
                <w:noProof/>
                <w:szCs w:val="24"/>
              </w:rPr>
            </w:pPr>
            <w:r>
              <w:rPr>
                <w:noProof/>
              </w:rPr>
              <w:t>Českobudějovické pivo</w:t>
            </w:r>
          </w:p>
        </w:tc>
        <w:tc>
          <w:tcPr>
            <w:tcW w:w="1252" w:type="pct"/>
          </w:tcPr>
          <w:p>
            <w:pPr>
              <w:spacing w:before="60" w:after="60" w:line="240" w:lineRule="auto"/>
              <w:rPr>
                <w:rFonts w:eastAsia="MS Mincho"/>
                <w:noProof/>
                <w:szCs w:val="24"/>
              </w:rPr>
            </w:pPr>
            <w:r>
              <w:rPr>
                <w:noProof/>
                <w:color w:val="000000"/>
              </w:rPr>
              <w:t>Bières</w:t>
            </w:r>
          </w:p>
        </w:tc>
      </w:tr>
      <w:tr>
        <w:tc>
          <w:tcPr>
            <w:tcW w:w="631" w:type="pct"/>
          </w:tcPr>
          <w:p>
            <w:pPr>
              <w:widowControl/>
              <w:spacing w:before="60" w:after="60" w:line="240" w:lineRule="auto"/>
              <w:ind w:left="720" w:hanging="360"/>
              <w:rPr>
                <w:rFonts w:eastAsia="MS Mincho"/>
                <w:noProof/>
                <w:szCs w:val="24"/>
              </w:rPr>
            </w:pPr>
            <w:r>
              <w:rPr>
                <w:noProof/>
              </w:rPr>
              <w:t>16</w:t>
            </w:r>
            <w:r>
              <w:rPr>
                <w:noProof/>
              </w:rPr>
              <w:tab/>
            </w:r>
          </w:p>
        </w:tc>
        <w:tc>
          <w:tcPr>
            <w:tcW w:w="975" w:type="pct"/>
          </w:tcPr>
          <w:p>
            <w:pPr>
              <w:spacing w:before="60" w:after="60" w:line="240" w:lineRule="auto"/>
              <w:rPr>
                <w:rFonts w:eastAsia="MS Mincho"/>
                <w:noProof/>
                <w:szCs w:val="24"/>
              </w:rPr>
            </w:pPr>
            <w:r>
              <w:rPr>
                <w:noProof/>
              </w:rPr>
              <w:t>Tchéquie</w:t>
            </w:r>
          </w:p>
        </w:tc>
        <w:tc>
          <w:tcPr>
            <w:tcW w:w="2141" w:type="pct"/>
          </w:tcPr>
          <w:p>
            <w:pPr>
              <w:spacing w:before="60" w:after="60" w:line="240" w:lineRule="auto"/>
              <w:rPr>
                <w:rFonts w:eastAsia="MS Mincho"/>
                <w:noProof/>
                <w:szCs w:val="24"/>
              </w:rPr>
            </w:pPr>
            <w:r>
              <w:rPr>
                <w:noProof/>
              </w:rPr>
              <w:t>Žatecký chmel</w:t>
            </w:r>
          </w:p>
        </w:tc>
        <w:tc>
          <w:tcPr>
            <w:tcW w:w="1252" w:type="pct"/>
          </w:tcPr>
          <w:p>
            <w:pPr>
              <w:spacing w:before="60" w:after="60" w:line="240" w:lineRule="auto"/>
              <w:rPr>
                <w:rFonts w:eastAsia="MS Mincho"/>
                <w:noProof/>
                <w:szCs w:val="24"/>
              </w:rPr>
            </w:pPr>
            <w:r>
              <w:rPr>
                <w:noProof/>
                <w:color w:val="000000"/>
              </w:rPr>
              <w:t>Autres produits [houblon]</w:t>
            </w:r>
          </w:p>
        </w:tc>
      </w:tr>
      <w:tr>
        <w:tc>
          <w:tcPr>
            <w:tcW w:w="631" w:type="pct"/>
          </w:tcPr>
          <w:p>
            <w:pPr>
              <w:widowControl/>
              <w:spacing w:before="60" w:after="60" w:line="240" w:lineRule="auto"/>
              <w:ind w:left="720" w:hanging="360"/>
              <w:rPr>
                <w:rFonts w:eastAsia="MS Mincho"/>
                <w:noProof/>
                <w:szCs w:val="24"/>
              </w:rPr>
            </w:pPr>
            <w:r>
              <w:rPr>
                <w:noProof/>
              </w:rPr>
              <w:t>17</w:t>
            </w:r>
            <w:r>
              <w:rPr>
                <w:noProof/>
              </w:rPr>
              <w:tab/>
            </w:r>
          </w:p>
        </w:tc>
        <w:tc>
          <w:tcPr>
            <w:tcW w:w="975" w:type="pct"/>
          </w:tcPr>
          <w:p>
            <w:pPr>
              <w:spacing w:before="60" w:after="60" w:line="240" w:lineRule="auto"/>
              <w:rPr>
                <w:rFonts w:eastAsia="MS Mincho"/>
                <w:noProof/>
                <w:szCs w:val="24"/>
              </w:rPr>
            </w:pPr>
            <w:r>
              <w:rPr>
                <w:noProof/>
              </w:rPr>
              <w:t>Danemark</w:t>
            </w:r>
          </w:p>
        </w:tc>
        <w:tc>
          <w:tcPr>
            <w:tcW w:w="2141" w:type="pct"/>
          </w:tcPr>
          <w:p>
            <w:pPr>
              <w:spacing w:before="60" w:after="60" w:line="240" w:lineRule="auto"/>
              <w:rPr>
                <w:rFonts w:eastAsia="MS Mincho"/>
                <w:noProof/>
                <w:szCs w:val="24"/>
              </w:rPr>
            </w:pPr>
            <w:r>
              <w:rPr>
                <w:noProof/>
              </w:rPr>
              <w:t>Danablu</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18</w:t>
            </w:r>
            <w:r>
              <w:rPr>
                <w:noProof/>
              </w:rPr>
              <w:tab/>
            </w:r>
          </w:p>
        </w:tc>
        <w:tc>
          <w:tcPr>
            <w:tcW w:w="975" w:type="pct"/>
          </w:tcPr>
          <w:p>
            <w:pPr>
              <w:spacing w:before="60" w:after="60" w:line="240" w:lineRule="auto"/>
              <w:rPr>
                <w:rFonts w:eastAsia="MS Mincho"/>
                <w:noProof/>
                <w:szCs w:val="24"/>
              </w:rPr>
            </w:pPr>
            <w:r>
              <w:rPr>
                <w:noProof/>
              </w:rPr>
              <w:t>Finlande</w:t>
            </w:r>
          </w:p>
        </w:tc>
        <w:tc>
          <w:tcPr>
            <w:tcW w:w="2141" w:type="pct"/>
          </w:tcPr>
          <w:p>
            <w:pPr>
              <w:spacing w:before="60" w:after="60" w:line="240" w:lineRule="auto"/>
              <w:rPr>
                <w:rFonts w:eastAsia="MS Mincho"/>
                <w:noProof/>
                <w:szCs w:val="24"/>
              </w:rPr>
            </w:pPr>
            <w:r>
              <w:rPr>
                <w:noProof/>
              </w:rPr>
              <w:t>Suomalainen Vodka/Finsk Vodka/Vodka of Finland</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19</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Alsace/Vin d’Alsace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Anjou</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Armagnac</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22</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Beaujolais</w:t>
            </w:r>
          </w:p>
        </w:tc>
        <w:tc>
          <w:tcPr>
            <w:tcW w:w="1252" w:type="pct"/>
          </w:tcPr>
          <w:p>
            <w:pPr>
              <w:spacing w:before="60" w:after="60" w:line="240" w:lineRule="auto"/>
              <w:rPr>
                <w:rFonts w:eastAsia="MS Mincho"/>
                <w:noProof/>
                <w:szCs w:val="24"/>
              </w:rPr>
            </w:pPr>
            <w:r>
              <w:rPr>
                <w:noProof/>
              </w:rPr>
              <w:t>Vins</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23</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Bergamote de Nancy / Bergamotes de Nancy</w:t>
            </w:r>
          </w:p>
        </w:tc>
        <w:tc>
          <w:tcPr>
            <w:tcW w:w="1252" w:type="pct"/>
          </w:tcPr>
          <w:p>
            <w:pPr>
              <w:spacing w:before="60" w:after="60" w:line="240" w:lineRule="auto"/>
              <w:rPr>
                <w:rFonts w:eastAsia="MS Mincho"/>
                <w:noProof/>
                <w:szCs w:val="24"/>
              </w:rPr>
            </w:pPr>
            <w:r>
              <w:rPr>
                <w:noProof/>
              </w:rPr>
              <w:t>Produits de la boulangerie, pâtisserie, confiserie et biscuiterie [bonbon]</w:t>
            </w:r>
          </w:p>
        </w:tc>
      </w:tr>
      <w:tr>
        <w:tc>
          <w:tcPr>
            <w:tcW w:w="631" w:type="pct"/>
          </w:tcPr>
          <w:p>
            <w:pPr>
              <w:widowControl/>
              <w:spacing w:before="60" w:after="60" w:line="240" w:lineRule="auto"/>
              <w:ind w:left="720" w:hanging="360"/>
              <w:rPr>
                <w:rFonts w:eastAsia="MS Mincho"/>
                <w:noProof/>
                <w:szCs w:val="24"/>
              </w:rPr>
            </w:pPr>
            <w:r>
              <w:rPr>
                <w:noProof/>
              </w:rPr>
              <w:t>24</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Bergerac</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25</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Beurre Charentes-Poitou/ Beurre des Charentes/ Beurre des Deux-Sèvres</w:t>
            </w:r>
          </w:p>
          <w:p>
            <w:pPr>
              <w:spacing w:before="60" w:after="60" w:line="240" w:lineRule="auto"/>
              <w:rPr>
                <w:rFonts w:eastAsia="MS Mincho"/>
                <w:noProof/>
                <w:szCs w:val="24"/>
                <w:lang w:val="fr-BE" w:eastAsia="ja-JP"/>
              </w:rPr>
            </w:pPr>
          </w:p>
        </w:tc>
        <w:tc>
          <w:tcPr>
            <w:tcW w:w="1252" w:type="pct"/>
          </w:tcPr>
          <w:p>
            <w:pPr>
              <w:spacing w:before="60" w:after="60" w:line="240" w:lineRule="auto"/>
              <w:rPr>
                <w:rFonts w:eastAsia="MS Mincho"/>
                <w:noProof/>
                <w:szCs w:val="24"/>
              </w:rPr>
            </w:pPr>
            <w:r>
              <w:rPr>
                <w:noProof/>
              </w:rPr>
              <w:t>Huiles végétales et graisses animales [beurre]</w:t>
            </w:r>
          </w:p>
        </w:tc>
      </w:tr>
      <w:tr>
        <w:tc>
          <w:tcPr>
            <w:tcW w:w="631" w:type="pct"/>
          </w:tcPr>
          <w:p>
            <w:pPr>
              <w:widowControl/>
              <w:spacing w:before="60" w:after="60" w:line="240" w:lineRule="auto"/>
              <w:ind w:left="720" w:hanging="360"/>
              <w:rPr>
                <w:rFonts w:eastAsia="MS Mincho"/>
                <w:noProof/>
                <w:szCs w:val="24"/>
              </w:rPr>
            </w:pPr>
            <w:r>
              <w:rPr>
                <w:noProof/>
              </w:rPr>
              <w:t>26</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Beurre d’Isigny</w:t>
            </w:r>
          </w:p>
        </w:tc>
        <w:tc>
          <w:tcPr>
            <w:tcW w:w="1252" w:type="pct"/>
          </w:tcPr>
          <w:p>
            <w:pPr>
              <w:spacing w:before="60" w:after="60" w:line="240" w:lineRule="auto"/>
              <w:rPr>
                <w:rFonts w:eastAsia="MS Mincho"/>
                <w:noProof/>
                <w:szCs w:val="24"/>
              </w:rPr>
            </w:pPr>
            <w:r>
              <w:rPr>
                <w:noProof/>
              </w:rPr>
              <w:t>Huiles végétales et graisses animales [beurre]</w:t>
            </w:r>
          </w:p>
        </w:tc>
      </w:tr>
      <w:tr>
        <w:tc>
          <w:tcPr>
            <w:tcW w:w="631" w:type="pct"/>
          </w:tcPr>
          <w:p>
            <w:pPr>
              <w:widowControl/>
              <w:spacing w:before="60" w:after="60" w:line="240" w:lineRule="auto"/>
              <w:ind w:left="720" w:hanging="360"/>
              <w:rPr>
                <w:rFonts w:eastAsia="MS Mincho"/>
                <w:noProof/>
                <w:szCs w:val="24"/>
              </w:rPr>
            </w:pPr>
            <w:r>
              <w:rPr>
                <w:noProof/>
              </w:rPr>
              <w:t>27</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Bordeaux</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28</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Bourgogne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29</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Brie de Meaux</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30</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Brioche vendéenne</w:t>
            </w:r>
          </w:p>
        </w:tc>
        <w:tc>
          <w:tcPr>
            <w:tcW w:w="1252" w:type="pct"/>
          </w:tcPr>
          <w:p>
            <w:pPr>
              <w:spacing w:before="60" w:after="60" w:line="240" w:lineRule="auto"/>
              <w:rPr>
                <w:rFonts w:eastAsia="MS Mincho"/>
                <w:noProof/>
                <w:szCs w:val="24"/>
              </w:rPr>
            </w:pPr>
            <w:r>
              <w:rPr>
                <w:noProof/>
              </w:rPr>
              <w:t>Produits de la boulangerie, pâtisserie, confiserie et biscuiterie [brioche]</w:t>
            </w:r>
          </w:p>
        </w:tc>
      </w:tr>
      <w:tr>
        <w:tc>
          <w:tcPr>
            <w:tcW w:w="631" w:type="pct"/>
          </w:tcPr>
          <w:p>
            <w:pPr>
              <w:widowControl/>
              <w:spacing w:before="60" w:after="60" w:line="240" w:lineRule="auto"/>
              <w:ind w:left="720" w:hanging="360"/>
              <w:rPr>
                <w:rFonts w:eastAsia="MS Mincho"/>
                <w:noProof/>
                <w:szCs w:val="24"/>
              </w:rPr>
            </w:pPr>
            <w:r>
              <w:rPr>
                <w:noProof/>
              </w:rPr>
              <w:t>31</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Calvados</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32</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Camembert de Normandie</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33</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Canard à foie gras du Sud-Ouest (Chalosse, Gascogne, Gers, Landes, Périgord, Quercy)</w:t>
            </w:r>
          </w:p>
        </w:tc>
        <w:tc>
          <w:tcPr>
            <w:tcW w:w="1252" w:type="pct"/>
          </w:tcPr>
          <w:p>
            <w:pPr>
              <w:spacing w:before="60" w:after="60" w:line="240" w:lineRule="auto"/>
              <w:rPr>
                <w:rFonts w:eastAsia="MS Mincho"/>
                <w:noProof/>
                <w:szCs w:val="24"/>
              </w:rPr>
            </w:pPr>
            <w:r>
              <w:rPr>
                <w:noProof/>
              </w:rPr>
              <w:t>Viandes fraîches, congelées et transformées [produit transformé à base de viande de canard]</w:t>
            </w:r>
          </w:p>
        </w:tc>
      </w:tr>
      <w:tr>
        <w:tc>
          <w:tcPr>
            <w:tcW w:w="631" w:type="pct"/>
          </w:tcPr>
          <w:p>
            <w:pPr>
              <w:widowControl/>
              <w:spacing w:before="60" w:after="60" w:line="240" w:lineRule="auto"/>
              <w:ind w:left="720" w:hanging="360"/>
              <w:rPr>
                <w:rFonts w:eastAsia="MS Mincho"/>
                <w:noProof/>
                <w:szCs w:val="24"/>
              </w:rPr>
            </w:pPr>
            <w:r>
              <w:rPr>
                <w:noProof/>
              </w:rPr>
              <w:t>34</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Chablis</w:t>
            </w:r>
          </w:p>
        </w:tc>
        <w:tc>
          <w:tcPr>
            <w:tcW w:w="1252" w:type="pct"/>
          </w:tcPr>
          <w:p>
            <w:pPr>
              <w:spacing w:before="60" w:after="60" w:line="240" w:lineRule="auto"/>
              <w:rPr>
                <w:rFonts w:eastAsia="MS Mincho"/>
                <w:noProof/>
                <w:szCs w:val="24"/>
              </w:rPr>
            </w:pPr>
            <w:r>
              <w:rPr>
                <w:noProof/>
              </w:rPr>
              <w:t>Vins</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35</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Champagne</w:t>
            </w:r>
            <w:r>
              <w:rPr>
                <w:b/>
                <w:noProof/>
                <w:vertAlign w:val="superscript"/>
              </w:rPr>
              <w:t>*</w:t>
            </w:r>
          </w:p>
        </w:tc>
        <w:tc>
          <w:tcPr>
            <w:tcW w:w="1252" w:type="pct"/>
          </w:tcPr>
          <w:p>
            <w:pPr>
              <w:spacing w:before="60" w:after="60" w:line="240" w:lineRule="auto"/>
              <w:rPr>
                <w:rFonts w:eastAsia="MS Mincho"/>
                <w:noProof/>
                <w:szCs w:val="24"/>
              </w:rPr>
            </w:pPr>
            <w:r>
              <w:rPr>
                <w:noProof/>
              </w:rPr>
              <w:t>Vins</w:t>
            </w:r>
          </w:p>
        </w:tc>
      </w:tr>
      <w:tr>
        <w:tc>
          <w:tcPr>
            <w:tcW w:w="631" w:type="pct"/>
          </w:tcPr>
          <w:p>
            <w:pPr>
              <w:spacing w:before="60" w:after="60" w:line="240" w:lineRule="auto"/>
              <w:ind w:left="720"/>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b/>
                <w:noProof/>
                <w:vertAlign w:val="superscript"/>
              </w:rPr>
              <w:t>*</w:t>
            </w:r>
            <w:r>
              <w:rPr>
                <w:noProof/>
              </w:rPr>
              <w:t xml:space="preserve"> IG déjà protégée également au titre d’une demande directe en Indonésie</w:t>
            </w:r>
          </w:p>
        </w:tc>
        <w:tc>
          <w:tcPr>
            <w:tcW w:w="1252" w:type="pct"/>
          </w:tcPr>
          <w:p>
            <w:pPr>
              <w:spacing w:before="60" w:after="60" w:line="240" w:lineRule="auto"/>
              <w:rPr>
                <w:rFonts w:eastAsia="MS Mincho"/>
                <w:noProof/>
                <w:szCs w:val="24"/>
                <w:lang w:eastAsia="ja-JP"/>
              </w:rPr>
            </w:pPr>
          </w:p>
        </w:tc>
      </w:tr>
      <w:tr>
        <w:tc>
          <w:tcPr>
            <w:tcW w:w="631" w:type="pct"/>
          </w:tcPr>
          <w:p>
            <w:pPr>
              <w:widowControl/>
              <w:spacing w:before="60" w:after="60" w:line="240" w:lineRule="auto"/>
              <w:ind w:left="720" w:hanging="360"/>
              <w:rPr>
                <w:rFonts w:eastAsia="MS Mincho"/>
                <w:noProof/>
                <w:szCs w:val="24"/>
              </w:rPr>
            </w:pPr>
            <w:r>
              <w:rPr>
                <w:noProof/>
              </w:rPr>
              <w:t>36</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Châteauneuf-du-Pape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37</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Eau-de-vie de Cognac/</w:t>
            </w:r>
          </w:p>
          <w:p>
            <w:pPr>
              <w:spacing w:before="60" w:after="60" w:line="240" w:lineRule="auto"/>
              <w:rPr>
                <w:rFonts w:eastAsia="MS Mincho"/>
                <w:noProof/>
                <w:szCs w:val="24"/>
              </w:rPr>
            </w:pPr>
            <w:r>
              <w:rPr>
                <w:noProof/>
              </w:rPr>
              <w:t>Eau-de-vie des Charentes/</w:t>
            </w:r>
          </w:p>
          <w:p>
            <w:pPr>
              <w:spacing w:before="60" w:after="60" w:line="240" w:lineRule="auto"/>
              <w:rPr>
                <w:rFonts w:eastAsia="MS Mincho"/>
                <w:noProof/>
                <w:szCs w:val="24"/>
              </w:rPr>
            </w:pPr>
            <w:r>
              <w:rPr>
                <w:noProof/>
              </w:rPr>
              <w:t>Cognac</w:t>
            </w:r>
            <w:r>
              <w:rPr>
                <w:b/>
                <w:noProof/>
                <w:vertAlign w:val="superscript"/>
              </w:rPr>
              <w:t>*</w:t>
            </w:r>
          </w:p>
        </w:tc>
        <w:tc>
          <w:tcPr>
            <w:tcW w:w="1252" w:type="pct"/>
          </w:tcPr>
          <w:p>
            <w:pPr>
              <w:spacing w:before="60" w:after="60" w:line="240" w:lineRule="auto"/>
              <w:rPr>
                <w:rFonts w:eastAsia="MS Mincho"/>
                <w:noProof/>
                <w:szCs w:val="24"/>
              </w:rPr>
            </w:pPr>
            <w:r>
              <w:rPr>
                <w:noProof/>
              </w:rPr>
              <w:t>Spiritueux</w:t>
            </w:r>
          </w:p>
        </w:tc>
      </w:tr>
      <w:tr>
        <w:tc>
          <w:tcPr>
            <w:tcW w:w="631" w:type="pct"/>
          </w:tcPr>
          <w:p>
            <w:pPr>
              <w:spacing w:before="60" w:after="60" w:line="240" w:lineRule="auto"/>
              <w:ind w:left="720"/>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b/>
                <w:noProof/>
                <w:vertAlign w:val="superscript"/>
              </w:rPr>
              <w:t>*</w:t>
            </w:r>
            <w:r>
              <w:rPr>
                <w:noProof/>
              </w:rPr>
              <w:t xml:space="preserve"> IG déjà protégée également au titre d’une demande directe en Indonésie</w:t>
            </w:r>
          </w:p>
        </w:tc>
        <w:tc>
          <w:tcPr>
            <w:tcW w:w="1252" w:type="pct"/>
          </w:tcPr>
          <w:p>
            <w:pPr>
              <w:spacing w:before="60" w:after="60" w:line="240" w:lineRule="auto"/>
              <w:rPr>
                <w:rFonts w:eastAsia="MS Mincho"/>
                <w:noProof/>
                <w:szCs w:val="24"/>
                <w:lang w:eastAsia="ja-JP"/>
              </w:rPr>
            </w:pPr>
          </w:p>
        </w:tc>
      </w:tr>
      <w:tr>
        <w:tc>
          <w:tcPr>
            <w:tcW w:w="631" w:type="pct"/>
          </w:tcPr>
          <w:p>
            <w:pPr>
              <w:widowControl/>
              <w:spacing w:before="60" w:after="60" w:line="240" w:lineRule="auto"/>
              <w:ind w:left="720" w:hanging="360"/>
              <w:rPr>
                <w:rFonts w:eastAsia="MS Mincho"/>
                <w:noProof/>
                <w:szCs w:val="24"/>
              </w:rPr>
            </w:pPr>
            <w:r>
              <w:rPr>
                <w:noProof/>
              </w:rPr>
              <w:t>38</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 xml:space="preserve">Comté </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39</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Languedoc</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40</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Côtes de Provence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41</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Côtes du Rhône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42</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Côtes du Roussillon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43</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Crème d’Isigny/Crème fraîche d’Isigny</w:t>
            </w:r>
          </w:p>
        </w:tc>
        <w:tc>
          <w:tcPr>
            <w:tcW w:w="1252" w:type="pct"/>
          </w:tcPr>
          <w:p>
            <w:pPr>
              <w:spacing w:before="60" w:after="60" w:line="240" w:lineRule="auto"/>
              <w:rPr>
                <w:rFonts w:eastAsia="MS Mincho"/>
                <w:noProof/>
                <w:szCs w:val="24"/>
              </w:rPr>
            </w:pPr>
            <w:r>
              <w:rPr>
                <w:noProof/>
              </w:rPr>
              <w:t>Autres produits d’origine animale [crème]</w:t>
            </w:r>
          </w:p>
        </w:tc>
      </w:tr>
      <w:tr>
        <w:tc>
          <w:tcPr>
            <w:tcW w:w="631" w:type="pct"/>
          </w:tcPr>
          <w:p>
            <w:pPr>
              <w:widowControl/>
              <w:spacing w:before="60" w:after="60" w:line="240" w:lineRule="auto"/>
              <w:ind w:left="720" w:hanging="360"/>
              <w:rPr>
                <w:rFonts w:eastAsia="MS Mincho"/>
                <w:noProof/>
                <w:szCs w:val="24"/>
              </w:rPr>
            </w:pPr>
            <w:r>
              <w:rPr>
                <w:noProof/>
              </w:rPr>
              <w:t>44</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Emmental de Savoie</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45</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Graves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46</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Haut-Médoc</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47</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Huile essentielle de lavande de Haute-Provence / Essence de lavande de Haute-Provence</w:t>
            </w:r>
          </w:p>
        </w:tc>
        <w:tc>
          <w:tcPr>
            <w:tcW w:w="1252" w:type="pct"/>
          </w:tcPr>
          <w:p>
            <w:pPr>
              <w:spacing w:before="60" w:after="60" w:line="240" w:lineRule="auto"/>
              <w:rPr>
                <w:rFonts w:eastAsia="MS Mincho"/>
                <w:noProof/>
                <w:szCs w:val="24"/>
              </w:rPr>
            </w:pPr>
            <w:r>
              <w:rPr>
                <w:noProof/>
              </w:rPr>
              <w:t>Huiles essentielles</w:t>
            </w:r>
          </w:p>
        </w:tc>
      </w:tr>
      <w:tr>
        <w:tc>
          <w:tcPr>
            <w:tcW w:w="631" w:type="pct"/>
          </w:tcPr>
          <w:p>
            <w:pPr>
              <w:widowControl/>
              <w:spacing w:before="60" w:after="60" w:line="240" w:lineRule="auto"/>
              <w:ind w:left="720" w:hanging="360"/>
              <w:rPr>
                <w:rFonts w:eastAsia="MS Mincho"/>
                <w:noProof/>
                <w:szCs w:val="24"/>
              </w:rPr>
            </w:pPr>
            <w:r>
              <w:rPr>
                <w:noProof/>
              </w:rPr>
              <w:t>48</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Jambon de Bayonne</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49</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Margaux</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50</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Médoc</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51</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Moutarde de Bourgogne</w:t>
            </w:r>
          </w:p>
        </w:tc>
        <w:tc>
          <w:tcPr>
            <w:tcW w:w="1252" w:type="pct"/>
          </w:tcPr>
          <w:p>
            <w:pPr>
              <w:spacing w:before="60" w:after="60" w:line="240" w:lineRule="auto"/>
              <w:rPr>
                <w:rFonts w:eastAsia="MS Mincho"/>
                <w:noProof/>
                <w:szCs w:val="24"/>
              </w:rPr>
            </w:pPr>
            <w:r>
              <w:rPr>
                <w:noProof/>
              </w:rPr>
              <w:t>Pâte de moutarde [moutarde]</w:t>
            </w:r>
          </w:p>
        </w:tc>
      </w:tr>
      <w:tr>
        <w:tc>
          <w:tcPr>
            <w:tcW w:w="631" w:type="pct"/>
          </w:tcPr>
          <w:p>
            <w:pPr>
              <w:widowControl/>
              <w:spacing w:before="60" w:after="60" w:line="240" w:lineRule="auto"/>
              <w:ind w:left="720" w:hanging="360"/>
              <w:rPr>
                <w:rFonts w:eastAsia="MS Mincho"/>
                <w:noProof/>
                <w:szCs w:val="24"/>
              </w:rPr>
            </w:pPr>
            <w:r>
              <w:rPr>
                <w:noProof/>
              </w:rPr>
              <w:t>52</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Pays d’Oc</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53</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Piment d’Espelette / Piment d’Espelette – Ezpeletako Biperra</w:t>
            </w:r>
          </w:p>
        </w:tc>
        <w:tc>
          <w:tcPr>
            <w:tcW w:w="1252" w:type="pct"/>
          </w:tcPr>
          <w:p>
            <w:pPr>
              <w:spacing w:before="60" w:after="60" w:line="240" w:lineRule="auto"/>
              <w:rPr>
                <w:rFonts w:eastAsia="MS Mincho"/>
                <w:noProof/>
                <w:szCs w:val="24"/>
              </w:rPr>
            </w:pPr>
            <w:r>
              <w:rPr>
                <w:noProof/>
              </w:rPr>
              <w:t>Autres produits de l’annexe I du traité (épices, etc.) [épice]</w:t>
            </w:r>
          </w:p>
        </w:tc>
      </w:tr>
      <w:tr>
        <w:tc>
          <w:tcPr>
            <w:tcW w:w="631" w:type="pct"/>
          </w:tcPr>
          <w:p>
            <w:pPr>
              <w:widowControl/>
              <w:spacing w:before="60" w:after="60" w:line="240" w:lineRule="auto"/>
              <w:ind w:left="720" w:hanging="360"/>
              <w:rPr>
                <w:rFonts w:eastAsia="MS Mincho"/>
                <w:noProof/>
                <w:szCs w:val="24"/>
              </w:rPr>
            </w:pPr>
            <w:r>
              <w:rPr>
                <w:noProof/>
              </w:rPr>
              <w:t>54</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Pineau des Charentes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55</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Pomerol</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56</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Pommes et poires de Savoie/Pommes de Savoie/Poires de Savoie</w:t>
            </w:r>
          </w:p>
        </w:tc>
        <w:tc>
          <w:tcPr>
            <w:tcW w:w="1252" w:type="pct"/>
          </w:tcPr>
          <w:p>
            <w:pPr>
              <w:spacing w:before="60" w:after="60" w:line="240" w:lineRule="auto"/>
              <w:rPr>
                <w:rFonts w:eastAsia="MS Mincho"/>
                <w:noProof/>
                <w:szCs w:val="24"/>
              </w:rPr>
            </w:pPr>
            <w:r>
              <w:rPr>
                <w:noProof/>
              </w:rPr>
              <w:t>Fruits et noix frais et transformés [pomme et poire]</w:t>
            </w:r>
          </w:p>
        </w:tc>
      </w:tr>
      <w:tr>
        <w:tc>
          <w:tcPr>
            <w:tcW w:w="631" w:type="pct"/>
          </w:tcPr>
          <w:p>
            <w:pPr>
              <w:widowControl/>
              <w:spacing w:before="60" w:after="60" w:line="240" w:lineRule="auto"/>
              <w:ind w:left="720" w:hanging="360"/>
              <w:rPr>
                <w:rFonts w:eastAsia="MS Mincho"/>
                <w:noProof/>
                <w:szCs w:val="24"/>
              </w:rPr>
            </w:pPr>
            <w:r>
              <w:rPr>
                <w:noProof/>
              </w:rPr>
              <w:t>57</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Pomme du Limousin</w:t>
            </w:r>
          </w:p>
        </w:tc>
        <w:tc>
          <w:tcPr>
            <w:tcW w:w="1252" w:type="pct"/>
          </w:tcPr>
          <w:p>
            <w:pPr>
              <w:spacing w:before="60" w:after="60" w:line="240" w:lineRule="auto"/>
              <w:rPr>
                <w:rFonts w:eastAsia="MS Mincho"/>
                <w:noProof/>
                <w:szCs w:val="24"/>
              </w:rPr>
            </w:pPr>
            <w:r>
              <w:rPr>
                <w:noProof/>
              </w:rPr>
              <w:t>Fruits et noix frais et transformés [pomme]</w:t>
            </w:r>
          </w:p>
        </w:tc>
      </w:tr>
      <w:tr>
        <w:tc>
          <w:tcPr>
            <w:tcW w:w="631" w:type="pct"/>
          </w:tcPr>
          <w:p>
            <w:pPr>
              <w:widowControl/>
              <w:spacing w:before="60" w:after="60" w:line="240" w:lineRule="auto"/>
              <w:ind w:left="720" w:hanging="360"/>
              <w:rPr>
                <w:rFonts w:eastAsia="MS Mincho"/>
                <w:noProof/>
                <w:szCs w:val="24"/>
              </w:rPr>
            </w:pPr>
            <w:r>
              <w:rPr>
                <w:noProof/>
              </w:rPr>
              <w:t>58</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Pruneaux d’Agen</w:t>
            </w:r>
          </w:p>
        </w:tc>
        <w:tc>
          <w:tcPr>
            <w:tcW w:w="1252" w:type="pct"/>
          </w:tcPr>
          <w:p>
            <w:pPr>
              <w:spacing w:before="60" w:after="60" w:line="240" w:lineRule="auto"/>
              <w:rPr>
                <w:rFonts w:eastAsia="MS Mincho"/>
                <w:noProof/>
                <w:szCs w:val="24"/>
              </w:rPr>
            </w:pPr>
            <w:r>
              <w:rPr>
                <w:noProof/>
              </w:rPr>
              <w:t>Fruits et noix frais et transformés [prune]</w:t>
            </w:r>
          </w:p>
        </w:tc>
      </w:tr>
      <w:tr>
        <w:tc>
          <w:tcPr>
            <w:tcW w:w="631" w:type="pct"/>
          </w:tcPr>
          <w:p>
            <w:pPr>
              <w:widowControl/>
              <w:spacing w:before="60" w:after="60" w:line="240" w:lineRule="auto"/>
              <w:ind w:left="720" w:hanging="360"/>
              <w:rPr>
                <w:rFonts w:eastAsia="MS Mincho"/>
                <w:noProof/>
                <w:szCs w:val="24"/>
              </w:rPr>
            </w:pPr>
            <w:r>
              <w:rPr>
                <w:noProof/>
              </w:rPr>
              <w:t>59</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Raviole du Dauphiné</w:t>
            </w:r>
          </w:p>
        </w:tc>
        <w:tc>
          <w:tcPr>
            <w:tcW w:w="1252" w:type="pct"/>
          </w:tcPr>
          <w:p>
            <w:pPr>
              <w:spacing w:before="60" w:after="60" w:line="240" w:lineRule="auto"/>
              <w:rPr>
                <w:rFonts w:eastAsia="MS Mincho"/>
                <w:noProof/>
                <w:szCs w:val="24"/>
              </w:rPr>
            </w:pPr>
            <w:r>
              <w:rPr>
                <w:noProof/>
              </w:rPr>
              <w:t>Pâtes alimentaires</w:t>
            </w:r>
          </w:p>
        </w:tc>
      </w:tr>
      <w:tr>
        <w:tc>
          <w:tcPr>
            <w:tcW w:w="631" w:type="pct"/>
          </w:tcPr>
          <w:p>
            <w:pPr>
              <w:widowControl/>
              <w:spacing w:before="60" w:after="60" w:line="240" w:lineRule="auto"/>
              <w:ind w:left="720" w:hanging="360"/>
              <w:rPr>
                <w:rFonts w:eastAsia="MS Mincho"/>
                <w:noProof/>
                <w:szCs w:val="24"/>
              </w:rPr>
            </w:pPr>
            <w:r>
              <w:rPr>
                <w:noProof/>
              </w:rPr>
              <w:t>60</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Reblochon/Reblochon de Savoie</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61</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 sucrerie de la Baie du Galion</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62</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 la Guadeloupe</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63</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 la Guyane</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64</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 la Martinique</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65</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 la Réunion</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66</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des Antilles françaises</w:t>
            </w:r>
          </w:p>
        </w:tc>
        <w:tc>
          <w:tcPr>
            <w:tcW w:w="1252" w:type="pct"/>
          </w:tcPr>
          <w:p>
            <w:pPr>
              <w:spacing w:before="60" w:after="60" w:line="240" w:lineRule="auto"/>
              <w:rPr>
                <w:rFonts w:eastAsia="MS Mincho"/>
                <w:noProof/>
                <w:szCs w:val="24"/>
              </w:rPr>
            </w:pPr>
            <w:r>
              <w:rPr>
                <w:noProof/>
              </w:rPr>
              <w:t>Spiritueux</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67</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Rhum des départements français d’outre-mer</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68</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Roquefort</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69</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Saint-Émilion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70</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Sauternes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71</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Touraine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72</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Val de Loire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73</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Ventoux</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74</w:t>
            </w:r>
            <w:r>
              <w:rPr>
                <w:noProof/>
              </w:rPr>
              <w:tab/>
            </w:r>
          </w:p>
        </w:tc>
        <w:tc>
          <w:tcPr>
            <w:tcW w:w="975" w:type="pct"/>
          </w:tcPr>
          <w:p>
            <w:pPr>
              <w:spacing w:before="60" w:after="60" w:line="240" w:lineRule="auto"/>
              <w:rPr>
                <w:rFonts w:eastAsia="MS Mincho"/>
                <w:noProof/>
                <w:szCs w:val="24"/>
              </w:rPr>
            </w:pPr>
            <w:r>
              <w:rPr>
                <w:noProof/>
              </w:rPr>
              <w:t>France</w:t>
            </w:r>
          </w:p>
        </w:tc>
        <w:tc>
          <w:tcPr>
            <w:tcW w:w="2141" w:type="pct"/>
          </w:tcPr>
          <w:p>
            <w:pPr>
              <w:spacing w:before="60" w:after="60" w:line="240" w:lineRule="auto"/>
              <w:rPr>
                <w:rFonts w:eastAsia="MS Mincho"/>
                <w:noProof/>
                <w:szCs w:val="24"/>
              </w:rPr>
            </w:pPr>
            <w:r>
              <w:rPr>
                <w:noProof/>
              </w:rPr>
              <w:t>Vin de Savoie / Savoie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75</w:t>
            </w:r>
            <w:r>
              <w:rPr>
                <w:noProof/>
              </w:rPr>
              <w:tab/>
            </w:r>
          </w:p>
        </w:tc>
        <w:tc>
          <w:tcPr>
            <w:tcW w:w="975" w:type="pct"/>
          </w:tcPr>
          <w:p>
            <w:pPr>
              <w:spacing w:before="60" w:after="60" w:line="240" w:lineRule="auto"/>
              <w:rPr>
                <w:rFonts w:eastAsia="MS Mincho"/>
                <w:noProof/>
                <w:szCs w:val="24"/>
              </w:rPr>
            </w:pPr>
            <w:r>
              <w:rPr>
                <w:noProof/>
              </w:rPr>
              <w:t>Allemagne, Autriche, Belgique</w:t>
            </w:r>
          </w:p>
        </w:tc>
        <w:tc>
          <w:tcPr>
            <w:tcW w:w="2141" w:type="pct"/>
          </w:tcPr>
          <w:p>
            <w:pPr>
              <w:spacing w:before="60" w:after="60" w:line="240" w:lineRule="auto"/>
              <w:rPr>
                <w:rFonts w:eastAsia="MS Mincho"/>
                <w:noProof/>
                <w:szCs w:val="24"/>
              </w:rPr>
            </w:pPr>
            <w:r>
              <w:rPr>
                <w:noProof/>
              </w:rPr>
              <w:t>Korn / Kornbrand</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76</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Bayerisches Bier</w:t>
            </w:r>
          </w:p>
        </w:tc>
        <w:tc>
          <w:tcPr>
            <w:tcW w:w="1252" w:type="pct"/>
          </w:tcPr>
          <w:p>
            <w:pPr>
              <w:spacing w:before="60" w:after="60" w:line="240" w:lineRule="auto"/>
              <w:rPr>
                <w:rFonts w:eastAsia="MS Mincho"/>
                <w:noProof/>
                <w:szCs w:val="24"/>
              </w:rPr>
            </w:pPr>
            <w:r>
              <w:rPr>
                <w:noProof/>
              </w:rPr>
              <w:t>Bières</w:t>
            </w:r>
          </w:p>
        </w:tc>
      </w:tr>
      <w:tr>
        <w:tc>
          <w:tcPr>
            <w:tcW w:w="631" w:type="pct"/>
          </w:tcPr>
          <w:p>
            <w:pPr>
              <w:widowControl/>
              <w:spacing w:before="60" w:after="60" w:line="240" w:lineRule="auto"/>
              <w:ind w:left="720" w:hanging="360"/>
              <w:rPr>
                <w:rFonts w:eastAsia="MS Mincho"/>
                <w:noProof/>
                <w:szCs w:val="24"/>
              </w:rPr>
            </w:pPr>
            <w:r>
              <w:rPr>
                <w:noProof/>
              </w:rPr>
              <w:t>77</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Franken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78</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Lübecker Marzipan</w:t>
            </w:r>
          </w:p>
        </w:tc>
        <w:tc>
          <w:tcPr>
            <w:tcW w:w="1252" w:type="pct"/>
          </w:tcPr>
          <w:p>
            <w:pPr>
              <w:spacing w:before="60" w:after="60" w:line="240" w:lineRule="auto"/>
              <w:rPr>
                <w:rFonts w:eastAsia="MS Mincho"/>
                <w:noProof/>
                <w:szCs w:val="24"/>
              </w:rPr>
            </w:pPr>
            <w:r>
              <w:rPr>
                <w:noProof/>
              </w:rPr>
              <w:t>Produits de la boulangerie, pâtisserie, confiserie et biscuiterie [massepain]</w:t>
            </w:r>
          </w:p>
        </w:tc>
      </w:tr>
      <w:tr>
        <w:tc>
          <w:tcPr>
            <w:tcW w:w="631" w:type="pct"/>
          </w:tcPr>
          <w:p>
            <w:pPr>
              <w:widowControl/>
              <w:spacing w:before="60" w:after="60" w:line="240" w:lineRule="auto"/>
              <w:ind w:left="720" w:hanging="360"/>
              <w:rPr>
                <w:rFonts w:eastAsia="MS Mincho"/>
                <w:noProof/>
                <w:szCs w:val="24"/>
              </w:rPr>
            </w:pPr>
            <w:r>
              <w:rPr>
                <w:noProof/>
              </w:rPr>
              <w:t>79</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Mittelrhein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80</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Mosel</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81</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Münchener Bier</w:t>
            </w:r>
          </w:p>
        </w:tc>
        <w:tc>
          <w:tcPr>
            <w:tcW w:w="1252" w:type="pct"/>
          </w:tcPr>
          <w:p>
            <w:pPr>
              <w:spacing w:before="60" w:after="60" w:line="240" w:lineRule="auto"/>
              <w:rPr>
                <w:rFonts w:eastAsia="MS Mincho"/>
                <w:noProof/>
                <w:szCs w:val="24"/>
              </w:rPr>
            </w:pPr>
            <w:r>
              <w:rPr>
                <w:noProof/>
              </w:rPr>
              <w:t>Bières</w:t>
            </w:r>
          </w:p>
        </w:tc>
      </w:tr>
      <w:tr>
        <w:tc>
          <w:tcPr>
            <w:tcW w:w="631" w:type="pct"/>
          </w:tcPr>
          <w:p>
            <w:pPr>
              <w:widowControl/>
              <w:spacing w:before="60" w:after="60" w:line="240" w:lineRule="auto"/>
              <w:ind w:left="720" w:hanging="360"/>
              <w:rPr>
                <w:rFonts w:eastAsia="MS Mincho"/>
                <w:noProof/>
                <w:szCs w:val="24"/>
              </w:rPr>
            </w:pPr>
            <w:r>
              <w:rPr>
                <w:noProof/>
              </w:rPr>
              <w:t>82</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Nürnberger Bratwürste / Nürnberger Rostbratwürste</w:t>
            </w:r>
          </w:p>
        </w:tc>
        <w:tc>
          <w:tcPr>
            <w:tcW w:w="1252" w:type="pct"/>
          </w:tcPr>
          <w:p>
            <w:pPr>
              <w:spacing w:before="60" w:after="60" w:line="240" w:lineRule="auto"/>
              <w:rPr>
                <w:rFonts w:eastAsia="MS Mincho"/>
                <w:noProof/>
                <w:szCs w:val="24"/>
              </w:rPr>
            </w:pPr>
            <w:r>
              <w:rPr>
                <w:noProof/>
              </w:rPr>
              <w:t>Viandes fraîches, congelées et transformées [saucisse]</w:t>
            </w:r>
          </w:p>
        </w:tc>
      </w:tr>
      <w:tr>
        <w:tc>
          <w:tcPr>
            <w:tcW w:w="631" w:type="pct"/>
          </w:tcPr>
          <w:p>
            <w:pPr>
              <w:widowControl/>
              <w:spacing w:before="60" w:after="60" w:line="240" w:lineRule="auto"/>
              <w:ind w:left="720" w:hanging="360"/>
              <w:rPr>
                <w:rFonts w:eastAsia="MS Mincho"/>
                <w:noProof/>
                <w:szCs w:val="24"/>
              </w:rPr>
            </w:pPr>
            <w:r>
              <w:rPr>
                <w:noProof/>
              </w:rPr>
              <w:t>83</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Rheingau</w:t>
            </w:r>
          </w:p>
        </w:tc>
        <w:tc>
          <w:tcPr>
            <w:tcW w:w="1252" w:type="pct"/>
          </w:tcPr>
          <w:p>
            <w:pPr>
              <w:spacing w:before="60" w:after="60" w:line="240" w:lineRule="auto"/>
              <w:rPr>
                <w:rFonts w:eastAsia="MS Mincho"/>
                <w:noProof/>
                <w:szCs w:val="24"/>
              </w:rPr>
            </w:pPr>
            <w:r>
              <w:rPr>
                <w:noProof/>
              </w:rPr>
              <w:t>Vins</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84</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Rheinhessen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85</w:t>
            </w:r>
            <w:r>
              <w:rPr>
                <w:noProof/>
              </w:rPr>
              <w:tab/>
            </w:r>
          </w:p>
        </w:tc>
        <w:tc>
          <w:tcPr>
            <w:tcW w:w="975" w:type="pct"/>
          </w:tcPr>
          <w:p>
            <w:pPr>
              <w:spacing w:before="60" w:after="60" w:line="240" w:lineRule="auto"/>
              <w:rPr>
                <w:rFonts w:eastAsia="MS Mincho"/>
                <w:noProof/>
                <w:szCs w:val="24"/>
              </w:rPr>
            </w:pPr>
            <w:r>
              <w:rPr>
                <w:noProof/>
              </w:rPr>
              <w:t>Allemagne</w:t>
            </w:r>
          </w:p>
        </w:tc>
        <w:tc>
          <w:tcPr>
            <w:tcW w:w="2141" w:type="pct"/>
          </w:tcPr>
          <w:p>
            <w:pPr>
              <w:spacing w:before="60" w:after="60" w:line="240" w:lineRule="auto"/>
              <w:rPr>
                <w:rFonts w:eastAsia="MS Mincho"/>
                <w:noProof/>
                <w:szCs w:val="24"/>
              </w:rPr>
            </w:pPr>
            <w:r>
              <w:rPr>
                <w:noProof/>
              </w:rPr>
              <w:t>Schwarzwälder Schinken</w:t>
            </w:r>
          </w:p>
        </w:tc>
        <w:tc>
          <w:tcPr>
            <w:tcW w:w="1252" w:type="pct"/>
          </w:tcPr>
          <w:p>
            <w:pPr>
              <w:spacing w:before="60" w:after="60" w:line="240" w:lineRule="auto"/>
              <w:rPr>
                <w:rFonts w:eastAsia="MS Mincho"/>
                <w:noProof/>
                <w:szCs w:val="24"/>
              </w:rPr>
            </w:pPr>
            <w:r>
              <w:rPr>
                <w:noProof/>
              </w:rPr>
              <w:t>Viandes fraîches, congelées et transformées [jambon]</w:t>
            </w:r>
          </w:p>
        </w:tc>
      </w:tr>
      <w:tr>
        <w:tc>
          <w:tcPr>
            <w:tcW w:w="631" w:type="pct"/>
          </w:tcPr>
          <w:p>
            <w:pPr>
              <w:widowControl/>
              <w:spacing w:before="60" w:after="60" w:line="240" w:lineRule="auto"/>
              <w:ind w:left="720" w:hanging="360"/>
              <w:rPr>
                <w:rFonts w:eastAsia="MS Mincho"/>
                <w:noProof/>
                <w:szCs w:val="24"/>
              </w:rPr>
            </w:pPr>
            <w:r>
              <w:rPr>
                <w:noProof/>
              </w:rPr>
              <w:t>86</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Ελιά Καλαμάτας (</w:t>
            </w:r>
            <w:r>
              <w:rPr>
                <w:i/>
                <w:noProof/>
              </w:rPr>
              <w:t>transcription en alphabet latin:</w:t>
            </w:r>
            <w:r>
              <w:rPr>
                <w:noProof/>
              </w:rPr>
              <w:t xml:space="preserve"> Elia Kalamatas)</w:t>
            </w:r>
          </w:p>
        </w:tc>
        <w:tc>
          <w:tcPr>
            <w:tcW w:w="1252" w:type="pct"/>
          </w:tcPr>
          <w:p>
            <w:pPr>
              <w:spacing w:before="60" w:after="60" w:line="240" w:lineRule="auto"/>
              <w:rPr>
                <w:rFonts w:eastAsia="MS Mincho"/>
                <w:noProof/>
                <w:szCs w:val="24"/>
              </w:rPr>
            </w:pPr>
            <w:r>
              <w:rPr>
                <w:noProof/>
              </w:rPr>
              <w:t>Olives de table et transformées [olives de table]</w:t>
            </w:r>
          </w:p>
        </w:tc>
      </w:tr>
      <w:tr>
        <w:tc>
          <w:tcPr>
            <w:tcW w:w="631" w:type="pct"/>
          </w:tcPr>
          <w:p>
            <w:pPr>
              <w:widowControl/>
              <w:spacing w:before="60" w:after="60" w:line="240" w:lineRule="auto"/>
              <w:ind w:left="720" w:hanging="360"/>
              <w:rPr>
                <w:rFonts w:eastAsia="MS Mincho"/>
                <w:noProof/>
                <w:szCs w:val="24"/>
              </w:rPr>
            </w:pPr>
            <w:r>
              <w:rPr>
                <w:noProof/>
              </w:rPr>
              <w:t>87</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Καλαμάτα (</w:t>
            </w:r>
            <w:r>
              <w:rPr>
                <w:i/>
                <w:noProof/>
              </w:rPr>
              <w:t>transcription en alphabet latin:</w:t>
            </w:r>
            <w:r>
              <w:rPr>
                <w:noProof/>
              </w:rPr>
              <w:t xml:space="preserve"> Kalamata)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88</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Κασέρι (</w:t>
            </w:r>
            <w:r>
              <w:rPr>
                <w:i/>
                <w:noProof/>
              </w:rPr>
              <w:t>transcription en alphabet latin:</w:t>
            </w:r>
            <w:r>
              <w:rPr>
                <w:noProof/>
              </w:rPr>
              <w:t xml:space="preserve"> Kasseri)</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89</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 xml:space="preserve">Κεφαλογραβιέρα </w:t>
            </w:r>
            <w:r>
              <w:rPr>
                <w:i/>
                <w:noProof/>
              </w:rPr>
              <w:t xml:space="preserve">(transcription en alphabet latin: </w:t>
            </w:r>
            <w:r>
              <w:rPr>
                <w:noProof/>
              </w:rPr>
              <w:t>Kefalograviera)</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90</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Κορινθιακή Σταφίδα Βοστίτσα (</w:t>
            </w:r>
            <w:r>
              <w:rPr>
                <w:i/>
                <w:noProof/>
              </w:rPr>
              <w:t xml:space="preserve">transcription en alphabet latin: </w:t>
            </w:r>
            <w:r>
              <w:rPr>
                <w:noProof/>
              </w:rPr>
              <w:t>Korinthiaki Stafida Vostitsa</w:t>
            </w:r>
            <w:r>
              <w:rPr>
                <w:i/>
                <w:noProof/>
              </w:rPr>
              <w:t>)</w:t>
            </w:r>
          </w:p>
        </w:tc>
        <w:tc>
          <w:tcPr>
            <w:tcW w:w="1252" w:type="pct"/>
          </w:tcPr>
          <w:p>
            <w:pPr>
              <w:spacing w:before="60" w:after="60" w:line="240" w:lineRule="auto"/>
              <w:rPr>
                <w:rFonts w:eastAsia="MS Mincho"/>
                <w:noProof/>
                <w:szCs w:val="24"/>
              </w:rPr>
            </w:pPr>
            <w:r>
              <w:rPr>
                <w:noProof/>
              </w:rPr>
              <w:t>Fruits et noix frais et transformés [raisin]</w:t>
            </w:r>
          </w:p>
        </w:tc>
      </w:tr>
      <w:tr>
        <w:tc>
          <w:tcPr>
            <w:tcW w:w="631" w:type="pct"/>
          </w:tcPr>
          <w:p>
            <w:pPr>
              <w:widowControl/>
              <w:spacing w:before="60" w:after="60" w:line="240" w:lineRule="auto"/>
              <w:ind w:left="720" w:hanging="360"/>
              <w:rPr>
                <w:rFonts w:eastAsia="MS Mincho"/>
                <w:noProof/>
                <w:szCs w:val="24"/>
              </w:rPr>
            </w:pPr>
            <w:r>
              <w:rPr>
                <w:noProof/>
              </w:rPr>
              <w:t>91</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 xml:space="preserve">Κρόκος Κοζάνης </w:t>
            </w:r>
            <w:r>
              <w:rPr>
                <w:i/>
                <w:noProof/>
              </w:rPr>
              <w:t xml:space="preserve">(transcription en alphabet latin: </w:t>
            </w:r>
            <w:r>
              <w:rPr>
                <w:noProof/>
              </w:rPr>
              <w:t>Krokos Kozanis</w:t>
            </w:r>
            <w:r>
              <w:rPr>
                <w:i/>
                <w:noProof/>
              </w:rPr>
              <w:t>)</w:t>
            </w:r>
          </w:p>
        </w:tc>
        <w:tc>
          <w:tcPr>
            <w:tcW w:w="1252" w:type="pct"/>
          </w:tcPr>
          <w:p>
            <w:pPr>
              <w:spacing w:before="60" w:after="60" w:line="240" w:lineRule="auto"/>
              <w:rPr>
                <w:rFonts w:eastAsia="MS Mincho"/>
                <w:noProof/>
                <w:szCs w:val="24"/>
              </w:rPr>
            </w:pPr>
            <w:r>
              <w:rPr>
                <w:noProof/>
              </w:rPr>
              <w:t>Autres produits de l’annexe I du traité [épice]</w:t>
            </w:r>
          </w:p>
        </w:tc>
      </w:tr>
      <w:tr>
        <w:tc>
          <w:tcPr>
            <w:tcW w:w="631" w:type="pct"/>
          </w:tcPr>
          <w:p>
            <w:pPr>
              <w:widowControl/>
              <w:spacing w:before="60" w:after="60" w:line="240" w:lineRule="auto"/>
              <w:ind w:left="720" w:hanging="360"/>
              <w:rPr>
                <w:rFonts w:eastAsia="MS Mincho"/>
                <w:noProof/>
                <w:szCs w:val="24"/>
              </w:rPr>
            </w:pPr>
            <w:r>
              <w:rPr>
                <w:noProof/>
              </w:rPr>
              <w:t>92</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Λακωνία (</w:t>
            </w:r>
            <w:r>
              <w:rPr>
                <w:i/>
                <w:noProof/>
              </w:rPr>
              <w:t>transcription en alphabet latin:</w:t>
            </w:r>
            <w:r>
              <w:rPr>
                <w:noProof/>
              </w:rPr>
              <w:t xml:space="preserve"> Lakonia)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93</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Μαστίχα Χίου (</w:t>
            </w:r>
            <w:r>
              <w:rPr>
                <w:i/>
                <w:noProof/>
              </w:rPr>
              <w:t>transcription en alphabet latin:</w:t>
            </w:r>
            <w:r>
              <w:rPr>
                <w:noProof/>
              </w:rPr>
              <w:t xml:space="preserve"> Masticha Chiou)</w:t>
            </w:r>
          </w:p>
        </w:tc>
        <w:tc>
          <w:tcPr>
            <w:tcW w:w="1252" w:type="pct"/>
          </w:tcPr>
          <w:p>
            <w:pPr>
              <w:spacing w:before="60" w:after="60" w:line="240" w:lineRule="auto"/>
              <w:rPr>
                <w:rFonts w:eastAsia="MS Mincho"/>
                <w:noProof/>
                <w:szCs w:val="24"/>
              </w:rPr>
            </w:pPr>
            <w:r>
              <w:rPr>
                <w:noProof/>
              </w:rPr>
              <w:t>Gommes et résines naturelles</w:t>
            </w:r>
          </w:p>
        </w:tc>
      </w:tr>
      <w:tr>
        <w:tc>
          <w:tcPr>
            <w:tcW w:w="631" w:type="pct"/>
          </w:tcPr>
          <w:p>
            <w:pPr>
              <w:widowControl/>
              <w:spacing w:before="60" w:after="60" w:line="240" w:lineRule="auto"/>
              <w:ind w:left="720" w:hanging="360"/>
              <w:rPr>
                <w:rFonts w:eastAsia="MS Mincho"/>
                <w:noProof/>
                <w:szCs w:val="24"/>
              </w:rPr>
            </w:pPr>
            <w:r>
              <w:rPr>
                <w:noProof/>
              </w:rPr>
              <w:t>94</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Νεμέα (</w:t>
            </w:r>
            <w:r>
              <w:rPr>
                <w:i/>
                <w:noProof/>
              </w:rPr>
              <w:t>transcription en alphabet latin:</w:t>
            </w:r>
            <w:r>
              <w:rPr>
                <w:noProof/>
              </w:rPr>
              <w:t xml:space="preserve"> Nemea)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95</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Πεζά Ηρακλείου Κρήτης (</w:t>
            </w:r>
            <w:r>
              <w:rPr>
                <w:i/>
                <w:noProof/>
              </w:rPr>
              <w:t>transcription en alphabet latin:</w:t>
            </w:r>
            <w:r>
              <w:rPr>
                <w:noProof/>
              </w:rPr>
              <w:t xml:space="preserve"> Peza Irakliou Kritis)  </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96</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Πελοπόννησος (</w:t>
            </w:r>
            <w:r>
              <w:rPr>
                <w:i/>
                <w:noProof/>
              </w:rPr>
              <w:t>transcription en alphabet latin:</w:t>
            </w:r>
            <w:r>
              <w:rPr>
                <w:noProof/>
              </w:rPr>
              <w:t xml:space="preserve"> Peloponissos)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97</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Ρετσίνα Αττικής (</w:t>
            </w:r>
            <w:r>
              <w:rPr>
                <w:i/>
                <w:noProof/>
              </w:rPr>
              <w:t>transcription en alphabet latin:</w:t>
            </w:r>
            <w:r>
              <w:rPr>
                <w:noProof/>
              </w:rPr>
              <w:t xml:space="preserve"> Retsina Attikis)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98</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Σάμος (</w:t>
            </w:r>
            <w:r>
              <w:rPr>
                <w:i/>
                <w:noProof/>
              </w:rPr>
              <w:t>transcription en alphabet latin:</w:t>
            </w:r>
            <w:r>
              <w:rPr>
                <w:noProof/>
              </w:rPr>
              <w:t xml:space="preserve"> Samos)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99</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Σητεία Λασιθίου Κρήτης (</w:t>
            </w:r>
            <w:r>
              <w:rPr>
                <w:i/>
                <w:noProof/>
              </w:rPr>
              <w:t>transcription en alphabet latin:</w:t>
            </w:r>
            <w:r>
              <w:rPr>
                <w:noProof/>
              </w:rPr>
              <w:t xml:space="preserve"> Sitia Lasithiou Kritis)</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100</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Φέτα (</w:t>
            </w:r>
            <w:r>
              <w:rPr>
                <w:i/>
                <w:noProof/>
              </w:rPr>
              <w:t>transcription en alphabet latin:</w:t>
            </w:r>
            <w:r>
              <w:rPr>
                <w:noProof/>
              </w:rPr>
              <w:t xml:space="preserve"> Feta)</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101</w:t>
            </w:r>
            <w:r>
              <w:rPr>
                <w:noProof/>
              </w:rPr>
              <w:tab/>
            </w:r>
          </w:p>
        </w:tc>
        <w:tc>
          <w:tcPr>
            <w:tcW w:w="975" w:type="pct"/>
          </w:tcPr>
          <w:p>
            <w:pPr>
              <w:spacing w:before="60" w:after="60" w:line="240" w:lineRule="auto"/>
              <w:rPr>
                <w:rFonts w:eastAsia="MS Mincho"/>
                <w:noProof/>
                <w:szCs w:val="24"/>
              </w:rPr>
            </w:pPr>
            <w:r>
              <w:rPr>
                <w:noProof/>
              </w:rPr>
              <w:t>Grèce</w:t>
            </w:r>
          </w:p>
        </w:tc>
        <w:tc>
          <w:tcPr>
            <w:tcW w:w="2141" w:type="pct"/>
          </w:tcPr>
          <w:p>
            <w:pPr>
              <w:spacing w:before="60" w:after="60" w:line="240" w:lineRule="auto"/>
              <w:rPr>
                <w:rFonts w:eastAsia="MS Mincho"/>
                <w:noProof/>
                <w:szCs w:val="24"/>
              </w:rPr>
            </w:pPr>
            <w:r>
              <w:rPr>
                <w:noProof/>
              </w:rPr>
              <w:t>Χανιά Κρήτης (</w:t>
            </w:r>
            <w:r>
              <w:rPr>
                <w:i/>
                <w:noProof/>
              </w:rPr>
              <w:t>transcription en alphabet latin:</w:t>
            </w:r>
            <w:r>
              <w:rPr>
                <w:noProof/>
              </w:rPr>
              <w:t xml:space="preserve"> Chania Kritis)</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102</w:t>
            </w:r>
            <w:r>
              <w:rPr>
                <w:noProof/>
              </w:rPr>
              <w:tab/>
            </w:r>
          </w:p>
        </w:tc>
        <w:tc>
          <w:tcPr>
            <w:tcW w:w="975" w:type="pct"/>
          </w:tcPr>
          <w:p>
            <w:pPr>
              <w:spacing w:before="60" w:after="60" w:line="240" w:lineRule="auto"/>
              <w:rPr>
                <w:rFonts w:eastAsia="MS Mincho"/>
                <w:noProof/>
                <w:szCs w:val="24"/>
              </w:rPr>
            </w:pPr>
            <w:r>
              <w:rPr>
                <w:noProof/>
              </w:rPr>
              <w:t>Grèce, Chypre</w:t>
            </w:r>
          </w:p>
        </w:tc>
        <w:tc>
          <w:tcPr>
            <w:tcW w:w="2141" w:type="pct"/>
          </w:tcPr>
          <w:p>
            <w:pPr>
              <w:spacing w:before="60" w:after="60" w:line="240" w:lineRule="auto"/>
              <w:rPr>
                <w:rFonts w:eastAsia="MS Mincho"/>
                <w:noProof/>
                <w:szCs w:val="24"/>
              </w:rPr>
            </w:pPr>
            <w:r>
              <w:rPr>
                <w:noProof/>
              </w:rPr>
              <w:t>Ούζο (</w:t>
            </w:r>
            <w:r>
              <w:rPr>
                <w:i/>
                <w:noProof/>
              </w:rPr>
              <w:t>transcription en alphabet latin</w:t>
            </w:r>
            <w:r>
              <w:rPr>
                <w:noProof/>
              </w:rPr>
              <w:t>: Ouzo)</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103</w:t>
            </w:r>
            <w:r>
              <w:rPr>
                <w:noProof/>
              </w:rPr>
              <w:tab/>
            </w:r>
          </w:p>
        </w:tc>
        <w:tc>
          <w:tcPr>
            <w:tcW w:w="975" w:type="pct"/>
          </w:tcPr>
          <w:p>
            <w:pPr>
              <w:spacing w:before="60" w:after="60" w:line="240" w:lineRule="auto"/>
              <w:rPr>
                <w:rFonts w:eastAsia="MS Mincho"/>
                <w:noProof/>
                <w:szCs w:val="24"/>
              </w:rPr>
            </w:pPr>
            <w:r>
              <w:rPr>
                <w:noProof/>
              </w:rPr>
              <w:t>Hongrie, Autriche</w:t>
            </w:r>
          </w:p>
        </w:tc>
        <w:tc>
          <w:tcPr>
            <w:tcW w:w="2141" w:type="pct"/>
          </w:tcPr>
          <w:p>
            <w:pPr>
              <w:spacing w:before="60" w:after="60" w:line="240" w:lineRule="auto"/>
              <w:rPr>
                <w:rFonts w:eastAsia="MS Mincho"/>
                <w:noProof/>
                <w:szCs w:val="24"/>
              </w:rPr>
            </w:pPr>
            <w:r>
              <w:rPr>
                <w:noProof/>
              </w:rPr>
              <w:t>Pálinka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104</w:t>
            </w:r>
            <w:r>
              <w:rPr>
                <w:noProof/>
              </w:rPr>
              <w:tab/>
            </w:r>
          </w:p>
        </w:tc>
        <w:tc>
          <w:tcPr>
            <w:tcW w:w="975" w:type="pct"/>
          </w:tcPr>
          <w:p>
            <w:pPr>
              <w:spacing w:before="60" w:after="60" w:line="240" w:lineRule="auto"/>
              <w:rPr>
                <w:rFonts w:eastAsia="MS Mincho"/>
                <w:noProof/>
                <w:szCs w:val="24"/>
              </w:rPr>
            </w:pPr>
            <w:r>
              <w:rPr>
                <w:noProof/>
              </w:rPr>
              <w:t>Hongrie</w:t>
            </w:r>
          </w:p>
        </w:tc>
        <w:tc>
          <w:tcPr>
            <w:tcW w:w="2141" w:type="pct"/>
          </w:tcPr>
          <w:p>
            <w:pPr>
              <w:spacing w:before="60" w:after="60" w:line="240" w:lineRule="auto"/>
              <w:rPr>
                <w:rFonts w:eastAsia="MS Mincho"/>
                <w:noProof/>
                <w:szCs w:val="24"/>
              </w:rPr>
            </w:pPr>
            <w:r>
              <w:rPr>
                <w:noProof/>
              </w:rPr>
              <w:t>Tokaj/Tokaji</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105</w:t>
            </w:r>
            <w:r>
              <w:rPr>
                <w:noProof/>
              </w:rPr>
              <w:tab/>
            </w:r>
          </w:p>
        </w:tc>
        <w:tc>
          <w:tcPr>
            <w:tcW w:w="975" w:type="pct"/>
          </w:tcPr>
          <w:p>
            <w:pPr>
              <w:spacing w:before="60" w:after="60" w:line="240" w:lineRule="auto"/>
              <w:rPr>
                <w:rFonts w:eastAsia="MS Mincho"/>
                <w:noProof/>
                <w:szCs w:val="24"/>
              </w:rPr>
            </w:pPr>
            <w:r>
              <w:rPr>
                <w:noProof/>
              </w:rPr>
              <w:t>Hongrie</w:t>
            </w:r>
          </w:p>
        </w:tc>
        <w:tc>
          <w:tcPr>
            <w:tcW w:w="2141" w:type="pct"/>
          </w:tcPr>
          <w:p>
            <w:pPr>
              <w:spacing w:before="60" w:after="60" w:line="240" w:lineRule="auto"/>
              <w:rPr>
                <w:rFonts w:eastAsia="MS Mincho"/>
                <w:noProof/>
                <w:szCs w:val="24"/>
              </w:rPr>
            </w:pPr>
            <w:r>
              <w:rPr>
                <w:noProof/>
              </w:rPr>
              <w:t>Törkölypálinka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106</w:t>
            </w:r>
            <w:r>
              <w:rPr>
                <w:noProof/>
              </w:rPr>
              <w:tab/>
            </w:r>
          </w:p>
        </w:tc>
        <w:tc>
          <w:tcPr>
            <w:tcW w:w="975" w:type="pct"/>
          </w:tcPr>
          <w:p>
            <w:pPr>
              <w:spacing w:before="60" w:after="60" w:line="240" w:lineRule="auto"/>
              <w:rPr>
                <w:rFonts w:eastAsia="MS Mincho"/>
                <w:noProof/>
                <w:szCs w:val="24"/>
              </w:rPr>
            </w:pPr>
            <w:r>
              <w:rPr>
                <w:noProof/>
              </w:rPr>
              <w:t>Irlande, Royaume-Uni (Irlande du Nord)</w:t>
            </w:r>
          </w:p>
        </w:tc>
        <w:tc>
          <w:tcPr>
            <w:tcW w:w="2141" w:type="pct"/>
          </w:tcPr>
          <w:p>
            <w:pPr>
              <w:spacing w:before="60" w:after="60" w:line="240" w:lineRule="auto"/>
              <w:rPr>
                <w:rFonts w:eastAsia="MS Mincho"/>
                <w:noProof/>
                <w:szCs w:val="24"/>
              </w:rPr>
            </w:pPr>
            <w:r>
              <w:rPr>
                <w:noProof/>
              </w:rPr>
              <w:t>Irish Cream</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107</w:t>
            </w:r>
            <w:r>
              <w:rPr>
                <w:noProof/>
              </w:rPr>
              <w:tab/>
            </w:r>
          </w:p>
        </w:tc>
        <w:tc>
          <w:tcPr>
            <w:tcW w:w="975" w:type="pct"/>
          </w:tcPr>
          <w:p>
            <w:pPr>
              <w:spacing w:before="60" w:after="60" w:line="240" w:lineRule="auto"/>
              <w:rPr>
                <w:rFonts w:eastAsia="MS Mincho"/>
                <w:noProof/>
                <w:szCs w:val="24"/>
              </w:rPr>
            </w:pPr>
            <w:r>
              <w:rPr>
                <w:noProof/>
              </w:rPr>
              <w:t>Irlande, Royaume-Uni (Irlande du Nord)</w:t>
            </w:r>
          </w:p>
        </w:tc>
        <w:tc>
          <w:tcPr>
            <w:tcW w:w="2141" w:type="pct"/>
          </w:tcPr>
          <w:p>
            <w:pPr>
              <w:spacing w:before="60" w:after="60" w:line="240" w:lineRule="auto"/>
              <w:rPr>
                <w:rFonts w:eastAsia="MS Mincho"/>
                <w:noProof/>
                <w:szCs w:val="24"/>
                <w:lang w:val="en-IE"/>
              </w:rPr>
            </w:pPr>
            <w:r>
              <w:rPr>
                <w:noProof/>
                <w:lang w:val="en-IE"/>
              </w:rPr>
              <w:t>Irish Whiskey / Uisce Beatha Eireannach / Irish Whisky</w:t>
            </w:r>
          </w:p>
        </w:tc>
        <w:tc>
          <w:tcPr>
            <w:tcW w:w="1252" w:type="pct"/>
          </w:tcPr>
          <w:p>
            <w:pPr>
              <w:spacing w:before="60" w:after="60" w:line="240" w:lineRule="auto"/>
              <w:rPr>
                <w:rFonts w:eastAsia="MS Mincho"/>
                <w:noProof/>
                <w:szCs w:val="24"/>
              </w:rPr>
            </w:pPr>
            <w:r>
              <w:rPr>
                <w:noProof/>
              </w:rPr>
              <w:t>Spiritueux</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108</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Aceto Balsamico di Modena</w:t>
            </w:r>
          </w:p>
        </w:tc>
        <w:tc>
          <w:tcPr>
            <w:tcW w:w="1252" w:type="pct"/>
          </w:tcPr>
          <w:p>
            <w:pPr>
              <w:spacing w:before="60" w:after="60" w:line="240" w:lineRule="auto"/>
              <w:rPr>
                <w:rFonts w:eastAsia="MS Mincho"/>
                <w:noProof/>
                <w:szCs w:val="24"/>
              </w:rPr>
            </w:pPr>
            <w:r>
              <w:rPr>
                <w:noProof/>
              </w:rPr>
              <w:t>Vinaigre</w:t>
            </w:r>
          </w:p>
        </w:tc>
      </w:tr>
      <w:tr>
        <w:tc>
          <w:tcPr>
            <w:tcW w:w="631" w:type="pct"/>
          </w:tcPr>
          <w:p>
            <w:pPr>
              <w:widowControl/>
              <w:spacing w:before="60" w:after="60" w:line="240" w:lineRule="auto"/>
              <w:ind w:left="720" w:hanging="360"/>
              <w:rPr>
                <w:rFonts w:eastAsia="MS Mincho"/>
                <w:noProof/>
                <w:szCs w:val="24"/>
              </w:rPr>
            </w:pPr>
            <w:r>
              <w:rPr>
                <w:noProof/>
              </w:rPr>
              <w:t>109</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Brachetto d’Acqui / Acqui</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110</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Asiago</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111</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Asti</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112</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Barbaresco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113</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Bardolino Superiore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114</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Barolo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115</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Bresaola della Valtellina</w:t>
            </w:r>
          </w:p>
        </w:tc>
        <w:tc>
          <w:tcPr>
            <w:tcW w:w="1252" w:type="pct"/>
          </w:tcPr>
          <w:p>
            <w:pPr>
              <w:spacing w:before="60" w:after="60" w:line="240" w:lineRule="auto"/>
              <w:rPr>
                <w:rFonts w:eastAsia="MS Mincho"/>
                <w:noProof/>
                <w:szCs w:val="24"/>
              </w:rPr>
            </w:pPr>
            <w:r>
              <w:rPr>
                <w:noProof/>
              </w:rPr>
              <w:t>Viandes fraîches, congelées et transformées [viande bovine séchée et salée]</w:t>
            </w:r>
          </w:p>
        </w:tc>
      </w:tr>
      <w:tr>
        <w:tc>
          <w:tcPr>
            <w:tcW w:w="631" w:type="pct"/>
          </w:tcPr>
          <w:p>
            <w:pPr>
              <w:widowControl/>
              <w:spacing w:before="60" w:after="60" w:line="240" w:lineRule="auto"/>
              <w:ind w:left="720" w:hanging="360"/>
              <w:rPr>
                <w:rFonts w:eastAsia="MS Mincho"/>
                <w:noProof/>
                <w:szCs w:val="24"/>
              </w:rPr>
            </w:pPr>
            <w:r>
              <w:rPr>
                <w:noProof/>
              </w:rPr>
              <w:t>116</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Brunello di Montalcino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117</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Chianti</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118</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lang w:val="en-IE"/>
              </w:rPr>
            </w:pPr>
            <w:r>
              <w:rPr>
                <w:noProof/>
                <w:lang w:val="en-IE"/>
              </w:rPr>
              <w:t>Conegliano Valdobbiadene – Prosecco / Valdobbiadene – Prosecco / Conegliano – Prosecco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119</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Dolcetto d’Alba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120</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Fontina</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121</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Franciacorta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122</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Gorgonzola</w:t>
            </w:r>
            <w:r>
              <w:rPr>
                <w:b/>
                <w:noProof/>
                <w:vertAlign w:val="superscript"/>
              </w:rPr>
              <w:t>*</w:t>
            </w:r>
          </w:p>
        </w:tc>
        <w:tc>
          <w:tcPr>
            <w:tcW w:w="1252" w:type="pct"/>
          </w:tcPr>
          <w:p>
            <w:pPr>
              <w:spacing w:before="60" w:after="60" w:line="240" w:lineRule="auto"/>
              <w:rPr>
                <w:rFonts w:eastAsia="MS Mincho"/>
                <w:noProof/>
                <w:szCs w:val="24"/>
              </w:rPr>
            </w:pPr>
            <w:r>
              <w:rPr>
                <w:noProof/>
              </w:rPr>
              <w:t>Fromages</w:t>
            </w:r>
          </w:p>
        </w:tc>
      </w:tr>
      <w:tr>
        <w:tc>
          <w:tcPr>
            <w:tcW w:w="631" w:type="pct"/>
          </w:tcPr>
          <w:p>
            <w:pPr>
              <w:spacing w:before="60" w:after="60" w:line="240" w:lineRule="auto"/>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b/>
                <w:noProof/>
                <w:vertAlign w:val="superscript"/>
              </w:rPr>
              <w:t>*</w:t>
            </w:r>
            <w:r>
              <w:rPr>
                <w:noProof/>
              </w:rPr>
              <w:t xml:space="preserve"> IG déjà protégée également au titre d’une demande directe en Indonésie</w:t>
            </w:r>
          </w:p>
        </w:tc>
        <w:tc>
          <w:tcPr>
            <w:tcW w:w="1252" w:type="pct"/>
          </w:tcPr>
          <w:p>
            <w:pPr>
              <w:spacing w:before="60" w:after="60" w:line="240" w:lineRule="auto"/>
              <w:rPr>
                <w:rFonts w:eastAsia="MS Mincho"/>
                <w:noProof/>
                <w:szCs w:val="24"/>
              </w:rPr>
            </w:pPr>
          </w:p>
        </w:tc>
      </w:tr>
      <w:tr>
        <w:tc>
          <w:tcPr>
            <w:tcW w:w="631" w:type="pct"/>
          </w:tcPr>
          <w:p>
            <w:pPr>
              <w:widowControl/>
              <w:spacing w:before="60" w:after="60" w:line="240" w:lineRule="auto"/>
              <w:ind w:left="720" w:hanging="360"/>
              <w:rPr>
                <w:rFonts w:eastAsia="MS Mincho"/>
                <w:noProof/>
                <w:szCs w:val="24"/>
              </w:rPr>
            </w:pPr>
            <w:r>
              <w:rPr>
                <w:noProof/>
              </w:rPr>
              <w:t>123</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Grana Padano</w:t>
            </w:r>
            <w:r>
              <w:rPr>
                <w:b/>
                <w:noProof/>
                <w:vertAlign w:val="superscript"/>
              </w:rPr>
              <w:t>*</w:t>
            </w:r>
          </w:p>
        </w:tc>
        <w:tc>
          <w:tcPr>
            <w:tcW w:w="1252" w:type="pct"/>
          </w:tcPr>
          <w:p>
            <w:pPr>
              <w:spacing w:before="60" w:after="60" w:line="240" w:lineRule="auto"/>
              <w:rPr>
                <w:rFonts w:eastAsia="MS Mincho"/>
                <w:noProof/>
                <w:szCs w:val="24"/>
              </w:rPr>
            </w:pPr>
            <w:r>
              <w:rPr>
                <w:noProof/>
              </w:rPr>
              <w:t>Fromages</w:t>
            </w:r>
          </w:p>
        </w:tc>
      </w:tr>
      <w:tr>
        <w:tc>
          <w:tcPr>
            <w:tcW w:w="631" w:type="pct"/>
          </w:tcPr>
          <w:p>
            <w:pPr>
              <w:spacing w:before="60" w:after="60" w:line="240" w:lineRule="auto"/>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b/>
                <w:noProof/>
                <w:vertAlign w:val="superscript"/>
              </w:rPr>
              <w:t>*</w:t>
            </w:r>
            <w:r>
              <w:rPr>
                <w:noProof/>
              </w:rPr>
              <w:t xml:space="preserve"> IG déjà protégée également au titre d’une demande directe en Indonésie</w:t>
            </w:r>
          </w:p>
        </w:tc>
        <w:tc>
          <w:tcPr>
            <w:tcW w:w="1252" w:type="pct"/>
          </w:tcPr>
          <w:p>
            <w:pPr>
              <w:spacing w:before="60" w:after="60" w:line="240" w:lineRule="auto"/>
              <w:rPr>
                <w:rFonts w:eastAsia="MS Mincho"/>
                <w:noProof/>
                <w:szCs w:val="24"/>
              </w:rPr>
            </w:pP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124</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Grappa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125</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Kiwi Latina</w:t>
            </w:r>
          </w:p>
        </w:tc>
        <w:tc>
          <w:tcPr>
            <w:tcW w:w="1252" w:type="pct"/>
          </w:tcPr>
          <w:p>
            <w:pPr>
              <w:spacing w:before="60" w:after="60" w:line="240" w:lineRule="auto"/>
              <w:rPr>
                <w:rFonts w:eastAsia="MS Mincho"/>
                <w:noProof/>
                <w:szCs w:val="24"/>
              </w:rPr>
            </w:pPr>
            <w:r>
              <w:rPr>
                <w:noProof/>
              </w:rPr>
              <w:t>Fruits et noix frais et transformés [kiwi]</w:t>
            </w:r>
          </w:p>
        </w:tc>
      </w:tr>
      <w:tr>
        <w:tc>
          <w:tcPr>
            <w:tcW w:w="631" w:type="pct"/>
          </w:tcPr>
          <w:p>
            <w:pPr>
              <w:widowControl/>
              <w:spacing w:before="60" w:after="60" w:line="240" w:lineRule="auto"/>
              <w:ind w:left="720" w:hanging="360"/>
              <w:rPr>
                <w:rFonts w:eastAsia="MS Mincho"/>
                <w:noProof/>
                <w:szCs w:val="24"/>
              </w:rPr>
            </w:pPr>
            <w:r>
              <w:rPr>
                <w:noProof/>
              </w:rPr>
              <w:t>126</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Lambrusco di Sorbara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127</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Lambrusco Grasparossa di Castelvetro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128</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Marsala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129</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Mela Alto Adige / Südtiroler Apfel</w:t>
            </w:r>
          </w:p>
        </w:tc>
        <w:tc>
          <w:tcPr>
            <w:tcW w:w="1252" w:type="pct"/>
          </w:tcPr>
          <w:p>
            <w:pPr>
              <w:spacing w:before="60" w:after="60" w:line="240" w:lineRule="auto"/>
              <w:rPr>
                <w:rFonts w:eastAsia="MS Mincho"/>
                <w:noProof/>
                <w:szCs w:val="24"/>
              </w:rPr>
            </w:pPr>
            <w:r>
              <w:rPr>
                <w:noProof/>
              </w:rPr>
              <w:t>Fruits et noix frais et transformés [pomme]</w:t>
            </w:r>
          </w:p>
        </w:tc>
      </w:tr>
      <w:tr>
        <w:tc>
          <w:tcPr>
            <w:tcW w:w="631" w:type="pct"/>
          </w:tcPr>
          <w:p>
            <w:pPr>
              <w:widowControl/>
              <w:spacing w:before="60" w:after="60" w:line="240" w:lineRule="auto"/>
              <w:ind w:left="720" w:hanging="360"/>
              <w:rPr>
                <w:rFonts w:eastAsia="MS Mincho"/>
                <w:noProof/>
                <w:szCs w:val="24"/>
              </w:rPr>
            </w:pPr>
            <w:r>
              <w:rPr>
                <w:noProof/>
              </w:rPr>
              <w:t>130</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Montepulciano d’Abruzzo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131</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Mortadella Bologna</w:t>
            </w:r>
          </w:p>
        </w:tc>
        <w:tc>
          <w:tcPr>
            <w:tcW w:w="1252" w:type="pct"/>
          </w:tcPr>
          <w:p>
            <w:pPr>
              <w:spacing w:before="60" w:after="60" w:line="240" w:lineRule="auto"/>
              <w:rPr>
                <w:rFonts w:eastAsia="MS Mincho"/>
                <w:noProof/>
                <w:szCs w:val="24"/>
              </w:rPr>
            </w:pPr>
            <w:r>
              <w:rPr>
                <w:noProof/>
              </w:rPr>
              <w:t>Viandes fraîches, congelées et transformées [mortadelle]</w:t>
            </w:r>
          </w:p>
        </w:tc>
      </w:tr>
      <w:tr>
        <w:tc>
          <w:tcPr>
            <w:tcW w:w="631" w:type="pct"/>
          </w:tcPr>
          <w:p>
            <w:pPr>
              <w:widowControl/>
              <w:spacing w:before="60" w:after="60" w:line="240" w:lineRule="auto"/>
              <w:ind w:left="720" w:hanging="360"/>
              <w:rPr>
                <w:rFonts w:eastAsia="MS Mincho"/>
                <w:noProof/>
                <w:szCs w:val="24"/>
              </w:rPr>
            </w:pPr>
            <w:r>
              <w:rPr>
                <w:noProof/>
              </w:rPr>
              <w:t>132</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Mozzarella di Bufala Campana</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133</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Parmigiano Reggiano</w:t>
            </w:r>
            <w:r>
              <w:rPr>
                <w:b/>
                <w:noProof/>
                <w:vertAlign w:val="superscript"/>
              </w:rPr>
              <w:t>*</w:t>
            </w:r>
          </w:p>
        </w:tc>
        <w:tc>
          <w:tcPr>
            <w:tcW w:w="1252" w:type="pct"/>
          </w:tcPr>
          <w:p>
            <w:pPr>
              <w:spacing w:before="60" w:after="60" w:line="240" w:lineRule="auto"/>
              <w:rPr>
                <w:rFonts w:eastAsia="MS Mincho"/>
                <w:noProof/>
                <w:szCs w:val="24"/>
              </w:rPr>
            </w:pPr>
            <w:r>
              <w:rPr>
                <w:noProof/>
              </w:rPr>
              <w:t>Fromages</w:t>
            </w:r>
          </w:p>
        </w:tc>
      </w:tr>
      <w:tr>
        <w:tc>
          <w:tcPr>
            <w:tcW w:w="631" w:type="pct"/>
          </w:tcPr>
          <w:p>
            <w:pPr>
              <w:spacing w:before="60" w:after="60" w:line="240" w:lineRule="auto"/>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b/>
                <w:noProof/>
                <w:vertAlign w:val="superscript"/>
              </w:rPr>
              <w:t>*</w:t>
            </w:r>
            <w:r>
              <w:rPr>
                <w:noProof/>
              </w:rPr>
              <w:t xml:space="preserve"> IG déjà protégée également au titre d’une demande directe en Indonésie</w:t>
            </w:r>
          </w:p>
        </w:tc>
        <w:tc>
          <w:tcPr>
            <w:tcW w:w="1252" w:type="pct"/>
          </w:tcPr>
          <w:p>
            <w:pPr>
              <w:spacing w:before="60" w:after="60" w:line="240" w:lineRule="auto"/>
              <w:rPr>
                <w:rFonts w:eastAsia="MS Mincho"/>
                <w:noProof/>
                <w:szCs w:val="24"/>
              </w:rPr>
            </w:pPr>
          </w:p>
        </w:tc>
      </w:tr>
      <w:tr>
        <w:tc>
          <w:tcPr>
            <w:tcW w:w="631" w:type="pct"/>
          </w:tcPr>
          <w:p>
            <w:pPr>
              <w:widowControl/>
              <w:spacing w:before="60" w:after="60" w:line="240" w:lineRule="auto"/>
              <w:ind w:left="720" w:hanging="360"/>
              <w:rPr>
                <w:rFonts w:eastAsia="MS Mincho"/>
                <w:noProof/>
                <w:szCs w:val="24"/>
              </w:rPr>
            </w:pPr>
            <w:r>
              <w:rPr>
                <w:noProof/>
              </w:rPr>
              <w:t>134</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Pecorino Romano</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135</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Prosciutto di Parma</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widowControl/>
              <w:spacing w:before="60" w:after="60" w:line="240" w:lineRule="auto"/>
              <w:ind w:left="720" w:hanging="360"/>
              <w:rPr>
                <w:rFonts w:eastAsia="MS Mincho"/>
                <w:noProof/>
                <w:szCs w:val="24"/>
              </w:rPr>
            </w:pPr>
            <w:r>
              <w:rPr>
                <w:noProof/>
              </w:rPr>
              <w:t>136</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Prosciutto di San Daniele</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widowControl/>
              <w:spacing w:before="60" w:after="60" w:line="240" w:lineRule="auto"/>
              <w:ind w:left="720" w:hanging="360"/>
              <w:rPr>
                <w:rFonts w:eastAsia="MS Mincho"/>
                <w:noProof/>
                <w:szCs w:val="24"/>
              </w:rPr>
            </w:pPr>
            <w:r>
              <w:rPr>
                <w:noProof/>
              </w:rPr>
              <w:t>137</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Prosciutto Toscano</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138</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Prosecco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139</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Provolone Valpadana</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140</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Sicilia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141</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Soave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142</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Taleggio</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143</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Toscano / Toscana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144</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Veneto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145</w:t>
            </w:r>
            <w:r>
              <w:rPr>
                <w:noProof/>
              </w:rPr>
              <w:tab/>
            </w:r>
          </w:p>
        </w:tc>
        <w:tc>
          <w:tcPr>
            <w:tcW w:w="975" w:type="pct"/>
          </w:tcPr>
          <w:p>
            <w:pPr>
              <w:spacing w:before="60" w:after="60" w:line="240" w:lineRule="auto"/>
              <w:rPr>
                <w:rFonts w:eastAsia="MS Mincho"/>
                <w:noProof/>
                <w:szCs w:val="24"/>
              </w:rPr>
            </w:pPr>
            <w:r>
              <w:rPr>
                <w:noProof/>
              </w:rPr>
              <w:t>Italie</w:t>
            </w:r>
          </w:p>
        </w:tc>
        <w:tc>
          <w:tcPr>
            <w:tcW w:w="2141" w:type="pct"/>
          </w:tcPr>
          <w:p>
            <w:pPr>
              <w:spacing w:before="60" w:after="60" w:line="240" w:lineRule="auto"/>
              <w:rPr>
                <w:rFonts w:eastAsia="MS Mincho"/>
                <w:noProof/>
                <w:szCs w:val="24"/>
              </w:rPr>
            </w:pPr>
            <w:r>
              <w:rPr>
                <w:noProof/>
              </w:rPr>
              <w:t>Vino Nobile di Montepulciano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146</w:t>
            </w:r>
            <w:r>
              <w:rPr>
                <w:noProof/>
              </w:rPr>
              <w:tab/>
            </w:r>
          </w:p>
        </w:tc>
        <w:tc>
          <w:tcPr>
            <w:tcW w:w="975" w:type="pct"/>
          </w:tcPr>
          <w:p>
            <w:pPr>
              <w:spacing w:before="60" w:after="60" w:line="240" w:lineRule="auto"/>
              <w:rPr>
                <w:rFonts w:eastAsia="MS Mincho"/>
                <w:noProof/>
                <w:szCs w:val="24"/>
              </w:rPr>
            </w:pPr>
            <w:r>
              <w:rPr>
                <w:noProof/>
              </w:rPr>
              <w:t>Lituanie</w:t>
            </w:r>
          </w:p>
        </w:tc>
        <w:tc>
          <w:tcPr>
            <w:tcW w:w="2141" w:type="pct"/>
          </w:tcPr>
          <w:p>
            <w:pPr>
              <w:spacing w:before="60" w:after="60" w:line="240" w:lineRule="auto"/>
              <w:rPr>
                <w:rFonts w:eastAsia="MS Mincho"/>
                <w:noProof/>
                <w:szCs w:val="24"/>
              </w:rPr>
            </w:pPr>
            <w:r>
              <w:rPr>
                <w:noProof/>
              </w:rPr>
              <w:t>Originali lietuviška degtinė/Original Lithuanian vodka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147</w:t>
            </w:r>
            <w:r>
              <w:rPr>
                <w:noProof/>
              </w:rPr>
              <w:tab/>
            </w:r>
          </w:p>
        </w:tc>
        <w:tc>
          <w:tcPr>
            <w:tcW w:w="975" w:type="pct"/>
          </w:tcPr>
          <w:p>
            <w:pPr>
              <w:spacing w:before="60" w:after="60" w:line="240" w:lineRule="auto"/>
              <w:rPr>
                <w:rFonts w:eastAsia="MS Mincho"/>
                <w:noProof/>
                <w:szCs w:val="24"/>
              </w:rPr>
            </w:pPr>
            <w:r>
              <w:rPr>
                <w:noProof/>
              </w:rPr>
              <w:t>Pays-Bas</w:t>
            </w:r>
          </w:p>
        </w:tc>
        <w:tc>
          <w:tcPr>
            <w:tcW w:w="2141" w:type="pct"/>
          </w:tcPr>
          <w:p>
            <w:pPr>
              <w:spacing w:before="60" w:after="60" w:line="240" w:lineRule="auto"/>
              <w:rPr>
                <w:rFonts w:eastAsia="MS Mincho"/>
                <w:noProof/>
                <w:szCs w:val="24"/>
              </w:rPr>
            </w:pPr>
            <w:r>
              <w:rPr>
                <w:noProof/>
              </w:rPr>
              <w:t>Edam Holland</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148</w:t>
            </w:r>
            <w:r>
              <w:rPr>
                <w:noProof/>
              </w:rPr>
              <w:tab/>
            </w:r>
          </w:p>
        </w:tc>
        <w:tc>
          <w:tcPr>
            <w:tcW w:w="975" w:type="pct"/>
          </w:tcPr>
          <w:p>
            <w:pPr>
              <w:spacing w:before="60" w:after="60" w:line="240" w:lineRule="auto"/>
              <w:rPr>
                <w:rFonts w:eastAsia="MS Mincho"/>
                <w:noProof/>
                <w:szCs w:val="24"/>
              </w:rPr>
            </w:pPr>
            <w:r>
              <w:rPr>
                <w:noProof/>
              </w:rPr>
              <w:t>Pays-Bas, Belgique, France, Allemagne</w:t>
            </w:r>
          </w:p>
        </w:tc>
        <w:tc>
          <w:tcPr>
            <w:tcW w:w="2141" w:type="pct"/>
          </w:tcPr>
          <w:p>
            <w:pPr>
              <w:spacing w:before="60" w:after="60" w:line="240" w:lineRule="auto"/>
              <w:rPr>
                <w:rFonts w:eastAsia="MS Mincho"/>
                <w:noProof/>
                <w:szCs w:val="24"/>
              </w:rPr>
            </w:pPr>
            <w:r>
              <w:rPr>
                <w:noProof/>
              </w:rPr>
              <w:t>Genièvre/Jenever/Genever</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149</w:t>
            </w:r>
            <w:r>
              <w:rPr>
                <w:noProof/>
              </w:rPr>
              <w:tab/>
            </w:r>
          </w:p>
        </w:tc>
        <w:tc>
          <w:tcPr>
            <w:tcW w:w="975" w:type="pct"/>
          </w:tcPr>
          <w:p>
            <w:pPr>
              <w:spacing w:before="60" w:after="60" w:line="240" w:lineRule="auto"/>
              <w:rPr>
                <w:rFonts w:eastAsia="MS Mincho"/>
                <w:noProof/>
                <w:szCs w:val="24"/>
              </w:rPr>
            </w:pPr>
            <w:r>
              <w:rPr>
                <w:noProof/>
              </w:rPr>
              <w:t>Pays-Bas</w:t>
            </w:r>
          </w:p>
        </w:tc>
        <w:tc>
          <w:tcPr>
            <w:tcW w:w="2141" w:type="pct"/>
          </w:tcPr>
          <w:p>
            <w:pPr>
              <w:spacing w:before="60" w:after="60" w:line="240" w:lineRule="auto"/>
              <w:rPr>
                <w:rFonts w:eastAsia="MS Mincho"/>
                <w:noProof/>
                <w:szCs w:val="24"/>
              </w:rPr>
            </w:pPr>
            <w:r>
              <w:rPr>
                <w:noProof/>
              </w:rPr>
              <w:t>Gouda Holland</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150</w:t>
            </w:r>
            <w:r>
              <w:rPr>
                <w:noProof/>
              </w:rPr>
              <w:tab/>
            </w:r>
          </w:p>
        </w:tc>
        <w:tc>
          <w:tcPr>
            <w:tcW w:w="975" w:type="pct"/>
          </w:tcPr>
          <w:p>
            <w:pPr>
              <w:spacing w:before="60" w:after="60" w:line="240" w:lineRule="auto"/>
              <w:rPr>
                <w:rFonts w:eastAsia="MS Mincho"/>
                <w:noProof/>
                <w:szCs w:val="24"/>
              </w:rPr>
            </w:pPr>
            <w:r>
              <w:rPr>
                <w:noProof/>
              </w:rPr>
              <w:t>Pays-Bas</w:t>
            </w:r>
          </w:p>
        </w:tc>
        <w:tc>
          <w:tcPr>
            <w:tcW w:w="2141" w:type="pct"/>
          </w:tcPr>
          <w:p>
            <w:pPr>
              <w:spacing w:before="60" w:after="60" w:line="240" w:lineRule="auto"/>
              <w:rPr>
                <w:rFonts w:eastAsia="MS Mincho"/>
                <w:noProof/>
                <w:szCs w:val="24"/>
              </w:rPr>
            </w:pPr>
            <w:r>
              <w:rPr>
                <w:noProof/>
              </w:rPr>
              <w:t>Hollandse geitenkaas</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151</w:t>
            </w:r>
            <w:r>
              <w:rPr>
                <w:noProof/>
              </w:rPr>
              <w:tab/>
            </w:r>
          </w:p>
        </w:tc>
        <w:tc>
          <w:tcPr>
            <w:tcW w:w="975" w:type="pct"/>
          </w:tcPr>
          <w:p>
            <w:pPr>
              <w:spacing w:before="60" w:after="60" w:line="240" w:lineRule="auto"/>
              <w:rPr>
                <w:rFonts w:eastAsia="MS Mincho"/>
                <w:noProof/>
                <w:szCs w:val="24"/>
              </w:rPr>
            </w:pPr>
            <w:r>
              <w:rPr>
                <w:noProof/>
              </w:rPr>
              <w:t>Pologne</w:t>
            </w:r>
          </w:p>
        </w:tc>
        <w:tc>
          <w:tcPr>
            <w:tcW w:w="2141" w:type="pct"/>
          </w:tcPr>
          <w:p>
            <w:pPr>
              <w:spacing w:before="60" w:after="60" w:line="240" w:lineRule="auto"/>
              <w:rPr>
                <w:rFonts w:eastAsia="MS Mincho"/>
                <w:noProof/>
                <w:szCs w:val="24"/>
              </w:rPr>
            </w:pPr>
            <w:r>
              <w:rPr>
                <w:noProof/>
              </w:rPr>
              <w:t>Polska Wódka / Polish vodka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152</w:t>
            </w:r>
            <w:r>
              <w:rPr>
                <w:noProof/>
              </w:rPr>
              <w:tab/>
            </w:r>
          </w:p>
        </w:tc>
        <w:tc>
          <w:tcPr>
            <w:tcW w:w="975" w:type="pct"/>
          </w:tcPr>
          <w:p>
            <w:pPr>
              <w:spacing w:before="60" w:after="60" w:line="240" w:lineRule="auto"/>
              <w:rPr>
                <w:rFonts w:eastAsia="MS Mincho"/>
                <w:noProof/>
                <w:szCs w:val="24"/>
              </w:rPr>
            </w:pPr>
            <w:r>
              <w:rPr>
                <w:noProof/>
              </w:rPr>
              <w:t>Pologne</w:t>
            </w:r>
          </w:p>
        </w:tc>
        <w:tc>
          <w:tcPr>
            <w:tcW w:w="2141" w:type="pct"/>
          </w:tcPr>
          <w:p>
            <w:pPr>
              <w:spacing w:before="60" w:after="60" w:line="240" w:lineRule="auto"/>
              <w:rPr>
                <w:rFonts w:eastAsia="MS Mincho"/>
                <w:noProof/>
                <w:szCs w:val="24"/>
                <w:lang w:val="en-IE"/>
              </w:rPr>
            </w:pPr>
            <w:r>
              <w:rPr>
                <w:noProof/>
                <w:lang w:val="en-IE"/>
              </w:rPr>
              <w:t>Herbal vodka from the North Podlasie Lowland aromatised with an extract of bison grass / Wódka ziołowa z Niziny Północnopodlaskiej aromatyzowana ekstraktem z trawy żubrowej</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153</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Aguardente Bagaceira Alentejo</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154</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Aguardente Bagaceira Bairrada</w:t>
            </w:r>
          </w:p>
        </w:tc>
        <w:tc>
          <w:tcPr>
            <w:tcW w:w="1252" w:type="pct"/>
          </w:tcPr>
          <w:p>
            <w:pPr>
              <w:spacing w:before="60" w:after="60" w:line="240" w:lineRule="auto"/>
              <w:rPr>
                <w:rFonts w:eastAsia="MS Mincho"/>
                <w:noProof/>
                <w:szCs w:val="24"/>
              </w:rPr>
            </w:pPr>
            <w:r>
              <w:rPr>
                <w:noProof/>
              </w:rPr>
              <w:t>Spiritueux</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155</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Aguardente Bagaceira da Região dos Vinhos Verdes</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156</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Aguardente de Vinho Alentejo</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157</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Aguardente de Vinho da Região dos Vinhos Verdes</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158</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Aguardente de Vinho Douro</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159</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Aguardente de Vinho Lourinhã</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160</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Aguardente de Vinho Ribatejo</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161</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Alentejo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162</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Algarve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163</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Beira Interior</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164</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Dão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165</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Douro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166</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lang w:val="en-IE"/>
              </w:rPr>
            </w:pPr>
            <w:r>
              <w:rPr>
                <w:noProof/>
                <w:lang w:val="en-IE"/>
              </w:rPr>
              <w:t>Madeira / Vinho da Madeira / Madère / Vin de Madère / Madera / Madeira Wein / Madeira Wine / Vino di Madera / Madeira Wijn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167</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Medronho do Algarve</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168</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Mel dos Açores</w:t>
            </w:r>
          </w:p>
        </w:tc>
        <w:tc>
          <w:tcPr>
            <w:tcW w:w="1252" w:type="pct"/>
          </w:tcPr>
          <w:p>
            <w:pPr>
              <w:spacing w:before="60" w:after="60" w:line="240" w:lineRule="auto"/>
              <w:rPr>
                <w:rFonts w:eastAsia="MS Mincho"/>
                <w:noProof/>
                <w:szCs w:val="24"/>
              </w:rPr>
            </w:pPr>
            <w:r>
              <w:rPr>
                <w:noProof/>
              </w:rPr>
              <w:t>Autres produits d’origine animale [miel]</w:t>
            </w:r>
          </w:p>
        </w:tc>
      </w:tr>
      <w:tr>
        <w:tc>
          <w:tcPr>
            <w:tcW w:w="631" w:type="pct"/>
          </w:tcPr>
          <w:p>
            <w:pPr>
              <w:widowControl/>
              <w:spacing w:before="60" w:after="60" w:line="240" w:lineRule="auto"/>
              <w:ind w:left="720" w:hanging="360"/>
              <w:rPr>
                <w:rFonts w:eastAsia="MS Mincho"/>
                <w:noProof/>
                <w:szCs w:val="24"/>
              </w:rPr>
            </w:pPr>
            <w:r>
              <w:rPr>
                <w:noProof/>
              </w:rPr>
              <w:t>169</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 xml:space="preserve">Palmela </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170</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Península de Setúbal</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171</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Pêra Rocha do Oeste</w:t>
            </w:r>
          </w:p>
        </w:tc>
        <w:tc>
          <w:tcPr>
            <w:tcW w:w="1252" w:type="pct"/>
          </w:tcPr>
          <w:p>
            <w:pPr>
              <w:spacing w:before="60" w:after="60" w:line="240" w:lineRule="auto"/>
              <w:rPr>
                <w:rFonts w:eastAsia="MS Mincho"/>
                <w:noProof/>
                <w:szCs w:val="24"/>
              </w:rPr>
            </w:pPr>
            <w:r>
              <w:rPr>
                <w:noProof/>
              </w:rPr>
              <w:t>Fruits et noix frais et transformés [poire]</w:t>
            </w:r>
          </w:p>
        </w:tc>
      </w:tr>
      <w:tr>
        <w:tc>
          <w:tcPr>
            <w:tcW w:w="631" w:type="pct"/>
          </w:tcPr>
          <w:p>
            <w:pPr>
              <w:widowControl/>
              <w:spacing w:before="60" w:after="60" w:line="240" w:lineRule="auto"/>
              <w:ind w:left="720" w:hanging="360"/>
              <w:rPr>
                <w:rFonts w:eastAsia="MS Mincho"/>
                <w:noProof/>
                <w:szCs w:val="24"/>
              </w:rPr>
            </w:pPr>
            <w:r>
              <w:rPr>
                <w:noProof/>
              </w:rPr>
              <w:t>172</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Pico</w:t>
            </w:r>
          </w:p>
        </w:tc>
        <w:tc>
          <w:tcPr>
            <w:tcW w:w="1252" w:type="pct"/>
          </w:tcPr>
          <w:p>
            <w:pPr>
              <w:spacing w:before="60" w:after="60" w:line="240" w:lineRule="auto"/>
              <w:rPr>
                <w:rFonts w:eastAsia="MS Mincho"/>
                <w:noProof/>
                <w:szCs w:val="24"/>
              </w:rPr>
            </w:pPr>
            <w:r>
              <w:rPr>
                <w:noProof/>
              </w:rPr>
              <w:t>Vins</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173</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 xml:space="preserve">Porto / Port / vinho do Porto / Port Wine / vin de Porto / Oporto / Portvin / Portwein / Portwijn </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174</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Queijo S. Jorge</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175</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color w:val="000000"/>
              </w:rPr>
              <w:t>Rum da Madeira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176</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Trás-os-Montes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177</w:t>
            </w:r>
            <w:r>
              <w:rPr>
                <w:noProof/>
              </w:rPr>
              <w:tab/>
            </w:r>
          </w:p>
        </w:tc>
        <w:tc>
          <w:tcPr>
            <w:tcW w:w="975" w:type="pct"/>
          </w:tcPr>
          <w:p>
            <w:pPr>
              <w:spacing w:before="60" w:after="60" w:line="240" w:lineRule="auto"/>
              <w:rPr>
                <w:rFonts w:eastAsia="MS Mincho"/>
                <w:noProof/>
                <w:szCs w:val="24"/>
              </w:rPr>
            </w:pPr>
            <w:r>
              <w:rPr>
                <w:noProof/>
              </w:rPr>
              <w:t>Portugal</w:t>
            </w:r>
          </w:p>
        </w:tc>
        <w:tc>
          <w:tcPr>
            <w:tcW w:w="2141" w:type="pct"/>
          </w:tcPr>
          <w:p>
            <w:pPr>
              <w:spacing w:before="60" w:after="60" w:line="240" w:lineRule="auto"/>
              <w:rPr>
                <w:rFonts w:eastAsia="MS Mincho"/>
                <w:noProof/>
                <w:szCs w:val="24"/>
              </w:rPr>
            </w:pPr>
            <w:r>
              <w:rPr>
                <w:noProof/>
              </w:rPr>
              <w:t>Vinho Verde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178</w:t>
            </w:r>
            <w:r>
              <w:rPr>
                <w:noProof/>
              </w:rPr>
              <w:tab/>
            </w:r>
          </w:p>
        </w:tc>
        <w:tc>
          <w:tcPr>
            <w:tcW w:w="975" w:type="pct"/>
          </w:tcPr>
          <w:p>
            <w:pPr>
              <w:spacing w:before="60" w:after="60" w:line="240" w:lineRule="auto"/>
              <w:rPr>
                <w:rFonts w:eastAsia="MS Mincho"/>
                <w:noProof/>
                <w:szCs w:val="24"/>
              </w:rPr>
            </w:pPr>
            <w:r>
              <w:rPr>
                <w:noProof/>
              </w:rPr>
              <w:t>Roumanie</w:t>
            </w:r>
          </w:p>
        </w:tc>
        <w:tc>
          <w:tcPr>
            <w:tcW w:w="2141" w:type="pct"/>
          </w:tcPr>
          <w:p>
            <w:pPr>
              <w:spacing w:before="60" w:after="60" w:line="240" w:lineRule="auto"/>
              <w:rPr>
                <w:rFonts w:eastAsia="MS Mincho"/>
                <w:noProof/>
                <w:szCs w:val="24"/>
              </w:rPr>
            </w:pPr>
            <w:r>
              <w:rPr>
                <w:noProof/>
              </w:rPr>
              <w:t>Cotnari</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179</w:t>
            </w:r>
            <w:r>
              <w:rPr>
                <w:noProof/>
              </w:rPr>
              <w:tab/>
            </w:r>
          </w:p>
        </w:tc>
        <w:tc>
          <w:tcPr>
            <w:tcW w:w="975" w:type="pct"/>
          </w:tcPr>
          <w:p>
            <w:pPr>
              <w:spacing w:before="60" w:after="60" w:line="240" w:lineRule="auto"/>
              <w:rPr>
                <w:rFonts w:eastAsia="MS Mincho"/>
                <w:noProof/>
                <w:szCs w:val="24"/>
              </w:rPr>
            </w:pPr>
            <w:r>
              <w:rPr>
                <w:noProof/>
              </w:rPr>
              <w:t>Roumanie</w:t>
            </w:r>
          </w:p>
        </w:tc>
        <w:tc>
          <w:tcPr>
            <w:tcW w:w="2141" w:type="pct"/>
          </w:tcPr>
          <w:p>
            <w:pPr>
              <w:spacing w:before="60" w:after="60" w:line="240" w:lineRule="auto"/>
              <w:rPr>
                <w:rFonts w:eastAsia="MS Mincho"/>
                <w:noProof/>
                <w:szCs w:val="24"/>
              </w:rPr>
            </w:pPr>
            <w:r>
              <w:rPr>
                <w:noProof/>
              </w:rPr>
              <w:t>Dealu Mare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180</w:t>
            </w:r>
            <w:r>
              <w:rPr>
                <w:noProof/>
              </w:rPr>
              <w:tab/>
            </w:r>
          </w:p>
        </w:tc>
        <w:tc>
          <w:tcPr>
            <w:tcW w:w="975" w:type="pct"/>
          </w:tcPr>
          <w:p>
            <w:pPr>
              <w:spacing w:before="60" w:after="60" w:line="240" w:lineRule="auto"/>
              <w:rPr>
                <w:rFonts w:eastAsia="MS Mincho"/>
                <w:noProof/>
                <w:szCs w:val="24"/>
              </w:rPr>
            </w:pPr>
            <w:r>
              <w:rPr>
                <w:noProof/>
              </w:rPr>
              <w:t>Roumanie</w:t>
            </w:r>
          </w:p>
        </w:tc>
        <w:tc>
          <w:tcPr>
            <w:tcW w:w="2141" w:type="pct"/>
          </w:tcPr>
          <w:p>
            <w:pPr>
              <w:spacing w:before="60" w:after="60" w:line="240" w:lineRule="auto"/>
              <w:rPr>
                <w:rFonts w:eastAsia="MS Mincho"/>
                <w:noProof/>
                <w:szCs w:val="24"/>
              </w:rPr>
            </w:pPr>
            <w:r>
              <w:rPr>
                <w:noProof/>
              </w:rPr>
              <w:t>Murfatlar</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181</w:t>
            </w:r>
            <w:r>
              <w:rPr>
                <w:noProof/>
              </w:rPr>
              <w:tab/>
            </w:r>
          </w:p>
        </w:tc>
        <w:tc>
          <w:tcPr>
            <w:tcW w:w="975" w:type="pct"/>
          </w:tcPr>
          <w:p>
            <w:pPr>
              <w:spacing w:before="60" w:after="60" w:line="240" w:lineRule="auto"/>
              <w:rPr>
                <w:rFonts w:eastAsia="MS Mincho"/>
                <w:noProof/>
                <w:szCs w:val="24"/>
              </w:rPr>
            </w:pPr>
            <w:r>
              <w:rPr>
                <w:noProof/>
              </w:rPr>
              <w:t>Suède</w:t>
            </w:r>
          </w:p>
        </w:tc>
        <w:tc>
          <w:tcPr>
            <w:tcW w:w="2141" w:type="pct"/>
          </w:tcPr>
          <w:p>
            <w:pPr>
              <w:spacing w:before="60" w:after="60" w:line="240" w:lineRule="auto"/>
              <w:rPr>
                <w:rFonts w:eastAsia="MS Mincho"/>
                <w:noProof/>
                <w:szCs w:val="24"/>
              </w:rPr>
            </w:pPr>
            <w:r>
              <w:rPr>
                <w:noProof/>
              </w:rPr>
              <w:t>Svensk Vodka / Swedish Vodka</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182</w:t>
            </w:r>
            <w:r>
              <w:rPr>
                <w:noProof/>
              </w:rPr>
              <w:tab/>
            </w:r>
          </w:p>
        </w:tc>
        <w:tc>
          <w:tcPr>
            <w:tcW w:w="975" w:type="pct"/>
          </w:tcPr>
          <w:p>
            <w:pPr>
              <w:spacing w:before="60" w:after="60" w:line="240" w:lineRule="auto"/>
              <w:rPr>
                <w:rFonts w:eastAsia="MS Mincho"/>
                <w:noProof/>
                <w:szCs w:val="24"/>
              </w:rPr>
            </w:pPr>
            <w:r>
              <w:rPr>
                <w:noProof/>
              </w:rPr>
              <w:t>Slovaquie</w:t>
            </w:r>
          </w:p>
        </w:tc>
        <w:tc>
          <w:tcPr>
            <w:tcW w:w="2141" w:type="pct"/>
          </w:tcPr>
          <w:p>
            <w:pPr>
              <w:spacing w:before="60" w:after="60" w:line="240" w:lineRule="auto"/>
              <w:rPr>
                <w:rFonts w:eastAsia="MS Mincho"/>
                <w:noProof/>
                <w:szCs w:val="24"/>
              </w:rPr>
            </w:pPr>
            <w:r>
              <w:rPr>
                <w:noProof/>
              </w:rPr>
              <w:t>Vinohradnícka oblasť Tokaj</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183</w:t>
            </w:r>
            <w:r>
              <w:rPr>
                <w:noProof/>
              </w:rPr>
              <w:tab/>
            </w:r>
          </w:p>
        </w:tc>
        <w:tc>
          <w:tcPr>
            <w:tcW w:w="975" w:type="pct"/>
          </w:tcPr>
          <w:p>
            <w:pPr>
              <w:spacing w:before="60" w:after="60" w:line="240" w:lineRule="auto"/>
              <w:rPr>
                <w:rFonts w:eastAsia="MS Mincho"/>
                <w:noProof/>
                <w:szCs w:val="24"/>
              </w:rPr>
            </w:pPr>
            <w:r>
              <w:rPr>
                <w:noProof/>
              </w:rPr>
              <w:t>Slovénie</w:t>
            </w:r>
          </w:p>
        </w:tc>
        <w:tc>
          <w:tcPr>
            <w:tcW w:w="2141" w:type="pct"/>
          </w:tcPr>
          <w:p>
            <w:pPr>
              <w:spacing w:before="60" w:after="60" w:line="240" w:lineRule="auto"/>
              <w:rPr>
                <w:rFonts w:eastAsia="MS Mincho"/>
                <w:noProof/>
                <w:szCs w:val="24"/>
              </w:rPr>
            </w:pPr>
            <w:r>
              <w:rPr>
                <w:noProof/>
              </w:rPr>
              <w:t>Kranjska klobasa</w:t>
            </w:r>
          </w:p>
        </w:tc>
        <w:tc>
          <w:tcPr>
            <w:tcW w:w="1252" w:type="pct"/>
          </w:tcPr>
          <w:p>
            <w:pPr>
              <w:spacing w:before="60" w:after="60" w:line="240" w:lineRule="auto"/>
              <w:rPr>
                <w:rFonts w:eastAsia="MS Mincho"/>
                <w:noProof/>
                <w:szCs w:val="24"/>
              </w:rPr>
            </w:pPr>
            <w:r>
              <w:rPr>
                <w:noProof/>
              </w:rPr>
              <w:t>Viandes fraîches, congelées et transformées [jambon]</w:t>
            </w:r>
          </w:p>
        </w:tc>
      </w:tr>
      <w:tr>
        <w:tc>
          <w:tcPr>
            <w:tcW w:w="631" w:type="pct"/>
          </w:tcPr>
          <w:p>
            <w:pPr>
              <w:widowControl/>
              <w:spacing w:before="60" w:after="60" w:line="240" w:lineRule="auto"/>
              <w:ind w:left="720" w:hanging="360"/>
              <w:rPr>
                <w:rFonts w:eastAsia="MS Mincho"/>
                <w:noProof/>
                <w:szCs w:val="24"/>
              </w:rPr>
            </w:pPr>
            <w:r>
              <w:rPr>
                <w:noProof/>
              </w:rPr>
              <w:t>184</w:t>
            </w:r>
            <w:r>
              <w:rPr>
                <w:noProof/>
              </w:rPr>
              <w:tab/>
            </w:r>
          </w:p>
        </w:tc>
        <w:tc>
          <w:tcPr>
            <w:tcW w:w="975" w:type="pct"/>
          </w:tcPr>
          <w:p>
            <w:pPr>
              <w:spacing w:before="60" w:after="60" w:line="240" w:lineRule="auto"/>
              <w:rPr>
                <w:rFonts w:eastAsia="MS Mincho"/>
                <w:noProof/>
                <w:szCs w:val="24"/>
              </w:rPr>
            </w:pPr>
            <w:r>
              <w:rPr>
                <w:noProof/>
              </w:rPr>
              <w:t>Slovénie</w:t>
            </w:r>
          </w:p>
        </w:tc>
        <w:tc>
          <w:tcPr>
            <w:tcW w:w="2141" w:type="pct"/>
          </w:tcPr>
          <w:p>
            <w:pPr>
              <w:pStyle w:val="Point1"/>
              <w:spacing w:before="60" w:after="60"/>
              <w:jc w:val="left"/>
              <w:rPr>
                <w:noProof/>
                <w:sz w:val="24"/>
                <w:szCs w:val="24"/>
              </w:rPr>
            </w:pPr>
            <w:r>
              <w:rPr>
                <w:noProof/>
                <w:sz w:val="24"/>
              </w:rPr>
              <w:t>Kraški pršut</w:t>
            </w:r>
          </w:p>
        </w:tc>
        <w:tc>
          <w:tcPr>
            <w:tcW w:w="1252" w:type="pct"/>
          </w:tcPr>
          <w:p>
            <w:pPr>
              <w:spacing w:before="60" w:after="60" w:line="240" w:lineRule="auto"/>
              <w:rPr>
                <w:rFonts w:eastAsia="MS Mincho"/>
                <w:noProof/>
                <w:szCs w:val="24"/>
              </w:rPr>
            </w:pPr>
            <w:r>
              <w:rPr>
                <w:noProof/>
              </w:rPr>
              <w:t>Viandes fraîches, congelées et transformées [saucisse]</w:t>
            </w:r>
          </w:p>
        </w:tc>
      </w:tr>
      <w:tr>
        <w:tc>
          <w:tcPr>
            <w:tcW w:w="631" w:type="pct"/>
          </w:tcPr>
          <w:p>
            <w:pPr>
              <w:widowControl/>
              <w:spacing w:before="60" w:after="60" w:line="240" w:lineRule="auto"/>
              <w:ind w:left="720" w:hanging="360"/>
              <w:rPr>
                <w:rFonts w:eastAsia="MS Mincho"/>
                <w:noProof/>
                <w:szCs w:val="24"/>
              </w:rPr>
            </w:pPr>
            <w:r>
              <w:rPr>
                <w:noProof/>
              </w:rPr>
              <w:t>185</w:t>
            </w:r>
            <w:r>
              <w:rPr>
                <w:noProof/>
              </w:rPr>
              <w:tab/>
            </w:r>
          </w:p>
        </w:tc>
        <w:tc>
          <w:tcPr>
            <w:tcW w:w="975" w:type="pct"/>
          </w:tcPr>
          <w:p>
            <w:pPr>
              <w:spacing w:before="60" w:after="60" w:line="240" w:lineRule="auto"/>
              <w:rPr>
                <w:rFonts w:eastAsia="MS Mincho"/>
                <w:noProof/>
                <w:szCs w:val="24"/>
              </w:rPr>
            </w:pPr>
            <w:r>
              <w:rPr>
                <w:noProof/>
              </w:rPr>
              <w:t>Slovénie</w:t>
            </w:r>
          </w:p>
        </w:tc>
        <w:tc>
          <w:tcPr>
            <w:tcW w:w="2141" w:type="pct"/>
          </w:tcPr>
          <w:p>
            <w:pPr>
              <w:spacing w:before="60" w:after="60" w:line="240" w:lineRule="auto"/>
              <w:rPr>
                <w:rFonts w:eastAsia="MS Mincho"/>
                <w:noProof/>
                <w:szCs w:val="24"/>
              </w:rPr>
            </w:pPr>
            <w:r>
              <w:rPr>
                <w:noProof/>
              </w:rPr>
              <w:t>Štajersko prekmursko bučno olje</w:t>
            </w:r>
          </w:p>
        </w:tc>
        <w:tc>
          <w:tcPr>
            <w:tcW w:w="1252" w:type="pct"/>
          </w:tcPr>
          <w:p>
            <w:pPr>
              <w:spacing w:before="60" w:after="60" w:line="240" w:lineRule="auto"/>
              <w:rPr>
                <w:rFonts w:eastAsia="MS Mincho"/>
                <w:noProof/>
                <w:szCs w:val="24"/>
              </w:rPr>
            </w:pPr>
            <w:r>
              <w:rPr>
                <w:noProof/>
              </w:rPr>
              <w:t>Huiles végétales et graisses animales [huile]</w:t>
            </w:r>
          </w:p>
        </w:tc>
      </w:tr>
      <w:tr>
        <w:tc>
          <w:tcPr>
            <w:tcW w:w="631" w:type="pct"/>
          </w:tcPr>
          <w:p>
            <w:pPr>
              <w:widowControl/>
              <w:spacing w:before="60" w:after="60" w:line="240" w:lineRule="auto"/>
              <w:ind w:left="720" w:hanging="360"/>
              <w:rPr>
                <w:rFonts w:eastAsia="MS Mincho"/>
                <w:noProof/>
                <w:szCs w:val="24"/>
              </w:rPr>
            </w:pPr>
            <w:r>
              <w:rPr>
                <w:noProof/>
              </w:rPr>
              <w:t>186</w:t>
            </w:r>
            <w:r>
              <w:rPr>
                <w:noProof/>
              </w:rPr>
              <w:tab/>
            </w:r>
          </w:p>
        </w:tc>
        <w:tc>
          <w:tcPr>
            <w:tcW w:w="975" w:type="pct"/>
          </w:tcPr>
          <w:p>
            <w:pPr>
              <w:spacing w:before="60" w:after="60" w:line="240" w:lineRule="auto"/>
              <w:rPr>
                <w:rFonts w:eastAsia="MS Mincho"/>
                <w:noProof/>
                <w:szCs w:val="24"/>
              </w:rPr>
            </w:pPr>
            <w:r>
              <w:rPr>
                <w:noProof/>
              </w:rPr>
              <w:t>Slovénie</w:t>
            </w:r>
          </w:p>
        </w:tc>
        <w:tc>
          <w:tcPr>
            <w:tcW w:w="2141" w:type="pct"/>
          </w:tcPr>
          <w:p>
            <w:pPr>
              <w:spacing w:before="60" w:after="60" w:line="240" w:lineRule="auto"/>
              <w:rPr>
                <w:rFonts w:eastAsia="MS Mincho"/>
                <w:noProof/>
                <w:szCs w:val="24"/>
              </w:rPr>
            </w:pPr>
            <w:r>
              <w:rPr>
                <w:noProof/>
              </w:rPr>
              <w:t>Teran</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187</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Alicante</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188</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Antequera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189</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Azafrán de la Mancha</w:t>
            </w:r>
          </w:p>
        </w:tc>
        <w:tc>
          <w:tcPr>
            <w:tcW w:w="1252" w:type="pct"/>
          </w:tcPr>
          <w:p>
            <w:pPr>
              <w:spacing w:before="60" w:after="60" w:line="240" w:lineRule="auto"/>
              <w:rPr>
                <w:rFonts w:eastAsia="MS Mincho"/>
                <w:noProof/>
                <w:szCs w:val="24"/>
              </w:rPr>
            </w:pPr>
            <w:r>
              <w:rPr>
                <w:noProof/>
              </w:rPr>
              <w:t>Autres produits de l’annexe I du traité [épice]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190</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Baena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191</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Bierzo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192</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Brandy de Jerez</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193</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 xml:space="preserve">Cataluña / Catalunya </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194</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Cava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195</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Cítricos Valencianos/Cítrics Valencians</w:t>
            </w:r>
          </w:p>
        </w:tc>
        <w:tc>
          <w:tcPr>
            <w:tcW w:w="1252" w:type="pct"/>
          </w:tcPr>
          <w:p>
            <w:pPr>
              <w:spacing w:before="60" w:after="60" w:line="240" w:lineRule="auto"/>
              <w:rPr>
                <w:rFonts w:eastAsia="MS Mincho"/>
                <w:noProof/>
                <w:szCs w:val="24"/>
              </w:rPr>
            </w:pPr>
            <w:r>
              <w:rPr>
                <w:noProof/>
              </w:rPr>
              <w:t>Fruits et noix frais et transformés [orange, mandarine et citron]</w:t>
            </w:r>
          </w:p>
        </w:tc>
      </w:tr>
      <w:tr>
        <w:tc>
          <w:tcPr>
            <w:tcW w:w="631" w:type="pct"/>
          </w:tcPr>
          <w:p>
            <w:pPr>
              <w:widowControl/>
              <w:spacing w:before="60" w:after="60" w:line="240" w:lineRule="auto"/>
              <w:ind w:left="720" w:hanging="360"/>
              <w:rPr>
                <w:rFonts w:eastAsia="MS Mincho"/>
                <w:noProof/>
                <w:szCs w:val="24"/>
              </w:rPr>
            </w:pPr>
            <w:r>
              <w:rPr>
                <w:noProof/>
              </w:rPr>
              <w:t>196</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Empordà</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197</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Jabugo</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widowControl/>
              <w:spacing w:before="60" w:after="60" w:line="240" w:lineRule="auto"/>
              <w:ind w:left="720" w:hanging="360"/>
              <w:rPr>
                <w:rFonts w:eastAsia="MS Mincho"/>
                <w:noProof/>
                <w:szCs w:val="24"/>
              </w:rPr>
            </w:pPr>
            <w:r>
              <w:rPr>
                <w:noProof/>
              </w:rPr>
              <w:t>198</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Jamón de Teruel/Paleta de Teruel</w:t>
            </w:r>
          </w:p>
        </w:tc>
        <w:tc>
          <w:tcPr>
            <w:tcW w:w="1252" w:type="pct"/>
          </w:tcPr>
          <w:p>
            <w:pPr>
              <w:spacing w:before="60" w:after="60" w:line="240" w:lineRule="auto"/>
              <w:rPr>
                <w:rFonts w:eastAsia="MS Mincho"/>
                <w:noProof/>
                <w:szCs w:val="24"/>
              </w:rPr>
            </w:pPr>
            <w:r>
              <w:rPr>
                <w:noProof/>
              </w:rPr>
              <w:t>Viandes fraîches, congelées et transformées [viande séchée]</w:t>
            </w:r>
          </w:p>
        </w:tc>
      </w:tr>
      <w:tr>
        <w:tc>
          <w:tcPr>
            <w:tcW w:w="631" w:type="pct"/>
          </w:tcPr>
          <w:p>
            <w:pPr>
              <w:widowControl/>
              <w:spacing w:before="60" w:after="60" w:line="240" w:lineRule="auto"/>
              <w:ind w:left="720" w:hanging="360"/>
              <w:rPr>
                <w:rFonts w:eastAsia="MS Mincho"/>
                <w:noProof/>
                <w:szCs w:val="24"/>
              </w:rPr>
            </w:pPr>
            <w:r>
              <w:rPr>
                <w:noProof/>
              </w:rPr>
              <w:t>199</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lang w:val="en-IE"/>
              </w:rPr>
            </w:pPr>
            <w:r>
              <w:rPr>
                <w:noProof/>
                <w:lang w:val="en-IE"/>
              </w:rPr>
              <w:t xml:space="preserve">Jerez-Xérès-Sherry / Jerez / Xérès / Sherry </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200</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 xml:space="preserve">Jijona </w:t>
            </w:r>
          </w:p>
        </w:tc>
        <w:tc>
          <w:tcPr>
            <w:tcW w:w="1252" w:type="pct"/>
          </w:tcPr>
          <w:p>
            <w:pPr>
              <w:spacing w:before="60" w:after="60" w:line="240" w:lineRule="auto"/>
              <w:rPr>
                <w:rFonts w:eastAsia="MS Mincho"/>
                <w:noProof/>
                <w:szCs w:val="24"/>
              </w:rPr>
            </w:pPr>
            <w:r>
              <w:rPr>
                <w:noProof/>
              </w:rPr>
              <w:t>Produits de la boulangerie, pâtisserie, confiserie et biscuiterie [nougat]</w:t>
            </w:r>
          </w:p>
        </w:tc>
      </w:tr>
      <w:tr>
        <w:tc>
          <w:tcPr>
            <w:tcW w:w="631" w:type="pct"/>
          </w:tcPr>
          <w:p>
            <w:pPr>
              <w:widowControl/>
              <w:spacing w:before="60" w:after="60" w:line="240" w:lineRule="auto"/>
              <w:ind w:left="720" w:hanging="360"/>
              <w:rPr>
                <w:rFonts w:eastAsia="MS Mincho"/>
                <w:noProof/>
                <w:szCs w:val="24"/>
              </w:rPr>
            </w:pPr>
            <w:r>
              <w:rPr>
                <w:noProof/>
              </w:rPr>
              <w:t>201</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Jumilla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202</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La Mancha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203</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Málaga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204</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Manzanilla de Sanlúcar / Manzanilla de Sanlúcar de Barrameda / Manzanilla-Sanlúcar de Barrameda / Manzanilla</w:t>
            </w:r>
          </w:p>
        </w:tc>
        <w:tc>
          <w:tcPr>
            <w:tcW w:w="1252" w:type="pct"/>
          </w:tcPr>
          <w:p>
            <w:pPr>
              <w:spacing w:before="60" w:after="60" w:line="240" w:lineRule="auto"/>
              <w:rPr>
                <w:rFonts w:eastAsia="MS Mincho"/>
                <w:noProof/>
                <w:szCs w:val="24"/>
              </w:rPr>
            </w:pPr>
            <w:r>
              <w:rPr>
                <w:noProof/>
              </w:rPr>
              <w:t>Vins</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205</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Navarra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206</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Pacharán navarro</w:t>
            </w:r>
          </w:p>
        </w:tc>
        <w:tc>
          <w:tcPr>
            <w:tcW w:w="1252" w:type="pct"/>
          </w:tcPr>
          <w:p>
            <w:pPr>
              <w:spacing w:before="60" w:after="60" w:line="240" w:lineRule="auto"/>
              <w:rPr>
                <w:rFonts w:eastAsia="MS Mincho"/>
                <w:noProof/>
                <w:szCs w:val="24"/>
              </w:rPr>
            </w:pPr>
            <w:r>
              <w:rPr>
                <w:noProof/>
              </w:rPr>
              <w:t>Spiritueux</w:t>
            </w:r>
          </w:p>
        </w:tc>
      </w:tr>
      <w:tr>
        <w:tc>
          <w:tcPr>
            <w:tcW w:w="631" w:type="pct"/>
          </w:tcPr>
          <w:p>
            <w:pPr>
              <w:widowControl/>
              <w:spacing w:before="60" w:after="60" w:line="240" w:lineRule="auto"/>
              <w:ind w:left="720" w:hanging="360"/>
              <w:rPr>
                <w:rFonts w:eastAsia="MS Mincho"/>
                <w:noProof/>
                <w:szCs w:val="24"/>
              </w:rPr>
            </w:pPr>
            <w:r>
              <w:rPr>
                <w:noProof/>
              </w:rPr>
              <w:t>207</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Penedès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208</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Priego de Córdoba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209</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Priorat/Priorato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210</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Queso Manchego</w:t>
            </w:r>
          </w:p>
        </w:tc>
        <w:tc>
          <w:tcPr>
            <w:tcW w:w="1252" w:type="pct"/>
          </w:tcPr>
          <w:p>
            <w:pPr>
              <w:spacing w:before="60" w:after="60" w:line="240" w:lineRule="auto"/>
              <w:rPr>
                <w:rFonts w:eastAsia="MS Mincho"/>
                <w:noProof/>
                <w:szCs w:val="24"/>
              </w:rPr>
            </w:pPr>
            <w:r>
              <w:rPr>
                <w:noProof/>
              </w:rPr>
              <w:t>Fromages</w:t>
            </w:r>
          </w:p>
        </w:tc>
      </w:tr>
      <w:tr>
        <w:tc>
          <w:tcPr>
            <w:tcW w:w="631" w:type="pct"/>
          </w:tcPr>
          <w:p>
            <w:pPr>
              <w:widowControl/>
              <w:spacing w:before="60" w:after="60" w:line="240" w:lineRule="auto"/>
              <w:ind w:left="720" w:hanging="360"/>
              <w:rPr>
                <w:rFonts w:eastAsia="MS Mincho"/>
                <w:noProof/>
                <w:szCs w:val="24"/>
              </w:rPr>
            </w:pPr>
            <w:r>
              <w:rPr>
                <w:noProof/>
              </w:rPr>
              <w:t>211</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Rías Baixas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212</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Ribera del Duero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213</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Rioja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214</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Rueda</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215</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Sierra de Segura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216</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Sierra Mágina</w:t>
            </w:r>
          </w:p>
        </w:tc>
        <w:tc>
          <w:tcPr>
            <w:tcW w:w="1252" w:type="pct"/>
          </w:tcPr>
          <w:p>
            <w:pPr>
              <w:spacing w:before="60" w:after="60" w:line="240" w:lineRule="auto"/>
              <w:rPr>
                <w:rFonts w:eastAsia="MS Mincho"/>
                <w:noProof/>
                <w:szCs w:val="24"/>
              </w:rPr>
            </w:pPr>
            <w:r>
              <w:rPr>
                <w:noProof/>
              </w:rPr>
              <w:t>Huiles végétales et graisses animales [huile d’olive]</w:t>
            </w:r>
          </w:p>
        </w:tc>
      </w:tr>
      <w:tr>
        <w:tc>
          <w:tcPr>
            <w:tcW w:w="631" w:type="pct"/>
          </w:tcPr>
          <w:p>
            <w:pPr>
              <w:widowControl/>
              <w:spacing w:before="60" w:after="60" w:line="240" w:lineRule="auto"/>
              <w:ind w:left="720" w:hanging="360"/>
              <w:rPr>
                <w:rFonts w:eastAsia="MS Mincho"/>
                <w:noProof/>
                <w:szCs w:val="24"/>
              </w:rPr>
            </w:pPr>
            <w:r>
              <w:rPr>
                <w:noProof/>
              </w:rPr>
              <w:t>217</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Somontano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218</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Toro</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219</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Turrón de Alicante</w:t>
            </w:r>
          </w:p>
        </w:tc>
        <w:tc>
          <w:tcPr>
            <w:tcW w:w="1252" w:type="pct"/>
          </w:tcPr>
          <w:p>
            <w:pPr>
              <w:spacing w:before="60" w:after="60" w:line="240" w:lineRule="auto"/>
              <w:rPr>
                <w:rFonts w:eastAsia="MS Mincho"/>
                <w:noProof/>
                <w:szCs w:val="24"/>
              </w:rPr>
            </w:pPr>
            <w:r>
              <w:rPr>
                <w:noProof/>
              </w:rPr>
              <w:t>Produits de la boulangerie, pâtisserie, confiserie et biscuiterie [nougat]</w:t>
            </w:r>
          </w:p>
        </w:tc>
      </w:tr>
      <w:tr>
        <w:tc>
          <w:tcPr>
            <w:tcW w:w="631" w:type="pct"/>
          </w:tcPr>
          <w:p>
            <w:pPr>
              <w:widowControl/>
              <w:spacing w:before="60" w:after="60" w:line="240" w:lineRule="auto"/>
              <w:ind w:left="720" w:hanging="360"/>
              <w:rPr>
                <w:rFonts w:eastAsia="MS Mincho"/>
                <w:noProof/>
                <w:szCs w:val="24"/>
              </w:rPr>
            </w:pPr>
            <w:r>
              <w:rPr>
                <w:noProof/>
              </w:rPr>
              <w:t>220</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Valdepeñas</w:t>
            </w:r>
          </w:p>
        </w:tc>
        <w:tc>
          <w:tcPr>
            <w:tcW w:w="1252" w:type="pct"/>
          </w:tcPr>
          <w:p>
            <w:pPr>
              <w:spacing w:before="60" w:after="60" w:line="240" w:lineRule="auto"/>
              <w:rPr>
                <w:rFonts w:eastAsia="MS Mincho"/>
                <w:noProof/>
                <w:szCs w:val="24"/>
              </w:rPr>
            </w:pPr>
            <w:r>
              <w:rPr>
                <w:noProof/>
              </w:rPr>
              <w:t>Vins</w:t>
            </w:r>
          </w:p>
        </w:tc>
      </w:tr>
      <w:tr>
        <w:tc>
          <w:tcPr>
            <w:tcW w:w="631" w:type="pct"/>
          </w:tcPr>
          <w:p>
            <w:pPr>
              <w:widowControl/>
              <w:spacing w:before="60" w:after="60" w:line="240" w:lineRule="auto"/>
              <w:ind w:left="720" w:hanging="360"/>
              <w:rPr>
                <w:rFonts w:eastAsia="MS Mincho"/>
                <w:noProof/>
                <w:szCs w:val="24"/>
              </w:rPr>
            </w:pPr>
            <w:r>
              <w:rPr>
                <w:noProof/>
              </w:rPr>
              <w:t>221</w:t>
            </w:r>
            <w:r>
              <w:rPr>
                <w:noProof/>
              </w:rPr>
              <w:tab/>
            </w:r>
          </w:p>
        </w:tc>
        <w:tc>
          <w:tcPr>
            <w:tcW w:w="975" w:type="pct"/>
          </w:tcPr>
          <w:p>
            <w:pPr>
              <w:spacing w:before="60" w:after="60" w:line="240" w:lineRule="auto"/>
              <w:rPr>
                <w:rFonts w:eastAsia="MS Mincho"/>
                <w:noProof/>
                <w:szCs w:val="24"/>
              </w:rPr>
            </w:pPr>
            <w:r>
              <w:rPr>
                <w:noProof/>
              </w:rPr>
              <w:t>Espagne</w:t>
            </w:r>
          </w:p>
        </w:tc>
        <w:tc>
          <w:tcPr>
            <w:tcW w:w="2141" w:type="pct"/>
          </w:tcPr>
          <w:p>
            <w:pPr>
              <w:spacing w:before="60" w:after="60" w:line="240" w:lineRule="auto"/>
              <w:rPr>
                <w:rFonts w:eastAsia="MS Mincho"/>
                <w:noProof/>
                <w:szCs w:val="24"/>
              </w:rPr>
            </w:pPr>
            <w:r>
              <w:rPr>
                <w:noProof/>
              </w:rPr>
              <w:t>Valencia</w:t>
            </w:r>
          </w:p>
        </w:tc>
        <w:tc>
          <w:tcPr>
            <w:tcW w:w="1252" w:type="pct"/>
          </w:tcPr>
          <w:p>
            <w:pPr>
              <w:spacing w:before="60" w:after="60" w:line="240" w:lineRule="auto"/>
              <w:rPr>
                <w:rFonts w:eastAsia="MS Mincho"/>
                <w:noProof/>
                <w:szCs w:val="24"/>
              </w:rPr>
            </w:pPr>
            <w:r>
              <w:rPr>
                <w:noProof/>
              </w:rPr>
              <w:t>Vins</w:t>
            </w:r>
          </w:p>
        </w:tc>
      </w:tr>
    </w:tbl>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SECTION B</w:t>
      </w:r>
    </w:p>
    <w:p>
      <w:pPr>
        <w:jc w:val="center"/>
        <w:rPr>
          <w:noProof/>
        </w:rPr>
      </w:pPr>
    </w:p>
    <w:p>
      <w:pPr>
        <w:jc w:val="center"/>
        <w:rPr>
          <w:noProof/>
        </w:rPr>
      </w:pPr>
      <w:r>
        <w:rPr>
          <w:noProof/>
        </w:rPr>
        <w:t>Indications géographiques des produits de l’Indonésie à protéger dans l’Union</w:t>
      </w:r>
    </w:p>
    <w:p>
      <w:pPr>
        <w:jc w:val="cente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4366"/>
        <w:gridCol w:w="4052"/>
      </w:tblGrid>
      <w:tr>
        <w:trPr>
          <w:tblHeader/>
        </w:trPr>
        <w:tc>
          <w:tcPr>
            <w:tcW w:w="629" w:type="pct"/>
            <w:vAlign w:val="center"/>
          </w:tcPr>
          <w:p>
            <w:pPr>
              <w:spacing w:before="60" w:after="60" w:line="240" w:lineRule="auto"/>
              <w:jc w:val="center"/>
              <w:rPr>
                <w:rFonts w:eastAsia="MS Mincho"/>
                <w:noProof/>
                <w:szCs w:val="24"/>
                <w:lang w:eastAsia="ja-JP"/>
              </w:rPr>
            </w:pPr>
          </w:p>
        </w:tc>
        <w:tc>
          <w:tcPr>
            <w:tcW w:w="2267" w:type="pct"/>
            <w:vAlign w:val="center"/>
          </w:tcPr>
          <w:p>
            <w:pPr>
              <w:spacing w:before="60" w:after="60" w:line="240" w:lineRule="auto"/>
              <w:jc w:val="center"/>
              <w:rPr>
                <w:rFonts w:eastAsia="MS Mincho"/>
                <w:noProof/>
                <w:szCs w:val="24"/>
              </w:rPr>
            </w:pPr>
            <w:r>
              <w:rPr>
                <w:noProof/>
              </w:rPr>
              <w:t>Dénomination de l’indication géographique (telle qu’enregistrée en Indonésie)</w:t>
            </w:r>
          </w:p>
        </w:tc>
        <w:tc>
          <w:tcPr>
            <w:tcW w:w="2105" w:type="pct"/>
            <w:vAlign w:val="center"/>
          </w:tcPr>
          <w:p>
            <w:pPr>
              <w:spacing w:before="60" w:after="60" w:line="240" w:lineRule="auto"/>
              <w:jc w:val="center"/>
              <w:rPr>
                <w:rFonts w:eastAsia="MS Mincho"/>
                <w:noProof/>
                <w:szCs w:val="24"/>
              </w:rPr>
            </w:pPr>
            <w:r>
              <w:rPr>
                <w:noProof/>
              </w:rPr>
              <w:t>Classe de produit</w:t>
            </w:r>
          </w:p>
        </w:tc>
      </w:tr>
      <w:tr>
        <w:tc>
          <w:tcPr>
            <w:tcW w:w="629" w:type="pct"/>
          </w:tcPr>
          <w:p>
            <w:pPr>
              <w:widowControl/>
              <w:spacing w:before="60" w:after="60" w:line="240" w:lineRule="auto"/>
              <w:ind w:left="720" w:hanging="360"/>
              <w:rPr>
                <w:rFonts w:eastAsia="MS Mincho"/>
                <w:noProof/>
                <w:szCs w:val="24"/>
              </w:rPr>
            </w:pPr>
            <w:r>
              <w:rPr>
                <w:noProof/>
              </w:rPr>
              <w:t>1</w:t>
            </w:r>
            <w:r>
              <w:rPr>
                <w:noProof/>
              </w:rPr>
              <w:tab/>
            </w:r>
          </w:p>
        </w:tc>
        <w:tc>
          <w:tcPr>
            <w:tcW w:w="2267" w:type="pct"/>
          </w:tcPr>
          <w:p>
            <w:pPr>
              <w:spacing w:before="60" w:after="60" w:line="240" w:lineRule="auto"/>
              <w:rPr>
                <w:rFonts w:eastAsia="MS Mincho"/>
                <w:noProof/>
                <w:szCs w:val="24"/>
              </w:rPr>
            </w:pPr>
            <w:r>
              <w:rPr>
                <w:noProof/>
              </w:rPr>
              <w:t>Kopi Arabika Kintamani Bali</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2</w:t>
            </w:r>
            <w:r>
              <w:rPr>
                <w:noProof/>
              </w:rPr>
              <w:tab/>
            </w:r>
          </w:p>
        </w:tc>
        <w:tc>
          <w:tcPr>
            <w:tcW w:w="2267" w:type="pct"/>
          </w:tcPr>
          <w:p>
            <w:pPr>
              <w:spacing w:before="60" w:after="60" w:line="240" w:lineRule="auto"/>
              <w:rPr>
                <w:rFonts w:eastAsia="MS Mincho"/>
                <w:noProof/>
                <w:szCs w:val="24"/>
              </w:rPr>
            </w:pPr>
            <w:r>
              <w:rPr>
                <w:noProof/>
              </w:rPr>
              <w:t>Lada Putih Muntok</w:t>
            </w:r>
          </w:p>
        </w:tc>
        <w:tc>
          <w:tcPr>
            <w:tcW w:w="2105" w:type="pct"/>
          </w:tcPr>
          <w:p>
            <w:pPr>
              <w:spacing w:before="60" w:after="60" w:line="240" w:lineRule="auto"/>
              <w:rPr>
                <w:rFonts w:eastAsia="MS Mincho"/>
                <w:noProof/>
                <w:szCs w:val="24"/>
              </w:rPr>
            </w:pPr>
            <w:r>
              <w:rPr>
                <w:noProof/>
              </w:rPr>
              <w:t>Poivre</w:t>
            </w:r>
          </w:p>
        </w:tc>
      </w:tr>
      <w:tr>
        <w:trPr>
          <w:trHeight w:val="378"/>
        </w:trPr>
        <w:tc>
          <w:tcPr>
            <w:tcW w:w="629" w:type="pct"/>
          </w:tcPr>
          <w:p>
            <w:pPr>
              <w:widowControl/>
              <w:spacing w:before="60" w:after="60" w:line="240" w:lineRule="auto"/>
              <w:ind w:left="720" w:hanging="360"/>
              <w:rPr>
                <w:rFonts w:eastAsia="MS Mincho"/>
                <w:noProof/>
                <w:szCs w:val="24"/>
              </w:rPr>
            </w:pPr>
            <w:r>
              <w:rPr>
                <w:noProof/>
              </w:rPr>
              <w:t>3</w:t>
            </w:r>
            <w:r>
              <w:rPr>
                <w:noProof/>
              </w:rPr>
              <w:tab/>
            </w:r>
          </w:p>
        </w:tc>
        <w:tc>
          <w:tcPr>
            <w:tcW w:w="2267" w:type="pct"/>
          </w:tcPr>
          <w:p>
            <w:pPr>
              <w:spacing w:before="60" w:after="60" w:line="240" w:lineRule="auto"/>
              <w:rPr>
                <w:rFonts w:eastAsia="MS Mincho"/>
                <w:noProof/>
                <w:szCs w:val="24"/>
              </w:rPr>
            </w:pPr>
            <w:r>
              <w:rPr>
                <w:noProof/>
              </w:rPr>
              <w:t>Susu Kuda Sumbawa</w:t>
            </w:r>
          </w:p>
        </w:tc>
        <w:tc>
          <w:tcPr>
            <w:tcW w:w="2105" w:type="pct"/>
          </w:tcPr>
          <w:p>
            <w:pPr>
              <w:spacing w:before="60" w:after="60" w:line="240" w:lineRule="auto"/>
              <w:rPr>
                <w:rFonts w:eastAsia="MS Mincho"/>
                <w:noProof/>
                <w:szCs w:val="24"/>
              </w:rPr>
            </w:pPr>
            <w:r>
              <w:rPr>
                <w:noProof/>
              </w:rPr>
              <w:t>Lait</w:t>
            </w:r>
          </w:p>
        </w:tc>
      </w:tr>
      <w:tr>
        <w:trPr>
          <w:trHeight w:val="378"/>
        </w:trPr>
        <w:tc>
          <w:tcPr>
            <w:tcW w:w="629" w:type="pct"/>
          </w:tcPr>
          <w:p>
            <w:pPr>
              <w:spacing w:before="60" w:after="60" w:line="240" w:lineRule="auto"/>
              <w:ind w:left="720"/>
              <w:rPr>
                <w:rFonts w:eastAsia="MS Mincho"/>
                <w:noProof/>
                <w:szCs w:val="24"/>
                <w:lang w:eastAsia="ja-JP"/>
              </w:rPr>
            </w:pPr>
          </w:p>
        </w:tc>
        <w:tc>
          <w:tcPr>
            <w:tcW w:w="2267" w:type="pct"/>
          </w:tcPr>
          <w:p>
            <w:pPr>
              <w:spacing w:before="60" w:after="60" w:line="240" w:lineRule="auto"/>
              <w:rPr>
                <w:noProof/>
                <w:szCs w:val="24"/>
              </w:rPr>
            </w:pPr>
            <w:r>
              <w:rPr>
                <w:b/>
                <w:noProof/>
                <w:vertAlign w:val="superscript"/>
              </w:rPr>
              <w:t>*</w:t>
            </w:r>
            <w:r>
              <w:rPr>
                <w:noProof/>
              </w:rPr>
              <w:t xml:space="preserve"> IG déjà protégée également au titre d’une demande directe dans l’UE</w:t>
            </w:r>
          </w:p>
        </w:tc>
        <w:tc>
          <w:tcPr>
            <w:tcW w:w="2105" w:type="pct"/>
          </w:tcPr>
          <w:p>
            <w:pPr>
              <w:spacing w:before="60" w:after="60" w:line="240" w:lineRule="auto"/>
              <w:rPr>
                <w:noProof/>
                <w:szCs w:val="24"/>
              </w:rPr>
            </w:pPr>
          </w:p>
        </w:tc>
      </w:tr>
      <w:tr>
        <w:tc>
          <w:tcPr>
            <w:tcW w:w="629" w:type="pct"/>
          </w:tcPr>
          <w:p>
            <w:pPr>
              <w:widowControl/>
              <w:spacing w:before="60" w:after="60" w:line="240" w:lineRule="auto"/>
              <w:ind w:left="720" w:hanging="360"/>
              <w:rPr>
                <w:rFonts w:eastAsia="MS Mincho"/>
                <w:noProof/>
                <w:szCs w:val="24"/>
              </w:rPr>
            </w:pPr>
            <w:r>
              <w:rPr>
                <w:noProof/>
              </w:rPr>
              <w:t>4</w:t>
            </w:r>
            <w:r>
              <w:rPr>
                <w:noProof/>
              </w:rPr>
              <w:tab/>
            </w:r>
          </w:p>
        </w:tc>
        <w:tc>
          <w:tcPr>
            <w:tcW w:w="2267" w:type="pct"/>
          </w:tcPr>
          <w:p>
            <w:pPr>
              <w:spacing w:before="60" w:after="60" w:line="240" w:lineRule="auto"/>
              <w:rPr>
                <w:rFonts w:eastAsia="MS Mincho"/>
                <w:noProof/>
                <w:szCs w:val="24"/>
              </w:rPr>
            </w:pPr>
            <w:r>
              <w:rPr>
                <w:noProof/>
              </w:rPr>
              <w:t>Kangkung Lombok</w:t>
            </w:r>
          </w:p>
        </w:tc>
        <w:tc>
          <w:tcPr>
            <w:tcW w:w="2105" w:type="pct"/>
          </w:tcPr>
          <w:p>
            <w:pPr>
              <w:spacing w:before="60" w:after="60" w:line="240" w:lineRule="auto"/>
              <w:rPr>
                <w:rFonts w:eastAsia="MS Mincho"/>
                <w:noProof/>
                <w:szCs w:val="24"/>
              </w:rPr>
            </w:pPr>
            <w:r>
              <w:rPr>
                <w:noProof/>
                <w:color w:val="000000"/>
              </w:rPr>
              <w:t>Épinard</w:t>
            </w:r>
          </w:p>
        </w:tc>
      </w:tr>
      <w:tr>
        <w:trPr>
          <w:trHeight w:val="374"/>
        </w:trPr>
        <w:tc>
          <w:tcPr>
            <w:tcW w:w="629" w:type="pct"/>
          </w:tcPr>
          <w:p>
            <w:pPr>
              <w:widowControl/>
              <w:spacing w:before="60" w:after="60" w:line="240" w:lineRule="auto"/>
              <w:ind w:left="720" w:hanging="360"/>
              <w:rPr>
                <w:rFonts w:eastAsia="MS Mincho"/>
                <w:noProof/>
                <w:szCs w:val="24"/>
              </w:rPr>
            </w:pPr>
            <w:r>
              <w:rPr>
                <w:noProof/>
              </w:rPr>
              <w:t>5</w:t>
            </w:r>
            <w:r>
              <w:rPr>
                <w:noProof/>
              </w:rPr>
              <w:tab/>
            </w:r>
          </w:p>
        </w:tc>
        <w:tc>
          <w:tcPr>
            <w:tcW w:w="2267" w:type="pct"/>
          </w:tcPr>
          <w:p>
            <w:pPr>
              <w:spacing w:before="60" w:after="60" w:line="240" w:lineRule="auto"/>
              <w:rPr>
                <w:rFonts w:eastAsia="MS Mincho"/>
                <w:noProof/>
                <w:szCs w:val="24"/>
              </w:rPr>
            </w:pPr>
            <w:r>
              <w:rPr>
                <w:noProof/>
              </w:rPr>
              <w:t>Madu Sumbawa</w:t>
            </w:r>
          </w:p>
        </w:tc>
        <w:tc>
          <w:tcPr>
            <w:tcW w:w="2105" w:type="pct"/>
          </w:tcPr>
          <w:p>
            <w:pPr>
              <w:spacing w:before="60" w:after="60" w:line="240" w:lineRule="auto"/>
              <w:rPr>
                <w:rFonts w:eastAsia="MS Mincho"/>
                <w:noProof/>
                <w:szCs w:val="24"/>
              </w:rPr>
            </w:pPr>
            <w:r>
              <w:rPr>
                <w:noProof/>
              </w:rPr>
              <w:t>Miel</w:t>
            </w:r>
          </w:p>
        </w:tc>
      </w:tr>
      <w:tr>
        <w:tc>
          <w:tcPr>
            <w:tcW w:w="629" w:type="pct"/>
          </w:tcPr>
          <w:p>
            <w:pPr>
              <w:widowControl/>
              <w:spacing w:before="60" w:after="60" w:line="240" w:lineRule="auto"/>
              <w:ind w:left="720" w:hanging="360"/>
              <w:rPr>
                <w:rFonts w:eastAsia="MS Mincho"/>
                <w:noProof/>
                <w:szCs w:val="24"/>
              </w:rPr>
            </w:pPr>
            <w:r>
              <w:rPr>
                <w:noProof/>
              </w:rPr>
              <w:t>6</w:t>
            </w:r>
            <w:r>
              <w:rPr>
                <w:noProof/>
              </w:rPr>
              <w:tab/>
            </w:r>
          </w:p>
        </w:tc>
        <w:tc>
          <w:tcPr>
            <w:tcW w:w="2267" w:type="pct"/>
          </w:tcPr>
          <w:p>
            <w:pPr>
              <w:spacing w:before="60" w:after="60" w:line="240" w:lineRule="auto"/>
              <w:rPr>
                <w:rFonts w:eastAsia="MS Mincho"/>
                <w:noProof/>
                <w:szCs w:val="24"/>
              </w:rPr>
            </w:pPr>
            <w:r>
              <w:rPr>
                <w:noProof/>
              </w:rPr>
              <w:t>Beras Adan Krayan</w:t>
            </w:r>
          </w:p>
        </w:tc>
        <w:tc>
          <w:tcPr>
            <w:tcW w:w="2105" w:type="pct"/>
          </w:tcPr>
          <w:p>
            <w:pPr>
              <w:spacing w:before="60" w:after="60" w:line="240" w:lineRule="auto"/>
              <w:rPr>
                <w:rFonts w:eastAsia="MS Mincho"/>
                <w:noProof/>
                <w:szCs w:val="24"/>
              </w:rPr>
            </w:pPr>
            <w:r>
              <w:rPr>
                <w:noProof/>
              </w:rPr>
              <w:t>Riz</w:t>
            </w:r>
          </w:p>
        </w:tc>
      </w:tr>
      <w:tr>
        <w:tc>
          <w:tcPr>
            <w:tcW w:w="629" w:type="pct"/>
          </w:tcPr>
          <w:p>
            <w:pPr>
              <w:widowControl/>
              <w:spacing w:before="60" w:after="60" w:line="240" w:lineRule="auto"/>
              <w:ind w:left="720" w:hanging="360"/>
              <w:rPr>
                <w:rFonts w:eastAsia="MS Mincho"/>
                <w:noProof/>
                <w:szCs w:val="24"/>
              </w:rPr>
            </w:pPr>
            <w:r>
              <w:rPr>
                <w:noProof/>
              </w:rPr>
              <w:t>7</w:t>
            </w:r>
            <w:r>
              <w:rPr>
                <w:noProof/>
              </w:rPr>
              <w:tab/>
            </w:r>
          </w:p>
        </w:tc>
        <w:tc>
          <w:tcPr>
            <w:tcW w:w="2267" w:type="pct"/>
          </w:tcPr>
          <w:p>
            <w:pPr>
              <w:spacing w:before="60" w:after="60" w:line="240" w:lineRule="auto"/>
              <w:rPr>
                <w:rFonts w:eastAsia="MS Mincho"/>
                <w:noProof/>
                <w:szCs w:val="24"/>
              </w:rPr>
            </w:pPr>
            <w:r>
              <w:rPr>
                <w:noProof/>
              </w:rPr>
              <w:t>Kopi Arabika Flores Bajawa</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8</w:t>
            </w:r>
            <w:r>
              <w:rPr>
                <w:noProof/>
              </w:rPr>
              <w:tab/>
            </w:r>
          </w:p>
        </w:tc>
        <w:tc>
          <w:tcPr>
            <w:tcW w:w="2267" w:type="pct"/>
          </w:tcPr>
          <w:p>
            <w:pPr>
              <w:spacing w:before="60" w:after="60" w:line="240" w:lineRule="auto"/>
              <w:rPr>
                <w:rFonts w:eastAsia="MS Mincho"/>
                <w:noProof/>
                <w:szCs w:val="24"/>
              </w:rPr>
            </w:pPr>
            <w:r>
              <w:rPr>
                <w:noProof/>
              </w:rPr>
              <w:t>Purwaceng Dieng</w:t>
            </w:r>
          </w:p>
        </w:tc>
        <w:tc>
          <w:tcPr>
            <w:tcW w:w="2105" w:type="pct"/>
          </w:tcPr>
          <w:p>
            <w:pPr>
              <w:spacing w:before="60" w:after="60" w:line="240" w:lineRule="auto"/>
              <w:rPr>
                <w:rFonts w:eastAsia="MS Mincho"/>
                <w:noProof/>
                <w:szCs w:val="24"/>
              </w:rPr>
            </w:pPr>
            <w:r>
              <w:rPr>
                <w:noProof/>
              </w:rPr>
              <w:t>Fruit</w:t>
            </w:r>
          </w:p>
        </w:tc>
      </w:tr>
      <w:tr>
        <w:tc>
          <w:tcPr>
            <w:tcW w:w="629" w:type="pct"/>
          </w:tcPr>
          <w:p>
            <w:pPr>
              <w:widowControl/>
              <w:spacing w:before="60" w:after="60" w:line="240" w:lineRule="auto"/>
              <w:ind w:left="720" w:hanging="360"/>
              <w:rPr>
                <w:rFonts w:eastAsia="MS Mincho"/>
                <w:noProof/>
                <w:szCs w:val="24"/>
              </w:rPr>
            </w:pPr>
            <w:r>
              <w:rPr>
                <w:noProof/>
              </w:rPr>
              <w:t>9</w:t>
            </w:r>
            <w:r>
              <w:rPr>
                <w:noProof/>
              </w:rPr>
              <w:tab/>
            </w:r>
          </w:p>
        </w:tc>
        <w:tc>
          <w:tcPr>
            <w:tcW w:w="2267" w:type="pct"/>
          </w:tcPr>
          <w:p>
            <w:pPr>
              <w:spacing w:before="60" w:after="60" w:line="240" w:lineRule="auto"/>
              <w:rPr>
                <w:rFonts w:eastAsia="MS Mincho"/>
                <w:noProof/>
                <w:szCs w:val="24"/>
              </w:rPr>
            </w:pPr>
            <w:r>
              <w:rPr>
                <w:noProof/>
              </w:rPr>
              <w:t>Carica Dieng</w:t>
            </w:r>
          </w:p>
        </w:tc>
        <w:tc>
          <w:tcPr>
            <w:tcW w:w="2105" w:type="pct"/>
          </w:tcPr>
          <w:p>
            <w:pPr>
              <w:spacing w:before="60" w:after="60" w:line="240" w:lineRule="auto"/>
              <w:rPr>
                <w:rFonts w:eastAsia="MS Mincho"/>
                <w:noProof/>
                <w:szCs w:val="24"/>
              </w:rPr>
            </w:pPr>
            <w:r>
              <w:rPr>
                <w:noProof/>
              </w:rPr>
              <w:t>Fruit</w:t>
            </w:r>
          </w:p>
        </w:tc>
      </w:tr>
      <w:tr>
        <w:tc>
          <w:tcPr>
            <w:tcW w:w="629" w:type="pct"/>
          </w:tcPr>
          <w:p>
            <w:pPr>
              <w:widowControl/>
              <w:spacing w:before="60" w:after="60" w:line="240" w:lineRule="auto"/>
              <w:ind w:left="720" w:hanging="360"/>
              <w:rPr>
                <w:rFonts w:eastAsia="MS Mincho"/>
                <w:noProof/>
                <w:szCs w:val="24"/>
              </w:rPr>
            </w:pPr>
            <w:r>
              <w:rPr>
                <w:noProof/>
              </w:rPr>
              <w:t>10</w:t>
            </w:r>
            <w:r>
              <w:rPr>
                <w:noProof/>
              </w:rPr>
              <w:tab/>
            </w:r>
          </w:p>
        </w:tc>
        <w:tc>
          <w:tcPr>
            <w:tcW w:w="2267" w:type="pct"/>
          </w:tcPr>
          <w:p>
            <w:pPr>
              <w:spacing w:before="60" w:after="60" w:line="240" w:lineRule="auto"/>
              <w:rPr>
                <w:rFonts w:eastAsia="MS Mincho"/>
                <w:noProof/>
                <w:szCs w:val="24"/>
              </w:rPr>
            </w:pPr>
            <w:r>
              <w:rPr>
                <w:noProof/>
              </w:rPr>
              <w:t>Vanili Kep. Alor</w:t>
            </w:r>
          </w:p>
        </w:tc>
        <w:tc>
          <w:tcPr>
            <w:tcW w:w="2105" w:type="pct"/>
          </w:tcPr>
          <w:p>
            <w:pPr>
              <w:spacing w:before="60" w:after="60" w:line="240" w:lineRule="auto"/>
              <w:rPr>
                <w:rFonts w:eastAsia="MS Mincho"/>
                <w:noProof/>
                <w:szCs w:val="24"/>
              </w:rPr>
            </w:pPr>
            <w:r>
              <w:rPr>
                <w:noProof/>
              </w:rPr>
              <w:t>Vanille</w:t>
            </w:r>
          </w:p>
        </w:tc>
      </w:tr>
      <w:tr>
        <w:tc>
          <w:tcPr>
            <w:tcW w:w="629" w:type="pct"/>
          </w:tcPr>
          <w:p>
            <w:pPr>
              <w:widowControl/>
              <w:spacing w:before="60" w:after="60" w:line="240" w:lineRule="auto"/>
              <w:ind w:left="720" w:hanging="360"/>
              <w:rPr>
                <w:rFonts w:eastAsia="MS Mincho"/>
                <w:noProof/>
                <w:szCs w:val="24"/>
              </w:rPr>
            </w:pPr>
            <w:r>
              <w:rPr>
                <w:noProof/>
              </w:rPr>
              <w:t>11</w:t>
            </w:r>
            <w:r>
              <w:rPr>
                <w:noProof/>
              </w:rPr>
              <w:tab/>
            </w:r>
          </w:p>
        </w:tc>
        <w:tc>
          <w:tcPr>
            <w:tcW w:w="2267" w:type="pct"/>
          </w:tcPr>
          <w:p>
            <w:pPr>
              <w:spacing w:before="60" w:after="60" w:line="240" w:lineRule="auto"/>
              <w:rPr>
                <w:rFonts w:eastAsia="MS Mincho"/>
                <w:noProof/>
                <w:szCs w:val="24"/>
              </w:rPr>
            </w:pPr>
            <w:r>
              <w:rPr>
                <w:noProof/>
              </w:rPr>
              <w:t>Kopi Arabika Kalosi Enrekang</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12</w:t>
            </w:r>
            <w:r>
              <w:rPr>
                <w:noProof/>
              </w:rPr>
              <w:tab/>
            </w:r>
          </w:p>
        </w:tc>
        <w:tc>
          <w:tcPr>
            <w:tcW w:w="2267" w:type="pct"/>
          </w:tcPr>
          <w:p>
            <w:pPr>
              <w:spacing w:before="60" w:after="60" w:line="240" w:lineRule="auto"/>
              <w:rPr>
                <w:rFonts w:eastAsia="MS Mincho"/>
                <w:noProof/>
                <w:szCs w:val="24"/>
              </w:rPr>
            </w:pPr>
            <w:r>
              <w:rPr>
                <w:noProof/>
              </w:rPr>
              <w:t>Ubi Cilembu Sumedang</w:t>
            </w:r>
          </w:p>
        </w:tc>
        <w:tc>
          <w:tcPr>
            <w:tcW w:w="2105" w:type="pct"/>
          </w:tcPr>
          <w:p>
            <w:pPr>
              <w:spacing w:before="60" w:after="60" w:line="240" w:lineRule="auto"/>
              <w:rPr>
                <w:rFonts w:eastAsia="MS Mincho"/>
                <w:noProof/>
                <w:szCs w:val="24"/>
              </w:rPr>
            </w:pPr>
            <w:r>
              <w:rPr>
                <w:noProof/>
                <w:color w:val="000000"/>
              </w:rPr>
              <w:t>Patate douce</w:t>
            </w:r>
          </w:p>
        </w:tc>
      </w:tr>
      <w:tr>
        <w:tc>
          <w:tcPr>
            <w:tcW w:w="629" w:type="pct"/>
          </w:tcPr>
          <w:p>
            <w:pPr>
              <w:widowControl/>
              <w:spacing w:before="60" w:after="60" w:line="240" w:lineRule="auto"/>
              <w:ind w:left="720" w:hanging="360"/>
              <w:rPr>
                <w:rFonts w:eastAsia="MS Mincho"/>
                <w:noProof/>
                <w:szCs w:val="24"/>
              </w:rPr>
            </w:pPr>
            <w:r>
              <w:rPr>
                <w:noProof/>
              </w:rPr>
              <w:t>13</w:t>
            </w:r>
            <w:r>
              <w:rPr>
                <w:noProof/>
              </w:rPr>
              <w:tab/>
            </w:r>
          </w:p>
        </w:tc>
        <w:tc>
          <w:tcPr>
            <w:tcW w:w="2267" w:type="pct"/>
          </w:tcPr>
          <w:p>
            <w:pPr>
              <w:spacing w:before="60" w:after="60" w:line="240" w:lineRule="auto"/>
              <w:rPr>
                <w:rFonts w:eastAsia="MS Mincho"/>
                <w:noProof/>
                <w:szCs w:val="24"/>
              </w:rPr>
            </w:pPr>
            <w:r>
              <w:rPr>
                <w:noProof/>
              </w:rPr>
              <w:t>Salak Pondoh Sleman Jogja</w:t>
            </w:r>
          </w:p>
        </w:tc>
        <w:tc>
          <w:tcPr>
            <w:tcW w:w="2105" w:type="pct"/>
          </w:tcPr>
          <w:p>
            <w:pPr>
              <w:spacing w:before="60" w:after="60" w:line="240" w:lineRule="auto"/>
              <w:rPr>
                <w:rFonts w:eastAsia="MS Mincho"/>
                <w:noProof/>
                <w:szCs w:val="24"/>
              </w:rPr>
            </w:pPr>
            <w:r>
              <w:rPr>
                <w:noProof/>
                <w:color w:val="000000"/>
              </w:rPr>
              <w:t>Fruit serpent</w:t>
            </w:r>
          </w:p>
        </w:tc>
      </w:tr>
      <w:tr>
        <w:trPr>
          <w:trHeight w:val="336"/>
        </w:trPr>
        <w:tc>
          <w:tcPr>
            <w:tcW w:w="629" w:type="pct"/>
          </w:tcPr>
          <w:p>
            <w:pPr>
              <w:widowControl/>
              <w:spacing w:before="60" w:after="60" w:line="240" w:lineRule="auto"/>
              <w:ind w:left="720" w:hanging="360"/>
              <w:rPr>
                <w:rFonts w:eastAsia="MS Mincho"/>
                <w:noProof/>
                <w:szCs w:val="24"/>
              </w:rPr>
            </w:pPr>
            <w:r>
              <w:rPr>
                <w:noProof/>
              </w:rPr>
              <w:t>14</w:t>
            </w:r>
            <w:r>
              <w:rPr>
                <w:noProof/>
              </w:rPr>
              <w:tab/>
            </w:r>
          </w:p>
        </w:tc>
        <w:tc>
          <w:tcPr>
            <w:tcW w:w="2267" w:type="pct"/>
          </w:tcPr>
          <w:p>
            <w:pPr>
              <w:spacing w:before="60" w:after="60" w:line="240" w:lineRule="auto"/>
              <w:rPr>
                <w:rFonts w:eastAsia="MS Mincho"/>
                <w:noProof/>
                <w:szCs w:val="24"/>
              </w:rPr>
            </w:pPr>
            <w:r>
              <w:rPr>
                <w:noProof/>
              </w:rPr>
              <w:t>Minyak Nilam Aceh</w:t>
            </w:r>
          </w:p>
        </w:tc>
        <w:tc>
          <w:tcPr>
            <w:tcW w:w="2105" w:type="pct"/>
          </w:tcPr>
          <w:p>
            <w:pPr>
              <w:spacing w:before="60" w:after="60" w:line="240" w:lineRule="auto"/>
              <w:rPr>
                <w:rFonts w:eastAsia="MS Mincho"/>
                <w:noProof/>
                <w:szCs w:val="24"/>
              </w:rPr>
            </w:pPr>
            <w:r>
              <w:rPr>
                <w:noProof/>
              </w:rPr>
              <w:t>Huile</w:t>
            </w:r>
          </w:p>
        </w:tc>
      </w:tr>
      <w:tr>
        <w:tc>
          <w:tcPr>
            <w:tcW w:w="629" w:type="pct"/>
          </w:tcPr>
          <w:p>
            <w:pPr>
              <w:widowControl/>
              <w:spacing w:before="60" w:after="60" w:line="240" w:lineRule="auto"/>
              <w:ind w:left="720" w:hanging="360"/>
              <w:rPr>
                <w:rFonts w:eastAsia="MS Mincho"/>
                <w:noProof/>
                <w:szCs w:val="24"/>
              </w:rPr>
            </w:pPr>
            <w:r>
              <w:rPr>
                <w:noProof/>
              </w:rPr>
              <w:t>15</w:t>
            </w:r>
            <w:r>
              <w:rPr>
                <w:noProof/>
              </w:rPr>
              <w:tab/>
            </w:r>
          </w:p>
        </w:tc>
        <w:tc>
          <w:tcPr>
            <w:tcW w:w="2267" w:type="pct"/>
          </w:tcPr>
          <w:p>
            <w:pPr>
              <w:spacing w:before="60" w:after="60" w:line="240" w:lineRule="auto"/>
              <w:rPr>
                <w:rFonts w:eastAsia="MS Mincho"/>
                <w:noProof/>
                <w:szCs w:val="24"/>
              </w:rPr>
            </w:pPr>
            <w:r>
              <w:rPr>
                <w:noProof/>
              </w:rPr>
              <w:t>Kopi Arabika Java Preanger</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16</w:t>
            </w:r>
            <w:r>
              <w:rPr>
                <w:noProof/>
              </w:rPr>
              <w:tab/>
            </w:r>
          </w:p>
        </w:tc>
        <w:tc>
          <w:tcPr>
            <w:tcW w:w="2267" w:type="pct"/>
          </w:tcPr>
          <w:p>
            <w:pPr>
              <w:spacing w:before="60" w:after="60" w:line="240" w:lineRule="auto"/>
              <w:rPr>
                <w:rFonts w:eastAsia="MS Mincho"/>
                <w:noProof/>
                <w:szCs w:val="24"/>
              </w:rPr>
            </w:pPr>
            <w:r>
              <w:rPr>
                <w:noProof/>
              </w:rPr>
              <w:t>Kopi Arabika Java Ijen-Raung</w:t>
            </w:r>
          </w:p>
        </w:tc>
        <w:tc>
          <w:tcPr>
            <w:tcW w:w="2105" w:type="pct"/>
          </w:tcPr>
          <w:p>
            <w:pPr>
              <w:spacing w:before="60" w:after="60" w:line="240" w:lineRule="auto"/>
              <w:rPr>
                <w:rFonts w:eastAsia="MS Mincho"/>
                <w:noProof/>
                <w:szCs w:val="24"/>
              </w:rPr>
            </w:pPr>
            <w:r>
              <w:rPr>
                <w:noProof/>
              </w:rPr>
              <w:t>Café</w:t>
            </w:r>
          </w:p>
        </w:tc>
      </w:tr>
      <w:tr>
        <w:trPr>
          <w:trHeight w:val="467"/>
        </w:trPr>
        <w:tc>
          <w:tcPr>
            <w:tcW w:w="629" w:type="pct"/>
          </w:tcPr>
          <w:p>
            <w:pPr>
              <w:widowControl/>
              <w:spacing w:before="60" w:after="60" w:line="240" w:lineRule="auto"/>
              <w:ind w:left="720" w:hanging="360"/>
              <w:rPr>
                <w:rFonts w:eastAsia="MS Mincho"/>
                <w:noProof/>
                <w:szCs w:val="24"/>
              </w:rPr>
            </w:pPr>
            <w:r>
              <w:rPr>
                <w:noProof/>
              </w:rPr>
              <w:t>17</w:t>
            </w:r>
            <w:r>
              <w:rPr>
                <w:noProof/>
              </w:rPr>
              <w:tab/>
            </w:r>
          </w:p>
        </w:tc>
        <w:tc>
          <w:tcPr>
            <w:tcW w:w="2267" w:type="pct"/>
          </w:tcPr>
          <w:p>
            <w:pPr>
              <w:spacing w:before="60" w:after="60" w:line="240" w:lineRule="auto"/>
              <w:rPr>
                <w:rFonts w:eastAsia="MS Mincho"/>
                <w:noProof/>
                <w:szCs w:val="24"/>
              </w:rPr>
            </w:pPr>
            <w:r>
              <w:rPr>
                <w:noProof/>
              </w:rPr>
              <w:t>Bandeng Asap Sidoarjo</w:t>
            </w:r>
          </w:p>
        </w:tc>
        <w:tc>
          <w:tcPr>
            <w:tcW w:w="2105" w:type="pct"/>
          </w:tcPr>
          <w:p>
            <w:pPr>
              <w:spacing w:before="60" w:after="60" w:line="240" w:lineRule="auto"/>
              <w:rPr>
                <w:rFonts w:eastAsia="MS Mincho"/>
                <w:noProof/>
                <w:szCs w:val="24"/>
              </w:rPr>
            </w:pPr>
            <w:r>
              <w:rPr>
                <w:noProof/>
                <w:color w:val="000000"/>
              </w:rPr>
              <w:t>Chanos</w:t>
            </w:r>
          </w:p>
        </w:tc>
      </w:tr>
      <w:tr>
        <w:tc>
          <w:tcPr>
            <w:tcW w:w="629" w:type="pct"/>
          </w:tcPr>
          <w:p>
            <w:pPr>
              <w:widowControl/>
              <w:spacing w:before="60" w:after="60" w:line="240" w:lineRule="auto"/>
              <w:ind w:left="720" w:hanging="360"/>
              <w:rPr>
                <w:rFonts w:eastAsia="MS Mincho"/>
                <w:noProof/>
                <w:szCs w:val="24"/>
              </w:rPr>
            </w:pPr>
            <w:r>
              <w:rPr>
                <w:noProof/>
              </w:rPr>
              <w:t>18</w:t>
            </w:r>
            <w:r>
              <w:rPr>
                <w:noProof/>
              </w:rPr>
              <w:tab/>
            </w:r>
          </w:p>
        </w:tc>
        <w:tc>
          <w:tcPr>
            <w:tcW w:w="2267" w:type="pct"/>
          </w:tcPr>
          <w:p>
            <w:pPr>
              <w:spacing w:before="60" w:after="60" w:line="240" w:lineRule="auto"/>
              <w:rPr>
                <w:rFonts w:eastAsia="MS Mincho"/>
                <w:noProof/>
                <w:szCs w:val="24"/>
              </w:rPr>
            </w:pPr>
            <w:r>
              <w:rPr>
                <w:noProof/>
              </w:rPr>
              <w:t>Kopi Arabika Toraja</w:t>
            </w:r>
          </w:p>
        </w:tc>
        <w:tc>
          <w:tcPr>
            <w:tcW w:w="2105" w:type="pct"/>
          </w:tcPr>
          <w:p>
            <w:pPr>
              <w:spacing w:before="60" w:after="60" w:line="240" w:lineRule="auto"/>
              <w:rPr>
                <w:rFonts w:eastAsia="MS Mincho"/>
                <w:noProof/>
                <w:szCs w:val="24"/>
              </w:rPr>
            </w:pPr>
            <w:r>
              <w:rPr>
                <w:noProof/>
              </w:rPr>
              <w:t>Café</w:t>
            </w:r>
          </w:p>
        </w:tc>
      </w:tr>
      <w:tr>
        <w:tc>
          <w:tcPr>
            <w:tcW w:w="629" w:type="pct"/>
          </w:tcPr>
          <w:p>
            <w:pPr>
              <w:pageBreakBefore/>
              <w:widowControl/>
              <w:spacing w:before="60" w:after="60" w:line="240" w:lineRule="auto"/>
              <w:ind w:left="720" w:hanging="360"/>
              <w:rPr>
                <w:rFonts w:eastAsia="MS Mincho"/>
                <w:noProof/>
                <w:szCs w:val="24"/>
              </w:rPr>
            </w:pPr>
            <w:r>
              <w:rPr>
                <w:noProof/>
              </w:rPr>
              <w:lastRenderedPageBreak/>
              <w:t>19</w:t>
            </w:r>
            <w:r>
              <w:rPr>
                <w:noProof/>
              </w:rPr>
              <w:tab/>
            </w:r>
          </w:p>
        </w:tc>
        <w:tc>
          <w:tcPr>
            <w:tcW w:w="2267" w:type="pct"/>
          </w:tcPr>
          <w:p>
            <w:pPr>
              <w:spacing w:before="60" w:after="60" w:line="240" w:lineRule="auto"/>
              <w:rPr>
                <w:rFonts w:eastAsia="MS Mincho"/>
                <w:noProof/>
                <w:szCs w:val="24"/>
              </w:rPr>
            </w:pPr>
            <w:r>
              <w:rPr>
                <w:noProof/>
              </w:rPr>
              <w:t>Kopi Robusta Lampung</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20</w:t>
            </w:r>
            <w:r>
              <w:rPr>
                <w:noProof/>
              </w:rPr>
              <w:tab/>
            </w:r>
          </w:p>
        </w:tc>
        <w:tc>
          <w:tcPr>
            <w:tcW w:w="2267" w:type="pct"/>
          </w:tcPr>
          <w:p>
            <w:pPr>
              <w:spacing w:before="60" w:after="60" w:line="240" w:lineRule="auto"/>
              <w:rPr>
                <w:rFonts w:eastAsia="MS Mincho"/>
                <w:noProof/>
                <w:szCs w:val="24"/>
              </w:rPr>
            </w:pPr>
            <w:r>
              <w:rPr>
                <w:noProof/>
              </w:rPr>
              <w:t>Mete Kubu Bali</w:t>
            </w:r>
          </w:p>
        </w:tc>
        <w:tc>
          <w:tcPr>
            <w:tcW w:w="2105" w:type="pct"/>
          </w:tcPr>
          <w:p>
            <w:pPr>
              <w:spacing w:before="60" w:after="60" w:line="240" w:lineRule="auto"/>
              <w:rPr>
                <w:rFonts w:eastAsia="MS Mincho"/>
                <w:noProof/>
                <w:szCs w:val="24"/>
              </w:rPr>
            </w:pPr>
            <w:r>
              <w:rPr>
                <w:noProof/>
              </w:rPr>
              <w:t>Cajou</w:t>
            </w:r>
          </w:p>
        </w:tc>
      </w:tr>
      <w:tr>
        <w:tc>
          <w:tcPr>
            <w:tcW w:w="629" w:type="pct"/>
          </w:tcPr>
          <w:p>
            <w:pPr>
              <w:widowControl/>
              <w:spacing w:before="60" w:after="60" w:line="240" w:lineRule="auto"/>
              <w:ind w:left="720" w:hanging="360"/>
              <w:rPr>
                <w:rFonts w:eastAsia="MS Mincho"/>
                <w:noProof/>
                <w:szCs w:val="24"/>
              </w:rPr>
            </w:pPr>
            <w:r>
              <w:rPr>
                <w:noProof/>
              </w:rPr>
              <w:t>21</w:t>
            </w:r>
            <w:r>
              <w:rPr>
                <w:noProof/>
              </w:rPr>
              <w:tab/>
            </w:r>
          </w:p>
        </w:tc>
        <w:tc>
          <w:tcPr>
            <w:tcW w:w="2267" w:type="pct"/>
          </w:tcPr>
          <w:p>
            <w:pPr>
              <w:spacing w:before="60" w:after="60" w:line="240" w:lineRule="auto"/>
              <w:rPr>
                <w:rFonts w:eastAsia="MS Mincho"/>
                <w:noProof/>
                <w:szCs w:val="24"/>
              </w:rPr>
            </w:pPr>
            <w:r>
              <w:rPr>
                <w:noProof/>
              </w:rPr>
              <w:t>Gula Kelapa Kulonprogo Jogja</w:t>
            </w:r>
          </w:p>
        </w:tc>
        <w:tc>
          <w:tcPr>
            <w:tcW w:w="2105" w:type="pct"/>
          </w:tcPr>
          <w:p>
            <w:pPr>
              <w:spacing w:before="60" w:after="60" w:line="240" w:lineRule="auto"/>
              <w:rPr>
                <w:rFonts w:eastAsia="MS Mincho"/>
                <w:noProof/>
                <w:szCs w:val="24"/>
              </w:rPr>
            </w:pPr>
            <w:r>
              <w:rPr>
                <w:noProof/>
              </w:rPr>
              <w:t>Sucre</w:t>
            </w:r>
          </w:p>
        </w:tc>
      </w:tr>
      <w:tr>
        <w:tc>
          <w:tcPr>
            <w:tcW w:w="629" w:type="pct"/>
          </w:tcPr>
          <w:p>
            <w:pPr>
              <w:spacing w:before="60" w:after="60" w:line="240" w:lineRule="auto"/>
              <w:ind w:left="720"/>
              <w:rPr>
                <w:rFonts w:eastAsia="MS Mincho"/>
                <w:noProof/>
                <w:szCs w:val="24"/>
                <w:lang w:eastAsia="ja-JP"/>
              </w:rPr>
            </w:pPr>
          </w:p>
        </w:tc>
        <w:tc>
          <w:tcPr>
            <w:tcW w:w="2267" w:type="pct"/>
          </w:tcPr>
          <w:p>
            <w:pPr>
              <w:spacing w:before="60" w:after="60" w:line="240" w:lineRule="auto"/>
              <w:rPr>
                <w:noProof/>
                <w:szCs w:val="24"/>
              </w:rPr>
            </w:pPr>
            <w:r>
              <w:rPr>
                <w:b/>
                <w:noProof/>
                <w:vertAlign w:val="superscript"/>
              </w:rPr>
              <w:t>*</w:t>
            </w:r>
            <w:r>
              <w:rPr>
                <w:noProof/>
              </w:rPr>
              <w:t xml:space="preserve"> IG déjà protégée également au titre d’une demande directe dans l’UE</w:t>
            </w:r>
          </w:p>
        </w:tc>
        <w:tc>
          <w:tcPr>
            <w:tcW w:w="2105" w:type="pct"/>
          </w:tcPr>
          <w:p>
            <w:pPr>
              <w:spacing w:before="60" w:after="60" w:line="240" w:lineRule="auto"/>
              <w:rPr>
                <w:noProof/>
                <w:szCs w:val="24"/>
              </w:rPr>
            </w:pPr>
          </w:p>
        </w:tc>
      </w:tr>
      <w:tr>
        <w:tc>
          <w:tcPr>
            <w:tcW w:w="629" w:type="pct"/>
          </w:tcPr>
          <w:p>
            <w:pPr>
              <w:widowControl/>
              <w:spacing w:before="60" w:after="60" w:line="240" w:lineRule="auto"/>
              <w:ind w:left="720" w:hanging="360"/>
              <w:rPr>
                <w:rFonts w:eastAsia="MS Mincho"/>
                <w:noProof/>
                <w:szCs w:val="24"/>
              </w:rPr>
            </w:pPr>
            <w:r>
              <w:rPr>
                <w:noProof/>
              </w:rPr>
              <w:t>22</w:t>
            </w:r>
            <w:r>
              <w:rPr>
                <w:noProof/>
              </w:rPr>
              <w:tab/>
            </w:r>
          </w:p>
        </w:tc>
        <w:tc>
          <w:tcPr>
            <w:tcW w:w="2267" w:type="pct"/>
          </w:tcPr>
          <w:p>
            <w:pPr>
              <w:spacing w:before="60" w:after="60" w:line="240" w:lineRule="auto"/>
              <w:rPr>
                <w:rFonts w:eastAsia="MS Mincho"/>
                <w:noProof/>
                <w:szCs w:val="24"/>
                <w:lang w:val="en-IE"/>
              </w:rPr>
            </w:pPr>
            <w:r>
              <w:rPr>
                <w:noProof/>
                <w:lang w:val="en-IE"/>
              </w:rPr>
              <w:t>Kopi Arabika Java Sindoro-Sumbing</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23</w:t>
            </w:r>
            <w:r>
              <w:rPr>
                <w:noProof/>
              </w:rPr>
              <w:tab/>
            </w:r>
          </w:p>
        </w:tc>
        <w:tc>
          <w:tcPr>
            <w:tcW w:w="2267" w:type="pct"/>
          </w:tcPr>
          <w:p>
            <w:pPr>
              <w:spacing w:before="60" w:after="60" w:line="240" w:lineRule="auto"/>
              <w:rPr>
                <w:rFonts w:eastAsia="MS Mincho"/>
                <w:noProof/>
                <w:szCs w:val="24"/>
              </w:rPr>
            </w:pPr>
            <w:r>
              <w:rPr>
                <w:noProof/>
              </w:rPr>
              <w:t>Kopi Arabika Sumatera Simalungun</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24</w:t>
            </w:r>
            <w:r>
              <w:rPr>
                <w:noProof/>
              </w:rPr>
              <w:tab/>
            </w:r>
          </w:p>
        </w:tc>
        <w:tc>
          <w:tcPr>
            <w:tcW w:w="2267" w:type="pct"/>
          </w:tcPr>
          <w:p>
            <w:pPr>
              <w:spacing w:before="60" w:after="60" w:line="240" w:lineRule="auto"/>
              <w:rPr>
                <w:rFonts w:eastAsia="MS Mincho"/>
                <w:noProof/>
                <w:szCs w:val="24"/>
              </w:rPr>
            </w:pPr>
            <w:r>
              <w:rPr>
                <w:noProof/>
              </w:rPr>
              <w:t>Kopi Liberika Tungkal Jambi</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25</w:t>
            </w:r>
            <w:r>
              <w:rPr>
                <w:noProof/>
              </w:rPr>
              <w:tab/>
            </w:r>
          </w:p>
        </w:tc>
        <w:tc>
          <w:tcPr>
            <w:tcW w:w="2267" w:type="pct"/>
          </w:tcPr>
          <w:p>
            <w:pPr>
              <w:spacing w:before="60" w:after="60" w:line="240" w:lineRule="auto"/>
              <w:rPr>
                <w:rFonts w:eastAsia="MS Mincho"/>
                <w:noProof/>
                <w:szCs w:val="24"/>
              </w:rPr>
            </w:pPr>
            <w:r>
              <w:rPr>
                <w:noProof/>
              </w:rPr>
              <w:t>Cengkeh Minahasa</w:t>
            </w:r>
          </w:p>
        </w:tc>
        <w:tc>
          <w:tcPr>
            <w:tcW w:w="2105" w:type="pct"/>
          </w:tcPr>
          <w:p>
            <w:pPr>
              <w:spacing w:before="60" w:after="60" w:line="240" w:lineRule="auto"/>
              <w:rPr>
                <w:rFonts w:eastAsia="MS Mincho"/>
                <w:noProof/>
                <w:szCs w:val="24"/>
              </w:rPr>
            </w:pPr>
            <w:r>
              <w:rPr>
                <w:noProof/>
              </w:rPr>
              <w:t>Clou de girofle</w:t>
            </w:r>
          </w:p>
        </w:tc>
      </w:tr>
      <w:tr>
        <w:tc>
          <w:tcPr>
            <w:tcW w:w="629" w:type="pct"/>
          </w:tcPr>
          <w:p>
            <w:pPr>
              <w:widowControl/>
              <w:spacing w:before="60" w:after="60" w:line="240" w:lineRule="auto"/>
              <w:ind w:left="720" w:hanging="360"/>
              <w:rPr>
                <w:rFonts w:eastAsia="MS Mincho"/>
                <w:noProof/>
                <w:szCs w:val="24"/>
              </w:rPr>
            </w:pPr>
            <w:r>
              <w:rPr>
                <w:noProof/>
              </w:rPr>
              <w:t>26</w:t>
            </w:r>
            <w:r>
              <w:rPr>
                <w:noProof/>
              </w:rPr>
              <w:tab/>
            </w:r>
          </w:p>
        </w:tc>
        <w:tc>
          <w:tcPr>
            <w:tcW w:w="2267" w:type="pct"/>
          </w:tcPr>
          <w:p>
            <w:pPr>
              <w:spacing w:before="60" w:after="60" w:line="240" w:lineRule="auto"/>
              <w:rPr>
                <w:rFonts w:eastAsia="MS Mincho"/>
                <w:noProof/>
                <w:szCs w:val="24"/>
              </w:rPr>
            </w:pPr>
            <w:r>
              <w:rPr>
                <w:noProof/>
              </w:rPr>
              <w:t>Beras Pandanwangi Cianjur</w:t>
            </w:r>
          </w:p>
        </w:tc>
        <w:tc>
          <w:tcPr>
            <w:tcW w:w="2105" w:type="pct"/>
          </w:tcPr>
          <w:p>
            <w:pPr>
              <w:spacing w:before="60" w:after="60" w:line="240" w:lineRule="auto"/>
              <w:rPr>
                <w:rFonts w:eastAsia="MS Mincho"/>
                <w:noProof/>
                <w:szCs w:val="24"/>
              </w:rPr>
            </w:pPr>
            <w:r>
              <w:rPr>
                <w:noProof/>
              </w:rPr>
              <w:t>Riz</w:t>
            </w:r>
          </w:p>
        </w:tc>
      </w:tr>
      <w:tr>
        <w:tc>
          <w:tcPr>
            <w:tcW w:w="629" w:type="pct"/>
          </w:tcPr>
          <w:p>
            <w:pPr>
              <w:widowControl/>
              <w:spacing w:before="60" w:after="60" w:line="240" w:lineRule="auto"/>
              <w:ind w:left="720" w:hanging="360"/>
              <w:rPr>
                <w:rFonts w:eastAsia="MS Mincho"/>
                <w:noProof/>
                <w:szCs w:val="24"/>
              </w:rPr>
            </w:pPr>
            <w:r>
              <w:rPr>
                <w:noProof/>
              </w:rPr>
              <w:t>27</w:t>
            </w:r>
            <w:r>
              <w:rPr>
                <w:noProof/>
              </w:rPr>
              <w:tab/>
            </w:r>
          </w:p>
        </w:tc>
        <w:tc>
          <w:tcPr>
            <w:tcW w:w="2267" w:type="pct"/>
          </w:tcPr>
          <w:p>
            <w:pPr>
              <w:spacing w:before="60" w:after="60" w:line="240" w:lineRule="auto"/>
              <w:rPr>
                <w:rFonts w:eastAsia="MS Mincho"/>
                <w:noProof/>
                <w:szCs w:val="24"/>
              </w:rPr>
            </w:pPr>
            <w:r>
              <w:rPr>
                <w:noProof/>
              </w:rPr>
              <w:t>Kopi Robusta Semendo</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28</w:t>
            </w:r>
            <w:r>
              <w:rPr>
                <w:noProof/>
              </w:rPr>
              <w:tab/>
            </w:r>
          </w:p>
        </w:tc>
        <w:tc>
          <w:tcPr>
            <w:tcW w:w="2267" w:type="pct"/>
          </w:tcPr>
          <w:p>
            <w:pPr>
              <w:spacing w:before="60" w:after="60" w:line="240" w:lineRule="auto"/>
              <w:rPr>
                <w:rFonts w:eastAsia="MS Mincho"/>
                <w:noProof/>
                <w:szCs w:val="24"/>
              </w:rPr>
            </w:pPr>
            <w:r>
              <w:rPr>
                <w:noProof/>
              </w:rPr>
              <w:t>Pala Siau</w:t>
            </w:r>
          </w:p>
        </w:tc>
        <w:tc>
          <w:tcPr>
            <w:tcW w:w="2105" w:type="pct"/>
          </w:tcPr>
          <w:p>
            <w:pPr>
              <w:spacing w:before="60" w:after="60" w:line="240" w:lineRule="auto"/>
              <w:rPr>
                <w:rFonts w:eastAsia="MS Mincho"/>
                <w:noProof/>
                <w:szCs w:val="24"/>
              </w:rPr>
            </w:pPr>
            <w:r>
              <w:rPr>
                <w:noProof/>
              </w:rPr>
              <w:t>Noix muscade</w:t>
            </w:r>
          </w:p>
        </w:tc>
      </w:tr>
      <w:tr>
        <w:tc>
          <w:tcPr>
            <w:tcW w:w="629" w:type="pct"/>
          </w:tcPr>
          <w:p>
            <w:pPr>
              <w:widowControl/>
              <w:spacing w:before="60" w:after="60" w:line="240" w:lineRule="auto"/>
              <w:ind w:left="720" w:hanging="360"/>
              <w:rPr>
                <w:rFonts w:eastAsia="MS Mincho"/>
                <w:noProof/>
                <w:szCs w:val="24"/>
              </w:rPr>
            </w:pPr>
            <w:r>
              <w:rPr>
                <w:noProof/>
              </w:rPr>
              <w:t>29</w:t>
            </w:r>
            <w:r>
              <w:rPr>
                <w:noProof/>
              </w:rPr>
              <w:tab/>
            </w:r>
          </w:p>
        </w:tc>
        <w:tc>
          <w:tcPr>
            <w:tcW w:w="2267" w:type="pct"/>
          </w:tcPr>
          <w:p>
            <w:pPr>
              <w:spacing w:before="60" w:after="60" w:line="240" w:lineRule="auto"/>
              <w:rPr>
                <w:rFonts w:eastAsia="MS Mincho"/>
                <w:noProof/>
                <w:szCs w:val="24"/>
              </w:rPr>
            </w:pPr>
            <w:r>
              <w:rPr>
                <w:noProof/>
              </w:rPr>
              <w:t>Teh Java Preanger</w:t>
            </w:r>
          </w:p>
        </w:tc>
        <w:tc>
          <w:tcPr>
            <w:tcW w:w="2105" w:type="pct"/>
          </w:tcPr>
          <w:p>
            <w:pPr>
              <w:spacing w:before="60" w:after="60" w:line="240" w:lineRule="auto"/>
              <w:rPr>
                <w:rFonts w:eastAsia="MS Mincho"/>
                <w:noProof/>
                <w:szCs w:val="24"/>
              </w:rPr>
            </w:pPr>
            <w:r>
              <w:rPr>
                <w:noProof/>
              </w:rPr>
              <w:t>Thé</w:t>
            </w:r>
          </w:p>
        </w:tc>
      </w:tr>
      <w:tr>
        <w:tc>
          <w:tcPr>
            <w:tcW w:w="629" w:type="pct"/>
          </w:tcPr>
          <w:p>
            <w:pPr>
              <w:widowControl/>
              <w:spacing w:before="60" w:after="60" w:line="240" w:lineRule="auto"/>
              <w:ind w:left="720" w:hanging="360"/>
              <w:rPr>
                <w:rFonts w:eastAsia="MS Mincho"/>
                <w:noProof/>
                <w:szCs w:val="24"/>
              </w:rPr>
            </w:pPr>
            <w:r>
              <w:rPr>
                <w:noProof/>
              </w:rPr>
              <w:t>30</w:t>
            </w:r>
            <w:r>
              <w:rPr>
                <w:noProof/>
              </w:rPr>
              <w:tab/>
            </w:r>
          </w:p>
        </w:tc>
        <w:tc>
          <w:tcPr>
            <w:tcW w:w="2267" w:type="pct"/>
          </w:tcPr>
          <w:p>
            <w:pPr>
              <w:spacing w:before="60" w:after="60" w:line="240" w:lineRule="auto"/>
              <w:rPr>
                <w:rFonts w:eastAsia="MS Mincho"/>
                <w:noProof/>
                <w:szCs w:val="24"/>
              </w:rPr>
            </w:pPr>
            <w:r>
              <w:rPr>
                <w:noProof/>
              </w:rPr>
              <w:t>Garam Amed Bali</w:t>
            </w:r>
            <w:r>
              <w:rPr>
                <w:b/>
                <w:noProof/>
                <w:vertAlign w:val="superscript"/>
              </w:rPr>
              <w:t>*</w:t>
            </w:r>
          </w:p>
        </w:tc>
        <w:tc>
          <w:tcPr>
            <w:tcW w:w="2105" w:type="pct"/>
          </w:tcPr>
          <w:p>
            <w:pPr>
              <w:spacing w:before="60" w:after="60" w:line="240" w:lineRule="auto"/>
              <w:rPr>
                <w:rFonts w:eastAsia="MS Mincho"/>
                <w:noProof/>
                <w:szCs w:val="24"/>
              </w:rPr>
            </w:pPr>
            <w:r>
              <w:rPr>
                <w:noProof/>
              </w:rPr>
              <w:t>Sel</w:t>
            </w:r>
          </w:p>
        </w:tc>
      </w:tr>
      <w:tr>
        <w:tc>
          <w:tcPr>
            <w:tcW w:w="629" w:type="pct"/>
          </w:tcPr>
          <w:p>
            <w:pPr>
              <w:spacing w:before="60" w:after="60" w:line="240" w:lineRule="auto"/>
              <w:rPr>
                <w:rFonts w:eastAsia="MS Mincho"/>
                <w:noProof/>
                <w:szCs w:val="24"/>
                <w:lang w:eastAsia="ja-JP"/>
              </w:rPr>
            </w:pPr>
          </w:p>
        </w:tc>
        <w:tc>
          <w:tcPr>
            <w:tcW w:w="2267" w:type="pct"/>
          </w:tcPr>
          <w:p>
            <w:pPr>
              <w:spacing w:before="60" w:after="60" w:line="240" w:lineRule="auto"/>
              <w:rPr>
                <w:noProof/>
                <w:color w:val="000000"/>
                <w:szCs w:val="24"/>
              </w:rPr>
            </w:pPr>
            <w:r>
              <w:rPr>
                <w:b/>
                <w:noProof/>
                <w:vertAlign w:val="superscript"/>
              </w:rPr>
              <w:t>*</w:t>
            </w:r>
            <w:r>
              <w:rPr>
                <w:noProof/>
              </w:rPr>
              <w:t xml:space="preserve"> IG déjà protégée également au titre d’une demande directe dans l’UE</w:t>
            </w:r>
          </w:p>
        </w:tc>
        <w:tc>
          <w:tcPr>
            <w:tcW w:w="2105" w:type="pct"/>
          </w:tcPr>
          <w:p>
            <w:pPr>
              <w:spacing w:before="60" w:after="60" w:line="240" w:lineRule="auto"/>
              <w:rPr>
                <w:rFonts w:eastAsia="MS Mincho"/>
                <w:noProof/>
                <w:szCs w:val="24"/>
              </w:rPr>
            </w:pPr>
          </w:p>
        </w:tc>
      </w:tr>
      <w:tr>
        <w:tc>
          <w:tcPr>
            <w:tcW w:w="629" w:type="pct"/>
          </w:tcPr>
          <w:p>
            <w:pPr>
              <w:widowControl/>
              <w:spacing w:before="60" w:after="60" w:line="240" w:lineRule="auto"/>
              <w:ind w:left="720" w:hanging="360"/>
              <w:rPr>
                <w:rFonts w:eastAsia="MS Mincho"/>
                <w:noProof/>
                <w:szCs w:val="24"/>
              </w:rPr>
            </w:pPr>
            <w:r>
              <w:rPr>
                <w:noProof/>
              </w:rPr>
              <w:t>31</w:t>
            </w:r>
            <w:r>
              <w:rPr>
                <w:noProof/>
              </w:rPr>
              <w:tab/>
            </w:r>
          </w:p>
        </w:tc>
        <w:tc>
          <w:tcPr>
            <w:tcW w:w="2267" w:type="pct"/>
          </w:tcPr>
          <w:p>
            <w:pPr>
              <w:spacing w:before="60" w:after="60" w:line="240" w:lineRule="auto"/>
              <w:rPr>
                <w:rFonts w:eastAsia="MS Mincho"/>
                <w:noProof/>
                <w:szCs w:val="24"/>
              </w:rPr>
            </w:pPr>
            <w:r>
              <w:rPr>
                <w:noProof/>
                <w:color w:val="000000"/>
              </w:rPr>
              <w:t>Jeruk Keprok Gayo-Aceh</w:t>
            </w:r>
          </w:p>
        </w:tc>
        <w:tc>
          <w:tcPr>
            <w:tcW w:w="2105" w:type="pct"/>
          </w:tcPr>
          <w:p>
            <w:pPr>
              <w:spacing w:before="60" w:after="60" w:line="240" w:lineRule="auto"/>
              <w:rPr>
                <w:rFonts w:eastAsia="MS Mincho"/>
                <w:noProof/>
                <w:szCs w:val="24"/>
              </w:rPr>
            </w:pPr>
            <w:r>
              <w:rPr>
                <w:noProof/>
                <w:color w:val="000000"/>
              </w:rPr>
              <w:t>Orange</w:t>
            </w:r>
          </w:p>
        </w:tc>
      </w:tr>
      <w:tr>
        <w:tc>
          <w:tcPr>
            <w:tcW w:w="629" w:type="pct"/>
          </w:tcPr>
          <w:p>
            <w:pPr>
              <w:widowControl/>
              <w:spacing w:before="60" w:after="60" w:line="240" w:lineRule="auto"/>
              <w:ind w:left="720" w:hanging="360"/>
              <w:rPr>
                <w:rFonts w:eastAsia="MS Mincho"/>
                <w:noProof/>
                <w:szCs w:val="24"/>
              </w:rPr>
            </w:pPr>
            <w:r>
              <w:rPr>
                <w:noProof/>
              </w:rPr>
              <w:t>32</w:t>
            </w:r>
            <w:r>
              <w:rPr>
                <w:noProof/>
              </w:rPr>
              <w:tab/>
            </w:r>
          </w:p>
        </w:tc>
        <w:tc>
          <w:tcPr>
            <w:tcW w:w="2267" w:type="pct"/>
          </w:tcPr>
          <w:p>
            <w:pPr>
              <w:spacing w:before="60" w:after="60" w:line="240" w:lineRule="auto"/>
              <w:rPr>
                <w:rFonts w:eastAsia="MS Mincho"/>
                <w:noProof/>
                <w:szCs w:val="24"/>
              </w:rPr>
            </w:pPr>
            <w:r>
              <w:rPr>
                <w:noProof/>
                <w:color w:val="000000"/>
              </w:rPr>
              <w:t>Kopi Liberika Rangsang Meranti</w:t>
            </w:r>
          </w:p>
        </w:tc>
        <w:tc>
          <w:tcPr>
            <w:tcW w:w="2105" w:type="pct"/>
          </w:tcPr>
          <w:p>
            <w:pPr>
              <w:spacing w:before="60" w:after="60" w:line="240" w:lineRule="auto"/>
              <w:rPr>
                <w:rFonts w:eastAsia="MS Mincho"/>
                <w:noProof/>
                <w:szCs w:val="24"/>
              </w:rPr>
            </w:pPr>
            <w:r>
              <w:rPr>
                <w:noProof/>
                <w:color w:val="000000"/>
              </w:rPr>
              <w:t>Café</w:t>
            </w:r>
          </w:p>
        </w:tc>
      </w:tr>
      <w:tr>
        <w:tc>
          <w:tcPr>
            <w:tcW w:w="629" w:type="pct"/>
          </w:tcPr>
          <w:p>
            <w:pPr>
              <w:widowControl/>
              <w:spacing w:before="60" w:after="60" w:line="240" w:lineRule="auto"/>
              <w:ind w:left="720" w:hanging="360"/>
              <w:rPr>
                <w:rFonts w:eastAsia="MS Mincho"/>
                <w:noProof/>
                <w:szCs w:val="24"/>
              </w:rPr>
            </w:pPr>
            <w:r>
              <w:rPr>
                <w:noProof/>
              </w:rPr>
              <w:t>33</w:t>
            </w:r>
            <w:r>
              <w:rPr>
                <w:noProof/>
              </w:rPr>
              <w:tab/>
            </w:r>
          </w:p>
        </w:tc>
        <w:tc>
          <w:tcPr>
            <w:tcW w:w="2267" w:type="pct"/>
          </w:tcPr>
          <w:p>
            <w:pPr>
              <w:spacing w:before="60" w:after="60" w:line="240" w:lineRule="auto"/>
              <w:rPr>
                <w:rFonts w:eastAsia="MS Mincho"/>
                <w:noProof/>
                <w:szCs w:val="24"/>
              </w:rPr>
            </w:pPr>
            <w:r>
              <w:rPr>
                <w:noProof/>
                <w:color w:val="000000"/>
              </w:rPr>
              <w:t>Lada Hitam Lampung</w:t>
            </w:r>
          </w:p>
        </w:tc>
        <w:tc>
          <w:tcPr>
            <w:tcW w:w="2105" w:type="pct"/>
          </w:tcPr>
          <w:p>
            <w:pPr>
              <w:spacing w:before="60" w:after="60" w:line="240" w:lineRule="auto"/>
              <w:rPr>
                <w:rFonts w:eastAsia="MS Mincho"/>
                <w:noProof/>
                <w:szCs w:val="24"/>
              </w:rPr>
            </w:pPr>
            <w:r>
              <w:rPr>
                <w:noProof/>
                <w:color w:val="000000"/>
              </w:rPr>
              <w:t>Poivre</w:t>
            </w:r>
          </w:p>
        </w:tc>
      </w:tr>
      <w:tr>
        <w:tc>
          <w:tcPr>
            <w:tcW w:w="629" w:type="pct"/>
          </w:tcPr>
          <w:p>
            <w:pPr>
              <w:widowControl/>
              <w:spacing w:before="60" w:after="60" w:line="240" w:lineRule="auto"/>
              <w:ind w:left="720" w:hanging="360"/>
              <w:rPr>
                <w:rFonts w:eastAsia="MS Mincho"/>
                <w:noProof/>
                <w:szCs w:val="24"/>
              </w:rPr>
            </w:pPr>
            <w:r>
              <w:rPr>
                <w:noProof/>
              </w:rPr>
              <w:t>34</w:t>
            </w:r>
            <w:r>
              <w:rPr>
                <w:noProof/>
              </w:rPr>
              <w:tab/>
            </w:r>
          </w:p>
        </w:tc>
        <w:tc>
          <w:tcPr>
            <w:tcW w:w="2267" w:type="pct"/>
          </w:tcPr>
          <w:p>
            <w:pPr>
              <w:spacing w:before="60" w:after="60" w:line="240" w:lineRule="auto"/>
              <w:rPr>
                <w:rFonts w:eastAsia="MS Mincho"/>
                <w:noProof/>
                <w:szCs w:val="24"/>
              </w:rPr>
            </w:pPr>
            <w:r>
              <w:rPr>
                <w:noProof/>
              </w:rPr>
              <w:t>Kayumanis Koerintji</w:t>
            </w:r>
          </w:p>
        </w:tc>
        <w:tc>
          <w:tcPr>
            <w:tcW w:w="2105" w:type="pct"/>
          </w:tcPr>
          <w:p>
            <w:pPr>
              <w:spacing w:before="60" w:after="60" w:line="240" w:lineRule="auto"/>
              <w:rPr>
                <w:rFonts w:eastAsia="MS Mincho"/>
                <w:noProof/>
                <w:szCs w:val="24"/>
              </w:rPr>
            </w:pPr>
            <w:r>
              <w:rPr>
                <w:noProof/>
              </w:rPr>
              <w:t>Cannelle</w:t>
            </w:r>
          </w:p>
        </w:tc>
      </w:tr>
      <w:tr>
        <w:tc>
          <w:tcPr>
            <w:tcW w:w="629" w:type="pct"/>
          </w:tcPr>
          <w:p>
            <w:pPr>
              <w:widowControl/>
              <w:spacing w:before="60" w:after="60" w:line="240" w:lineRule="auto"/>
              <w:ind w:left="720" w:hanging="360"/>
              <w:rPr>
                <w:rFonts w:eastAsia="MS Mincho"/>
                <w:noProof/>
                <w:szCs w:val="24"/>
              </w:rPr>
            </w:pPr>
            <w:r>
              <w:rPr>
                <w:noProof/>
              </w:rPr>
              <w:t>35</w:t>
            </w:r>
            <w:r>
              <w:rPr>
                <w:noProof/>
              </w:rPr>
              <w:tab/>
            </w:r>
          </w:p>
        </w:tc>
        <w:tc>
          <w:tcPr>
            <w:tcW w:w="2267" w:type="pct"/>
          </w:tcPr>
          <w:p>
            <w:pPr>
              <w:spacing w:before="60" w:after="60" w:line="240" w:lineRule="auto"/>
              <w:rPr>
                <w:rFonts w:eastAsia="MS Mincho"/>
                <w:noProof/>
                <w:szCs w:val="24"/>
              </w:rPr>
            </w:pPr>
            <w:r>
              <w:rPr>
                <w:noProof/>
              </w:rPr>
              <w:t>Kopi Arabika Sumatera Mandailing</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36</w:t>
            </w:r>
            <w:r>
              <w:rPr>
                <w:noProof/>
              </w:rPr>
              <w:tab/>
            </w:r>
          </w:p>
        </w:tc>
        <w:tc>
          <w:tcPr>
            <w:tcW w:w="2267" w:type="pct"/>
          </w:tcPr>
          <w:p>
            <w:pPr>
              <w:spacing w:before="60" w:after="60" w:line="240" w:lineRule="auto"/>
              <w:rPr>
                <w:rFonts w:eastAsia="MS Mincho"/>
                <w:noProof/>
                <w:szCs w:val="24"/>
              </w:rPr>
            </w:pPr>
            <w:r>
              <w:rPr>
                <w:noProof/>
              </w:rPr>
              <w:t>Pala Tomandin Fakfak</w:t>
            </w:r>
          </w:p>
        </w:tc>
        <w:tc>
          <w:tcPr>
            <w:tcW w:w="2105" w:type="pct"/>
          </w:tcPr>
          <w:p>
            <w:pPr>
              <w:spacing w:before="60" w:after="60" w:line="240" w:lineRule="auto"/>
              <w:rPr>
                <w:rFonts w:eastAsia="MS Mincho"/>
                <w:noProof/>
                <w:szCs w:val="24"/>
              </w:rPr>
            </w:pPr>
            <w:r>
              <w:rPr>
                <w:noProof/>
              </w:rPr>
              <w:t>Noix muscade</w:t>
            </w:r>
          </w:p>
        </w:tc>
      </w:tr>
      <w:tr>
        <w:tc>
          <w:tcPr>
            <w:tcW w:w="629" w:type="pct"/>
          </w:tcPr>
          <w:p>
            <w:pPr>
              <w:widowControl/>
              <w:spacing w:before="60" w:after="60" w:line="240" w:lineRule="auto"/>
              <w:ind w:left="720" w:hanging="360"/>
              <w:rPr>
                <w:rFonts w:eastAsia="MS Mincho"/>
                <w:noProof/>
                <w:szCs w:val="24"/>
              </w:rPr>
            </w:pPr>
            <w:r>
              <w:rPr>
                <w:noProof/>
              </w:rPr>
              <w:t>37</w:t>
            </w:r>
            <w:r>
              <w:rPr>
                <w:noProof/>
              </w:rPr>
              <w:tab/>
            </w:r>
          </w:p>
        </w:tc>
        <w:tc>
          <w:tcPr>
            <w:tcW w:w="2267" w:type="pct"/>
          </w:tcPr>
          <w:p>
            <w:pPr>
              <w:spacing w:before="60" w:after="60" w:line="240" w:lineRule="auto"/>
              <w:rPr>
                <w:rFonts w:eastAsia="MS Mincho"/>
                <w:noProof/>
                <w:szCs w:val="24"/>
              </w:rPr>
            </w:pPr>
            <w:r>
              <w:rPr>
                <w:noProof/>
                <w:color w:val="000000"/>
              </w:rPr>
              <w:t>Jeruk SoE Mollo</w:t>
            </w:r>
          </w:p>
        </w:tc>
        <w:tc>
          <w:tcPr>
            <w:tcW w:w="2105" w:type="pct"/>
          </w:tcPr>
          <w:p>
            <w:pPr>
              <w:spacing w:before="60" w:after="60" w:line="240" w:lineRule="auto"/>
              <w:rPr>
                <w:rFonts w:eastAsia="MS Mincho"/>
                <w:noProof/>
                <w:szCs w:val="24"/>
              </w:rPr>
            </w:pPr>
            <w:r>
              <w:rPr>
                <w:noProof/>
                <w:color w:val="000000"/>
              </w:rPr>
              <w:t>Orange</w:t>
            </w:r>
          </w:p>
        </w:tc>
      </w:tr>
      <w:tr>
        <w:tc>
          <w:tcPr>
            <w:tcW w:w="629" w:type="pct"/>
          </w:tcPr>
          <w:p>
            <w:pPr>
              <w:widowControl/>
              <w:spacing w:before="60" w:after="60" w:line="240" w:lineRule="auto"/>
              <w:ind w:left="720" w:hanging="360"/>
              <w:rPr>
                <w:rFonts w:eastAsia="MS Mincho"/>
                <w:noProof/>
                <w:szCs w:val="24"/>
              </w:rPr>
            </w:pPr>
            <w:r>
              <w:rPr>
                <w:noProof/>
              </w:rPr>
              <w:t>38</w:t>
            </w:r>
            <w:r>
              <w:rPr>
                <w:noProof/>
              </w:rPr>
              <w:tab/>
            </w:r>
          </w:p>
        </w:tc>
        <w:tc>
          <w:tcPr>
            <w:tcW w:w="2267" w:type="pct"/>
          </w:tcPr>
          <w:p>
            <w:pPr>
              <w:spacing w:before="60" w:after="60" w:line="240" w:lineRule="auto"/>
              <w:rPr>
                <w:rFonts w:eastAsia="MS Mincho"/>
                <w:noProof/>
                <w:szCs w:val="24"/>
              </w:rPr>
            </w:pPr>
            <w:r>
              <w:rPr>
                <w:noProof/>
                <w:color w:val="000000"/>
              </w:rPr>
              <w:t>Cengkeh Moloku Kie Raha</w:t>
            </w:r>
          </w:p>
        </w:tc>
        <w:tc>
          <w:tcPr>
            <w:tcW w:w="2105" w:type="pct"/>
          </w:tcPr>
          <w:p>
            <w:pPr>
              <w:spacing w:before="60" w:after="60" w:line="240" w:lineRule="auto"/>
              <w:rPr>
                <w:rFonts w:eastAsia="MS Mincho"/>
                <w:noProof/>
                <w:szCs w:val="24"/>
              </w:rPr>
            </w:pPr>
            <w:r>
              <w:rPr>
                <w:noProof/>
                <w:color w:val="000000"/>
              </w:rPr>
              <w:t>Clou de girofle</w:t>
            </w:r>
          </w:p>
        </w:tc>
      </w:tr>
      <w:tr>
        <w:tc>
          <w:tcPr>
            <w:tcW w:w="629" w:type="pct"/>
          </w:tcPr>
          <w:p>
            <w:pPr>
              <w:widowControl/>
              <w:spacing w:before="60" w:after="60" w:line="240" w:lineRule="auto"/>
              <w:ind w:left="720" w:hanging="360"/>
              <w:rPr>
                <w:rFonts w:eastAsia="MS Mincho"/>
                <w:noProof/>
                <w:szCs w:val="24"/>
              </w:rPr>
            </w:pPr>
            <w:r>
              <w:rPr>
                <w:noProof/>
              </w:rPr>
              <w:t>39</w:t>
            </w:r>
            <w:r>
              <w:rPr>
                <w:noProof/>
              </w:rPr>
              <w:tab/>
            </w:r>
          </w:p>
        </w:tc>
        <w:tc>
          <w:tcPr>
            <w:tcW w:w="2267" w:type="pct"/>
          </w:tcPr>
          <w:p>
            <w:pPr>
              <w:spacing w:before="60" w:after="60" w:line="240" w:lineRule="auto"/>
              <w:rPr>
                <w:rFonts w:eastAsia="MS Mincho"/>
                <w:noProof/>
                <w:szCs w:val="24"/>
              </w:rPr>
            </w:pPr>
            <w:r>
              <w:rPr>
                <w:noProof/>
                <w:color w:val="000000"/>
              </w:rPr>
              <w:t>Mete Muna</w:t>
            </w:r>
          </w:p>
        </w:tc>
        <w:tc>
          <w:tcPr>
            <w:tcW w:w="2105" w:type="pct"/>
          </w:tcPr>
          <w:p>
            <w:pPr>
              <w:spacing w:before="60" w:after="60" w:line="240" w:lineRule="auto"/>
              <w:rPr>
                <w:rFonts w:eastAsia="MS Mincho"/>
                <w:noProof/>
                <w:szCs w:val="24"/>
              </w:rPr>
            </w:pPr>
            <w:r>
              <w:rPr>
                <w:noProof/>
                <w:color w:val="000000"/>
              </w:rPr>
              <w:t>Cajou</w:t>
            </w:r>
          </w:p>
        </w:tc>
      </w:tr>
      <w:tr>
        <w:tc>
          <w:tcPr>
            <w:tcW w:w="629" w:type="pct"/>
          </w:tcPr>
          <w:p>
            <w:pPr>
              <w:pageBreakBefore/>
              <w:widowControl/>
              <w:spacing w:before="60" w:after="60" w:line="240" w:lineRule="auto"/>
              <w:ind w:left="720" w:hanging="360"/>
              <w:rPr>
                <w:rFonts w:eastAsia="MS Mincho"/>
                <w:noProof/>
                <w:szCs w:val="24"/>
              </w:rPr>
            </w:pPr>
            <w:r>
              <w:rPr>
                <w:noProof/>
              </w:rPr>
              <w:lastRenderedPageBreak/>
              <w:t>40</w:t>
            </w:r>
            <w:r>
              <w:rPr>
                <w:noProof/>
              </w:rPr>
              <w:tab/>
            </w:r>
          </w:p>
        </w:tc>
        <w:tc>
          <w:tcPr>
            <w:tcW w:w="2267" w:type="pct"/>
          </w:tcPr>
          <w:p>
            <w:pPr>
              <w:spacing w:before="60" w:after="60" w:line="240" w:lineRule="auto"/>
              <w:rPr>
                <w:rFonts w:eastAsia="MS Mincho"/>
                <w:noProof/>
                <w:szCs w:val="24"/>
              </w:rPr>
            </w:pPr>
            <w:r>
              <w:rPr>
                <w:noProof/>
                <w:color w:val="000000"/>
              </w:rPr>
              <w:t>Kopi Robusta Temanggung</w:t>
            </w:r>
          </w:p>
        </w:tc>
        <w:tc>
          <w:tcPr>
            <w:tcW w:w="2105" w:type="pct"/>
          </w:tcPr>
          <w:p>
            <w:pPr>
              <w:spacing w:before="60" w:after="60" w:line="240" w:lineRule="auto"/>
              <w:rPr>
                <w:rFonts w:eastAsia="MS Mincho"/>
                <w:noProof/>
                <w:szCs w:val="24"/>
              </w:rPr>
            </w:pPr>
            <w:r>
              <w:rPr>
                <w:noProof/>
                <w:color w:val="000000"/>
              </w:rPr>
              <w:t>Café</w:t>
            </w:r>
          </w:p>
        </w:tc>
      </w:tr>
      <w:tr>
        <w:tc>
          <w:tcPr>
            <w:tcW w:w="629" w:type="pct"/>
          </w:tcPr>
          <w:p>
            <w:pPr>
              <w:widowControl/>
              <w:spacing w:before="60" w:after="60" w:line="240" w:lineRule="auto"/>
              <w:ind w:left="720" w:hanging="360"/>
              <w:rPr>
                <w:rFonts w:eastAsia="MS Mincho"/>
                <w:noProof/>
                <w:szCs w:val="24"/>
              </w:rPr>
            </w:pPr>
            <w:r>
              <w:rPr>
                <w:noProof/>
              </w:rPr>
              <w:t>41</w:t>
            </w:r>
            <w:r>
              <w:rPr>
                <w:noProof/>
              </w:rPr>
              <w:tab/>
            </w:r>
          </w:p>
        </w:tc>
        <w:tc>
          <w:tcPr>
            <w:tcW w:w="2267" w:type="pct"/>
          </w:tcPr>
          <w:p>
            <w:pPr>
              <w:spacing w:before="60" w:after="60" w:line="240" w:lineRule="auto"/>
              <w:rPr>
                <w:rFonts w:eastAsia="MS Mincho"/>
                <w:noProof/>
                <w:szCs w:val="24"/>
              </w:rPr>
            </w:pPr>
            <w:r>
              <w:rPr>
                <w:noProof/>
                <w:color w:val="000000"/>
              </w:rPr>
              <w:t>Sawo Sukatali Sumedang</w:t>
            </w:r>
          </w:p>
        </w:tc>
        <w:tc>
          <w:tcPr>
            <w:tcW w:w="2105" w:type="pct"/>
          </w:tcPr>
          <w:p>
            <w:pPr>
              <w:spacing w:before="60" w:after="60" w:line="240" w:lineRule="auto"/>
              <w:rPr>
                <w:rFonts w:eastAsia="MS Mincho"/>
                <w:noProof/>
                <w:szCs w:val="24"/>
              </w:rPr>
            </w:pPr>
            <w:r>
              <w:rPr>
                <w:noProof/>
                <w:color w:val="000000"/>
              </w:rPr>
              <w:t>Fruit</w:t>
            </w:r>
          </w:p>
        </w:tc>
      </w:tr>
      <w:tr>
        <w:tc>
          <w:tcPr>
            <w:tcW w:w="629" w:type="pct"/>
          </w:tcPr>
          <w:p>
            <w:pPr>
              <w:widowControl/>
              <w:spacing w:before="60" w:after="60" w:line="240" w:lineRule="auto"/>
              <w:ind w:left="720" w:hanging="360"/>
              <w:rPr>
                <w:rFonts w:eastAsia="MS Mincho"/>
                <w:noProof/>
                <w:szCs w:val="24"/>
              </w:rPr>
            </w:pPr>
            <w:r>
              <w:rPr>
                <w:noProof/>
              </w:rPr>
              <w:t>42</w:t>
            </w:r>
            <w:r>
              <w:rPr>
                <w:noProof/>
              </w:rPr>
              <w:tab/>
            </w:r>
          </w:p>
        </w:tc>
        <w:tc>
          <w:tcPr>
            <w:tcW w:w="2267" w:type="pct"/>
          </w:tcPr>
          <w:p>
            <w:pPr>
              <w:spacing w:before="60" w:after="60" w:line="240" w:lineRule="auto"/>
              <w:rPr>
                <w:rFonts w:eastAsia="MS Mincho"/>
                <w:noProof/>
                <w:szCs w:val="24"/>
              </w:rPr>
            </w:pPr>
            <w:r>
              <w:rPr>
                <w:noProof/>
              </w:rPr>
              <w:t>Kopi Robusta Empat Lawang</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43</w:t>
            </w:r>
            <w:r>
              <w:rPr>
                <w:noProof/>
              </w:rPr>
              <w:tab/>
            </w:r>
          </w:p>
        </w:tc>
        <w:tc>
          <w:tcPr>
            <w:tcW w:w="2267" w:type="pct"/>
          </w:tcPr>
          <w:p>
            <w:pPr>
              <w:spacing w:before="60" w:after="60" w:line="240" w:lineRule="auto"/>
              <w:rPr>
                <w:rFonts w:eastAsia="MS Mincho"/>
                <w:noProof/>
                <w:szCs w:val="24"/>
              </w:rPr>
            </w:pPr>
            <w:r>
              <w:rPr>
                <w:noProof/>
              </w:rPr>
              <w:t>Duku Komering</w:t>
            </w:r>
          </w:p>
        </w:tc>
        <w:tc>
          <w:tcPr>
            <w:tcW w:w="2105" w:type="pct"/>
          </w:tcPr>
          <w:p>
            <w:pPr>
              <w:spacing w:before="60" w:after="60" w:line="240" w:lineRule="auto"/>
              <w:rPr>
                <w:rFonts w:eastAsia="MS Mincho"/>
                <w:noProof/>
                <w:szCs w:val="24"/>
              </w:rPr>
            </w:pPr>
            <w:r>
              <w:rPr>
                <w:noProof/>
              </w:rPr>
              <w:t>Fruit</w:t>
            </w:r>
          </w:p>
        </w:tc>
      </w:tr>
      <w:tr>
        <w:tc>
          <w:tcPr>
            <w:tcW w:w="629" w:type="pct"/>
          </w:tcPr>
          <w:p>
            <w:pPr>
              <w:widowControl/>
              <w:spacing w:before="60" w:after="60" w:line="240" w:lineRule="auto"/>
              <w:ind w:left="720" w:hanging="360"/>
              <w:rPr>
                <w:rFonts w:eastAsia="MS Mincho"/>
                <w:noProof/>
                <w:szCs w:val="24"/>
              </w:rPr>
            </w:pPr>
            <w:r>
              <w:rPr>
                <w:noProof/>
              </w:rPr>
              <w:t>44</w:t>
            </w:r>
            <w:r>
              <w:rPr>
                <w:noProof/>
              </w:rPr>
              <w:tab/>
            </w:r>
          </w:p>
        </w:tc>
        <w:tc>
          <w:tcPr>
            <w:tcW w:w="2267" w:type="pct"/>
          </w:tcPr>
          <w:p>
            <w:pPr>
              <w:spacing w:before="60" w:after="60" w:line="240" w:lineRule="auto"/>
              <w:rPr>
                <w:rFonts w:eastAsia="MS Mincho"/>
                <w:noProof/>
                <w:szCs w:val="24"/>
              </w:rPr>
            </w:pPr>
            <w:r>
              <w:rPr>
                <w:noProof/>
              </w:rPr>
              <w:t>Kopi Arabika Sumatera Koerintji</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45</w:t>
            </w:r>
            <w:r>
              <w:rPr>
                <w:noProof/>
              </w:rPr>
              <w:tab/>
            </w:r>
          </w:p>
        </w:tc>
        <w:tc>
          <w:tcPr>
            <w:tcW w:w="2267" w:type="pct"/>
          </w:tcPr>
          <w:p>
            <w:pPr>
              <w:spacing w:before="60" w:after="60" w:line="240" w:lineRule="auto"/>
              <w:rPr>
                <w:rFonts w:eastAsia="MS Mincho"/>
                <w:noProof/>
                <w:szCs w:val="24"/>
              </w:rPr>
            </w:pPr>
            <w:r>
              <w:rPr>
                <w:noProof/>
              </w:rPr>
              <w:t>Kopi Robusta Pinogu</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46</w:t>
            </w:r>
            <w:r>
              <w:rPr>
                <w:noProof/>
              </w:rPr>
              <w:tab/>
            </w:r>
          </w:p>
        </w:tc>
        <w:tc>
          <w:tcPr>
            <w:tcW w:w="2267" w:type="pct"/>
          </w:tcPr>
          <w:p>
            <w:pPr>
              <w:spacing w:before="60" w:after="60" w:line="240" w:lineRule="auto"/>
              <w:rPr>
                <w:rFonts w:eastAsia="MS Mincho"/>
                <w:noProof/>
                <w:szCs w:val="24"/>
              </w:rPr>
            </w:pPr>
            <w:r>
              <w:rPr>
                <w:noProof/>
              </w:rPr>
              <w:t>Kopi robusta Pupuan Bali</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47</w:t>
            </w:r>
            <w:r>
              <w:rPr>
                <w:noProof/>
              </w:rPr>
              <w:tab/>
            </w:r>
          </w:p>
        </w:tc>
        <w:tc>
          <w:tcPr>
            <w:tcW w:w="2267" w:type="pct"/>
          </w:tcPr>
          <w:p>
            <w:pPr>
              <w:spacing w:before="60" w:after="60" w:line="240" w:lineRule="auto"/>
              <w:rPr>
                <w:rFonts w:eastAsia="MS Mincho"/>
                <w:noProof/>
                <w:szCs w:val="24"/>
              </w:rPr>
            </w:pPr>
            <w:r>
              <w:rPr>
                <w:noProof/>
              </w:rPr>
              <w:t>Kopi Robusta Tambora</w:t>
            </w:r>
          </w:p>
        </w:tc>
        <w:tc>
          <w:tcPr>
            <w:tcW w:w="2105" w:type="pct"/>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48</w:t>
            </w:r>
            <w:r>
              <w:rPr>
                <w:noProof/>
              </w:rPr>
              <w:tab/>
            </w:r>
          </w:p>
        </w:tc>
        <w:tc>
          <w:tcPr>
            <w:tcW w:w="2267" w:type="pct"/>
          </w:tcPr>
          <w:p>
            <w:pPr>
              <w:spacing w:before="60" w:after="60" w:line="240" w:lineRule="auto"/>
              <w:rPr>
                <w:rFonts w:eastAsia="MS Mincho"/>
                <w:noProof/>
                <w:szCs w:val="24"/>
              </w:rPr>
            </w:pPr>
            <w:r>
              <w:rPr>
                <w:noProof/>
              </w:rPr>
              <w:t>Kopi Arabika Sumatera Lintong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49</w:t>
            </w:r>
            <w:r>
              <w:rPr>
                <w:noProof/>
              </w:rPr>
              <w:tab/>
            </w:r>
          </w:p>
        </w:tc>
        <w:tc>
          <w:tcPr>
            <w:tcW w:w="2267" w:type="pct"/>
          </w:tcPr>
          <w:p>
            <w:pPr>
              <w:spacing w:before="60" w:after="60" w:line="240" w:lineRule="auto"/>
              <w:rPr>
                <w:rFonts w:eastAsia="MS Mincho"/>
                <w:noProof/>
                <w:szCs w:val="24"/>
              </w:rPr>
            </w:pPr>
            <w:r>
              <w:rPr>
                <w:noProof/>
              </w:rPr>
              <w:t>Beras Raja Uncak Kapuas Hulu</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Riz</w:t>
            </w:r>
          </w:p>
        </w:tc>
      </w:tr>
      <w:tr>
        <w:tc>
          <w:tcPr>
            <w:tcW w:w="629" w:type="pct"/>
          </w:tcPr>
          <w:p>
            <w:pPr>
              <w:widowControl/>
              <w:spacing w:before="60" w:after="60" w:line="240" w:lineRule="auto"/>
              <w:ind w:left="720" w:hanging="360"/>
              <w:rPr>
                <w:rFonts w:eastAsia="MS Mincho"/>
                <w:noProof/>
                <w:szCs w:val="24"/>
              </w:rPr>
            </w:pPr>
            <w:r>
              <w:rPr>
                <w:noProof/>
              </w:rPr>
              <w:t>50</w:t>
            </w:r>
            <w:r>
              <w:rPr>
                <w:noProof/>
              </w:rPr>
              <w:tab/>
            </w:r>
          </w:p>
        </w:tc>
        <w:tc>
          <w:tcPr>
            <w:tcW w:w="2267" w:type="pct"/>
          </w:tcPr>
          <w:p>
            <w:pPr>
              <w:spacing w:before="60" w:after="60" w:line="240" w:lineRule="auto"/>
              <w:rPr>
                <w:rFonts w:eastAsia="MS Mincho"/>
                <w:noProof/>
                <w:szCs w:val="24"/>
              </w:rPr>
            </w:pPr>
            <w:r>
              <w:rPr>
                <w:noProof/>
              </w:rPr>
              <w:t>Kopi Arabika Flores Manggarai</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51</w:t>
            </w:r>
            <w:r>
              <w:rPr>
                <w:noProof/>
              </w:rPr>
              <w:tab/>
            </w:r>
          </w:p>
        </w:tc>
        <w:tc>
          <w:tcPr>
            <w:tcW w:w="2267" w:type="pct"/>
          </w:tcPr>
          <w:p>
            <w:pPr>
              <w:spacing w:before="60" w:after="60" w:line="240" w:lineRule="auto"/>
              <w:rPr>
                <w:rFonts w:eastAsia="MS Mincho"/>
                <w:noProof/>
                <w:szCs w:val="24"/>
              </w:rPr>
            </w:pPr>
            <w:r>
              <w:rPr>
                <w:noProof/>
              </w:rPr>
              <w:t>Kopi Arabika Sipirok</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52</w:t>
            </w:r>
            <w:r>
              <w:rPr>
                <w:noProof/>
              </w:rPr>
              <w:tab/>
            </w:r>
          </w:p>
        </w:tc>
        <w:tc>
          <w:tcPr>
            <w:tcW w:w="2267" w:type="pct"/>
          </w:tcPr>
          <w:p>
            <w:pPr>
              <w:spacing w:before="60" w:after="60" w:line="240" w:lineRule="auto"/>
              <w:rPr>
                <w:rFonts w:eastAsia="MS Mincho"/>
                <w:noProof/>
                <w:szCs w:val="24"/>
              </w:rPr>
            </w:pPr>
            <w:r>
              <w:rPr>
                <w:noProof/>
              </w:rPr>
              <w:t>Kopi Arabika Pulo Samosir</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53</w:t>
            </w:r>
            <w:r>
              <w:rPr>
                <w:noProof/>
              </w:rPr>
              <w:tab/>
            </w:r>
          </w:p>
        </w:tc>
        <w:tc>
          <w:tcPr>
            <w:tcW w:w="2267" w:type="pct"/>
          </w:tcPr>
          <w:p>
            <w:pPr>
              <w:spacing w:before="60" w:after="60" w:line="240" w:lineRule="auto"/>
              <w:rPr>
                <w:rFonts w:eastAsia="MS Mincho"/>
                <w:noProof/>
                <w:szCs w:val="24"/>
              </w:rPr>
            </w:pPr>
            <w:r>
              <w:rPr>
                <w:noProof/>
              </w:rPr>
              <w:t>Bareh Solok</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Riz</w:t>
            </w:r>
          </w:p>
        </w:tc>
      </w:tr>
      <w:tr>
        <w:tc>
          <w:tcPr>
            <w:tcW w:w="629" w:type="pct"/>
          </w:tcPr>
          <w:p>
            <w:pPr>
              <w:widowControl/>
              <w:spacing w:before="60" w:after="60" w:line="240" w:lineRule="auto"/>
              <w:ind w:left="720" w:hanging="360"/>
              <w:rPr>
                <w:rFonts w:eastAsia="MS Mincho"/>
                <w:noProof/>
                <w:szCs w:val="24"/>
              </w:rPr>
            </w:pPr>
            <w:r>
              <w:rPr>
                <w:noProof/>
              </w:rPr>
              <w:t>54</w:t>
            </w:r>
            <w:r>
              <w:rPr>
                <w:noProof/>
              </w:rPr>
              <w:tab/>
            </w:r>
          </w:p>
        </w:tc>
        <w:tc>
          <w:tcPr>
            <w:tcW w:w="2267" w:type="pct"/>
          </w:tcPr>
          <w:p>
            <w:pPr>
              <w:spacing w:before="60" w:after="60" w:line="240" w:lineRule="auto"/>
              <w:rPr>
                <w:rFonts w:eastAsia="MS Mincho"/>
                <w:noProof/>
                <w:szCs w:val="24"/>
              </w:rPr>
            </w:pPr>
            <w:r>
              <w:rPr>
                <w:noProof/>
              </w:rPr>
              <w:t xml:space="preserve">Pala Dukono </w:t>
            </w:r>
            <w:r>
              <w:rPr>
                <w:noProof/>
                <w:color w:val="141414"/>
              </w:rPr>
              <w:t>Halmahera Utara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Noix muscade</w:t>
            </w:r>
          </w:p>
        </w:tc>
      </w:tr>
      <w:tr>
        <w:tc>
          <w:tcPr>
            <w:tcW w:w="629" w:type="pct"/>
          </w:tcPr>
          <w:p>
            <w:pPr>
              <w:widowControl/>
              <w:spacing w:before="60" w:after="60" w:line="240" w:lineRule="auto"/>
              <w:ind w:left="720" w:hanging="360"/>
              <w:rPr>
                <w:rFonts w:eastAsia="MS Mincho"/>
                <w:noProof/>
                <w:szCs w:val="24"/>
              </w:rPr>
            </w:pPr>
            <w:r>
              <w:rPr>
                <w:noProof/>
              </w:rPr>
              <w:t>55</w:t>
            </w:r>
            <w:r>
              <w:rPr>
                <w:noProof/>
              </w:rPr>
              <w:tab/>
            </w:r>
          </w:p>
        </w:tc>
        <w:tc>
          <w:tcPr>
            <w:tcW w:w="2267" w:type="pct"/>
          </w:tcPr>
          <w:p>
            <w:pPr>
              <w:spacing w:before="60" w:after="60" w:line="240" w:lineRule="auto"/>
              <w:rPr>
                <w:rFonts w:eastAsia="MS Mincho"/>
                <w:noProof/>
                <w:szCs w:val="24"/>
              </w:rPr>
            </w:pPr>
            <w:r>
              <w:rPr>
                <w:noProof/>
              </w:rPr>
              <w:t>Kopi Robusta Kepahiang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rPr>
          <w:trHeight w:val="490"/>
        </w:trPr>
        <w:tc>
          <w:tcPr>
            <w:tcW w:w="629" w:type="pct"/>
          </w:tcPr>
          <w:p>
            <w:pPr>
              <w:widowControl/>
              <w:spacing w:before="60" w:after="60" w:line="240" w:lineRule="auto"/>
              <w:ind w:left="720" w:hanging="360"/>
              <w:rPr>
                <w:rFonts w:eastAsia="MS Mincho"/>
                <w:noProof/>
                <w:szCs w:val="24"/>
              </w:rPr>
            </w:pPr>
            <w:r>
              <w:rPr>
                <w:noProof/>
              </w:rPr>
              <w:t>56</w:t>
            </w:r>
            <w:r>
              <w:rPr>
                <w:noProof/>
              </w:rPr>
              <w:tab/>
            </w:r>
          </w:p>
        </w:tc>
        <w:tc>
          <w:tcPr>
            <w:tcW w:w="2267" w:type="pct"/>
          </w:tcPr>
          <w:p>
            <w:pPr>
              <w:spacing w:before="60" w:after="60" w:line="240" w:lineRule="auto"/>
              <w:rPr>
                <w:rFonts w:eastAsia="MS Mincho"/>
                <w:noProof/>
                <w:szCs w:val="24"/>
              </w:rPr>
            </w:pPr>
            <w:r>
              <w:rPr>
                <w:noProof/>
              </w:rPr>
              <w:t>Ikan Uceng Temanggung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Poisson</w:t>
            </w:r>
          </w:p>
        </w:tc>
      </w:tr>
      <w:tr>
        <w:trPr>
          <w:trHeight w:val="412"/>
        </w:trPr>
        <w:tc>
          <w:tcPr>
            <w:tcW w:w="629" w:type="pct"/>
          </w:tcPr>
          <w:p>
            <w:pPr>
              <w:widowControl/>
              <w:spacing w:before="60" w:after="60" w:line="240" w:lineRule="auto"/>
              <w:ind w:left="720" w:hanging="360"/>
              <w:rPr>
                <w:rFonts w:eastAsia="MS Mincho"/>
                <w:noProof/>
                <w:szCs w:val="24"/>
              </w:rPr>
            </w:pPr>
            <w:r>
              <w:rPr>
                <w:noProof/>
              </w:rPr>
              <w:t>57</w:t>
            </w:r>
            <w:r>
              <w:rPr>
                <w:noProof/>
              </w:rPr>
              <w:tab/>
            </w:r>
          </w:p>
        </w:tc>
        <w:tc>
          <w:tcPr>
            <w:tcW w:w="2267" w:type="pct"/>
          </w:tcPr>
          <w:p>
            <w:pPr>
              <w:spacing w:before="60" w:after="60" w:line="240" w:lineRule="auto"/>
              <w:rPr>
                <w:rFonts w:eastAsia="MS Mincho"/>
                <w:noProof/>
                <w:szCs w:val="24"/>
              </w:rPr>
            </w:pPr>
            <w:r>
              <w:rPr>
                <w:noProof/>
              </w:rPr>
              <w:t>Sidat Marmorata Poso</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Poisson</w:t>
            </w:r>
          </w:p>
        </w:tc>
      </w:tr>
      <w:tr>
        <w:tc>
          <w:tcPr>
            <w:tcW w:w="629" w:type="pct"/>
          </w:tcPr>
          <w:p>
            <w:pPr>
              <w:widowControl/>
              <w:spacing w:before="60" w:after="60" w:line="240" w:lineRule="auto"/>
              <w:ind w:left="720" w:hanging="360"/>
              <w:rPr>
                <w:rFonts w:eastAsia="MS Mincho"/>
                <w:noProof/>
                <w:szCs w:val="24"/>
              </w:rPr>
            </w:pPr>
            <w:r>
              <w:rPr>
                <w:noProof/>
              </w:rPr>
              <w:t>58</w:t>
            </w:r>
            <w:r>
              <w:rPr>
                <w:noProof/>
              </w:rPr>
              <w:tab/>
            </w:r>
          </w:p>
        </w:tc>
        <w:tc>
          <w:tcPr>
            <w:tcW w:w="2267" w:type="pct"/>
          </w:tcPr>
          <w:p>
            <w:pPr>
              <w:spacing w:before="60" w:after="60" w:line="240" w:lineRule="auto"/>
              <w:rPr>
                <w:rFonts w:eastAsia="MS Mincho"/>
                <w:noProof/>
                <w:szCs w:val="24"/>
              </w:rPr>
            </w:pPr>
            <w:r>
              <w:rPr>
                <w:noProof/>
              </w:rPr>
              <w:t>Kopi Robusta Sidikalang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59</w:t>
            </w:r>
            <w:r>
              <w:rPr>
                <w:noProof/>
              </w:rPr>
              <w:tab/>
            </w:r>
          </w:p>
        </w:tc>
        <w:tc>
          <w:tcPr>
            <w:tcW w:w="2267" w:type="pct"/>
          </w:tcPr>
          <w:p>
            <w:pPr>
              <w:spacing w:before="60" w:after="60" w:line="240" w:lineRule="auto"/>
              <w:rPr>
                <w:rFonts w:eastAsia="MS Mincho"/>
                <w:noProof/>
                <w:szCs w:val="24"/>
              </w:rPr>
            </w:pPr>
            <w:r>
              <w:rPr>
                <w:noProof/>
              </w:rPr>
              <w:t>Gula Lontar Rote</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Sucre</w:t>
            </w:r>
          </w:p>
        </w:tc>
      </w:tr>
      <w:tr>
        <w:tc>
          <w:tcPr>
            <w:tcW w:w="629" w:type="pct"/>
          </w:tcPr>
          <w:p>
            <w:pPr>
              <w:widowControl/>
              <w:spacing w:before="60" w:after="60" w:line="240" w:lineRule="auto"/>
              <w:ind w:left="720" w:hanging="360"/>
              <w:rPr>
                <w:rFonts w:eastAsia="MS Mincho"/>
                <w:noProof/>
                <w:szCs w:val="24"/>
              </w:rPr>
            </w:pPr>
            <w:r>
              <w:rPr>
                <w:noProof/>
              </w:rPr>
              <w:t>60</w:t>
            </w:r>
            <w:r>
              <w:rPr>
                <w:noProof/>
              </w:rPr>
              <w:tab/>
            </w:r>
          </w:p>
        </w:tc>
        <w:tc>
          <w:tcPr>
            <w:tcW w:w="2267" w:type="pct"/>
          </w:tcPr>
          <w:p>
            <w:pPr>
              <w:spacing w:before="60" w:after="60" w:line="240" w:lineRule="auto"/>
              <w:rPr>
                <w:rFonts w:eastAsia="MS Mincho"/>
                <w:noProof/>
                <w:szCs w:val="24"/>
              </w:rPr>
            </w:pPr>
            <w:r>
              <w:rPr>
                <w:noProof/>
              </w:rPr>
              <w:t>Kopi Robusta Java Bogor</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61</w:t>
            </w:r>
            <w:r>
              <w:rPr>
                <w:noProof/>
              </w:rPr>
              <w:tab/>
            </w:r>
          </w:p>
        </w:tc>
        <w:tc>
          <w:tcPr>
            <w:tcW w:w="2267" w:type="pct"/>
          </w:tcPr>
          <w:p>
            <w:pPr>
              <w:spacing w:before="60" w:after="60" w:line="240" w:lineRule="auto"/>
              <w:rPr>
                <w:rFonts w:eastAsia="MS Mincho"/>
                <w:noProof/>
                <w:szCs w:val="24"/>
              </w:rPr>
            </w:pPr>
            <w:r>
              <w:rPr>
                <w:noProof/>
              </w:rPr>
              <w:t>Kopi Arabika Baliem Wamena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62</w:t>
            </w:r>
            <w:r>
              <w:rPr>
                <w:noProof/>
              </w:rPr>
              <w:tab/>
            </w:r>
          </w:p>
        </w:tc>
        <w:tc>
          <w:tcPr>
            <w:tcW w:w="2267" w:type="pct"/>
          </w:tcPr>
          <w:p>
            <w:pPr>
              <w:spacing w:before="60" w:after="60" w:line="240" w:lineRule="auto"/>
              <w:rPr>
                <w:rFonts w:eastAsia="MS Mincho"/>
                <w:noProof/>
                <w:szCs w:val="24"/>
              </w:rPr>
            </w:pPr>
            <w:r>
              <w:rPr>
                <w:noProof/>
              </w:rPr>
              <w:t>Kopi Robusta Pasuruan</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63</w:t>
            </w:r>
            <w:r>
              <w:rPr>
                <w:noProof/>
              </w:rPr>
              <w:tab/>
            </w:r>
          </w:p>
        </w:tc>
        <w:tc>
          <w:tcPr>
            <w:tcW w:w="2267" w:type="pct"/>
          </w:tcPr>
          <w:p>
            <w:pPr>
              <w:spacing w:before="60" w:after="60" w:line="240" w:lineRule="auto"/>
              <w:rPr>
                <w:rFonts w:eastAsia="MS Mincho"/>
                <w:noProof/>
                <w:szCs w:val="24"/>
              </w:rPr>
            </w:pPr>
            <w:r>
              <w:rPr>
                <w:noProof/>
              </w:rPr>
              <w:t>Sagu Lingga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Farine de sagou</w:t>
            </w:r>
          </w:p>
        </w:tc>
      </w:tr>
      <w:tr>
        <w:tc>
          <w:tcPr>
            <w:tcW w:w="629" w:type="pct"/>
          </w:tcPr>
          <w:p>
            <w:pPr>
              <w:pageBreakBefore/>
              <w:widowControl/>
              <w:spacing w:before="60" w:after="60" w:line="240" w:lineRule="auto"/>
              <w:ind w:left="720" w:hanging="360"/>
              <w:rPr>
                <w:rFonts w:eastAsia="MS Mincho"/>
                <w:noProof/>
                <w:szCs w:val="24"/>
              </w:rPr>
            </w:pPr>
            <w:r>
              <w:rPr>
                <w:noProof/>
              </w:rPr>
              <w:lastRenderedPageBreak/>
              <w:t>64</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Kopi Arabika Tanah Karo</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65</w:t>
            </w:r>
            <w:r>
              <w:rPr>
                <w:noProof/>
              </w:rPr>
              <w:tab/>
            </w:r>
          </w:p>
        </w:tc>
        <w:tc>
          <w:tcPr>
            <w:tcW w:w="2267" w:type="pct"/>
          </w:tcPr>
          <w:p>
            <w:pPr>
              <w:spacing w:before="60" w:after="60" w:line="240" w:lineRule="auto"/>
              <w:rPr>
                <w:rFonts w:eastAsia="MS Mincho"/>
                <w:noProof/>
                <w:szCs w:val="24"/>
                <w:lang w:val="en-IE"/>
              </w:rPr>
            </w:pPr>
            <w:r>
              <w:rPr>
                <w:noProof/>
                <w:color w:val="333333"/>
                <w:shd w:val="clear" w:color="auto" w:fill="FFFFFF"/>
                <w:lang w:val="en-IE"/>
              </w:rPr>
              <w:t>Kopi Robusta Rejang Lebong Bengkulu</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66</w:t>
            </w:r>
            <w:r>
              <w:rPr>
                <w:noProof/>
              </w:rPr>
              <w:tab/>
            </w:r>
          </w:p>
        </w:tc>
        <w:tc>
          <w:tcPr>
            <w:tcW w:w="2267" w:type="pct"/>
          </w:tcPr>
          <w:p>
            <w:pPr>
              <w:spacing w:before="60" w:after="60" w:line="240" w:lineRule="auto"/>
              <w:rPr>
                <w:rFonts w:eastAsia="MS Mincho"/>
                <w:noProof/>
                <w:szCs w:val="24"/>
                <w:lang w:val="en-IE"/>
              </w:rPr>
            </w:pPr>
            <w:r>
              <w:rPr>
                <w:noProof/>
                <w:color w:val="333333"/>
                <w:shd w:val="clear" w:color="auto" w:fill="FFFFFF"/>
                <w:lang w:val="en-IE"/>
              </w:rPr>
              <w:t>Lada Malonan Kutai Kartanegara Kaltim</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Poivre</w:t>
            </w:r>
          </w:p>
        </w:tc>
      </w:tr>
      <w:tr>
        <w:tc>
          <w:tcPr>
            <w:tcW w:w="629" w:type="pct"/>
          </w:tcPr>
          <w:p>
            <w:pPr>
              <w:widowControl/>
              <w:spacing w:before="60" w:after="60" w:line="240" w:lineRule="auto"/>
              <w:ind w:left="720" w:hanging="360"/>
              <w:rPr>
                <w:rFonts w:eastAsia="MS Mincho"/>
                <w:noProof/>
                <w:szCs w:val="24"/>
              </w:rPr>
            </w:pPr>
            <w:r>
              <w:rPr>
                <w:noProof/>
              </w:rPr>
              <w:t>67</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Pala Kepulauan Banda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Graines de noix muscade</w:t>
            </w:r>
          </w:p>
        </w:tc>
      </w:tr>
      <w:tr>
        <w:tc>
          <w:tcPr>
            <w:tcW w:w="629" w:type="pct"/>
          </w:tcPr>
          <w:p>
            <w:pPr>
              <w:widowControl/>
              <w:spacing w:before="60" w:after="60" w:line="240" w:lineRule="auto"/>
              <w:ind w:left="720" w:hanging="360"/>
              <w:rPr>
                <w:rFonts w:eastAsia="MS Mincho"/>
                <w:noProof/>
                <w:szCs w:val="24"/>
              </w:rPr>
            </w:pPr>
            <w:r>
              <w:rPr>
                <w:noProof/>
              </w:rPr>
              <w:t>68</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Garam Gunung Krayan</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Sel de montagne</w:t>
            </w:r>
          </w:p>
        </w:tc>
      </w:tr>
      <w:tr>
        <w:tc>
          <w:tcPr>
            <w:tcW w:w="629" w:type="pct"/>
          </w:tcPr>
          <w:p>
            <w:pPr>
              <w:widowControl/>
              <w:spacing w:before="60" w:after="60" w:line="240" w:lineRule="auto"/>
              <w:ind w:left="720" w:hanging="360"/>
              <w:rPr>
                <w:rFonts w:eastAsia="MS Mincho"/>
                <w:noProof/>
                <w:szCs w:val="24"/>
              </w:rPr>
            </w:pPr>
            <w:r>
              <w:rPr>
                <w:noProof/>
              </w:rPr>
              <w:t>69</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Lada Luwu Timur</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Poivre</w:t>
            </w:r>
          </w:p>
        </w:tc>
      </w:tr>
      <w:tr>
        <w:tc>
          <w:tcPr>
            <w:tcW w:w="629" w:type="pct"/>
          </w:tcPr>
          <w:p>
            <w:pPr>
              <w:widowControl/>
              <w:spacing w:before="60" w:after="60" w:line="240" w:lineRule="auto"/>
              <w:ind w:left="720" w:hanging="360"/>
              <w:rPr>
                <w:rFonts w:eastAsia="MS Mincho"/>
                <w:noProof/>
                <w:szCs w:val="24"/>
              </w:rPr>
            </w:pPr>
            <w:r>
              <w:rPr>
                <w:noProof/>
              </w:rPr>
              <w:t>70</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Kopi Arabika Gayo</w:t>
            </w:r>
            <w:r>
              <w:rPr>
                <w:b/>
                <w:noProof/>
                <w:color w:val="333333"/>
                <w:shd w:val="clear" w:color="auto" w:fill="FFFFFF"/>
                <w:vertAlign w:val="superscript"/>
              </w:rPr>
              <w:t>*</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spacing w:before="60" w:after="60" w:line="240" w:lineRule="auto"/>
              <w:ind w:left="720"/>
              <w:rPr>
                <w:rFonts w:eastAsia="MS Mincho"/>
                <w:noProof/>
                <w:szCs w:val="24"/>
                <w:lang w:eastAsia="ja-JP"/>
              </w:rPr>
            </w:pPr>
          </w:p>
        </w:tc>
        <w:tc>
          <w:tcPr>
            <w:tcW w:w="2267" w:type="pct"/>
          </w:tcPr>
          <w:p>
            <w:pPr>
              <w:spacing w:before="60" w:after="60" w:line="240" w:lineRule="auto"/>
              <w:rPr>
                <w:rFonts w:eastAsia="Rockwell"/>
                <w:noProof/>
                <w:szCs w:val="24"/>
              </w:rPr>
            </w:pPr>
            <w:r>
              <w:rPr>
                <w:b/>
                <w:noProof/>
                <w:vertAlign w:val="superscript"/>
              </w:rPr>
              <w:t>*</w:t>
            </w:r>
            <w:r>
              <w:rPr>
                <w:noProof/>
              </w:rPr>
              <w:t xml:space="preserve"> IG déjà protégée également au titre d’une demande directe dans l’UE</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p>
        </w:tc>
      </w:tr>
      <w:tr>
        <w:tc>
          <w:tcPr>
            <w:tcW w:w="629" w:type="pct"/>
          </w:tcPr>
          <w:p>
            <w:pPr>
              <w:widowControl/>
              <w:spacing w:before="60" w:after="60" w:line="240" w:lineRule="auto"/>
              <w:ind w:left="720" w:hanging="360"/>
              <w:rPr>
                <w:rFonts w:eastAsia="MS Mincho"/>
                <w:noProof/>
                <w:szCs w:val="24"/>
              </w:rPr>
            </w:pPr>
            <w:r>
              <w:rPr>
                <w:noProof/>
              </w:rPr>
              <w:t>71</w:t>
            </w:r>
            <w:r>
              <w:rPr>
                <w:noProof/>
              </w:rPr>
              <w:tab/>
            </w:r>
          </w:p>
        </w:tc>
        <w:tc>
          <w:tcPr>
            <w:tcW w:w="2267" w:type="pct"/>
          </w:tcPr>
          <w:p>
            <w:pPr>
              <w:spacing w:before="60" w:after="60" w:line="240" w:lineRule="auto"/>
              <w:rPr>
                <w:rFonts w:eastAsia="MS Mincho"/>
                <w:noProof/>
                <w:szCs w:val="24"/>
              </w:rPr>
            </w:pPr>
            <w:r>
              <w:rPr>
                <w:noProof/>
              </w:rPr>
              <w:t>Kopi Robusta Pagar Alam</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Café</w:t>
            </w:r>
          </w:p>
        </w:tc>
      </w:tr>
      <w:tr>
        <w:tc>
          <w:tcPr>
            <w:tcW w:w="629" w:type="pct"/>
          </w:tcPr>
          <w:p>
            <w:pPr>
              <w:widowControl/>
              <w:spacing w:before="60" w:after="60" w:line="240" w:lineRule="auto"/>
              <w:ind w:left="720" w:hanging="360"/>
              <w:rPr>
                <w:rFonts w:eastAsia="MS Mincho"/>
                <w:noProof/>
                <w:szCs w:val="24"/>
              </w:rPr>
            </w:pPr>
            <w:r>
              <w:rPr>
                <w:noProof/>
              </w:rPr>
              <w:t>72</w:t>
            </w:r>
            <w:r>
              <w:rPr>
                <w:noProof/>
              </w:rPr>
              <w:tab/>
            </w:r>
          </w:p>
        </w:tc>
        <w:tc>
          <w:tcPr>
            <w:tcW w:w="2267" w:type="pct"/>
          </w:tcPr>
          <w:p>
            <w:pPr>
              <w:spacing w:before="60" w:after="60" w:line="240" w:lineRule="auto"/>
              <w:rPr>
                <w:rFonts w:eastAsia="MS Mincho"/>
                <w:noProof/>
                <w:szCs w:val="24"/>
              </w:rPr>
            </w:pPr>
            <w:r>
              <w:rPr>
                <w:noProof/>
              </w:rPr>
              <w:t>Salak Sibetan Karangasem Bali</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Fruit serpent</w:t>
            </w:r>
          </w:p>
        </w:tc>
      </w:tr>
    </w:tbl>
    <w:p>
      <w:pPr>
        <w:rPr>
          <w:noProof/>
        </w:rPr>
      </w:pPr>
    </w:p>
    <w:p>
      <w:pPr>
        <w:rPr>
          <w:noProof/>
        </w:rPr>
      </w:pPr>
    </w:p>
    <w:p>
      <w:pPr>
        <w:jc w:val="center"/>
        <w:rPr>
          <w:noProof/>
        </w:rPr>
      </w:pPr>
      <w:r>
        <w:rPr>
          <w:noProof/>
        </w:rPr>
        <w:t>________________</w:t>
      </w:r>
    </w:p>
    <w:p>
      <w:pPr>
        <w:jc w:val="right"/>
        <w:rPr>
          <w:b/>
          <w:bCs/>
          <w:noProof/>
          <w:u w:val="single"/>
        </w:rPr>
        <w:sectPr>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13-A</w:t>
      </w:r>
    </w:p>
    <w:p>
      <w:pPr>
        <w:rPr>
          <w:noProof/>
        </w:rPr>
      </w:pPr>
    </w:p>
    <w:p>
      <w:pPr>
        <w:rPr>
          <w:noProof/>
        </w:rPr>
      </w:pPr>
    </w:p>
    <w:p>
      <w:pPr>
        <w:jc w:val="center"/>
        <w:rPr>
          <w:noProof/>
        </w:rPr>
      </w:pPr>
      <w:r>
        <w:rPr>
          <w:noProof/>
        </w:rPr>
        <w:t>RÉGLES SPÉCIFIQUES POUR L’INDONÉSIE EN CE QUI CONCERNE LES ENTREPRISES PUBLIQUES</w:t>
      </w:r>
    </w:p>
    <w:p>
      <w:pPr>
        <w:rPr>
          <w:noProof/>
        </w:rPr>
      </w:pPr>
    </w:p>
    <w:p>
      <w:pPr>
        <w:rPr>
          <w:rFonts w:eastAsia="Calibri"/>
          <w:noProof/>
        </w:rPr>
      </w:pPr>
      <w:r>
        <w:rPr>
          <w:noProof/>
        </w:rPr>
        <w:t>1.</w:t>
      </w:r>
      <w:r>
        <w:rPr>
          <w:noProof/>
        </w:rPr>
        <w:tab/>
        <w:t>La section C du chapitre 13 (Concurrence) ne s’applique pas à l’adoption, à l’application ou à la mise en œuvre de l’actionnarisation, de la restructuration ou de la cession d’actifs détenus ou contrôlés par l’Indonésie, à condition que ces opérations soient effectuées sans discrimination à l’égard des entreprises de l’Union qui négocient avec l’Indonésie ou investissent en Indonésie.</w:t>
      </w:r>
    </w:p>
    <w:p>
      <w:pPr>
        <w:rPr>
          <w:rFonts w:eastAsia="Calibri"/>
          <w:noProof/>
        </w:rPr>
      </w:pPr>
    </w:p>
    <w:p>
      <w:pPr>
        <w:rPr>
          <w:rFonts w:eastAsia="Calibri"/>
          <w:noProof/>
        </w:rPr>
      </w:pPr>
      <w:r>
        <w:rPr>
          <w:noProof/>
        </w:rPr>
        <w:t>2.</w:t>
      </w:r>
      <w:r>
        <w:rPr>
          <w:noProof/>
        </w:rPr>
        <w:tab/>
        <w:t>L’article 13.17 ne s’applique pas à l’achat de marchandises ou de services par une entreprise publique auprès de PME indonésiennes, si cet achat est effectué conformément aux lois et réglementations indonésiennes ou à une mesure gouvernementale.</w:t>
      </w:r>
    </w:p>
    <w:p>
      <w:pPr>
        <w:rPr>
          <w:rFonts w:eastAsia="Calibri"/>
          <w:noProof/>
        </w:rPr>
      </w:pPr>
    </w:p>
    <w:p>
      <w:pPr>
        <w:rPr>
          <w:rFonts w:eastAsia="Calibri"/>
          <w:noProof/>
        </w:rPr>
      </w:pPr>
      <w:r>
        <w:rPr>
          <w:noProof/>
        </w:rPr>
        <w:t>3.</w:t>
      </w:r>
      <w:r>
        <w:rPr>
          <w:noProof/>
        </w:rPr>
        <w:tab/>
        <w:t>La section C du chapitre 13 (Concurrence) ne s’applique qu’aux entreprises publiques énumérées ci-dessous à partir du 23 septembre 2025 et à leurs successeurs, et reste applicable indépendamment de toute modification, en tout ou en partie, des activités des entreprises publiques énumérées. L’Indonésie notifie à l’Union toute modification de ce type concernant les entreprises publiques inscrites sur la liste:</w:t>
      </w:r>
    </w:p>
    <w:p>
      <w:pPr>
        <w:rPr>
          <w:rFonts w:eastAsia="Calibri"/>
          <w:noProof/>
        </w:rPr>
      </w:pPr>
    </w:p>
    <w:p>
      <w:pPr>
        <w:ind w:left="567" w:hanging="567"/>
        <w:rPr>
          <w:noProof/>
          <w:lang w:val="en-IE"/>
        </w:rPr>
      </w:pPr>
      <w:r>
        <w:rPr>
          <w:noProof/>
          <w:lang w:val="en-IE"/>
        </w:rPr>
        <w:t>a)</w:t>
      </w:r>
      <w:r>
        <w:rPr>
          <w:noProof/>
          <w:lang w:val="en-IE"/>
        </w:rPr>
        <w:tab/>
        <w:t>PT Telkom Indonesia (Persero) Tbk;</w:t>
      </w:r>
    </w:p>
    <w:p>
      <w:pPr>
        <w:ind w:left="567" w:hanging="567"/>
        <w:rPr>
          <w:noProof/>
          <w:lang w:val="pt-BR"/>
        </w:rPr>
      </w:pPr>
    </w:p>
    <w:p>
      <w:pPr>
        <w:ind w:left="567" w:hanging="567"/>
        <w:rPr>
          <w:noProof/>
          <w:lang w:val="en-IE"/>
        </w:rPr>
      </w:pPr>
      <w:r>
        <w:rPr>
          <w:noProof/>
          <w:lang w:val="en-IE"/>
        </w:rPr>
        <w:t>b)</w:t>
      </w:r>
      <w:r>
        <w:rPr>
          <w:noProof/>
          <w:lang w:val="en-IE"/>
        </w:rPr>
        <w:tab/>
        <w:t>PT Bank Rakyat Indonesia (Persero) Tbk;</w:t>
      </w:r>
    </w:p>
    <w:p>
      <w:pPr>
        <w:ind w:left="567" w:hanging="567"/>
        <w:rPr>
          <w:noProof/>
          <w:lang w:val="en-IE"/>
        </w:rPr>
      </w:pPr>
    </w:p>
    <w:p>
      <w:pPr>
        <w:ind w:left="567" w:hanging="567"/>
        <w:rPr>
          <w:noProof/>
          <w:lang w:val="en-IE"/>
        </w:rPr>
      </w:pPr>
      <w:r>
        <w:rPr>
          <w:noProof/>
          <w:lang w:val="en-IE"/>
        </w:rPr>
        <w:t>c)</w:t>
      </w:r>
      <w:r>
        <w:rPr>
          <w:noProof/>
          <w:lang w:val="en-IE"/>
        </w:rPr>
        <w:tab/>
        <w:t>PT Bank Mandiri (Persero) Tbk;</w:t>
      </w:r>
    </w:p>
    <w:p>
      <w:pPr>
        <w:ind w:left="567" w:hanging="567"/>
        <w:rPr>
          <w:noProof/>
          <w:lang w:val="sv-SE"/>
        </w:rPr>
      </w:pPr>
    </w:p>
    <w:p>
      <w:pPr>
        <w:ind w:left="567" w:hanging="567"/>
        <w:rPr>
          <w:noProof/>
          <w:lang w:val="en-IE"/>
        </w:rPr>
      </w:pPr>
      <w:r>
        <w:rPr>
          <w:noProof/>
          <w:lang w:val="en-IE"/>
        </w:rPr>
        <w:t>d)</w:t>
      </w:r>
      <w:r>
        <w:rPr>
          <w:noProof/>
          <w:lang w:val="en-IE"/>
        </w:rPr>
        <w:tab/>
        <w:t>PT Bank Negara Indonesia (Persero) Tbk;</w:t>
      </w:r>
    </w:p>
    <w:p>
      <w:pPr>
        <w:ind w:left="567" w:hanging="567"/>
        <w:rPr>
          <w:noProof/>
          <w:lang w:val="pt-BR"/>
        </w:rPr>
      </w:pPr>
    </w:p>
    <w:p>
      <w:pPr>
        <w:widowControl/>
        <w:spacing w:line="240" w:lineRule="auto"/>
        <w:rPr>
          <w:noProof/>
          <w:lang w:val="en-IE"/>
        </w:rPr>
      </w:pPr>
      <w:r>
        <w:rPr>
          <w:noProof/>
          <w:lang w:val="en-IE"/>
        </w:rPr>
        <w:br w:type="page"/>
      </w:r>
    </w:p>
    <w:p>
      <w:pPr>
        <w:ind w:left="567" w:hanging="567"/>
        <w:rPr>
          <w:noProof/>
          <w:lang w:val="en-IE"/>
        </w:rPr>
      </w:pPr>
      <w:r>
        <w:rPr>
          <w:noProof/>
          <w:lang w:val="en-IE"/>
        </w:rPr>
        <w:lastRenderedPageBreak/>
        <w:t>e)</w:t>
      </w:r>
      <w:r>
        <w:rPr>
          <w:noProof/>
          <w:lang w:val="en-IE"/>
        </w:rPr>
        <w:tab/>
        <w:t>PT Bank Tabungan Negara (Persero) Tbk;</w:t>
      </w:r>
    </w:p>
    <w:p>
      <w:pPr>
        <w:ind w:left="567" w:hanging="567"/>
        <w:rPr>
          <w:noProof/>
          <w:lang w:val="sv-SE"/>
        </w:rPr>
      </w:pPr>
    </w:p>
    <w:p>
      <w:pPr>
        <w:ind w:left="567" w:hanging="567"/>
        <w:rPr>
          <w:noProof/>
          <w:lang w:val="en-IE"/>
        </w:rPr>
      </w:pPr>
      <w:r>
        <w:rPr>
          <w:noProof/>
          <w:lang w:val="en-IE"/>
        </w:rPr>
        <w:t>f)</w:t>
      </w:r>
      <w:r>
        <w:rPr>
          <w:noProof/>
          <w:lang w:val="en-IE"/>
        </w:rPr>
        <w:tab/>
        <w:t>PT Semen Indonesia (Persero) Tbk;</w:t>
      </w:r>
    </w:p>
    <w:p>
      <w:pPr>
        <w:ind w:left="567" w:hanging="567"/>
        <w:rPr>
          <w:noProof/>
          <w:lang w:val="pt-BR"/>
        </w:rPr>
      </w:pPr>
    </w:p>
    <w:p>
      <w:pPr>
        <w:ind w:left="567" w:hanging="567"/>
        <w:rPr>
          <w:noProof/>
          <w:lang w:val="en-IE"/>
        </w:rPr>
      </w:pPr>
      <w:r>
        <w:rPr>
          <w:noProof/>
          <w:lang w:val="en-IE"/>
        </w:rPr>
        <w:t>g)</w:t>
      </w:r>
      <w:r>
        <w:rPr>
          <w:noProof/>
          <w:lang w:val="en-IE"/>
        </w:rPr>
        <w:tab/>
        <w:t>PT Garuda Indonesia (Persero) Tbk;</w:t>
      </w:r>
    </w:p>
    <w:p>
      <w:pPr>
        <w:ind w:left="567" w:hanging="567"/>
        <w:rPr>
          <w:noProof/>
          <w:lang w:val="pt-BR"/>
        </w:rPr>
      </w:pPr>
    </w:p>
    <w:p>
      <w:pPr>
        <w:ind w:left="567" w:hanging="567"/>
        <w:rPr>
          <w:noProof/>
          <w:lang w:val="en-IE"/>
        </w:rPr>
      </w:pPr>
      <w:r>
        <w:rPr>
          <w:noProof/>
          <w:lang w:val="en-IE"/>
        </w:rPr>
        <w:t>h)</w:t>
      </w:r>
      <w:r>
        <w:rPr>
          <w:noProof/>
          <w:lang w:val="en-IE"/>
        </w:rPr>
        <w:tab/>
        <w:t>PT Jasa Marga (Persero) Tbk;</w:t>
      </w:r>
    </w:p>
    <w:p>
      <w:pPr>
        <w:ind w:left="567" w:hanging="567"/>
        <w:rPr>
          <w:noProof/>
          <w:lang w:val="pt-BR"/>
        </w:rPr>
      </w:pPr>
    </w:p>
    <w:p>
      <w:pPr>
        <w:ind w:left="567" w:hanging="567"/>
        <w:rPr>
          <w:noProof/>
          <w:lang w:val="en-IE"/>
        </w:rPr>
      </w:pPr>
      <w:r>
        <w:rPr>
          <w:noProof/>
          <w:lang w:val="en-IE"/>
        </w:rPr>
        <w:t>i)</w:t>
      </w:r>
      <w:r>
        <w:rPr>
          <w:noProof/>
          <w:lang w:val="en-IE"/>
        </w:rPr>
        <w:tab/>
        <w:t>PT Krakatau Steel (Persero) Tbk;</w:t>
      </w:r>
    </w:p>
    <w:p>
      <w:pPr>
        <w:ind w:left="567" w:hanging="567"/>
        <w:rPr>
          <w:noProof/>
          <w:lang w:val="sv-SE"/>
        </w:rPr>
      </w:pPr>
    </w:p>
    <w:p>
      <w:pPr>
        <w:ind w:left="567" w:hanging="567"/>
        <w:rPr>
          <w:noProof/>
          <w:lang w:val="en-IE"/>
        </w:rPr>
      </w:pPr>
      <w:r>
        <w:rPr>
          <w:noProof/>
          <w:lang w:val="en-IE"/>
        </w:rPr>
        <w:t>j)</w:t>
      </w:r>
      <w:r>
        <w:rPr>
          <w:noProof/>
          <w:lang w:val="en-IE"/>
        </w:rPr>
        <w:tab/>
        <w:t>PT Bahana Pembinaan Usaha Indonesia (Persero);</w:t>
      </w:r>
    </w:p>
    <w:p>
      <w:pPr>
        <w:ind w:left="567" w:hanging="567"/>
        <w:rPr>
          <w:noProof/>
          <w:lang w:val="pt-BR"/>
        </w:rPr>
      </w:pPr>
    </w:p>
    <w:p>
      <w:pPr>
        <w:ind w:left="567" w:hanging="567"/>
        <w:rPr>
          <w:noProof/>
          <w:lang w:val="pt-BR"/>
        </w:rPr>
      </w:pPr>
      <w:r>
        <w:rPr>
          <w:noProof/>
          <w:lang w:val="pt-BR"/>
        </w:rPr>
        <w:t>k)</w:t>
      </w:r>
      <w:r>
        <w:rPr>
          <w:noProof/>
          <w:lang w:val="pt-BR"/>
        </w:rPr>
        <w:tab/>
        <w:t>PT Aviasi Pariwisata Indonesia (Persero);</w:t>
      </w:r>
    </w:p>
    <w:p>
      <w:pPr>
        <w:ind w:left="567" w:hanging="567"/>
        <w:rPr>
          <w:noProof/>
          <w:lang w:val="pt-BR"/>
        </w:rPr>
      </w:pPr>
    </w:p>
    <w:p>
      <w:pPr>
        <w:ind w:left="567" w:hanging="567"/>
        <w:rPr>
          <w:noProof/>
          <w:lang w:val="pt-BR"/>
        </w:rPr>
      </w:pPr>
      <w:r>
        <w:rPr>
          <w:noProof/>
          <w:lang w:val="pt-BR"/>
        </w:rPr>
        <w:t>l)</w:t>
      </w:r>
      <w:r>
        <w:rPr>
          <w:noProof/>
          <w:lang w:val="pt-BR"/>
        </w:rPr>
        <w:tab/>
        <w:t>PT Biro Klasifikasi Indonesia (Persero);</w:t>
      </w:r>
    </w:p>
    <w:p>
      <w:pPr>
        <w:ind w:left="567" w:hanging="567"/>
        <w:rPr>
          <w:noProof/>
          <w:lang w:val="pt-BR"/>
        </w:rPr>
      </w:pPr>
    </w:p>
    <w:p>
      <w:pPr>
        <w:ind w:left="567" w:hanging="567"/>
        <w:rPr>
          <w:noProof/>
          <w:lang w:val="pt-BR"/>
        </w:rPr>
      </w:pPr>
      <w:r>
        <w:rPr>
          <w:noProof/>
          <w:lang w:val="pt-BR"/>
        </w:rPr>
        <w:t>m)</w:t>
      </w:r>
      <w:r>
        <w:rPr>
          <w:noProof/>
          <w:lang w:val="pt-BR"/>
        </w:rPr>
        <w:tab/>
        <w:t>PT Danareksa (Persero);</w:t>
      </w:r>
    </w:p>
    <w:p>
      <w:pPr>
        <w:ind w:left="567" w:hanging="567"/>
        <w:rPr>
          <w:noProof/>
          <w:lang w:val="pt-BR"/>
        </w:rPr>
      </w:pPr>
    </w:p>
    <w:p>
      <w:pPr>
        <w:ind w:left="567" w:hanging="567"/>
        <w:rPr>
          <w:noProof/>
          <w:lang w:val="en-IE"/>
        </w:rPr>
      </w:pPr>
      <w:r>
        <w:rPr>
          <w:noProof/>
          <w:lang w:val="en-IE"/>
        </w:rPr>
        <w:t>n)</w:t>
      </w:r>
      <w:r>
        <w:rPr>
          <w:noProof/>
          <w:lang w:val="en-IE"/>
        </w:rPr>
        <w:tab/>
        <w:t>PT Pelabuhan Indonesia (Persero);</w:t>
      </w:r>
    </w:p>
    <w:p>
      <w:pPr>
        <w:ind w:left="567" w:hanging="567"/>
        <w:rPr>
          <w:noProof/>
          <w:lang w:val="pt-BR"/>
        </w:rPr>
      </w:pPr>
    </w:p>
    <w:p>
      <w:pPr>
        <w:ind w:left="567" w:hanging="567"/>
        <w:rPr>
          <w:noProof/>
        </w:rPr>
      </w:pPr>
      <w:r>
        <w:rPr>
          <w:noProof/>
        </w:rPr>
        <w:t>o)</w:t>
      </w:r>
      <w:r>
        <w:rPr>
          <w:noProof/>
        </w:rPr>
        <w:tab/>
        <w:t>PT Pos Indonesia (Persero);</w:t>
      </w:r>
    </w:p>
    <w:p>
      <w:pPr>
        <w:ind w:left="567" w:hanging="567"/>
        <w:rPr>
          <w:noProof/>
          <w:lang w:val="pt-BR"/>
        </w:rPr>
      </w:pPr>
    </w:p>
    <w:p>
      <w:pPr>
        <w:ind w:left="567" w:hanging="567"/>
        <w:rPr>
          <w:noProof/>
        </w:rPr>
      </w:pPr>
      <w:r>
        <w:rPr>
          <w:noProof/>
        </w:rPr>
        <w:t>p)</w:t>
      </w:r>
      <w:r>
        <w:rPr>
          <w:noProof/>
        </w:rPr>
        <w:tab/>
        <w:t>PT Biofarma (Persero);</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q)</w:t>
      </w:r>
      <w:r>
        <w:rPr>
          <w:noProof/>
        </w:rPr>
        <w:tab/>
        <w:t>PT Kereta Api Indonesia (Persero), à l’exception de ses activités liées au développement et à l’exploitation de la ligne ferroviaire à grande vitesse entre Jakarta et Bandung conformément au règlement présidentiel nº 107, année 2015, concernant l’accélération de l’organisation de l’infrastructure et de la facilité de la ligne ferroviaire à grande vitesse entre Jakarta et Bandung, et à ses règlements, y compris toute modification future;</w:t>
      </w:r>
    </w:p>
    <w:p>
      <w:pPr>
        <w:ind w:left="567" w:hanging="567"/>
        <w:rPr>
          <w:noProof/>
        </w:rPr>
      </w:pPr>
    </w:p>
    <w:p>
      <w:pPr>
        <w:ind w:left="567" w:hanging="567"/>
        <w:rPr>
          <w:noProof/>
        </w:rPr>
      </w:pPr>
      <w:r>
        <w:rPr>
          <w:noProof/>
        </w:rPr>
        <w:t>r)</w:t>
      </w:r>
      <w:r>
        <w:rPr>
          <w:noProof/>
        </w:rPr>
        <w:tab/>
        <w:t>PT Rajawali Nusantara Indonesia (Persero), à l’exception de ses activités liées à la fourniture et à la garantie de stocks alimentaires nationaux et de la sécurité alimentaire conformément à la loi nº 18, année 2012, relative à l’alimentation, et à ses règlements, y compris le règlement présidentiel nº 125, année 2022, relatif à la mise en œuvre des réserves alimentaires gouvernementales, et y compris toute modification future;</w:t>
      </w:r>
    </w:p>
    <w:p>
      <w:pPr>
        <w:ind w:left="567" w:hanging="567"/>
        <w:rPr>
          <w:noProof/>
        </w:rPr>
      </w:pPr>
    </w:p>
    <w:p>
      <w:pPr>
        <w:ind w:left="567" w:hanging="567"/>
        <w:rPr>
          <w:noProof/>
        </w:rPr>
      </w:pPr>
      <w:r>
        <w:rPr>
          <w:noProof/>
        </w:rPr>
        <w:t>s)</w:t>
      </w:r>
      <w:r>
        <w:rPr>
          <w:noProof/>
        </w:rPr>
        <w:tab/>
        <w:t>PT Mineral Industri Indonesia (Persero), à l’exception de ses activités liées à la vente de charbon et de minéraux en vertu de la loi nº 4, année 2009, relative à l’extraction de minéraux et de charbon, telle que modifiée par la loi nº 3, année 2020, et de ses règlements, y compris toute modification future;</w:t>
      </w:r>
    </w:p>
    <w:p>
      <w:pPr>
        <w:ind w:left="567" w:hanging="567"/>
        <w:rPr>
          <w:noProof/>
        </w:rPr>
      </w:pPr>
    </w:p>
    <w:p>
      <w:pPr>
        <w:ind w:left="567" w:hanging="567"/>
        <w:rPr>
          <w:noProof/>
        </w:rPr>
      </w:pPr>
      <w:r>
        <w:rPr>
          <w:noProof/>
        </w:rPr>
        <w:t>t)</w:t>
      </w:r>
      <w:r>
        <w:rPr>
          <w:noProof/>
        </w:rPr>
        <w:tab/>
        <w:t>PT Perkebunan Nusantara III (Persero), à l’exception de ses activités liées à la production de certaines plantations ou marchandises conformément au règlement présidentiel nº 40, année 2023, concernant l’accélération de l’autosuffisance nationale en sucre et la fourniture de bioéthanol en tant que biocarburant;</w:t>
      </w:r>
    </w:p>
    <w:p>
      <w:pPr>
        <w:ind w:left="567" w:hanging="567"/>
        <w:rPr>
          <w:noProof/>
        </w:rPr>
      </w:pPr>
    </w:p>
    <w:p>
      <w:pPr>
        <w:ind w:left="567" w:hanging="567"/>
        <w:rPr>
          <w:noProof/>
        </w:rPr>
      </w:pPr>
      <w:r>
        <w:rPr>
          <w:noProof/>
        </w:rPr>
        <w:t>u)</w:t>
      </w:r>
      <w:r>
        <w:rPr>
          <w:noProof/>
        </w:rPr>
        <w:tab/>
        <w:t>PT Pertamina (Persero), à l’exception de ses activités liées à la fourniture de pétrole et de gaz subventionnés conformément au règlement présidentiel nº 191, année 2014, concernant la fourniture, la distribution et le prix de détail du fioul, y compris toute modification future;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v)</w:t>
      </w:r>
      <w:r>
        <w:rPr>
          <w:noProof/>
        </w:rPr>
        <w:tab/>
        <w:t>PT Perusahaan Listrik Negara (Persero), à l’exception de ses activités liées à la distribution d’électricité en vertu de la loi nº 30, année 2009, relative à l’électricité, et de ses règlements, y compris toute modification future; et</w:t>
      </w:r>
    </w:p>
    <w:p>
      <w:pPr>
        <w:ind w:left="567" w:hanging="567"/>
        <w:rPr>
          <w:noProof/>
        </w:rPr>
      </w:pPr>
    </w:p>
    <w:p>
      <w:pPr>
        <w:ind w:left="567" w:hanging="567"/>
        <w:rPr>
          <w:noProof/>
        </w:rPr>
      </w:pPr>
      <w:r>
        <w:rPr>
          <w:noProof/>
        </w:rPr>
        <w:t>w)</w:t>
      </w:r>
      <w:r>
        <w:rPr>
          <w:noProof/>
        </w:rPr>
        <w:tab/>
        <w:t>PT Pupuk Indonesia (Persero), à l’exception de ses activités liées à la fourniture d’engrais subventionnés en vertu du règlement nº 4, année 2023, du ministre du commerce concernant l’achat et la distribution d’engrais subventionnés pour le secteur agricole et du règlement nº 10, année 2022, du ministre de l’agriculture concernant le mécanisme d’attribution et le prix de détail maximal des engrais subventionnés pour le secteur agricole, y compris toute modification future.</w:t>
      </w:r>
    </w:p>
    <w:p>
      <w:pPr>
        <w:rPr>
          <w:noProof/>
        </w:rPr>
      </w:pPr>
    </w:p>
    <w:p>
      <w:pPr>
        <w:rPr>
          <w:rFonts w:eastAsia="Calibri"/>
          <w:noProof/>
        </w:rPr>
      </w:pPr>
      <w:r>
        <w:rPr>
          <w:noProof/>
        </w:rPr>
        <w:t>4.</w:t>
      </w:r>
      <w:r>
        <w:rPr>
          <w:noProof/>
        </w:rPr>
        <w:tab/>
        <w:t>Nonobstant le paragraphe 3 de la présente annexe, l’article 13.17, paragraphe 2), point a), ne s’applique pas aux activités commerciales des entreprises publiques, liées à l’achat de marchandises ou de services effectué dans le cadre de l’exécution d’un mandat de service public tel qu’énuméré principalement au paragraphe 3. L’Indonésie notifie à l’Union toute modification apportée à ce mandat de service public, tel que décrit dans la liste des entreprises publiques figurant au paragraphe 3 de la présente annexe.</w:t>
      </w:r>
    </w:p>
    <w:p>
      <w:pPr>
        <w:rPr>
          <w:rFonts w:eastAsia="Calibri"/>
          <w:noProof/>
        </w:rPr>
      </w:pPr>
    </w:p>
    <w:p>
      <w:pPr>
        <w:rPr>
          <w:rFonts w:eastAsia="Calibri"/>
          <w:noProof/>
        </w:rPr>
      </w:pPr>
      <w:r>
        <w:rPr>
          <w:noProof/>
        </w:rPr>
        <w:t>5.</w:t>
      </w:r>
      <w:r>
        <w:rPr>
          <w:noProof/>
        </w:rPr>
        <w:tab/>
        <w:t>L’Indonésie peut ajouter des entreprises publiques à la liste figurant au paragraphe 3 de la présente annexe. Cet ajout fait l’objet d’un réexamen par le comité «Commerce» un an après la date d’application de la présente annexe et au moins tous les trois ans par la suite. À la suite de ce réexamen ou à la demande de l’une ou l’autre des parties, le comité «Commerce» peut décider de modifier la liste figurant au paragraphe 3 de la présente annexe conformément à l’article 24.2.</w:t>
      </w:r>
    </w:p>
    <w:p>
      <w:pPr>
        <w:rPr>
          <w:rFonts w:eastAsia="Calibri"/>
          <w:noProof/>
        </w:rPr>
      </w:pPr>
    </w:p>
    <w:p>
      <w:pPr>
        <w:rPr>
          <w:rFonts w:eastAsia="Calibri"/>
          <w:noProof/>
        </w:rPr>
      </w:pPr>
    </w:p>
    <w:p>
      <w:pPr>
        <w:jc w:val="center"/>
        <w:rPr>
          <w:rFonts w:eastAsia="Calibri"/>
          <w:noProof/>
          <w:color w:val="000000"/>
          <w:szCs w:val="24"/>
        </w:rPr>
      </w:pPr>
      <w:r>
        <w:rPr>
          <w:noProof/>
          <w:color w:val="000000"/>
        </w:rPr>
        <w:t>________________</w:t>
      </w:r>
    </w:p>
    <w:p>
      <w:pPr>
        <w:rPr>
          <w:rFonts w:eastAsia="Calibri"/>
          <w:noProof/>
          <w:color w:val="000000"/>
          <w:szCs w:val="24"/>
        </w:rPr>
      </w:pPr>
    </w:p>
    <w:p>
      <w:pPr>
        <w:rPr>
          <w:rFonts w:eastAsia="Calibri"/>
          <w:noProof/>
          <w:color w:val="000000"/>
          <w:szCs w:val="24"/>
        </w:rPr>
        <w:sectPr>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14-A</w:t>
      </w:r>
    </w:p>
    <w:p>
      <w:pPr>
        <w:rPr>
          <w:noProof/>
        </w:rPr>
      </w:pPr>
    </w:p>
    <w:p>
      <w:pPr>
        <w:rPr>
          <w:noProof/>
        </w:rPr>
      </w:pPr>
    </w:p>
    <w:p>
      <w:pPr>
        <w:jc w:val="center"/>
        <w:rPr>
          <w:noProof/>
        </w:rPr>
      </w:pPr>
      <w:r>
        <w:rPr>
          <w:noProof/>
        </w:rPr>
        <w:t>LISTES DE BIENS ÉNERGÉTIQUES</w:t>
      </w:r>
    </w:p>
    <w:p>
      <w:pPr>
        <w:rPr>
          <w:noProof/>
        </w:rPr>
      </w:pPr>
    </w:p>
    <w:p>
      <w:pPr>
        <w:ind w:left="567" w:hanging="567"/>
        <w:rPr>
          <w:noProof/>
        </w:rPr>
      </w:pPr>
      <w:r>
        <w:rPr>
          <w:noProof/>
        </w:rPr>
        <w:t>1.</w:t>
      </w:r>
      <w:r>
        <w:rPr>
          <w:noProof/>
        </w:rPr>
        <w:tab/>
        <w:t>Gaz naturel, y compris gaz naturel liquéfié, gaz de pétrole liquéfié (GPL) (SH 27.11)</w:t>
      </w:r>
    </w:p>
    <w:p>
      <w:pPr>
        <w:ind w:left="567" w:hanging="567"/>
        <w:rPr>
          <w:noProof/>
        </w:rPr>
      </w:pPr>
    </w:p>
    <w:p>
      <w:pPr>
        <w:ind w:left="567" w:hanging="567"/>
        <w:rPr>
          <w:noProof/>
        </w:rPr>
      </w:pPr>
      <w:r>
        <w:rPr>
          <w:noProof/>
        </w:rPr>
        <w:t>2.</w:t>
      </w:r>
      <w:r>
        <w:rPr>
          <w:noProof/>
        </w:rPr>
        <w:tab/>
        <w:t>électricité (SH 27.16);</w:t>
      </w:r>
    </w:p>
    <w:p>
      <w:pPr>
        <w:ind w:left="567" w:hanging="567"/>
        <w:rPr>
          <w:noProof/>
        </w:rPr>
      </w:pPr>
    </w:p>
    <w:p>
      <w:pPr>
        <w:ind w:left="567" w:hanging="567"/>
        <w:rPr>
          <w:noProof/>
        </w:rPr>
      </w:pPr>
      <w:r>
        <w:rPr>
          <w:noProof/>
        </w:rPr>
        <w:t>3.</w:t>
      </w:r>
      <w:r>
        <w:rPr>
          <w:noProof/>
        </w:rPr>
        <w:tab/>
        <w:t>pétrole brut (SH 27.09 - 27.10);</w:t>
      </w:r>
    </w:p>
    <w:p>
      <w:pPr>
        <w:ind w:left="567" w:hanging="567"/>
        <w:rPr>
          <w:noProof/>
        </w:rPr>
      </w:pPr>
    </w:p>
    <w:p>
      <w:pPr>
        <w:ind w:left="567" w:hanging="567"/>
        <w:rPr>
          <w:noProof/>
        </w:rPr>
      </w:pPr>
      <w:r>
        <w:rPr>
          <w:noProof/>
        </w:rPr>
        <w:t>4.</w:t>
      </w:r>
      <w:r>
        <w:rPr>
          <w:noProof/>
        </w:rPr>
        <w:tab/>
        <w:t>combustibles solides (SH 27.01, 27.02 et 27.04);</w:t>
      </w:r>
    </w:p>
    <w:p>
      <w:pPr>
        <w:ind w:left="567" w:hanging="567"/>
        <w:rPr>
          <w:noProof/>
        </w:rPr>
      </w:pPr>
    </w:p>
    <w:p>
      <w:pPr>
        <w:ind w:left="567" w:hanging="567"/>
        <w:rPr>
          <w:noProof/>
        </w:rPr>
      </w:pPr>
      <w:r>
        <w:rPr>
          <w:noProof/>
        </w:rPr>
        <w:t>5.</w:t>
      </w:r>
      <w:r>
        <w:rPr>
          <w:noProof/>
        </w:rPr>
        <w:tab/>
        <w:t>biogaz (SH 38.25); et</w:t>
      </w:r>
    </w:p>
    <w:p>
      <w:pPr>
        <w:ind w:left="567" w:hanging="567"/>
        <w:rPr>
          <w:noProof/>
        </w:rPr>
      </w:pPr>
    </w:p>
    <w:p>
      <w:pPr>
        <w:ind w:left="567" w:hanging="567"/>
        <w:rPr>
          <w:noProof/>
        </w:rPr>
      </w:pPr>
      <w:r>
        <w:rPr>
          <w:noProof/>
        </w:rPr>
        <w:t>6.</w:t>
      </w:r>
      <w:r>
        <w:rPr>
          <w:noProof/>
        </w:rPr>
        <w:tab/>
        <w:t>biodiesel (SH 38.26).</w:t>
      </w:r>
    </w:p>
    <w:p>
      <w:pPr>
        <w:rPr>
          <w:noProof/>
        </w:rPr>
      </w:pPr>
    </w:p>
    <w:p>
      <w:pPr>
        <w:rPr>
          <w:noProof/>
        </w:rPr>
      </w:pPr>
    </w:p>
    <w:p>
      <w:pPr>
        <w:jc w:val="center"/>
        <w:rPr>
          <w:noProof/>
        </w:rPr>
      </w:pPr>
      <w:r>
        <w:rPr>
          <w:noProof/>
        </w:rPr>
        <w:t>________________</w:t>
      </w:r>
    </w:p>
    <w:p>
      <w:pPr>
        <w:rPr>
          <w:noProof/>
        </w:rPr>
      </w:pPr>
    </w:p>
    <w:p>
      <w:pPr>
        <w:rPr>
          <w:noProof/>
        </w:rPr>
        <w:sectPr>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14-B</w:t>
      </w:r>
    </w:p>
    <w:p>
      <w:pPr>
        <w:rPr>
          <w:noProof/>
        </w:rPr>
      </w:pPr>
    </w:p>
    <w:p>
      <w:pPr>
        <w:rPr>
          <w:noProof/>
        </w:rPr>
      </w:pPr>
    </w:p>
    <w:p>
      <w:pPr>
        <w:jc w:val="center"/>
        <w:rPr>
          <w:noProof/>
        </w:rPr>
      </w:pPr>
      <w:r>
        <w:rPr>
          <w:noProof/>
        </w:rPr>
        <w:t>LISTES DE MATIÈRES PREMIÈRES</w:t>
      </w:r>
    </w:p>
    <w:p>
      <w:pPr>
        <w:rPr>
          <w:noProof/>
        </w:rPr>
      </w:pPr>
    </w:p>
    <w:p>
      <w:pPr>
        <w:ind w:left="567" w:hanging="567"/>
        <w:rPr>
          <w:noProof/>
        </w:rPr>
      </w:pPr>
      <w:r>
        <w:rPr>
          <w:noProof/>
        </w:rPr>
        <w:t>1.</w:t>
      </w:r>
      <w:r>
        <w:rPr>
          <w:noProof/>
        </w:rPr>
        <w:tab/>
        <w:t>Sel, soufre, terres et pierres, plâtres, chaux et ciments (SH25);</w:t>
      </w:r>
    </w:p>
    <w:p>
      <w:pPr>
        <w:ind w:left="567" w:hanging="567"/>
        <w:rPr>
          <w:noProof/>
        </w:rPr>
      </w:pPr>
    </w:p>
    <w:p>
      <w:pPr>
        <w:ind w:left="567" w:hanging="567"/>
        <w:rPr>
          <w:noProof/>
        </w:rPr>
      </w:pPr>
      <w:r>
        <w:rPr>
          <w:noProof/>
        </w:rPr>
        <w:t>2.</w:t>
      </w:r>
      <w:r>
        <w:rPr>
          <w:noProof/>
        </w:rPr>
        <w:tab/>
        <w:t>minerais, scories et cendres (SH 26), à l’exclusion de l’uranium et du thorium (SH 26.12), mais y compris la monazite (SH 26.12.20.10);</w:t>
      </w:r>
    </w:p>
    <w:p>
      <w:pPr>
        <w:ind w:left="567" w:hanging="567"/>
        <w:rPr>
          <w:noProof/>
        </w:rPr>
      </w:pPr>
    </w:p>
    <w:p>
      <w:pPr>
        <w:ind w:left="567" w:hanging="567"/>
        <w:rPr>
          <w:noProof/>
        </w:rPr>
      </w:pPr>
      <w:r>
        <w:rPr>
          <w:noProof/>
        </w:rPr>
        <w:t>3.</w:t>
      </w:r>
      <w:r>
        <w:rPr>
          <w:noProof/>
        </w:rPr>
        <w:tab/>
        <w:t>marchandises relevant du chapitre SH 27;</w:t>
      </w:r>
    </w:p>
    <w:p>
      <w:pPr>
        <w:ind w:left="567" w:hanging="567"/>
        <w:rPr>
          <w:noProof/>
        </w:rPr>
      </w:pPr>
    </w:p>
    <w:p>
      <w:pPr>
        <w:ind w:left="567" w:hanging="567"/>
        <w:rPr>
          <w:noProof/>
        </w:rPr>
      </w:pPr>
      <w:r>
        <w:rPr>
          <w:noProof/>
        </w:rPr>
        <w:t>4.</w:t>
      </w:r>
      <w:r>
        <w:rPr>
          <w:noProof/>
        </w:rPr>
        <w:tab/>
        <w:t>produits chimiques inorganiques (SH 28), à l’exclusion des éléments et isotopes radioactifs (SH 28.44, 28.45);</w:t>
      </w:r>
    </w:p>
    <w:p>
      <w:pPr>
        <w:ind w:left="567" w:hanging="567"/>
        <w:rPr>
          <w:noProof/>
        </w:rPr>
      </w:pPr>
    </w:p>
    <w:p>
      <w:pPr>
        <w:ind w:left="567" w:hanging="567"/>
        <w:rPr>
          <w:noProof/>
        </w:rPr>
      </w:pPr>
      <w:r>
        <w:rPr>
          <w:noProof/>
        </w:rPr>
        <w:t>5.</w:t>
      </w:r>
      <w:r>
        <w:rPr>
          <w:noProof/>
        </w:rPr>
        <w:tab/>
        <w:t>produits chimiques organiques (SH 29), à l’exclusion des produits pharmaceutiques et chimiques de spécialité;</w:t>
      </w:r>
    </w:p>
    <w:p>
      <w:pPr>
        <w:ind w:left="567" w:hanging="567"/>
        <w:rPr>
          <w:noProof/>
        </w:rPr>
      </w:pPr>
    </w:p>
    <w:p>
      <w:pPr>
        <w:ind w:left="567" w:hanging="567"/>
        <w:rPr>
          <w:noProof/>
        </w:rPr>
      </w:pPr>
      <w:r>
        <w:rPr>
          <w:noProof/>
        </w:rPr>
        <w:t>6.</w:t>
      </w:r>
      <w:r>
        <w:rPr>
          <w:noProof/>
        </w:rPr>
        <w:tab/>
        <w:t>engrais (SH 31);</w:t>
      </w:r>
    </w:p>
    <w:p>
      <w:pPr>
        <w:ind w:left="567" w:hanging="567"/>
        <w:rPr>
          <w:noProof/>
        </w:rPr>
      </w:pPr>
    </w:p>
    <w:p>
      <w:pPr>
        <w:ind w:left="567" w:hanging="567"/>
        <w:rPr>
          <w:noProof/>
        </w:rPr>
      </w:pPr>
      <w:r>
        <w:rPr>
          <w:noProof/>
        </w:rPr>
        <w:t>7.</w:t>
      </w:r>
      <w:r>
        <w:rPr>
          <w:noProof/>
        </w:rPr>
        <w:tab/>
        <w:t>graphite (SH 38011000);</w:t>
      </w:r>
    </w:p>
    <w:p>
      <w:pPr>
        <w:ind w:left="567" w:hanging="567"/>
        <w:rPr>
          <w:noProof/>
        </w:rPr>
      </w:pPr>
    </w:p>
    <w:p>
      <w:pPr>
        <w:ind w:left="567" w:hanging="567"/>
        <w:rPr>
          <w:noProof/>
        </w:rPr>
      </w:pPr>
      <w:r>
        <w:rPr>
          <w:noProof/>
        </w:rPr>
        <w:t>8.</w:t>
      </w:r>
      <w:r>
        <w:rPr>
          <w:noProof/>
        </w:rPr>
        <w:tab/>
        <w:t>initiateurs de réaction, accélérateurs de réaction et préparations catalytiques, non dénommés ni compris ailleurs; ayant comme substance active le nickel ou un composé de nickel (SH 3815 11 00);</w:t>
      </w:r>
    </w:p>
    <w:p>
      <w:pPr>
        <w:ind w:left="567" w:hanging="567"/>
        <w:rPr>
          <w:noProof/>
        </w:rPr>
      </w:pPr>
    </w:p>
    <w:p>
      <w:pPr>
        <w:ind w:left="567" w:hanging="567"/>
        <w:rPr>
          <w:noProof/>
        </w:rPr>
      </w:pPr>
      <w:r>
        <w:rPr>
          <w:noProof/>
        </w:rPr>
        <w:t>9.</w:t>
      </w:r>
      <w:r>
        <w:rPr>
          <w:noProof/>
        </w:rPr>
        <w:tab/>
        <w:t>caoutchouc naturel (SH 40);</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10.</w:t>
      </w:r>
      <w:r>
        <w:rPr>
          <w:noProof/>
        </w:rPr>
        <w:tab/>
        <w:t>peaux et cuirs (SH 41);</w:t>
      </w:r>
    </w:p>
    <w:p>
      <w:pPr>
        <w:ind w:left="567" w:hanging="567"/>
        <w:rPr>
          <w:noProof/>
        </w:rPr>
      </w:pPr>
    </w:p>
    <w:p>
      <w:pPr>
        <w:ind w:left="567" w:hanging="567"/>
        <w:rPr>
          <w:noProof/>
        </w:rPr>
      </w:pPr>
      <w:r>
        <w:rPr>
          <w:noProof/>
        </w:rPr>
        <w:t>11.</w:t>
      </w:r>
      <w:r>
        <w:rPr>
          <w:noProof/>
        </w:rPr>
        <w:tab/>
        <w:t>pâtes de bois (SH 47); et</w:t>
      </w:r>
    </w:p>
    <w:p>
      <w:pPr>
        <w:ind w:left="567" w:hanging="567"/>
        <w:rPr>
          <w:noProof/>
        </w:rPr>
      </w:pPr>
    </w:p>
    <w:p>
      <w:pPr>
        <w:ind w:left="567" w:hanging="567"/>
        <w:rPr>
          <w:noProof/>
        </w:rPr>
      </w:pPr>
      <w:r>
        <w:rPr>
          <w:noProof/>
        </w:rPr>
        <w:t>12.</w:t>
      </w:r>
      <w:r>
        <w:rPr>
          <w:noProof/>
        </w:rPr>
        <w:tab/>
        <w:t>métaux de base et précieux et minerais transformés (ex SH 71, 72; 74–76; 78–81).</w:t>
      </w:r>
    </w:p>
    <w:p>
      <w:pPr>
        <w:rPr>
          <w:noProof/>
        </w:rPr>
      </w:pPr>
    </w:p>
    <w:p>
      <w:pPr>
        <w:rPr>
          <w:noProof/>
        </w:rPr>
      </w:pPr>
    </w:p>
    <w:p>
      <w:pPr>
        <w:jc w:val="center"/>
        <w:rPr>
          <w:noProof/>
        </w:rPr>
      </w:pPr>
      <w:r>
        <w:rPr>
          <w:noProof/>
        </w:rPr>
        <w:t>________________</w:t>
      </w:r>
    </w:p>
    <w:p>
      <w:pPr>
        <w:rPr>
          <w:noProof/>
        </w:rPr>
      </w:pPr>
    </w:p>
    <w:p>
      <w:pPr>
        <w:rPr>
          <w:noProof/>
        </w:rPr>
        <w:sectPr>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22-A</w:t>
      </w:r>
    </w:p>
    <w:p>
      <w:pPr>
        <w:rPr>
          <w:noProof/>
        </w:rPr>
      </w:pPr>
    </w:p>
    <w:p>
      <w:pPr>
        <w:rPr>
          <w:noProof/>
        </w:rPr>
      </w:pPr>
    </w:p>
    <w:p>
      <w:pPr>
        <w:jc w:val="center"/>
        <w:rPr>
          <w:noProof/>
        </w:rPr>
      </w:pPr>
      <w:r>
        <w:rPr>
          <w:noProof/>
        </w:rPr>
        <w:t>RÈGLEMENT INTÉRIEUR</w:t>
      </w:r>
    </w:p>
    <w:p>
      <w:pPr>
        <w:rPr>
          <w:noProof/>
        </w:rPr>
      </w:pPr>
    </w:p>
    <w:p>
      <w:pPr>
        <w:rPr>
          <w:noProof/>
        </w:rPr>
      </w:pPr>
    </w:p>
    <w:p>
      <w:pPr>
        <w:jc w:val="center"/>
        <w:rPr>
          <w:noProof/>
        </w:rPr>
      </w:pPr>
      <w:r>
        <w:rPr>
          <w:noProof/>
        </w:rPr>
        <w:t>I. Notifications</w:t>
      </w:r>
    </w:p>
    <w:p>
      <w:pPr>
        <w:rPr>
          <w:noProof/>
        </w:rPr>
      </w:pPr>
    </w:p>
    <w:p>
      <w:pPr>
        <w:rPr>
          <w:noProof/>
        </w:rPr>
      </w:pPr>
      <w:r>
        <w:rPr>
          <w:noProof/>
        </w:rPr>
        <w:t>1.</w:t>
      </w:r>
      <w:r>
        <w:rPr>
          <w:noProof/>
        </w:rPr>
        <w:tab/>
        <w:t>Toute demande, tout avis, toute communication écrite ou tout autre document (ci-après une «notification») émanant:</w:t>
      </w:r>
    </w:p>
    <w:p>
      <w:pPr>
        <w:rPr>
          <w:noProof/>
        </w:rPr>
      </w:pPr>
    </w:p>
    <w:p>
      <w:pPr>
        <w:ind w:left="567" w:hanging="567"/>
        <w:rPr>
          <w:noProof/>
        </w:rPr>
      </w:pPr>
      <w:r>
        <w:rPr>
          <w:noProof/>
        </w:rPr>
        <w:t>a)</w:t>
      </w:r>
      <w:r>
        <w:rPr>
          <w:noProof/>
        </w:rPr>
        <w:tab/>
        <w:t>du groupe spécial est envoyé simultanément aux deux parties;</w:t>
      </w:r>
    </w:p>
    <w:p>
      <w:pPr>
        <w:ind w:left="567" w:hanging="567"/>
        <w:rPr>
          <w:noProof/>
        </w:rPr>
      </w:pPr>
    </w:p>
    <w:p>
      <w:pPr>
        <w:ind w:left="567" w:hanging="567"/>
        <w:rPr>
          <w:noProof/>
        </w:rPr>
      </w:pPr>
      <w:r>
        <w:rPr>
          <w:noProof/>
        </w:rPr>
        <w:t>b)</w:t>
      </w:r>
      <w:r>
        <w:rPr>
          <w:noProof/>
        </w:rPr>
        <w:tab/>
        <w:t>d’une partie et adressé au groupe spécial est envoyé simultanément en copie à l’autre partie; et</w:t>
      </w:r>
    </w:p>
    <w:p>
      <w:pPr>
        <w:ind w:left="567" w:hanging="567"/>
        <w:rPr>
          <w:noProof/>
        </w:rPr>
      </w:pPr>
    </w:p>
    <w:p>
      <w:pPr>
        <w:ind w:left="567" w:hanging="567"/>
        <w:rPr>
          <w:noProof/>
        </w:rPr>
      </w:pPr>
      <w:r>
        <w:rPr>
          <w:noProof/>
        </w:rPr>
        <w:t>c)</w:t>
      </w:r>
      <w:r>
        <w:rPr>
          <w:noProof/>
        </w:rPr>
        <w:tab/>
        <w:t>d’une partie, qui est adressé à l’autre partie, est envoyé simultanément en copie au groupe spécial, s’il y a lieu.</w:t>
      </w:r>
    </w:p>
    <w:p>
      <w:pPr>
        <w:rPr>
          <w:noProof/>
        </w:rPr>
      </w:pPr>
    </w:p>
    <w:p>
      <w:pPr>
        <w:rPr>
          <w:noProof/>
        </w:rPr>
      </w:pPr>
      <w:r>
        <w:rPr>
          <w:noProof/>
        </w:rPr>
        <w:t>Sauf preuve du contraire, une telle notification est réputée transmise le jour même de son envoi.</w:t>
      </w:r>
    </w:p>
    <w:p>
      <w:pPr>
        <w:rPr>
          <w:noProof/>
        </w:rPr>
      </w:pPr>
    </w:p>
    <w:p>
      <w:pPr>
        <w:rPr>
          <w:noProof/>
        </w:rPr>
      </w:pPr>
      <w:r>
        <w:rPr>
          <w:noProof/>
        </w:rPr>
        <w:t>2.</w:t>
      </w:r>
      <w:r>
        <w:rPr>
          <w:noProof/>
        </w:rPr>
        <w:tab/>
        <w:t>Toutes les notifications sont adressées respectivement à la direction générale du commerce de la Commission européenne et au ministère du commerce de l’Indonésie.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Les erreurs mineures d’écriture qui se sont glissées dans une notification relative à la procédure devant un groupe spécial peuvent être corrigées au moyen de l’envoi d’un nouveau document indiquant clairement les changements.</w:t>
      </w:r>
    </w:p>
    <w:p>
      <w:pPr>
        <w:rPr>
          <w:noProof/>
        </w:rPr>
      </w:pPr>
    </w:p>
    <w:p>
      <w:pPr>
        <w:rPr>
          <w:noProof/>
        </w:rPr>
      </w:pPr>
      <w:r>
        <w:rPr>
          <w:noProof/>
        </w:rPr>
        <w:t>4.</w:t>
      </w:r>
      <w:r>
        <w:rPr>
          <w:noProof/>
        </w:rPr>
        <w:tab/>
        <w:t>Si le dernier jour de remise d’un document tombe un jour non ouvrable pour les institutions de l’Union ou le gouvernement de l’Indonésie, le délai de remise du document prend fin le premier jour ouvrable suivant. Pour déterminer le début et la fin d’un jour civil, le fuseau horaire de la partie mise en cause est applicable.</w:t>
      </w:r>
    </w:p>
    <w:p>
      <w:pPr>
        <w:rPr>
          <w:noProof/>
        </w:rPr>
      </w:pPr>
    </w:p>
    <w:p>
      <w:pPr>
        <w:rPr>
          <w:noProof/>
        </w:rPr>
      </w:pPr>
    </w:p>
    <w:p>
      <w:pPr>
        <w:jc w:val="center"/>
        <w:rPr>
          <w:noProof/>
        </w:rPr>
      </w:pPr>
      <w:r>
        <w:rPr>
          <w:noProof/>
        </w:rPr>
        <w:t>II. Nomination des membres de groupe spécial</w:t>
      </w:r>
    </w:p>
    <w:p>
      <w:pPr>
        <w:rPr>
          <w:noProof/>
        </w:rPr>
      </w:pPr>
    </w:p>
    <w:p>
      <w:pPr>
        <w:rPr>
          <w:noProof/>
        </w:rPr>
      </w:pPr>
      <w:r>
        <w:rPr>
          <w:noProof/>
        </w:rPr>
        <w:t>5.</w:t>
      </w:r>
      <w:r>
        <w:rPr>
          <w:noProof/>
        </w:rPr>
        <w:tab/>
        <w:t>Si, en vertu de l’article 22.6, un membre de groupe spécial est choisi par tirage au sort, le coprésident du comité «commerce» de la partie plaignante informe dans les plus brefs délais le coprésident du comité «commerce» de la partie mise en cause de la date, de l’heure et du lieu de la sélection par tirage au sort. La partie défenderesse peut, si elle le souhaite, être présente lors de la sélection par tirage au sort. En tout état de cause, la sélection par tirage au sort est effectuée devant la ou les parties présentes.</w:t>
      </w:r>
    </w:p>
    <w:p>
      <w:pPr>
        <w:rPr>
          <w:noProof/>
        </w:rPr>
      </w:pPr>
    </w:p>
    <w:p>
      <w:pPr>
        <w:rPr>
          <w:noProof/>
        </w:rPr>
      </w:pPr>
      <w:r>
        <w:rPr>
          <w:noProof/>
        </w:rPr>
        <w:t>6.</w:t>
      </w:r>
      <w:r>
        <w:rPr>
          <w:noProof/>
        </w:rPr>
        <w:tab/>
        <w:t>Le coprésident du comité «Commerce» de la partie plaignante informe par écrit, y compris par voie électronique, chaque personne sélectionnée pour faire office de membre de groupe spécial. Chaque personne confirme sa disponibilité aux deux parties dans les cinq jours qui suivent la date de réception de la notification.</w:t>
      </w:r>
    </w:p>
    <w:p>
      <w:pPr>
        <w:rPr>
          <w:noProof/>
        </w:rPr>
      </w:pPr>
    </w:p>
    <w:p>
      <w:pPr>
        <w:widowControl/>
        <w:spacing w:line="240" w:lineRule="auto"/>
        <w:rPr>
          <w:noProof/>
        </w:rPr>
      </w:pPr>
      <w:r>
        <w:rPr>
          <w:noProof/>
        </w:rPr>
        <w:br w:type="page"/>
      </w:r>
    </w:p>
    <w:p>
      <w:pPr>
        <w:rPr>
          <w:noProof/>
        </w:rPr>
      </w:pPr>
      <w:r>
        <w:rPr>
          <w:noProof/>
        </w:rPr>
        <w:lastRenderedPageBreak/>
        <w:t>7.</w:t>
      </w:r>
      <w:r>
        <w:rPr>
          <w:noProof/>
        </w:rPr>
        <w:tab/>
        <w:t>Aux fins de l’article 22.6, le coprésident du comité «Commerce» de la partie plaignante sélectionne par tirage au sort le membre du groupe spécial ou le président:</w:t>
      </w:r>
    </w:p>
    <w:p>
      <w:pPr>
        <w:rPr>
          <w:noProof/>
        </w:rPr>
      </w:pPr>
    </w:p>
    <w:p>
      <w:pPr>
        <w:ind w:left="567" w:hanging="567"/>
        <w:rPr>
          <w:noProof/>
        </w:rPr>
      </w:pPr>
      <w:r>
        <w:rPr>
          <w:noProof/>
        </w:rPr>
        <w:t>a)</w:t>
      </w:r>
      <w:r>
        <w:rPr>
          <w:noProof/>
        </w:rPr>
        <w:tab/>
        <w:t>si une sous-liste visée à l’article 22.7, paragraphe 2), point a) ou b), n’a pas encore été établie, parmi les personnes qui ont été officiellement proposées par une partie en tant que membres de groupe spécial pour sa sous-liste ou, en l’absence de telles personnes, parmi les personnes qui ont été officiellement proposées par l’autre partie</w:t>
      </w:r>
      <w:bookmarkStart w:id="3" w:name="_Hlk213261177"/>
      <w:r>
        <w:rPr>
          <w:noProof/>
        </w:rPr>
        <w:t xml:space="preserve"> </w:t>
      </w:r>
      <w:bookmarkEnd w:id="3"/>
      <w:r>
        <w:rPr>
          <w:noProof/>
        </w:rPr>
        <w:t>pour la sous-liste de cette partie;</w:t>
      </w:r>
    </w:p>
    <w:p>
      <w:pPr>
        <w:ind w:left="567" w:hanging="567"/>
        <w:rPr>
          <w:noProof/>
        </w:rPr>
      </w:pPr>
    </w:p>
    <w:p>
      <w:pPr>
        <w:ind w:left="567" w:hanging="567"/>
        <w:rPr>
          <w:noProof/>
        </w:rPr>
      </w:pPr>
      <w:r>
        <w:rPr>
          <w:noProof/>
        </w:rPr>
        <w:t>b)</w:t>
      </w:r>
      <w:r>
        <w:rPr>
          <w:noProof/>
        </w:rPr>
        <w:tab/>
        <w:t>si la sous-liste visée à l’article 22.7, paragraphe 2), point c), n’a pas encore été établie, parmi les personnes officiellement proposées par l’une des parties ou les deux pour la sous-liste des présidents.</w:t>
      </w:r>
    </w:p>
    <w:p>
      <w:pPr>
        <w:rPr>
          <w:noProof/>
        </w:rPr>
      </w:pPr>
    </w:p>
    <w:p>
      <w:pPr>
        <w:rPr>
          <w:noProof/>
        </w:rPr>
      </w:pPr>
    </w:p>
    <w:p>
      <w:pPr>
        <w:jc w:val="center"/>
        <w:rPr>
          <w:noProof/>
        </w:rPr>
      </w:pPr>
      <w:r>
        <w:rPr>
          <w:noProof/>
        </w:rPr>
        <w:t>III. Dépenses</w:t>
      </w:r>
    </w:p>
    <w:p>
      <w:pPr>
        <w:rPr>
          <w:noProof/>
        </w:rPr>
      </w:pPr>
    </w:p>
    <w:p>
      <w:pPr>
        <w:rPr>
          <w:noProof/>
        </w:rPr>
      </w:pPr>
      <w:r>
        <w:rPr>
          <w:noProof/>
        </w:rPr>
        <w:t>8.</w:t>
      </w:r>
      <w:r>
        <w:rPr>
          <w:noProof/>
        </w:rPr>
        <w:tab/>
        <w:t>Les parties conviennent, au plus tard au moment où tous les membres du groupe spécial ont accepté leur nomination conformément à l’article 22.6, paragraphe 6), de la rémunération et des dépenses des membres du groupe spécial et des assistants, préparent tous les contrats de nomination nécessaires et veillent à leur signature rapide. Le comité «Commerce» peut adopter une décision fixant les paramètres ou autres aspects relatifs à la rémunération et aux dépenses des membres des groupes spéciaux et du médiateur, y compris toute dépense connexe susceptible d’être engagée dans le cadre de la procédure devant le groupe spécial. Sauf disposition contraire dans une telle décision, la rémunération et les dépenses des membres de groupe spécial sont basées sur les normes de l’OMC. La rémunération d’un ou de plusieurs assistants de chaque membre de groupe spécial ne dépasse pas 50 % de la rémunération de ce dernier. La présente règle s’applique mutatis mutandis aux médiateurs.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IV. Réunion d’organisation</w:t>
      </w:r>
    </w:p>
    <w:p>
      <w:pPr>
        <w:rPr>
          <w:noProof/>
        </w:rPr>
      </w:pPr>
    </w:p>
    <w:p>
      <w:pPr>
        <w:rPr>
          <w:noProof/>
        </w:rPr>
      </w:pPr>
      <w:r>
        <w:rPr>
          <w:noProof/>
        </w:rPr>
        <w:t>9.</w:t>
      </w:r>
      <w:r>
        <w:rPr>
          <w:noProof/>
        </w:rPr>
        <w:tab/>
        <w:t>À moins qu’il n’en soit convenu autrement, les parties se réunissent avec le groupe spécial dans les sept jours suivant sa constitution afin de déterminer les questions que les parties ou le groupe spécial estiment appropriées, y compris les procédures de travail et le calendrier de la procédure.</w:t>
      </w:r>
    </w:p>
    <w:p>
      <w:pPr>
        <w:rPr>
          <w:noProof/>
        </w:rPr>
      </w:pPr>
    </w:p>
    <w:p>
      <w:pPr>
        <w:rPr>
          <w:noProof/>
        </w:rPr>
      </w:pPr>
      <w:r>
        <w:rPr>
          <w:noProof/>
        </w:rPr>
        <w:t>Les membres du groupe spécial et les représentants des parties peuvent participer à cette réunion par tout moyen approprié, y compris par téléphone, par vidéoconférence ou par tout autre moyen de communication électronique.</w:t>
      </w:r>
    </w:p>
    <w:p>
      <w:pPr>
        <w:rPr>
          <w:noProof/>
        </w:rPr>
      </w:pPr>
    </w:p>
    <w:p>
      <w:pPr>
        <w:rPr>
          <w:noProof/>
        </w:rPr>
      </w:pPr>
    </w:p>
    <w:p>
      <w:pPr>
        <w:jc w:val="center"/>
        <w:rPr>
          <w:noProof/>
        </w:rPr>
      </w:pPr>
      <w:r>
        <w:rPr>
          <w:noProof/>
        </w:rPr>
        <w:t>V. Communications écrites</w:t>
      </w:r>
    </w:p>
    <w:p>
      <w:pPr>
        <w:rPr>
          <w:noProof/>
        </w:rPr>
      </w:pPr>
    </w:p>
    <w:p>
      <w:pPr>
        <w:rPr>
          <w:noProof/>
        </w:rPr>
      </w:pPr>
      <w:r>
        <w:rPr>
          <w:noProof/>
        </w:rPr>
        <w:t>10.</w:t>
      </w:r>
      <w:r>
        <w:rPr>
          <w:noProof/>
        </w:rPr>
        <w:tab/>
        <w:t>La partie plaignante remet ses observations écrites au plus tard 20 jours après la date de constitution du groupe spécial. La partie mise en cause remet ses observations écrites au plus tard 20 jours après la date de réception des observations écrites de la partie requérante.</w:t>
      </w:r>
    </w:p>
    <w:p>
      <w:pPr>
        <w:rPr>
          <w:noProof/>
        </w:rPr>
      </w:pPr>
    </w:p>
    <w:p>
      <w:pPr>
        <w:rPr>
          <w:noProof/>
        </w:rPr>
      </w:pPr>
      <w:r>
        <w:rPr>
          <w:noProof/>
        </w:rPr>
        <w:t>11.</w:t>
      </w:r>
      <w:r>
        <w:rPr>
          <w:noProof/>
        </w:rPr>
        <w:tab/>
        <w:t>Si la partie mise en cause soulève des questions ou des moyens de défense nouveaux que la partie plaignante n’a pas abordés, cette dernière peut choisir de remettre une deuxième série d’observations dans les 15 jours suivant la date de réception de la première série d’observations écrites de la partie mise en cause. La partie plaignante évalue si l’avantage d’une deuxième série d’observations écrites est suffisant au regard du délai supplémentaire. Dans ce cas, la partie mise en cause peut présenter sa réponse dans un délai de quinze jours à compter de la date de réception de la deuxième série d’observations écrites de la partie requérante.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VI. Fonctionnement du groupe spécial</w:t>
      </w:r>
    </w:p>
    <w:p>
      <w:pPr>
        <w:rPr>
          <w:noProof/>
        </w:rPr>
      </w:pPr>
    </w:p>
    <w:p>
      <w:pPr>
        <w:rPr>
          <w:noProof/>
        </w:rPr>
      </w:pPr>
      <w:r>
        <w:rPr>
          <w:noProof/>
        </w:rPr>
        <w:t>12.</w:t>
      </w:r>
      <w:r>
        <w:rPr>
          <w:noProof/>
        </w:rPr>
        <w:tab/>
        <w:t>Le président du groupe spécial préside toutes les réunions de celui-ci. Le groupe spécial peut déléguer à son président le pouvoir de prendre les décisions de nature administrative et procédurale.</w:t>
      </w:r>
    </w:p>
    <w:p>
      <w:pPr>
        <w:rPr>
          <w:noProof/>
        </w:rPr>
      </w:pPr>
    </w:p>
    <w:p>
      <w:pPr>
        <w:rPr>
          <w:noProof/>
        </w:rPr>
      </w:pPr>
      <w:r>
        <w:rPr>
          <w:noProof/>
        </w:rPr>
        <w:t>12 </w:t>
      </w:r>
      <w:r>
        <w:rPr>
          <w:i/>
          <w:iCs/>
          <w:noProof/>
        </w:rPr>
        <w:t>bis</w:t>
      </w:r>
      <w:r>
        <w:rPr>
          <w:noProof/>
        </w:rPr>
        <w:t>.</w:t>
      </w:r>
      <w:r>
        <w:rPr>
          <w:noProof/>
        </w:rPr>
        <w:tab/>
        <w:t>Sauf dispositions contraires prévues au chapitre 22 (Règlement des différends) ou dans la présente annexe, le groupe spécial peut mener ses travaux par tout moyen approprié, y compris par téléphone, par vidéoconférence ou par tout autre moyen de communication électronique.</w:t>
      </w:r>
    </w:p>
    <w:p>
      <w:pPr>
        <w:rPr>
          <w:noProof/>
        </w:rPr>
      </w:pPr>
    </w:p>
    <w:p>
      <w:pPr>
        <w:rPr>
          <w:noProof/>
        </w:rPr>
      </w:pPr>
      <w:r>
        <w:rPr>
          <w:noProof/>
        </w:rPr>
        <w:t>13.</w:t>
      </w:r>
      <w:r>
        <w:rPr>
          <w:noProof/>
        </w:rPr>
        <w:tab/>
        <w:t>Seuls les membres du groupe spécial peuvent prendre part aux délibérations du groupe spécial, mais ce dernier peut permettre à leurs assistants d’être présents aux délibérations.</w:t>
      </w:r>
    </w:p>
    <w:p>
      <w:pPr>
        <w:rPr>
          <w:noProof/>
        </w:rPr>
      </w:pPr>
    </w:p>
    <w:p>
      <w:pPr>
        <w:rPr>
          <w:noProof/>
        </w:rPr>
      </w:pPr>
      <w:r>
        <w:rPr>
          <w:noProof/>
        </w:rPr>
        <w:t>14.</w:t>
      </w:r>
      <w:r>
        <w:rPr>
          <w:noProof/>
        </w:rPr>
        <w:tab/>
        <w:t>La rédaction des décisions et rapports relève de la compétence exclusive du groupe spécial et ne peut être déléguée.</w:t>
      </w:r>
    </w:p>
    <w:p>
      <w:pPr>
        <w:rPr>
          <w:noProof/>
        </w:rPr>
      </w:pPr>
    </w:p>
    <w:p>
      <w:pPr>
        <w:rPr>
          <w:noProof/>
        </w:rPr>
      </w:pPr>
      <w:r>
        <w:rPr>
          <w:noProof/>
        </w:rPr>
        <w:t>15.</w:t>
      </w:r>
      <w:r>
        <w:rPr>
          <w:noProof/>
        </w:rPr>
        <w:tab/>
        <w:t>Lorsque survient une question de procédure qui n’est pas couverte par le chapitre 22 (Règlement des différends) et ses annexes, le groupe spécial peut, après avoir consulté les parties, adopter une procédure appropriée qui est compatible avec ces dispositions.</w:t>
      </w:r>
    </w:p>
    <w:p>
      <w:pPr>
        <w:rPr>
          <w:noProof/>
        </w:rPr>
      </w:pPr>
    </w:p>
    <w:p>
      <w:pPr>
        <w:rPr>
          <w:noProof/>
        </w:rPr>
      </w:pPr>
      <w:r>
        <w:rPr>
          <w:noProof/>
        </w:rPr>
        <w:t>16.</w:t>
      </w:r>
      <w:r>
        <w:rPr>
          <w:noProof/>
        </w:rPr>
        <w:tab/>
        <w:t>Si le groupe spécial juge nécessaire de modifier l’un quelconque des délais de la procédure autres que les délais fixés dans le chapitre 22 (Règlement des différends) ou d’apporter tout autre ajustement de nature administrative ou procédurale, il informe les parties, par écrit, y compris par voie électronique, et après les avoir consultées, des motifs de la modification ou de l’ajustement et du délai ou de l’ajustement nécessaire. Toute partie peut proposer au groupe spécial de tels ajustements procéduraux ou administratifs.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VII. Remplacement</w:t>
      </w:r>
    </w:p>
    <w:p>
      <w:pPr>
        <w:rPr>
          <w:noProof/>
        </w:rPr>
      </w:pPr>
    </w:p>
    <w:p>
      <w:pPr>
        <w:rPr>
          <w:noProof/>
        </w:rPr>
      </w:pPr>
      <w:r>
        <w:rPr>
          <w:noProof/>
        </w:rPr>
        <w:t>17.</w:t>
      </w:r>
      <w:r>
        <w:rPr>
          <w:noProof/>
        </w:rPr>
        <w:tab/>
        <w:t>Si une partie considère qu’un membre du groupe spécial ne respecte pas les exigences de l’annexe 22-B (Code de conduite à l’intention des membres de groupes spéciaux et des médiateurs) et qu’il convient donc de le remplacer, cette partie le notifie à l’autre partie dans un délai de 15 jours à compter de la date à laquelle elle a obtenu des preuves suffisantes du non-respect présumé des exigences de l’annexe 22-B (Code de conduite à l’intention des membres de groupes spéciaux et des médiateurs) par ce membre du groupe spécial.</w:t>
      </w:r>
    </w:p>
    <w:p>
      <w:pPr>
        <w:rPr>
          <w:noProof/>
        </w:rPr>
      </w:pPr>
    </w:p>
    <w:p>
      <w:pPr>
        <w:rPr>
          <w:noProof/>
        </w:rPr>
      </w:pPr>
      <w:r>
        <w:rPr>
          <w:noProof/>
        </w:rPr>
        <w:t>18.</w:t>
      </w:r>
      <w:r>
        <w:rPr>
          <w:noProof/>
        </w:rPr>
        <w:tab/>
        <w:t>Les parties se consultent dans un délai de 15 jours à compter de la date de la notification visée à la règle 17. Elles informent le membre de groupe spécial de son manquement présumé et peuvent lui demander de prendre des mesures pour y remédier. Elles peuvent également, si elles en conviennent ainsi, révoquer le membre de groupe spécial et en choisir un nouveau conformément à l’article 22.6.</w:t>
      </w:r>
    </w:p>
    <w:p>
      <w:pPr>
        <w:rPr>
          <w:noProof/>
        </w:rPr>
      </w:pPr>
    </w:p>
    <w:p>
      <w:pPr>
        <w:rPr>
          <w:noProof/>
        </w:rPr>
      </w:pPr>
      <w:r>
        <w:rPr>
          <w:noProof/>
        </w:rPr>
        <w:t>19.</w:t>
      </w:r>
      <w:r>
        <w:rPr>
          <w:noProof/>
        </w:rPr>
        <w:tab/>
        <w:t>Si les parties ne s’accordent pas sur la nécessité de remplacer un membre de groupe spécial autre que le président du groupe spécial, chaque partie peut demander que la question soit soumise au président du groupe spécial, dont la décision est irrévocable.</w:t>
      </w:r>
    </w:p>
    <w:p>
      <w:pPr>
        <w:rPr>
          <w:noProof/>
        </w:rPr>
      </w:pPr>
    </w:p>
    <w:p>
      <w:pPr>
        <w:rPr>
          <w:noProof/>
        </w:rPr>
      </w:pPr>
      <w:r>
        <w:rPr>
          <w:noProof/>
        </w:rPr>
        <w:t>Si le président du groupe spécial juge que le membre du groupe spécial ne respecte pas les exigences de l’annexe 22-B (Code de conduite à l’intention des membres de groupes spéciaux et des médiateurs), ce membre est révoqué et un nouveau membre du groupe spécial est sélectionné conformément à l’article 22.6.</w:t>
      </w:r>
    </w:p>
    <w:p>
      <w:pPr>
        <w:rPr>
          <w:noProof/>
        </w:rPr>
      </w:pPr>
    </w:p>
    <w:p>
      <w:pPr>
        <w:rPr>
          <w:noProof/>
        </w:rPr>
      </w:pPr>
      <w:r>
        <w:rPr>
          <w:noProof/>
        </w:rPr>
        <w:t>20.</w:t>
      </w:r>
      <w:r>
        <w:rPr>
          <w:noProof/>
        </w:rPr>
        <w:tab/>
        <w:t>Si les parties ne s’accordent pas sur la nécessité de remplacer le président, chaque partie peut demander que la question soit soumise à l’une des autres personnes figurant sur la sous-liste des présidents établie conformément à l’article 22.7. Son nom est tiré au sort par le coprésident du comité «Commerce» de la partie à l’origine de la demande, ou par son délégué. La décision prise par la personne désignée en ce qui concerne la nécessité de remplacer le président est irrévocable.</w:t>
      </w:r>
    </w:p>
    <w:p>
      <w:pPr>
        <w:rPr>
          <w:noProof/>
        </w:rPr>
      </w:pPr>
    </w:p>
    <w:p>
      <w:pPr>
        <w:widowControl/>
        <w:spacing w:line="240" w:lineRule="auto"/>
        <w:rPr>
          <w:noProof/>
        </w:rPr>
      </w:pPr>
      <w:r>
        <w:rPr>
          <w:noProof/>
        </w:rPr>
        <w:br w:type="page"/>
      </w:r>
    </w:p>
    <w:p>
      <w:pPr>
        <w:rPr>
          <w:noProof/>
        </w:rPr>
      </w:pPr>
      <w:r>
        <w:rPr>
          <w:noProof/>
        </w:rPr>
        <w:lastRenderedPageBreak/>
        <w:t>Si cette personne juge que le président ne respecte pas les exigences de l’annexe 22-B (Code de conduite à l’intention des membres de groupes spéciaux et des médiateurs), le président est révoqué et un nouveau président est sélectionné conformément à l’article 22.6.</w:t>
      </w:r>
    </w:p>
    <w:p>
      <w:pPr>
        <w:rPr>
          <w:noProof/>
        </w:rPr>
      </w:pPr>
    </w:p>
    <w:p>
      <w:pPr>
        <w:rPr>
          <w:noProof/>
        </w:rPr>
      </w:pPr>
    </w:p>
    <w:p>
      <w:pPr>
        <w:jc w:val="center"/>
        <w:rPr>
          <w:noProof/>
        </w:rPr>
      </w:pPr>
      <w:r>
        <w:rPr>
          <w:noProof/>
        </w:rPr>
        <w:t>VIII. Audiences</w:t>
      </w:r>
    </w:p>
    <w:p>
      <w:pPr>
        <w:rPr>
          <w:noProof/>
        </w:rPr>
      </w:pPr>
    </w:p>
    <w:p>
      <w:pPr>
        <w:rPr>
          <w:noProof/>
        </w:rPr>
      </w:pPr>
      <w:r>
        <w:rPr>
          <w:noProof/>
        </w:rPr>
        <w:t>21.</w:t>
      </w:r>
      <w:r>
        <w:rPr>
          <w:noProof/>
        </w:rPr>
        <w:tab/>
        <w:t>Sur la base du calendrier fixé conformément à la règle 9 de la présente annexe, et après avoir consulté les parties et les autres membres du groupe spécial, le président du groupe spécial informe les parties de la date, de l’heure et du lieu de l’audience. Ces informations sont rendues publiques par la partie sur le territoire de laquelle l’audience a lieu, sauf si celle-ci se déroule à huis clos.</w:t>
      </w:r>
    </w:p>
    <w:p>
      <w:pPr>
        <w:rPr>
          <w:noProof/>
        </w:rPr>
      </w:pPr>
    </w:p>
    <w:p>
      <w:pPr>
        <w:rPr>
          <w:noProof/>
        </w:rPr>
      </w:pPr>
      <w:r>
        <w:rPr>
          <w:noProof/>
        </w:rPr>
        <w:t>22.</w:t>
      </w:r>
      <w:r>
        <w:rPr>
          <w:noProof/>
        </w:rPr>
        <w:tab/>
        <w:t>Sauf convention contraire des parties, l’audience se déroule à Bruxelles lorsque la partie plaignante est l’Indonésie, et à Jakarta lorsque la partie plaignante est l’Union. La partie mise en cause prend en charge les frais découlant de l’administration logistique de l’audience.</w:t>
      </w:r>
    </w:p>
    <w:p>
      <w:pPr>
        <w:rPr>
          <w:noProof/>
        </w:rPr>
      </w:pPr>
    </w:p>
    <w:p>
      <w:pPr>
        <w:rPr>
          <w:noProof/>
        </w:rPr>
      </w:pPr>
      <w:r>
        <w:rPr>
          <w:noProof/>
        </w:rPr>
        <w:t>22</w:t>
      </w:r>
      <w:r>
        <w:rPr>
          <w:i/>
          <w:iCs/>
          <w:noProof/>
        </w:rPr>
        <w:t>bis</w:t>
      </w:r>
      <w:r>
        <w:rPr>
          <w:noProof/>
        </w:rPr>
        <w:t>.</w:t>
      </w:r>
      <w:r>
        <w:rPr>
          <w:noProof/>
        </w:rPr>
        <w:tab/>
        <w:t>Nonobstant la règle 22, le groupe spécial peut décider, à la demande d’une partie, d’organiser une audience virtuelle ou hybride et de prendre les dispositions appropriées, compte étant tenu du droit à un procès équitable et de la nécessité d’assurer la transparence, conformément à l’article 22.34.</w:t>
      </w:r>
    </w:p>
    <w:p>
      <w:pPr>
        <w:rPr>
          <w:noProof/>
        </w:rPr>
      </w:pPr>
    </w:p>
    <w:p>
      <w:pPr>
        <w:rPr>
          <w:noProof/>
        </w:rPr>
      </w:pPr>
      <w:r>
        <w:rPr>
          <w:noProof/>
        </w:rPr>
        <w:t>23.</w:t>
      </w:r>
      <w:r>
        <w:rPr>
          <w:noProof/>
        </w:rPr>
        <w:tab/>
        <w:t>Le groupe spécial peut tenir des audiences supplémentaires si les parties y consentent.</w:t>
      </w:r>
    </w:p>
    <w:p>
      <w:pPr>
        <w:rPr>
          <w:noProof/>
        </w:rPr>
      </w:pPr>
    </w:p>
    <w:p>
      <w:pPr>
        <w:rPr>
          <w:noProof/>
        </w:rPr>
      </w:pPr>
      <w:r>
        <w:rPr>
          <w:noProof/>
        </w:rPr>
        <w:t>24.</w:t>
      </w:r>
      <w:r>
        <w:rPr>
          <w:noProof/>
        </w:rPr>
        <w:tab/>
        <w:t>Tous les membres du groupe spécial sont présents pendant toute la durée de l’audience.</w:t>
      </w:r>
    </w:p>
    <w:p>
      <w:pPr>
        <w:rPr>
          <w:noProof/>
        </w:rPr>
      </w:pPr>
    </w:p>
    <w:p>
      <w:pPr>
        <w:widowControl/>
        <w:spacing w:line="240" w:lineRule="auto"/>
        <w:rPr>
          <w:noProof/>
        </w:rPr>
      </w:pPr>
      <w:r>
        <w:rPr>
          <w:noProof/>
        </w:rPr>
        <w:br w:type="page"/>
      </w:r>
    </w:p>
    <w:p>
      <w:pPr>
        <w:rPr>
          <w:noProof/>
        </w:rPr>
      </w:pPr>
      <w:r>
        <w:rPr>
          <w:noProof/>
        </w:rPr>
        <w:lastRenderedPageBreak/>
        <w:t>25.</w:t>
      </w:r>
      <w:r>
        <w:rPr>
          <w:noProof/>
        </w:rPr>
        <w:tab/>
        <w:t>À moins que les parties n’en conviennent autrement, les personnes suivantes peuvent être présentes à l’audience, que les procédures soient ou non ouvertes au public:</w:t>
      </w:r>
    </w:p>
    <w:p>
      <w:pPr>
        <w:rPr>
          <w:noProof/>
        </w:rPr>
      </w:pPr>
    </w:p>
    <w:p>
      <w:pPr>
        <w:ind w:left="567" w:hanging="567"/>
        <w:rPr>
          <w:noProof/>
        </w:rPr>
      </w:pPr>
      <w:r>
        <w:rPr>
          <w:noProof/>
        </w:rPr>
        <w:t>a)</w:t>
      </w:r>
      <w:r>
        <w:rPr>
          <w:noProof/>
        </w:rPr>
        <w:tab/>
        <w:t>les représentants des parties;</w:t>
      </w:r>
    </w:p>
    <w:p>
      <w:pPr>
        <w:ind w:left="567" w:hanging="567"/>
        <w:rPr>
          <w:noProof/>
        </w:rPr>
      </w:pPr>
    </w:p>
    <w:p>
      <w:pPr>
        <w:ind w:left="567" w:hanging="567"/>
        <w:rPr>
          <w:noProof/>
        </w:rPr>
      </w:pPr>
      <w:r>
        <w:rPr>
          <w:noProof/>
        </w:rPr>
        <w:t>b)</w:t>
      </w:r>
      <w:r>
        <w:rPr>
          <w:noProof/>
        </w:rPr>
        <w:tab/>
        <w:t>les conseillers;</w:t>
      </w:r>
    </w:p>
    <w:p>
      <w:pPr>
        <w:ind w:left="567" w:hanging="567"/>
        <w:rPr>
          <w:noProof/>
        </w:rPr>
      </w:pPr>
    </w:p>
    <w:p>
      <w:pPr>
        <w:ind w:left="567" w:hanging="567"/>
        <w:rPr>
          <w:noProof/>
        </w:rPr>
      </w:pPr>
      <w:r>
        <w:rPr>
          <w:noProof/>
        </w:rPr>
        <w:t>c)</w:t>
      </w:r>
      <w:r>
        <w:rPr>
          <w:noProof/>
        </w:rPr>
        <w:tab/>
        <w:t>les assistants et le personnel administratif;</w:t>
      </w:r>
    </w:p>
    <w:p>
      <w:pPr>
        <w:ind w:left="567" w:hanging="567"/>
        <w:rPr>
          <w:noProof/>
        </w:rPr>
      </w:pPr>
    </w:p>
    <w:p>
      <w:pPr>
        <w:ind w:left="567" w:hanging="567"/>
        <w:rPr>
          <w:noProof/>
        </w:rPr>
      </w:pPr>
      <w:r>
        <w:rPr>
          <w:noProof/>
        </w:rPr>
        <w:t>d)</w:t>
      </w:r>
      <w:r>
        <w:rPr>
          <w:noProof/>
        </w:rPr>
        <w:tab/>
        <w:t>les interprètes, les traducteurs et les sténographes du groupe spécial; et</w:t>
      </w:r>
    </w:p>
    <w:p>
      <w:pPr>
        <w:ind w:left="567" w:hanging="567"/>
        <w:rPr>
          <w:noProof/>
        </w:rPr>
      </w:pPr>
    </w:p>
    <w:p>
      <w:pPr>
        <w:ind w:left="567" w:hanging="567"/>
        <w:rPr>
          <w:noProof/>
        </w:rPr>
      </w:pPr>
      <w:r>
        <w:rPr>
          <w:noProof/>
        </w:rPr>
        <w:t>e)</w:t>
      </w:r>
      <w:r>
        <w:rPr>
          <w:noProof/>
        </w:rPr>
        <w:tab/>
        <w:t>les experts, sur décision du groupe spécial conformément à l’article 22.22, paragraphe 2.</w:t>
      </w:r>
    </w:p>
    <w:p>
      <w:pPr>
        <w:rPr>
          <w:noProof/>
        </w:rPr>
      </w:pPr>
    </w:p>
    <w:p>
      <w:pPr>
        <w:rPr>
          <w:noProof/>
        </w:rPr>
      </w:pPr>
      <w:r>
        <w:rPr>
          <w:noProof/>
        </w:rPr>
        <w:t>26.</w:t>
      </w:r>
      <w:r>
        <w:rPr>
          <w:noProof/>
        </w:rPr>
        <w:tab/>
        <w:t>Au plus tard cinq jours avant la date d’une audience, chaque partie remet au groupe spécial et à l’autre partie une liste des noms des personnes qui présenteront des arguments oraux ou des exposés à l’audience pour son compte, ainsi que des autres représentants et conseillers qui y assisteront.</w:t>
      </w:r>
    </w:p>
    <w:p>
      <w:pPr>
        <w:rPr>
          <w:noProof/>
        </w:rPr>
      </w:pPr>
    </w:p>
    <w:p>
      <w:pPr>
        <w:rPr>
          <w:noProof/>
        </w:rPr>
      </w:pPr>
      <w:r>
        <w:rPr>
          <w:noProof/>
        </w:rPr>
        <w:t>27.</w:t>
      </w:r>
      <w:r>
        <w:rPr>
          <w:noProof/>
        </w:rPr>
        <w:tab/>
        <w:t>Le groupe spécial conduit l’audience de la manière indiquée ci-dessous, en veillant à ce que la partie plaignante et la partie mise en cause disposent de temps d’argumentation et de réfutation identiques:</w:t>
      </w:r>
    </w:p>
    <w:p>
      <w:pPr>
        <w:rPr>
          <w:noProof/>
        </w:rPr>
      </w:pPr>
    </w:p>
    <w:p>
      <w:pPr>
        <w:ind w:left="567" w:hanging="567"/>
        <w:rPr>
          <w:noProof/>
        </w:rPr>
      </w:pPr>
      <w:r>
        <w:rPr>
          <w:noProof/>
        </w:rPr>
        <w:t>a)</w:t>
      </w:r>
      <w:r>
        <w:rPr>
          <w:noProof/>
        </w:rPr>
        <w:tab/>
        <w:t>Argumentation:</w:t>
      </w:r>
    </w:p>
    <w:p>
      <w:pPr>
        <w:ind w:left="567" w:hanging="567"/>
        <w:rPr>
          <w:noProof/>
        </w:rPr>
      </w:pPr>
    </w:p>
    <w:p>
      <w:pPr>
        <w:ind w:left="1134" w:hanging="567"/>
        <w:rPr>
          <w:noProof/>
        </w:rPr>
      </w:pPr>
      <w:r>
        <w:rPr>
          <w:noProof/>
        </w:rPr>
        <w:t>i)</w:t>
      </w:r>
      <w:r>
        <w:rPr>
          <w:noProof/>
        </w:rPr>
        <w:tab/>
        <w:t>argumentation de la partie plaignante;</w:t>
      </w:r>
    </w:p>
    <w:p>
      <w:pPr>
        <w:ind w:left="1134" w:hanging="567"/>
        <w:rPr>
          <w:noProof/>
        </w:rPr>
      </w:pPr>
    </w:p>
    <w:p>
      <w:pPr>
        <w:ind w:left="1134" w:hanging="567"/>
        <w:rPr>
          <w:noProof/>
        </w:rPr>
      </w:pPr>
      <w:r>
        <w:rPr>
          <w:noProof/>
        </w:rPr>
        <w:t>ii)</w:t>
      </w:r>
      <w:r>
        <w:rPr>
          <w:noProof/>
        </w:rPr>
        <w:tab/>
        <w:t>argumentation de la partie mise en cause.</w:t>
      </w:r>
    </w:p>
    <w:p>
      <w:pPr>
        <w:ind w:left="1134"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Contre-arguments</w:t>
      </w:r>
    </w:p>
    <w:p>
      <w:pPr>
        <w:ind w:left="567" w:hanging="567"/>
        <w:rPr>
          <w:noProof/>
        </w:rPr>
      </w:pPr>
    </w:p>
    <w:p>
      <w:pPr>
        <w:ind w:left="1134" w:hanging="567"/>
        <w:rPr>
          <w:noProof/>
        </w:rPr>
      </w:pPr>
      <w:r>
        <w:rPr>
          <w:noProof/>
        </w:rPr>
        <w:t>i)</w:t>
      </w:r>
      <w:r>
        <w:rPr>
          <w:noProof/>
        </w:rPr>
        <w:tab/>
        <w:t>réponse de la partie plaignante;</w:t>
      </w:r>
    </w:p>
    <w:p>
      <w:pPr>
        <w:ind w:left="1134" w:hanging="567"/>
        <w:rPr>
          <w:noProof/>
        </w:rPr>
      </w:pPr>
    </w:p>
    <w:p>
      <w:pPr>
        <w:ind w:left="1134" w:hanging="567"/>
        <w:rPr>
          <w:noProof/>
        </w:rPr>
      </w:pPr>
      <w:r>
        <w:rPr>
          <w:noProof/>
        </w:rPr>
        <w:t>ii)</w:t>
      </w:r>
      <w:r>
        <w:rPr>
          <w:noProof/>
        </w:rPr>
        <w:tab/>
        <w:t>réplique de la partie mise en cause.</w:t>
      </w:r>
    </w:p>
    <w:p>
      <w:pPr>
        <w:ind w:left="1134" w:hanging="567"/>
        <w:rPr>
          <w:noProof/>
        </w:rPr>
      </w:pPr>
    </w:p>
    <w:p>
      <w:pPr>
        <w:rPr>
          <w:noProof/>
        </w:rPr>
      </w:pPr>
      <w:r>
        <w:rPr>
          <w:noProof/>
        </w:rPr>
        <w:t>28.</w:t>
      </w:r>
      <w:r>
        <w:rPr>
          <w:noProof/>
        </w:rPr>
        <w:tab/>
        <w:t>Le groupe spécial peut interroger directement l’une ou l’autre des parties à tout moment durant l’audience.</w:t>
      </w:r>
    </w:p>
    <w:p>
      <w:pPr>
        <w:rPr>
          <w:noProof/>
        </w:rPr>
      </w:pPr>
    </w:p>
    <w:p>
      <w:pPr>
        <w:rPr>
          <w:noProof/>
        </w:rPr>
      </w:pPr>
      <w:r>
        <w:rPr>
          <w:noProof/>
        </w:rPr>
        <w:t>29.</w:t>
      </w:r>
      <w:r>
        <w:rPr>
          <w:noProof/>
        </w:rPr>
        <w:tab/>
        <w:t>Le groupe spécial prend les dispositions nécessaires pour qu’un procès-verbal ou un enregistrement vidéo et audio de l’audience soit établi et transmis aux parties dès que possible après l’audience. Les parties peuvent formuler des observations sur le procès-verbal ou sur l’enregistrement vidéo et audio, et le groupe spécial peut examiner ces observations et communiquer toute version révisée du procès-verbal aux parties dès que possible. Le coût d’un procès-verbal intégral ou d’un enregistrement vidéo et audio est partagé entre les parties.</w:t>
      </w:r>
    </w:p>
    <w:p>
      <w:pPr>
        <w:rPr>
          <w:noProof/>
        </w:rPr>
      </w:pPr>
    </w:p>
    <w:p>
      <w:pPr>
        <w:rPr>
          <w:noProof/>
        </w:rPr>
      </w:pPr>
      <w:r>
        <w:rPr>
          <w:noProof/>
        </w:rPr>
        <w:t>30.</w:t>
      </w:r>
      <w:r>
        <w:rPr>
          <w:noProof/>
        </w:rPr>
        <w:tab/>
        <w:t>Dans les 10 jours suivant la date de l’audience, chacune des parties peut transmettre une communication écrite supplémentaire se rapportant à toute question soulevée durant l’audience.</w:t>
      </w:r>
    </w:p>
    <w:p>
      <w:pPr>
        <w:rPr>
          <w:noProof/>
        </w:rPr>
      </w:pPr>
    </w:p>
    <w:p>
      <w:pPr>
        <w:rPr>
          <w:noProof/>
        </w:rPr>
      </w:pPr>
    </w:p>
    <w:p>
      <w:pPr>
        <w:jc w:val="center"/>
        <w:rPr>
          <w:noProof/>
        </w:rPr>
      </w:pPr>
      <w:r>
        <w:rPr>
          <w:noProof/>
        </w:rPr>
        <w:t>IX. Questions écrites</w:t>
      </w:r>
    </w:p>
    <w:p>
      <w:pPr>
        <w:rPr>
          <w:noProof/>
        </w:rPr>
      </w:pPr>
    </w:p>
    <w:p>
      <w:pPr>
        <w:rPr>
          <w:noProof/>
        </w:rPr>
      </w:pPr>
      <w:r>
        <w:rPr>
          <w:noProof/>
        </w:rPr>
        <w:t>31.</w:t>
      </w:r>
      <w:r>
        <w:rPr>
          <w:noProof/>
        </w:rPr>
        <w:tab/>
        <w:t>Le groupe spécial peut, à tout moment de la procédure, adresser des questions écrites à une partie ou aux deux. Toute question soumise à l’une des parties est transmise en copie à l’autre partie.</w:t>
      </w:r>
    </w:p>
    <w:p>
      <w:pPr>
        <w:rPr>
          <w:noProof/>
        </w:rPr>
      </w:pPr>
    </w:p>
    <w:p>
      <w:pPr>
        <w:rPr>
          <w:noProof/>
        </w:rPr>
      </w:pPr>
      <w:r>
        <w:rPr>
          <w:noProof/>
        </w:rPr>
        <w:t>32.</w:t>
      </w:r>
      <w:r>
        <w:rPr>
          <w:noProof/>
        </w:rPr>
        <w:tab/>
        <w:t>Chaque partie fournit à l’autre partie une copie de ses réponses aux questions du groupe spécial. L’autre partie a la possibilité de présenter ses observations, par écrit, sur les réponses de l’autre partie dans un délai de six jours suivant la réception de cette copie.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X. Confidentialité</w:t>
      </w:r>
    </w:p>
    <w:p>
      <w:pPr>
        <w:rPr>
          <w:noProof/>
        </w:rPr>
      </w:pPr>
    </w:p>
    <w:p>
      <w:pPr>
        <w:rPr>
          <w:noProof/>
        </w:rPr>
      </w:pPr>
      <w:r>
        <w:rPr>
          <w:noProof/>
        </w:rPr>
        <w:t>33.</w:t>
      </w:r>
      <w:r>
        <w:rPr>
          <w:noProof/>
        </w:rPr>
        <w:tab/>
        <w:t>Chaque partie et le groupe spécial traitent de manière confidentielle toute information qualifiée de confidentielle en vertu de la règle 33</w:t>
      </w:r>
      <w:r>
        <w:rPr>
          <w:i/>
          <w:iCs/>
          <w:noProof/>
        </w:rPr>
        <w:t>bis</w:t>
      </w:r>
      <w:r>
        <w:rPr>
          <w:noProof/>
        </w:rPr>
        <w:t>. Si partie transmet au groupe spécial une communication écrite contenant des informations confidentielles, elle fournit également, dans un délai de quinze jours, une communication dans laquelle n’apparaissent pas les informations confidentielles et qui peut être divulguée au public.</w:t>
      </w:r>
    </w:p>
    <w:p>
      <w:pPr>
        <w:rPr>
          <w:noProof/>
        </w:rPr>
      </w:pPr>
    </w:p>
    <w:p>
      <w:pPr>
        <w:rPr>
          <w:noProof/>
        </w:rPr>
      </w:pPr>
      <w:r>
        <w:rPr>
          <w:noProof/>
        </w:rPr>
        <w:t>33</w:t>
      </w:r>
      <w:r>
        <w:rPr>
          <w:i/>
          <w:iCs/>
          <w:noProof/>
        </w:rPr>
        <w:t>bis</w:t>
      </w:r>
      <w:r>
        <w:rPr>
          <w:noProof/>
        </w:rPr>
        <w:t>.</w:t>
      </w:r>
      <w:r>
        <w:rPr>
          <w:noProof/>
        </w:rPr>
        <w:tab/>
        <w:t>Sont considérées comme des informations confidentielles:</w:t>
      </w:r>
    </w:p>
    <w:p>
      <w:pPr>
        <w:rPr>
          <w:noProof/>
        </w:rPr>
      </w:pPr>
    </w:p>
    <w:p>
      <w:pPr>
        <w:ind w:left="567" w:hanging="567"/>
        <w:rPr>
          <w:noProof/>
        </w:rPr>
      </w:pPr>
      <w:r>
        <w:rPr>
          <w:noProof/>
        </w:rPr>
        <w:t>a)</w:t>
      </w:r>
      <w:r>
        <w:rPr>
          <w:noProof/>
        </w:rPr>
        <w:tab/>
        <w:t>les informations commerciales confidentielles;</w:t>
      </w:r>
    </w:p>
    <w:p>
      <w:pPr>
        <w:ind w:left="567" w:hanging="567"/>
        <w:rPr>
          <w:noProof/>
        </w:rPr>
      </w:pPr>
    </w:p>
    <w:p>
      <w:pPr>
        <w:ind w:left="567" w:hanging="567"/>
        <w:rPr>
          <w:noProof/>
        </w:rPr>
      </w:pPr>
      <w:r>
        <w:rPr>
          <w:noProof/>
        </w:rPr>
        <w:t>b)</w:t>
      </w:r>
      <w:r>
        <w:rPr>
          <w:noProof/>
        </w:rPr>
        <w:tab/>
        <w:t>les informations protégées contre la mise à la disposition du public en vertu du présent accord;</w:t>
      </w:r>
    </w:p>
    <w:p>
      <w:pPr>
        <w:ind w:left="567" w:hanging="567"/>
        <w:rPr>
          <w:noProof/>
        </w:rPr>
      </w:pPr>
    </w:p>
    <w:p>
      <w:pPr>
        <w:ind w:left="567" w:hanging="567"/>
        <w:rPr>
          <w:noProof/>
        </w:rPr>
      </w:pPr>
      <w:r>
        <w:rPr>
          <w:noProof/>
        </w:rPr>
        <w:t>c)</w:t>
      </w:r>
      <w:r>
        <w:rPr>
          <w:noProof/>
        </w:rPr>
        <w:tab/>
        <w:t xml:space="preserve">les informations protégées contre la mise à la disposition du public en vertu du droit de la partie plaignante dans le cas des informations de la partie plaignante et en vertu du droit de la partie mise en cause dans le cas des informations de la partie mise en cause; ou </w:t>
      </w:r>
    </w:p>
    <w:p>
      <w:pPr>
        <w:ind w:left="567" w:hanging="567"/>
        <w:rPr>
          <w:noProof/>
        </w:rPr>
      </w:pPr>
    </w:p>
    <w:p>
      <w:pPr>
        <w:ind w:left="567" w:hanging="567"/>
        <w:rPr>
          <w:noProof/>
        </w:rPr>
      </w:pPr>
      <w:r>
        <w:rPr>
          <w:noProof/>
        </w:rPr>
        <w:t>d)</w:t>
      </w:r>
      <w:r>
        <w:rPr>
          <w:noProof/>
        </w:rPr>
        <w:tab/>
        <w:t>les informations dont la divulgation ferait obstacle à l’application du droit.</w:t>
      </w:r>
    </w:p>
    <w:p>
      <w:pPr>
        <w:rPr>
          <w:noProof/>
        </w:rPr>
      </w:pPr>
    </w:p>
    <w:p>
      <w:pPr>
        <w:rPr>
          <w:noProof/>
        </w:rPr>
      </w:pPr>
      <w:r>
        <w:rPr>
          <w:noProof/>
        </w:rPr>
        <w:t>Si les parties ne sont pas d’accord sur le caractère confidentiel d’une information, le groupe spécial statue, à la demande d’une partie, après consultation des parties.</w:t>
      </w:r>
    </w:p>
    <w:p>
      <w:pPr>
        <w:rPr>
          <w:noProof/>
        </w:rPr>
      </w:pPr>
    </w:p>
    <w:p>
      <w:pPr>
        <w:rPr>
          <w:noProof/>
        </w:rPr>
      </w:pPr>
      <w:r>
        <w:rPr>
          <w:noProof/>
        </w:rPr>
        <w:t>34.</w:t>
      </w:r>
      <w:r>
        <w:rPr>
          <w:noProof/>
        </w:rPr>
        <w:tab/>
        <w:t>Aucune disposition de la présente annexe n’empêche une partie de communiquer au public ses propres positions dans la mesure où, lorsqu’elle fait référence à des informations communiquées par l’autre partie, elle ne divulgue pas de renseignements désignés comme confidentiels par l’autre partie.</w:t>
      </w:r>
    </w:p>
    <w:p>
      <w:pPr>
        <w:rPr>
          <w:noProof/>
        </w:rPr>
      </w:pPr>
    </w:p>
    <w:p>
      <w:pPr>
        <w:widowControl/>
        <w:spacing w:line="240" w:lineRule="auto"/>
        <w:rPr>
          <w:noProof/>
        </w:rPr>
      </w:pPr>
      <w:r>
        <w:rPr>
          <w:noProof/>
        </w:rPr>
        <w:br w:type="page"/>
      </w:r>
    </w:p>
    <w:p>
      <w:pPr>
        <w:rPr>
          <w:noProof/>
        </w:rPr>
      </w:pPr>
      <w:r>
        <w:rPr>
          <w:noProof/>
        </w:rPr>
        <w:lastRenderedPageBreak/>
        <w:t>35.</w:t>
      </w:r>
      <w:r>
        <w:rPr>
          <w:noProof/>
        </w:rPr>
        <w:tab/>
        <w:t>Le groupe spécial se réunit à huis clos lorsque les observations écrites et argumentations d’une partie comportent des informations confidentielles. Les parties préservent la confidentialité des audiences du groupe spécial si celles-ci ont lieu à huis clos.</w:t>
      </w:r>
    </w:p>
    <w:p>
      <w:pPr>
        <w:rPr>
          <w:noProof/>
        </w:rPr>
      </w:pPr>
    </w:p>
    <w:p>
      <w:pPr>
        <w:rPr>
          <w:noProof/>
        </w:rPr>
      </w:pPr>
    </w:p>
    <w:p>
      <w:pPr>
        <w:jc w:val="center"/>
        <w:rPr>
          <w:noProof/>
        </w:rPr>
      </w:pPr>
      <w:r>
        <w:rPr>
          <w:noProof/>
        </w:rPr>
        <w:t xml:space="preserve">XI. Contacts </w:t>
      </w:r>
      <w:r>
        <w:rPr>
          <w:i/>
          <w:iCs/>
          <w:noProof/>
        </w:rPr>
        <w:t>ex parte</w:t>
      </w:r>
    </w:p>
    <w:p>
      <w:pPr>
        <w:rPr>
          <w:noProof/>
        </w:rPr>
      </w:pPr>
    </w:p>
    <w:p>
      <w:pPr>
        <w:rPr>
          <w:noProof/>
        </w:rPr>
      </w:pPr>
      <w:r>
        <w:rPr>
          <w:noProof/>
        </w:rPr>
        <w:t>36.</w:t>
      </w:r>
      <w:r>
        <w:rPr>
          <w:noProof/>
        </w:rPr>
        <w:tab/>
        <w:t>Le groupe spécial s’abstient de toute rencontre ou communication avec une partie en l’absence de l’autre partie.</w:t>
      </w:r>
    </w:p>
    <w:p>
      <w:pPr>
        <w:rPr>
          <w:noProof/>
        </w:rPr>
      </w:pPr>
    </w:p>
    <w:p>
      <w:pPr>
        <w:rPr>
          <w:noProof/>
        </w:rPr>
      </w:pPr>
      <w:r>
        <w:rPr>
          <w:noProof/>
        </w:rPr>
        <w:t>37.</w:t>
      </w:r>
      <w:r>
        <w:rPr>
          <w:noProof/>
        </w:rPr>
        <w:tab/>
        <w:t>Un membre de groupe spécial ne peut discuter de quelque aspect que ce soit de l’objet de la procédure avec une partie ou les deux parties en l’absence des autres membres.</w:t>
      </w:r>
    </w:p>
    <w:p>
      <w:pPr>
        <w:rPr>
          <w:noProof/>
        </w:rPr>
      </w:pPr>
    </w:p>
    <w:p>
      <w:pPr>
        <w:rPr>
          <w:noProof/>
        </w:rPr>
      </w:pPr>
      <w:r>
        <w:rPr>
          <w:noProof/>
        </w:rPr>
        <w:t>37</w:t>
      </w:r>
      <w:r>
        <w:rPr>
          <w:i/>
          <w:iCs/>
          <w:noProof/>
        </w:rPr>
        <w:t>bis</w:t>
      </w:r>
      <w:r>
        <w:rPr>
          <w:noProof/>
        </w:rPr>
        <w:t>.</w:t>
      </w:r>
      <w:r>
        <w:rPr>
          <w:noProof/>
        </w:rPr>
        <w:tab/>
        <w:t xml:space="preserve">Les parties n’ont aucun contact avec les membres de groupe spécial. </w:t>
      </w:r>
      <w:bookmarkStart w:id="4" w:name="_Hlk134628873"/>
      <w:r>
        <w:rPr>
          <w:noProof/>
        </w:rPr>
        <w:t>Tout contact entre une partie et une personne dont la sélection en tant que membre de groupe spécial est envisagée est limité aux questions relatives au processus de sélection et à la nomination.</w:t>
      </w:r>
    </w:p>
    <w:p>
      <w:pPr>
        <w:rPr>
          <w:noProof/>
        </w:rPr>
      </w:pPr>
    </w:p>
    <w:bookmarkEnd w:id="4"/>
    <w:p>
      <w:pPr>
        <w:rPr>
          <w:noProof/>
        </w:rPr>
      </w:pPr>
    </w:p>
    <w:p>
      <w:pPr>
        <w:jc w:val="center"/>
        <w:rPr>
          <w:noProof/>
        </w:rPr>
      </w:pPr>
      <w:r>
        <w:rPr>
          <w:noProof/>
        </w:rPr>
        <w:t>XII. Communications d’amicus curiae</w:t>
      </w:r>
    </w:p>
    <w:p>
      <w:pPr>
        <w:rPr>
          <w:noProof/>
        </w:rPr>
      </w:pPr>
    </w:p>
    <w:p>
      <w:pPr>
        <w:rPr>
          <w:noProof/>
        </w:rPr>
      </w:pPr>
      <w:r>
        <w:rPr>
          <w:noProof/>
        </w:rPr>
        <w:t>38.</w:t>
      </w:r>
      <w:r>
        <w:rPr>
          <w:noProof/>
        </w:rPr>
        <w:tab/>
        <w:t>Le groupe spécial peut recevoir des communications écrites non sollicitées de personnes physiques d’une partie ou de personnes morales établies sur le territoire d’une partie qui sont indépendantes des gouvernements des parties, pour autant que ces communications:</w:t>
      </w:r>
    </w:p>
    <w:p>
      <w:pPr>
        <w:rPr>
          <w:noProof/>
        </w:rPr>
      </w:pPr>
    </w:p>
    <w:p>
      <w:pPr>
        <w:ind w:left="567" w:hanging="567"/>
        <w:rPr>
          <w:noProof/>
        </w:rPr>
      </w:pPr>
      <w:r>
        <w:rPr>
          <w:noProof/>
        </w:rPr>
        <w:t>a)</w:t>
      </w:r>
      <w:r>
        <w:rPr>
          <w:noProof/>
        </w:rPr>
        <w:tab/>
        <w:t>soient reçues par le groupe spécial avant une date fixée par celui-ci, qui ne peut être postérieure à la date fixée pour la première communication écrite de la partie mise en cause;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soient concises et ne dépassent en aucun cas 15 pages dactylographiées en double interligne, annexes comprises;</w:t>
      </w:r>
    </w:p>
    <w:p>
      <w:pPr>
        <w:ind w:left="567" w:hanging="567"/>
        <w:rPr>
          <w:noProof/>
        </w:rPr>
      </w:pPr>
    </w:p>
    <w:p>
      <w:pPr>
        <w:ind w:left="567" w:hanging="567"/>
        <w:rPr>
          <w:noProof/>
        </w:rPr>
      </w:pPr>
      <w:r>
        <w:rPr>
          <w:noProof/>
        </w:rPr>
        <w:t>c)</w:t>
      </w:r>
      <w:r>
        <w:rPr>
          <w:noProof/>
        </w:rPr>
        <w:tab/>
        <w:t>sont directement pertinentes au regard d’une question de fait ou de droit examinée par le groupe spécial et que la personne physique ou morale concernée explique en quoi la communication aiderait le groupe spécial à déterminer cette question de fait ou de droit en apportant une perspective, des connaissances particulières ou un éclairage différent de celui des parties;</w:t>
      </w:r>
    </w:p>
    <w:p>
      <w:pPr>
        <w:ind w:left="567" w:hanging="567"/>
        <w:rPr>
          <w:noProof/>
        </w:rPr>
      </w:pPr>
    </w:p>
    <w:p>
      <w:pPr>
        <w:ind w:left="567" w:hanging="567"/>
        <w:rPr>
          <w:noProof/>
        </w:rPr>
      </w:pPr>
      <w:r>
        <w:rPr>
          <w:noProof/>
        </w:rPr>
        <w:t>d)</w:t>
      </w:r>
      <w:r>
        <w:rPr>
          <w:noProof/>
        </w:rPr>
        <w:tab/>
        <w:t>contienne une description de la personne qui soumet la communication, y compris, pour une personne physique, sa nationalité et, pour une personne morale, son lieu d’établissement, la nature de ses activités, son statut juridique, ses objectifs généraux et sa source de financement;</w:t>
      </w:r>
    </w:p>
    <w:p>
      <w:pPr>
        <w:ind w:left="567" w:hanging="567"/>
        <w:rPr>
          <w:noProof/>
        </w:rPr>
      </w:pPr>
    </w:p>
    <w:p>
      <w:pPr>
        <w:ind w:left="567" w:hanging="567"/>
        <w:rPr>
          <w:noProof/>
        </w:rPr>
      </w:pPr>
      <w:r>
        <w:rPr>
          <w:noProof/>
        </w:rPr>
        <w:t>e)</w:t>
      </w:r>
      <w:r>
        <w:rPr>
          <w:noProof/>
        </w:rPr>
        <w:tab/>
        <w:t>précisent la nature de l’intérêt que porte cette personne à la procédure du groupe spécial; et</w:t>
      </w:r>
    </w:p>
    <w:p>
      <w:pPr>
        <w:ind w:left="567" w:hanging="567"/>
        <w:rPr>
          <w:noProof/>
        </w:rPr>
      </w:pPr>
    </w:p>
    <w:p>
      <w:pPr>
        <w:ind w:left="567" w:hanging="567"/>
        <w:rPr>
          <w:noProof/>
        </w:rPr>
      </w:pPr>
      <w:r>
        <w:rPr>
          <w:noProof/>
        </w:rPr>
        <w:t>f)</w:t>
      </w:r>
      <w:r>
        <w:rPr>
          <w:noProof/>
        </w:rPr>
        <w:tab/>
        <w:t>soient rédigées dans la langue de travail déterminée conformément à la règle 42 de la présente annexe.</w:t>
      </w:r>
    </w:p>
    <w:p>
      <w:pPr>
        <w:rPr>
          <w:noProof/>
        </w:rPr>
      </w:pPr>
    </w:p>
    <w:p>
      <w:pPr>
        <w:rPr>
          <w:noProof/>
        </w:rPr>
      </w:pPr>
      <w:r>
        <w:rPr>
          <w:noProof/>
        </w:rPr>
        <w:t>Les parties peuvent convenir de modifier les conditions énoncées aux points a) à f) dans les cinq jours suivant la date de constitution du groupe spécial.</w:t>
      </w:r>
    </w:p>
    <w:p>
      <w:pPr>
        <w:rPr>
          <w:noProof/>
        </w:rPr>
      </w:pPr>
    </w:p>
    <w:p>
      <w:pPr>
        <w:rPr>
          <w:noProof/>
        </w:rPr>
      </w:pPr>
      <w:r>
        <w:rPr>
          <w:noProof/>
        </w:rPr>
        <w:t>39.</w:t>
      </w:r>
      <w:r>
        <w:rPr>
          <w:noProof/>
        </w:rPr>
        <w:tab/>
        <w:t>Les communications sont notifiées aux parties afin qu’elles puissent transmettre leurs observations. Les parties peuvent présenter des observations au groupe spécial, dans un délai de 10 jours à compter de leur réception.</w:t>
      </w:r>
    </w:p>
    <w:p>
      <w:pPr>
        <w:rPr>
          <w:noProof/>
        </w:rPr>
      </w:pPr>
    </w:p>
    <w:p>
      <w:pPr>
        <w:rPr>
          <w:noProof/>
        </w:rPr>
      </w:pPr>
      <w:r>
        <w:rPr>
          <w:noProof/>
        </w:rPr>
        <w:t>40.</w:t>
      </w:r>
      <w:r>
        <w:rPr>
          <w:noProof/>
        </w:rPr>
        <w:tab/>
        <w:t>Le groupe spécial dresse, dans son rapport, l’inventaire de toutes les communications reçues en application de la règle 38 de la présente annexe. Le groupe spécial n’est pas tenu de répondre, dans son rapport, aux arguments avancés dans les communications en question. Si le groupe spécial examine ces arguments, il tient également compte des observations éventuelles formulées par les parties conformément à la règle 39 de la présente annexe.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XIII. Cas urgents</w:t>
      </w:r>
    </w:p>
    <w:p>
      <w:pPr>
        <w:rPr>
          <w:noProof/>
        </w:rPr>
      </w:pPr>
    </w:p>
    <w:p>
      <w:pPr>
        <w:rPr>
          <w:noProof/>
        </w:rPr>
      </w:pPr>
      <w:r>
        <w:rPr>
          <w:noProof/>
        </w:rPr>
        <w:t>41.</w:t>
      </w:r>
      <w:r>
        <w:rPr>
          <w:noProof/>
        </w:rPr>
        <w:tab/>
        <w:t>Dans les cas urgents visés à l’article 22.11, le groupe spécial, après avoir consulté les parties, adapte, le cas échéant, les délais prévus dans la présente annexe. Le groupe spécial notifie ces adaptations aux parties.</w:t>
      </w:r>
    </w:p>
    <w:p>
      <w:pPr>
        <w:rPr>
          <w:noProof/>
        </w:rPr>
      </w:pPr>
    </w:p>
    <w:p>
      <w:pPr>
        <w:rPr>
          <w:noProof/>
        </w:rPr>
      </w:pPr>
    </w:p>
    <w:p>
      <w:pPr>
        <w:jc w:val="center"/>
        <w:rPr>
          <w:noProof/>
        </w:rPr>
      </w:pPr>
      <w:r>
        <w:rPr>
          <w:noProof/>
        </w:rPr>
        <w:t>XIV. Traduction et interprétation</w:t>
      </w:r>
    </w:p>
    <w:p>
      <w:pPr>
        <w:rPr>
          <w:noProof/>
        </w:rPr>
      </w:pPr>
    </w:p>
    <w:p>
      <w:pPr>
        <w:rPr>
          <w:noProof/>
        </w:rPr>
      </w:pPr>
      <w:r>
        <w:rPr>
          <w:noProof/>
        </w:rPr>
        <w:t>42.</w:t>
      </w:r>
      <w:r>
        <w:rPr>
          <w:noProof/>
        </w:rPr>
        <w:tab/>
        <w:t>Durant les consultations visées à l’article 22.4, et au plus tard lors de la réunion visée à la règle 9 de la présente annexe, les parties s’efforcent de s’entendre sur une langue de travail pour la procédure devant le groupe spécial. Si les parties ne parviennent pas à se mettre d’accord sur une langue de travail, la langue dans laquelle l’accord a été négocié est la langue de travail de la procédure devant le groupe spécial.</w:t>
      </w:r>
    </w:p>
    <w:p>
      <w:pPr>
        <w:rPr>
          <w:noProof/>
        </w:rPr>
      </w:pPr>
    </w:p>
    <w:p>
      <w:pPr>
        <w:rPr>
          <w:noProof/>
        </w:rPr>
      </w:pPr>
      <w:r>
        <w:rPr>
          <w:noProof/>
        </w:rPr>
        <w:t>43.</w:t>
      </w:r>
      <w:r>
        <w:rPr>
          <w:noProof/>
        </w:rPr>
        <w:tab/>
        <w:t>Si une partie soumet un document dans une langue autre que la langue de travail, elle en présente simultanément une traduction dans une langue de travail, réalisée à ses propres frais.</w:t>
      </w:r>
    </w:p>
    <w:p>
      <w:pPr>
        <w:rPr>
          <w:noProof/>
        </w:rPr>
      </w:pPr>
    </w:p>
    <w:p>
      <w:pPr>
        <w:rPr>
          <w:noProof/>
        </w:rPr>
      </w:pPr>
      <w:r>
        <w:rPr>
          <w:noProof/>
        </w:rPr>
        <w:t>44.</w:t>
      </w:r>
      <w:r>
        <w:rPr>
          <w:noProof/>
        </w:rPr>
        <w:tab/>
        <w:t>Les rapports et les décisions du groupe spécial sont établis dans la langue de travail.</w:t>
      </w:r>
    </w:p>
    <w:p>
      <w:pPr>
        <w:rPr>
          <w:noProof/>
        </w:rPr>
      </w:pPr>
    </w:p>
    <w:p>
      <w:pPr>
        <w:rPr>
          <w:noProof/>
        </w:rPr>
      </w:pPr>
      <w:r>
        <w:rPr>
          <w:noProof/>
        </w:rPr>
        <w:t>45.</w:t>
      </w:r>
      <w:r>
        <w:rPr>
          <w:noProof/>
        </w:rPr>
        <w:tab/>
        <w:t>Toute partie peut présenter des observations sur l’exactitude de la traduction de tout document dans la langue de travail conformément à la règle 43.</w:t>
      </w:r>
    </w:p>
    <w:p>
      <w:pPr>
        <w:rPr>
          <w:noProof/>
        </w:rPr>
      </w:pPr>
    </w:p>
    <w:p>
      <w:pPr>
        <w:rPr>
          <w:noProof/>
        </w:rPr>
      </w:pPr>
    </w:p>
    <w:p>
      <w:pPr>
        <w:jc w:val="center"/>
        <w:rPr>
          <w:noProof/>
        </w:rPr>
      </w:pPr>
      <w:r>
        <w:rPr>
          <w:noProof/>
        </w:rPr>
        <w:t>XV. Autres procédures</w:t>
      </w:r>
    </w:p>
    <w:p>
      <w:pPr>
        <w:rPr>
          <w:noProof/>
        </w:rPr>
      </w:pPr>
    </w:p>
    <w:p>
      <w:pPr>
        <w:rPr>
          <w:noProof/>
        </w:rPr>
      </w:pPr>
      <w:r>
        <w:rPr>
          <w:noProof/>
        </w:rPr>
        <w:t>46.</w:t>
      </w:r>
      <w:r>
        <w:rPr>
          <w:noProof/>
        </w:rPr>
        <w:tab/>
        <w:t>Les délais fixés dans la présente annexe sont adaptés conformément aux délais spéciaux prévus pour l’adoption d’un rapport ou d’une décision par le groupe spécial dans le cadre de la procédure prévue aux articles 22.15, 22.16, 22.17, 22.18 et 22.19.</w:t>
      </w:r>
    </w:p>
    <w:p>
      <w:pPr>
        <w:rPr>
          <w:bCs/>
          <w:noProof/>
          <w:szCs w:val="24"/>
        </w:rPr>
      </w:pPr>
    </w:p>
    <w:p>
      <w:pPr>
        <w:rPr>
          <w:bCs/>
          <w:noProof/>
          <w:szCs w:val="24"/>
        </w:rPr>
      </w:pPr>
    </w:p>
    <w:p>
      <w:pPr>
        <w:jc w:val="center"/>
        <w:rPr>
          <w:bCs/>
          <w:noProof/>
          <w:szCs w:val="24"/>
        </w:rPr>
      </w:pPr>
      <w:r>
        <w:rPr>
          <w:noProof/>
        </w:rPr>
        <w:t>________________</w:t>
      </w:r>
    </w:p>
    <w:p>
      <w:pPr>
        <w:rPr>
          <w:bCs/>
          <w:noProof/>
          <w:szCs w:val="24"/>
        </w:rPr>
      </w:pPr>
    </w:p>
    <w:p>
      <w:pPr>
        <w:rPr>
          <w:bCs/>
          <w:noProof/>
          <w:szCs w:val="24"/>
        </w:rPr>
        <w:sectPr>
          <w:headerReference w:type="default" r:id="rId35"/>
          <w:footerReference w:type="default" r:id="rId3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22-B</w:t>
      </w:r>
    </w:p>
    <w:p>
      <w:pPr>
        <w:rPr>
          <w:noProof/>
        </w:rPr>
      </w:pPr>
    </w:p>
    <w:p>
      <w:pPr>
        <w:rPr>
          <w:noProof/>
        </w:rPr>
      </w:pPr>
    </w:p>
    <w:p>
      <w:pPr>
        <w:jc w:val="center"/>
        <w:rPr>
          <w:noProof/>
        </w:rPr>
      </w:pPr>
      <w:r>
        <w:rPr>
          <w:noProof/>
        </w:rPr>
        <w:t>CODE DE CONDUITE À L’INTENTION DES MEMBRES DE GROUPE SPÉCIAL ET DES MÉDIATEURS</w:t>
      </w:r>
    </w:p>
    <w:p>
      <w:pPr>
        <w:jc w:val="center"/>
        <w:rPr>
          <w:noProof/>
        </w:rPr>
      </w:pPr>
    </w:p>
    <w:p>
      <w:pPr>
        <w:jc w:val="center"/>
        <w:rPr>
          <w:noProof/>
        </w:rPr>
      </w:pPr>
    </w:p>
    <w:p>
      <w:pPr>
        <w:jc w:val="center"/>
        <w:rPr>
          <w:noProof/>
        </w:rPr>
      </w:pPr>
      <w:r>
        <w:rPr>
          <w:noProof/>
        </w:rPr>
        <w:t>I. Principes fondamentaux</w:t>
      </w:r>
    </w:p>
    <w:p>
      <w:pPr>
        <w:rPr>
          <w:noProof/>
        </w:rPr>
      </w:pPr>
    </w:p>
    <w:p>
      <w:pPr>
        <w:rPr>
          <w:noProof/>
        </w:rPr>
      </w:pPr>
      <w:r>
        <w:rPr>
          <w:noProof/>
        </w:rPr>
        <w:t>1.</w:t>
      </w:r>
      <w:r>
        <w:rPr>
          <w:noProof/>
        </w:rPr>
        <w:tab/>
        <w:t>Afin de préserver l’intégrité et l’impartialité du mécanisme de règlement des différends, chaque candidat et chaque membre du groupe spécial:</w:t>
      </w:r>
    </w:p>
    <w:p>
      <w:pPr>
        <w:rPr>
          <w:noProof/>
        </w:rPr>
      </w:pPr>
    </w:p>
    <w:p>
      <w:pPr>
        <w:ind w:left="567" w:hanging="567"/>
        <w:rPr>
          <w:noProof/>
        </w:rPr>
      </w:pPr>
      <w:r>
        <w:rPr>
          <w:noProof/>
        </w:rPr>
        <w:t>a)</w:t>
      </w:r>
      <w:r>
        <w:rPr>
          <w:noProof/>
        </w:rPr>
        <w:tab/>
        <w:t>se familiarise avec la présente annexe;</w:t>
      </w:r>
    </w:p>
    <w:p>
      <w:pPr>
        <w:ind w:left="567" w:hanging="567"/>
        <w:rPr>
          <w:noProof/>
        </w:rPr>
      </w:pPr>
    </w:p>
    <w:p>
      <w:pPr>
        <w:ind w:left="567" w:hanging="567"/>
        <w:rPr>
          <w:noProof/>
        </w:rPr>
      </w:pPr>
      <w:r>
        <w:rPr>
          <w:noProof/>
        </w:rPr>
        <w:t>b)</w:t>
      </w:r>
      <w:r>
        <w:rPr>
          <w:noProof/>
        </w:rPr>
        <w:tab/>
        <w:t>est indépendant et impartial;</w:t>
      </w:r>
    </w:p>
    <w:p>
      <w:pPr>
        <w:ind w:left="567" w:hanging="567"/>
        <w:rPr>
          <w:noProof/>
        </w:rPr>
      </w:pPr>
    </w:p>
    <w:p>
      <w:pPr>
        <w:ind w:left="567" w:hanging="567"/>
        <w:rPr>
          <w:noProof/>
        </w:rPr>
      </w:pPr>
      <w:r>
        <w:rPr>
          <w:noProof/>
        </w:rPr>
        <w:t>c)</w:t>
      </w:r>
      <w:r>
        <w:rPr>
          <w:noProof/>
        </w:rPr>
        <w:tab/>
        <w:t>évite tout conflit d’intérêts direct ou indirect;</w:t>
      </w:r>
    </w:p>
    <w:p>
      <w:pPr>
        <w:ind w:left="567" w:hanging="567"/>
        <w:rPr>
          <w:noProof/>
        </w:rPr>
      </w:pPr>
    </w:p>
    <w:p>
      <w:pPr>
        <w:ind w:left="567" w:hanging="567"/>
        <w:rPr>
          <w:noProof/>
        </w:rPr>
      </w:pPr>
      <w:r>
        <w:rPr>
          <w:noProof/>
        </w:rPr>
        <w:t>d)</w:t>
      </w:r>
      <w:r>
        <w:rPr>
          <w:noProof/>
        </w:rPr>
        <w:tab/>
        <w:t>évite tout manquement à la déontologie ou toute partialité et toute apparence de manquement à la déontologie ou de partialité;</w:t>
      </w:r>
    </w:p>
    <w:p>
      <w:pPr>
        <w:ind w:left="567" w:hanging="567"/>
        <w:rPr>
          <w:noProof/>
        </w:rPr>
      </w:pPr>
    </w:p>
    <w:p>
      <w:pPr>
        <w:ind w:left="567" w:hanging="567"/>
        <w:rPr>
          <w:noProof/>
        </w:rPr>
      </w:pPr>
      <w:r>
        <w:rPr>
          <w:noProof/>
        </w:rPr>
        <w:t>e)</w:t>
      </w:r>
      <w:r>
        <w:rPr>
          <w:noProof/>
        </w:rPr>
        <w:tab/>
        <w:t>observe des règles de conduite rigoureuses; et</w:t>
      </w:r>
    </w:p>
    <w:p>
      <w:pPr>
        <w:ind w:left="567" w:hanging="567"/>
        <w:rPr>
          <w:noProof/>
        </w:rPr>
      </w:pPr>
    </w:p>
    <w:p>
      <w:pPr>
        <w:ind w:left="567" w:hanging="567"/>
        <w:rPr>
          <w:noProof/>
        </w:rPr>
      </w:pPr>
      <w:r>
        <w:rPr>
          <w:noProof/>
        </w:rPr>
        <w:t>f)</w:t>
      </w:r>
      <w:r>
        <w:rPr>
          <w:noProof/>
        </w:rPr>
        <w:tab/>
        <w:t>n’est pas influencé par l’intérêt personnel, des pressions extérieures, des considérations d’ordre politique, la protestation publique, la loyauté envers une partie ou la crainte des critiques.</w:t>
      </w:r>
    </w:p>
    <w:p>
      <w:pPr>
        <w:rPr>
          <w:noProof/>
        </w:rPr>
      </w:pPr>
    </w:p>
    <w:p>
      <w:pPr>
        <w:rPr>
          <w:noProof/>
        </w:rPr>
      </w:pPr>
      <w:r>
        <w:rPr>
          <w:noProof/>
        </w:rPr>
        <w:t>2.</w:t>
      </w:r>
      <w:r>
        <w:rPr>
          <w:noProof/>
        </w:rPr>
        <w:tab/>
        <w:t>Un membre du groupe spécial ne contracte pas, directement ou indirectement, d’obligations et n’accepte pas de gratifications qui, d’une manière quelconque, entraveraient ou paraîtraient entraver la bonne exécution de ses fonctions.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Un membre du groupe spécial n’use pas de sa fonction au sein du groupe spécial pour servir des intérêts personnels ou privés. Un membre du groupe spécial s’abstient de toute action de nature à donner l’impression que d’autres sont en situation de l’influencer.</w:t>
      </w:r>
    </w:p>
    <w:p>
      <w:pPr>
        <w:rPr>
          <w:noProof/>
        </w:rPr>
      </w:pPr>
    </w:p>
    <w:p>
      <w:pPr>
        <w:rPr>
          <w:noProof/>
        </w:rPr>
      </w:pPr>
      <w:r>
        <w:rPr>
          <w:noProof/>
        </w:rPr>
        <w:t>4.</w:t>
      </w:r>
      <w:r>
        <w:rPr>
          <w:noProof/>
        </w:rPr>
        <w:tab/>
        <w:t>Un membre du groupe spécial veille à ce que sa conduite et son jugement ne soient pas influencés par des relations ou des responsabilités, passées ou présentes, d’ordre financier, commercial, professionnel, personnel ou social.</w:t>
      </w:r>
    </w:p>
    <w:p>
      <w:pPr>
        <w:rPr>
          <w:noProof/>
        </w:rPr>
      </w:pPr>
    </w:p>
    <w:p>
      <w:pPr>
        <w:rPr>
          <w:noProof/>
        </w:rPr>
      </w:pPr>
      <w:r>
        <w:rPr>
          <w:noProof/>
        </w:rPr>
        <w:t>5.</w:t>
      </w:r>
      <w:r>
        <w:rPr>
          <w:noProof/>
        </w:rPr>
        <w:tab/>
        <w:t>Un membre du groupe spécial s’abstient de nouer des relations ou d’acquérir des intérêts financiers qui sont susceptibles de porter atteinte à son impartialité ou qui pourraient raisonnablement donner lieu à une apparence de manquement à la déontologie ou de partialité.</w:t>
      </w:r>
    </w:p>
    <w:p>
      <w:pPr>
        <w:rPr>
          <w:noProof/>
        </w:rPr>
      </w:pPr>
    </w:p>
    <w:p>
      <w:pPr>
        <w:rPr>
          <w:noProof/>
        </w:rPr>
      </w:pPr>
    </w:p>
    <w:p>
      <w:pPr>
        <w:jc w:val="center"/>
        <w:rPr>
          <w:noProof/>
        </w:rPr>
      </w:pPr>
      <w:r>
        <w:rPr>
          <w:noProof/>
        </w:rPr>
        <w:t>II. Obligations de déclaration</w:t>
      </w:r>
    </w:p>
    <w:p>
      <w:pPr>
        <w:rPr>
          <w:noProof/>
        </w:rPr>
      </w:pPr>
    </w:p>
    <w:p>
      <w:pPr>
        <w:rPr>
          <w:noProof/>
        </w:rPr>
      </w:pPr>
      <w:r>
        <w:rPr>
          <w:noProof/>
        </w:rPr>
        <w:t>6.</w:t>
      </w:r>
      <w:r>
        <w:rPr>
          <w:noProof/>
        </w:rPr>
        <w:tab/>
        <w:t>Avant d’accepter sa nomination en qualité de membre de groupe spécial conformément à l’article 22.6, un candidat auquel il est demandé de faire office de membre de groupe spécial déclare par écrit aux parties les intérêts, relations et considérations qui sont susceptibles d’influer sur son indépendance ou son impartialité ou qui pourraient raisonnablement donner lieu à une apparence de manquement à la déontologie ou de partialité dans la procédure du groupe spécial. À cette fin, le candidat déploie tous les efforts raisonnables pour s’informer de l’existence de tels intérêts, relations et considérations, y compris d’ordre financier, professionnel, ou liés à son emploi ou à sa famille.</w:t>
      </w:r>
    </w:p>
    <w:p>
      <w:pPr>
        <w:rPr>
          <w:noProof/>
        </w:rPr>
      </w:pPr>
    </w:p>
    <w:p>
      <w:pPr>
        <w:rPr>
          <w:noProof/>
        </w:rPr>
      </w:pPr>
      <w:r>
        <w:rPr>
          <w:noProof/>
        </w:rPr>
        <w:t>7.</w:t>
      </w:r>
      <w:r>
        <w:rPr>
          <w:noProof/>
        </w:rPr>
        <w:tab/>
        <w:t>L’obligation de déclaration au titre de la règle 6 est permanente et exige de tout membre de groupe spécial qu’il déclare des intérêts, relations ou considérations de ce type pouvant se faire jour à n’importe quel stade de la procédure.</w:t>
      </w:r>
    </w:p>
    <w:p>
      <w:pPr>
        <w:rPr>
          <w:noProof/>
        </w:rPr>
      </w:pPr>
    </w:p>
    <w:p>
      <w:pPr>
        <w:widowControl/>
        <w:spacing w:line="240" w:lineRule="auto"/>
        <w:rPr>
          <w:noProof/>
        </w:rPr>
      </w:pPr>
      <w:r>
        <w:rPr>
          <w:noProof/>
        </w:rPr>
        <w:br w:type="page"/>
      </w:r>
    </w:p>
    <w:p>
      <w:pPr>
        <w:rPr>
          <w:noProof/>
        </w:rPr>
      </w:pPr>
      <w:r>
        <w:rPr>
          <w:noProof/>
        </w:rPr>
        <w:lastRenderedPageBreak/>
        <w:t>8.</w:t>
      </w:r>
      <w:r>
        <w:rPr>
          <w:noProof/>
        </w:rPr>
        <w:tab/>
        <w:t>Le candidat ou le membre du groupe spécial communique par écrit au comité «Commerce», aux fins d’examen par les parties, toutes les questions concernant des violations effectives ou potentielles de la présente annexe dans les plus brefs délais après en avoir pris connaissance.</w:t>
      </w:r>
    </w:p>
    <w:p>
      <w:pPr>
        <w:rPr>
          <w:noProof/>
        </w:rPr>
      </w:pPr>
    </w:p>
    <w:p>
      <w:pPr>
        <w:rPr>
          <w:noProof/>
        </w:rPr>
      </w:pPr>
    </w:p>
    <w:p>
      <w:pPr>
        <w:jc w:val="center"/>
        <w:rPr>
          <w:noProof/>
        </w:rPr>
      </w:pPr>
      <w:r>
        <w:rPr>
          <w:noProof/>
        </w:rPr>
        <w:t>III. Obligations des membres de groupe spécial</w:t>
      </w:r>
    </w:p>
    <w:p>
      <w:pPr>
        <w:rPr>
          <w:noProof/>
        </w:rPr>
      </w:pPr>
    </w:p>
    <w:p>
      <w:pPr>
        <w:rPr>
          <w:noProof/>
        </w:rPr>
      </w:pPr>
      <w:r>
        <w:rPr>
          <w:noProof/>
        </w:rPr>
        <w:t>9.</w:t>
      </w:r>
      <w:r>
        <w:rPr>
          <w:noProof/>
        </w:rPr>
        <w:tab/>
        <w:t>Après avoir accepté sa nomination, le membre du groupe spécial est disponible pour s’acquitter, et s’acquitte, entièrement et promptement de ses fonctions tout au long de la procédure, et le fait avec équité et diligence.</w:t>
      </w:r>
    </w:p>
    <w:p>
      <w:pPr>
        <w:rPr>
          <w:noProof/>
        </w:rPr>
      </w:pPr>
    </w:p>
    <w:p>
      <w:pPr>
        <w:rPr>
          <w:noProof/>
        </w:rPr>
      </w:pPr>
      <w:r>
        <w:rPr>
          <w:noProof/>
        </w:rPr>
        <w:t>10.</w:t>
      </w:r>
      <w:r>
        <w:rPr>
          <w:noProof/>
        </w:rPr>
        <w:tab/>
        <w:t>Un membre de groupe spécial n’examine que les questions qui sont soulevées lors de la procédure et sont nécessaires à une décision ou à un rapport. Un membre de groupe spécial ne délègue cette fonction à aucune autre personne, sauf dans les cas prévus à la règle 12 de l’annexe 22-A (Règlement intérieur).</w:t>
      </w:r>
    </w:p>
    <w:p>
      <w:pPr>
        <w:rPr>
          <w:noProof/>
        </w:rPr>
      </w:pPr>
    </w:p>
    <w:p>
      <w:pPr>
        <w:rPr>
          <w:noProof/>
        </w:rPr>
      </w:pPr>
      <w:r>
        <w:rPr>
          <w:noProof/>
        </w:rPr>
        <w:t>11.</w:t>
      </w:r>
      <w:r>
        <w:rPr>
          <w:noProof/>
        </w:rPr>
        <w:tab/>
        <w:t>Un membre de groupe spécial prend toutes les mesures appropriées pour veiller à ce que ses assistants et son personnel administratif connaissent et respectent les obligations qui incombent aux membres du groupe spécial en vertu des parties I, II, III, IV et V de la présente annexe.</w:t>
      </w:r>
    </w:p>
    <w:p>
      <w:pPr>
        <w:rPr>
          <w:noProof/>
        </w:rPr>
      </w:pPr>
    </w:p>
    <w:p>
      <w:pPr>
        <w:rPr>
          <w:noProof/>
        </w:rPr>
      </w:pPr>
    </w:p>
    <w:p>
      <w:pPr>
        <w:jc w:val="center"/>
        <w:rPr>
          <w:noProof/>
        </w:rPr>
      </w:pPr>
      <w:r>
        <w:rPr>
          <w:noProof/>
        </w:rPr>
        <w:t>IV. Obligations des anciens membres de groupe spécial</w:t>
      </w:r>
    </w:p>
    <w:p>
      <w:pPr>
        <w:rPr>
          <w:noProof/>
        </w:rPr>
      </w:pPr>
    </w:p>
    <w:p>
      <w:pPr>
        <w:rPr>
          <w:noProof/>
        </w:rPr>
      </w:pPr>
      <w:r>
        <w:rPr>
          <w:noProof/>
        </w:rPr>
        <w:t>12.</w:t>
      </w:r>
      <w:r>
        <w:rPr>
          <w:noProof/>
        </w:rPr>
        <w:tab/>
        <w:t>Chaque ancien membre de groupe spécial s’abstient de tout acte susceptible de donner lieu à une apparence de partialité de sa part dans l’exécution de ses fonctions ou d’avantage tiré de toute décision ou tout rapport du groupe spécial.</w:t>
      </w:r>
    </w:p>
    <w:p>
      <w:pPr>
        <w:rPr>
          <w:noProof/>
        </w:rPr>
      </w:pPr>
    </w:p>
    <w:p>
      <w:pPr>
        <w:rPr>
          <w:noProof/>
        </w:rPr>
      </w:pPr>
      <w:r>
        <w:rPr>
          <w:noProof/>
        </w:rPr>
        <w:t>13.</w:t>
      </w:r>
      <w:r>
        <w:rPr>
          <w:noProof/>
        </w:rPr>
        <w:tab/>
        <w:t>Chaque ancien membre de groupe spécial respecte les obligations énoncées à la partie V de la présente annexe.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V. Confidentialité</w:t>
      </w:r>
    </w:p>
    <w:p>
      <w:pPr>
        <w:rPr>
          <w:noProof/>
        </w:rPr>
      </w:pPr>
    </w:p>
    <w:p>
      <w:pPr>
        <w:rPr>
          <w:noProof/>
        </w:rPr>
      </w:pPr>
      <w:r>
        <w:rPr>
          <w:noProof/>
        </w:rPr>
        <w:t>14.</w:t>
      </w:r>
      <w:r>
        <w:rPr>
          <w:noProof/>
        </w:rPr>
        <w:tab/>
      </w:r>
      <w:bookmarkStart w:id="5" w:name="_Hlk223705435"/>
      <w:r>
        <w:rPr>
          <w:noProof/>
        </w:rPr>
        <w:t xml:space="preserve">Un membre de groupe spécial ne divulgue à aucun moment des informations confidentielles ou non publiques concernant la procédure ou acquises au cours de la procédure pour laquelle il a été nommé. </w:t>
      </w:r>
      <w:bookmarkEnd w:id="5"/>
      <w:r>
        <w:rPr>
          <w:noProof/>
        </w:rPr>
        <w:t>Un membre de groupe spécial ne divulgue ni n’utilise de telles informations afin d’acquérir un avantage pour lui-même ou pour autrui, ou de porter atteinte aux intérêts d’autrui.</w:t>
      </w:r>
    </w:p>
    <w:p>
      <w:pPr>
        <w:rPr>
          <w:noProof/>
        </w:rPr>
      </w:pPr>
    </w:p>
    <w:p>
      <w:pPr>
        <w:rPr>
          <w:noProof/>
        </w:rPr>
      </w:pPr>
      <w:r>
        <w:rPr>
          <w:noProof/>
        </w:rPr>
        <w:t>15.</w:t>
      </w:r>
      <w:r>
        <w:rPr>
          <w:noProof/>
        </w:rPr>
        <w:tab/>
        <w:t>Un membre de groupe spécial s’abstient de divulguer tout ou partie d’une décision ou d’un rapport du groupe spécial avant sa publication conformément au chapitre 22 (Règlement des différends).</w:t>
      </w:r>
    </w:p>
    <w:p>
      <w:pPr>
        <w:rPr>
          <w:noProof/>
        </w:rPr>
      </w:pPr>
    </w:p>
    <w:p>
      <w:pPr>
        <w:rPr>
          <w:noProof/>
        </w:rPr>
      </w:pPr>
      <w:r>
        <w:rPr>
          <w:noProof/>
        </w:rPr>
        <w:t>16.</w:t>
      </w:r>
      <w:r>
        <w:rPr>
          <w:noProof/>
        </w:rPr>
        <w:tab/>
        <w:t>Un membre de groupe spécial ne divulgue à aucun moment la teneur des délibérations du groupe spécial ou l’opinion d’un membre de groupe spécial, ni ne fait de déclarations sur la procédure pour laquelle il a été désigné ou sur les questions en litige dans le cadre de la procédure, sinon dans la mesure exigée par la loi.</w:t>
      </w:r>
    </w:p>
    <w:p>
      <w:pPr>
        <w:rPr>
          <w:noProof/>
        </w:rPr>
      </w:pPr>
    </w:p>
    <w:p>
      <w:pPr>
        <w:rPr>
          <w:noProof/>
        </w:rPr>
      </w:pPr>
    </w:p>
    <w:p>
      <w:pPr>
        <w:jc w:val="center"/>
        <w:rPr>
          <w:noProof/>
        </w:rPr>
      </w:pPr>
      <w:r>
        <w:rPr>
          <w:noProof/>
        </w:rPr>
        <w:t>VI. Dépenses</w:t>
      </w:r>
    </w:p>
    <w:p>
      <w:pPr>
        <w:rPr>
          <w:noProof/>
        </w:rPr>
      </w:pPr>
    </w:p>
    <w:p>
      <w:pPr>
        <w:rPr>
          <w:noProof/>
        </w:rPr>
      </w:pPr>
      <w:r>
        <w:rPr>
          <w:noProof/>
        </w:rPr>
        <w:t>17.</w:t>
      </w:r>
      <w:r>
        <w:rPr>
          <w:noProof/>
        </w:rPr>
        <w:tab/>
        <w:t>Chaque membre du groupe spécial tient un relevé et présente un décompte final du temps consacré à la procédure et de ses dépenses, ainsi que du temps et des dépenses de ses assistants et de son personnel administratif.</w:t>
      </w:r>
    </w:p>
    <w:p>
      <w:pPr>
        <w:rPr>
          <w:noProof/>
        </w:rPr>
      </w:pPr>
    </w:p>
    <w:p>
      <w:pPr>
        <w:rPr>
          <w:noProof/>
        </w:rPr>
      </w:pPr>
    </w:p>
    <w:p>
      <w:pPr>
        <w:jc w:val="center"/>
        <w:rPr>
          <w:noProof/>
        </w:rPr>
      </w:pPr>
      <w:r>
        <w:rPr>
          <w:noProof/>
        </w:rPr>
        <w:t>VII. Médiateurs</w:t>
      </w:r>
    </w:p>
    <w:p>
      <w:pPr>
        <w:rPr>
          <w:noProof/>
        </w:rPr>
      </w:pPr>
    </w:p>
    <w:p>
      <w:pPr>
        <w:rPr>
          <w:noProof/>
        </w:rPr>
      </w:pPr>
      <w:r>
        <w:rPr>
          <w:noProof/>
        </w:rPr>
        <w:t>18.</w:t>
      </w:r>
      <w:r>
        <w:rPr>
          <w:noProof/>
        </w:rPr>
        <w:tab/>
        <w:t>La présente annexe s’applique mutatis mutandis aux médiateurs.</w:t>
      </w:r>
    </w:p>
    <w:p>
      <w:pPr>
        <w:rPr>
          <w:noProof/>
        </w:rPr>
      </w:pPr>
    </w:p>
    <w:p>
      <w:pPr>
        <w:rPr>
          <w:noProof/>
        </w:rPr>
      </w:pPr>
    </w:p>
    <w:p>
      <w:pPr>
        <w:jc w:val="center"/>
        <w:rPr>
          <w:bCs/>
          <w:noProof/>
          <w:szCs w:val="24"/>
        </w:rPr>
      </w:pPr>
      <w:r>
        <w:rPr>
          <w:noProof/>
        </w:rPr>
        <w:t>________________</w:t>
      </w:r>
    </w:p>
    <w:p>
      <w:pPr>
        <w:rPr>
          <w:bCs/>
          <w:noProof/>
          <w:szCs w:val="24"/>
        </w:rPr>
      </w:pPr>
    </w:p>
    <w:p>
      <w:pPr>
        <w:rPr>
          <w:bCs/>
          <w:noProof/>
          <w:szCs w:val="24"/>
        </w:rPr>
        <w:sectPr>
          <w:headerReference w:type="default" r:id="rId37"/>
          <w:footerReference w:type="default" r:id="rId3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ANNEXE 25-A</w:t>
      </w:r>
    </w:p>
    <w:p>
      <w:pPr>
        <w:rPr>
          <w:noProof/>
        </w:rPr>
      </w:pPr>
    </w:p>
    <w:p>
      <w:pPr>
        <w:rPr>
          <w:noProof/>
        </w:rPr>
      </w:pPr>
    </w:p>
    <w:p>
      <w:pPr>
        <w:jc w:val="center"/>
        <w:rPr>
          <w:noProof/>
        </w:rPr>
      </w:pPr>
      <w:r>
        <w:rPr>
          <w:noProof/>
        </w:rPr>
        <w:t xml:space="preserve">DÉCLARATION COMMUNE SUR LES UNIONS DOUANIÈRES </w:t>
      </w:r>
      <w:r>
        <w:rPr>
          <w:noProof/>
        </w:rPr>
        <w:br/>
        <w:t>EN APPLICATION DU CHAPITRE 25</w:t>
      </w:r>
    </w:p>
    <w:p>
      <w:pPr>
        <w:rPr>
          <w:noProof/>
        </w:rPr>
      </w:pPr>
    </w:p>
    <w:p>
      <w:pPr>
        <w:rPr>
          <w:noProof/>
        </w:rPr>
      </w:pPr>
      <w:r>
        <w:rPr>
          <w:noProof/>
        </w:rPr>
        <w:t>1.</w:t>
      </w:r>
      <w:r>
        <w:rPr>
          <w:noProof/>
        </w:rPr>
        <w:tab/>
        <w:t>L’Union rappelle que les pays qui ont établi avec elle une union douanière ont l’obligation d’aligner leur régime commercial sur celui de l’Union, et pour certains de ces pays, de conclure des accords préférentiels avec les pays qui en ont conclu avec l’Union.</w:t>
      </w:r>
    </w:p>
    <w:p>
      <w:pPr>
        <w:rPr>
          <w:noProof/>
        </w:rPr>
      </w:pPr>
    </w:p>
    <w:p>
      <w:pPr>
        <w:rPr>
          <w:noProof/>
        </w:rPr>
      </w:pPr>
      <w:r>
        <w:rPr>
          <w:noProof/>
        </w:rPr>
        <w:t>2.</w:t>
      </w:r>
      <w:r>
        <w:rPr>
          <w:noProof/>
        </w:rPr>
        <w:tab/>
        <w:t>Dans ce contexte et en vue de conclure un accord bilatéral complet instituant une zone de libre-échange conformément à l’article XXIV du GATT de 1994, les parties notent que l’Indonésie entame des négociations avec les pays qui:</w:t>
      </w:r>
    </w:p>
    <w:p>
      <w:pPr>
        <w:rPr>
          <w:noProof/>
        </w:rPr>
      </w:pPr>
    </w:p>
    <w:p>
      <w:pPr>
        <w:ind w:left="567" w:hanging="567"/>
        <w:rPr>
          <w:noProof/>
        </w:rPr>
      </w:pPr>
      <w:r>
        <w:rPr>
          <w:noProof/>
        </w:rPr>
        <w:t>a)</w:t>
      </w:r>
      <w:r>
        <w:rPr>
          <w:noProof/>
        </w:rPr>
        <w:tab/>
        <w:t>qui ont établi une union douanière avec l’Union; et</w:t>
      </w:r>
    </w:p>
    <w:p>
      <w:pPr>
        <w:ind w:left="567" w:hanging="567"/>
        <w:rPr>
          <w:noProof/>
        </w:rPr>
      </w:pPr>
    </w:p>
    <w:p>
      <w:pPr>
        <w:ind w:left="567" w:hanging="567"/>
        <w:rPr>
          <w:noProof/>
        </w:rPr>
      </w:pPr>
      <w:r>
        <w:rPr>
          <w:noProof/>
        </w:rPr>
        <w:t>b)</w:t>
      </w:r>
      <w:r>
        <w:rPr>
          <w:noProof/>
        </w:rPr>
        <w:tab/>
        <w:t>dont les produits ne bénéficient pas de concessions tarifaires en vertu du présent accord.</w:t>
      </w:r>
    </w:p>
    <w:p>
      <w:pPr>
        <w:rPr>
          <w:noProof/>
        </w:rPr>
      </w:pPr>
    </w:p>
    <w:p>
      <w:pPr>
        <w:rPr>
          <w:noProof/>
        </w:rPr>
      </w:pPr>
      <w:r>
        <w:rPr>
          <w:noProof/>
        </w:rPr>
        <w:t>L’Indonésie entame des négociations dans les meilleurs délais, afin que les accords susmentionnés entrent en vigueur dès que possible après l’entrée en vigueur du présent accord.</w:t>
      </w:r>
    </w:p>
    <w:p>
      <w:pPr>
        <w:rPr>
          <w:noProof/>
        </w:rPr>
      </w:pPr>
    </w:p>
    <w:p>
      <w:pPr>
        <w:rPr>
          <w:noProof/>
        </w:rPr>
      </w:pPr>
    </w:p>
    <w:p>
      <w:pPr>
        <w:jc w:val="center"/>
        <w:rPr>
          <w:noProof/>
        </w:rPr>
      </w:pPr>
      <w:r>
        <w:rPr>
          <w:noProof/>
        </w:rPr>
        <w:t>________________</w:t>
      </w:r>
    </w:p>
    <w:sectPr>
      <w:headerReference w:type="default" r:id="rId39"/>
      <w:footerReference w:type="default" r:id="rId40"/>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4</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2</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3</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3</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JO L, 2024/1143, 23.4.2024.</w:t>
      </w:r>
    </w:p>
  </w:footnote>
  <w:footnote w:id="2">
    <w:p>
      <w:pPr>
        <w:pStyle w:val="FootnoteText"/>
      </w:pPr>
      <w:r>
        <w:rPr>
          <w:rStyle w:val="FootnoteReference"/>
        </w:rPr>
        <w:footnoteRef/>
      </w:r>
      <w:r>
        <w:tab/>
        <w:t>JO L 347 du 20.12.2013, p. 671.</w:t>
      </w:r>
    </w:p>
  </w:footnote>
  <w:footnote w:id="3">
    <w:p>
      <w:pPr>
        <w:pStyle w:val="FootnoteText"/>
      </w:pPr>
      <w:r>
        <w:rPr>
          <w:rStyle w:val="FootnoteReference"/>
        </w:rPr>
        <w:footnoteRef/>
      </w:r>
      <w:r>
        <w:tab/>
        <w:t>JO L 130 du 17.5.2019, p. 1.</w:t>
      </w:r>
    </w:p>
  </w:footnote>
  <w:footnote w:id="4">
    <w:p>
      <w:pPr>
        <w:pStyle w:val="FootnoteText"/>
      </w:pPr>
      <w:r>
        <w:rPr>
          <w:rStyle w:val="FootnoteReference"/>
        </w:rPr>
        <w:footnoteRef/>
      </w:r>
      <w:r>
        <w:tab/>
        <w:t>JO L, 2023/2411, 27.10.2023.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5E7"/>
    <w:multiLevelType w:val="hybridMultilevel"/>
    <w:tmpl w:val="33A216DC"/>
    <w:lvl w:ilvl="0" w:tplc="BD783356">
      <w:start w:val="1"/>
      <w:numFmt w:val="bullet"/>
      <w:pStyle w:val="NormalCentered"/>
      <w:lvlText w:val="–"/>
      <w:lvlJc w:val="left"/>
      <w:pPr>
        <w:tabs>
          <w:tab w:val="num" w:pos="1360"/>
        </w:tabs>
        <w:ind w:left="1360" w:hanging="283"/>
      </w:pPr>
      <w:rPr>
        <w:rFonts w:ascii="Times New Roman" w:hAnsi="Times New Roman"/>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282568"/>
    <w:multiLevelType w:val="multilevel"/>
    <w:tmpl w:val="17B4BE58"/>
    <w:name w:val="NumPar"/>
    <w:lvl w:ilvl="0">
      <w:start w:val="1"/>
      <w:numFmt w:val="decimal"/>
      <w:pStyle w:val="ListDash2"/>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pStyle w:val="Text1"/>
      <w:lvlText w:val="%1.%2.%3."/>
      <w:lvlJc w:val="left"/>
      <w:pPr>
        <w:tabs>
          <w:tab w:val="num" w:pos="850"/>
        </w:tabs>
        <w:ind w:left="850" w:hanging="850"/>
      </w:pPr>
      <w:rPr>
        <w:rFonts w:cs="Times New Roman"/>
      </w:rPr>
    </w:lvl>
    <w:lvl w:ilvl="3">
      <w:start w:val="1"/>
      <w:numFmt w:val="decimal"/>
      <w:pStyle w:val="YReferences"/>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3" w15:restartNumberingAfterBreak="0">
    <w:nsid w:val="0CDA2F71"/>
    <w:multiLevelType w:val="singleLevel"/>
    <w:tmpl w:val="29C487D4"/>
    <w:lvl w:ilvl="0">
      <w:start w:val="1"/>
      <w:numFmt w:val="bullet"/>
      <w:pStyle w:val="Point2"/>
      <w:lvlText w:val="–"/>
      <w:lvlJc w:val="left"/>
      <w:pPr>
        <w:tabs>
          <w:tab w:val="num" w:pos="1984"/>
        </w:tabs>
        <w:ind w:left="1984" w:hanging="567"/>
      </w:pPr>
    </w:lvl>
  </w:abstractNum>
  <w:abstractNum w:abstractNumId="4" w15:restartNumberingAfterBreak="0">
    <w:nsid w:val="1B3C78B8"/>
    <w:multiLevelType w:val="multilevel"/>
    <w:tmpl w:val="2ED4F4D0"/>
    <w:name w:val="Point"/>
    <w:lvl w:ilvl="0">
      <w:start w:val="1"/>
      <w:numFmt w:val="decimal"/>
      <w:pStyle w:val="Point0"/>
      <w:lvlText w:val="(%1)"/>
      <w:lvlJc w:val="left"/>
      <w:pPr>
        <w:tabs>
          <w:tab w:val="num" w:pos="850"/>
        </w:tabs>
        <w:ind w:left="850" w:hanging="850"/>
      </w:pPr>
    </w:lvl>
    <w:lvl w:ilvl="1">
      <w:start w:val="1"/>
      <w:numFmt w:val="lowerLetter"/>
      <w:pStyle w:val="Point0"/>
      <w:lvlText w:val="(%2)"/>
      <w:lvlJc w:val="left"/>
      <w:pPr>
        <w:tabs>
          <w:tab w:val="num" w:pos="850"/>
        </w:tabs>
        <w:ind w:left="850" w:hanging="850"/>
      </w:pPr>
    </w:lvl>
    <w:lvl w:ilvl="2">
      <w:start w:val="1"/>
      <w:numFmt w:val="decimal"/>
      <w:pStyle w:val="TimesNewRoman12"/>
      <w:lvlText w:val="(%3)"/>
      <w:lvlJc w:val="left"/>
      <w:pPr>
        <w:tabs>
          <w:tab w:val="num" w:pos="1417"/>
        </w:tabs>
        <w:ind w:left="1417" w:hanging="567"/>
      </w:pPr>
    </w:lvl>
    <w:lvl w:ilvl="3">
      <w:start w:val="1"/>
      <w:numFmt w:val="lowerLetter"/>
      <w:pStyle w:val="TimesNewRoman12"/>
      <w:lvlText w:val="(%4)"/>
      <w:lvlJc w:val="left"/>
      <w:pPr>
        <w:tabs>
          <w:tab w:val="num" w:pos="1417"/>
        </w:tabs>
        <w:ind w:left="1417" w:hanging="567"/>
      </w:pPr>
    </w:lvl>
    <w:lvl w:ilvl="4">
      <w:start w:val="1"/>
      <w:numFmt w:val="decimal"/>
      <w:pStyle w:val="Default"/>
      <w:lvlText w:val="(%5)"/>
      <w:lvlJc w:val="left"/>
      <w:pPr>
        <w:tabs>
          <w:tab w:val="num" w:pos="1984"/>
        </w:tabs>
        <w:ind w:left="1984" w:hanging="567"/>
      </w:pPr>
    </w:lvl>
    <w:lvl w:ilvl="5">
      <w:start w:val="1"/>
      <w:numFmt w:val="lowerLetter"/>
      <w:pStyle w:val="Default"/>
      <w:lvlText w:val="(%6)"/>
      <w:lvlJc w:val="left"/>
      <w:pPr>
        <w:tabs>
          <w:tab w:val="num" w:pos="1984"/>
        </w:tabs>
        <w:ind w:left="1984" w:hanging="567"/>
      </w:pPr>
    </w:lvl>
    <w:lvl w:ilvl="6">
      <w:start w:val="1"/>
      <w:numFmt w:val="decimal"/>
      <w:pStyle w:val="Tiret0"/>
      <w:lvlText w:val="(%7)"/>
      <w:lvlJc w:val="left"/>
      <w:pPr>
        <w:tabs>
          <w:tab w:val="num" w:pos="2551"/>
        </w:tabs>
        <w:ind w:left="2551" w:hanging="567"/>
      </w:pPr>
    </w:lvl>
    <w:lvl w:ilvl="7">
      <w:start w:val="1"/>
      <w:numFmt w:val="lowerLetter"/>
      <w:pStyle w:val="Tiret0"/>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2D918D1"/>
    <w:multiLevelType w:val="multilevel"/>
    <w:tmpl w:val="1B38BCA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7" w15:restartNumberingAfterBreak="0">
    <w:nsid w:val="248F4748"/>
    <w:multiLevelType w:val="hybridMultilevel"/>
    <w:tmpl w:val="C568ACDE"/>
    <w:lvl w:ilvl="0" w:tplc="2736CEA8">
      <w:start w:val="1"/>
      <w:numFmt w:val="bullet"/>
      <w:pStyle w:val="NormalWeb8"/>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8" w15:restartNumberingAfterBreak="0">
    <w:nsid w:val="24EF1C6B"/>
    <w:multiLevelType w:val="hybridMultilevel"/>
    <w:tmpl w:val="399C7D20"/>
    <w:lvl w:ilvl="0" w:tplc="6BF890A2">
      <w:start w:val="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1" w15:restartNumberingAfterBreak="0">
    <w:nsid w:val="38223C42"/>
    <w:multiLevelType w:val="hybridMultilevel"/>
    <w:tmpl w:val="FA18FDF2"/>
    <w:lvl w:ilvl="0" w:tplc="0409000F">
      <w:start w:val="1"/>
      <w:numFmt w:val="decimal"/>
      <w:pStyle w:val="Point1"/>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3" w15:restartNumberingAfterBreak="0">
    <w:nsid w:val="3A7730C4"/>
    <w:multiLevelType w:val="singleLevel"/>
    <w:tmpl w:val="456C96DE"/>
    <w:lvl w:ilvl="0">
      <w:start w:val="1"/>
      <w:numFmt w:val="bullet"/>
      <w:pStyle w:val="Tiret2"/>
      <w:lvlText w:val=""/>
      <w:lvlJc w:val="left"/>
      <w:pPr>
        <w:tabs>
          <w:tab w:val="num" w:pos="765"/>
        </w:tabs>
        <w:ind w:left="765" w:hanging="283"/>
      </w:pPr>
      <w:rPr>
        <w:rFonts w:ascii="Symbol" w:hAnsi="Symbol"/>
      </w:rPr>
    </w:lvl>
  </w:abstractNum>
  <w:abstractNum w:abstractNumId="14" w15:restartNumberingAfterBreak="0">
    <w:nsid w:val="3B381EFD"/>
    <w:multiLevelType w:val="multilevel"/>
    <w:tmpl w:val="222A1FB6"/>
    <w:lvl w:ilvl="0">
      <w:start w:val="1"/>
      <w:numFmt w:val="lowerLetter"/>
      <w:lvlText w:val="(%1)"/>
      <w:lvlJc w:val="left"/>
      <w:pPr>
        <w:ind w:left="1848" w:hanging="564"/>
      </w:pPr>
      <w:rPr>
        <w:vertAlign w:val="baseline"/>
      </w:rPr>
    </w:lvl>
    <w:lvl w:ilvl="1">
      <w:start w:val="1"/>
      <w:numFmt w:val="lowerLetter"/>
      <w:lvlText w:val="%2."/>
      <w:lvlJc w:val="left"/>
      <w:pPr>
        <w:ind w:left="2364" w:hanging="360"/>
      </w:pPr>
      <w:rPr>
        <w:vertAlign w:val="baseline"/>
      </w:rPr>
    </w:lvl>
    <w:lvl w:ilvl="2">
      <w:start w:val="1"/>
      <w:numFmt w:val="lowerRoman"/>
      <w:lvlText w:val="%3."/>
      <w:lvlJc w:val="right"/>
      <w:pPr>
        <w:ind w:left="3084" w:hanging="180"/>
      </w:pPr>
      <w:rPr>
        <w:vertAlign w:val="baseline"/>
      </w:rPr>
    </w:lvl>
    <w:lvl w:ilvl="3">
      <w:start w:val="1"/>
      <w:numFmt w:val="decimal"/>
      <w:lvlText w:val="%4."/>
      <w:lvlJc w:val="left"/>
      <w:pPr>
        <w:ind w:left="3804" w:hanging="360"/>
      </w:pPr>
      <w:rPr>
        <w:vertAlign w:val="baseline"/>
      </w:rPr>
    </w:lvl>
    <w:lvl w:ilvl="4">
      <w:start w:val="1"/>
      <w:numFmt w:val="lowerLetter"/>
      <w:lvlText w:val="%5."/>
      <w:lvlJc w:val="left"/>
      <w:pPr>
        <w:ind w:left="4524" w:hanging="360"/>
      </w:pPr>
      <w:rPr>
        <w:vertAlign w:val="baseline"/>
      </w:rPr>
    </w:lvl>
    <w:lvl w:ilvl="5">
      <w:start w:val="1"/>
      <w:numFmt w:val="lowerRoman"/>
      <w:lvlText w:val="%6."/>
      <w:lvlJc w:val="right"/>
      <w:pPr>
        <w:ind w:left="5244" w:hanging="180"/>
      </w:pPr>
      <w:rPr>
        <w:vertAlign w:val="baseline"/>
      </w:rPr>
    </w:lvl>
    <w:lvl w:ilvl="6">
      <w:start w:val="1"/>
      <w:numFmt w:val="decimal"/>
      <w:lvlText w:val="%7."/>
      <w:lvlJc w:val="left"/>
      <w:pPr>
        <w:ind w:left="5964" w:hanging="360"/>
      </w:pPr>
      <w:rPr>
        <w:vertAlign w:val="baseline"/>
      </w:rPr>
    </w:lvl>
    <w:lvl w:ilvl="7">
      <w:start w:val="1"/>
      <w:numFmt w:val="lowerLetter"/>
      <w:lvlText w:val="%8."/>
      <w:lvlJc w:val="left"/>
      <w:pPr>
        <w:ind w:left="6684" w:hanging="360"/>
      </w:pPr>
      <w:rPr>
        <w:vertAlign w:val="baseline"/>
      </w:rPr>
    </w:lvl>
    <w:lvl w:ilvl="8">
      <w:start w:val="1"/>
      <w:numFmt w:val="lowerRoman"/>
      <w:lvlText w:val="%9."/>
      <w:lvlJc w:val="right"/>
      <w:pPr>
        <w:ind w:left="7404" w:hanging="180"/>
      </w:pPr>
      <w:rPr>
        <w:vertAlign w:val="baseline"/>
      </w:rPr>
    </w:lvl>
  </w:abstractNum>
  <w:abstractNum w:abstractNumId="1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7"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8" w15:restartNumberingAfterBreak="0">
    <w:nsid w:val="455465F0"/>
    <w:multiLevelType w:val="hybridMultilevel"/>
    <w:tmpl w:val="4FCCC410"/>
    <w:lvl w:ilvl="0" w:tplc="1CBE1C94">
      <w:start w:val="1"/>
      <w:numFmt w:val="lowerLetter"/>
      <w:pStyle w:val="En-tte2"/>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9933E8C"/>
    <w:multiLevelType w:val="hybridMultilevel"/>
    <w:tmpl w:val="1A466BF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E375095"/>
    <w:multiLevelType w:val="multilevel"/>
    <w:tmpl w:val="699C255E"/>
    <w:lvl w:ilvl="0">
      <w:start w:val="1"/>
      <w:numFmt w:val="lowerLetter"/>
      <w:lvlText w:val="(%1)"/>
      <w:lvlJc w:val="left"/>
      <w:pPr>
        <w:ind w:left="924" w:hanging="56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54BD0BEC"/>
    <w:multiLevelType w:val="singleLevel"/>
    <w:tmpl w:val="72D6F376"/>
    <w:lvl w:ilvl="0">
      <w:start w:val="1"/>
      <w:numFmt w:val="bullet"/>
      <w:lvlText w:val=""/>
      <w:lvlJc w:val="left"/>
      <w:pPr>
        <w:tabs>
          <w:tab w:val="num" w:pos="283"/>
        </w:tabs>
        <w:ind w:left="283" w:hanging="283"/>
      </w:pPr>
      <w:rPr>
        <w:rFonts w:ascii="Symbol" w:hAnsi="Symbol"/>
      </w:rPr>
    </w:lvl>
  </w:abstractNum>
  <w:abstractNum w:abstractNumId="22" w15:restartNumberingAfterBreak="0">
    <w:nsid w:val="5CA31A15"/>
    <w:multiLevelType w:val="singleLevel"/>
    <w:tmpl w:val="CB981644"/>
    <w:name w:val="Tiret 0"/>
    <w:lvl w:ilvl="0">
      <w:start w:val="1"/>
      <w:numFmt w:val="bullet"/>
      <w:pStyle w:val="NumPar4"/>
      <w:lvlText w:val="–"/>
      <w:lvlJc w:val="left"/>
      <w:pPr>
        <w:tabs>
          <w:tab w:val="num" w:pos="850"/>
        </w:tabs>
        <w:ind w:left="850" w:hanging="850"/>
      </w:pPr>
    </w:lvl>
  </w:abstractNum>
  <w:abstractNum w:abstractNumId="23" w15:restartNumberingAfterBreak="0">
    <w:nsid w:val="5D264290"/>
    <w:multiLevelType w:val="hybridMultilevel"/>
    <w:tmpl w:val="80FE3420"/>
    <w:lvl w:ilvl="0" w:tplc="17C666F2">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5E146C3B"/>
    <w:multiLevelType w:val="multilevel"/>
    <w:tmpl w:val="DC52FA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1D16984"/>
    <w:multiLevelType w:val="hybridMultilevel"/>
    <w:tmpl w:val="80FE342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662B5C67"/>
    <w:multiLevelType w:val="singleLevel"/>
    <w:tmpl w:val="40D2097A"/>
    <w:lvl w:ilvl="0">
      <w:start w:val="1"/>
      <w:numFmt w:val="bullet"/>
      <w:pStyle w:val="PlainText"/>
      <w:lvlText w:val="–"/>
      <w:lvlJc w:val="left"/>
      <w:pPr>
        <w:tabs>
          <w:tab w:val="num" w:pos="283"/>
        </w:tabs>
        <w:ind w:left="283" w:hanging="283"/>
      </w:pPr>
      <w:rPr>
        <w:rFonts w:ascii="Times New Roman" w:hAnsi="Times New Roman"/>
      </w:rPr>
    </w:lvl>
  </w:abstractNum>
  <w:abstractNum w:abstractNumId="2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8"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29" w15:restartNumberingAfterBreak="0">
    <w:nsid w:val="7B303F05"/>
    <w:multiLevelType w:val="hybridMultilevel"/>
    <w:tmpl w:val="0CAA4526"/>
    <w:lvl w:ilvl="0" w:tplc="6010A186">
      <w:start w:val="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28"/>
  </w:num>
  <w:num w:numId="4">
    <w:abstractNumId w:val="5"/>
  </w:num>
  <w:num w:numId="5">
    <w:abstractNumId w:val="17"/>
  </w:num>
  <w:num w:numId="6">
    <w:abstractNumId w:val="12"/>
  </w:num>
  <w:num w:numId="7">
    <w:abstractNumId w:val="16"/>
  </w:num>
  <w:num w:numId="8">
    <w:abstractNumId w:val="27"/>
  </w:num>
  <w:num w:numId="9">
    <w:abstractNumId w:val="9"/>
  </w:num>
  <w:num w:numId="10">
    <w:abstractNumId w:val="2"/>
  </w:num>
  <w:num w:numId="11">
    <w:abstractNumId w:val="6"/>
  </w:num>
  <w:num w:numId="12">
    <w:abstractNumId w:val="6"/>
  </w:num>
  <w:num w:numId="13">
    <w:abstractNumId w:val="6"/>
  </w:num>
  <w:num w:numId="14">
    <w:abstractNumId w:val="6"/>
  </w:num>
  <w:num w:numId="15">
    <w:abstractNumId w:val="20"/>
  </w:num>
  <w:num w:numId="16">
    <w:abstractNumId w:val="14"/>
  </w:num>
  <w:num w:numId="17">
    <w:abstractNumId w:val="21"/>
  </w:num>
  <w:num w:numId="18">
    <w:abstractNumId w:val="26"/>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0"/>
  </w:num>
  <w:num w:numId="23">
    <w:abstractNumId w:val="13"/>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8"/>
  </w:num>
  <w:num w:numId="32">
    <w:abstractNumId w:val="19"/>
  </w:num>
  <w:num w:numId="33">
    <w:abstractNumId w:val="23"/>
  </w:num>
  <w:num w:numId="34">
    <w:abstractNumId w:val="25"/>
  </w:num>
  <w:num w:numId="35">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Num" w:val="0"/>
    <w:docVar w:name="DocStatus" w:val="Green"/>
    <w:docVar w:name="DW_DocType" w:val="_GenEn"/>
    <w:docVar w:name="LW_ACCOMPAGNANT.CP" w:val="de la"/>
    <w:docVar w:name="LW_ANNEX_NBR_FIRST" w:val="5"/>
    <w:docVar w:name="LW_ANNEX_NBR_LAST" w:val="5"/>
    <w:docVar w:name="LW_ANNEX_UNIQUE" w:val="0"/>
    <w:docVar w:name="LW_CORRIGENDUM" w:val="&lt;UNUSED&gt;"/>
    <w:docVar w:name="LW_COVERPAGE_EXISTS" w:val="True"/>
    <w:docVar w:name="LW_COVERPAGE_GUID" w:val="E943588C-AA15-44D3-88B1-376464A672E4"/>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relative à la conclusion de l\u8217?accord de partenariat économique global entre l\u8217?Union européenne et l\u8217?Indonésie&lt;/FMT&gt;"/>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4"/>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4"/>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4"/>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number,Ref,de nota al pie"/>
    <w:rPr>
      <w:b/>
      <w:vertAlign w:val="superscript"/>
    </w:rPr>
  </w:style>
  <w:style w:type="paragraph" w:styleId="FootnoteText">
    <w:name w:val="footnote text"/>
    <w:aliases w:val="Final Footnote Text,GM_Fußnotentext,Footnote text,fn,Schriftart: 9 pt,Schriftart: 10 pt,Schriftart: 8 pt,WB-Fußnotentext"/>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aragraph">
    <w:name w:val="paragraph"/>
    <w:basedOn w:val="Normal"/>
    <w:pPr>
      <w:widowControl/>
    </w:pPr>
    <w:rPr>
      <w:rFonts w:eastAsiaTheme="minorHAnsi"/>
      <w:szCs w:val="24"/>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Revision">
    <w:name w:val="Revision"/>
    <w:hidden/>
    <w:uiPriority w:val="99"/>
    <w:semiHidden/>
    <w:rPr>
      <w:sz w:val="24"/>
      <w:lang w:eastAsia="fr-B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rPr>
  </w:style>
  <w:style w:type="character" w:customStyle="1" w:styleId="CommentTextChar">
    <w:name w:val="Comment Text Char"/>
    <w:basedOn w:val="DefaultParagraphFont"/>
    <w:link w:val="CommentText"/>
    <w:rPr>
      <w:lang w:eastAsia="fr-B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fr-B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character" w:customStyle="1" w:styleId="FootnoteTextChar">
    <w:name w:val="Footnote Text Char"/>
    <w:aliases w:val="Final Footnote Text Char,GM_Fußnotentext Char,Footnote text Char,fn Char,Schriftart: 9 pt Char,Schriftart: 10 pt Char,Schriftart: 8 pt Char,WB-Fußnotentext Char"/>
    <w:basedOn w:val="DefaultParagraphFont"/>
    <w:link w:val="FootnoteText"/>
    <w:rPr>
      <w:sz w:val="24"/>
      <w:lang w:eastAsia="fr-BE"/>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ID"/>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en-ID"/>
    </w:rPr>
  </w:style>
  <w:style w:type="paragraph" w:styleId="Subtitle">
    <w:name w:val="Subtitle"/>
    <w:basedOn w:val="Normal"/>
    <w:next w:val="Normal"/>
    <w:link w:val="SubtitleChar"/>
    <w:uiPriority w:val="11"/>
    <w:qFormat/>
    <w:pPr>
      <w:widowControl/>
      <w:numPr>
        <w:ilvl w:val="1"/>
      </w:numPr>
      <w:spacing w:after="200" w:line="276" w:lineRule="auto"/>
    </w:pPr>
    <w:rPr>
      <w:rFonts w:ascii="Calibri" w:eastAsiaTheme="majorEastAsia" w:hAnsi="Calibri" w:cstheme="majorBidi"/>
      <w:color w:val="595959" w:themeColor="text1" w:themeTint="A6"/>
      <w:spacing w:val="15"/>
      <w:sz w:val="28"/>
      <w:szCs w:val="28"/>
      <w:lang w:eastAsia="en-ID"/>
    </w:rPr>
  </w:style>
  <w:style w:type="character" w:customStyle="1" w:styleId="SubtitleChar">
    <w:name w:val="Subtitle Char"/>
    <w:basedOn w:val="DefaultParagraphFont"/>
    <w:link w:val="Subtitle"/>
    <w:uiPriority w:val="11"/>
    <w:rPr>
      <w:rFonts w:ascii="Calibri" w:eastAsiaTheme="majorEastAsia" w:hAnsi="Calibri" w:cstheme="majorBidi"/>
      <w:color w:val="595959" w:themeColor="text1" w:themeTint="A6"/>
      <w:spacing w:val="15"/>
      <w:sz w:val="28"/>
      <w:szCs w:val="28"/>
      <w:lang w:eastAsia="en-ID"/>
    </w:rPr>
  </w:style>
  <w:style w:type="paragraph" w:styleId="Quote">
    <w:name w:val="Quote"/>
    <w:basedOn w:val="Normal"/>
    <w:next w:val="Normal"/>
    <w:link w:val="QuoteChar"/>
    <w:uiPriority w:val="29"/>
    <w:qFormat/>
    <w:pPr>
      <w:widowControl/>
      <w:spacing w:before="160" w:after="200" w:line="276" w:lineRule="auto"/>
      <w:jc w:val="center"/>
    </w:pPr>
    <w:rPr>
      <w:rFonts w:ascii="Calibri" w:eastAsia="Calibri" w:hAnsi="Calibri" w:cs="Calibri"/>
      <w:i/>
      <w:iCs/>
      <w:color w:val="404040" w:themeColor="text1" w:themeTint="BF"/>
      <w:sz w:val="22"/>
      <w:szCs w:val="22"/>
      <w:lang w:eastAsia="en-ID"/>
    </w:rPr>
  </w:style>
  <w:style w:type="character" w:customStyle="1" w:styleId="QuoteChar">
    <w:name w:val="Quote Char"/>
    <w:basedOn w:val="DefaultParagraphFont"/>
    <w:link w:val="Quote"/>
    <w:uiPriority w:val="29"/>
    <w:rPr>
      <w:rFonts w:ascii="Calibri" w:eastAsia="Calibri" w:hAnsi="Calibri" w:cs="Calibri"/>
      <w:i/>
      <w:iCs/>
      <w:color w:val="404040" w:themeColor="text1" w:themeTint="BF"/>
      <w:sz w:val="22"/>
      <w:szCs w:val="22"/>
      <w:lang w:eastAsia="en-ID"/>
    </w:rPr>
  </w:style>
  <w:style w:type="paragraph" w:styleId="ListParagraph">
    <w:name w:val="List Paragraph"/>
    <w:basedOn w:val="Normal"/>
    <w:uiPriority w:val="34"/>
    <w:qFormat/>
    <w:pPr>
      <w:widowControl/>
      <w:spacing w:after="200" w:line="276" w:lineRule="auto"/>
      <w:ind w:left="720"/>
      <w:contextualSpacing/>
    </w:pPr>
    <w:rPr>
      <w:rFonts w:ascii="Calibri" w:eastAsia="Calibri" w:hAnsi="Calibri" w:cs="Calibri"/>
      <w:sz w:val="22"/>
      <w:szCs w:val="22"/>
      <w:lang w:eastAsia="en-ID"/>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Calibri" w:eastAsia="Calibri" w:hAnsi="Calibri" w:cs="Calibri"/>
      <w:i/>
      <w:iCs/>
      <w:color w:val="365F91" w:themeColor="accent1" w:themeShade="BF"/>
      <w:sz w:val="22"/>
      <w:szCs w:val="22"/>
      <w:lang w:eastAsia="en-ID"/>
    </w:rPr>
  </w:style>
  <w:style w:type="character" w:customStyle="1" w:styleId="IntenseQuoteChar">
    <w:name w:val="Intense Quote Char"/>
    <w:basedOn w:val="DefaultParagraphFont"/>
    <w:link w:val="IntenseQuote"/>
    <w:uiPriority w:val="30"/>
    <w:rPr>
      <w:rFonts w:ascii="Calibri" w:eastAsia="Calibri" w:hAnsi="Calibri" w:cs="Calibri"/>
      <w:i/>
      <w:iCs/>
      <w:color w:val="365F91" w:themeColor="accent1" w:themeShade="BF"/>
      <w:sz w:val="22"/>
      <w:szCs w:val="22"/>
      <w:lang w:eastAsia="en-ID"/>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HeaderChar">
    <w:name w:val="Header Char"/>
    <w:aliases w:val="Header1 Char"/>
    <w:basedOn w:val="DefaultParagraphFont"/>
    <w:link w:val="Header"/>
    <w:rPr>
      <w:sz w:val="24"/>
      <w:lang w:eastAsia="fr-BE"/>
    </w:rPr>
  </w:style>
  <w:style w:type="character" w:customStyle="1" w:styleId="FooterChar">
    <w:name w:val="Footer Char"/>
    <w:basedOn w:val="DefaultParagraphFont"/>
    <w:link w:val="Footer"/>
    <w:uiPriority w:val="99"/>
    <w:rPr>
      <w:sz w:val="24"/>
      <w:lang w:eastAsia="fr-BE"/>
    </w:rPr>
  </w:style>
  <w:style w:type="character" w:styleId="Hyperlink">
    <w:name w:val="Hyperlink"/>
    <w:unhideWhenUsed/>
    <w:rPr>
      <w:color w:val="0000FF"/>
      <w:u w:val="single"/>
    </w:rPr>
  </w:style>
  <w:style w:type="character" w:styleId="FollowedHyperlink">
    <w:name w:val="FollowedHyperlink"/>
    <w:semiHidden/>
    <w:unhideWhenUsed/>
    <w:rPr>
      <w:color w:val="800080"/>
      <w:u w:val="single"/>
    </w:rPr>
  </w:style>
  <w:style w:type="character" w:styleId="Emphasis">
    <w:name w:val="Emphasis"/>
    <w:uiPriority w:val="20"/>
    <w:qFormat/>
    <w:rPr>
      <w:i w:val="0"/>
      <w:iCs w:val="0"/>
    </w:rPr>
  </w:style>
  <w:style w:type="paragraph" w:customStyle="1" w:styleId="msonormal0">
    <w:name w:val="msonormal"/>
    <w:basedOn w:val="Normal"/>
    <w:uiPriority w:val="99"/>
    <w:pPr>
      <w:widowControl/>
      <w:spacing w:before="100" w:after="100" w:line="240" w:lineRule="auto"/>
      <w:ind w:left="450" w:right="350"/>
    </w:pPr>
    <w:rPr>
      <w:rFonts w:eastAsia="MS Mincho"/>
      <w:sz w:val="19"/>
      <w:szCs w:val="19"/>
      <w:lang w:eastAsia="ja-JP"/>
    </w:rPr>
  </w:style>
  <w:style w:type="paragraph" w:styleId="NormalWeb">
    <w:name w:val="Normal (Web)"/>
    <w:basedOn w:val="Normal"/>
    <w:uiPriority w:val="99"/>
    <w:semiHidden/>
    <w:unhideWhenUsed/>
    <w:pPr>
      <w:widowControl/>
      <w:spacing w:before="100" w:after="100" w:line="240" w:lineRule="auto"/>
      <w:ind w:left="450" w:right="350"/>
    </w:pPr>
    <w:rPr>
      <w:rFonts w:eastAsia="MS Mincho"/>
      <w:sz w:val="19"/>
      <w:szCs w:val="19"/>
      <w:lang w:eastAsia="ja-JP"/>
    </w:rPr>
  </w:style>
  <w:style w:type="character" w:customStyle="1" w:styleId="FootnoteTextChar1">
    <w:name w:val="Footnote Text Char1"/>
    <w:aliases w:val="Final Footnote Text Char1,GM_Fußnotentext Char1,Footnote text Char1,fn Char1,Schriftart: 9 pt Char1,Schriftart: 10 pt Char1,Schriftart: 8 pt Char1,WB-Fußnotentext Char1"/>
    <w:basedOn w:val="DefaultParagraphFont"/>
    <w:semiHidden/>
    <w:rPr>
      <w:rFonts w:ascii="Calibri" w:eastAsia="Calibri" w:hAnsi="Calibri" w:cs="Calibri"/>
      <w:kern w:val="0"/>
      <w:sz w:val="20"/>
      <w:szCs w:val="20"/>
      <w:lang w:val="fr-FR" w:eastAsia="en-ID"/>
      <w14:ligatures w14:val="none"/>
    </w:rPr>
  </w:style>
  <w:style w:type="character" w:customStyle="1" w:styleId="HeaderChar1">
    <w:name w:val="Header Char1"/>
    <w:aliases w:val="Header1 Char1"/>
    <w:basedOn w:val="DefaultParagraphFont"/>
    <w:semiHidden/>
    <w:rPr>
      <w:rFonts w:ascii="Calibri" w:eastAsia="Calibri" w:hAnsi="Calibri" w:cs="Calibri"/>
      <w:kern w:val="0"/>
      <w:sz w:val="22"/>
      <w:szCs w:val="22"/>
      <w:lang w:val="fr-FR" w:eastAsia="en-ID"/>
      <w14:ligatures w14:val="none"/>
    </w:rPr>
  </w:style>
  <w:style w:type="character" w:customStyle="1" w:styleId="EndnoteTextChar">
    <w:name w:val="Endnote Text Char"/>
    <w:basedOn w:val="DefaultParagraphFont"/>
    <w:link w:val="EndnoteText"/>
    <w:uiPriority w:val="99"/>
    <w:rPr>
      <w:sz w:val="24"/>
      <w:lang w:eastAsia="fr-BE"/>
    </w:rPr>
  </w:style>
  <w:style w:type="paragraph" w:styleId="ListBullet">
    <w:name w:val="List Bullet"/>
    <w:basedOn w:val="Normal"/>
    <w:uiPriority w:val="99"/>
    <w:semiHidden/>
    <w:unhideWhenUsed/>
    <w:pPr>
      <w:widowControl/>
      <w:spacing w:after="240" w:line="240" w:lineRule="auto"/>
      <w:jc w:val="both"/>
    </w:pPr>
    <w:rPr>
      <w:lang w:eastAsia="en-US"/>
    </w:rPr>
  </w:style>
  <w:style w:type="paragraph" w:styleId="BodyText">
    <w:name w:val="Body Text"/>
    <w:basedOn w:val="Normal"/>
    <w:link w:val="BodyTextChar"/>
    <w:uiPriority w:val="99"/>
    <w:semiHidden/>
    <w:unhideWhenUsed/>
    <w:pPr>
      <w:widowControl/>
      <w:spacing w:after="120" w:line="240" w:lineRule="auto"/>
      <w:jc w:val="both"/>
    </w:pPr>
    <w:rPr>
      <w:lang w:eastAsia="en-US"/>
    </w:rPr>
  </w:style>
  <w:style w:type="character" w:customStyle="1" w:styleId="BodyTextChar">
    <w:name w:val="Body Text Char"/>
    <w:basedOn w:val="DefaultParagraphFont"/>
    <w:link w:val="BodyText"/>
    <w:uiPriority w:val="99"/>
    <w:semiHidden/>
    <w:rPr>
      <w:sz w:val="24"/>
      <w:lang w:eastAsia="en-US"/>
    </w:rPr>
  </w:style>
  <w:style w:type="paragraph" w:styleId="BodyTextIndent">
    <w:name w:val="Body Text Indent"/>
    <w:basedOn w:val="Normal"/>
    <w:link w:val="BodyTextIndentChar"/>
    <w:uiPriority w:val="99"/>
    <w:semiHidden/>
    <w:unhideWhenUsed/>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uiPriority w:val="99"/>
    <w:semiHidden/>
    <w:rPr>
      <w:sz w:val="24"/>
      <w:lang w:eastAsia="en-US"/>
    </w:rPr>
  </w:style>
  <w:style w:type="paragraph" w:styleId="BodyText2">
    <w:name w:val="Body Text 2"/>
    <w:basedOn w:val="Normal"/>
    <w:link w:val="BodyText2Char"/>
    <w:uiPriority w:val="99"/>
    <w:semiHidden/>
    <w:unhideWhenUsed/>
    <w:pPr>
      <w:widowControl/>
      <w:spacing w:after="120" w:line="480" w:lineRule="auto"/>
      <w:jc w:val="both"/>
    </w:pPr>
    <w:rPr>
      <w:lang w:eastAsia="en-US"/>
    </w:rPr>
  </w:style>
  <w:style w:type="character" w:customStyle="1" w:styleId="BodyText2Char">
    <w:name w:val="Body Text 2 Char"/>
    <w:basedOn w:val="DefaultParagraphFont"/>
    <w:link w:val="BodyText2"/>
    <w:uiPriority w:val="99"/>
    <w:semiHidden/>
    <w:rPr>
      <w:sz w:val="24"/>
      <w:lang w:eastAsia="en-US"/>
    </w:rPr>
  </w:style>
  <w:style w:type="paragraph" w:styleId="BodyTextIndent2">
    <w:name w:val="Body Text Indent 2"/>
    <w:basedOn w:val="Normal"/>
    <w:link w:val="BodyTextIndent2Char"/>
    <w:uiPriority w:val="99"/>
    <w:semiHidden/>
    <w:unhideWhenUsed/>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semiHidden/>
    <w:rPr>
      <w:sz w:val="24"/>
      <w:lang w:eastAsia="en-US"/>
    </w:rPr>
  </w:style>
  <w:style w:type="paragraph" w:styleId="PlainText">
    <w:name w:val="Plain Text"/>
    <w:basedOn w:val="Normal"/>
    <w:link w:val="PlainTextChar"/>
    <w:uiPriority w:val="99"/>
    <w:semiHidden/>
    <w:unhideWhenUsed/>
    <w:pPr>
      <w:widowControl/>
      <w:numPr>
        <w:numId w:val="18"/>
      </w:numPr>
      <w:tabs>
        <w:tab w:val="clear" w:pos="283"/>
      </w:tabs>
      <w:spacing w:line="240" w:lineRule="auto"/>
      <w:ind w:left="0" w:firstLine="0"/>
    </w:pPr>
    <w:rPr>
      <w:rFonts w:ascii="Calibri" w:eastAsia="Calibri" w:hAnsi="Calibri" w:cs="Consolas"/>
      <w:sz w:val="22"/>
      <w:szCs w:val="21"/>
      <w:lang w:eastAsia="en-US"/>
    </w:rPr>
  </w:style>
  <w:style w:type="character" w:customStyle="1" w:styleId="PlainTextChar">
    <w:name w:val="Plain Text Char"/>
    <w:basedOn w:val="DefaultParagraphFont"/>
    <w:link w:val="PlainText"/>
    <w:uiPriority w:val="99"/>
    <w:semiHidden/>
    <w:rPr>
      <w:rFonts w:ascii="Calibri" w:eastAsia="Calibri" w:hAnsi="Calibri" w:cs="Consolas"/>
      <w:sz w:val="22"/>
      <w:szCs w:val="21"/>
      <w:lang w:val="fr-FR" w:eastAsia="en-US"/>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paragraph" w:styleId="NoSpacing">
    <w:name w:val="No Spacing"/>
    <w:uiPriority w:val="1"/>
    <w:qFormat/>
    <w:rPr>
      <w:rFonts w:eastAsia="MS Mincho"/>
      <w:sz w:val="24"/>
      <w:szCs w:val="24"/>
      <w:lang w:eastAsia="ja-JP"/>
    </w:rPr>
  </w:style>
  <w:style w:type="paragraph" w:customStyle="1" w:styleId="ListDash">
    <w:name w:val="List Dash"/>
    <w:basedOn w:val="Normal"/>
    <w:uiPriority w:val="99"/>
    <w:pPr>
      <w:widowControl/>
      <w:spacing w:after="240" w:line="240" w:lineRule="auto"/>
      <w:jc w:val="both"/>
    </w:pPr>
    <w:rPr>
      <w:lang w:eastAsia="en-US"/>
    </w:rPr>
  </w:style>
  <w:style w:type="paragraph" w:customStyle="1" w:styleId="Titrearticle">
    <w:name w:val="Titre article"/>
    <w:basedOn w:val="Normal"/>
    <w:next w:val="Normal"/>
    <w:uiPriority w:val="99"/>
    <w:pPr>
      <w:keepNext/>
      <w:widowControl/>
      <w:spacing w:before="360" w:after="120" w:line="240" w:lineRule="auto"/>
      <w:jc w:val="center"/>
    </w:pPr>
    <w:rPr>
      <w:i/>
      <w:lang w:eastAsia="zh-CN"/>
    </w:rPr>
  </w:style>
  <w:style w:type="character" w:customStyle="1" w:styleId="ManualNumPar1Char">
    <w:name w:val="Manual NumPar 1 Char"/>
    <w:link w:val="ManualNumPar1"/>
    <w:locked/>
    <w:rPr>
      <w:lang w:val="fr-FR"/>
    </w:rPr>
  </w:style>
  <w:style w:type="paragraph" w:customStyle="1" w:styleId="ManualNumPar1">
    <w:name w:val="Manual NumPar 1"/>
    <w:basedOn w:val="Normal"/>
    <w:next w:val="Normal"/>
    <w:link w:val="ManualNumPar1Char"/>
    <w:pPr>
      <w:widowControl/>
      <w:spacing w:before="120" w:after="120" w:line="240" w:lineRule="auto"/>
      <w:ind w:left="850" w:hanging="850"/>
      <w:jc w:val="both"/>
    </w:pPr>
    <w:rPr>
      <w:sz w:val="20"/>
      <w:lang w:eastAsia="en-GB"/>
    </w:rPr>
  </w:style>
  <w:style w:type="character" w:customStyle="1" w:styleId="Point1Char">
    <w:name w:val="Point 1 Char"/>
    <w:link w:val="Point1"/>
    <w:locked/>
  </w:style>
  <w:style w:type="paragraph" w:customStyle="1" w:styleId="Point1">
    <w:name w:val="Point 1"/>
    <w:basedOn w:val="Normal"/>
    <w:link w:val="Point1Char"/>
    <w:pPr>
      <w:widowControl/>
      <w:numPr>
        <w:numId w:val="19"/>
      </w:numPr>
      <w:tabs>
        <w:tab w:val="clear" w:pos="720"/>
      </w:tabs>
      <w:spacing w:before="120" w:after="120" w:line="240" w:lineRule="auto"/>
      <w:ind w:left="0" w:firstLine="0"/>
      <w:jc w:val="both"/>
    </w:pPr>
    <w:rPr>
      <w:sz w:val="20"/>
      <w:lang w:eastAsia="en-GB"/>
    </w:rPr>
  </w:style>
  <w:style w:type="paragraph" w:customStyle="1" w:styleId="NormalWeb8">
    <w:name w:val="Normal (Web)8"/>
    <w:basedOn w:val="Normal"/>
    <w:uiPriority w:val="99"/>
    <w:pPr>
      <w:widowControl/>
      <w:numPr>
        <w:numId w:val="20"/>
      </w:numPr>
      <w:tabs>
        <w:tab w:val="clear" w:pos="360"/>
      </w:tabs>
      <w:spacing w:before="75" w:after="75" w:line="240" w:lineRule="auto"/>
      <w:ind w:left="0" w:right="225" w:firstLine="0"/>
    </w:pPr>
    <w:rPr>
      <w:sz w:val="22"/>
      <w:szCs w:val="22"/>
      <w:lang w:eastAsia="en-GB"/>
    </w:rPr>
  </w:style>
  <w:style w:type="paragraph" w:customStyle="1" w:styleId="Point2">
    <w:name w:val="Point 2"/>
    <w:basedOn w:val="Normal"/>
    <w:uiPriority w:val="99"/>
    <w:pPr>
      <w:widowControl/>
      <w:numPr>
        <w:numId w:val="21"/>
      </w:numPr>
      <w:tabs>
        <w:tab w:val="clear" w:pos="1984"/>
      </w:tabs>
      <w:spacing w:before="120" w:after="120" w:line="240" w:lineRule="auto"/>
      <w:ind w:left="0" w:firstLine="0"/>
      <w:jc w:val="both"/>
    </w:pPr>
    <w:rPr>
      <w:lang w:eastAsia="en-US"/>
    </w:rPr>
  </w:style>
  <w:style w:type="paragraph" w:customStyle="1" w:styleId="NormalCentered">
    <w:name w:val="Normal Centered"/>
    <w:basedOn w:val="Normal"/>
    <w:uiPriority w:val="99"/>
    <w:pPr>
      <w:widowControl/>
      <w:numPr>
        <w:numId w:val="22"/>
      </w:numPr>
      <w:tabs>
        <w:tab w:val="clear" w:pos="1360"/>
      </w:tabs>
      <w:spacing w:before="120" w:after="120" w:line="240" w:lineRule="auto"/>
      <w:ind w:left="0" w:firstLine="0"/>
      <w:jc w:val="center"/>
    </w:pPr>
    <w:rPr>
      <w:lang w:eastAsia="en-GB"/>
    </w:rPr>
  </w:style>
  <w:style w:type="paragraph" w:customStyle="1" w:styleId="Tiret1">
    <w:name w:val="Tiret 1"/>
    <w:basedOn w:val="Normal"/>
    <w:uiPriority w:val="99"/>
    <w:pPr>
      <w:widowControl/>
      <w:tabs>
        <w:tab w:val="num" w:pos="1134"/>
      </w:tabs>
      <w:spacing w:before="120" w:after="120" w:line="240" w:lineRule="auto"/>
      <w:jc w:val="both"/>
    </w:pPr>
    <w:rPr>
      <w:lang w:eastAsia="zh-CN"/>
    </w:rPr>
  </w:style>
  <w:style w:type="paragraph" w:customStyle="1" w:styleId="Lines">
    <w:name w:val="Lines"/>
    <w:basedOn w:val="Normal"/>
    <w:uiPriority w:val="99"/>
    <w:pPr>
      <w:widowControl/>
      <w:spacing w:line="240" w:lineRule="auto"/>
    </w:pPr>
    <w:rPr>
      <w:szCs w:val="24"/>
      <w:lang w:eastAsia="en-GB"/>
    </w:rPr>
  </w:style>
  <w:style w:type="paragraph" w:customStyle="1" w:styleId="Tiret2">
    <w:name w:val="Tiret 2"/>
    <w:basedOn w:val="Normal"/>
    <w:uiPriority w:val="99"/>
    <w:pPr>
      <w:widowControl/>
      <w:numPr>
        <w:numId w:val="23"/>
      </w:numPr>
      <w:tabs>
        <w:tab w:val="clear" w:pos="765"/>
      </w:tabs>
      <w:spacing w:before="120" w:after="120" w:line="240" w:lineRule="auto"/>
      <w:ind w:left="0" w:firstLine="0"/>
      <w:jc w:val="both"/>
    </w:pPr>
    <w:rPr>
      <w:szCs w:val="24"/>
      <w:lang w:eastAsia="de-DE"/>
    </w:rPr>
  </w:style>
  <w:style w:type="paragraph" w:customStyle="1" w:styleId="ListDash2">
    <w:name w:val="List Dash 2"/>
    <w:basedOn w:val="Normal"/>
    <w:uiPriority w:val="99"/>
    <w:pPr>
      <w:widowControl/>
      <w:numPr>
        <w:numId w:val="24"/>
      </w:numPr>
      <w:tabs>
        <w:tab w:val="clear" w:pos="850"/>
      </w:tabs>
      <w:spacing w:line="240" w:lineRule="auto"/>
      <w:ind w:left="0" w:firstLine="0"/>
    </w:pPr>
    <w:rPr>
      <w:szCs w:val="24"/>
      <w:lang w:eastAsia="en-GB"/>
    </w:rPr>
  </w:style>
  <w:style w:type="character" w:customStyle="1" w:styleId="Text1Znak">
    <w:name w:val="Text 1 Znak"/>
    <w:link w:val="Text1"/>
    <w:locked/>
  </w:style>
  <w:style w:type="paragraph" w:customStyle="1" w:styleId="Text1">
    <w:name w:val="Text 1"/>
    <w:basedOn w:val="Normal"/>
    <w:link w:val="Text1Znak"/>
    <w:pPr>
      <w:widowControl/>
      <w:numPr>
        <w:ilvl w:val="2"/>
        <w:numId w:val="24"/>
      </w:numPr>
      <w:tabs>
        <w:tab w:val="clear" w:pos="850"/>
      </w:tabs>
      <w:snapToGrid w:val="0"/>
      <w:spacing w:before="120" w:after="120" w:line="240" w:lineRule="auto"/>
      <w:ind w:left="0" w:firstLine="0"/>
      <w:jc w:val="both"/>
    </w:pPr>
    <w:rPr>
      <w:sz w:val="20"/>
      <w:lang w:eastAsia="en-GB"/>
    </w:rPr>
  </w:style>
  <w:style w:type="paragraph" w:customStyle="1" w:styleId="YReferences">
    <w:name w:val="YReferences"/>
    <w:basedOn w:val="Normal"/>
    <w:next w:val="Normal"/>
    <w:uiPriority w:val="99"/>
    <w:pPr>
      <w:widowControl/>
      <w:numPr>
        <w:ilvl w:val="3"/>
        <w:numId w:val="24"/>
      </w:numPr>
      <w:tabs>
        <w:tab w:val="clear" w:pos="850"/>
      </w:tabs>
      <w:spacing w:after="480" w:line="240" w:lineRule="auto"/>
      <w:ind w:left="0" w:firstLine="0"/>
      <w:jc w:val="both"/>
    </w:pPr>
    <w:rPr>
      <w:lang w:eastAsia="en-US"/>
    </w:rPr>
  </w:style>
  <w:style w:type="paragraph" w:customStyle="1" w:styleId="NumPar1">
    <w:name w:val="NumPar 1"/>
    <w:basedOn w:val="Normal"/>
    <w:next w:val="Normal"/>
    <w:uiPriority w:val="99"/>
    <w:pPr>
      <w:widowControl/>
      <w:spacing w:before="120" w:after="120" w:line="240" w:lineRule="auto"/>
      <w:jc w:val="both"/>
    </w:pPr>
    <w:rPr>
      <w:szCs w:val="24"/>
      <w:lang w:eastAsia="de-DE"/>
    </w:rPr>
  </w:style>
  <w:style w:type="paragraph" w:customStyle="1" w:styleId="NumPar2">
    <w:name w:val="NumPar 2"/>
    <w:basedOn w:val="Normal"/>
    <w:next w:val="Normal"/>
    <w:uiPriority w:val="99"/>
    <w:pPr>
      <w:widowControl/>
      <w:spacing w:before="120" w:after="120" w:line="240" w:lineRule="auto"/>
      <w:jc w:val="both"/>
    </w:pPr>
    <w:rPr>
      <w:szCs w:val="24"/>
      <w:lang w:eastAsia="de-DE"/>
    </w:rPr>
  </w:style>
  <w:style w:type="paragraph" w:customStyle="1" w:styleId="NumPar3">
    <w:name w:val="NumPar 3"/>
    <w:basedOn w:val="Normal"/>
    <w:next w:val="Normal"/>
    <w:uiPriority w:val="99"/>
    <w:pPr>
      <w:widowControl/>
      <w:spacing w:before="120" w:after="120" w:line="240" w:lineRule="auto"/>
      <w:jc w:val="both"/>
    </w:pPr>
    <w:rPr>
      <w:szCs w:val="24"/>
      <w:lang w:eastAsia="de-DE"/>
    </w:rPr>
  </w:style>
  <w:style w:type="paragraph" w:customStyle="1" w:styleId="NumPar4">
    <w:name w:val="NumPar 4"/>
    <w:basedOn w:val="Normal"/>
    <w:next w:val="Normal"/>
    <w:uiPriority w:val="99"/>
    <w:pPr>
      <w:widowControl/>
      <w:numPr>
        <w:numId w:val="25"/>
      </w:numPr>
      <w:tabs>
        <w:tab w:val="clear" w:pos="850"/>
      </w:tabs>
      <w:spacing w:before="120" w:after="120" w:line="240" w:lineRule="auto"/>
      <w:ind w:left="0" w:firstLine="0"/>
      <w:jc w:val="both"/>
    </w:pPr>
    <w:rPr>
      <w:szCs w:val="24"/>
      <w:lang w:eastAsia="de-DE"/>
    </w:rPr>
  </w:style>
  <w:style w:type="paragraph" w:customStyle="1" w:styleId="Point0">
    <w:name w:val="Point 0"/>
    <w:basedOn w:val="Normal"/>
    <w:uiPriority w:val="99"/>
    <w:pPr>
      <w:widowControl/>
      <w:numPr>
        <w:ilvl w:val="1"/>
        <w:numId w:val="26"/>
      </w:numPr>
      <w:tabs>
        <w:tab w:val="clear" w:pos="850"/>
      </w:tabs>
      <w:spacing w:before="120" w:after="120" w:line="240" w:lineRule="auto"/>
      <w:ind w:left="0" w:firstLine="0"/>
      <w:jc w:val="both"/>
    </w:pPr>
    <w:rPr>
      <w:szCs w:val="24"/>
      <w:lang w:eastAsia="en-US"/>
    </w:rPr>
  </w:style>
  <w:style w:type="paragraph" w:customStyle="1" w:styleId="TimesNewRoman12">
    <w:name w:val="Times New Roman 12"/>
    <w:basedOn w:val="Normal"/>
    <w:autoRedefine/>
    <w:uiPriority w:val="99"/>
    <w:qFormat/>
    <w:pPr>
      <w:widowControl/>
      <w:numPr>
        <w:ilvl w:val="3"/>
        <w:numId w:val="26"/>
      </w:numPr>
      <w:tabs>
        <w:tab w:val="clear" w:pos="1417"/>
      </w:tabs>
      <w:autoSpaceDE w:val="0"/>
      <w:autoSpaceDN w:val="0"/>
      <w:adjustRightInd w:val="0"/>
      <w:spacing w:line="240" w:lineRule="auto"/>
      <w:ind w:left="0" w:firstLine="0"/>
    </w:pPr>
    <w:rPr>
      <w:rFonts w:eastAsia="Calibri"/>
      <w:szCs w:val="22"/>
      <w:lang w:eastAsia="en-GB"/>
    </w:rPr>
  </w:style>
  <w:style w:type="paragraph" w:customStyle="1" w:styleId="Default">
    <w:name w:val="Default"/>
    <w:uiPriority w:val="99"/>
    <w:pPr>
      <w:numPr>
        <w:ilvl w:val="5"/>
        <w:numId w:val="26"/>
      </w:numPr>
      <w:tabs>
        <w:tab w:val="clear" w:pos="1984"/>
      </w:tabs>
      <w:autoSpaceDE w:val="0"/>
      <w:autoSpaceDN w:val="0"/>
      <w:adjustRightInd w:val="0"/>
      <w:ind w:left="0" w:firstLine="0"/>
    </w:pPr>
    <w:rPr>
      <w:rFonts w:ascii="Arial" w:eastAsia="Calibri" w:hAnsi="Arial" w:cs="Arial"/>
      <w:color w:val="000000"/>
      <w:sz w:val="24"/>
      <w:szCs w:val="24"/>
    </w:rPr>
  </w:style>
  <w:style w:type="paragraph" w:customStyle="1" w:styleId="Tiret0">
    <w:name w:val="Tiret 0"/>
    <w:basedOn w:val="Point0"/>
    <w:uiPriority w:val="99"/>
    <w:pPr>
      <w:numPr>
        <w:ilvl w:val="7"/>
      </w:numPr>
      <w:tabs>
        <w:tab w:val="clear" w:pos="2551"/>
      </w:tabs>
      <w:ind w:left="0" w:firstLine="0"/>
    </w:pPr>
    <w:rPr>
      <w:rFonts w:eastAsia="Calibri"/>
      <w:szCs w:val="22"/>
    </w:rPr>
  </w:style>
  <w:style w:type="paragraph" w:customStyle="1" w:styleId="Point0number">
    <w:name w:val="Point 0 (number)"/>
    <w:basedOn w:val="Normal"/>
    <w:uiPriority w:val="99"/>
    <w:pPr>
      <w:widowControl/>
      <w:spacing w:before="120" w:after="120" w:line="240" w:lineRule="auto"/>
      <w:jc w:val="both"/>
    </w:pPr>
    <w:rPr>
      <w:rFonts w:eastAsia="Calibri"/>
      <w:szCs w:val="22"/>
      <w:lang w:eastAsia="en-US"/>
    </w:rPr>
  </w:style>
  <w:style w:type="paragraph" w:customStyle="1" w:styleId="Point1number">
    <w:name w:val="Point 1 (number)"/>
    <w:basedOn w:val="Normal"/>
    <w:uiPriority w:val="99"/>
    <w:pPr>
      <w:widowControl/>
      <w:spacing w:before="120" w:after="120" w:line="240" w:lineRule="auto"/>
      <w:jc w:val="both"/>
    </w:pPr>
    <w:rPr>
      <w:rFonts w:eastAsia="Calibri"/>
      <w:szCs w:val="22"/>
      <w:lang w:eastAsia="en-US"/>
    </w:rPr>
  </w:style>
  <w:style w:type="paragraph" w:customStyle="1" w:styleId="Point2number">
    <w:name w:val="Point 2 (number)"/>
    <w:basedOn w:val="Normal"/>
    <w:uiPriority w:val="99"/>
    <w:pPr>
      <w:widowControl/>
      <w:spacing w:before="120" w:after="120" w:line="240" w:lineRule="auto"/>
      <w:jc w:val="both"/>
    </w:pPr>
    <w:rPr>
      <w:rFonts w:eastAsia="Calibri"/>
      <w:szCs w:val="22"/>
      <w:lang w:eastAsia="en-US"/>
    </w:rPr>
  </w:style>
  <w:style w:type="paragraph" w:customStyle="1" w:styleId="Point3number">
    <w:name w:val="Point 3 (number)"/>
    <w:basedOn w:val="Normal"/>
    <w:uiPriority w:val="99"/>
    <w:pPr>
      <w:widowControl/>
      <w:spacing w:before="120" w:after="120" w:line="240" w:lineRule="auto"/>
      <w:jc w:val="both"/>
    </w:pPr>
    <w:rPr>
      <w:rFonts w:eastAsia="Calibri"/>
      <w:szCs w:val="22"/>
      <w:lang w:eastAsia="en-US"/>
    </w:rPr>
  </w:style>
  <w:style w:type="paragraph" w:customStyle="1" w:styleId="Point0letter">
    <w:name w:val="Point 0 (letter)"/>
    <w:basedOn w:val="Normal"/>
    <w:uiPriority w:val="99"/>
    <w:pPr>
      <w:widowControl/>
      <w:spacing w:before="120" w:after="120" w:line="240" w:lineRule="auto"/>
      <w:jc w:val="both"/>
    </w:pPr>
    <w:rPr>
      <w:rFonts w:eastAsia="Calibri"/>
      <w:szCs w:val="22"/>
      <w:lang w:eastAsia="en-US"/>
    </w:rPr>
  </w:style>
  <w:style w:type="paragraph" w:customStyle="1" w:styleId="Point1letter">
    <w:name w:val="Point 1 (letter)"/>
    <w:basedOn w:val="Normal"/>
    <w:uiPriority w:val="99"/>
    <w:pPr>
      <w:widowControl/>
      <w:spacing w:before="120" w:after="120" w:line="240" w:lineRule="auto"/>
      <w:jc w:val="both"/>
    </w:pPr>
    <w:rPr>
      <w:rFonts w:eastAsia="Calibri"/>
      <w:szCs w:val="22"/>
      <w:lang w:eastAsia="en-US"/>
    </w:rPr>
  </w:style>
  <w:style w:type="paragraph" w:customStyle="1" w:styleId="Point2letter">
    <w:name w:val="Point 2 (letter)"/>
    <w:basedOn w:val="Normal"/>
    <w:uiPriority w:val="99"/>
    <w:pPr>
      <w:widowControl/>
      <w:spacing w:before="120" w:after="120" w:line="240" w:lineRule="auto"/>
      <w:jc w:val="both"/>
    </w:pPr>
    <w:rPr>
      <w:rFonts w:eastAsia="Calibri"/>
      <w:szCs w:val="22"/>
      <w:lang w:eastAsia="en-US"/>
    </w:rPr>
  </w:style>
  <w:style w:type="paragraph" w:customStyle="1" w:styleId="Point3letter">
    <w:name w:val="Point 3 (letter)"/>
    <w:basedOn w:val="Normal"/>
    <w:uiPriority w:val="99"/>
    <w:pPr>
      <w:widowControl/>
      <w:spacing w:before="120" w:after="120" w:line="240" w:lineRule="auto"/>
      <w:jc w:val="both"/>
    </w:pPr>
    <w:rPr>
      <w:rFonts w:eastAsia="Calibri"/>
      <w:szCs w:val="22"/>
      <w:lang w:eastAsia="en-US"/>
    </w:rPr>
  </w:style>
  <w:style w:type="paragraph" w:customStyle="1" w:styleId="Point4letter">
    <w:name w:val="Point 4 (letter)"/>
    <w:basedOn w:val="Normal"/>
    <w:uiPriority w:val="99"/>
    <w:pPr>
      <w:widowControl/>
      <w:spacing w:before="120" w:after="120" w:line="240" w:lineRule="auto"/>
      <w:jc w:val="both"/>
    </w:pPr>
    <w:rPr>
      <w:rFonts w:eastAsia="Calibri"/>
      <w:szCs w:val="22"/>
      <w:lang w:eastAsia="en-US"/>
    </w:rPr>
  </w:style>
  <w:style w:type="paragraph" w:customStyle="1" w:styleId="Typedudocument">
    <w:name w:val="Type du document"/>
    <w:basedOn w:val="Normal"/>
    <w:next w:val="Normal"/>
    <w:uiPriority w:val="99"/>
    <w:pPr>
      <w:widowControl/>
      <w:spacing w:before="360" w:line="240" w:lineRule="auto"/>
      <w:jc w:val="center"/>
    </w:pPr>
    <w:rPr>
      <w:rFonts w:eastAsia="Calibri"/>
      <w:b/>
      <w:szCs w:val="22"/>
      <w:lang w:eastAsia="en-US"/>
    </w:rPr>
  </w:style>
  <w:style w:type="character" w:customStyle="1" w:styleId="Corpsdutexte7">
    <w:name w:val="Corps du texte (7)_"/>
    <w:link w:val="Corpsdutexte70"/>
    <w:qFormat/>
    <w:locked/>
    <w:rPr>
      <w:sz w:val="19"/>
      <w:szCs w:val="19"/>
      <w:shd w:val="clear" w:color="auto" w:fill="FFFFFF"/>
    </w:rPr>
  </w:style>
  <w:style w:type="paragraph" w:customStyle="1" w:styleId="Corpsdutexte70">
    <w:name w:val="Corps du texte (7)"/>
    <w:basedOn w:val="Normal"/>
    <w:link w:val="Corpsdutexte7"/>
    <w:pPr>
      <w:shd w:val="clear" w:color="auto" w:fill="FFFFFF"/>
      <w:spacing w:before="840" w:line="226" w:lineRule="exact"/>
      <w:jc w:val="both"/>
    </w:pPr>
    <w:rPr>
      <w:sz w:val="19"/>
      <w:szCs w:val="19"/>
      <w:lang w:eastAsia="en-GB"/>
    </w:rPr>
  </w:style>
  <w:style w:type="character" w:customStyle="1" w:styleId="En-tte20">
    <w:name w:val="En-tête #2_"/>
    <w:link w:val="En-tte2"/>
    <w:locked/>
    <w:rPr>
      <w:shd w:val="clear" w:color="auto" w:fill="FFFFFF"/>
    </w:rPr>
  </w:style>
  <w:style w:type="paragraph" w:customStyle="1" w:styleId="En-tte2">
    <w:name w:val="En-tête #2"/>
    <w:basedOn w:val="Normal"/>
    <w:link w:val="En-tte20"/>
    <w:pPr>
      <w:numPr>
        <w:numId w:val="27"/>
      </w:numPr>
      <w:shd w:val="clear" w:color="auto" w:fill="FFFFFF"/>
      <w:spacing w:after="300" w:line="0" w:lineRule="atLeast"/>
      <w:ind w:left="0" w:firstLine="0"/>
      <w:jc w:val="center"/>
      <w:outlineLvl w:val="1"/>
    </w:pPr>
    <w:rPr>
      <w:sz w:val="20"/>
      <w:lang w:eastAsia="en-GB"/>
    </w:rPr>
  </w:style>
  <w:style w:type="character" w:customStyle="1" w:styleId="listeChar">
    <w:name w:val="liste Char"/>
    <w:link w:val="liste"/>
    <w:locked/>
    <w:rPr>
      <w:rFonts w:eastAsia="MS Mincho"/>
      <w:lang w:eastAsia="ja-JP"/>
    </w:rPr>
  </w:style>
  <w:style w:type="paragraph" w:customStyle="1" w:styleId="liste">
    <w:name w:val="liste"/>
    <w:basedOn w:val="Normal"/>
    <w:link w:val="listeChar"/>
    <w:qFormat/>
    <w:pPr>
      <w:autoSpaceDE w:val="0"/>
      <w:autoSpaceDN w:val="0"/>
      <w:adjustRightInd w:val="0"/>
      <w:spacing w:line="240" w:lineRule="auto"/>
      <w:jc w:val="both"/>
    </w:pPr>
    <w:rPr>
      <w:rFonts w:eastAsia="MS Mincho"/>
      <w:sz w:val="20"/>
      <w:lang w:eastAsia="ja-JP"/>
    </w:rPr>
  </w:style>
  <w:style w:type="character" w:customStyle="1" w:styleId="liste2Char">
    <w:name w:val="liste2 Char"/>
    <w:link w:val="liste2"/>
    <w:uiPriority w:val="99"/>
    <w:locked/>
    <w:rPr>
      <w:rFonts w:eastAsia="MS Mincho"/>
      <w:color w:val="000000"/>
      <w:lang w:eastAsia="ja-JP"/>
    </w:rPr>
  </w:style>
  <w:style w:type="paragraph" w:customStyle="1" w:styleId="liste2">
    <w:name w:val="liste2"/>
    <w:basedOn w:val="Normal"/>
    <w:link w:val="liste2Char"/>
    <w:uiPriority w:val="99"/>
    <w:qFormat/>
    <w:pPr>
      <w:spacing w:line="240" w:lineRule="auto"/>
      <w:jc w:val="both"/>
    </w:pPr>
    <w:rPr>
      <w:rFonts w:eastAsia="MS Mincho"/>
      <w:color w:val="000000"/>
      <w:sz w:val="20"/>
      <w:lang w:eastAsia="ja-JP"/>
    </w:rPr>
  </w:style>
  <w:style w:type="character" w:customStyle="1" w:styleId="apple-converted-space">
    <w:name w:val="apple-converted-space"/>
    <w:basedOn w:val="DefaultParagraphFont"/>
  </w:style>
  <w:style w:type="table" w:styleId="TableGrid">
    <w:name w:val="Table Grid"/>
    <w:basedOn w:val="TableNormal"/>
    <w:uiPriority w:val="59"/>
    <w:rPr>
      <w:rFonts w:eastAsia="MS Minch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B4809-208F-42A3-88A3-0F53D23F8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8570</Words>
  <Characters>48855</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57311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7</cp:revision>
  <cp:lastPrinted>2004-04-02T13:43:00Z</cp:lastPrinted>
  <dcterms:created xsi:type="dcterms:W3CDTF">2026-08-27T19:09:00Z</dcterms:created>
  <dcterms:modified xsi:type="dcterms:W3CDTF">2026-09-07T12:29:00Z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5</vt:lpwstr>
  </property>
  <property fmtid="{D5CDD505-2E9C-101B-9397-08002B2CF9AE}" pid="11" name="Last annex">
    <vt:lpwstr>5</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2026-06-17T17:38:36Z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a7809d42-0d26-432f-abeb-ac18814acadf</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