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header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10.xml" ContentType="application/vnd.openxmlformats-officedocument.wordprocessingml.header+xml"/>
  <Override PartName="/word/footer10.xml" ContentType="application/vnd.openxmlformats-officedocument.wordprocessingml.footer+xml"/>
  <Override PartName="/word/header11.xml" ContentType="application/vnd.openxmlformats-officedocument.wordprocessingml.header+xml"/>
  <Override PartName="/word/footer11.xml" ContentType="application/vnd.openxmlformats-officedocument.wordprocessingml.footer+xml"/>
  <Override PartName="/word/header12.xml" ContentType="application/vnd.openxmlformats-officedocument.wordprocessingml.header+xml"/>
  <Override PartName="/word/header13.xml" ContentType="application/vnd.openxmlformats-officedocument.wordprocessingml.header+xml"/>
  <Override PartName="/word/footer12.xml" ContentType="application/vnd.openxmlformats-officedocument.wordprocessingml.footer+xml"/>
  <Override PartName="/word/footer13.xml" ContentType="application/vnd.openxmlformats-officedocument.wordprocessingml.footer+xml"/>
  <Override PartName="/word/header14.xml" ContentType="application/vnd.openxmlformats-officedocument.wordprocessingml.header+xml"/>
  <Override PartName="/word/footer14.xml" ContentType="application/vnd.openxmlformats-officedocument.wordprocessingml.footer+xml"/>
  <Override PartName="/word/header15.xml" ContentType="application/vnd.openxmlformats-officedocument.wordprocessingml.header+xml"/>
  <Override PartName="/word/footer15.xml" ContentType="application/vnd.openxmlformats-officedocument.wordprocessingml.footer+xml"/>
  <Override PartName="/word/header16.xml" ContentType="application/vnd.openxmlformats-officedocument.wordprocessingml.header+xml"/>
  <Override PartName="/word/footer16.xml" ContentType="application/vnd.openxmlformats-officedocument.wordprocessingml.footer+xml"/>
  <Override PartName="/word/header17.xml" ContentType="application/vnd.openxmlformats-officedocument.wordprocessingml.header+xml"/>
  <Override PartName="/word/footer17.xml" ContentType="application/vnd.openxmlformats-officedocument.wordprocessingml.footer+xml"/>
  <Override PartName="/word/header18.xml" ContentType="application/vnd.openxmlformats-officedocument.wordprocessingml.header+xml"/>
  <Override PartName="/word/header19.xml" ContentType="application/vnd.openxmlformats-officedocument.wordprocessingml.header+xml"/>
  <Override PartName="/word/footer18.xml" ContentType="application/vnd.openxmlformats-officedocument.wordprocessingml.footer+xml"/>
  <Override PartName="/word/footer19.xml" ContentType="application/vnd.openxmlformats-officedocument.wordprocessingml.footer+xml"/>
  <Override PartName="/word/header20.xml" ContentType="application/vnd.openxmlformats-officedocument.wordprocessingml.header+xml"/>
  <Override PartName="/word/footer20.xml" ContentType="application/vnd.openxmlformats-officedocument.wordprocessingml.footer+xml"/>
  <Override PartName="/word/header21.xml" ContentType="application/vnd.openxmlformats-officedocument.wordprocessingml.header+xml"/>
  <Override PartName="/word/footer21.xml" ContentType="application/vnd.openxmlformats-officedocument.wordprocessingml.footer+xml"/>
  <Override PartName="/word/header22.xml" ContentType="application/vnd.openxmlformats-officedocument.wordprocessingml.header+xml"/>
  <Override PartName="/word/header23.xml" ContentType="application/vnd.openxmlformats-officedocument.wordprocessingml.header+xml"/>
  <Override PartName="/word/footer22.xml" ContentType="application/vnd.openxmlformats-officedocument.wordprocessingml.footer+xml"/>
  <Override PartName="/word/footer23.xml" ContentType="application/vnd.openxmlformats-officedocument.wordprocessingml.footer+xml"/>
  <Override PartName="/word/header24.xml" ContentType="application/vnd.openxmlformats-officedocument.wordprocessingml.header+xml"/>
  <Override PartName="/word/footer24.xml" ContentType="application/vnd.openxmlformats-officedocument.wordprocessingml.footer+xml"/>
  <Override PartName="/word/header25.xml" ContentType="application/vnd.openxmlformats-officedocument.wordprocessingml.header+xml"/>
  <Override PartName="/word/footer25.xml" ContentType="application/vnd.openxmlformats-officedocument.wordprocessingml.footer+xml"/>
  <Override PartName="/word/header26.xml" ContentType="application/vnd.openxmlformats-officedocument.wordprocessingml.header+xml"/>
  <Override PartName="/word/header27.xml" ContentType="application/vnd.openxmlformats-officedocument.wordprocessingml.header+xml"/>
  <Override PartName="/word/footer26.xml" ContentType="application/vnd.openxmlformats-officedocument.wordprocessingml.footer+xml"/>
  <Override PartName="/word/footer27.xml" ContentType="application/vnd.openxmlformats-officedocument.wordprocessingml.footer+xml"/>
  <Override PartName="/word/header28.xml" ContentType="application/vnd.openxmlformats-officedocument.wordprocessingml.header+xml"/>
  <Override PartName="/word/footer28.xml" ContentType="application/vnd.openxmlformats-officedocument.wordprocessingml.footer+xml"/>
  <Override PartName="/word/header29.xml" ContentType="application/vnd.openxmlformats-officedocument.wordprocessingml.header+xml"/>
  <Override PartName="/word/footer29.xml" ContentType="application/vnd.openxmlformats-officedocument.wordprocessingml.footer+xml"/>
  <Override PartName="/word/header30.xml" ContentType="application/vnd.openxmlformats-officedocument.wordprocessingml.header+xml"/>
  <Override PartName="/word/footer3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bookmarkStart w:id="0" w:name="LW_BM_COVERPAGE"/>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BA6D442B-4B10-4FDD-895F-EE39368865B4" style="width:455.25pt;height:359.25pt">
            <v:imagedata r:id="rId8" o:title=""/>
          </v:shape>
        </w:pict>
      </w:r>
    </w:p>
    <w:bookmarkEnd w:id="0"/>
    <w:p>
      <w:pPr>
        <w:rPr>
          <w:noProof/>
        </w:rPr>
        <w:sectPr>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7" w:h="16840" w:code="9"/>
          <w:pgMar w:top="1134" w:right="1417" w:bottom="1134" w:left="1417" w:header="709" w:footer="709" w:gutter="0"/>
          <w:pgNumType w:start="0"/>
          <w:cols w:space="720"/>
          <w:docGrid w:linePitch="326"/>
        </w:sectPr>
      </w:pPr>
    </w:p>
    <w:p>
      <w:pPr>
        <w:jc w:val="right"/>
        <w:rPr>
          <w:b/>
          <w:bCs/>
          <w:noProof/>
          <w:u w:val="single"/>
        </w:rPr>
      </w:pPr>
      <w:r>
        <w:rPr>
          <w:b/>
          <w:noProof/>
          <w:u w:val="single"/>
        </w:rPr>
        <w:lastRenderedPageBreak/>
        <w:t>ANEXA 8-A</w:t>
      </w:r>
    </w:p>
    <w:p>
      <w:pPr>
        <w:rPr>
          <w:noProof/>
        </w:rPr>
      </w:pPr>
    </w:p>
    <w:p>
      <w:pPr>
        <w:rPr>
          <w:rFonts w:eastAsia="Batang"/>
          <w:noProof/>
        </w:rPr>
      </w:pPr>
    </w:p>
    <w:p>
      <w:pPr>
        <w:jc w:val="center"/>
        <w:rPr>
          <w:rFonts w:eastAsia="Batang"/>
          <w:noProof/>
        </w:rPr>
      </w:pPr>
      <w:r>
        <w:rPr>
          <w:noProof/>
        </w:rPr>
        <w:t xml:space="preserve">LISTA ANGAJAMENTELOR </w:t>
      </w:r>
      <w:r>
        <w:rPr>
          <w:noProof/>
        </w:rPr>
        <w:br/>
        <w:t>PRIVIND FURNIZAREA TRANSFRONTALIERĂ DE SERVICII</w:t>
      </w:r>
    </w:p>
    <w:p>
      <w:pPr>
        <w:jc w:val="center"/>
        <w:rPr>
          <w:rFonts w:eastAsia="Batang"/>
          <w:noProof/>
        </w:rPr>
      </w:pPr>
    </w:p>
    <w:p>
      <w:pPr>
        <w:jc w:val="center"/>
        <w:rPr>
          <w:rFonts w:eastAsia="Batang"/>
          <w:noProof/>
        </w:rPr>
      </w:pPr>
      <w:r>
        <w:rPr>
          <w:noProof/>
        </w:rPr>
        <w:t>UNIUNE</w:t>
      </w:r>
    </w:p>
    <w:p>
      <w:pPr>
        <w:rPr>
          <w:rFonts w:eastAsia="Batang"/>
          <w:noProof/>
        </w:rPr>
      </w:pPr>
    </w:p>
    <w:p>
      <w:pPr>
        <w:rPr>
          <w:rFonts w:eastAsia="Batang"/>
          <w:noProof/>
        </w:rPr>
      </w:pPr>
    </w:p>
    <w:p>
      <w:pPr>
        <w:rPr>
          <w:noProof/>
        </w:rPr>
      </w:pPr>
      <w:r>
        <w:rPr>
          <w:noProof/>
        </w:rPr>
        <w:t>1.</w:t>
      </w:r>
      <w:r>
        <w:rPr>
          <w:noProof/>
        </w:rPr>
        <w:tab/>
        <w:t>Lista angajamentelor care figurează în prezenta anexă indică sectoarele de servicii liberalizate în temeiul articolului 8.16 și, prin intermediul rezervelor, limitările privind accesul pe piață și tratamentul național care se aplică serviciilor și furnizorilor de servicii din Indonezia în sectoarele respective. Lista respectivă cuprinde următoarele elemente:</w:t>
      </w:r>
    </w:p>
    <w:p>
      <w:pPr>
        <w:rPr>
          <w:noProof/>
        </w:rPr>
      </w:pPr>
    </w:p>
    <w:p>
      <w:pPr>
        <w:ind w:left="567" w:hanging="567"/>
        <w:rPr>
          <w:noProof/>
        </w:rPr>
      </w:pPr>
      <w:r>
        <w:rPr>
          <w:noProof/>
        </w:rPr>
        <w:t>(a)</w:t>
      </w:r>
      <w:r>
        <w:rPr>
          <w:noProof/>
        </w:rPr>
        <w:tab/>
        <w:t>prima coloană indică sectorul sau subsectorul în care angajamentul este asumat de către Uniune și domeniul de aplicare al liberalizării în care se aplică rezerve și</w:t>
      </w:r>
    </w:p>
    <w:p>
      <w:pPr>
        <w:rPr>
          <w:noProof/>
        </w:rPr>
      </w:pPr>
    </w:p>
    <w:p>
      <w:pPr>
        <w:ind w:left="567" w:hanging="567"/>
        <w:rPr>
          <w:noProof/>
        </w:rPr>
      </w:pPr>
      <w:r>
        <w:rPr>
          <w:noProof/>
        </w:rPr>
        <w:t>(b)</w:t>
      </w:r>
      <w:r>
        <w:rPr>
          <w:noProof/>
        </w:rPr>
        <w:tab/>
        <w:t>a doua coloană, în care sunt descrise rezervele aplicabile.</w:t>
      </w:r>
    </w:p>
    <w:p>
      <w:pPr>
        <w:rPr>
          <w:noProof/>
        </w:rPr>
      </w:pPr>
    </w:p>
    <w:p>
      <w:pPr>
        <w:rPr>
          <w:noProof/>
        </w:rPr>
      </w:pPr>
      <w:r>
        <w:rPr>
          <w:noProof/>
        </w:rPr>
        <w:t>2.</w:t>
      </w:r>
      <w:r>
        <w:rPr>
          <w:noProof/>
        </w:rPr>
        <w:tab/>
        <w:t>Uniunea nu își asumă niciun angajament privind furnizarea transfrontalieră de servicii în sectoarele sau subsectoarele reglementate de prezentul acord care nu sunt menționate în lista angajamentelor care figurează în prezenta anexă.</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La identificarea sectoarelor și subsectoarelor individuale:</w:t>
      </w:r>
    </w:p>
    <w:p>
      <w:pPr>
        <w:rPr>
          <w:noProof/>
        </w:rPr>
      </w:pPr>
    </w:p>
    <w:p>
      <w:pPr>
        <w:ind w:left="567" w:hanging="567"/>
        <w:rPr>
          <w:noProof/>
        </w:rPr>
      </w:pPr>
      <w:r>
        <w:rPr>
          <w:noProof/>
        </w:rPr>
        <w:t>(a)</w:t>
      </w:r>
      <w:r>
        <w:rPr>
          <w:noProof/>
        </w:rPr>
        <w:tab/>
        <w:t>„CPC” înseamnă Clasificarea centrală provizorie a produselor (Statistical Papers, seria M, nr. 77, Departamentul Afaceri Sociale și Economice Internaționale, Oficiul de Statistică al Organizației Națiunilor Unite, New York, 1991) și</w:t>
      </w:r>
    </w:p>
    <w:p>
      <w:pPr>
        <w:rPr>
          <w:noProof/>
        </w:rPr>
      </w:pPr>
    </w:p>
    <w:p>
      <w:pPr>
        <w:ind w:left="567" w:hanging="567"/>
        <w:rPr>
          <w:noProof/>
        </w:rPr>
      </w:pPr>
      <w:r>
        <w:rPr>
          <w:noProof/>
        </w:rPr>
        <w:t>(b)</w:t>
      </w:r>
      <w:r>
        <w:rPr>
          <w:noProof/>
        </w:rPr>
        <w:tab/>
        <w:t>„CPC ver. 1.0” înseamnă Clasificarea centrală a produselor, astfel cum este stabilită de Oficiul statistic al Organizației Națiunilor Unite, Statistical Papers, seria M, nr. 77, CPC ver 1.0, 1998.</w:t>
      </w:r>
    </w:p>
    <w:p>
      <w:pPr>
        <w:rPr>
          <w:noProof/>
        </w:rPr>
      </w:pPr>
    </w:p>
    <w:p>
      <w:pPr>
        <w:rPr>
          <w:noProof/>
        </w:rPr>
      </w:pPr>
      <w:r>
        <w:rPr>
          <w:noProof/>
        </w:rPr>
        <w:t>4.</w:t>
      </w:r>
      <w:r>
        <w:rPr>
          <w:noProof/>
        </w:rPr>
        <w:tab/>
        <w:t xml:space="preserve">Lista angajamentelor menționată în prezenta anexă nu include măsuri cu privire la cerințele și procedurile de calificare, la standardele tehnice și la cerințele și procedurile de acordare a licențelor atunci când acestea nu constituie o limitare a accesului pe piață sau a tratamentului național în sensul articolelor 8.13 și 8.14. </w:t>
      </w:r>
      <w:bookmarkStart w:id="1" w:name="_Hlk130999648"/>
      <w:r>
        <w:rPr>
          <w:noProof/>
        </w:rPr>
        <w:t xml:space="preserve">Respectivele măsuri pot include, în special, necesitatea de a obține o licență, de a îndeplini obligațiile de serviciu universal, de a deține calificări recunoscute în sectoarele reglementate, de a promova examene specifice, inclusiv examene de limbă, de a îndeplini o cerință de apartenență la o anumită profesie, cum ar fi apartenența la o organizație profesională, de a avea un agent local pentru servicii sau de a menține o adresă locală sau orice alte cerințe nediscriminatorii conform cărora anumite activități nu pot fi desfășurate în zone protejate. Deși nu sunt enumerate, astfel de măsuri continuă să li se </w:t>
      </w:r>
      <w:bookmarkEnd w:id="1"/>
      <w:r>
        <w:rPr>
          <w:noProof/>
        </w:rPr>
        <w:t>aplice în orice caz serviciilor și furnizorilor de servicii din Indonezia.</w:t>
      </w:r>
    </w:p>
    <w:p>
      <w:pPr>
        <w:rPr>
          <w:noProof/>
        </w:rPr>
      </w:pPr>
    </w:p>
    <w:p>
      <w:pPr>
        <w:rPr>
          <w:noProof/>
        </w:rPr>
      </w:pPr>
      <w:r>
        <w:rPr>
          <w:noProof/>
        </w:rPr>
        <w:t>5.</w:t>
      </w:r>
      <w:r>
        <w:rPr>
          <w:noProof/>
        </w:rPr>
        <w:tab/>
        <w:t>Lista angajamentelor care figurează în prezenta anexă nu aduce atingere fezabilității furnizării transfrontaliere de servicii prevăzută la articolul 8.4 alineatul (1) litera (e) în anumite sectoare și subsectoare de servicii și nu aduce atingere existenței monopolurilor publice și a unor drepturi exclusive, astfel cum sunt descrise în lista angajamentelor privind liberalizarea investițiilor stabilită în anexa 8-B.</w:t>
      </w:r>
    </w:p>
    <w:p>
      <w:pPr>
        <w:rPr>
          <w:noProof/>
        </w:rPr>
      </w:pPr>
    </w:p>
    <w:p>
      <w:pPr>
        <w:widowControl/>
        <w:spacing w:line="240" w:lineRule="auto"/>
        <w:rPr>
          <w:noProof/>
        </w:rPr>
      </w:pPr>
      <w:r>
        <w:rPr>
          <w:noProof/>
        </w:rPr>
        <w:br w:type="page"/>
      </w:r>
    </w:p>
    <w:p>
      <w:pPr>
        <w:rPr>
          <w:noProof/>
        </w:rPr>
      </w:pPr>
      <w:r>
        <w:rPr>
          <w:noProof/>
        </w:rPr>
        <w:lastRenderedPageBreak/>
        <w:t>6.</w:t>
      </w:r>
      <w:r>
        <w:rPr>
          <w:noProof/>
        </w:rPr>
        <w:tab/>
        <w:t>În conformitate cu articolul 8.3 alineatul (3), lista angajamentelor care figurează în prezenta anexă nu include măsurile privind subvențiile acordate de una dintre părți.</w:t>
      </w:r>
    </w:p>
    <w:p>
      <w:pPr>
        <w:rPr>
          <w:noProof/>
        </w:rPr>
      </w:pPr>
    </w:p>
    <w:p>
      <w:pPr>
        <w:rPr>
          <w:noProof/>
        </w:rPr>
      </w:pPr>
      <w:r>
        <w:rPr>
          <w:noProof/>
        </w:rPr>
        <w:t>7.</w:t>
      </w:r>
      <w:r>
        <w:rPr>
          <w:noProof/>
        </w:rPr>
        <w:tab/>
      </w:r>
      <w:bookmarkStart w:id="2" w:name="_Hlk229131234"/>
      <w:r>
        <w:rPr>
          <w:noProof/>
        </w:rPr>
        <w:t>Drepturile și obligațiile care derivă din lista angajamentelor care figurează în prezenta anexă nu au efect direct aplicabil și nu conferă drepturi directe persoanelor fizice sau juridice.</w:t>
      </w:r>
      <w:bookmarkEnd w:id="2"/>
    </w:p>
    <w:p>
      <w:pPr>
        <w:rPr>
          <w:noProof/>
        </w:rPr>
      </w:pPr>
    </w:p>
    <w:p>
      <w:pPr>
        <w:rPr>
          <w:noProof/>
        </w:rPr>
      </w:pPr>
      <w:r>
        <w:rPr>
          <w:noProof/>
        </w:rPr>
        <w:t>8.</w:t>
      </w:r>
      <w:r>
        <w:rPr>
          <w:noProof/>
        </w:rPr>
        <w:tab/>
        <w:t>Uniunea își asumă angajamente diferențiate în funcție de statele sale membre, după caz.</w:t>
      </w:r>
    </w:p>
    <w:p>
      <w:pPr>
        <w:rPr>
          <w:noProof/>
        </w:rPr>
      </w:pPr>
    </w:p>
    <w:p>
      <w:pPr>
        <w:rPr>
          <w:noProof/>
        </w:rPr>
      </w:pPr>
      <w:r>
        <w:rPr>
          <w:noProof/>
        </w:rPr>
        <w:t>9.</w:t>
      </w:r>
      <w:r>
        <w:rPr>
          <w:noProof/>
        </w:rPr>
        <w:tab/>
        <w:t>Pentru mai multă certitudine, în cazul Uniunii, obligația de a acorda tratamentul național nu implică cerința de a extinde la persoanele fizice sau juridice din Indonezia tratamentul acordat într-un stat membru, în temeiul TFUE sau al oricăror măsuri adoptate în temeiul acestui tratat, inclusiv în ceea ce privește punerea lor în aplicare în statele membre, pentru:</w:t>
      </w:r>
    </w:p>
    <w:p>
      <w:pPr>
        <w:rPr>
          <w:noProof/>
        </w:rPr>
      </w:pPr>
    </w:p>
    <w:p>
      <w:pPr>
        <w:ind w:left="567" w:hanging="567"/>
        <w:rPr>
          <w:noProof/>
        </w:rPr>
      </w:pPr>
      <w:r>
        <w:rPr>
          <w:noProof/>
        </w:rPr>
        <w:t>(a)</w:t>
      </w:r>
      <w:r>
        <w:rPr>
          <w:noProof/>
        </w:rPr>
        <w:tab/>
        <w:t>persoanele fizice sau rezidenții unui alt stat membru sau</w:t>
      </w:r>
    </w:p>
    <w:p>
      <w:pPr>
        <w:rPr>
          <w:noProof/>
        </w:rPr>
      </w:pPr>
    </w:p>
    <w:p>
      <w:pPr>
        <w:ind w:left="567" w:hanging="567"/>
        <w:rPr>
          <w:noProof/>
        </w:rPr>
      </w:pPr>
      <w:r>
        <w:rPr>
          <w:noProof/>
        </w:rPr>
        <w:t>(b)</w:t>
      </w:r>
      <w:r>
        <w:rPr>
          <w:noProof/>
        </w:rPr>
        <w:tab/>
        <w:t>persoanele juridice constituite sau organizate în temeiul legislației unui alt stat membru sau a Uniunii și care își au sediul social, administrația centrală sau locul principal de desfășurare a activității în Uniune.</w:t>
      </w:r>
    </w:p>
    <w:p>
      <w:pPr>
        <w:rPr>
          <w:noProof/>
        </w:rPr>
      </w:pPr>
    </w:p>
    <w:p>
      <w:pPr>
        <w:rPr>
          <w:noProof/>
        </w:rPr>
      </w:pPr>
      <w:r>
        <w:rPr>
          <w:noProof/>
        </w:rPr>
        <w:t>10.</w:t>
      </w:r>
      <w:r>
        <w:rPr>
          <w:noProof/>
        </w:rPr>
        <w:tab/>
        <w:t>Tratamentul acordat persoanelor juridice care sunt constituite de investitorii unei părți în conformitate cu legislația celeilalte părți (inclusiv, în cazul Uniunii, cu legislația unui stat membru) și care își au sediul social, administrația centrală sau locul principal de desfășurare a activității în cadrul celeilalte părți nu aduce atingere condițiilor sau obligațiilor, în conformitate cu capitolul 8 (Liberalizarea investițiilor și a comerțului cu servicii), care i-ar fi putut fi impuse unei astfel de persoane juridice în momentul stabilirii sale pe teritoriul celeilalte părți și care continuă să se aplice.</w:t>
      </w:r>
    </w:p>
    <w:p>
      <w:pPr>
        <w:rPr>
          <w:noProof/>
        </w:rPr>
      </w:pPr>
    </w:p>
    <w:p>
      <w:pPr>
        <w:widowControl/>
        <w:spacing w:line="240" w:lineRule="auto"/>
        <w:rPr>
          <w:noProof/>
        </w:rPr>
      </w:pPr>
      <w:r>
        <w:rPr>
          <w:noProof/>
        </w:rPr>
        <w:br w:type="page"/>
      </w:r>
    </w:p>
    <w:p>
      <w:pPr>
        <w:rPr>
          <w:noProof/>
        </w:rPr>
      </w:pPr>
      <w:r>
        <w:rPr>
          <w:noProof/>
        </w:rPr>
        <w:lastRenderedPageBreak/>
        <w:t>11.</w:t>
      </w:r>
      <w:r>
        <w:rPr>
          <w:noProof/>
        </w:rPr>
        <w:tab/>
        <w:t>În ceea ce privește serviciile financiare, spre deosebire de filialele străine, sucursalele înființate direct într-un stat membru de către o instituție financiară din afara Uniunii nu se supun, cu anumite excepții limitate, reglementărilor prudențiale armonizate la nivelul Uniunii, care le permit filialelor de acest fel să beneficieze de facilități sporite pentru înființarea de noi instituții și pentru furnizarea de servicii transfrontaliere pe tot teritoriul Uniunii. Prin urmare, aceste sucursale sunt autorizate să funcționeze pe teritoriul unui stat membru în aceleași condiții precum cele care se aplică instituțiilor financiare din statul membru respectiv și li se poate solicita să îndeplinească o serie de cerințe prudențiale specifice, cum ar fi, în cazul băncilor și al titlurilor de valoare, cerințe privind capitalizarea separată și alte cerințe privind solvabilitatea, precum și cerințe privind raportarea și publicarea conturilor sau, în cazul asigurărilor, cerințe specifice privind garanțiile și depozitele, capitalizarea separată și localizarea în statul membru vizat a activelor reprezentând rezerve tehnice și cel puțin o treime din marja de solvabilitate.</w:t>
      </w:r>
    </w:p>
    <w:p>
      <w:pPr>
        <w:rPr>
          <w:noProof/>
        </w:rPr>
      </w:pPr>
    </w:p>
    <w:p>
      <w:pPr>
        <w:rPr>
          <w:noProof/>
        </w:rPr>
      </w:pPr>
      <w:r>
        <w:rPr>
          <w:noProof/>
        </w:rPr>
        <w:t>12.</w:t>
      </w:r>
      <w:r>
        <w:rPr>
          <w:noProof/>
        </w:rPr>
        <w:tab/>
        <w:t>În lista angajamentelor care figurează în prezenta anexă, se utilizează următoarele abrevieri:</w:t>
      </w:r>
    </w:p>
    <w:p>
      <w:pPr>
        <w:rPr>
          <w:noProof/>
        </w:rPr>
      </w:pPr>
    </w:p>
    <w:p>
      <w:pPr>
        <w:rPr>
          <w:noProof/>
        </w:rPr>
      </w:pPr>
      <w:r>
        <w:rPr>
          <w:noProof/>
        </w:rPr>
        <w:t>UE</w:t>
      </w:r>
      <w:r>
        <w:rPr>
          <w:noProof/>
        </w:rPr>
        <w:tab/>
        <w:t>Uniunea, inclusiv toate statele membre ale acesteia</w:t>
      </w:r>
    </w:p>
    <w:p>
      <w:pPr>
        <w:rPr>
          <w:noProof/>
        </w:rPr>
      </w:pPr>
    </w:p>
    <w:p>
      <w:pPr>
        <w:rPr>
          <w:noProof/>
        </w:rPr>
      </w:pPr>
      <w:r>
        <w:rPr>
          <w:noProof/>
        </w:rPr>
        <w:t>AT</w:t>
      </w:r>
      <w:r>
        <w:rPr>
          <w:noProof/>
        </w:rPr>
        <w:tab/>
        <w:t>Austria</w:t>
      </w:r>
    </w:p>
    <w:p>
      <w:pPr>
        <w:rPr>
          <w:noProof/>
        </w:rPr>
      </w:pPr>
    </w:p>
    <w:p>
      <w:pPr>
        <w:rPr>
          <w:noProof/>
        </w:rPr>
      </w:pPr>
      <w:r>
        <w:rPr>
          <w:noProof/>
        </w:rPr>
        <w:t>BE</w:t>
      </w:r>
      <w:r>
        <w:rPr>
          <w:noProof/>
        </w:rPr>
        <w:tab/>
        <w:t>Belgia</w:t>
      </w:r>
    </w:p>
    <w:p>
      <w:pPr>
        <w:rPr>
          <w:noProof/>
        </w:rPr>
      </w:pPr>
    </w:p>
    <w:p>
      <w:pPr>
        <w:rPr>
          <w:noProof/>
        </w:rPr>
      </w:pPr>
      <w:r>
        <w:rPr>
          <w:noProof/>
        </w:rPr>
        <w:t>BG</w:t>
      </w:r>
      <w:r>
        <w:rPr>
          <w:noProof/>
        </w:rPr>
        <w:tab/>
        <w:t>Bulgaria</w:t>
      </w:r>
    </w:p>
    <w:p>
      <w:pPr>
        <w:rPr>
          <w:noProof/>
        </w:rPr>
      </w:pPr>
    </w:p>
    <w:p>
      <w:pPr>
        <w:rPr>
          <w:noProof/>
        </w:rPr>
      </w:pPr>
      <w:r>
        <w:rPr>
          <w:noProof/>
        </w:rPr>
        <w:t>CY</w:t>
      </w:r>
      <w:r>
        <w:rPr>
          <w:noProof/>
        </w:rPr>
        <w:tab/>
        <w:t>Cipru</w:t>
      </w:r>
    </w:p>
    <w:p>
      <w:pPr>
        <w:rPr>
          <w:noProof/>
        </w:rPr>
      </w:pPr>
    </w:p>
    <w:p>
      <w:pPr>
        <w:rPr>
          <w:noProof/>
        </w:rPr>
      </w:pPr>
      <w:r>
        <w:rPr>
          <w:noProof/>
        </w:rPr>
        <w:t>CZ</w:t>
      </w:r>
      <w:r>
        <w:rPr>
          <w:noProof/>
        </w:rPr>
        <w:tab/>
        <w:t>Cehia</w:t>
      </w:r>
    </w:p>
    <w:p>
      <w:pPr>
        <w:rPr>
          <w:noProof/>
        </w:rPr>
      </w:pPr>
    </w:p>
    <w:p>
      <w:pPr>
        <w:widowControl/>
        <w:spacing w:line="240" w:lineRule="auto"/>
        <w:rPr>
          <w:noProof/>
        </w:rPr>
      </w:pPr>
      <w:r>
        <w:rPr>
          <w:noProof/>
        </w:rPr>
        <w:br w:type="page"/>
      </w:r>
    </w:p>
    <w:p>
      <w:pPr>
        <w:rPr>
          <w:noProof/>
        </w:rPr>
      </w:pPr>
      <w:r>
        <w:rPr>
          <w:noProof/>
        </w:rPr>
        <w:lastRenderedPageBreak/>
        <w:t>DE</w:t>
      </w:r>
      <w:r>
        <w:rPr>
          <w:noProof/>
        </w:rPr>
        <w:tab/>
        <w:t>Germania</w:t>
      </w:r>
    </w:p>
    <w:p>
      <w:pPr>
        <w:rPr>
          <w:noProof/>
        </w:rPr>
      </w:pPr>
    </w:p>
    <w:p>
      <w:pPr>
        <w:rPr>
          <w:noProof/>
        </w:rPr>
      </w:pPr>
      <w:r>
        <w:rPr>
          <w:noProof/>
        </w:rPr>
        <w:t>DK</w:t>
      </w:r>
      <w:r>
        <w:rPr>
          <w:noProof/>
        </w:rPr>
        <w:tab/>
        <w:t>Danemarca</w:t>
      </w:r>
    </w:p>
    <w:p>
      <w:pPr>
        <w:rPr>
          <w:noProof/>
        </w:rPr>
      </w:pPr>
    </w:p>
    <w:p>
      <w:pPr>
        <w:rPr>
          <w:noProof/>
        </w:rPr>
      </w:pPr>
      <w:r>
        <w:rPr>
          <w:noProof/>
        </w:rPr>
        <w:t>EE</w:t>
      </w:r>
      <w:r>
        <w:rPr>
          <w:noProof/>
        </w:rPr>
        <w:tab/>
        <w:t>Estonia</w:t>
      </w:r>
    </w:p>
    <w:p>
      <w:pPr>
        <w:rPr>
          <w:noProof/>
        </w:rPr>
      </w:pPr>
    </w:p>
    <w:p>
      <w:pPr>
        <w:rPr>
          <w:noProof/>
        </w:rPr>
      </w:pPr>
      <w:r>
        <w:rPr>
          <w:noProof/>
        </w:rPr>
        <w:t>EL</w:t>
      </w:r>
      <w:r>
        <w:rPr>
          <w:noProof/>
        </w:rPr>
        <w:tab/>
        <w:t>Grecia</w:t>
      </w:r>
    </w:p>
    <w:p>
      <w:pPr>
        <w:rPr>
          <w:noProof/>
        </w:rPr>
      </w:pPr>
    </w:p>
    <w:p>
      <w:pPr>
        <w:rPr>
          <w:noProof/>
        </w:rPr>
      </w:pPr>
      <w:r>
        <w:rPr>
          <w:noProof/>
        </w:rPr>
        <w:t>ES</w:t>
      </w:r>
      <w:r>
        <w:rPr>
          <w:noProof/>
        </w:rPr>
        <w:tab/>
        <w:t>Spania</w:t>
      </w:r>
    </w:p>
    <w:p>
      <w:pPr>
        <w:rPr>
          <w:noProof/>
        </w:rPr>
      </w:pPr>
    </w:p>
    <w:p>
      <w:pPr>
        <w:rPr>
          <w:noProof/>
        </w:rPr>
      </w:pPr>
      <w:r>
        <w:rPr>
          <w:noProof/>
        </w:rPr>
        <w:t>FI</w:t>
      </w:r>
      <w:r>
        <w:rPr>
          <w:noProof/>
        </w:rPr>
        <w:tab/>
        <w:t>Finlanda</w:t>
      </w:r>
    </w:p>
    <w:p>
      <w:pPr>
        <w:rPr>
          <w:noProof/>
        </w:rPr>
      </w:pPr>
    </w:p>
    <w:p>
      <w:pPr>
        <w:rPr>
          <w:noProof/>
        </w:rPr>
      </w:pPr>
      <w:r>
        <w:rPr>
          <w:noProof/>
        </w:rPr>
        <w:t>FR</w:t>
      </w:r>
      <w:r>
        <w:rPr>
          <w:noProof/>
        </w:rPr>
        <w:tab/>
        <w:t>Franța</w:t>
      </w:r>
    </w:p>
    <w:p>
      <w:pPr>
        <w:rPr>
          <w:noProof/>
        </w:rPr>
      </w:pPr>
    </w:p>
    <w:p>
      <w:pPr>
        <w:rPr>
          <w:noProof/>
        </w:rPr>
      </w:pPr>
      <w:r>
        <w:rPr>
          <w:noProof/>
        </w:rPr>
        <w:t>HR</w:t>
      </w:r>
      <w:r>
        <w:rPr>
          <w:noProof/>
        </w:rPr>
        <w:tab/>
        <w:t>Croația</w:t>
      </w:r>
    </w:p>
    <w:p>
      <w:pPr>
        <w:rPr>
          <w:noProof/>
        </w:rPr>
      </w:pPr>
    </w:p>
    <w:p>
      <w:pPr>
        <w:rPr>
          <w:noProof/>
        </w:rPr>
      </w:pPr>
      <w:r>
        <w:rPr>
          <w:noProof/>
        </w:rPr>
        <w:t>HU</w:t>
      </w:r>
      <w:r>
        <w:rPr>
          <w:noProof/>
        </w:rPr>
        <w:tab/>
        <w:t>Ungaria</w:t>
      </w:r>
    </w:p>
    <w:p>
      <w:pPr>
        <w:rPr>
          <w:noProof/>
        </w:rPr>
      </w:pPr>
    </w:p>
    <w:p>
      <w:pPr>
        <w:rPr>
          <w:noProof/>
        </w:rPr>
      </w:pPr>
      <w:r>
        <w:rPr>
          <w:noProof/>
        </w:rPr>
        <w:t>IE</w:t>
      </w:r>
      <w:r>
        <w:rPr>
          <w:noProof/>
        </w:rPr>
        <w:tab/>
        <w:t>Irlanda</w:t>
      </w:r>
    </w:p>
    <w:p>
      <w:pPr>
        <w:rPr>
          <w:noProof/>
        </w:rPr>
      </w:pPr>
    </w:p>
    <w:p>
      <w:pPr>
        <w:rPr>
          <w:noProof/>
        </w:rPr>
      </w:pPr>
      <w:r>
        <w:rPr>
          <w:noProof/>
        </w:rPr>
        <w:t>IT</w:t>
      </w:r>
      <w:r>
        <w:rPr>
          <w:noProof/>
        </w:rPr>
        <w:tab/>
        <w:t>Italia</w:t>
      </w:r>
    </w:p>
    <w:p>
      <w:pPr>
        <w:rPr>
          <w:noProof/>
        </w:rPr>
      </w:pPr>
    </w:p>
    <w:p>
      <w:pPr>
        <w:rPr>
          <w:noProof/>
        </w:rPr>
      </w:pPr>
      <w:r>
        <w:rPr>
          <w:noProof/>
        </w:rPr>
        <w:t>LV</w:t>
      </w:r>
      <w:r>
        <w:rPr>
          <w:noProof/>
        </w:rPr>
        <w:tab/>
        <w:t>Letonia</w:t>
      </w:r>
    </w:p>
    <w:p>
      <w:pPr>
        <w:rPr>
          <w:noProof/>
        </w:rPr>
      </w:pPr>
    </w:p>
    <w:p>
      <w:pPr>
        <w:rPr>
          <w:noProof/>
        </w:rPr>
      </w:pPr>
      <w:r>
        <w:rPr>
          <w:noProof/>
        </w:rPr>
        <w:t>LT</w:t>
      </w:r>
      <w:r>
        <w:rPr>
          <w:noProof/>
        </w:rPr>
        <w:tab/>
        <w:t>Lituania</w:t>
      </w:r>
    </w:p>
    <w:p>
      <w:pPr>
        <w:rPr>
          <w:noProof/>
        </w:rPr>
      </w:pPr>
    </w:p>
    <w:p>
      <w:pPr>
        <w:rPr>
          <w:noProof/>
        </w:rPr>
      </w:pPr>
      <w:r>
        <w:rPr>
          <w:noProof/>
        </w:rPr>
        <w:t>LU</w:t>
      </w:r>
      <w:r>
        <w:rPr>
          <w:noProof/>
        </w:rPr>
        <w:tab/>
        <w:t>Luxemburg</w:t>
      </w:r>
    </w:p>
    <w:p>
      <w:pPr>
        <w:rPr>
          <w:noProof/>
        </w:rPr>
      </w:pPr>
    </w:p>
    <w:p>
      <w:pPr>
        <w:rPr>
          <w:noProof/>
        </w:rPr>
      </w:pPr>
      <w:r>
        <w:rPr>
          <w:noProof/>
        </w:rPr>
        <w:t>MT</w:t>
      </w:r>
      <w:r>
        <w:rPr>
          <w:noProof/>
        </w:rPr>
        <w:tab/>
        <w:t>Malta</w:t>
      </w:r>
    </w:p>
    <w:p>
      <w:pPr>
        <w:rPr>
          <w:noProof/>
        </w:rPr>
      </w:pPr>
    </w:p>
    <w:p>
      <w:pPr>
        <w:rPr>
          <w:noProof/>
        </w:rPr>
      </w:pPr>
      <w:r>
        <w:rPr>
          <w:noProof/>
        </w:rPr>
        <w:t>NL</w:t>
      </w:r>
      <w:r>
        <w:rPr>
          <w:noProof/>
        </w:rPr>
        <w:tab/>
        <w:t>Țările de Jos</w:t>
      </w:r>
    </w:p>
    <w:p>
      <w:pPr>
        <w:rPr>
          <w:noProof/>
        </w:rPr>
      </w:pPr>
    </w:p>
    <w:p>
      <w:pPr>
        <w:widowControl/>
        <w:spacing w:line="240" w:lineRule="auto"/>
        <w:rPr>
          <w:noProof/>
        </w:rPr>
      </w:pPr>
      <w:r>
        <w:rPr>
          <w:noProof/>
        </w:rPr>
        <w:br w:type="page"/>
      </w:r>
    </w:p>
    <w:p>
      <w:pPr>
        <w:rPr>
          <w:noProof/>
        </w:rPr>
      </w:pPr>
      <w:r>
        <w:rPr>
          <w:noProof/>
        </w:rPr>
        <w:lastRenderedPageBreak/>
        <w:t>PL</w:t>
      </w:r>
      <w:r>
        <w:rPr>
          <w:noProof/>
        </w:rPr>
        <w:tab/>
        <w:t>Polonia</w:t>
      </w:r>
    </w:p>
    <w:p>
      <w:pPr>
        <w:rPr>
          <w:noProof/>
        </w:rPr>
      </w:pPr>
    </w:p>
    <w:p>
      <w:pPr>
        <w:rPr>
          <w:noProof/>
        </w:rPr>
      </w:pPr>
      <w:r>
        <w:rPr>
          <w:noProof/>
        </w:rPr>
        <w:t>PT</w:t>
      </w:r>
      <w:r>
        <w:rPr>
          <w:noProof/>
        </w:rPr>
        <w:tab/>
        <w:t>Portugalia</w:t>
      </w:r>
    </w:p>
    <w:p>
      <w:pPr>
        <w:rPr>
          <w:noProof/>
        </w:rPr>
      </w:pPr>
    </w:p>
    <w:p>
      <w:pPr>
        <w:rPr>
          <w:noProof/>
        </w:rPr>
      </w:pPr>
      <w:r>
        <w:rPr>
          <w:noProof/>
        </w:rPr>
        <w:t>RO</w:t>
      </w:r>
      <w:r>
        <w:rPr>
          <w:noProof/>
        </w:rPr>
        <w:tab/>
        <w:t>România</w:t>
      </w:r>
    </w:p>
    <w:p>
      <w:pPr>
        <w:rPr>
          <w:noProof/>
        </w:rPr>
      </w:pPr>
    </w:p>
    <w:p>
      <w:pPr>
        <w:rPr>
          <w:noProof/>
        </w:rPr>
      </w:pPr>
      <w:r>
        <w:rPr>
          <w:noProof/>
        </w:rPr>
        <w:t>SK</w:t>
      </w:r>
      <w:r>
        <w:rPr>
          <w:noProof/>
        </w:rPr>
        <w:tab/>
        <w:t>Slovacia</w:t>
      </w:r>
    </w:p>
    <w:p>
      <w:pPr>
        <w:rPr>
          <w:noProof/>
        </w:rPr>
      </w:pPr>
    </w:p>
    <w:p>
      <w:pPr>
        <w:rPr>
          <w:noProof/>
        </w:rPr>
      </w:pPr>
      <w:r>
        <w:rPr>
          <w:noProof/>
        </w:rPr>
        <w:t>SI</w:t>
      </w:r>
      <w:r>
        <w:rPr>
          <w:noProof/>
        </w:rPr>
        <w:tab/>
        <w:t>Slovenia</w:t>
      </w:r>
    </w:p>
    <w:p>
      <w:pPr>
        <w:rPr>
          <w:noProof/>
        </w:rPr>
      </w:pPr>
    </w:p>
    <w:p>
      <w:pPr>
        <w:rPr>
          <w:noProof/>
        </w:rPr>
      </w:pPr>
      <w:r>
        <w:rPr>
          <w:noProof/>
        </w:rPr>
        <w:t>SE</w:t>
      </w:r>
      <w:r>
        <w:rPr>
          <w:noProof/>
        </w:rPr>
        <w:tab/>
        <w:t>Suedia</w:t>
      </w:r>
    </w:p>
    <w:p>
      <w:pPr>
        <w:rPr>
          <w:noProof/>
        </w:rPr>
      </w:pPr>
    </w:p>
    <w:p>
      <w:pPr>
        <w:rPr>
          <w:noProof/>
        </w:rPr>
      </w:pPr>
      <w:r>
        <w:rPr>
          <w:noProof/>
        </w:rPr>
        <w:t>SEE</w:t>
      </w:r>
      <w:r>
        <w:rPr>
          <w:noProof/>
        </w:rPr>
        <w:tab/>
        <w:t>Spațiul Economic European</w:t>
      </w:r>
    </w:p>
    <w:p>
      <w:pPr>
        <w:rPr>
          <w:noProof/>
        </w:rPr>
      </w:pPr>
    </w:p>
    <w:p>
      <w:pPr>
        <w:rPr>
          <w:noProof/>
        </w:rPr>
      </w:pPr>
    </w:p>
    <w:p>
      <w:pPr>
        <w:rPr>
          <w:noProof/>
        </w:rPr>
        <w:sectPr>
          <w:headerReference w:type="even" r:id="rId15"/>
          <w:headerReference w:type="default" r:id="rId16"/>
          <w:footerReference w:type="even" r:id="rId17"/>
          <w:footerReference w:type="default" r:id="rId18"/>
          <w:headerReference w:type="first" r:id="rId19"/>
          <w:footerReference w:type="first" r:id="rId20"/>
          <w:footnotePr>
            <w:numRestart w:val="eachSect"/>
          </w:footnotePr>
          <w:endnotePr>
            <w:numFmt w:val="decimal"/>
          </w:endnotePr>
          <w:pgSz w:w="11907" w:h="16840" w:code="9"/>
          <w:pgMar w:top="1134" w:right="1134" w:bottom="1134" w:left="1134" w:header="567" w:footer="567" w:gutter="0"/>
          <w:cols w:space="720"/>
          <w:docGrid w:linePitch="326"/>
        </w:sectPr>
      </w:pPr>
    </w:p>
    <w:tbl>
      <w:tblPr>
        <w:tblStyle w:val="TableGrid"/>
        <w:tblW w:w="5000" w:type="pct"/>
        <w:tblLayout w:type="fixed"/>
        <w:tblLook w:val="04A0" w:firstRow="1" w:lastRow="0" w:firstColumn="1" w:lastColumn="0" w:noHBand="0" w:noVBand="1"/>
      </w:tblPr>
      <w:tblGrid>
        <w:gridCol w:w="4106"/>
        <w:gridCol w:w="10456"/>
      </w:tblGrid>
      <w:tr>
        <w:trPr>
          <w:tblHeader/>
        </w:trPr>
        <w:tc>
          <w:tcPr>
            <w:tcW w:w="1410"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br w:type="page"/>
              <w:t>Sectorul sau subsectorul</w:t>
            </w:r>
          </w:p>
        </w:tc>
        <w:tc>
          <w:tcPr>
            <w:tcW w:w="3590"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Descrierea rezervelor</w:t>
            </w: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Bunuri imobile</w:t>
            </w:r>
          </w:p>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Toate statele membre, exceptând AT, BG, CY, CZ, DE, DK, EE, EL, ES, FI, HR, HU, IE, IT, LV, LT, MT, PL, RO, SI, SK: niciuna.</w:t>
            </w:r>
          </w:p>
          <w:p>
            <w:pPr>
              <w:widowControl/>
              <w:suppressAutoHyphens/>
              <w:spacing w:before="60" w:after="60" w:line="240" w:lineRule="auto"/>
              <w:rPr>
                <w:rFonts w:ascii="Times New Roman" w:hAnsi="Times New Roman"/>
                <w:noProof/>
              </w:rPr>
            </w:pPr>
            <w:r>
              <w:rPr>
                <w:rFonts w:ascii="Times New Roman" w:hAnsi="Times New Roman"/>
                <w:noProof/>
              </w:rPr>
              <w:t>În AT: Pentru achiziționarea, cumpărarea, precum și închirierea sau concesionarea de bunuri imobile de către persoane fizice și juridice străine se solicită o autorizare din partea autorităților regionale competente (</w:t>
            </w:r>
            <w:r>
              <w:rPr>
                <w:rFonts w:ascii="Times New Roman" w:hAnsi="Times New Roman"/>
                <w:i/>
                <w:noProof/>
              </w:rPr>
              <w:t>Länder</w:t>
            </w:r>
            <w:r>
              <w:rPr>
                <w:rFonts w:ascii="Times New Roman" w:hAnsi="Times New Roman"/>
                <w:noProof/>
              </w:rPr>
              <w:t>), care vor lua în considerare dacă sunt afectate sau nu interese economice, sociale sau culturale importante.</w:t>
            </w:r>
          </w:p>
          <w:p>
            <w:pPr>
              <w:widowControl/>
              <w:suppressAutoHyphens/>
              <w:spacing w:before="60" w:after="60" w:line="240" w:lineRule="auto"/>
              <w:rPr>
                <w:rFonts w:ascii="Times New Roman" w:hAnsi="Times New Roman"/>
                <w:noProof/>
              </w:rPr>
            </w:pPr>
            <w:r>
              <w:rPr>
                <w:rFonts w:ascii="Times New Roman" w:hAnsi="Times New Roman"/>
                <w:noProof/>
              </w:rPr>
              <w:t>În BG: Persoanele fizice și juridice străine (inclusiv prin intermediul unei sucursale) nu pot dobândi dreptul de proprietate asupra unui teren. Persoanele juridice bulgare cu participare străină nu pot dobândi dreptul de proprietate asupra unui teren agricol.</w:t>
            </w:r>
          </w:p>
          <w:p>
            <w:pPr>
              <w:widowControl/>
              <w:suppressAutoHyphens/>
              <w:spacing w:before="60" w:after="60" w:line="240" w:lineRule="auto"/>
              <w:rPr>
                <w:rFonts w:ascii="Times New Roman" w:hAnsi="Times New Roman"/>
                <w:noProof/>
              </w:rPr>
            </w:pPr>
            <w:r>
              <w:rPr>
                <w:rFonts w:ascii="Times New Roman" w:hAnsi="Times New Roman"/>
                <w:noProof/>
              </w:rPr>
              <w:t>Persoanele juridice străine și cetățenii străini cu rezidență permanentă în străinătate pot dobândi dreptul de proprietate asupra clădirilor și drepturi de proprietate limitate</w:t>
            </w:r>
            <w:r>
              <w:rPr>
                <w:rStyle w:val="FootnoteReference"/>
                <w:rFonts w:ascii="Times New Roman" w:hAnsi="Times New Roman"/>
                <w:b/>
                <w:noProof/>
              </w:rPr>
              <w:footnoteReference w:id="1"/>
            </w:r>
            <w:r>
              <w:rPr>
                <w:rFonts w:ascii="Times New Roman" w:hAnsi="Times New Roman"/>
                <w:noProof/>
              </w:rPr>
              <w:t xml:space="preserve"> asupra bunurilor imobile, cu condiția obținerii unei autorizații din partea Ministerului de Finanțe. Obligația de a obține o astfel de autorizație nu se aplică persoanelor care au făcut investiții în Bulgaria.</w:t>
            </w:r>
          </w:p>
          <w:p>
            <w:pPr>
              <w:widowControl/>
              <w:suppressAutoHyphens/>
              <w:spacing w:before="60" w:after="60" w:line="240" w:lineRule="auto"/>
              <w:rPr>
                <w:rFonts w:ascii="Times New Roman" w:hAnsi="Times New Roman"/>
                <w:noProof/>
              </w:rPr>
            </w:pPr>
            <w:r>
              <w:rPr>
                <w:rFonts w:ascii="Times New Roman" w:hAnsi="Times New Roman"/>
                <w:noProof/>
              </w:rPr>
              <w:t>Cetățenii străini care au rezidența permanentă în străinătate, persoanele juridice străine și societățile în care participarea străină asigură majoritatea necesară pentru adoptarea deciziilor sau pentru blocarea adoptării deciziilor pot dobândi drepturi de proprietate asupra bunurilor imobile în regiuni geografice anume, desemnate de Consiliul de Miniștri, cu condiția obținerii unei aprobări.</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CY: neconsolidat.</w:t>
            </w:r>
          </w:p>
          <w:p>
            <w:pPr>
              <w:widowControl/>
              <w:suppressAutoHyphens/>
              <w:spacing w:before="60" w:after="60" w:line="240" w:lineRule="auto"/>
              <w:rPr>
                <w:rFonts w:ascii="Times New Roman" w:hAnsi="Times New Roman"/>
                <w:noProof/>
              </w:rPr>
            </w:pPr>
            <w:r>
              <w:rPr>
                <w:rFonts w:ascii="Times New Roman" w:hAnsi="Times New Roman"/>
                <w:noProof/>
              </w:rPr>
              <w:t>În CZ: Se aplică norme specifice pentru terenurile agricole aflate în proprietatea statului. Terenurile agricole de stat pot fi achiziționate numai de către cetățenii cehi, de resortisanți ai unui alt stat membru sau ai unor state părți la Acordul privind SEE sau ai Confederației Elvețiene (denumită în continuare „Elveția”). Persoanele juridice</w:t>
            </w:r>
            <w:r>
              <w:rPr>
                <w:rStyle w:val="FootnoteReference"/>
                <w:rFonts w:ascii="Times New Roman" w:hAnsi="Times New Roman"/>
                <w:b/>
                <w:noProof/>
              </w:rPr>
              <w:footnoteReference w:id="2"/>
            </w:r>
            <w:r>
              <w:rPr>
                <w:rFonts w:ascii="Times New Roman" w:hAnsi="Times New Roman"/>
                <w:noProof/>
              </w:rPr>
              <w:t xml:space="preserve"> pot achiziționa de la stat terenuri agricole de stat numai dacă sunt antreprenori agricoli în Republica Cehă sau persoane cu un statut similar în alt stat membru al Uniunii sau în state care sunt părți la Acordul privind SEE ori în Elveția.</w:t>
            </w:r>
          </w:p>
          <w:p>
            <w:pPr>
              <w:widowControl/>
              <w:suppressAutoHyphens/>
              <w:spacing w:before="60" w:after="60" w:line="240" w:lineRule="auto"/>
              <w:rPr>
                <w:rFonts w:ascii="Times New Roman" w:hAnsi="Times New Roman"/>
                <w:noProof/>
              </w:rPr>
            </w:pPr>
            <w:r>
              <w:rPr>
                <w:rFonts w:ascii="Times New Roman" w:hAnsi="Times New Roman"/>
                <w:noProof/>
              </w:rPr>
              <w:t>În DE: Anumite condiții de reciprocitate se pot aplica în cazul achiziționării de bunuri imobile.</w:t>
            </w:r>
          </w:p>
          <w:p>
            <w:pPr>
              <w:widowControl/>
              <w:suppressAutoHyphens/>
              <w:spacing w:before="60" w:after="60" w:line="240" w:lineRule="auto"/>
              <w:rPr>
                <w:rFonts w:ascii="Times New Roman" w:hAnsi="Times New Roman"/>
                <w:noProof/>
              </w:rPr>
            </w:pPr>
            <w:r>
              <w:rPr>
                <w:rFonts w:ascii="Times New Roman" w:hAnsi="Times New Roman"/>
                <w:noProof/>
              </w:rPr>
              <w:t>În DK: Se aplică limitări privind achizițiile de bunuri imobile de către persoane fizice și juridice nerezidente. Se aplică limitări și în ceea ce privește proprietățile agricole achiziționate de persoane fizice și juridice.</w:t>
            </w:r>
          </w:p>
          <w:p>
            <w:pPr>
              <w:widowControl/>
              <w:suppressAutoHyphens/>
              <w:spacing w:before="60" w:after="60" w:line="240" w:lineRule="auto"/>
              <w:rPr>
                <w:rFonts w:ascii="Times New Roman" w:hAnsi="Times New Roman"/>
                <w:noProof/>
              </w:rPr>
            </w:pPr>
            <w:r>
              <w:rPr>
                <w:rFonts w:ascii="Times New Roman" w:hAnsi="Times New Roman"/>
                <w:noProof/>
              </w:rPr>
              <w:t>În EE: neconsolidat pentru achiziționarea de teren agricol și forestier</w:t>
            </w:r>
            <w:r>
              <w:rPr>
                <w:rStyle w:val="FootnoteReference"/>
                <w:rFonts w:ascii="Times New Roman" w:hAnsi="Times New Roman"/>
                <w:b/>
                <w:noProof/>
              </w:rPr>
              <w:footnoteReference w:id="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ES: Investițiile străine în activități legate direct de investiții imobiliare pentru misiuni diplomatice din partea statelor care nu sunt state membre ale UE necesită o autorizație administrativă din partea Consiliului de Miniștri spaniol, cu excepția cazului în care există un acord reciproc de liberalizare.</w:t>
            </w:r>
          </w:p>
          <w:p>
            <w:pPr>
              <w:suppressAutoHyphens/>
              <w:spacing w:before="60" w:after="60" w:line="240" w:lineRule="auto"/>
              <w:rPr>
                <w:noProof/>
              </w:rPr>
            </w:pPr>
            <w:r>
              <w:rPr>
                <w:rFonts w:ascii="Times New Roman" w:hAnsi="Times New Roman"/>
                <w:noProof/>
              </w:rPr>
              <w:t>În EL: Persoanele fizice sau juridice care nu sunt cetățeni ai statelor membre sau ai statelor care fac parte din Asociația Europeană a Liberului Schimb sau care nu sunt stabilite în astfel de state nu au dreptul să achiziționeze sau să închirieze bunuri imobile în regiunile de frontieră. Interdicția poate fi ridicată printr-o decizie discreționară luată de un comitet al administrației descentralizate corespunzătoare (sau de ministrul apărării naționale în cazul în care proprietățile ce urmează să fie exploatate aparțin Fondului pentru exploatarea proprietăților de stat care pot fi comercializate sau privatizate).</w:t>
            </w:r>
          </w:p>
        </w:tc>
      </w:tr>
      <w:tr>
        <w:tc>
          <w:tcPr>
            <w:tcW w:w="1410" w:type="pct"/>
            <w:tcBorders>
              <w:top w:val="nil"/>
            </w:tcBorders>
          </w:tcPr>
          <w:p>
            <w:pPr>
              <w:pageBreakBefore/>
              <w:suppressAutoHyphens/>
              <w:spacing w:before="60" w:after="60" w:line="240" w:lineRule="auto"/>
              <w:rPr>
                <w:noProof/>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FI (Insulele Åland): Se aplică restricții privind dreptul persoanelor fizice care nu dețin cetățenie regională în Åland și al persoanelor juridice de a achiziționa și deține bunuri imobile în insulele Åland, fără permisiunea autorităților competente din insule. Se aplică restricții și în ceea ce privește dreptul de stabilire și dreptul de a desfășura activități economice al persoanelor fizice care nu beneficiază de cetățenie regională în Åland sau al oricărei persoane juridice, fără permisiunea autorităților competente din Insulele Åland.</w:t>
            </w:r>
          </w:p>
          <w:p>
            <w:pPr>
              <w:widowControl/>
              <w:suppressAutoHyphens/>
              <w:spacing w:before="60" w:after="60" w:line="240" w:lineRule="auto"/>
              <w:rPr>
                <w:rFonts w:ascii="Times New Roman" w:hAnsi="Times New Roman"/>
                <w:noProof/>
              </w:rPr>
            </w:pPr>
            <w:r>
              <w:rPr>
                <w:rFonts w:ascii="Times New Roman" w:hAnsi="Times New Roman"/>
                <w:noProof/>
              </w:rPr>
              <w:t>În HR: neconsolidat în ceea ce privește achiziționarea de bunuri imobiliare de către furnizorii de servicii care nu sunt stabiliți și înregistrați în Croația. Este permisă achiziționarea de bunuri imobile necesare pentru furnizarea de servicii de către societăți stabilite și înregistrate în Croația ca persoane juridice. Achiziționarea de bunuri imobile necesare pentru furnizarea de servicii de către sucursale necesită aprobarea Ministerului Justiției. Persoanele fizice sau juridice străine pot achiziționa terenuri agricole.</w:t>
            </w:r>
          </w:p>
          <w:p>
            <w:pPr>
              <w:widowControl/>
              <w:suppressAutoHyphens/>
              <w:spacing w:before="60" w:after="60" w:line="240" w:lineRule="auto"/>
              <w:rPr>
                <w:rFonts w:ascii="Times New Roman" w:hAnsi="Times New Roman"/>
                <w:noProof/>
              </w:rPr>
            </w:pPr>
            <w:r>
              <w:rPr>
                <w:rFonts w:ascii="Times New Roman" w:hAnsi="Times New Roman"/>
                <w:noProof/>
              </w:rPr>
              <w:t>În HU: Se aplică limitări privind achiziționarea de terenuri și bunuri imobile de către investitorii străini</w:t>
            </w:r>
            <w:r>
              <w:rPr>
                <w:rStyle w:val="FootnoteReference"/>
                <w:rFonts w:ascii="Times New Roman" w:hAnsi="Times New Roman"/>
                <w:b/>
                <w:noProof/>
              </w:rPr>
              <w:footnoteReference w:id="4"/>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IE: Pentru achiziționarea oricărei participații în ceea ce privește terenurile irlandeze de către societăți naționale sau străine sau resortisanți străini este necesară aprobarea prealabilă scrisă a Comisiei Funciare. În cazul în care un astfel de teren este destinat unei utilizări industriale (alta decât industria agricolă), se renunță la această cerință, sub rezerva unui certificat emis în acest sens de către Ministrul Întreprinderilor, Comerțului și Ocupării Forței de Muncă. Această lege nu se aplică terenurilor din intravilanul orașelor.</w:t>
            </w:r>
          </w:p>
          <w:p>
            <w:pPr>
              <w:widowControl/>
              <w:suppressAutoHyphens/>
              <w:spacing w:before="60" w:after="60" w:line="240" w:lineRule="auto"/>
              <w:rPr>
                <w:rFonts w:ascii="Times New Roman" w:hAnsi="Times New Roman"/>
                <w:noProof/>
              </w:rPr>
            </w:pPr>
            <w:r>
              <w:rPr>
                <w:rFonts w:ascii="Times New Roman" w:hAnsi="Times New Roman"/>
                <w:noProof/>
              </w:rPr>
              <w:t>În IT: Achiziționarea de bunuri imobile de către persoane fizice și juridice străine este supusă unei condiții de reciprocitate.</w:t>
            </w:r>
          </w:p>
        </w:tc>
      </w:tr>
      <w:tr>
        <w:tc>
          <w:tcPr>
            <w:tcW w:w="1410" w:type="pct"/>
            <w:tcBorders>
              <w:top w:val="single" w:sz="4" w:space="0" w:color="auto"/>
            </w:tcBorders>
          </w:tcPr>
          <w:p>
            <w:pPr>
              <w:pageBreakBefore/>
              <w:suppressAutoHyphens/>
              <w:spacing w:before="60" w:after="60" w:line="240" w:lineRule="auto"/>
              <w:rPr>
                <w:noProof/>
              </w:rPr>
            </w:pPr>
          </w:p>
        </w:tc>
        <w:tc>
          <w:tcPr>
            <w:tcW w:w="3590" w:type="pct"/>
            <w:tcBorders>
              <w:top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LV: neconsolidat în ceea ce privește achiziția terenurilor; este permisă închirierea terenurilor pentru o perioadă care nu depășește 99 de ani.</w:t>
            </w:r>
          </w:p>
          <w:p>
            <w:pPr>
              <w:widowControl/>
              <w:suppressAutoHyphens/>
              <w:spacing w:before="60" w:after="60" w:line="240" w:lineRule="auto"/>
              <w:rPr>
                <w:rFonts w:ascii="Times New Roman" w:hAnsi="Times New Roman"/>
                <w:noProof/>
              </w:rPr>
            </w:pPr>
            <w:r>
              <w:rPr>
                <w:rFonts w:ascii="Times New Roman" w:hAnsi="Times New Roman"/>
                <w:noProof/>
              </w:rPr>
              <w:t>În LT: neconsolidat pentru achiziționarea de terenuri</w:t>
            </w:r>
            <w:r>
              <w:rPr>
                <w:rStyle w:val="FootnoteReference"/>
                <w:rFonts w:ascii="Times New Roman" w:hAnsi="Times New Roman"/>
                <w:b/>
                <w:noProof/>
              </w:rPr>
              <w:footnoteReference w:id="5"/>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MT: Prevederile legislației malteze și normele malteze privind achiziționarea de bunuri imobile se aplică în continuare.</w:t>
            </w:r>
          </w:p>
          <w:p>
            <w:pPr>
              <w:widowControl/>
              <w:suppressAutoHyphens/>
              <w:spacing w:before="60" w:after="60" w:line="240" w:lineRule="auto"/>
              <w:rPr>
                <w:rFonts w:ascii="Times New Roman" w:hAnsi="Times New Roman"/>
                <w:noProof/>
              </w:rPr>
            </w:pPr>
            <w:r>
              <w:rPr>
                <w:rFonts w:ascii="Times New Roman" w:hAnsi="Times New Roman"/>
                <w:noProof/>
              </w:rPr>
              <w:t>În PL: Achiziționarea de bunuri imobile, direct sau indirect, de către străini este condiționată de obținerea unei autorizații. Autorizația este emisă, printr-o decizie administrativă, de un ministru competent în materie de afaceri interne, cu aprobarea ministrului apărării naționale, iar în cazul terenurilor agricole și cu aprobarea ministrului agriculturii și dezvoltării rurale.</w:t>
            </w:r>
          </w:p>
          <w:p>
            <w:pPr>
              <w:widowControl/>
              <w:suppressAutoHyphens/>
              <w:spacing w:before="60" w:after="60" w:line="240" w:lineRule="auto"/>
              <w:rPr>
                <w:rFonts w:ascii="Times New Roman" w:hAnsi="Times New Roman"/>
                <w:noProof/>
              </w:rPr>
            </w:pPr>
            <w:r>
              <w:rPr>
                <w:rFonts w:ascii="Times New Roman" w:hAnsi="Times New Roman"/>
                <w:noProof/>
              </w:rPr>
              <w:t xml:space="preserve">În RO: Persoanele fizice care nu au cetățenie română și nici nu au rezidența în România, precum și persoanele juridice care nu sunt resortisanți români și nu au sediul în România nu pot dobândi dreptul de proprietate asupra niciunui tip de terenuri prin intermediul unor acte </w:t>
            </w:r>
            <w:r>
              <w:rPr>
                <w:rFonts w:ascii="Times New Roman" w:hAnsi="Times New Roman"/>
                <w:i/>
                <w:noProof/>
              </w:rPr>
              <w:t>inter vivos</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SI: Persoanele juridice, stabilite în Slovenia cu participare de capital străin pot achiziționa bunuri imobile pe teritoriul Sloveniei. Sucursalele</w:t>
            </w:r>
            <w:r>
              <w:rPr>
                <w:rStyle w:val="FootnoteReference"/>
                <w:rFonts w:ascii="Times New Roman" w:hAnsi="Times New Roman"/>
                <w:b/>
                <w:noProof/>
              </w:rPr>
              <w:footnoteReference w:id="6"/>
            </w:r>
            <w:r>
              <w:rPr>
                <w:rFonts w:ascii="Times New Roman" w:hAnsi="Times New Roman"/>
                <w:noProof/>
              </w:rPr>
              <w:t xml:space="preserve"> înființate în Slovenia de către persoane străine pot achiziționa numai bunuri imobile, cu excepția terenurilor, necesare pentru desfășurarea activităților economice pentru care sunt înființate.</w:t>
            </w:r>
          </w:p>
          <w:p>
            <w:pPr>
              <w:suppressAutoHyphens/>
              <w:spacing w:before="60" w:after="60" w:line="240" w:lineRule="auto"/>
              <w:rPr>
                <w:noProof/>
              </w:rPr>
            </w:pPr>
            <w:r>
              <w:rPr>
                <w:rFonts w:ascii="Times New Roman" w:hAnsi="Times New Roman"/>
                <w:noProof/>
              </w:rPr>
              <w:t>În SK: Societățile sau persoanele fizice străine nu pot achiziționa terenuri agricole și forestiere în afara limitelor intravilanului unei municipalități și nici anumite alte terenuri (de exemplu, resurse naturale, lacuri, râuri, drumuri publice etc.).</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Recunoaștere</w:t>
            </w:r>
          </w:p>
          <w:p>
            <w:pPr>
              <w:widowControl/>
              <w:suppressAutoHyphens/>
              <w:spacing w:before="60" w:after="60" w:line="240" w:lineRule="auto"/>
              <w:rPr>
                <w:rFonts w:ascii="Times New Roman" w:hAnsi="Times New Roman"/>
                <w:noProof/>
              </w:rPr>
            </w:pPr>
            <w:r>
              <w:rPr>
                <w:rFonts w:ascii="Times New Roman" w:hAnsi="Times New Roman"/>
                <w:noProof/>
              </w:rPr>
              <w:t>În UE: Directivele Uniunii privind recunoașterea reciprocă a diplomelor se aplică numai cetățenilor Uniunii. Dreptul de a practica un serviciu profesional reglementat într-unul dintre statele membre ale Uniunii nu acordă dreptul de practică într-un alt stat membru</w:t>
            </w:r>
            <w:r>
              <w:rPr>
                <w:rStyle w:val="FootnoteReference"/>
                <w:rFonts w:ascii="Times New Roman" w:hAnsi="Times New Roman"/>
                <w:b/>
                <w:noProof/>
              </w:rPr>
              <w:footnoteReference w:id="7"/>
            </w:r>
            <w:r>
              <w:rPr>
                <w:rFonts w:ascii="Times New Roman" w:hAnsi="Times New Roman"/>
                <w:noProof/>
              </w:rPr>
              <w: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PENTRU ÎNTREPRINDERI</w:t>
            </w:r>
          </w:p>
        </w:tc>
        <w:tc>
          <w:tcPr>
            <w:tcW w:w="3590" w:type="pct"/>
          </w:tcPr>
          <w:p>
            <w:pPr>
              <w:widowControl/>
              <w:suppressAutoHyphens/>
              <w:spacing w:before="60" w:after="60" w:line="240" w:lineRule="auto"/>
              <w:rPr>
                <w:rFonts w:ascii="Times New Roman" w:hAnsi="Times New Roman"/>
                <w:noProof/>
              </w:rPr>
            </w:pP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 Servicii profesionale</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juridice (CPC 861)</w:t>
            </w:r>
            <w:r>
              <w:rPr>
                <w:rStyle w:val="FootnoteReference"/>
                <w:rFonts w:ascii="Times New Roman" w:hAnsi="Times New Roman"/>
                <w:b/>
                <w:noProof/>
              </w:rPr>
              <w:footnoteReference w:id="8"/>
            </w:r>
          </w:p>
          <w:p>
            <w:pPr>
              <w:widowControl/>
              <w:suppressAutoHyphens/>
              <w:spacing w:before="60" w:after="60" w:line="240" w:lineRule="auto"/>
              <w:rPr>
                <w:rFonts w:ascii="Times New Roman" w:hAnsi="Times New Roman"/>
                <w:noProof/>
              </w:rPr>
            </w:pPr>
            <w:r>
              <w:rPr>
                <w:rFonts w:ascii="Times New Roman" w:hAnsi="Times New Roman"/>
                <w:noProof/>
              </w:rPr>
              <w:t>cu excepția consilierii juridice și a serviciilor de documentare și certificare juridică furnizate de membri ai profesiei juridice cărora le-au fost încredințate funcții publice, precum notari, „</w:t>
            </w:r>
            <w:r>
              <w:rPr>
                <w:rFonts w:ascii="Times New Roman" w:hAnsi="Times New Roman"/>
                <w:i/>
                <w:noProof/>
              </w:rPr>
              <w:t>huissiers de justice</w:t>
            </w:r>
            <w:r>
              <w:rPr>
                <w:rFonts w:ascii="Times New Roman" w:hAnsi="Times New Roman"/>
                <w:noProof/>
              </w:rPr>
              <w:t>” sau alți „</w:t>
            </w:r>
            <w:r>
              <w:rPr>
                <w:rFonts w:ascii="Times New Roman" w:hAnsi="Times New Roman"/>
                <w:i/>
                <w:noProof/>
              </w:rPr>
              <w:t>officiers publics et ministériels</w:t>
            </w:r>
            <w:r>
              <w:rPr>
                <w:rFonts w:ascii="Times New Roman" w:hAnsi="Times New Roman"/>
                <w:noProof/>
              </w:rPr>
              <w:t>”.</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UE: Reprezentarea juridică a persoanelor fizice sau juridice în fața Oficiului Uniunii Europene pentru Proprietate Intelectuală (denumit în continuare „EUIPO”) poate fi realizată numai de către un practician în domeniul dreptului, calificat în unul dintre statele membre ale SEE, care își are sediul în SEE, în măsura în care acesta are dreptul, în statul membru respectiv, să acționeze în calitate de reprezentant în domeniul mărcilor sau al proprietății industriale, precum și de către reprezentanți autorizați ale căror nume figurează pe lista păstrată în acest scop de EUIPO (parte din CPC 861).</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Pentru furnizarea de servicii juridice care țin de dreptul jurisdicției gazdă (al Uniunii și al statului membru respectiv), inclusiv reprezentarea în instanță, este necesară cetățenia unui stat membru al SEE sau cetățenia elvețiană, precum și rezidența (prezența comercială) în SEE sau în Elveția. Numai avocații care dețin cetățenia unui stat membru al SEE sau cetățenia elvețiană sunt autorizați să furnizeze servicii juridice prin intermediul unei prezențe comerciale. Furnizarea de servicii juridice care țin de dreptul public internațional și de dreptul jurisdicției de origine este permisă doar pe o bază transfrontalieră.</w:t>
            </w:r>
          </w:p>
          <w:p>
            <w:pPr>
              <w:widowControl/>
              <w:suppressAutoHyphens/>
              <w:spacing w:before="60" w:after="60" w:line="240" w:lineRule="auto"/>
              <w:rPr>
                <w:rFonts w:ascii="Times New Roman" w:hAnsi="Times New Roman"/>
                <w:noProof/>
              </w:rPr>
            </w:pPr>
            <w:r>
              <w:rPr>
                <w:rFonts w:ascii="Times New Roman" w:hAnsi="Times New Roman"/>
                <w:noProof/>
              </w:rPr>
              <w:t>În BE: Pentru admiterea deplină în barou și pentru furnizarea de servicii juridice care țin de dreptul belgian, inclusiv reprezentarea în instanță, este necesară îndeplinirea cerinței privind rezidența. Reprezentarea în fața „</w:t>
            </w:r>
            <w:r>
              <w:rPr>
                <w:rFonts w:ascii="Times New Roman" w:hAnsi="Times New Roman"/>
                <w:i/>
                <w:noProof/>
              </w:rPr>
              <w:t>Cour de Cassation</w:t>
            </w:r>
            <w:r>
              <w:rPr>
                <w:rFonts w:ascii="Times New Roman" w:hAnsi="Times New Roman"/>
                <w:noProof/>
              </w:rPr>
              <w:t>” face obiectul propunerii de candidatură pe o listă specifică.</w:t>
            </w:r>
          </w:p>
          <w:p>
            <w:pPr>
              <w:widowControl/>
              <w:suppressAutoHyphens/>
              <w:spacing w:before="60" w:after="60" w:line="240" w:lineRule="auto"/>
              <w:rPr>
                <w:rFonts w:ascii="Times New Roman" w:hAnsi="Times New Roman"/>
                <w:noProof/>
              </w:rPr>
            </w:pPr>
            <w:r>
              <w:rPr>
                <w:rFonts w:ascii="Times New Roman" w:hAnsi="Times New Roman"/>
                <w:noProof/>
              </w:rPr>
              <w:t>În BG: Avocații din Indonezia pot furniza doar servicii de reprezentare juridică pentru resortisanți din Indonezia, sub rezerva reciprocității și a cooperării cu un avocat bulgar. Pentru serviciile de mediere juridică, este necesară îndeplinirea condiției privind rezidența permanentă.</w:t>
            </w:r>
          </w:p>
          <w:p>
            <w:pPr>
              <w:widowControl/>
              <w:suppressAutoHyphens/>
              <w:spacing w:before="60" w:after="60" w:line="240" w:lineRule="auto"/>
              <w:rPr>
                <w:rFonts w:ascii="Times New Roman" w:hAnsi="Times New Roman"/>
                <w:noProof/>
              </w:rPr>
            </w:pPr>
            <w:r>
              <w:rPr>
                <w:rFonts w:ascii="Times New Roman" w:hAnsi="Times New Roman"/>
                <w:noProof/>
              </w:rPr>
              <w:t>În CY: Admiterea deplină în barou este supusă condiției privind deținerea cetățeniei. Numai avocații înscriși în barou pot fi asociați, acționari sau membri ai consiliului de administrație într-un cabinet de avocatură în Cipru.</w:t>
            </w:r>
          </w:p>
          <w:p>
            <w:pPr>
              <w:suppressAutoHyphens/>
              <w:spacing w:before="60" w:after="60" w:line="240" w:lineRule="auto"/>
              <w:rPr>
                <w:noProof/>
              </w:rPr>
            </w:pPr>
            <w:r>
              <w:rPr>
                <w:rFonts w:ascii="Times New Roman" w:hAnsi="Times New Roman"/>
                <w:noProof/>
              </w:rPr>
              <w:t>În CZ: Pentru furnizarea de servicii juridice care țin de dreptul UE și al statului membru respectiv, inclusiv reprezentarea în instanță, este necesară admiterea deplină în Baroul Ceh, precum și rezidența (prezența comercială).</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DK: Furnizarea de servicii juridice în temeiul titlului de „</w:t>
            </w:r>
            <w:r>
              <w:rPr>
                <w:rFonts w:ascii="Times New Roman" w:hAnsi="Times New Roman"/>
                <w:i/>
                <w:noProof/>
              </w:rPr>
              <w:t>advokat</w:t>
            </w:r>
            <w:r>
              <w:rPr>
                <w:rFonts w:ascii="Times New Roman" w:hAnsi="Times New Roman"/>
                <w:noProof/>
              </w:rPr>
              <w:t>” (avocat) sau al oricărui titlu similar și reprezentarea în instanță sunt rezervate avocaților cu licență de practică daneză. Avocații din statele membre ale UE și ale SEE, precum și avocații din Elveția pot profesa în temeiul titlului conferit în țara lor de origine. Alte persoane decât avocații care dețin o licență daneză de practică a dreptului pot furniza servicii de analiză juridică în conformitate cu legea daneză privind serviciile juridice, însă nu pot folosi titlul „</w:t>
            </w:r>
            <w:r>
              <w:rPr>
                <w:rFonts w:ascii="Times New Roman" w:hAnsi="Times New Roman"/>
                <w:i/>
                <w:noProof/>
              </w:rPr>
              <w:t>advokat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DE: Numai avocații care și-au obținut calificările în SEE sau în Elveția pot fi admiși în barou și au astfel dreptul să furnizeze servicii juridice care țin de dreptul intern. Pentru a obține admiterea deplină în barou este necesară prezența comercială. Baroul competent poate acorda derogări.</w:t>
            </w:r>
          </w:p>
          <w:p>
            <w:pPr>
              <w:widowControl/>
              <w:suppressAutoHyphens/>
              <w:spacing w:before="60" w:after="60" w:line="240" w:lineRule="auto"/>
              <w:rPr>
                <w:rFonts w:ascii="Times New Roman" w:hAnsi="Times New Roman"/>
                <w:noProof/>
              </w:rPr>
            </w:pPr>
            <w:r>
              <w:rPr>
                <w:rFonts w:ascii="Times New Roman" w:hAnsi="Times New Roman"/>
                <w:noProof/>
              </w:rPr>
              <w:t>În EL: Pentru furnizarea de servicii juridice care țin de dreptul UE și al statului membru respectiv, inclusiv reprezentarea în instanță, sunt necesare cetățenia unui stat membru al SEE sau cetățenia elvețiană și rezidența (prezența comercială) în SEE sau în Elveția.</w:t>
            </w:r>
          </w:p>
          <w:p>
            <w:pPr>
              <w:widowControl/>
              <w:suppressAutoHyphens/>
              <w:spacing w:before="60" w:after="60" w:line="240" w:lineRule="auto"/>
              <w:rPr>
                <w:rFonts w:ascii="Times New Roman" w:hAnsi="Times New Roman"/>
                <w:noProof/>
              </w:rPr>
            </w:pPr>
            <w:r>
              <w:rPr>
                <w:rFonts w:ascii="Times New Roman" w:hAnsi="Times New Roman"/>
                <w:noProof/>
              </w:rPr>
              <w:t>În ES: Pentru furnizarea de servicii juridice care țin de dreptul UE și al statului membru respectiv, inclusiv reprezentarea în instanță, este necesară cetățenia unui stat membru al SEE sau cetățenia elvețiană. Autoritățile competente pot acorda derogări de la cerința privind deținerea cetățeniei. Pentru a furniza orice servicii juridice este necesară o adresă profesională.</w:t>
            </w:r>
          </w:p>
          <w:p>
            <w:pPr>
              <w:widowControl/>
              <w:suppressAutoHyphens/>
              <w:spacing w:before="60" w:after="60" w:line="240" w:lineRule="auto"/>
              <w:rPr>
                <w:rFonts w:ascii="Times New Roman" w:hAnsi="Times New Roman"/>
                <w:noProof/>
              </w:rPr>
            </w:pPr>
            <w:r>
              <w:rPr>
                <w:rFonts w:ascii="Times New Roman" w:hAnsi="Times New Roman"/>
                <w:noProof/>
              </w:rPr>
              <w:t>În FI, LU: Admiterea deplină în barou, care este necesară pentru serviciile de reprezentare juridică, este supusă condiției privind deținerea cetățeniei, la care se adaugă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În FI: Pentru utilizarea titlului profesional de „avocat” (în limba finlandeză „</w:t>
            </w:r>
            <w:r>
              <w:rPr>
                <w:rFonts w:ascii="Times New Roman" w:hAnsi="Times New Roman"/>
                <w:i/>
                <w:noProof/>
              </w:rPr>
              <w:t>asianajaja</w:t>
            </w:r>
            <w:r>
              <w:rPr>
                <w:rFonts w:ascii="Times New Roman" w:hAnsi="Times New Roman"/>
                <w:noProof/>
              </w:rPr>
              <w:t>” sau în limba suedeză „</w:t>
            </w:r>
            <w:r>
              <w:rPr>
                <w:rFonts w:ascii="Times New Roman" w:hAnsi="Times New Roman"/>
                <w:i/>
                <w:noProof/>
              </w:rPr>
              <w:t>advokat</w:t>
            </w:r>
            <w:r>
              <w:rPr>
                <w:rFonts w:ascii="Times New Roman" w:hAnsi="Times New Roman"/>
                <w:noProof/>
              </w:rPr>
              <w:t>”), este necesară îndeplinirea cerinței privind rezidența într-un stat membru al SEE sau în Elveția și înscrierea în barou. Serviciile juridice, inclusiv cele care țin de dreptul finlandez, pot fi furnizate și de persoane care nu fac parte din barou.</w:t>
            </w:r>
          </w:p>
          <w:p>
            <w:pPr>
              <w:widowControl/>
              <w:suppressAutoHyphens/>
              <w:spacing w:before="60" w:after="60" w:line="240" w:lineRule="auto"/>
              <w:rPr>
                <w:rFonts w:ascii="Times New Roman" w:hAnsi="Times New Roman"/>
                <w:noProof/>
              </w:rPr>
            </w:pPr>
            <w:r>
              <w:rPr>
                <w:rFonts w:ascii="Times New Roman" w:hAnsi="Times New Roman"/>
                <w:noProof/>
              </w:rPr>
              <w:t>În FI: Agenții pentru brevete trebuie să fie rezidenți în SEE pentru a putea fi înscriși în Registrul agenților pentru brevete în vederea practicării profesiei.</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FR: Pentru practicarea dreptului jurisdicției de origine și al dreptului internațional, este necesară îndeplinirea cerinței privind rezidența sau a cerinței privind stabilirea în SEE pentru exercitarea profesiei în mod permanent. Pentru practicarea dreptului jurisdicției-gazdă (dreptul UE și dreptul francez), este necesară îndeplinirea cerinței privind rezidența sau a cerinței privind stabilirea în SEE pentru admiterea deplină în barou, ceea ce reprezintă o condiție indispensabilă pentru furnizarea de servicii juridice. Accesul avocaților la profesia de „</w:t>
            </w:r>
            <w:r>
              <w:rPr>
                <w:rFonts w:ascii="Times New Roman" w:hAnsi="Times New Roman"/>
                <w:i/>
                <w:noProof/>
              </w:rPr>
              <w:t>avocat auprès de la Cour de Cassation</w:t>
            </w:r>
            <w:r>
              <w:rPr>
                <w:rFonts w:ascii="Times New Roman" w:hAnsi="Times New Roman"/>
                <w:noProof/>
              </w:rPr>
              <w:t>” și „</w:t>
            </w:r>
            <w:r>
              <w:rPr>
                <w:rFonts w:ascii="Times New Roman" w:hAnsi="Times New Roman"/>
                <w:i/>
                <w:noProof/>
              </w:rPr>
              <w:t>avocat auprès du Conseil d’Etat</w:t>
            </w:r>
            <w:r>
              <w:rPr>
                <w:rFonts w:ascii="Times New Roman" w:hAnsi="Times New Roman"/>
                <w:noProof/>
              </w:rPr>
              <w:t>” face obiectul unor cote și al condiției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FR: Pentru a fi înregistrat pe lista serviciilor de consiliere în materie de proprietate industrială, este necesară îndeplinirea cerinței privind stabilirea sau rezidența în SEE. Pentru persoanele fizice, este necesară cetățenia SEE. Pentru a reprezenta un client în fața oficiului național pentru proprietate intelectuală, este necesară îndeplinirea cerinței privind stabilirea în SEE.</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exercitarea profesiei în domeniul dreptului croat.</w:t>
            </w:r>
          </w:p>
          <w:p>
            <w:pPr>
              <w:widowControl/>
              <w:suppressAutoHyphens/>
              <w:spacing w:before="60" w:after="60" w:line="240" w:lineRule="auto"/>
              <w:rPr>
                <w:rFonts w:ascii="Times New Roman" w:hAnsi="Times New Roman"/>
                <w:noProof/>
              </w:rPr>
            </w:pPr>
            <w:r>
              <w:rPr>
                <w:rFonts w:ascii="Times New Roman" w:hAnsi="Times New Roman"/>
                <w:noProof/>
              </w:rPr>
              <w:t>În HU: Admiterea deplină în barou este supusă condiției privind deținerea cetățeniei, la care se adaugă cerința privind rezidența. Pentru avocații străini, sfera activităților juridice este limitată la furnizarea de consultanță juridică, care se desfășoară pe baza unui contract de colaborare încheiat cu un avocat maghiar sau cu un cabinet maghiar de avocatură.</w:t>
            </w:r>
          </w:p>
          <w:p>
            <w:pPr>
              <w:widowControl/>
              <w:suppressAutoHyphens/>
              <w:spacing w:before="60" w:after="60" w:line="240" w:lineRule="auto"/>
              <w:rPr>
                <w:rFonts w:ascii="Times New Roman" w:hAnsi="Times New Roman"/>
                <w:noProof/>
              </w:rPr>
            </w:pPr>
            <w:r>
              <w:rPr>
                <w:rFonts w:ascii="Times New Roman" w:hAnsi="Times New Roman"/>
                <w:noProof/>
              </w:rPr>
              <w:t>În LV: condiția privind deținerea cetățeniei pentru avocații autorizați, cărora le este rezervată reprezentarea juridică în procedurile penale.</w:t>
            </w:r>
          </w:p>
          <w:p>
            <w:pPr>
              <w:widowControl/>
              <w:suppressAutoHyphens/>
              <w:spacing w:before="60" w:after="60" w:line="240" w:lineRule="auto"/>
              <w:rPr>
                <w:rFonts w:ascii="Times New Roman" w:hAnsi="Times New Roman"/>
                <w:noProof/>
              </w:rPr>
            </w:pPr>
            <w:r>
              <w:rPr>
                <w:rFonts w:ascii="Times New Roman" w:hAnsi="Times New Roman"/>
                <w:noProof/>
              </w:rPr>
              <w:t>În LT, MT: Admiterea deplină în barou, necesară pentru practicarea dreptului Uniunii și a dreptului statului membru respectiv, este supusă condiției privind deținerea cetățeniei.</w:t>
            </w:r>
          </w:p>
          <w:p>
            <w:pPr>
              <w:suppressAutoHyphens/>
              <w:spacing w:before="60" w:after="60" w:line="240" w:lineRule="auto"/>
              <w:rPr>
                <w:noProof/>
              </w:rPr>
            </w:pPr>
            <w:r>
              <w:rPr>
                <w:rFonts w:ascii="Times New Roman" w:hAnsi="Times New Roman"/>
                <w:noProof/>
              </w:rPr>
              <w:t>În LU: condiția privind deținerea cetățeniei pentru furnizarea de servicii juridice în materie de drept luxemburghez și de drept al UE.</w:t>
            </w:r>
          </w:p>
        </w:tc>
      </w:tr>
      <w:tr>
        <w:tc>
          <w:tcPr>
            <w:tcW w:w="1410" w:type="pct"/>
            <w:tcBorders>
              <w:top w:val="nil"/>
            </w:tcBorders>
          </w:tcPr>
          <w:p>
            <w:pPr>
              <w:pageBreakBefore/>
              <w:suppressAutoHyphens/>
              <w:spacing w:before="60" w:after="60" w:line="240" w:lineRule="auto"/>
              <w:rPr>
                <w:noProof/>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RO: Admiterea deplină în barou este condiționată de îndeplinirea cerinței privind rezidența. Un avocat străin care practică profesia de avocat în România trebuie să se înscrie în barou. Un avocat străin poate prezenta concluzii orale sau scrise instanțelor și altor autorități jurisdicționale și juridice în materie de arbitraj internațional, numai dacă este îndeplinită condiția reciprocității efective.</w:t>
            </w:r>
          </w:p>
          <w:p>
            <w:pPr>
              <w:widowControl/>
              <w:suppressAutoHyphens/>
              <w:spacing w:before="60" w:after="60" w:line="240" w:lineRule="auto"/>
              <w:rPr>
                <w:rFonts w:ascii="Times New Roman" w:hAnsi="Times New Roman"/>
                <w:noProof/>
              </w:rPr>
            </w:pPr>
            <w:r>
              <w:rPr>
                <w:rFonts w:ascii="Times New Roman" w:hAnsi="Times New Roman"/>
                <w:noProof/>
              </w:rPr>
              <w:t>În SK: Admiterea deplină în barou, necesară pentru practicarea dreptului Uniunii și a dreptului statului membru respectiv, este supusă condiției privind deținerea cetățeniei, la care se adaugă o cerință privind rezidența. Este necesară reciprocitatea efectivă.</w:t>
            </w:r>
          </w:p>
          <w:p>
            <w:pPr>
              <w:widowControl/>
              <w:suppressAutoHyphens/>
              <w:spacing w:before="60" w:after="60" w:line="240" w:lineRule="auto"/>
              <w:rPr>
                <w:rFonts w:ascii="Times New Roman" w:hAnsi="Times New Roman"/>
                <w:noProof/>
              </w:rPr>
            </w:pPr>
            <w:r>
              <w:rPr>
                <w:rFonts w:ascii="Times New Roman" w:hAnsi="Times New Roman"/>
                <w:noProof/>
              </w:rPr>
              <w:t>În SI: Reprezentarea clienților în fața instanței contra cost este condiționată de prezența comercială în Republica Slovenia. Un avocat străin care are dreptul de a exercita această profesie într-o țară străină poate să furnizeze servicii juridice sau să își exercite profesia în domeniul dreptului în condițiile prevăzute la articolul 34a din Legea privind avocații</w:t>
            </w:r>
            <w:bookmarkStart w:id="3" w:name="_Hlk137120942"/>
            <w:r>
              <w:rPr>
                <w:rFonts w:ascii="Times New Roman" w:hAnsi="Times New Roman"/>
                <w:noProof/>
              </w:rPr>
              <w:t>, în măsura în care este îndeplinită condiția reciprocității efective</w:t>
            </w:r>
            <w:bookmarkEnd w:id="3"/>
            <w:r>
              <w:rPr>
                <w:noProof/>
              </w:rPr>
              <w:t>.</w:t>
            </w:r>
            <w:r>
              <w:rPr>
                <w:rFonts w:ascii="Times New Roman" w:hAnsi="Times New Roman"/>
                <w:noProof/>
              </w:rPr>
              <w:t xml:space="preserve"> Prezența comercială pentru avocații numiți de baroul sloven este limitată numai la societățile cu răspundere limitată cu asociat unic, la firmele de avocatură cu răspundere limitată (societăți în nume colectiv) sau la firmele de avocatură cu răspundere nelimitată (societăți în nume colectiv). Activitățile unei firme de avocatură sunt limitate la exercitarea profesiei în domeniul dreptului. Numai avocații pot fi asociați în cadrul unei firme de avocatură.</w:t>
            </w:r>
          </w:p>
          <w:p>
            <w:pPr>
              <w:widowControl/>
              <w:suppressAutoHyphens/>
              <w:spacing w:before="60" w:after="60" w:line="240" w:lineRule="auto"/>
              <w:rPr>
                <w:rFonts w:ascii="Times New Roman" w:hAnsi="Times New Roman"/>
                <w:noProof/>
              </w:rPr>
            </w:pPr>
            <w:r>
              <w:rPr>
                <w:rFonts w:ascii="Times New Roman" w:hAnsi="Times New Roman"/>
                <w:noProof/>
              </w:rPr>
              <w:t>În SI: Pentru ca un titular sau solicitant de drepturi de proprietate industrială înregistrate (brevete, mărci, protecția desenelor sau modelelor) să poată acționa în fața Oficiului pentru Proprietate Intelectuală din Slovenia fără un agent pentru brevete sau un agent pentru mărci și desene sau modele, este necesară îndeplinirea cerinței privind rezidența în Slovenia. Alternativ, este necesar un agent pentru brevete sau un agent pentru mărci și desene sau modele înregistrat în Slovenia, scopul principal fiind furnizarea de servicii aferente procesului, notificarea etc.</w:t>
            </w:r>
          </w:p>
          <w:p>
            <w:pPr>
              <w:suppressAutoHyphens/>
              <w:spacing w:before="60" w:after="60" w:line="240" w:lineRule="auto"/>
              <w:rPr>
                <w:noProof/>
              </w:rPr>
            </w:pPr>
            <w:r>
              <w:rPr>
                <w:rFonts w:ascii="Times New Roman" w:hAnsi="Times New Roman"/>
                <w:noProof/>
              </w:rPr>
              <w:t>În SE: Admiterea în barou, care este necesară numai pentru utilizarea titlului suedez „</w:t>
            </w:r>
            <w:r>
              <w:rPr>
                <w:rFonts w:ascii="Times New Roman" w:hAnsi="Times New Roman"/>
                <w:i/>
                <w:noProof/>
              </w:rPr>
              <w:t>advokat</w:t>
            </w:r>
            <w:r>
              <w:rPr>
                <w:rFonts w:ascii="Times New Roman" w:hAnsi="Times New Roman"/>
                <w:noProof/>
              </w:rPr>
              <w:t>”, este condiționată de respectarea cerinței privind rezidența.</w:t>
            </w: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bookmarkStart w:id="4" w:name="_Hlk129694143"/>
            <w:r>
              <w:rPr>
                <w:rFonts w:ascii="Times New Roman" w:hAnsi="Times New Roman"/>
                <w:noProof/>
              </w:rPr>
              <w:lastRenderedPageBreak/>
              <w:t>(b) 1. Servicii de contabilitate și de evidență contabilă</w:t>
            </w:r>
          </w:p>
          <w:p>
            <w:pPr>
              <w:widowControl/>
              <w:suppressAutoHyphens/>
              <w:spacing w:before="60" w:after="60" w:line="240" w:lineRule="auto"/>
              <w:rPr>
                <w:rFonts w:ascii="Times New Roman" w:hAnsi="Times New Roman"/>
                <w:noProof/>
              </w:rPr>
            </w:pPr>
            <w:r>
              <w:rPr>
                <w:rFonts w:ascii="Times New Roman" w:hAnsi="Times New Roman"/>
                <w:noProof/>
              </w:rPr>
              <w:t>(CPC 86212, alte servicii decât serviciile de audit, CPC 86213, CPC 86219 și CPC 86220)</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FR, HU, IT, MT, RO, SI: neconsolidat.</w:t>
            </w:r>
          </w:p>
          <w:p>
            <w:pPr>
              <w:widowControl/>
              <w:suppressAutoHyphens/>
              <w:spacing w:before="60" w:after="60" w:line="240" w:lineRule="auto"/>
              <w:rPr>
                <w:rFonts w:ascii="Times New Roman" w:hAnsi="Times New Roman"/>
                <w:noProof/>
              </w:rPr>
            </w:pPr>
            <w:r>
              <w:rPr>
                <w:rFonts w:ascii="Times New Roman" w:hAnsi="Times New Roman"/>
                <w:noProof/>
              </w:rPr>
              <w:t>În AT: Condiția privind deținerea cetățeniei se aplică pentru reprezentarea în fața autorităților competente.</w:t>
            </w:r>
          </w:p>
          <w:p>
            <w:pPr>
              <w:widowControl/>
              <w:suppressAutoHyphens/>
              <w:spacing w:before="60" w:after="60" w:line="240" w:lineRule="auto"/>
              <w:rPr>
                <w:rFonts w:ascii="Times New Roman" w:hAnsi="Times New Roman"/>
                <w:noProof/>
              </w:rPr>
            </w:pPr>
            <w:r>
              <w:rPr>
                <w:rFonts w:ascii="Times New Roman" w:hAnsi="Times New Roman"/>
                <w:noProof/>
              </w:rPr>
              <w:t>În CY: Accesul este supus testului privind necesitățile economice. Criteriile principale: situația ocupării forței de muncă în subsector.</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bookmarkEnd w:id="4"/>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2. Servicii de audit</w:t>
            </w:r>
          </w:p>
          <w:p>
            <w:pPr>
              <w:pageBreakBefore/>
              <w:widowControl/>
              <w:suppressAutoHyphens/>
              <w:spacing w:before="60" w:after="60" w:line="240" w:lineRule="auto"/>
              <w:rPr>
                <w:rFonts w:ascii="Times New Roman" w:hAnsi="Times New Roman"/>
                <w:noProof/>
              </w:rPr>
            </w:pPr>
            <w:r>
              <w:rPr>
                <w:rFonts w:ascii="Times New Roman" w:hAnsi="Times New Roman"/>
                <w:noProof/>
              </w:rPr>
              <w:t>(CPC 86211 și 86212 altele decât serviciile de contabilitate)</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BE, BG, CY, DE, ES, FI, FR, EL, HU, IE, IT, LU, MT, NL, PT, RO, SI: neconsolidat.</w:t>
            </w:r>
          </w:p>
          <w:p>
            <w:pPr>
              <w:widowControl/>
              <w:suppressAutoHyphens/>
              <w:spacing w:before="60" w:after="60" w:line="240" w:lineRule="auto"/>
              <w:rPr>
                <w:rFonts w:ascii="Times New Roman" w:hAnsi="Times New Roman"/>
                <w:noProof/>
              </w:rPr>
            </w:pPr>
            <w:r>
              <w:rPr>
                <w:rFonts w:ascii="Times New Roman" w:hAnsi="Times New Roman"/>
                <w:noProof/>
              </w:rPr>
              <w:t>În UE: Furnizarea de servicii de audit statutar necesită aprobarea din partea autorităților competente ale unui stat membru care pot recunoaște echivalența calificărilor unui auditor care este cetățean al Indoneziei sau al oricărei țări terțe, sub rezerva reciprocității (CPC 8621).</w:t>
            </w:r>
          </w:p>
          <w:p>
            <w:pPr>
              <w:widowControl/>
              <w:suppressAutoHyphens/>
              <w:spacing w:before="60" w:after="60" w:line="240" w:lineRule="auto"/>
              <w:rPr>
                <w:rFonts w:ascii="Times New Roman" w:hAnsi="Times New Roman"/>
                <w:noProof/>
              </w:rPr>
            </w:pPr>
            <w:r>
              <w:rPr>
                <w:rFonts w:ascii="Times New Roman" w:hAnsi="Times New Roman"/>
                <w:noProof/>
              </w:rPr>
              <w:t>În AT: Condiția privind deținerea cetățeniei se aplică pentru reprezentarea în fața autorităților competente și pentru efectuarea auditurilor prevăzute în anumite legi austriece (de exemplu, legea privind societățile pe acțiuni, legea privind bursa de valori, legea bancară etc.).</w:t>
            </w:r>
          </w:p>
          <w:p>
            <w:pPr>
              <w:suppressAutoHyphens/>
              <w:spacing w:before="60" w:after="60" w:line="240" w:lineRule="auto"/>
              <w:rPr>
                <w:rFonts w:ascii="Times New Roman" w:hAnsi="Times New Roman"/>
                <w:noProof/>
              </w:rPr>
            </w:pPr>
            <w:r>
              <w:rPr>
                <w:rFonts w:ascii="Times New Roman" w:hAnsi="Times New Roman"/>
                <w:noProof/>
              </w:rPr>
              <w:t>În HR: Firmele de audit străine pot furniza servicii de audit pe teritoriul Croației în cazul în care au stabilit o sucursală.</w:t>
            </w:r>
          </w:p>
        </w:tc>
      </w:tr>
      <w:tr>
        <w:tc>
          <w:tcPr>
            <w:tcW w:w="1410" w:type="pct"/>
            <w:tcBorders>
              <w:top w:val="nil"/>
              <w:bottom w:val="single" w:sz="4" w:space="0" w:color="auto"/>
            </w:tcBorders>
          </w:tcPr>
          <w:p>
            <w:pPr>
              <w:pageBreakBefore/>
              <w:suppressAutoHyphens/>
              <w:spacing w:before="60" w:after="60" w:line="240" w:lineRule="auto"/>
              <w:rPr>
                <w:noProof/>
              </w:rPr>
            </w:pPr>
          </w:p>
        </w:tc>
        <w:tc>
          <w:tcPr>
            <w:tcW w:w="3590"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SE: Numai auditorii recunoscuți în Suedia și firmele de audit înregistrate în Suedia pot efectua servicii de audit statutar. Este necesară rezidența în SEE. Titlurile de „auditor recunoscut” și „auditor autorizat” pot fi utilizate numai de către auditorii recunoscuți sau autorizați în Suedia. Auditorii din asociații economice cooperatiste și din câteva alte întreprinderi, care nu sunt contabili certificați sau recunoscuți, trebuie să fie rezidenți în SEE, cu excepția cazului în care administrația publică sau o autoritate guvernamentală desemnată de administrația publică decide altfel într-un caz specific.</w:t>
            </w:r>
          </w:p>
          <w:p>
            <w:pPr>
              <w:widowControl/>
              <w:suppressAutoHyphens/>
              <w:spacing w:before="60" w:after="60" w:line="240" w:lineRule="auto"/>
              <w:rPr>
                <w:rFonts w:ascii="Times New Roman" w:hAnsi="Times New Roman"/>
                <w:noProof/>
              </w:rPr>
            </w:pPr>
            <w:r>
              <w:rPr>
                <w:rFonts w:ascii="Times New Roman" w:hAnsi="Times New Roman"/>
                <w:noProof/>
              </w:rPr>
              <w:t>În LT: Rapoartele auditorilor trebuie elaborate în colaborare cu un auditor acreditat să profeseze în Lituania. Pentru modul 2:</w:t>
            </w:r>
          </w:p>
          <w:p>
            <w:pPr>
              <w:suppressAutoHyphens/>
              <w:spacing w:before="60" w:after="60" w:line="240" w:lineRule="auto"/>
              <w:rPr>
                <w:noProof/>
              </w:rPr>
            </w:pPr>
            <w:r>
              <w:rPr>
                <w:rFonts w:ascii="Times New Roman" w:hAnsi="Times New Roman"/>
                <w:noProof/>
              </w:rPr>
              <w:t>niciuna.</w:t>
            </w: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Servicii de consultanță fiscală</w:t>
            </w:r>
          </w:p>
          <w:p>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rPr>
              <w:footnoteReference w:id="9"/>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Condiția privind deținerea cetățeniei se aplică pentru reprezentarea în fața autorităților competente.</w:t>
            </w:r>
          </w:p>
          <w:p>
            <w:pPr>
              <w:widowControl/>
              <w:suppressAutoHyphens/>
              <w:spacing w:before="60" w:after="60" w:line="240" w:lineRule="auto"/>
              <w:rPr>
                <w:rFonts w:ascii="Times New Roman" w:hAnsi="Times New Roman"/>
                <w:noProof/>
              </w:rPr>
            </w:pPr>
            <w:r>
              <w:rPr>
                <w:rFonts w:ascii="Times New Roman" w:hAnsi="Times New Roman"/>
                <w:noProof/>
              </w:rPr>
              <w:t>În CY: Autorizarea face obiectul unui test privind necesitățile economice. Criteriile principale: situația ocupării forței de muncă în subsector.</w:t>
            </w:r>
          </w:p>
          <w:p>
            <w:pPr>
              <w:widowControl/>
              <w:suppressAutoHyphens/>
              <w:spacing w:before="60" w:after="60" w:line="240" w:lineRule="auto"/>
              <w:rPr>
                <w:rFonts w:ascii="Times New Roman" w:hAnsi="Times New Roman"/>
                <w:noProof/>
              </w:rPr>
            </w:pPr>
            <w:r>
              <w:rPr>
                <w:rFonts w:ascii="Times New Roman" w:hAnsi="Times New Roman"/>
                <w:noProof/>
              </w:rPr>
              <w:t>În BG, MT, RO, SI: neconsolidat.</w:t>
            </w:r>
          </w:p>
          <w:p>
            <w:pPr>
              <w:widowControl/>
              <w:suppressAutoHyphens/>
              <w:spacing w:before="60" w:after="60" w:line="240" w:lineRule="auto"/>
              <w:rPr>
                <w:rFonts w:ascii="Times New Roman" w:hAnsi="Times New Roman"/>
                <w:noProof/>
              </w:rPr>
            </w:pPr>
            <w:r>
              <w:rPr>
                <w:rFonts w:ascii="Times New Roman" w:hAnsi="Times New Roman"/>
                <w:noProof/>
              </w:rPr>
              <w:t>În CZ: Serviciile fiscale pot fi furnizate numai de persoane fizice care sunt înregistrate pe lista Camerei Consultanților Fiscali sau la Camera Auditorilor.</w:t>
            </w:r>
          </w:p>
          <w:p>
            <w:pPr>
              <w:suppressAutoHyphens/>
              <w:spacing w:before="60" w:after="60" w:line="240" w:lineRule="auto"/>
              <w:rPr>
                <w:rFonts w:ascii="Times New Roman" w:hAnsi="Times New Roman"/>
                <w:noProof/>
              </w:rPr>
            </w:pPr>
            <w:r>
              <w:rPr>
                <w:rFonts w:ascii="Times New Roman" w:hAnsi="Times New Roman"/>
                <w:noProof/>
              </w:rPr>
              <w:t>În FR: Este necesară îndeplinirea cerinței privind stabilirea sau rezidența.</w:t>
            </w:r>
          </w:p>
        </w:tc>
      </w:tr>
      <w:tr>
        <w:tc>
          <w:tcPr>
            <w:tcW w:w="1410" w:type="pct"/>
            <w:tcBorders>
              <w:top w:val="nil"/>
            </w:tcBorders>
          </w:tcPr>
          <w:p>
            <w:pPr>
              <w:pageBreakBefore/>
              <w:suppressAutoHyphens/>
              <w:spacing w:before="60" w:after="60" w:line="240" w:lineRule="auto"/>
              <w:rPr>
                <w:noProof/>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HU: Pentru furnizarea de servicii de consultanță fiscală este necesară îndeplinirea cerinței privind rezidența în SEE, în măsura în care aceste servicii sunt furnizate de o persoană fizică prezentă pe teritoriul Ungariei.</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suppressAutoHyphens/>
              <w:spacing w:before="60" w:after="60" w:line="240" w:lineRule="auto"/>
              <w:rPr>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bookmarkStart w:id="5" w:name="_Hlk130281301"/>
            <w:r>
              <w:rPr>
                <w:rFonts w:ascii="Times New Roman" w:hAnsi="Times New Roman"/>
                <w:noProof/>
              </w:rPr>
              <w:t>(d) Servicii de arhitectură</w:t>
            </w:r>
          </w:p>
          <w:p>
            <w:pPr>
              <w:widowControl/>
              <w:suppressAutoHyphens/>
              <w:spacing w:before="60" w:after="60" w:line="240" w:lineRule="auto"/>
              <w:rPr>
                <w:rFonts w:ascii="Times New Roman" w:hAnsi="Times New Roman"/>
                <w:noProof/>
              </w:rPr>
            </w:pPr>
            <w:r>
              <w:rPr>
                <w:rFonts w:ascii="Times New Roman" w:hAnsi="Times New Roman"/>
                <w:noProof/>
              </w:rPr>
              <w:t>și</w:t>
            </w:r>
          </w:p>
          <w:p>
            <w:pPr>
              <w:widowControl/>
              <w:suppressAutoHyphens/>
              <w:spacing w:before="60" w:after="60" w:line="240" w:lineRule="auto"/>
              <w:rPr>
                <w:rFonts w:ascii="Times New Roman" w:hAnsi="Times New Roman"/>
                <w:noProof/>
              </w:rPr>
            </w:pPr>
            <w:r>
              <w:rPr>
                <w:rFonts w:ascii="Times New Roman" w:hAnsi="Times New Roman"/>
                <w:noProof/>
              </w:rPr>
              <w:t>(e) Servicii de urbanism și de arhitectură peisagistică</w:t>
            </w:r>
          </w:p>
          <w:p>
            <w:pPr>
              <w:widowControl/>
              <w:suppressAutoHyphens/>
              <w:spacing w:before="60" w:after="60" w:line="240" w:lineRule="auto"/>
              <w:rPr>
                <w:rFonts w:ascii="Times New Roman" w:hAnsi="Times New Roman"/>
                <w:noProof/>
              </w:rPr>
            </w:pPr>
            <w:r>
              <w:rPr>
                <w:rFonts w:ascii="Times New Roman" w:hAnsi="Times New Roman"/>
                <w:noProof/>
              </w:rPr>
              <w:t>(CPC 8671 și CPC 8674)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neconsolidat, cu excepția serviciilor strict de proiectare.</w:t>
            </w:r>
          </w:p>
          <w:p>
            <w:pPr>
              <w:widowControl/>
              <w:suppressAutoHyphens/>
              <w:spacing w:before="60" w:after="60" w:line="240" w:lineRule="auto"/>
              <w:rPr>
                <w:rFonts w:ascii="Times New Roman" w:hAnsi="Times New Roman"/>
                <w:noProof/>
              </w:rPr>
            </w:pPr>
            <w:r>
              <w:rPr>
                <w:rFonts w:ascii="Times New Roman" w:hAnsi="Times New Roman"/>
                <w:noProof/>
              </w:rPr>
              <w:t>În BE, BG, CY, EL, IT, MT, PL, PT, SI, SK: neconsolidat.</w:t>
            </w:r>
          </w:p>
          <w:p>
            <w:pPr>
              <w:widowControl/>
              <w:suppressAutoHyphens/>
              <w:spacing w:before="60" w:after="60" w:line="240" w:lineRule="auto"/>
              <w:rPr>
                <w:rFonts w:ascii="Times New Roman" w:hAnsi="Times New Roman"/>
                <w:noProof/>
              </w:rPr>
            </w:pPr>
            <w:r>
              <w:rPr>
                <w:rFonts w:ascii="Times New Roman" w:hAnsi="Times New Roman"/>
                <w:noProof/>
              </w:rPr>
              <w:t>În CZ, HU: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În HR: Persoanele fizice și juridice pot furniza servicii de arhitectură sub rezerva autorizării de către Camera Arhitecților din Croația. Un plan sau un proiect elaborat în străinătate trebuie recunoscut (validat) de o persoană fizică sau juridică autorizată din Croația în ceea ce privește conformitatea sa cu legislația croată. Neconsolidat pentru urbanism.</w:t>
            </w:r>
          </w:p>
          <w:p>
            <w:pPr>
              <w:widowControl/>
              <w:suppressAutoHyphens/>
              <w:spacing w:before="60" w:after="60" w:line="240" w:lineRule="auto"/>
              <w:rPr>
                <w:rFonts w:ascii="Times New Roman" w:hAnsi="Times New Roman"/>
                <w:noProof/>
              </w:rPr>
            </w:pPr>
            <w:r>
              <w:rPr>
                <w:rFonts w:ascii="Times New Roman" w:hAnsi="Times New Roman"/>
                <w:noProof/>
              </w:rPr>
              <w:t>În HU, RO: neconsolidat pentru serviciile de arhitectură peisagistică.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 Servicii de inginerie și</w:t>
            </w:r>
          </w:p>
          <w:p>
            <w:pPr>
              <w:widowControl/>
              <w:suppressAutoHyphens/>
              <w:spacing w:before="60" w:after="60" w:line="240" w:lineRule="auto"/>
              <w:rPr>
                <w:rFonts w:ascii="Times New Roman" w:hAnsi="Times New Roman"/>
                <w:noProof/>
              </w:rPr>
            </w:pPr>
            <w:r>
              <w:rPr>
                <w:rFonts w:ascii="Times New Roman" w:hAnsi="Times New Roman"/>
                <w:noProof/>
              </w:rPr>
              <w:t>(g) Servicii integrate de inginerie</w:t>
            </w:r>
          </w:p>
          <w:p>
            <w:pPr>
              <w:widowControl/>
              <w:suppressAutoHyphens/>
              <w:spacing w:before="60" w:after="60" w:line="240" w:lineRule="auto"/>
              <w:rPr>
                <w:rFonts w:ascii="Times New Roman" w:hAnsi="Times New Roman"/>
                <w:noProof/>
              </w:rPr>
            </w:pPr>
            <w:r>
              <w:rPr>
                <w:rFonts w:ascii="Times New Roman" w:hAnsi="Times New Roman"/>
                <w:noProof/>
              </w:rPr>
              <w:t>(CPC 8672 și CPC 8673)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SI: neconsolidat, cu excepția serviciilor strict de proiectare.</w:t>
            </w:r>
          </w:p>
          <w:p>
            <w:pPr>
              <w:widowControl/>
              <w:suppressAutoHyphens/>
              <w:spacing w:before="60" w:after="60" w:line="240" w:lineRule="auto"/>
              <w:rPr>
                <w:rFonts w:ascii="Times New Roman" w:hAnsi="Times New Roman"/>
                <w:noProof/>
              </w:rPr>
            </w:pPr>
            <w:r>
              <w:rPr>
                <w:rFonts w:ascii="Times New Roman" w:hAnsi="Times New Roman"/>
                <w:noProof/>
              </w:rPr>
              <w:t>În BG, CY, EL, IT, MT, PT: neconsolidat.</w:t>
            </w:r>
          </w:p>
          <w:p>
            <w:pPr>
              <w:widowControl/>
              <w:suppressAutoHyphens/>
              <w:spacing w:before="60" w:after="60" w:line="240" w:lineRule="auto"/>
              <w:rPr>
                <w:rFonts w:ascii="Times New Roman" w:hAnsi="Times New Roman"/>
                <w:noProof/>
              </w:rPr>
            </w:pPr>
            <w:r>
              <w:rPr>
                <w:rFonts w:ascii="Times New Roman" w:hAnsi="Times New Roman"/>
                <w:noProof/>
              </w:rPr>
              <w:t>În CZ, HU: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În HR: Persoanele fizice și juridice pot furniza servicii de inginerie sub rezerva autorizării de către Camera Inginerilor din Croația. Un plan sau un proiect elaborat în străinătate trebuie recunoscut (validat) de o persoană fizică sau juridică autorizată din Croația în ceea ce privește conformitatea sa cu legislația croată.</w:t>
            </w:r>
          </w:p>
          <w:p>
            <w:pPr>
              <w:widowControl/>
              <w:suppressAutoHyphens/>
              <w:spacing w:before="60" w:after="60" w:line="240" w:lineRule="auto"/>
              <w:rPr>
                <w:rFonts w:ascii="Times New Roman" w:hAnsi="Times New Roman"/>
                <w:noProof/>
              </w:rPr>
            </w:pPr>
            <w:r>
              <w:rPr>
                <w:rFonts w:ascii="Times New Roman" w:hAnsi="Times New Roman"/>
                <w:noProof/>
              </w:rPr>
              <w:t>În HU: Pentru furnizarea următoarelor servicii este necesară îndeplinirea cerinței privind rezidența în SEE, în măsura în care aceste servicii sunt furnizate de o persoană fizică prezentă pe teritoriul Ungariei: servicii de arhitectură, servicii de inginerie (se aplică doar stagiarilor absolvenți de studii superioare), servicii integrate de inginerie, servicii de arhitectură peisagistică (CPC 8671, 8672, 8673, 8674).</w:t>
            </w:r>
          </w:p>
          <w:p>
            <w:pPr>
              <w:widowControl/>
              <w:suppressAutoHyphens/>
              <w:spacing w:before="60" w:after="60" w:line="240" w:lineRule="auto"/>
              <w:rPr>
                <w:rFonts w:ascii="Times New Roman" w:hAnsi="Times New Roman"/>
                <w:noProof/>
              </w:rPr>
            </w:pPr>
            <w:r>
              <w:rPr>
                <w:rFonts w:ascii="Times New Roman" w:hAnsi="Times New Roman"/>
                <w:noProof/>
              </w:rPr>
              <w:t>În SK: Cerința privind deținerea cetățeniei și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bookmarkEnd w:id="5"/>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(h) Servicii medicale (inclusiv serviciile furnizate de psihologi) și stomatologice</w:t>
            </w:r>
          </w:p>
          <w:p>
            <w:pPr>
              <w:widowControl/>
              <w:suppressAutoHyphens/>
              <w:spacing w:before="60" w:after="60" w:line="240" w:lineRule="auto"/>
              <w:rPr>
                <w:rFonts w:ascii="Times New Roman" w:hAnsi="Times New Roman"/>
                <w:noProof/>
              </w:rPr>
            </w:pPr>
            <w:r>
              <w:rPr>
                <w:rFonts w:ascii="Times New Roman" w:hAnsi="Times New Roman"/>
                <w:noProof/>
              </w:rPr>
              <w:t xml:space="preserve">(CPC 9312 și parte din CPC 85201) </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DE, DK, EE, ES, FI, FR, EL, IE, IT, LU, MT, NL, PT, RO, SK: neconsolidat.</w:t>
            </w:r>
          </w:p>
          <w:p>
            <w:pPr>
              <w:widowControl/>
              <w:suppressAutoHyphens/>
              <w:spacing w:before="60" w:after="60" w:line="240" w:lineRule="auto"/>
              <w:rPr>
                <w:rFonts w:ascii="Times New Roman" w:hAnsi="Times New Roman"/>
                <w:noProof/>
              </w:rPr>
            </w:pPr>
            <w:r>
              <w:rPr>
                <w:rFonts w:ascii="Times New Roman" w:hAnsi="Times New Roman"/>
                <w:noProof/>
              </w:rPr>
              <w:t>În SI: neconsolidat pentru servicii de medicină socială, servicii sanitare, servicii epidemiologice, servicii medicale sau ecologice, furnizarea de sânge, preparate sanguine și transplanturi și autopsii.</w:t>
            </w:r>
          </w:p>
          <w:p>
            <w:pPr>
              <w:widowControl/>
              <w:suppressAutoHyphens/>
              <w:spacing w:before="60" w:after="60" w:line="240" w:lineRule="auto"/>
              <w:rPr>
                <w:rFonts w:ascii="Times New Roman" w:hAnsi="Times New Roman"/>
                <w:noProof/>
              </w:rPr>
            </w:pPr>
            <w:r>
              <w:rPr>
                <w:rFonts w:ascii="Times New Roman" w:hAnsi="Times New Roman"/>
                <w:noProof/>
              </w:rPr>
              <w:t>În HR: neconsolidat, cu excepția telemedicinei.</w:t>
            </w:r>
          </w:p>
          <w:p>
            <w:pPr>
              <w:widowControl/>
              <w:suppressAutoHyphens/>
              <w:spacing w:before="60" w:after="60" w:line="240" w:lineRule="auto"/>
              <w:rPr>
                <w:rFonts w:ascii="Times New Roman" w:hAnsi="Times New Roman"/>
                <w:noProof/>
              </w:rPr>
            </w:pPr>
            <w:r>
              <w:rPr>
                <w:rFonts w:ascii="Times New Roman" w:hAnsi="Times New Roman"/>
                <w:noProof/>
              </w:rPr>
              <w:t>În CZ: Accesul este limitat numai la persoanele fizice.</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Servicii veterinare</w:t>
            </w:r>
          </w:p>
          <w:p>
            <w:pPr>
              <w:widowControl/>
              <w:suppressAutoHyphens/>
              <w:spacing w:before="60" w:after="60" w:line="240" w:lineRule="auto"/>
              <w:rPr>
                <w:rFonts w:ascii="Times New Roman" w:hAnsi="Times New Roman"/>
                <w:noProof/>
              </w:rPr>
            </w:pPr>
            <w:r>
              <w:rPr>
                <w:rFonts w:ascii="Times New Roman" w:hAnsi="Times New Roman"/>
                <w:noProof/>
              </w:rPr>
              <w:t>(CPC 932)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EE, EL, ES, FR, HU, IE, IT, LV, MT, NL, PT, RO, SI,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(j) 1. Servicii furnizate de moașe</w:t>
            </w:r>
          </w:p>
          <w:p>
            <w:pPr>
              <w:pageBreakBefore/>
              <w:widowControl/>
              <w:suppressAutoHyphens/>
              <w:spacing w:before="60" w:after="60" w:line="240" w:lineRule="auto"/>
              <w:rPr>
                <w:rFonts w:ascii="Times New Roman" w:hAnsi="Times New Roman"/>
                <w:noProof/>
              </w:rPr>
            </w:pPr>
            <w:r>
              <w:rPr>
                <w:rFonts w:ascii="Times New Roman" w:hAnsi="Times New Roman"/>
                <w:noProof/>
              </w:rPr>
              <w:t>(parte din CPC 93191)</w:t>
            </w:r>
          </w:p>
          <w:p>
            <w:pPr>
              <w:widowControl/>
              <w:suppressAutoHyphens/>
              <w:spacing w:before="60" w:after="60" w:line="240" w:lineRule="auto"/>
              <w:rPr>
                <w:rFonts w:ascii="Times New Roman" w:hAnsi="Times New Roman"/>
                <w:noProof/>
              </w:rPr>
            </w:pPr>
            <w:r>
              <w:rPr>
                <w:rFonts w:ascii="Times New Roman" w:hAnsi="Times New Roman"/>
                <w:noProof/>
              </w:rPr>
              <w:t>(j) 2. Servicii furnizate de asistenți medicali, fizioterapeuți și personal paramedical</w:t>
            </w:r>
          </w:p>
          <w:p>
            <w:pPr>
              <w:widowControl/>
              <w:suppressAutoHyphens/>
              <w:spacing w:before="60" w:after="60" w:line="240" w:lineRule="auto"/>
              <w:rPr>
                <w:rFonts w:ascii="Times New Roman" w:hAnsi="Times New Roman"/>
                <w:noProof/>
              </w:rPr>
            </w:pPr>
            <w:r>
              <w:rPr>
                <w:rFonts w:ascii="Times New Roman" w:hAnsi="Times New Roman"/>
                <w:noProof/>
              </w:rPr>
              <w:t>(parte din CPC 93191)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EE, ES, FR, EL, HU, IE, IT, LV, LT, LU, MT, NL, PT, RO, SI, SK: neconsolidat.</w:t>
            </w:r>
          </w:p>
          <w:p>
            <w:pPr>
              <w:widowControl/>
              <w:suppressAutoHyphens/>
              <w:spacing w:before="60" w:after="60" w:line="240" w:lineRule="auto"/>
              <w:rPr>
                <w:rFonts w:ascii="Times New Roman" w:hAnsi="Times New Roman"/>
                <w:noProof/>
              </w:rPr>
            </w:pPr>
            <w:r>
              <w:rPr>
                <w:rFonts w:ascii="Times New Roman" w:hAnsi="Times New Roman"/>
                <w:noProof/>
              </w:rPr>
              <w:t>În FI, PL: neconsolidat, cu excepția asistenților medicali.</w:t>
            </w:r>
          </w:p>
          <w:p>
            <w:pPr>
              <w:widowControl/>
              <w:suppressAutoHyphens/>
              <w:spacing w:before="60" w:after="60" w:line="240" w:lineRule="auto"/>
              <w:rPr>
                <w:rFonts w:ascii="Times New Roman" w:hAnsi="Times New Roman"/>
                <w:noProof/>
              </w:rPr>
            </w:pPr>
            <w:r>
              <w:rPr>
                <w:rFonts w:ascii="Times New Roman" w:hAnsi="Times New Roman"/>
                <w:noProof/>
              </w:rPr>
              <w:t>În HR: neconsolidat, cu excepția telemedicinei.</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(k) Vânzarea cu amănuntul de produse farmaceutice și vânzarea cu amănuntul de produse medicale și ortopedice</w:t>
            </w:r>
          </w:p>
          <w:p>
            <w:pPr>
              <w:widowControl/>
              <w:suppressAutoHyphens/>
              <w:spacing w:before="60" w:after="60" w:line="240" w:lineRule="auto"/>
              <w:rPr>
                <w:rFonts w:ascii="Times New Roman" w:hAnsi="Times New Roman"/>
                <w:noProof/>
              </w:rPr>
            </w:pPr>
            <w:r>
              <w:rPr>
                <w:rFonts w:ascii="Times New Roman" w:hAnsi="Times New Roman"/>
                <w:noProof/>
              </w:rPr>
              <w:t>(CPC 63211)</w:t>
            </w:r>
          </w:p>
          <w:p>
            <w:pPr>
              <w:widowControl/>
              <w:suppressAutoHyphens/>
              <w:spacing w:before="60" w:after="60" w:line="240" w:lineRule="auto"/>
              <w:rPr>
                <w:rFonts w:ascii="Times New Roman" w:hAnsi="Times New Roman"/>
                <w:noProof/>
              </w:rPr>
            </w:pPr>
            <w:r>
              <w:rPr>
                <w:rFonts w:ascii="Times New Roman" w:hAnsi="Times New Roman"/>
                <w:noProof/>
              </w:rPr>
              <w:t>și alte servicii furnizate de farmaciști</w:t>
            </w:r>
            <w:r>
              <w:rPr>
                <w:rStyle w:val="FootnoteReference"/>
                <w:rFonts w:ascii="Times New Roman" w:hAnsi="Times New Roman"/>
                <w:b/>
                <w:noProof/>
              </w:rPr>
              <w:footnoteReference w:id="10"/>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FI, FR, EL, IE, IT, LU, MT, NL, PL, PT, RO, SE, SK, SI: neconsolidat.</w:t>
            </w:r>
          </w:p>
          <w:p>
            <w:pPr>
              <w:widowControl/>
              <w:suppressAutoHyphens/>
              <w:spacing w:before="60" w:after="60" w:line="240" w:lineRule="auto"/>
              <w:rPr>
                <w:rFonts w:ascii="Times New Roman" w:hAnsi="Times New Roman"/>
                <w:noProof/>
              </w:rPr>
            </w:pPr>
            <w:r>
              <w:rPr>
                <w:rFonts w:ascii="Times New Roman" w:hAnsi="Times New Roman"/>
                <w:noProof/>
              </w:rPr>
              <w:t>În LV, LT: neconsolidat, cu excepția comenzilor prin corespondență.</w:t>
            </w:r>
          </w:p>
          <w:p>
            <w:pPr>
              <w:widowControl/>
              <w:suppressAutoHyphens/>
              <w:spacing w:before="60" w:after="60" w:line="240" w:lineRule="auto"/>
              <w:rPr>
                <w:rFonts w:ascii="Times New Roman" w:hAnsi="Times New Roman"/>
                <w:noProof/>
              </w:rPr>
            </w:pPr>
            <w:r>
              <w:rPr>
                <w:rFonts w:ascii="Times New Roman" w:hAnsi="Times New Roman"/>
                <w:noProof/>
              </w:rPr>
              <w:t>În HU: neconsolidat, cu excepția CP 63211.</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Servicii informatice și conexe</w:t>
            </w:r>
          </w:p>
          <w:p>
            <w:pPr>
              <w:widowControl/>
              <w:suppressAutoHyphens/>
              <w:spacing w:before="60" w:after="60" w:line="240" w:lineRule="auto"/>
              <w:rPr>
                <w:rFonts w:ascii="Times New Roman" w:hAnsi="Times New Roman"/>
                <w:noProof/>
              </w:rPr>
            </w:pPr>
            <w:r>
              <w:rPr>
                <w:rFonts w:ascii="Times New Roman" w:hAnsi="Times New Roman"/>
                <w:noProof/>
              </w:rPr>
              <w:t>(CPC 84)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 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Servicii de cercetare și dezvoltare (denumite în continuare „C&amp;D”)</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Servicii de C&amp;D în domeniul științelor sociale și umaniste</w:t>
            </w:r>
          </w:p>
          <w:p>
            <w:pPr>
              <w:widowControl/>
              <w:suppressAutoHyphens/>
              <w:spacing w:before="60" w:after="60" w:line="240" w:lineRule="auto"/>
              <w:rPr>
                <w:rFonts w:ascii="Times New Roman" w:hAnsi="Times New Roman"/>
                <w:noProof/>
              </w:rPr>
            </w:pPr>
            <w:r>
              <w:rPr>
                <w:rFonts w:ascii="Times New Roman" w:hAnsi="Times New Roman"/>
                <w:noProof/>
              </w:rPr>
              <w:t>(CPC 852, cu excepția serviciilor furnizate de psihologi</w:t>
            </w:r>
            <w:r>
              <w:rPr>
                <w:rStyle w:val="FootnoteReference"/>
                <w:rFonts w:ascii="Times New Roman" w:hAnsi="Times New Roman"/>
                <w:b/>
                <w:bCs/>
                <w:noProof/>
              </w:rPr>
              <w:footnoteReference w:id="11"/>
            </w:r>
            <w:r>
              <w:rPr>
                <w:rFonts w:ascii="Times New Roman" w:hAnsi="Times New Roman"/>
                <w:noProof/>
              </w:rPr>
              <w:t>)</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C&amp;D în domeniul științelor naturale</w:t>
            </w:r>
          </w:p>
          <w:p>
            <w:pPr>
              <w:widowControl/>
              <w:suppressAutoHyphens/>
              <w:spacing w:before="60" w:after="60" w:line="240" w:lineRule="auto"/>
              <w:rPr>
                <w:rFonts w:ascii="Times New Roman" w:hAnsi="Times New Roman"/>
                <w:noProof/>
              </w:rPr>
            </w:pPr>
            <w:r>
              <w:rPr>
                <w:rFonts w:ascii="Times New Roman" w:hAnsi="Times New Roman"/>
                <w:noProof/>
              </w:rPr>
              <w:t>(CPC 851)</w:t>
            </w:r>
          </w:p>
          <w:p>
            <w:pPr>
              <w:widowControl/>
              <w:suppressAutoHyphens/>
              <w:spacing w:before="60" w:after="60" w:line="240" w:lineRule="auto"/>
              <w:rPr>
                <w:rFonts w:ascii="Times New Roman" w:hAnsi="Times New Roman"/>
                <w:noProof/>
              </w:rPr>
            </w:pPr>
            <w:r>
              <w:rPr>
                <w:rFonts w:ascii="Times New Roman" w:hAnsi="Times New Roman"/>
                <w:noProof/>
              </w:rPr>
              <w:t>Servicii de C&amp;D interdisciplinare</w:t>
            </w:r>
          </w:p>
          <w:p>
            <w:pPr>
              <w:widowControl/>
              <w:suppressAutoHyphens/>
              <w:spacing w:before="60" w:after="60" w:line="240" w:lineRule="auto"/>
              <w:rPr>
                <w:rFonts w:ascii="Times New Roman" w:hAnsi="Times New Roman"/>
                <w:noProof/>
              </w:rPr>
            </w:pPr>
            <w:r>
              <w:rPr>
                <w:rFonts w:ascii="Times New Roman" w:hAnsi="Times New Roman"/>
                <w:noProof/>
              </w:rPr>
              <w:t>(CPC 853)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UE: Pentru serviciile de C&amp;D finanțate public, pot fi acordate drepturi sau autorizații exclusive numai resortisanților statelor membre ale Uniunii și persoanelor juridice din Uniune care își au sediul în Uniune.</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Servicii imobiliare</w:t>
            </w:r>
            <w:r>
              <w:rPr>
                <w:rStyle w:val="FootnoteReference"/>
                <w:rFonts w:ascii="Times New Roman" w:hAnsi="Times New Roman"/>
                <w:b/>
                <w:bCs/>
                <w:noProof/>
              </w:rPr>
              <w:footnoteReference w:id="12"/>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Cu bunuri proprii sau închiriate</w:t>
            </w:r>
          </w:p>
          <w:p>
            <w:pPr>
              <w:widowControl/>
              <w:suppressAutoHyphens/>
              <w:spacing w:before="60" w:after="60" w:line="240" w:lineRule="auto"/>
              <w:rPr>
                <w:rFonts w:ascii="Times New Roman" w:hAnsi="Times New Roman"/>
                <w:noProof/>
              </w:rPr>
            </w:pPr>
            <w:r>
              <w:rPr>
                <w:rFonts w:ascii="Times New Roman" w:hAnsi="Times New Roman"/>
                <w:noProof/>
              </w:rPr>
              <w:t>(CPC 821)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CZ, EE, HU, IE, LV, LT, MT, PL, RO, SK, SI: neconsolidat.</w:t>
            </w:r>
          </w:p>
          <w:p>
            <w:pPr>
              <w:widowControl/>
              <w:suppressAutoHyphens/>
              <w:spacing w:before="60" w:after="60" w:line="240" w:lineRule="auto"/>
              <w:rPr>
                <w:rFonts w:ascii="Times New Roman" w:hAnsi="Times New Roman"/>
                <w:noProof/>
              </w:rPr>
            </w:pPr>
            <w:r>
              <w:rPr>
                <w:rFonts w:ascii="Times New Roman" w:hAnsi="Times New Roman"/>
                <w:noProof/>
              </w:rPr>
              <w:t>În DK: Rezidența în Uniune, SEE sau Elveția. Pot fi aplicabile alte acte legislative privind accesul cetățenilor străini la achiziția sau vânzarea de bunuri imobiliare în Danemarca, de exemplu, cerințe privind rezidența.</w:t>
            </w:r>
          </w:p>
          <w:p>
            <w:pPr>
              <w:widowControl/>
              <w:suppressAutoHyphens/>
              <w:spacing w:before="60" w:after="60" w:line="240" w:lineRule="auto"/>
              <w:rPr>
                <w:rFonts w:ascii="Times New Roman" w:hAnsi="Times New Roman"/>
                <w:noProof/>
              </w:rPr>
            </w:pPr>
            <w:r>
              <w:rPr>
                <w:rFonts w:ascii="Times New Roman" w:hAnsi="Times New Roman"/>
                <w:noProof/>
              </w:rPr>
              <w:t>În HR: Cerința privind prezența comercială.</w:t>
            </w:r>
          </w:p>
          <w:p>
            <w:pPr>
              <w:widowControl/>
              <w:suppressAutoHyphens/>
              <w:spacing w:before="60" w:after="60" w:line="240" w:lineRule="auto"/>
              <w:rPr>
                <w:rFonts w:ascii="Times New Roman" w:hAnsi="Times New Roman"/>
                <w:noProof/>
              </w:rPr>
            </w:pPr>
            <w:r>
              <w:rPr>
                <w:rFonts w:ascii="Times New Roman" w:hAnsi="Times New Roman"/>
                <w:noProof/>
              </w:rPr>
              <w:t>În PT: Pentru persoanele fizice, este necesară îndeplinirea cerinței privind rezidența în SEE. Pentru persoanele juridice, este necesară constituirea ca societate în SEE.</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Pe bază de tarif sau contract</w:t>
            </w:r>
          </w:p>
          <w:p>
            <w:pPr>
              <w:widowControl/>
              <w:suppressAutoHyphens/>
              <w:spacing w:before="60" w:after="60" w:line="240" w:lineRule="auto"/>
              <w:rPr>
                <w:rFonts w:ascii="Times New Roman" w:hAnsi="Times New Roman"/>
                <w:noProof/>
              </w:rPr>
            </w:pPr>
            <w:r>
              <w:rPr>
                <w:rFonts w:ascii="Times New Roman" w:hAnsi="Times New Roman"/>
                <w:noProof/>
              </w:rPr>
              <w:t>(CPC 822)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CZ, EE, HU, IE, LV, LT, MT, PL, RO, SK, SI: neconsolidat.</w:t>
            </w:r>
          </w:p>
          <w:p>
            <w:pPr>
              <w:widowControl/>
              <w:suppressAutoHyphens/>
              <w:spacing w:before="60" w:after="60" w:line="240" w:lineRule="auto"/>
              <w:rPr>
                <w:rFonts w:ascii="Times New Roman" w:hAnsi="Times New Roman"/>
                <w:noProof/>
              </w:rPr>
            </w:pPr>
            <w:r>
              <w:rPr>
                <w:rFonts w:ascii="Times New Roman" w:hAnsi="Times New Roman"/>
                <w:noProof/>
              </w:rPr>
              <w:t>În HR: Cerința privind prezența comercială.</w:t>
            </w:r>
          </w:p>
          <w:p>
            <w:pPr>
              <w:widowControl/>
              <w:suppressAutoHyphens/>
              <w:spacing w:before="60" w:after="60" w:line="240" w:lineRule="auto"/>
              <w:rPr>
                <w:rFonts w:ascii="Times New Roman" w:hAnsi="Times New Roman"/>
                <w:noProof/>
              </w:rPr>
            </w:pPr>
            <w:r>
              <w:rPr>
                <w:rFonts w:ascii="Times New Roman" w:hAnsi="Times New Roman"/>
                <w:noProof/>
              </w:rPr>
              <w:t>În DK: Rezidența în Uniune, SEE sau Elveția. Pot fi aplicabile alte acte legislative privind accesul cetățenilor străini la achiziția sau vânzarea de bunuri imobiliare în Danemarca, de exemplu, cerințe privind rezidența.</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Servicii de închiriere/leasing fără operatori</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Referitoare la nave</w:t>
            </w:r>
          </w:p>
          <w:p>
            <w:pPr>
              <w:widowControl/>
              <w:suppressAutoHyphens/>
              <w:spacing w:before="60" w:after="60" w:line="240" w:lineRule="auto"/>
              <w:rPr>
                <w:rFonts w:ascii="Times New Roman" w:hAnsi="Times New Roman"/>
                <w:noProof/>
              </w:rPr>
            </w:pPr>
            <w:r>
              <w:rPr>
                <w:rFonts w:ascii="Times New Roman" w:hAnsi="Times New Roman"/>
                <w:noProof/>
              </w:rPr>
              <w:t>(CPC 83103)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DE, HU, MT, RO: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Referitoare la aeronave</w:t>
            </w:r>
          </w:p>
          <w:p>
            <w:pPr>
              <w:widowControl/>
              <w:suppressAutoHyphens/>
              <w:spacing w:before="60" w:after="60" w:line="240" w:lineRule="auto"/>
              <w:rPr>
                <w:rFonts w:ascii="Times New Roman" w:hAnsi="Times New Roman"/>
                <w:noProof/>
              </w:rPr>
            </w:pPr>
            <w:r>
              <w:rPr>
                <w:rFonts w:ascii="Times New Roman" w:hAnsi="Times New Roman"/>
                <w:noProof/>
              </w:rPr>
              <w:t>(CPC 83104)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UE: În cazul închirierii sau al leasingului de aeronave fără echipaj (închirierea în sistem „</w:t>
            </w:r>
            <w:r>
              <w:rPr>
                <w:rFonts w:ascii="Times New Roman" w:hAnsi="Times New Roman"/>
                <w:i/>
                <w:iCs/>
                <w:noProof/>
              </w:rPr>
              <w:t>dry lease</w:t>
            </w:r>
            <w:r>
              <w:rPr>
                <w:rFonts w:ascii="Times New Roman" w:hAnsi="Times New Roman"/>
                <w:noProof/>
              </w:rPr>
              <w:t xml:space="preserve">”), aeronavele utilizate de un transportator aerian din Uniunea Europeană fac obiectul cerințelor aplicabile în ceea ce privește înmatricularea aeronavelor. Un contract de închiriere fără echipaj la care este parte un transportator din UE face obiectul cerințelor prevăzute în dreptul UE sau în dreptul național cu privire la siguranța aviației, cum ar fi aprobarea prealabilă și alte condiții aplicabile utilizării aeronavelor înmatriculate în țări terțe. Pentru a fi înmatriculate, poate fi necesar ca aeronavele să fie proprietatea fie a unor persoane fizice care îndeplinesc criterii specifice privind cetățenia, fie a unor întreprinderi care îndeplinesc criterii specifice privind proprietatea asupra capitalului și controlul. </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Referitoare la alte echipamente de transport</w:t>
            </w:r>
          </w:p>
          <w:p>
            <w:pPr>
              <w:widowControl/>
              <w:suppressAutoHyphens/>
              <w:spacing w:before="60" w:after="60" w:line="240" w:lineRule="auto"/>
              <w:rPr>
                <w:rFonts w:ascii="Times New Roman" w:hAnsi="Times New Roman"/>
                <w:noProof/>
              </w:rPr>
            </w:pPr>
            <w:r>
              <w:rPr>
                <w:rFonts w:ascii="Times New Roman" w:hAnsi="Times New Roman"/>
                <w:noProof/>
              </w:rPr>
              <w:t xml:space="preserve">(CPC 83101, CPC 83102 și CPC 83105) </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HU, LV, MT, PL, RO, SI: neconsolidat.</w:t>
            </w:r>
          </w:p>
          <w:p>
            <w:pPr>
              <w:widowControl/>
              <w:suppressAutoHyphens/>
              <w:spacing w:before="60" w:after="60" w:line="240" w:lineRule="auto"/>
              <w:rPr>
                <w:rFonts w:ascii="Times New Roman" w:hAnsi="Times New Roman"/>
                <w:noProof/>
              </w:rPr>
            </w:pPr>
            <w:r>
              <w:rPr>
                <w:rFonts w:ascii="Times New Roman" w:hAnsi="Times New Roman"/>
                <w:noProof/>
              </w:rPr>
              <w:t>În SE: Furnizorii de servicii de închiriere sau de leasing de automobile și de anumite vehicule de teren („</w:t>
            </w:r>
            <w:r>
              <w:rPr>
                <w:rFonts w:ascii="Times New Roman" w:hAnsi="Times New Roman"/>
                <w:i/>
                <w:noProof/>
              </w:rPr>
              <w:t>terrängmotorfordon</w:t>
            </w:r>
            <w:r>
              <w:rPr>
                <w:rFonts w:ascii="Times New Roman" w:hAnsi="Times New Roman"/>
                <w:noProof/>
              </w:rPr>
              <w:t>”) fără șofer, închiriate sau luate în leasing pe o perioadă mai mică de un an, trebuie să aibă rezidența în SE.</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Referitoare la alte mașini și echipamente</w:t>
            </w:r>
          </w:p>
          <w:p>
            <w:pPr>
              <w:widowControl/>
              <w:suppressAutoHyphens/>
              <w:spacing w:before="60" w:after="60" w:line="240" w:lineRule="auto"/>
              <w:rPr>
                <w:rFonts w:ascii="Times New Roman" w:hAnsi="Times New Roman"/>
                <w:noProof/>
              </w:rPr>
            </w:pPr>
            <w:r>
              <w:rPr>
                <w:rFonts w:ascii="Times New Roman" w:hAnsi="Times New Roman"/>
                <w:noProof/>
              </w:rPr>
              <w:t>(CPC 83106, CPC 83107, CPC 83108 și CPC 83109)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CZ, HU, MT, PL, RO,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Referitoare la bunuri de uz personal și casnic</w:t>
            </w:r>
          </w:p>
          <w:p>
            <w:pPr>
              <w:widowControl/>
              <w:suppressAutoHyphens/>
              <w:spacing w:before="60" w:after="60" w:line="240" w:lineRule="auto"/>
              <w:rPr>
                <w:rFonts w:ascii="Times New Roman" w:hAnsi="Times New Roman"/>
                <w:noProof/>
              </w:rPr>
            </w:pPr>
            <w:r>
              <w:rPr>
                <w:rFonts w:ascii="Times New Roman" w:hAnsi="Times New Roman"/>
                <w:noProof/>
              </w:rPr>
              <w:t>(CPC 832)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BE, BG, CY, CZ, DE, DK, EL, ES, FI, FR, HU, IE, IT, LU, MT, NL, PL, PT, RO, SI, SE, SK: neconsolidat.</w:t>
            </w:r>
          </w:p>
          <w:p>
            <w:pPr>
              <w:widowControl/>
              <w:suppressAutoHyphens/>
              <w:spacing w:before="60" w:after="60" w:line="240" w:lineRule="auto"/>
              <w:rPr>
                <w:rFonts w:ascii="Times New Roman" w:hAnsi="Times New Roman"/>
                <w:noProof/>
              </w:rPr>
            </w:pPr>
            <w:r>
              <w:rPr>
                <w:rFonts w:ascii="Times New Roman" w:hAnsi="Times New Roman"/>
                <w:noProof/>
              </w:rPr>
              <w:t>În EE: Neconsolidat, cu excepția serviciilor de închiriere sau leasing privind casetele video preînregistrate pentru a fi utilizate pentru aparatura de divertisment la domiciliu.</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 Închiriere de echipamente de telecomunicații</w:t>
            </w:r>
          </w:p>
          <w:p>
            <w:pPr>
              <w:widowControl/>
              <w:suppressAutoHyphens/>
              <w:spacing w:before="60" w:after="60" w:line="240" w:lineRule="auto"/>
              <w:rPr>
                <w:rFonts w:ascii="Times New Roman" w:hAnsi="Times New Roman"/>
                <w:noProof/>
              </w:rPr>
            </w:pPr>
            <w:r>
              <w:rPr>
                <w:rFonts w:ascii="Times New Roman" w:hAnsi="Times New Roman"/>
                <w:noProof/>
              </w:rPr>
              <w:t>(CPC 7541)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 Alte servicii pentru întreprinderi </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de publicitate</w:t>
            </w:r>
          </w:p>
          <w:p>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Cercetare de piață și sondarea opiniei publice</w:t>
            </w:r>
          </w:p>
          <w:p>
            <w:pPr>
              <w:widowControl/>
              <w:suppressAutoHyphens/>
              <w:spacing w:before="60" w:after="60" w:line="240" w:lineRule="auto"/>
              <w:rPr>
                <w:rFonts w:ascii="Times New Roman" w:hAnsi="Times New Roman"/>
                <w:noProof/>
              </w:rPr>
            </w:pPr>
            <w:r>
              <w:rPr>
                <w:rFonts w:ascii="Times New Roman" w:hAnsi="Times New Roman"/>
                <w:noProof/>
              </w:rPr>
              <w:t>(CPC 864)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(c) Servicii de consultanță în management</w:t>
            </w:r>
          </w:p>
          <w:p>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conexe consultanței în management</w:t>
            </w:r>
          </w:p>
          <w:p>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HU: neconsolidat pentru serviciile de arbitraj și de conciliere (CPC 86602).</w:t>
            </w:r>
          </w:p>
        </w:tc>
      </w:tr>
      <w:tr>
        <w:tc>
          <w:tcPr>
            <w:tcW w:w="1410" w:type="pct"/>
            <w:tcBorders>
              <w:top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(e) Servicii de testări și analize tehnice</w:t>
            </w:r>
          </w:p>
          <w:p>
            <w:pPr>
              <w:widowControl/>
              <w:suppressAutoHyphens/>
              <w:spacing w:before="60" w:after="60" w:line="240" w:lineRule="auto"/>
              <w:rPr>
                <w:rFonts w:ascii="Times New Roman" w:hAnsi="Times New Roman"/>
                <w:noProof/>
              </w:rPr>
            </w:pPr>
            <w:r>
              <w:rPr>
                <w:rFonts w:ascii="Times New Roman" w:hAnsi="Times New Roman"/>
                <w:noProof/>
              </w:rPr>
              <w:t>(CPC 8676)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IT: neconsolidat pentru profesia de biolog și analist chimic.</w:t>
            </w:r>
          </w:p>
          <w:p>
            <w:pPr>
              <w:widowControl/>
              <w:suppressAutoHyphens/>
              <w:spacing w:before="60" w:after="60" w:line="240" w:lineRule="auto"/>
              <w:rPr>
                <w:rFonts w:ascii="Times New Roman" w:hAnsi="Times New Roman"/>
                <w:noProof/>
              </w:rPr>
            </w:pPr>
            <w:r>
              <w:rPr>
                <w:rFonts w:ascii="Times New Roman" w:hAnsi="Times New Roman"/>
                <w:noProof/>
              </w:rPr>
              <w:t>În BG, CY, CZ, MT, PL, RO, SK,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BG, CY, CZ, MT, PL, RO, SK, SE: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 Servicii de consiliere și consultanță conexe agriculturii, vânătorii și silviculturii</w:t>
            </w:r>
          </w:p>
          <w:p>
            <w:pPr>
              <w:widowControl/>
              <w:suppressAutoHyphens/>
              <w:spacing w:before="60" w:after="60" w:line="240" w:lineRule="auto"/>
              <w:rPr>
                <w:rFonts w:ascii="Times New Roman" w:hAnsi="Times New Roman"/>
                <w:noProof/>
              </w:rPr>
            </w:pPr>
            <w:r>
              <w:rPr>
                <w:rFonts w:ascii="Times New Roman" w:hAnsi="Times New Roman"/>
                <w:noProof/>
              </w:rPr>
              <w:t>(parte din CPC 881)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IT: neconsolidat pentru activitățile rezervate pentru agronomi și „</w:t>
            </w:r>
            <w:r>
              <w:rPr>
                <w:rFonts w:ascii="Times New Roman" w:hAnsi="Times New Roman"/>
                <w:i/>
                <w:noProof/>
              </w:rPr>
              <w:t>periti agrari</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EE, MT, RO: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(g) Servicii de consiliere și consultanță privind pescuitul</w:t>
            </w:r>
          </w:p>
          <w:p>
            <w:pPr>
              <w:widowControl/>
              <w:suppressAutoHyphens/>
              <w:spacing w:before="60" w:after="60" w:line="240" w:lineRule="auto"/>
              <w:rPr>
                <w:rFonts w:ascii="Times New Roman" w:hAnsi="Times New Roman"/>
                <w:noProof/>
              </w:rPr>
            </w:pPr>
            <w:r>
              <w:rPr>
                <w:rFonts w:ascii="Times New Roman" w:hAnsi="Times New Roman"/>
                <w:noProof/>
              </w:rPr>
              <w:t>(parte din CPC 882)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LV, MT, RO, SI: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(h) Servicii de consiliere și consultanță conexe industriei prelucrătoare</w:t>
            </w:r>
          </w:p>
          <w:p>
            <w:pPr>
              <w:widowControl/>
              <w:suppressAutoHyphens/>
              <w:spacing w:before="60" w:after="60" w:line="240" w:lineRule="auto"/>
              <w:rPr>
                <w:rFonts w:ascii="Times New Roman" w:hAnsi="Times New Roman"/>
                <w:noProof/>
              </w:rPr>
            </w:pPr>
            <w:r>
              <w:rPr>
                <w:rFonts w:ascii="Times New Roman" w:hAnsi="Times New Roman"/>
                <w:noProof/>
              </w:rPr>
              <w:t>(parte din CPC 884 și parte din CPC 885)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(i) Servicii de plasare și de furnizare a personalului </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1. Servicii de recrutare de personal de conducere</w:t>
            </w:r>
          </w:p>
          <w:p>
            <w:pPr>
              <w:widowControl/>
              <w:suppressAutoHyphens/>
              <w:spacing w:before="60" w:after="60" w:line="240" w:lineRule="auto"/>
              <w:rPr>
                <w:rFonts w:ascii="Times New Roman" w:hAnsi="Times New Roman"/>
                <w:noProof/>
              </w:rPr>
            </w:pPr>
            <w:r>
              <w:rPr>
                <w:rFonts w:ascii="Times New Roman" w:hAnsi="Times New Roman"/>
                <w:noProof/>
              </w:rPr>
              <w:t>(CPC 87201)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BG, CY, CZ, DE, EE, ES, FI, HR, IE, LV, LT, MT, PL, PT, RO, SK, SI,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BG, CY, CZ, EE, FI, HR, LV, LT, MT, PL, RO, SK, SI: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2. Servicii de plasare</w:t>
            </w:r>
          </w:p>
          <w:p>
            <w:pPr>
              <w:widowControl/>
              <w:suppressAutoHyphens/>
              <w:spacing w:before="60" w:after="60" w:line="240" w:lineRule="auto"/>
              <w:rPr>
                <w:rFonts w:ascii="Times New Roman" w:hAnsi="Times New Roman"/>
                <w:noProof/>
              </w:rPr>
            </w:pPr>
            <w:r>
              <w:rPr>
                <w:rFonts w:ascii="Times New Roman" w:hAnsi="Times New Roman"/>
                <w:noProof/>
              </w:rPr>
              <w:t>(CPC 87202)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EE, ES, EL, FI, FR, HR, IE, IT, LU, LV, LT, MT, NL, PL, PT, RO, SI, SE, SK: neconsolidat.</w:t>
            </w:r>
          </w:p>
          <w:p>
            <w:pPr>
              <w:widowControl/>
              <w:suppressAutoHyphens/>
              <w:spacing w:before="60" w:after="60" w:line="240" w:lineRule="auto"/>
              <w:rPr>
                <w:rFonts w:ascii="Times New Roman" w:hAnsi="Times New Roman"/>
                <w:noProof/>
              </w:rPr>
            </w:pPr>
            <w:r>
              <w:rPr>
                <w:rFonts w:ascii="Times New Roman" w:hAnsi="Times New Roman"/>
                <w:noProof/>
              </w:rPr>
              <w:t>În BE: O societate cu sediul central în afara SEE trebuie să demonstreze că furnizează servicii de plasare în țara sa de origine. Se aplică cerințe nediscriminatorii referitoare la forma juridică.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BG, CY, CZ, EE, FI, HR, LV, LT, MT, PL, RO, SI, SK: neconsolidat.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 3. Servicii de furnizare a personalului administrativ auxiliar</w:t>
            </w:r>
          </w:p>
          <w:p>
            <w:pPr>
              <w:widowControl/>
              <w:suppressAutoHyphens/>
              <w:spacing w:before="60" w:after="60" w:line="240" w:lineRule="auto"/>
              <w:rPr>
                <w:rFonts w:ascii="Times New Roman" w:hAnsi="Times New Roman"/>
                <w:noProof/>
              </w:rPr>
            </w:pPr>
            <w:r>
              <w:rPr>
                <w:rFonts w:ascii="Times New Roman" w:hAnsi="Times New Roman"/>
                <w:noProof/>
              </w:rPr>
              <w:t>(CPC 87203)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BG, CY, CZ, DE, EE, FI, FR, HR, IT, IE, LV, LT, MT, NL, PL, PT, RO, SE, SK, SI: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BG, CY, CZ, EE, FI, HR, LV, LT, MT, PL, RO, SK, SI: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(i) 4. Servicii de furnizare a personalului de asistență la domiciliu, a altor lucrători în comerț sau industrie, a personalului de asistență medicală și a altui tip de personal</w:t>
            </w:r>
          </w:p>
          <w:p>
            <w:pPr>
              <w:widowControl/>
              <w:suppressAutoHyphens/>
              <w:spacing w:before="60" w:after="60" w:line="240" w:lineRule="auto"/>
              <w:rPr>
                <w:rFonts w:ascii="Times New Roman" w:hAnsi="Times New Roman"/>
                <w:noProof/>
              </w:rPr>
            </w:pPr>
            <w:r>
              <w:rPr>
                <w:rFonts w:ascii="Times New Roman" w:hAnsi="Times New Roman"/>
                <w:noProof/>
              </w:rPr>
              <w:t>(CPC 87204, 87205, 87206, 87209)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toate statele membre, cu excepția HU: neconsolidat.</w:t>
            </w:r>
          </w:p>
          <w:p>
            <w:pPr>
              <w:widowControl/>
              <w:suppressAutoHyphens/>
              <w:spacing w:before="60" w:after="60" w:line="240" w:lineRule="auto"/>
              <w:rPr>
                <w:rFonts w:ascii="Times New Roman" w:hAnsi="Times New Roman"/>
                <w:noProof/>
              </w:rPr>
            </w:pPr>
            <w:r>
              <w:rPr>
                <w:rFonts w:ascii="Times New Roman" w:hAnsi="Times New Roman"/>
                <w:noProof/>
              </w:rPr>
              <w:t>În HU: 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(j) 1. Servicii de investigație</w:t>
            </w:r>
          </w:p>
          <w:p>
            <w:pPr>
              <w:widowControl/>
              <w:suppressAutoHyphens/>
              <w:spacing w:before="60" w:after="60" w:line="240" w:lineRule="auto"/>
              <w:rPr>
                <w:rFonts w:ascii="Times New Roman" w:hAnsi="Times New Roman"/>
                <w:noProof/>
              </w:rPr>
            </w:pPr>
            <w:r>
              <w:rPr>
                <w:rFonts w:ascii="Times New Roman" w:hAnsi="Times New Roman"/>
                <w:noProof/>
              </w:rPr>
              <w:t>(CPC 87301)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BE, BG, CY, CZ, DE, DK, ES, EE, FI, FR, EL, HR, HU, IE, IT, LV, LT, LU, MT, NL, PL, PT, RO, SK, SI: neconsolidat.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2. Servicii de securitate</w:t>
            </w:r>
          </w:p>
          <w:p>
            <w:pPr>
              <w:widowControl/>
              <w:suppressAutoHyphens/>
              <w:spacing w:before="60" w:after="60" w:line="240" w:lineRule="auto"/>
              <w:rPr>
                <w:rFonts w:ascii="Times New Roman" w:hAnsi="Times New Roman"/>
                <w:noProof/>
              </w:rPr>
            </w:pPr>
            <w:r>
              <w:rPr>
                <w:rFonts w:ascii="Times New Roman" w:hAnsi="Times New Roman"/>
                <w:noProof/>
              </w:rPr>
              <w:t>(CPC 87302, CPC 87303, CPC 87304 și CPC 87305)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HU: neconsolidat pentru CPC 87304, CPC 87305.</w:t>
            </w:r>
          </w:p>
          <w:p>
            <w:pPr>
              <w:widowControl/>
              <w:suppressAutoHyphens/>
              <w:spacing w:before="60" w:after="60" w:line="240" w:lineRule="auto"/>
              <w:rPr>
                <w:rFonts w:ascii="Times New Roman" w:hAnsi="Times New Roman"/>
                <w:noProof/>
              </w:rPr>
            </w:pPr>
            <w:r>
              <w:rPr>
                <w:rFonts w:ascii="Times New Roman" w:hAnsi="Times New Roman"/>
                <w:noProof/>
              </w:rPr>
              <w:t>În BE, BG, CY, CZ, ES, EE, FI, FR, HR, IT, LV, LT, MT, PT, PL, RO, SI, SK: neconsolidat.</w:t>
            </w:r>
          </w:p>
          <w:p>
            <w:pPr>
              <w:widowControl/>
              <w:suppressAutoHyphens/>
              <w:spacing w:before="60" w:after="60" w:line="240" w:lineRule="auto"/>
              <w:rPr>
                <w:rFonts w:ascii="Times New Roman" w:hAnsi="Times New Roman"/>
                <w:noProof/>
              </w:rPr>
            </w:pPr>
            <w:r>
              <w:rPr>
                <w:rFonts w:ascii="Times New Roman" w:hAnsi="Times New Roman"/>
                <w:noProof/>
              </w:rPr>
              <w:t>În DK: cerință privind cetățenia și rezidența pentru membrii Consiliului de administrație. Neconsolidat pentru furnizarea de servicii de pază în aeroporturi.</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HU: neconsolidat pentru CPC 87304, CPC 87305.</w:t>
            </w:r>
          </w:p>
          <w:p>
            <w:pPr>
              <w:widowControl/>
              <w:suppressAutoHyphens/>
              <w:spacing w:before="60" w:after="60" w:line="240" w:lineRule="auto"/>
              <w:rPr>
                <w:rFonts w:ascii="Times New Roman" w:hAnsi="Times New Roman"/>
                <w:noProof/>
              </w:rPr>
            </w:pPr>
            <w:r>
              <w:rPr>
                <w:rFonts w:ascii="Times New Roman" w:hAnsi="Times New Roman"/>
                <w:noProof/>
              </w:rPr>
              <w:t>În BG, CY, CZ, EE, LV, LT, MT, PL, RO, SI, SK: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(k) Servicii conexe de consultanță științifică și tehnică</w:t>
            </w:r>
          </w:p>
          <w:p>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BE, BG, CY, DE, DK, ES, EL, IE, IT, LU, MT, NL, PL, PT, RO, SI: neconsolidat pentru serviciile de explorare.</w:t>
            </w:r>
          </w:p>
          <w:p>
            <w:pPr>
              <w:widowControl/>
              <w:suppressAutoHyphens/>
              <w:spacing w:before="60" w:after="60" w:line="240" w:lineRule="auto"/>
              <w:rPr>
                <w:rFonts w:ascii="Times New Roman" w:hAnsi="Times New Roman"/>
                <w:noProof/>
              </w:rPr>
            </w:pPr>
            <w:r>
              <w:rPr>
                <w:rFonts w:ascii="Times New Roman" w:hAnsi="Times New Roman"/>
                <w:noProof/>
              </w:rPr>
              <w:t>În FR: neconsolidat pentru serviciile de explorare și prospectare.</w:t>
            </w:r>
          </w:p>
          <w:p>
            <w:pPr>
              <w:widowControl/>
              <w:suppressAutoHyphens/>
              <w:spacing w:before="60" w:after="60" w:line="240" w:lineRule="auto"/>
              <w:rPr>
                <w:rFonts w:ascii="Times New Roman" w:hAnsi="Times New Roman"/>
                <w:noProof/>
              </w:rPr>
            </w:pPr>
            <w:r>
              <w:rPr>
                <w:rFonts w:ascii="Times New Roman" w:hAnsi="Times New Roman"/>
                <w:noProof/>
              </w:rPr>
              <w:t>În HR: Serviciile de consultanță de bază în materie de explorare geologică, geodezică și minieră, precum și serviciile de consultanță conexe în materie de protecție a mediului de pe teritoriul Croației pot fi furnizate doar în comun cu persoane juridice croate sau prin intermediul acestora.</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 1. Întreținerea și repararea navelor</w:t>
            </w:r>
          </w:p>
          <w:p>
            <w:pPr>
              <w:widowControl/>
              <w:suppressAutoHyphens/>
              <w:spacing w:before="60" w:after="60" w:line="240" w:lineRule="auto"/>
              <w:rPr>
                <w:rFonts w:ascii="Times New Roman" w:hAnsi="Times New Roman"/>
                <w:noProof/>
              </w:rPr>
            </w:pPr>
            <w:r>
              <w:rPr>
                <w:rFonts w:ascii="Times New Roman" w:hAnsi="Times New Roman"/>
                <w:noProof/>
              </w:rPr>
              <w:t>(parte din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Pentru nave de transport maritim: în BE, BG, CY, DE, DK, ES, FI, FR, HR, EL, IE, IT, LT, LU, MT, NL, PL, PT, RO, SE, SI, SK: neconsolidat.</w:t>
            </w:r>
          </w:p>
          <w:p>
            <w:pPr>
              <w:widowControl/>
              <w:suppressAutoHyphens/>
              <w:spacing w:before="60" w:after="60" w:line="240" w:lineRule="auto"/>
              <w:rPr>
                <w:rFonts w:ascii="Times New Roman" w:hAnsi="Times New Roman"/>
                <w:noProof/>
              </w:rPr>
            </w:pPr>
            <w:r>
              <w:rPr>
                <w:rFonts w:ascii="Times New Roman" w:hAnsi="Times New Roman"/>
                <w:noProof/>
              </w:rPr>
              <w:t>Pentru nave de transport pe căile navigabile interioare: în UE, cu excepția EE, HU, LV: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(l) 2. Întreținerea și repararea echipamentelor de transport feroviar</w:t>
            </w:r>
          </w:p>
          <w:p>
            <w:pPr>
              <w:widowControl/>
              <w:suppressAutoHyphens/>
              <w:spacing w:before="60" w:after="60" w:line="240" w:lineRule="auto"/>
              <w:rPr>
                <w:rFonts w:ascii="Times New Roman" w:hAnsi="Times New Roman"/>
                <w:noProof/>
              </w:rPr>
            </w:pPr>
            <w:r>
              <w:rPr>
                <w:rFonts w:ascii="Times New Roman" w:hAnsi="Times New Roman"/>
                <w:noProof/>
              </w:rPr>
              <w:t>(parte din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DE, CY, CZ, DK, ES, FI, FR, EL, HR, IE, IT, LT, LV, LU, MT, NL, PL, PT, RO, SE, SI,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(l) 3. Întreținerea și repararea autovehiculelor, motocicletelor, snow-mobilelor și a echipamentelor de transport rutier</w:t>
            </w:r>
          </w:p>
          <w:p>
            <w:pPr>
              <w:widowControl/>
              <w:suppressAutoHyphens/>
              <w:spacing w:before="60" w:after="60" w:line="240" w:lineRule="auto"/>
              <w:rPr>
                <w:rFonts w:ascii="Times New Roman" w:hAnsi="Times New Roman"/>
                <w:noProof/>
              </w:rPr>
            </w:pPr>
            <w:r>
              <w:rPr>
                <w:rFonts w:ascii="Times New Roman" w:hAnsi="Times New Roman"/>
                <w:noProof/>
              </w:rPr>
              <w:t>(CPC 6112, CPC 6122, parte din CPC 8867 și parte din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 4. Întreținerea și repararea aeronavelor și a părților acestora</w:t>
            </w:r>
          </w:p>
          <w:p>
            <w:pPr>
              <w:widowControl/>
              <w:suppressAutoHyphens/>
              <w:spacing w:before="60" w:after="60" w:line="240" w:lineRule="auto"/>
              <w:rPr>
                <w:rFonts w:ascii="Times New Roman" w:hAnsi="Times New Roman"/>
                <w:noProof/>
              </w:rPr>
            </w:pPr>
            <w:r>
              <w:rPr>
                <w:rFonts w:ascii="Times New Roman" w:hAnsi="Times New Roman"/>
                <w:noProof/>
              </w:rPr>
              <w:t>(parte din CPC 8868)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BE, BG, CY, CZ, DE, DK, ES, FI, FR, EL, HR, IE, IT, LT, LU, MT, NL, PT, RO, SK, SI,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(l) 5. Servicii de întreținere și reparare a produselor din metal, a mașinilor (altele decât cele de birou), a echipamentelor (altele decât cele de transport și de birou) și a bunurilor de uz personal și casnic</w:t>
            </w:r>
            <w:r>
              <w:rPr>
                <w:rStyle w:val="FootnoteReference"/>
                <w:rFonts w:ascii="Times New Roman" w:hAnsi="Times New Roman"/>
                <w:b/>
                <w:noProof/>
              </w:rPr>
              <w:footnoteReference w:id="13"/>
            </w:r>
          </w:p>
          <w:p>
            <w:pPr>
              <w:widowControl/>
              <w:suppressAutoHyphens/>
              <w:spacing w:before="60" w:after="60" w:line="240" w:lineRule="auto"/>
              <w:rPr>
                <w:rFonts w:ascii="Times New Roman" w:hAnsi="Times New Roman"/>
                <w:noProof/>
                <w:highlight w:val="cyan"/>
              </w:rPr>
            </w:pPr>
            <w:r>
              <w:rPr>
                <w:rFonts w:ascii="Times New Roman" w:hAnsi="Times New Roman"/>
                <w:noProof/>
              </w:rPr>
              <w:t>(CPC 633, CPC 7545, CPC 8861, CPC 8862, CPC 8864, CPC 8865 și CPC 8866)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highlight w:val="cyan"/>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(m) Servicii de curățenie pentru clădiri</w:t>
            </w:r>
          </w:p>
          <w:p>
            <w:pPr>
              <w:widowControl/>
              <w:suppressAutoHyphens/>
              <w:spacing w:before="60" w:after="60" w:line="240" w:lineRule="auto"/>
              <w:rPr>
                <w:rFonts w:ascii="Times New Roman" w:hAnsi="Times New Roman"/>
                <w:noProof/>
              </w:rPr>
            </w:pPr>
            <w:r>
              <w:rPr>
                <w:rFonts w:ascii="Times New Roman" w:hAnsi="Times New Roman"/>
                <w:noProof/>
              </w:rPr>
              <w:t>(CPC 874)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HR, EL, IE, IT, LU, LV, MT, NL, PL, PT, RO, SI, SE,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(n) Servicii de fotografie</w:t>
            </w:r>
          </w:p>
          <w:p>
            <w:pPr>
              <w:widowControl/>
              <w:suppressAutoHyphens/>
              <w:spacing w:before="60" w:after="60" w:line="240" w:lineRule="auto"/>
              <w:rPr>
                <w:rFonts w:ascii="Times New Roman" w:hAnsi="Times New Roman"/>
                <w:noProof/>
              </w:rPr>
            </w:pPr>
            <w:r>
              <w:rPr>
                <w:rFonts w:ascii="Times New Roman" w:hAnsi="Times New Roman"/>
                <w:noProof/>
              </w:rPr>
              <w:t>(CPC 875)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EE, MT, PL: neconsolidat pentru furnizarea de servicii de fotografiere aeriană.</w:t>
            </w:r>
          </w:p>
          <w:p>
            <w:pPr>
              <w:widowControl/>
              <w:suppressAutoHyphens/>
              <w:spacing w:before="60" w:after="60" w:line="240" w:lineRule="auto"/>
              <w:rPr>
                <w:rFonts w:ascii="Times New Roman" w:hAnsi="Times New Roman"/>
                <w:noProof/>
              </w:rPr>
            </w:pPr>
            <w:r>
              <w:rPr>
                <w:rFonts w:ascii="Times New Roman" w:hAnsi="Times New Roman"/>
                <w:noProof/>
              </w:rPr>
              <w:t>În HR, LV: neconsolidat pentru servicii de fotografiere specializată (CPC 87504).</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(o) Servicii de ambalare</w:t>
            </w:r>
          </w:p>
          <w:p>
            <w:pPr>
              <w:widowControl/>
              <w:suppressAutoHyphens/>
              <w:spacing w:before="60" w:after="60" w:line="240" w:lineRule="auto"/>
              <w:rPr>
                <w:rFonts w:ascii="Times New Roman" w:hAnsi="Times New Roman"/>
                <w:noProof/>
              </w:rPr>
            </w:pPr>
            <w:r>
              <w:rPr>
                <w:rFonts w:ascii="Times New Roman" w:hAnsi="Times New Roman"/>
                <w:noProof/>
              </w:rPr>
              <w:t>(CPC 876)</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 Tipărire și editare</w:t>
            </w:r>
          </w:p>
          <w:p>
            <w:pPr>
              <w:pageBreakBefore/>
              <w:widowControl/>
              <w:suppressAutoHyphens/>
              <w:spacing w:before="60" w:after="60" w:line="240" w:lineRule="auto"/>
              <w:rPr>
                <w:rFonts w:ascii="Times New Roman" w:hAnsi="Times New Roman"/>
                <w:noProof/>
              </w:rPr>
            </w:pPr>
            <w:r>
              <w:rPr>
                <w:rFonts w:ascii="Times New Roman" w:hAnsi="Times New Roman"/>
                <w:noProof/>
              </w:rPr>
              <w:t>(CPC 88442)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HR: Se aplică cerința privind rezidența.</w:t>
            </w:r>
          </w:p>
          <w:p>
            <w:pPr>
              <w:widowControl/>
              <w:suppressAutoHyphens/>
              <w:spacing w:before="60" w:after="60" w:line="240" w:lineRule="auto"/>
              <w:rPr>
                <w:rFonts w:ascii="Times New Roman" w:hAnsi="Times New Roman"/>
                <w:noProof/>
                <w:highlight w:val="cyan"/>
              </w:rPr>
            </w:pPr>
            <w:r>
              <w:rPr>
                <w:rFonts w:ascii="Times New Roman" w:hAnsi="Times New Roman"/>
                <w:noProof/>
              </w:rPr>
              <w:t>În SE: Persoanele fizice care dețin publicații periodice tipărite și publicate în Suedia trebuie să aibă rezidența în Suedia sau să fie cetățeni ai unui stat membru al SEE. Proprietarii de astfel de publicații periodice care sunt persoane juridice trebuie să fie stabiliți în SEE. Publicațiile periodice care sunt tipărite și publicate în Suedia, precum și înregistrările tehnice trebuie să aibă un redactor responsabil, care trebuie să aibă domiciliul în Suedia, în conformitate cu Legea privind libertatea presei (1949:105), Legea fundamentală privind libertatea de expresie (1991:1469) și Legea privind ordonanțele referitoare la Legea privind libertatea presei și la Legea fundamentală privind libertatea de expresie (1991:1559).</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(q) Servicii de organizare de congrese</w:t>
            </w:r>
          </w:p>
          <w:p>
            <w:pPr>
              <w:widowControl/>
              <w:suppressAutoHyphens/>
              <w:spacing w:before="60" w:after="60" w:line="240" w:lineRule="auto"/>
              <w:rPr>
                <w:rFonts w:ascii="Times New Roman" w:hAnsi="Times New Roman"/>
                <w:noProof/>
              </w:rPr>
            </w:pPr>
            <w:r>
              <w:rPr>
                <w:rFonts w:ascii="Times New Roman" w:hAnsi="Times New Roman"/>
                <w:noProof/>
              </w:rPr>
              <w:t>(parte din CPC 87909)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1. Servicii de traduceri și interpretariat</w:t>
            </w:r>
          </w:p>
          <w:p>
            <w:pPr>
              <w:widowControl/>
              <w:suppressAutoHyphens/>
              <w:spacing w:before="60" w:after="60" w:line="240" w:lineRule="auto"/>
              <w:rPr>
                <w:rFonts w:ascii="Times New Roman" w:hAnsi="Times New Roman"/>
                <w:noProof/>
              </w:rPr>
            </w:pPr>
            <w:r>
              <w:rPr>
                <w:rFonts w:ascii="Times New Roman" w:hAnsi="Times New Roman"/>
                <w:noProof/>
              </w:rPr>
              <w:t>(CPC 87905)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CY: neconsolidat pentru traducerile oficiale și legalizate efectuate de traducătorii autorizați.</w:t>
            </w:r>
          </w:p>
          <w:p>
            <w:pPr>
              <w:widowControl/>
              <w:suppressAutoHyphens/>
              <w:spacing w:before="60" w:after="60" w:line="240" w:lineRule="auto"/>
              <w:rPr>
                <w:rFonts w:ascii="Times New Roman" w:hAnsi="Times New Roman"/>
                <w:noProof/>
              </w:rPr>
            </w:pPr>
            <w:r>
              <w:rPr>
                <w:rFonts w:ascii="Times New Roman" w:hAnsi="Times New Roman"/>
                <w:noProof/>
              </w:rPr>
              <w:t>În FI: Pentru traducătorii autorizați, este necesară rezidența în SEE.</w:t>
            </w:r>
          </w:p>
          <w:p>
            <w:pPr>
              <w:widowControl/>
              <w:suppressAutoHyphens/>
              <w:spacing w:before="60" w:after="60" w:line="240" w:lineRule="auto"/>
              <w:rPr>
                <w:rFonts w:ascii="Times New Roman" w:hAnsi="Times New Roman"/>
                <w:noProof/>
              </w:rPr>
            </w:pPr>
            <w:r>
              <w:rPr>
                <w:rFonts w:ascii="Times New Roman" w:hAnsi="Times New Roman"/>
                <w:noProof/>
              </w:rPr>
              <w:t>În PL: neconsolidat pentru serviciile interpreților autorizați.</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documente oficiale.</w:t>
            </w:r>
          </w:p>
          <w:p>
            <w:pPr>
              <w:widowControl/>
              <w:suppressAutoHyphens/>
              <w:spacing w:before="60" w:after="60" w:line="240" w:lineRule="auto"/>
              <w:rPr>
                <w:rFonts w:ascii="Times New Roman" w:hAnsi="Times New Roman"/>
                <w:noProof/>
              </w:rPr>
            </w:pPr>
            <w:r>
              <w:rPr>
                <w:rFonts w:ascii="Times New Roman" w:hAnsi="Times New Roman"/>
                <w:noProof/>
              </w:rPr>
              <w:t>În HU, SK: neconsolidat pentru traducerile și interpretariatul oficiale.</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2. Servicii de decorațiuni interioare și de design de specialitate</w:t>
            </w:r>
          </w:p>
          <w:p>
            <w:pPr>
              <w:widowControl/>
              <w:suppressAutoHyphens/>
              <w:spacing w:before="60" w:after="60" w:line="240" w:lineRule="auto"/>
              <w:rPr>
                <w:rFonts w:ascii="Times New Roman" w:hAnsi="Times New Roman"/>
                <w:noProof/>
              </w:rPr>
            </w:pPr>
            <w:r>
              <w:rPr>
                <w:rFonts w:ascii="Times New Roman" w:hAnsi="Times New Roman"/>
                <w:noProof/>
              </w:rPr>
              <w:t>(CPC 87907)</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3. Servicii ale agențiilor de recuperare</w:t>
            </w:r>
          </w:p>
          <w:p>
            <w:pPr>
              <w:widowControl/>
              <w:suppressAutoHyphens/>
              <w:spacing w:before="60" w:after="60" w:line="240" w:lineRule="auto"/>
              <w:rPr>
                <w:rFonts w:ascii="Times New Roman" w:hAnsi="Times New Roman"/>
                <w:noProof/>
              </w:rPr>
            </w:pPr>
            <w:r>
              <w:rPr>
                <w:rFonts w:ascii="Times New Roman" w:hAnsi="Times New Roman"/>
                <w:noProof/>
              </w:rPr>
              <w:t>(CPC 87902)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 xml:space="preserve">În BE, BG, CY, CZ, DE, DK, ES, EE, FI, FR, EL, HR, HU, IE, IT, LT, LU, MT, NL, PL, PT, RO, SK, SI, SE: neconsolidat. </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4. Servicii de raportare a creditului</w:t>
            </w:r>
          </w:p>
          <w:p>
            <w:pPr>
              <w:widowControl/>
              <w:suppressAutoHyphens/>
              <w:spacing w:before="60" w:after="60" w:line="240" w:lineRule="auto"/>
              <w:rPr>
                <w:rFonts w:ascii="Times New Roman" w:hAnsi="Times New Roman"/>
                <w:noProof/>
              </w:rPr>
            </w:pPr>
            <w:r>
              <w:rPr>
                <w:rFonts w:ascii="Times New Roman" w:hAnsi="Times New Roman"/>
                <w:noProof/>
              </w:rPr>
              <w:t>(CPC 87901)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 xml:space="preserve">În BE, BG, CY, CZ, DE, DK, ES, EE, FI, FR, EL, HR, HU, IE, IT, LT, LU, MT, NL, PL, PT, RO, SK, SI, SE: neconsolidat. </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5. Servicii de copiere</w:t>
            </w:r>
          </w:p>
          <w:p>
            <w:pPr>
              <w:widowControl/>
              <w:suppressAutoHyphens/>
              <w:spacing w:before="60" w:after="60" w:line="240" w:lineRule="auto"/>
              <w:rPr>
                <w:rFonts w:ascii="Times New Roman" w:hAnsi="Times New Roman"/>
                <w:noProof/>
              </w:rPr>
            </w:pPr>
            <w:r>
              <w:rPr>
                <w:rFonts w:ascii="Times New Roman" w:hAnsi="Times New Roman"/>
                <w:noProof/>
              </w:rPr>
              <w:t>(CPC 87904)</w:t>
            </w:r>
            <w:r>
              <w:rPr>
                <w:rStyle w:val="FootnoteReference"/>
                <w:rFonts w:ascii="Times New Roman" w:hAnsi="Times New Roman"/>
                <w:b/>
                <w:noProof/>
              </w:rPr>
              <w:footnoteReference w:id="14"/>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HR, HU, IE, IT, LT, LU, MT, NL, PL, PT, RO, SI, SE,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6. Servicii de consultanță în domeniul telecomunicațiilor</w:t>
            </w:r>
          </w:p>
          <w:p>
            <w:pPr>
              <w:widowControl/>
              <w:suppressAutoHyphens/>
              <w:spacing w:before="60" w:after="60" w:line="240" w:lineRule="auto"/>
              <w:rPr>
                <w:rFonts w:ascii="Times New Roman" w:hAnsi="Times New Roman"/>
                <w:noProof/>
              </w:rPr>
            </w:pPr>
            <w:r>
              <w:rPr>
                <w:rFonts w:ascii="Times New Roman" w:hAnsi="Times New Roman"/>
                <w:noProof/>
              </w:rPr>
              <w:t>(CPC 7544)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(r) 7. Servicii de recepționare și transmitere a mesajelor telefonice</w:t>
            </w:r>
          </w:p>
          <w:p>
            <w:pPr>
              <w:widowControl/>
              <w:suppressAutoHyphens/>
              <w:spacing w:before="60" w:after="60" w:line="240" w:lineRule="auto"/>
              <w:rPr>
                <w:rFonts w:ascii="Times New Roman" w:hAnsi="Times New Roman"/>
                <w:noProof/>
              </w:rPr>
            </w:pPr>
            <w:r>
              <w:rPr>
                <w:rFonts w:ascii="Times New Roman" w:hAnsi="Times New Roman"/>
                <w:noProof/>
              </w:rPr>
              <w:t>(CPC 87903)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(s) Vânzări și marketing</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 Sistem informatizat de rezervare</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În UE: În cazul în care furnizorii de servicii SIR care operează în afara Uniunii nu le acordă transportatorilor aerieni din Uniune un tratament echivalent (adică nediscriminatoriu) cu cel acordat în Uniune de către furnizorii de servicii SIR din Uniune transportatorilor aerieni dintr-o țară terță sau în cazul în care transportatorii aerieni din afara Uniunii nu le acordă furnizorilor de servicii SIR din Uniune un tratament echivalent cu cel acordat în Uniune de către transportatorii aerieni furnizorilor de servicii SIR dintr-o țară terță, pot fi adoptate măsuri pentru ca furnizorii de servicii SIR care operează în Uniune să le acorde tratamentul discriminatoriu echivalent transportatorilor aerieni din afara Uniunii sau, respectiv, pentru ca transportatorii aerieni din Uniune să le acorde tratamentul discriminatoriu echivalent furnizorilor de servicii SIR din afara Uniunii.</w:t>
            </w:r>
          </w:p>
        </w:tc>
      </w:tr>
      <w:tr>
        <w:tc>
          <w:tcPr>
            <w:tcW w:w="1410" w:type="pct"/>
          </w:tcPr>
          <w:p>
            <w:pPr>
              <w:pageBreakBefore/>
              <w:widowControl/>
              <w:suppressAutoHyphens/>
              <w:spacing w:before="60" w:after="60" w:line="240" w:lineRule="auto"/>
              <w:rPr>
                <w:rFonts w:ascii="Times New Roman" w:hAnsi="Times New Roman"/>
                <w:noProof/>
              </w:rPr>
            </w:pPr>
            <w:bookmarkStart w:id="6" w:name="_Hlk136967419"/>
            <w:r>
              <w:rPr>
                <w:rFonts w:ascii="Times New Roman" w:hAnsi="Times New Roman"/>
                <w:noProof/>
              </w:rPr>
              <w:lastRenderedPageBreak/>
              <w:t>2. SERVICII DE COMUNICAȚII</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poștale și de curierat</w:t>
            </w:r>
          </w:p>
          <w:p>
            <w:pPr>
              <w:widowControl/>
              <w:suppressAutoHyphens/>
              <w:spacing w:before="60" w:after="60" w:line="240" w:lineRule="auto"/>
              <w:rPr>
                <w:rFonts w:ascii="Times New Roman" w:hAnsi="Times New Roman"/>
                <w:noProof/>
              </w:rPr>
            </w:pPr>
            <w:r>
              <w:rPr>
                <w:rFonts w:ascii="Times New Roman" w:hAnsi="Times New Roman"/>
                <w:noProof/>
              </w:rPr>
              <w:t>(CPC 751 și CPC 71235)</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 xml:space="preserve">În UE: Organizarea plasării cutiilor poștale pe drumurile publice, emisiunea de timbre poștale și serviciul de corespondență recomandată folosit în cadrul procedurilor judiciare sau administrative pot fi restricționate în conformitate cu legislația națională. Se pot institui sisteme de acordare a licențelor pentru serviciile în cazul cărora există obligativitatea serviciului universal. Aceste licențe pot face obiectul unor obligații specifice de serviciu universal sau al unei contribuții financiare la un fond de compensații. </w:t>
            </w:r>
          </w:p>
        </w:tc>
      </w:tr>
      <w:bookmarkEnd w:id="6"/>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Servicii de telecomunicații</w:t>
            </w:r>
          </w:p>
          <w:p>
            <w:pPr>
              <w:widowControl/>
              <w:suppressAutoHyphens/>
              <w:spacing w:before="60" w:after="60" w:line="240" w:lineRule="auto"/>
              <w:rPr>
                <w:rFonts w:ascii="Times New Roman" w:hAnsi="Times New Roman"/>
                <w:noProof/>
              </w:rPr>
            </w:pPr>
            <w:r>
              <w:rPr>
                <w:rFonts w:ascii="Times New Roman" w:hAnsi="Times New Roman"/>
                <w:noProof/>
              </w:rPr>
              <w:t>Aceste servicii nu cuprind activitatea economică ce constă în furnizarea de conținut care necesită servicii de telecomunicații pentru transportul său.</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Toate serviciile care constau în transmiterea și recepția semnalelor prin orice mijloace electromagnetice</w:t>
            </w:r>
            <w:r>
              <w:rPr>
                <w:rStyle w:val="FootnoteReference"/>
                <w:rFonts w:ascii="Times New Roman" w:hAnsi="Times New Roman"/>
                <w:b/>
                <w:noProof/>
              </w:rPr>
              <w:footnoteReference w:id="15"/>
            </w:r>
            <w:r>
              <w:rPr>
                <w:rFonts w:ascii="Times New Roman" w:hAnsi="Times New Roman"/>
                <w:noProof/>
              </w:rPr>
              <w:t>, cu excepția radiodifuziunii</w:t>
            </w:r>
            <w:r>
              <w:rPr>
                <w:rStyle w:val="FootnoteReference"/>
                <w:rFonts w:ascii="Times New Roman" w:hAnsi="Times New Roman"/>
                <w:b/>
                <w:noProof/>
              </w:rPr>
              <w:footnoteReference w:id="16"/>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3. SERVICII DE CONSTRUCȚII ȘI SERVICII DE INGINERIE CONEXE (CPC 511, CPC 512, CPC 513, CPC 514, CPC 515, CPC 516, CPC 517 și CPC 518) </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 cu excepția CY.</w:t>
            </w:r>
          </w:p>
          <w:p>
            <w:pPr>
              <w:widowControl/>
              <w:suppressAutoHyphens/>
              <w:spacing w:before="60" w:after="60" w:line="240" w:lineRule="auto"/>
              <w:rPr>
                <w:rFonts w:ascii="Times New Roman" w:hAnsi="Times New Roman"/>
                <w:noProof/>
              </w:rPr>
            </w:pPr>
            <w:r>
              <w:rPr>
                <w:rFonts w:ascii="Times New Roman" w:hAnsi="Times New Roman"/>
                <w:noProof/>
              </w:rPr>
              <w:t xml:space="preserve">În CY: condiția privind deținerea cetățeniei. </w:t>
            </w: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4. SERVICII DE DISTRIBUȚIE</w:t>
            </w:r>
          </w:p>
          <w:p>
            <w:pPr>
              <w:widowControl/>
              <w:suppressAutoHyphens/>
              <w:spacing w:before="60" w:after="60" w:line="240" w:lineRule="auto"/>
              <w:rPr>
                <w:rFonts w:ascii="Times New Roman" w:hAnsi="Times New Roman"/>
                <w:noProof/>
              </w:rPr>
            </w:pPr>
            <w:r>
              <w:rPr>
                <w:rFonts w:ascii="Times New Roman" w:hAnsi="Times New Roman"/>
                <w:noProof/>
              </w:rPr>
              <w:t>(cu excepția distribuției de arme, muniții, explozivi și a altor materiale de război)</w:t>
            </w:r>
          </w:p>
          <w:p>
            <w:pPr>
              <w:widowControl/>
              <w:suppressAutoHyphens/>
              <w:spacing w:before="60" w:after="60" w:line="240" w:lineRule="auto"/>
              <w:rPr>
                <w:rFonts w:ascii="Times New Roman" w:hAnsi="Times New Roman"/>
                <w:noProof/>
              </w:rPr>
            </w:pPr>
            <w:r>
              <w:rPr>
                <w:rFonts w:ascii="Times New Roman" w:hAnsi="Times New Roman"/>
                <w:noProof/>
              </w:rPr>
              <w:t>A. Servicii ale agenților comisionari</w:t>
            </w:r>
          </w:p>
          <w:p>
            <w:pPr>
              <w:widowControl/>
              <w:suppressAutoHyphens/>
              <w:spacing w:before="60" w:after="60" w:line="240" w:lineRule="auto"/>
              <w:rPr>
                <w:rFonts w:ascii="Times New Roman" w:hAnsi="Times New Roman"/>
                <w:noProof/>
              </w:rPr>
            </w:pPr>
            <w:r>
              <w:rPr>
                <w:rFonts w:ascii="Times New Roman" w:hAnsi="Times New Roman"/>
                <w:noProof/>
              </w:rPr>
              <w:t>(a) Servicii ale agenților comisionari</w:t>
            </w:r>
            <w:bookmarkStart w:id="7" w:name="_Hlk213334261"/>
            <w:bookmarkEnd w:id="7"/>
            <w:r>
              <w:rPr>
                <w:rFonts w:ascii="Times New Roman" w:hAnsi="Times New Roman"/>
                <w:noProof/>
              </w:rPr>
              <w:t xml:space="preserve"> pentru autovehicule, motociclete și snow-mobile și părți și accesorii ale acestora</w:t>
            </w:r>
          </w:p>
          <w:p>
            <w:pPr>
              <w:widowControl/>
              <w:suppressAutoHyphens/>
              <w:spacing w:before="60" w:after="60" w:line="240" w:lineRule="auto"/>
              <w:rPr>
                <w:rFonts w:ascii="Times New Roman" w:hAnsi="Times New Roman"/>
                <w:noProof/>
              </w:rPr>
            </w:pPr>
            <w:r>
              <w:rPr>
                <w:rFonts w:ascii="Times New Roman" w:hAnsi="Times New Roman"/>
                <w:noProof/>
              </w:rPr>
              <w:t>(parte din CPC 61111, parte din CPC 6113 și parte din CPC 6121)</w:t>
            </w:r>
          </w:p>
          <w:p>
            <w:pPr>
              <w:widowControl/>
              <w:suppressAutoHyphens/>
              <w:spacing w:before="60" w:after="60" w:line="240" w:lineRule="auto"/>
              <w:rPr>
                <w:rFonts w:ascii="Times New Roman" w:hAnsi="Times New Roman"/>
                <w:noProof/>
              </w:rPr>
            </w:pPr>
            <w:r>
              <w:rPr>
                <w:rFonts w:ascii="Times New Roman" w:hAnsi="Times New Roman"/>
                <w:noProof/>
              </w:rPr>
              <w:t>(b) Alte servicii ale agenților comisionari</w:t>
            </w:r>
          </w:p>
          <w:p>
            <w:pPr>
              <w:suppressAutoHyphens/>
              <w:spacing w:before="60" w:after="60" w:line="240" w:lineRule="auto"/>
              <w:rPr>
                <w:rFonts w:ascii="Times New Roman" w:hAnsi="Times New Roman"/>
                <w:noProof/>
              </w:rPr>
            </w:pPr>
            <w:r>
              <w:rPr>
                <w:rFonts w:ascii="Times New Roman" w:hAnsi="Times New Roman"/>
                <w:noProof/>
              </w:rPr>
              <w:t>(CPC 621)</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UE, cu excepția AT, SI, FI: neconsolidat pentru distribuția de produse chimice și de metale (și pietre) prețioase.</w:t>
            </w:r>
          </w:p>
          <w:p>
            <w:pPr>
              <w:widowControl/>
              <w:suppressAutoHyphens/>
              <w:spacing w:before="60" w:after="60" w:line="240" w:lineRule="auto"/>
              <w:rPr>
                <w:rFonts w:ascii="Times New Roman" w:hAnsi="Times New Roman"/>
                <w:noProof/>
              </w:rPr>
            </w:pPr>
            <w:r>
              <w:rPr>
                <w:rFonts w:ascii="Times New Roman" w:hAnsi="Times New Roman"/>
                <w:noProof/>
              </w:rPr>
              <w:t>În AT: neconsolidat pentru distribuția produselor pirotehnice, a articolelor inflamabile, a echipamentelor explozibile și a substanțelor toxice.</w:t>
            </w:r>
          </w:p>
          <w:p>
            <w:pPr>
              <w:widowControl/>
              <w:suppressAutoHyphens/>
              <w:spacing w:before="60" w:after="60" w:line="240" w:lineRule="auto"/>
              <w:rPr>
                <w:rFonts w:ascii="Times New Roman" w:hAnsi="Times New Roman"/>
                <w:noProof/>
              </w:rPr>
            </w:pPr>
            <w:r>
              <w:rPr>
                <w:rFonts w:ascii="Times New Roman" w:hAnsi="Times New Roman"/>
                <w:noProof/>
              </w:rPr>
              <w:t>În AT, BG: neconsolidat pentru distribuția de produse de uz medical, precum dispozitivele medicale și chirurgicale, substanțele medicale și obiectele de uz medical.</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produsele din tutun.</w:t>
            </w:r>
          </w:p>
          <w:p>
            <w:pPr>
              <w:widowControl/>
              <w:suppressAutoHyphens/>
              <w:spacing w:before="60" w:after="60" w:line="240" w:lineRule="auto"/>
              <w:rPr>
                <w:rFonts w:ascii="Times New Roman" w:hAnsi="Times New Roman"/>
                <w:noProof/>
              </w:rPr>
            </w:pPr>
            <w:r>
              <w:rPr>
                <w:rFonts w:ascii="Times New Roman" w:hAnsi="Times New Roman"/>
                <w:noProof/>
              </w:rPr>
              <w:t>În LT: Distribuția de materiale pirotehnice este condiționată de obținerea unei licențe. Numai persoanele juridice stabilite în Uniune pot obține o licență.</w:t>
            </w:r>
          </w:p>
          <w:p>
            <w:pPr>
              <w:widowControl/>
              <w:suppressAutoHyphens/>
              <w:spacing w:before="60" w:after="60" w:line="240" w:lineRule="auto"/>
              <w:rPr>
                <w:rFonts w:ascii="Times New Roman" w:hAnsi="Times New Roman"/>
                <w:noProof/>
              </w:rPr>
            </w:pPr>
            <w:r>
              <w:rPr>
                <w:rFonts w:ascii="Times New Roman" w:hAnsi="Times New Roman"/>
                <w:noProof/>
              </w:rPr>
              <w:t>În SE: neconsolidat pentru produsele biocide.</w:t>
            </w:r>
          </w:p>
          <w:p>
            <w:pPr>
              <w:widowControl/>
              <w:suppressAutoHyphens/>
              <w:spacing w:before="60" w:after="60" w:line="240" w:lineRule="auto"/>
              <w:rPr>
                <w:rFonts w:ascii="Times New Roman" w:hAnsi="Times New Roman"/>
                <w:noProof/>
              </w:rPr>
            </w:pPr>
            <w:r>
              <w:rPr>
                <w:rFonts w:ascii="Times New Roman" w:hAnsi="Times New Roman"/>
                <w:noProof/>
              </w:rPr>
              <w:t>În CY: neconsolidat pentru distribuția de băuturi alcoolice și produse din tutun.</w:t>
            </w:r>
          </w:p>
        </w:tc>
      </w:tr>
      <w:tr>
        <w:tc>
          <w:tcPr>
            <w:tcW w:w="1410" w:type="pct"/>
            <w:tcBorders>
              <w:top w:val="nil"/>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comerț angro</w:t>
            </w:r>
          </w:p>
          <w:p>
            <w:pPr>
              <w:widowControl/>
              <w:suppressAutoHyphens/>
              <w:spacing w:before="60" w:after="60" w:line="240" w:lineRule="auto"/>
              <w:rPr>
                <w:rFonts w:ascii="Times New Roman" w:hAnsi="Times New Roman"/>
                <w:noProof/>
              </w:rPr>
            </w:pPr>
            <w:r>
              <w:rPr>
                <w:rFonts w:ascii="Times New Roman" w:hAnsi="Times New Roman"/>
                <w:noProof/>
              </w:rPr>
              <w:t>(a) Servicii de comerț angro de autovehicule, motociclete și snow-mobile și părți și accesorii ale acestora</w:t>
            </w:r>
          </w:p>
          <w:p>
            <w:pPr>
              <w:widowControl/>
              <w:suppressAutoHyphens/>
              <w:spacing w:before="60" w:after="60" w:line="240" w:lineRule="auto"/>
              <w:rPr>
                <w:rFonts w:ascii="Times New Roman" w:hAnsi="Times New Roman"/>
                <w:noProof/>
              </w:rPr>
            </w:pPr>
            <w:r>
              <w:rPr>
                <w:rFonts w:ascii="Times New Roman" w:hAnsi="Times New Roman"/>
                <w:noProof/>
              </w:rPr>
              <w:t>(parte din CPC 61111, parte din CPC 6113 și parte din CPC 6121)</w:t>
            </w:r>
          </w:p>
          <w:p>
            <w:pPr>
              <w:widowControl/>
              <w:suppressAutoHyphens/>
              <w:spacing w:before="60" w:after="60" w:line="240" w:lineRule="auto"/>
              <w:rPr>
                <w:rFonts w:ascii="Times New Roman" w:hAnsi="Times New Roman"/>
                <w:noProof/>
              </w:rPr>
            </w:pPr>
            <w:r>
              <w:rPr>
                <w:rFonts w:ascii="Times New Roman" w:hAnsi="Times New Roman"/>
                <w:noProof/>
              </w:rPr>
              <w:t>(b) Servicii de comerț angro de echipament terminal de telecomunicații</w:t>
            </w:r>
          </w:p>
          <w:p>
            <w:pPr>
              <w:widowControl/>
              <w:suppressAutoHyphens/>
              <w:spacing w:before="60" w:after="60" w:line="240" w:lineRule="auto"/>
              <w:rPr>
                <w:rFonts w:ascii="Times New Roman" w:hAnsi="Times New Roman"/>
                <w:noProof/>
              </w:rPr>
            </w:pPr>
            <w:r>
              <w:rPr>
                <w:rFonts w:ascii="Times New Roman" w:hAnsi="Times New Roman"/>
                <w:noProof/>
              </w:rPr>
              <w:t>(parte din CPC 7542)</w:t>
            </w:r>
          </w:p>
          <w:p>
            <w:pPr>
              <w:widowControl/>
              <w:suppressAutoHyphens/>
              <w:spacing w:before="60" w:after="60" w:line="240" w:lineRule="auto"/>
              <w:rPr>
                <w:rFonts w:ascii="Times New Roman" w:hAnsi="Times New Roman"/>
                <w:noProof/>
              </w:rPr>
            </w:pPr>
            <w:r>
              <w:rPr>
                <w:rFonts w:ascii="Times New Roman" w:hAnsi="Times New Roman"/>
                <w:noProof/>
              </w:rPr>
              <w:t>(c) Alte servicii de comerț angro</w:t>
            </w:r>
          </w:p>
          <w:p>
            <w:pPr>
              <w:widowControl/>
              <w:suppressAutoHyphens/>
              <w:spacing w:before="60" w:after="60" w:line="240" w:lineRule="auto"/>
              <w:rPr>
                <w:rFonts w:ascii="Times New Roman" w:hAnsi="Times New Roman"/>
                <w:noProof/>
              </w:rPr>
            </w:pPr>
            <w:r>
              <w:rPr>
                <w:rFonts w:ascii="Times New Roman" w:hAnsi="Times New Roman"/>
                <w:noProof/>
              </w:rPr>
              <w:t>(CPC 622, cu excepția serviciilor de comerț angro de produse energetice</w:t>
            </w:r>
            <w:r>
              <w:rPr>
                <w:rStyle w:val="FootnoteReference"/>
                <w:rFonts w:ascii="Times New Roman" w:hAnsi="Times New Roman"/>
                <w:b/>
                <w:noProof/>
              </w:rPr>
              <w:footnoteReference w:id="17"/>
            </w:r>
            <w:r>
              <w:rPr>
                <w:rFonts w:ascii="Times New Roman" w:hAnsi="Times New Roman"/>
                <w:noProof/>
              </w:rPr>
              <w:t>)</w:t>
            </w: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BG, FR, PL, RO: neconsolidat pentru distribuția de tutun și produse din tutun.</w:t>
            </w:r>
          </w:p>
          <w:p>
            <w:pPr>
              <w:widowControl/>
              <w:suppressAutoHyphens/>
              <w:spacing w:before="60" w:after="60" w:line="240" w:lineRule="auto"/>
              <w:rPr>
                <w:rFonts w:ascii="Times New Roman" w:hAnsi="Times New Roman"/>
                <w:noProof/>
              </w:rPr>
            </w:pPr>
            <w:r>
              <w:rPr>
                <w:rFonts w:ascii="Times New Roman" w:hAnsi="Times New Roman"/>
                <w:noProof/>
              </w:rPr>
              <w:t>În IT: pentru serviciile de comerț angro, monopol de stat asupra tutunului.</w:t>
            </w:r>
          </w:p>
          <w:p>
            <w:pPr>
              <w:widowControl/>
              <w:suppressAutoHyphens/>
              <w:spacing w:before="60" w:after="60" w:line="240" w:lineRule="auto"/>
              <w:rPr>
                <w:rFonts w:ascii="Times New Roman" w:hAnsi="Times New Roman"/>
                <w:noProof/>
              </w:rPr>
            </w:pPr>
            <w:r>
              <w:rPr>
                <w:rFonts w:ascii="Times New Roman" w:hAnsi="Times New Roman"/>
                <w:noProof/>
              </w:rPr>
              <w:t>În BG, FI, PL, RO: neconsolidat pentru distribuția de băuturi alcoolice.</w:t>
            </w:r>
          </w:p>
          <w:p>
            <w:pPr>
              <w:widowControl/>
              <w:suppressAutoHyphens/>
              <w:spacing w:before="60" w:after="60" w:line="240" w:lineRule="auto"/>
              <w:rPr>
                <w:rFonts w:ascii="Times New Roman" w:hAnsi="Times New Roman"/>
                <w:noProof/>
              </w:rPr>
            </w:pPr>
            <w:r>
              <w:rPr>
                <w:rFonts w:ascii="Times New Roman" w:hAnsi="Times New Roman"/>
                <w:noProof/>
              </w:rPr>
              <w:t>În SE: neconsolidat pentru vânzarea cu amănuntul de băuturi alcoolice.</w:t>
            </w:r>
          </w:p>
          <w:p>
            <w:pPr>
              <w:widowControl/>
              <w:suppressAutoHyphens/>
              <w:spacing w:before="60" w:after="60" w:line="240" w:lineRule="auto"/>
              <w:rPr>
                <w:rFonts w:ascii="Times New Roman" w:hAnsi="Times New Roman"/>
                <w:noProof/>
              </w:rPr>
            </w:pPr>
            <w:r>
              <w:rPr>
                <w:rFonts w:ascii="Times New Roman" w:hAnsi="Times New Roman"/>
                <w:noProof/>
              </w:rPr>
              <w:t>În AT, BG, CZ, FI, RO, SK, SI: neconsolidat pentru distribuția de produse farmaceutice.</w:t>
            </w:r>
          </w:p>
          <w:p>
            <w:pPr>
              <w:widowControl/>
              <w:suppressAutoHyphens/>
              <w:spacing w:before="60" w:after="60" w:line="240" w:lineRule="auto"/>
              <w:rPr>
                <w:rFonts w:ascii="Times New Roman" w:hAnsi="Times New Roman"/>
                <w:noProof/>
              </w:rPr>
            </w:pPr>
            <w:r>
              <w:rPr>
                <w:rFonts w:ascii="Times New Roman" w:hAnsi="Times New Roman"/>
                <w:noProof/>
              </w:rPr>
              <w:t>În BG, HU, PL: neconsolidat pentru serviciile de brokeri de mărfuri.</w:t>
            </w:r>
          </w:p>
          <w:p>
            <w:pPr>
              <w:widowControl/>
              <w:suppressAutoHyphens/>
              <w:spacing w:before="60" w:after="60" w:line="240" w:lineRule="auto"/>
              <w:rPr>
                <w:rFonts w:ascii="Times New Roman" w:hAnsi="Times New Roman"/>
                <w:noProof/>
              </w:rPr>
            </w:pPr>
            <w:r>
              <w:rPr>
                <w:rFonts w:ascii="Times New Roman" w:hAnsi="Times New Roman"/>
                <w:noProof/>
              </w:rPr>
              <w:t>În FR: pentru serviciile agenților comisionari, neconsolidat pentru dealerii și brokerii care își desfășoară activitatea pe 17 piețe de interes național privind produsele alimentare proaspete. Neconsolidat pentru comerțul angro cu produse farmaceutice.</w:t>
            </w:r>
          </w:p>
          <w:p>
            <w:pPr>
              <w:widowControl/>
              <w:suppressAutoHyphens/>
              <w:spacing w:before="60" w:after="60" w:line="240" w:lineRule="auto"/>
              <w:rPr>
                <w:rFonts w:ascii="Times New Roman" w:hAnsi="Times New Roman"/>
                <w:noProof/>
              </w:rPr>
            </w:pPr>
            <w:r>
              <w:rPr>
                <w:rFonts w:ascii="Times New Roman" w:hAnsi="Times New Roman"/>
                <w:noProof/>
              </w:rPr>
              <w:t>În MT: Neconsolidat pentru serviciile agenților comisionari.</w:t>
            </w:r>
          </w:p>
          <w:p>
            <w:pPr>
              <w:widowControl/>
              <w:suppressAutoHyphens/>
              <w:spacing w:before="60" w:after="60" w:line="240" w:lineRule="auto"/>
              <w:rPr>
                <w:rFonts w:ascii="Times New Roman" w:hAnsi="Times New Roman"/>
                <w:noProof/>
              </w:rPr>
            </w:pPr>
            <w:r>
              <w:rPr>
                <w:rFonts w:ascii="Times New Roman" w:hAnsi="Times New Roman"/>
                <w:noProof/>
              </w:rPr>
              <w:t>În BG, CY, DE, DK, ES, FR, EL, IE, IT, LU, MT, NL, PL, PT, SK: neconsolidat pentru serviciile de comerț cu amănuntul, cu excepția comenzilor prin corespondență.</w:t>
            </w:r>
          </w:p>
          <w:p>
            <w:pPr>
              <w:widowControl/>
              <w:suppressAutoHyphens/>
              <w:spacing w:before="60" w:after="60" w:line="240" w:lineRule="auto"/>
              <w:rPr>
                <w:rFonts w:ascii="Times New Roman" w:hAnsi="Times New Roman"/>
                <w:noProof/>
              </w:rPr>
            </w:pPr>
            <w:r>
              <w:rPr>
                <w:rFonts w:ascii="Times New Roman" w:hAnsi="Times New Roman"/>
                <w:noProof/>
              </w:rPr>
              <w:t>În CY: pentru comerțul angro cu produse farmaceutice: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ES: monopol de stat pentru vânzarea cu amănuntul sau furnizarea de tutun.</w:t>
            </w:r>
          </w:p>
          <w:p>
            <w:pPr>
              <w:widowControl/>
              <w:suppressAutoHyphens/>
              <w:spacing w:before="60" w:after="60" w:line="240" w:lineRule="auto"/>
              <w:rPr>
                <w:rFonts w:ascii="Times New Roman" w:hAnsi="Times New Roman"/>
                <w:noProof/>
              </w:rPr>
            </w:pPr>
            <w:r>
              <w:rPr>
                <w:rFonts w:ascii="Times New Roman" w:hAnsi="Times New Roman"/>
                <w:noProof/>
              </w:rPr>
              <w:t>În LT: Distribuția de articole pirotehnice este condiționată de obținerea unei licențe. Numai persoanele juridice stabilite în UE pot obține o licență.</w:t>
            </w:r>
          </w:p>
        </w:tc>
      </w:tr>
      <w:tr>
        <w:tc>
          <w:tcPr>
            <w:tcW w:w="141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Servicii de comerț cu amănuntul</w:t>
            </w:r>
            <w:r>
              <w:rPr>
                <w:rStyle w:val="FootnoteReference"/>
                <w:rFonts w:ascii="Times New Roman" w:hAnsi="Times New Roman"/>
                <w:b/>
                <w:noProof/>
              </w:rPr>
              <w:footnoteReference w:id="18"/>
            </w:r>
          </w:p>
          <w:p>
            <w:pPr>
              <w:widowControl/>
              <w:suppressAutoHyphens/>
              <w:spacing w:before="60" w:after="60" w:line="240" w:lineRule="auto"/>
              <w:rPr>
                <w:rFonts w:ascii="Times New Roman" w:hAnsi="Times New Roman"/>
                <w:noProof/>
              </w:rPr>
            </w:pPr>
            <w:r>
              <w:rPr>
                <w:rFonts w:ascii="Times New Roman" w:hAnsi="Times New Roman"/>
                <w:noProof/>
              </w:rPr>
              <w:t>Servicii de comerț cu amănuntul cu autovehicule, motociclete și snow-mobile și părți și accesorii ale acestora</w:t>
            </w:r>
          </w:p>
          <w:p>
            <w:pPr>
              <w:widowControl/>
              <w:suppressAutoHyphens/>
              <w:spacing w:before="60" w:after="60" w:line="240" w:lineRule="auto"/>
              <w:rPr>
                <w:rFonts w:ascii="Times New Roman" w:hAnsi="Times New Roman"/>
                <w:noProof/>
              </w:rPr>
            </w:pPr>
            <w:r>
              <w:rPr>
                <w:rFonts w:ascii="Times New Roman" w:hAnsi="Times New Roman"/>
                <w:noProof/>
              </w:rPr>
              <w:lastRenderedPageBreak/>
              <w:t>(CPC 61112, parte din CPC 6113 și parte din CPC 6121)</w:t>
            </w:r>
          </w:p>
          <w:p>
            <w:pPr>
              <w:widowControl/>
              <w:suppressAutoHyphens/>
              <w:spacing w:before="60" w:after="60" w:line="240" w:lineRule="auto"/>
              <w:rPr>
                <w:rFonts w:ascii="Times New Roman" w:hAnsi="Times New Roman"/>
                <w:noProof/>
              </w:rPr>
            </w:pPr>
            <w:r>
              <w:rPr>
                <w:rFonts w:ascii="Times New Roman" w:hAnsi="Times New Roman"/>
                <w:noProof/>
              </w:rPr>
              <w:t>Servicii de comerț cu amănuntul cu echipamente terminale de telecomunicații</w:t>
            </w:r>
          </w:p>
          <w:p>
            <w:pPr>
              <w:widowControl/>
              <w:suppressAutoHyphens/>
              <w:spacing w:before="60" w:after="60" w:line="240" w:lineRule="auto"/>
              <w:rPr>
                <w:rFonts w:ascii="Times New Roman" w:hAnsi="Times New Roman"/>
                <w:noProof/>
              </w:rPr>
            </w:pPr>
            <w:r>
              <w:rPr>
                <w:rFonts w:ascii="Times New Roman" w:hAnsi="Times New Roman"/>
                <w:noProof/>
              </w:rPr>
              <w:t>(parte din CPC 7542)</w:t>
            </w:r>
          </w:p>
          <w:p>
            <w:pPr>
              <w:widowControl/>
              <w:suppressAutoHyphens/>
              <w:spacing w:before="60" w:after="60" w:line="240" w:lineRule="auto"/>
              <w:rPr>
                <w:rFonts w:ascii="Times New Roman" w:hAnsi="Times New Roman"/>
                <w:noProof/>
              </w:rPr>
            </w:pPr>
            <w:r>
              <w:rPr>
                <w:rFonts w:ascii="Times New Roman" w:hAnsi="Times New Roman"/>
                <w:noProof/>
              </w:rPr>
              <w:t>Servicii de comerț cu amănuntul cu produse alimentare</w:t>
            </w:r>
          </w:p>
          <w:p>
            <w:pPr>
              <w:suppressAutoHyphens/>
              <w:spacing w:before="60" w:after="60" w:line="240" w:lineRule="auto"/>
              <w:rPr>
                <w:noProof/>
              </w:rPr>
            </w:pPr>
            <w:r>
              <w:rPr>
                <w:rFonts w:ascii="Times New Roman" w:hAnsi="Times New Roman"/>
                <w:noProof/>
              </w:rPr>
              <w:t>(CPC 631)</w:t>
            </w:r>
          </w:p>
        </w:tc>
        <w:tc>
          <w:tcPr>
            <w:tcW w:w="3590" w:type="pct"/>
            <w:tcBorders>
              <w:top w:val="nil"/>
              <w:bottom w:val="nil"/>
            </w:tcBorders>
          </w:tcPr>
          <w:p>
            <w:pPr>
              <w:suppressAutoHyphens/>
              <w:spacing w:before="60" w:after="60" w:line="240" w:lineRule="auto"/>
              <w:rPr>
                <w:noProof/>
              </w:rPr>
            </w:pPr>
          </w:p>
        </w:tc>
      </w:tr>
      <w:tr>
        <w:tc>
          <w:tcPr>
            <w:tcW w:w="1410"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comerț cu amănuntul cu alte produse (altele decât cele energetice), cu excepția comerțului cu amănuntul cu produse farmaceutice, medicale și ortopedice</w:t>
            </w:r>
            <w:r>
              <w:rPr>
                <w:rStyle w:val="FootnoteReference"/>
                <w:rFonts w:ascii="Times New Roman" w:hAnsi="Times New Roman"/>
                <w:b/>
                <w:noProof/>
              </w:rPr>
              <w:footnoteReference w:id="19"/>
            </w:r>
          </w:p>
          <w:p>
            <w:pPr>
              <w:widowControl/>
              <w:suppressAutoHyphens/>
              <w:spacing w:before="60" w:after="60" w:line="240" w:lineRule="auto"/>
              <w:rPr>
                <w:rFonts w:ascii="Times New Roman" w:hAnsi="Times New Roman"/>
                <w:noProof/>
              </w:rPr>
            </w:pPr>
            <w:r>
              <w:rPr>
                <w:rFonts w:ascii="Times New Roman" w:hAnsi="Times New Roman"/>
                <w:noProof/>
              </w:rPr>
              <w:t>(CPC 632, cu excepția CPC 63211 și CPC 63297)</w:t>
            </w:r>
          </w:p>
          <w:p>
            <w:pPr>
              <w:widowControl/>
              <w:suppressAutoHyphens/>
              <w:spacing w:before="60" w:after="60" w:line="240" w:lineRule="auto"/>
              <w:rPr>
                <w:rFonts w:ascii="Times New Roman" w:hAnsi="Times New Roman"/>
                <w:noProof/>
              </w:rPr>
            </w:pPr>
            <w:r>
              <w:rPr>
                <w:rFonts w:ascii="Times New Roman" w:hAnsi="Times New Roman"/>
                <w:noProof/>
              </w:rPr>
              <w:t>D. Franciză</w:t>
            </w:r>
          </w:p>
          <w:p>
            <w:pPr>
              <w:suppressAutoHyphens/>
              <w:spacing w:before="60" w:after="60" w:line="240" w:lineRule="auto"/>
              <w:rPr>
                <w:noProof/>
              </w:rPr>
            </w:pPr>
            <w:r>
              <w:rPr>
                <w:rFonts w:ascii="Times New Roman" w:hAnsi="Times New Roman"/>
                <w:noProof/>
              </w:rPr>
              <w:t>(CPC 8929)</w:t>
            </w:r>
          </w:p>
        </w:tc>
        <w:tc>
          <w:tcPr>
            <w:tcW w:w="3590" w:type="pct"/>
            <w:tcBorders>
              <w:top w:val="nil"/>
            </w:tcBorders>
          </w:tcPr>
          <w:p>
            <w:pPr>
              <w:suppressAutoHyphens/>
              <w:spacing w:before="60" w:after="60" w:line="240" w:lineRule="auto"/>
              <w:rPr>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5. SERVICII DE ÎNVĂȚĂMÂNT (doar serviciile cu finanțare privată) </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de învățământ primar</w:t>
            </w:r>
          </w:p>
          <w:p>
            <w:pPr>
              <w:widowControl/>
              <w:suppressAutoHyphens/>
              <w:spacing w:before="60" w:after="60" w:line="240" w:lineRule="auto"/>
              <w:rPr>
                <w:rFonts w:ascii="Times New Roman" w:hAnsi="Times New Roman"/>
                <w:noProof/>
              </w:rPr>
            </w:pPr>
            <w:r>
              <w:rPr>
                <w:rFonts w:ascii="Times New Roman" w:hAnsi="Times New Roman"/>
                <w:noProof/>
              </w:rPr>
              <w:t>(CPC 921)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FI, FR, HR, IT, MT, RO, SE, SI: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CY, FI, HR, MT, RO, SE, SI: neconsolidat.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învățământ secundar</w:t>
            </w:r>
          </w:p>
          <w:p>
            <w:pPr>
              <w:widowControl/>
              <w:suppressAutoHyphens/>
              <w:spacing w:before="60" w:after="60" w:line="240" w:lineRule="auto"/>
              <w:rPr>
                <w:rFonts w:ascii="Times New Roman" w:hAnsi="Times New Roman"/>
                <w:noProof/>
              </w:rPr>
            </w:pPr>
            <w:r>
              <w:rPr>
                <w:rFonts w:ascii="Times New Roman" w:hAnsi="Times New Roman"/>
                <w:noProof/>
              </w:rPr>
              <w:t>(CPC 922)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FI, FR, HR, IT, MT, RO,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CY, FI, MT, RO,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LV: neconsolidat pentru serviciile educaționale legate de serviciile de învățământ de tipul școlilor postliceale tehnice și profesionale pentru elevii cu handicap (CPC 9224).</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Servicii de învățământ superior</w:t>
            </w:r>
          </w:p>
          <w:p>
            <w:pPr>
              <w:widowControl/>
              <w:suppressAutoHyphens/>
              <w:spacing w:before="60" w:after="60" w:line="240" w:lineRule="auto"/>
              <w:rPr>
                <w:rFonts w:ascii="Times New Roman" w:hAnsi="Times New Roman"/>
                <w:noProof/>
              </w:rPr>
            </w:pPr>
            <w:r>
              <w:rPr>
                <w:rFonts w:ascii="Times New Roman" w:hAnsi="Times New Roman"/>
                <w:noProof/>
              </w:rPr>
              <w:t>(CPC 923)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BG, CY, FI, MT, RO, SE: neconsolidat.</w:t>
            </w:r>
          </w:p>
          <w:p>
            <w:pPr>
              <w:widowControl/>
              <w:suppressAutoHyphens/>
              <w:spacing w:before="60" w:after="60" w:line="240" w:lineRule="auto"/>
              <w:rPr>
                <w:rFonts w:ascii="Times New Roman" w:hAnsi="Times New Roman"/>
                <w:noProof/>
              </w:rPr>
            </w:pPr>
            <w:r>
              <w:rPr>
                <w:rFonts w:ascii="Times New Roman" w:hAnsi="Times New Roman"/>
                <w:noProof/>
              </w:rPr>
              <w:t>În FR: Se aplică condiția privind deținerea cetățeniei. Cu toate acestea, resortisanții Indoneziei pot obține o autorizație din partea autorităților competente pentru a înființa și conduce o instituție de învățământ și pentru a preda. O astfel de autorizație se acordă în mod discreționar.</w:t>
            </w:r>
          </w:p>
          <w:p>
            <w:pPr>
              <w:widowControl/>
              <w:suppressAutoHyphens/>
              <w:spacing w:before="60" w:after="60" w:line="240" w:lineRule="auto"/>
              <w:rPr>
                <w:rFonts w:ascii="Times New Roman" w:hAnsi="Times New Roman"/>
                <w:noProof/>
              </w:rPr>
            </w:pPr>
            <w:r>
              <w:rPr>
                <w:rFonts w:ascii="Times New Roman" w:hAnsi="Times New Roman"/>
                <w:noProof/>
              </w:rPr>
              <w:t>În IT: Se aplică condiția privind deținerea cetățeniei pentru ca furnizorii de servicii să fie autorizați să emită diplome recunoscute de stat.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BG, CY, FI, MT, RO,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CZ, SK: neconsolidat pentru serviciile de învățământ superior, cu excepția serviciilor de învățământ postliceal tehnic și profesional (CPC 92310).</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de învățământ pentru adulți</w:t>
            </w:r>
          </w:p>
          <w:p>
            <w:pPr>
              <w:widowControl/>
              <w:suppressAutoHyphens/>
              <w:spacing w:before="60" w:after="60" w:line="240" w:lineRule="auto"/>
              <w:rPr>
                <w:rFonts w:ascii="Times New Roman" w:hAnsi="Times New Roman"/>
                <w:noProof/>
              </w:rPr>
            </w:pPr>
            <w:r>
              <w:rPr>
                <w:rFonts w:ascii="Times New Roman" w:hAnsi="Times New Roman"/>
                <w:noProof/>
              </w:rPr>
              <w:t>(CPC 924)</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CY, FI, MT, RO,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neconsolidat pentru serviciile de învățământ pentru adulți furnizate prin intermediul emisiunilor de radio sau de televiziune.</w:t>
            </w: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E. Alte servicii de învățământ</w:t>
            </w:r>
          </w:p>
          <w:p>
            <w:pPr>
              <w:widowControl/>
              <w:suppressAutoHyphens/>
              <w:spacing w:before="60" w:after="60" w:line="240" w:lineRule="auto"/>
              <w:rPr>
                <w:rFonts w:ascii="Times New Roman" w:hAnsi="Times New Roman"/>
                <w:noProof/>
              </w:rPr>
            </w:pPr>
            <w:r>
              <w:rPr>
                <w:rFonts w:ascii="Times New Roman" w:hAnsi="Times New Roman"/>
                <w:noProof/>
              </w:rPr>
              <w:t>(CPC 929)</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AT, BE, BG, CY, DE, DK, ES, EE, FI, FR, EL, HU, IE, IT, LV, LT, LU, MT, NL, PL, PT, RO, SI,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HR: Nu sunt prevăzute pentru învățământul prin corespondență sau învățământul prin intermediul mijloacelor de telecomunicații.</w:t>
            </w:r>
          </w:p>
        </w:tc>
      </w:tr>
      <w:tr>
        <w:tc>
          <w:tcPr>
            <w:tcW w:w="1410"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6. SERVICII DE MEDIU</w:t>
            </w:r>
          </w:p>
          <w:p>
            <w:pPr>
              <w:widowControl/>
              <w:suppressAutoHyphens/>
              <w:spacing w:before="60" w:after="60" w:line="240" w:lineRule="auto"/>
              <w:rPr>
                <w:rFonts w:ascii="Times New Roman" w:hAnsi="Times New Roman"/>
                <w:noProof/>
              </w:rPr>
            </w:pPr>
            <w:r>
              <w:rPr>
                <w:rFonts w:ascii="Times New Roman" w:hAnsi="Times New Roman"/>
                <w:noProof/>
              </w:rPr>
              <w:t>A. Servicii legate de apele uzate</w:t>
            </w:r>
          </w:p>
          <w:p>
            <w:pPr>
              <w:widowControl/>
              <w:suppressAutoHyphens/>
              <w:spacing w:before="60" w:after="60" w:line="240" w:lineRule="auto"/>
              <w:rPr>
                <w:rFonts w:ascii="Times New Roman" w:hAnsi="Times New Roman"/>
                <w:noProof/>
              </w:rPr>
            </w:pPr>
            <w:r>
              <w:rPr>
                <w:rFonts w:ascii="Times New Roman" w:hAnsi="Times New Roman"/>
                <w:noProof/>
              </w:rPr>
              <w:t>(CPC 9401)</w:t>
            </w:r>
            <w:r>
              <w:rPr>
                <w:rStyle w:val="FootnoteReference"/>
                <w:rFonts w:ascii="Times New Roman" w:hAnsi="Times New Roman"/>
                <w:b/>
                <w:noProof/>
              </w:rPr>
              <w:footnoteReference w:id="20"/>
            </w:r>
          </w:p>
          <w:p>
            <w:pPr>
              <w:widowControl/>
              <w:suppressAutoHyphens/>
              <w:spacing w:before="60" w:after="60" w:line="240" w:lineRule="auto"/>
              <w:rPr>
                <w:rFonts w:ascii="Times New Roman" w:hAnsi="Times New Roman"/>
                <w:noProof/>
              </w:rPr>
            </w:pPr>
            <w:r>
              <w:rPr>
                <w:rFonts w:ascii="Times New Roman" w:hAnsi="Times New Roman"/>
                <w:noProof/>
              </w:rPr>
              <w:t>B. Gestionarea deșeurilor solide/periculoase, cu excepția transportului transfrontalier de deșeuri periculoase</w:t>
            </w:r>
          </w:p>
          <w:p>
            <w:pPr>
              <w:widowControl/>
              <w:suppressAutoHyphens/>
              <w:spacing w:before="60" w:after="60" w:line="240" w:lineRule="auto"/>
              <w:rPr>
                <w:rFonts w:ascii="Times New Roman" w:hAnsi="Times New Roman"/>
                <w:noProof/>
              </w:rPr>
            </w:pPr>
            <w:r>
              <w:rPr>
                <w:rFonts w:ascii="Times New Roman" w:hAnsi="Times New Roman"/>
                <w:noProof/>
              </w:rPr>
              <w:t>(a) Servicii de eliminare a deșeurilor menajere</w:t>
            </w:r>
          </w:p>
          <w:p>
            <w:pPr>
              <w:widowControl/>
              <w:suppressAutoHyphens/>
              <w:spacing w:before="60" w:after="60" w:line="240" w:lineRule="auto"/>
              <w:rPr>
                <w:rFonts w:ascii="Times New Roman" w:hAnsi="Times New Roman"/>
                <w:noProof/>
              </w:rPr>
            </w:pPr>
            <w:r>
              <w:rPr>
                <w:rFonts w:ascii="Times New Roman" w:hAnsi="Times New Roman"/>
                <w:noProof/>
              </w:rPr>
              <w:t>(CPC 9402)</w:t>
            </w:r>
          </w:p>
          <w:p>
            <w:pPr>
              <w:widowControl/>
              <w:suppressAutoHyphens/>
              <w:spacing w:before="60" w:after="60" w:line="240" w:lineRule="auto"/>
              <w:rPr>
                <w:rFonts w:ascii="Times New Roman" w:hAnsi="Times New Roman"/>
                <w:noProof/>
              </w:rPr>
            </w:pPr>
            <w:r>
              <w:rPr>
                <w:rFonts w:ascii="Times New Roman" w:hAnsi="Times New Roman"/>
                <w:noProof/>
              </w:rPr>
              <w:t>(b) Servicii de salubritate și servicii similare</w:t>
            </w:r>
          </w:p>
          <w:p>
            <w:pPr>
              <w:widowControl/>
              <w:suppressAutoHyphens/>
              <w:spacing w:before="60" w:after="60" w:line="240" w:lineRule="auto"/>
              <w:rPr>
                <w:rFonts w:ascii="Times New Roman" w:hAnsi="Times New Roman"/>
                <w:noProof/>
              </w:rPr>
            </w:pPr>
            <w:r>
              <w:rPr>
                <w:rFonts w:ascii="Times New Roman" w:hAnsi="Times New Roman"/>
                <w:noProof/>
              </w:rPr>
              <w:t>(CPC 9403)</w:t>
            </w:r>
          </w:p>
          <w:p>
            <w:pPr>
              <w:widowControl/>
              <w:suppressAutoHyphens/>
              <w:spacing w:before="60" w:after="60" w:line="240" w:lineRule="auto"/>
              <w:rPr>
                <w:rFonts w:ascii="Times New Roman" w:hAnsi="Times New Roman"/>
                <w:noProof/>
              </w:rPr>
            </w:pPr>
            <w:r>
              <w:rPr>
                <w:rFonts w:ascii="Times New Roman" w:hAnsi="Times New Roman"/>
                <w:noProof/>
              </w:rPr>
              <w:t>C. Protecția aerului atmosferic și a climei</w:t>
            </w:r>
          </w:p>
          <w:p>
            <w:pPr>
              <w:suppressAutoHyphens/>
              <w:spacing w:before="60" w:after="60" w:line="240" w:lineRule="auto"/>
              <w:rPr>
                <w:rFonts w:ascii="Times New Roman" w:hAnsi="Times New Roman"/>
                <w:noProof/>
              </w:rPr>
            </w:pPr>
            <w:r>
              <w:rPr>
                <w:rFonts w:ascii="Times New Roman" w:hAnsi="Times New Roman"/>
                <w:noProof/>
              </w:rPr>
              <w:t>(CPC 9404)</w:t>
            </w:r>
            <w:r>
              <w:rPr>
                <w:rStyle w:val="FootnoteReference"/>
                <w:rFonts w:ascii="Times New Roman" w:hAnsi="Times New Roman"/>
                <w:b/>
                <w:noProof/>
              </w:rPr>
              <w:footnoteReference w:id="21"/>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cu excepția serviciilor de consultanță.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Remedierea și curățarea solului și a apelor</w:t>
            </w:r>
          </w:p>
          <w:p>
            <w:pPr>
              <w:widowControl/>
              <w:suppressAutoHyphens/>
              <w:spacing w:before="60" w:after="60" w:line="240" w:lineRule="auto"/>
              <w:rPr>
                <w:rFonts w:ascii="Times New Roman" w:hAnsi="Times New Roman"/>
                <w:noProof/>
              </w:rPr>
            </w:pPr>
            <w:r>
              <w:rPr>
                <w:rFonts w:ascii="Times New Roman" w:hAnsi="Times New Roman"/>
                <w:noProof/>
              </w:rPr>
              <w:t>(a) Tratarea și remedierea solului și a apelor contaminate/poluate</w:t>
            </w:r>
          </w:p>
          <w:p>
            <w:pPr>
              <w:widowControl/>
              <w:suppressAutoHyphens/>
              <w:spacing w:before="60" w:after="60" w:line="240" w:lineRule="auto"/>
              <w:rPr>
                <w:rFonts w:ascii="Times New Roman" w:hAnsi="Times New Roman"/>
                <w:noProof/>
              </w:rPr>
            </w:pPr>
            <w:r>
              <w:rPr>
                <w:rFonts w:ascii="Times New Roman" w:hAnsi="Times New Roman"/>
                <w:noProof/>
              </w:rPr>
              <w:t>(parte din CPC 94060)</w:t>
            </w:r>
            <w:r>
              <w:rPr>
                <w:rStyle w:val="FootnoteReference"/>
                <w:rFonts w:ascii="Times New Roman" w:hAnsi="Times New Roman"/>
                <w:b/>
                <w:noProof/>
              </w:rPr>
              <w:footnoteReference w:id="22"/>
            </w:r>
          </w:p>
          <w:p>
            <w:pPr>
              <w:widowControl/>
              <w:suppressAutoHyphens/>
              <w:spacing w:before="60" w:after="60" w:line="240" w:lineRule="auto"/>
              <w:rPr>
                <w:rFonts w:ascii="Times New Roman" w:hAnsi="Times New Roman"/>
                <w:noProof/>
              </w:rPr>
            </w:pPr>
            <w:r>
              <w:rPr>
                <w:rFonts w:ascii="Times New Roman" w:hAnsi="Times New Roman"/>
                <w:noProof/>
              </w:rPr>
              <w:t>E. Atenuarea zgomotelor și a vibrațiilor</w:t>
            </w:r>
          </w:p>
          <w:p>
            <w:pPr>
              <w:widowControl/>
              <w:suppressAutoHyphens/>
              <w:spacing w:before="60" w:after="60" w:line="240" w:lineRule="auto"/>
              <w:rPr>
                <w:rFonts w:ascii="Times New Roman" w:hAnsi="Times New Roman"/>
                <w:noProof/>
              </w:rPr>
            </w:pPr>
            <w:r>
              <w:rPr>
                <w:rFonts w:ascii="Times New Roman" w:hAnsi="Times New Roman"/>
                <w:noProof/>
              </w:rPr>
              <w:t>(CPC 9405)</w:t>
            </w:r>
          </w:p>
          <w:p>
            <w:pPr>
              <w:widowControl/>
              <w:suppressAutoHyphens/>
              <w:spacing w:before="60" w:after="60" w:line="240" w:lineRule="auto"/>
              <w:rPr>
                <w:rFonts w:ascii="Times New Roman" w:hAnsi="Times New Roman"/>
                <w:noProof/>
              </w:rPr>
            </w:pPr>
            <w:r>
              <w:rPr>
                <w:rFonts w:ascii="Times New Roman" w:hAnsi="Times New Roman"/>
                <w:noProof/>
              </w:rPr>
              <w:t>F. Protecția biodiversității și a peisajelor</w:t>
            </w:r>
          </w:p>
          <w:p>
            <w:pPr>
              <w:widowControl/>
              <w:suppressAutoHyphens/>
              <w:spacing w:before="60" w:after="60" w:line="240" w:lineRule="auto"/>
              <w:rPr>
                <w:rFonts w:ascii="Times New Roman" w:hAnsi="Times New Roman"/>
                <w:noProof/>
              </w:rPr>
            </w:pPr>
            <w:r>
              <w:rPr>
                <w:rFonts w:ascii="Times New Roman" w:hAnsi="Times New Roman"/>
                <w:noProof/>
              </w:rPr>
              <w:t>(a) Servicii de protecție a naturii și a peisajelor</w:t>
            </w:r>
          </w:p>
          <w:p>
            <w:pPr>
              <w:widowControl/>
              <w:suppressAutoHyphens/>
              <w:spacing w:before="60" w:after="60" w:line="240" w:lineRule="auto"/>
              <w:rPr>
                <w:rFonts w:ascii="Times New Roman" w:hAnsi="Times New Roman"/>
                <w:noProof/>
              </w:rPr>
            </w:pPr>
            <w:r>
              <w:rPr>
                <w:rFonts w:ascii="Times New Roman" w:hAnsi="Times New Roman"/>
                <w:noProof/>
              </w:rPr>
              <w:t>(parte din CPC 9406)</w:t>
            </w:r>
          </w:p>
          <w:p>
            <w:pPr>
              <w:widowControl/>
              <w:suppressAutoHyphens/>
              <w:spacing w:before="60" w:after="60" w:line="240" w:lineRule="auto"/>
              <w:rPr>
                <w:rFonts w:ascii="Times New Roman" w:hAnsi="Times New Roman"/>
                <w:noProof/>
              </w:rPr>
            </w:pPr>
            <w:r>
              <w:rPr>
                <w:rFonts w:ascii="Times New Roman" w:hAnsi="Times New Roman"/>
                <w:noProof/>
              </w:rPr>
              <w:t>G. Alte servicii de protecție a mediului și servicii auxiliare</w:t>
            </w:r>
          </w:p>
          <w:p>
            <w:pPr>
              <w:suppressAutoHyphens/>
              <w:spacing w:before="60" w:after="60" w:line="240" w:lineRule="auto"/>
              <w:rPr>
                <w:noProof/>
              </w:rPr>
            </w:pPr>
            <w:r>
              <w:rPr>
                <w:rFonts w:ascii="Times New Roman" w:hAnsi="Times New Roman"/>
                <w:noProof/>
              </w:rPr>
              <w:t>(CPC 94090)</w:t>
            </w:r>
          </w:p>
        </w:tc>
        <w:tc>
          <w:tcPr>
            <w:tcW w:w="3590" w:type="pct"/>
            <w:tcBorders>
              <w:top w:val="nil"/>
            </w:tcBorders>
          </w:tcPr>
          <w:p>
            <w:pPr>
              <w:suppressAutoHyphens/>
              <w:spacing w:before="60" w:after="60" w:line="240" w:lineRule="auto"/>
              <w:rPr>
                <w:noProof/>
              </w:rPr>
            </w:pPr>
          </w:p>
        </w:tc>
      </w:tr>
      <w:tr>
        <w:tc>
          <w:tcPr>
            <w:tcW w:w="1410"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 SERVICII FINANCIARE</w:t>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p>
        </w:tc>
      </w:tr>
      <w:t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de asigurări și servicii conexe asigurărilor</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AT, BE, CZ, DE, DK, ES, FI, FR, EL, HU, IE, IT, LU, NL, PL, PT, RO, SK, SE, SI: neconsolidat pentru serviciile de asigurare directă, cu excepția asigurării riscurilor legate de:</w:t>
            </w:r>
          </w:p>
          <w:p>
            <w:pPr>
              <w:widowControl/>
              <w:suppressAutoHyphens/>
              <w:spacing w:before="60" w:after="60" w:line="240" w:lineRule="auto"/>
              <w:rPr>
                <w:rFonts w:ascii="Times New Roman" w:hAnsi="Times New Roman"/>
                <w:noProof/>
              </w:rPr>
            </w:pPr>
            <w:r>
              <w:rPr>
                <w:rFonts w:ascii="Times New Roman" w:hAnsi="Times New Roman"/>
                <w:noProof/>
              </w:rPr>
              <w:t>(a) transportul maritim, aviația comercială și lansările în spațiu și transporturile aferente (inclusiv sateliți), cu o asigurare care să acopere oricare sau toate dintre următoarele: mărfurile transportate, vehiculul care transportă mărfurile și orice răspundere ce decurge din acestea și</w:t>
            </w:r>
          </w:p>
          <w:p>
            <w:pPr>
              <w:widowControl/>
              <w:suppressAutoHyphens/>
              <w:spacing w:before="60" w:after="60" w:line="240" w:lineRule="auto"/>
              <w:rPr>
                <w:rFonts w:ascii="Times New Roman" w:hAnsi="Times New Roman"/>
                <w:noProof/>
              </w:rPr>
            </w:pPr>
            <w:r>
              <w:rPr>
                <w:rFonts w:ascii="Times New Roman" w:hAnsi="Times New Roman"/>
                <w:noProof/>
              </w:rPr>
              <w:t>(b) mărfurile în tranzit internațional.</w:t>
            </w:r>
          </w:p>
          <w:p>
            <w:pPr>
              <w:widowControl/>
              <w:suppressAutoHyphens/>
              <w:spacing w:before="60" w:after="60" w:line="240" w:lineRule="auto"/>
              <w:rPr>
                <w:rFonts w:ascii="Times New Roman" w:hAnsi="Times New Roman"/>
                <w:noProof/>
              </w:rPr>
            </w:pPr>
            <w:r>
              <w:rPr>
                <w:rFonts w:ascii="Times New Roman" w:hAnsi="Times New Roman"/>
                <w:noProof/>
              </w:rPr>
              <w:t>În AT: Sunt interzise activitatea promoțională și intermedierea în numele unei filiale nestabilite în Uniune sau al unei sucursale nestabilite în Austria (cu excepția reasigurării și a retrocesiunii). Asigurarea obligatorie a transportului aerian, cu excepția asigurării transportului aerian comercial internațional, poate fi subscrisă numai de o filială stabilită în Uniune sau de o sucursală stabilită în Austria. Pentru contractele de asigurare (cu excepția reasigurării și a retrocesiunii) se plătesc impozite pe prime mai mari în cazul în care acestea sunt încheiate de o filială nestabilită în Uniune sau de o sucursală nestabilită în Austria. Se poate acorda o derogare de la aplicarea impozitelor pe prime mai mari.</w:t>
            </w:r>
          </w:p>
          <w:p>
            <w:pPr>
              <w:suppressAutoHyphens/>
              <w:spacing w:before="60" w:after="60" w:line="240" w:lineRule="auto"/>
              <w:rPr>
                <w:rFonts w:ascii="Times New Roman" w:hAnsi="Times New Roman"/>
                <w:noProof/>
              </w:rPr>
            </w:pPr>
            <w:r>
              <w:rPr>
                <w:rFonts w:ascii="Times New Roman" w:hAnsi="Times New Roman"/>
                <w:noProof/>
              </w:rPr>
              <w:t>În DK: Asigurarea obligatorie pentru transportul aerian poate fi subscrisă numai de societăți stabilite în Uniune. În afara societăților de asigurare autorizate de dreptul danez sau de autoritățile daneze competente, nicio persoană sau societate (inclusiv societățile de asigurare) nu poate să participe în Danemarca, în scopuri profesionale, la efectuarea de asigurări directe pentru persoane rezidente în Danemarca, pentru nave daneze sau pentru bunuri imobile din Danemarca.</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DE: Polițele obligatorii de asigurare pentru transportul aerian pot fi încheiate numai de o filială stabilită în Uniune sau de o sucursală stabilită în Germania. În cazul în care o societate de asigurări străină a înființat o sucursală în Germania, aceasta poate încheia contracte de asigurare în Germania cu privire la transportul internațional numai prin sucursala înființată în Germania.</w:t>
            </w:r>
          </w:p>
          <w:p>
            <w:pPr>
              <w:widowControl/>
              <w:suppressAutoHyphens/>
              <w:spacing w:before="60" w:after="60" w:line="240" w:lineRule="auto"/>
              <w:rPr>
                <w:rFonts w:ascii="Times New Roman" w:hAnsi="Times New Roman"/>
                <w:noProof/>
              </w:rPr>
            </w:pPr>
            <w:r>
              <w:rPr>
                <w:rFonts w:ascii="Times New Roman" w:hAnsi="Times New Roman"/>
                <w:noProof/>
              </w:rPr>
              <w:t>În FR: Asigurarea de risc privind transportul terestru poate fi încheiată numai de societățile de asigurări stabilite în Uniune.</w:t>
            </w:r>
          </w:p>
          <w:p>
            <w:pPr>
              <w:widowControl/>
              <w:suppressAutoHyphens/>
              <w:spacing w:before="60" w:after="60" w:line="240" w:lineRule="auto"/>
              <w:rPr>
                <w:rFonts w:ascii="Times New Roman" w:hAnsi="Times New Roman"/>
                <w:noProof/>
              </w:rPr>
            </w:pPr>
            <w:r>
              <w:rPr>
                <w:rFonts w:ascii="Times New Roman" w:hAnsi="Times New Roman"/>
                <w:noProof/>
              </w:rPr>
              <w:t>În PL: neconsolidat pentru servicii de reasigurare, retrocesiune și asigurare, cu excepția reasigurării, a retrocesiunii și a asigurării mărfurilor care fac obiectul comerțului internațional.</w:t>
            </w:r>
          </w:p>
          <w:p>
            <w:pPr>
              <w:widowControl/>
              <w:suppressAutoHyphens/>
              <w:spacing w:before="60" w:after="60" w:line="240" w:lineRule="auto"/>
              <w:rPr>
                <w:rFonts w:ascii="Times New Roman" w:hAnsi="Times New Roman"/>
                <w:noProof/>
              </w:rPr>
            </w:pPr>
            <w:r>
              <w:rPr>
                <w:rFonts w:ascii="Times New Roman" w:hAnsi="Times New Roman"/>
                <w:noProof/>
              </w:rPr>
              <w:t>În PT: Asigurarea riscurilor legate de transportul aerian și maritim, care acoperă mărfurile, aeronavele, navele și răspunderea civilă, poate fi încheiată numai de către societăți stabilite în Uniune. Numai persoanele sau societățile stabilite în Uniune pot acționa ca intermediari în acest tip de activități de asigurare în Portugalia.</w:t>
            </w:r>
          </w:p>
          <w:p>
            <w:pPr>
              <w:widowControl/>
              <w:suppressAutoHyphens/>
              <w:spacing w:before="60" w:after="60" w:line="240" w:lineRule="auto"/>
              <w:rPr>
                <w:rFonts w:ascii="Times New Roman" w:hAnsi="Times New Roman"/>
                <w:noProof/>
              </w:rPr>
            </w:pPr>
            <w:r>
              <w:rPr>
                <w:rFonts w:ascii="Times New Roman" w:hAnsi="Times New Roman"/>
                <w:noProof/>
              </w:rPr>
              <w:t>În RO: Reasigurarea pe piața internațională este permisă numai dacă riscul reasigurat nu poate fi plasat pe piața națională.</w:t>
            </w:r>
          </w:p>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CZ, DE, DK, ES, FI, FR, EL, HU, IE, IT, LU, NL, PT, RO, SK, SE, SI: neconsolidat pentru serviciile de intermediere a asigurării directe, cu excepția asigurării riscurilor legate de:</w:t>
            </w:r>
          </w:p>
          <w:p>
            <w:pPr>
              <w:suppressAutoHyphens/>
              <w:spacing w:before="60" w:after="60" w:line="240" w:lineRule="auto"/>
              <w:rPr>
                <w:rFonts w:ascii="Times New Roman" w:hAnsi="Times New Roman"/>
                <w:noProof/>
              </w:rPr>
            </w:pPr>
            <w:r>
              <w:rPr>
                <w:rFonts w:ascii="Times New Roman" w:hAnsi="Times New Roman"/>
                <w:noProof/>
              </w:rPr>
              <w:t>(a) transportul maritim, aviația comercială și lansările în spațiu și transporturile aferente (inclusiv sateliți), cu o asigurare care să acopere oricare sau toate dintre următoarele: mărfurile transportate, vehiculul care transportă mărfurile și orice răspundere ce decurge din acestea și</w:t>
            </w:r>
          </w:p>
          <w:p>
            <w:pPr>
              <w:widowControl/>
              <w:suppressAutoHyphens/>
              <w:spacing w:before="60" w:after="60" w:line="240" w:lineRule="auto"/>
              <w:rPr>
                <w:rFonts w:ascii="Times New Roman" w:hAnsi="Times New Roman"/>
                <w:noProof/>
              </w:rPr>
            </w:pPr>
            <w:r>
              <w:rPr>
                <w:rFonts w:ascii="Times New Roman" w:hAnsi="Times New Roman"/>
                <w:noProof/>
              </w:rPr>
              <w:t>(b) mărfurile în tranzit internațional.</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BG: neconsolidat pentru asigurarea directă, cu excepția serviciilor prestate de furnizori străini unor persoane străine pe teritoriul Bulgariei. Asigurările de transport care acoperă mărfurile, asigurarea vehiculelor ca atare și asigurarea de răspundere civilă pentru riscurile situate în Bulgaria nu pot fi subscrise direct de către societăți de asigurare străine. O societate de asigurări străină poate încheia contracte de asigurări numai prin intermediul unei sucursale din Uniune. Neconsolidat pentru asigurarea depozitelor sau sistemelor de compensații similare, precum și pentru sistemele de asigurări obligatorii.</w:t>
            </w:r>
          </w:p>
          <w:p>
            <w:pPr>
              <w:widowControl/>
              <w:suppressAutoHyphens/>
              <w:spacing w:before="60" w:after="60" w:line="240" w:lineRule="auto"/>
              <w:rPr>
                <w:rFonts w:ascii="Times New Roman" w:hAnsi="Times New Roman"/>
                <w:noProof/>
              </w:rPr>
            </w:pPr>
            <w:r>
              <w:rPr>
                <w:rFonts w:ascii="Times New Roman" w:hAnsi="Times New Roman"/>
                <w:noProof/>
              </w:rPr>
              <w:t>În CY, LV, MT: neconsolidat pentru serviciile de asigurare directă, cu excepția asigurării riscurilor legate 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transportul maritim, aviația comercială și lansările în spațiu și transporturile aferente (inclusiv sateliți), cu o asigurare care să acopere oricare sau toate dintre următoarele: mărfurile transportate, vehiculul care transportă mărfurile și orice răspundere ce decurge din acestea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mărfurile în tranzit internațional.</w:t>
            </w:r>
          </w:p>
          <w:p>
            <w:pPr>
              <w:widowControl/>
              <w:suppressAutoHyphens/>
              <w:spacing w:before="60" w:after="60" w:line="240" w:lineRule="auto"/>
              <w:rPr>
                <w:rFonts w:ascii="Times New Roman" w:hAnsi="Times New Roman"/>
                <w:noProof/>
              </w:rPr>
            </w:pPr>
            <w:r>
              <w:rPr>
                <w:rFonts w:ascii="Times New Roman" w:hAnsi="Times New Roman"/>
                <w:noProof/>
              </w:rPr>
              <w:t>În LT: neconsolidat pentru serviciile de asigurare directă, cu excepția asigurării riscurilor legate 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transportul maritim, aviația comercială și lansările în spațiu și transporturile aferente (inclusiv sateliți), cu o asigurare care să acopere oricare sau toate dintre următoarele: mărfurile transportate, vehiculul care transportă mărfurile și orice răspundere ce decurge din acestea și</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mărfurile în tranzit internațional, mai puțin în cazul transportului terestru atunci când riscul este localizat în Lituania.</w:t>
            </w:r>
          </w:p>
          <w:p>
            <w:pPr>
              <w:widowControl/>
              <w:suppressAutoHyphens/>
              <w:spacing w:before="60" w:after="60" w:line="240" w:lineRule="auto"/>
              <w:rPr>
                <w:rFonts w:ascii="Times New Roman" w:hAnsi="Times New Roman"/>
                <w:noProof/>
              </w:rPr>
            </w:pPr>
            <w:r>
              <w:rPr>
                <w:rFonts w:ascii="Times New Roman" w:hAnsi="Times New Roman"/>
                <w:noProof/>
              </w:rPr>
              <w:t>În LV, LT, PL, BU: neconsolidat pentru intermedierea asigurărilor.</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FI: Numai societățile de asigurare care au sediul central în Uniune sau care au o sucursală în Finlanda pot furniza servicii de asigurare directă (inclusiv coasigurare). Furnizarea de servicii de brokeraj în asigurări este permisă sub rezerva deținerii unui sediu comercial permanent în Uniune.</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serviciile de asigurare directă și pentru serviciile de intermediere a asigurării directe,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asigurărilor de viață: pentru furnizarea de asigurări de viață pentru persoanele străine care locuiesc în Croația;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asigurărilor generale: pentru furnizarea de asigurări generale persoanelor străine care locuiesc în Croația, altele decât cele de răspundere auto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asigurărilor în domeniul maritim, al aviației și al transporturilor.</w:t>
            </w:r>
          </w:p>
          <w:p>
            <w:pPr>
              <w:widowControl/>
              <w:suppressAutoHyphens/>
              <w:spacing w:before="60" w:after="60" w:line="240" w:lineRule="auto"/>
              <w:rPr>
                <w:rFonts w:ascii="Times New Roman" w:hAnsi="Times New Roman"/>
                <w:noProof/>
              </w:rPr>
            </w:pPr>
            <w:r>
              <w:rPr>
                <w:rFonts w:ascii="Times New Roman" w:hAnsi="Times New Roman"/>
                <w:noProof/>
              </w:rPr>
              <w:t>În HU: Furnizarea de asigurări directe pe teritoriul Ungariei de către societățile de asigurare care nu sunt stabilite în Uniune este permisă numai printr-o sucursală înregistrată în Ungaria.</w:t>
            </w:r>
          </w:p>
          <w:p>
            <w:pPr>
              <w:widowControl/>
              <w:suppressAutoHyphens/>
              <w:spacing w:before="60" w:after="60" w:line="240" w:lineRule="auto"/>
              <w:rPr>
                <w:rFonts w:ascii="Times New Roman" w:hAnsi="Times New Roman"/>
                <w:noProof/>
              </w:rPr>
            </w:pPr>
            <w:r>
              <w:rPr>
                <w:rFonts w:ascii="Times New Roman" w:hAnsi="Times New Roman"/>
                <w:noProof/>
              </w:rPr>
              <w:t>În IT: neconsolidat pentru profesia de actuar. Asigurarea pentru transportul mărfurilor, asigurarea vehiculelor ca atare și asigurarea de răspundere civilă pentru riscurile situate în Italia pot fi subscrise numai de societăți de asigurare stabilite în Uniune. Această rezervă nu se aplică transportului internațional al mărfurilor importate în Italia.</w:t>
            </w:r>
          </w:p>
          <w:p>
            <w:pPr>
              <w:widowControl/>
              <w:suppressAutoHyphens/>
              <w:spacing w:before="60" w:after="60" w:line="240" w:lineRule="auto"/>
              <w:rPr>
                <w:rFonts w:ascii="Times New Roman" w:hAnsi="Times New Roman"/>
                <w:noProof/>
              </w:rPr>
            </w:pPr>
            <w:r>
              <w:rPr>
                <w:rFonts w:ascii="Times New Roman" w:hAnsi="Times New Roman"/>
                <w:noProof/>
              </w:rPr>
              <w:t>În SE: Furnizarea de servicii de asigurare directă este permisă numai prin intermediul unui furnizor de servicii autorizat în Suedia, cu condiția ca furnizorul de servicii străin și societatea de asigurări suedeză să aparțină aceluiași grup de societăți sau să fi încheiat un contract de colaborare.</w:t>
            </w:r>
          </w:p>
          <w:p>
            <w:pPr>
              <w:suppressAutoHyphens/>
              <w:spacing w:before="60" w:after="60" w:line="240" w:lineRule="auto"/>
              <w:rPr>
                <w:noProof/>
              </w:rPr>
            </w:pPr>
            <w:r>
              <w:rPr>
                <w:rFonts w:ascii="Times New Roman" w:hAnsi="Times New Roman"/>
                <w:noProof/>
              </w:rPr>
              <w:t>În ES: Pentru profesia de actuar, este necesară rezidența sau doi ani de experiență.</w:t>
            </w:r>
          </w:p>
        </w:tc>
      </w:tr>
      <w:t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SK: Asigurarea riscurilor legate de transportul aerian și maritim care acoperă aeronavele sau navele și răspunderea civilă poate fi subscrisă numai de către societăți de asigurări stabilite în UE sau de către sucursala societăților de asigurări care nu sunt stabilite în UE, dar sunt autorizate în Republica Slovacă.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BE, BG, CZ, CY, DE, DK, ES, FI, FR, EL, HU, IE, IT, LU, MT, NL, PL, PT, RO, SK, SE, SI: neconsolidat pentru intermediere.</w:t>
            </w:r>
          </w:p>
          <w:p>
            <w:pPr>
              <w:widowControl/>
              <w:suppressAutoHyphens/>
              <w:spacing w:before="60" w:after="60" w:line="240" w:lineRule="auto"/>
              <w:rPr>
                <w:rFonts w:ascii="Times New Roman" w:hAnsi="Times New Roman"/>
                <w:noProof/>
              </w:rPr>
            </w:pPr>
            <w:r>
              <w:rPr>
                <w:rFonts w:ascii="Times New Roman" w:hAnsi="Times New Roman"/>
                <w:noProof/>
              </w:rPr>
              <w:t>În BG: În ceea ce privește asigurarea directă, persoanele fizice și juridice bulgare, precum și persoanele străine care desfășoară activități comerciale pe teritoriul Bulgariei pot încheia contracte de asigurări pentru activitățile lor din Bulgaria numai cu furnizori autorizați să desfășoare activități de asigurări în Bulgaria. Compensațiile plătite de asigurători care rezultă din aceste contracte sunt plătite în Bulgaria. Neconsolidat pentru asigurarea depozitelor sau sistemelor de compensații similare, precum și pentru sistemele de asigurări obligatorii.</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servicii de asigurare directă și servicii de intermediere de asigurări directe,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asigurărilor de viață: pentru capacitatea persoanelor străine care își au rezidența în Croația de a obține asigurări de viață;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asigurărilor generale:</w:t>
            </w:r>
          </w:p>
          <w:p>
            <w:pPr>
              <w:suppressAutoHyphens/>
              <w:spacing w:before="60" w:after="60" w:line="240" w:lineRule="auto"/>
              <w:ind w:left="1134" w:hanging="567"/>
              <w:rPr>
                <w:noProof/>
              </w:rPr>
            </w:pPr>
            <w:r>
              <w:rPr>
                <w:rFonts w:ascii="Times New Roman" w:hAnsi="Times New Roman"/>
                <w:noProof/>
              </w:rPr>
              <w:t>(i)</w:t>
            </w:r>
            <w:r>
              <w:rPr>
                <w:noProof/>
              </w:rPr>
              <w:tab/>
            </w:r>
            <w:r>
              <w:rPr>
                <w:rFonts w:ascii="Times New Roman" w:hAnsi="Times New Roman"/>
                <w:noProof/>
              </w:rPr>
              <w:t>pentru capacitatea persoanelor străine care își au rezidența în Croația de a obține asigurări de viață, altele decât asigurările de răspundere civilă auto;</w:t>
            </w:r>
          </w:p>
        </w:tc>
      </w:tr>
      <w:tr>
        <w:tc>
          <w:tcPr>
            <w:tcW w:w="1410" w:type="pct"/>
            <w:tcBorders>
              <w:top w:val="nil"/>
              <w:bottom w:val="single" w:sz="4" w:space="0" w:color="auto"/>
            </w:tcBorders>
          </w:tcPr>
          <w:p>
            <w:pPr>
              <w:pageBreakBefore/>
              <w:suppressAutoHyphens/>
              <w:spacing w:before="60" w:after="60" w:line="240" w:lineRule="auto"/>
              <w:rPr>
                <w:noProof/>
              </w:rPr>
            </w:pPr>
          </w:p>
        </w:tc>
        <w:tc>
          <w:tcPr>
            <w:tcW w:w="3590" w:type="pct"/>
            <w:tcBorders>
              <w:top w:val="nil"/>
              <w:bottom w:val="single" w:sz="4" w:space="0" w:color="auto"/>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bookmarkStart w:id="8" w:name="_Hlk232434336"/>
            <w:bookmarkStart w:id="9" w:name="_Hlk232434362"/>
            <w:r>
              <w:rPr>
                <w:rFonts w:ascii="Times New Roman" w:hAnsi="Times New Roman"/>
                <w:noProof/>
              </w:rPr>
              <w:t>asigurări pentru riscuri personale sau riscuri ale bunurilor imobiliare care nu sunt disponibile în Croația</w:t>
            </w:r>
            <w:bookmarkEnd w:id="8"/>
            <w:r>
              <w:rPr>
                <w:noProof/>
              </w:rPr>
              <w:t>;</w:t>
            </w:r>
            <w:r>
              <w:rPr>
                <w:rFonts w:ascii="Times New Roman" w:hAnsi="Times New Roman"/>
                <w:noProof/>
              </w:rPr>
              <w:t xml:space="preserve"> întreprinderi care achiziționează asigurări în străinătate în legătură cu lucrări de investiții în străinătate, inclusiv echipamentele destinate acelor lucrări; pentru asigurarea restituirii împrumuturilor străine (asigurare colaterală); asigurarea personală și a bunurilor imobiliare în cazul întreprinderilor deținute în totalitate și a întreprinderilor comune care desfășoară o activitate economică într-o țară străină, dacă aceasta este în concordanță cu reglementările din țara respectivă sau este necesară pentru înregistrarea sa; nave aflate în construcție și reparații generale, dacă acest fapt este stipulat în contractul încheiat cu clientul (cumpărătorul) străin și</w:t>
            </w:r>
            <w:bookmarkEnd w:id="9"/>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asigurărilor în domeniul maritim, al aviației și al transporturilor.</w:t>
            </w:r>
          </w:p>
          <w:p>
            <w:pPr>
              <w:suppressAutoHyphens/>
              <w:spacing w:before="60" w:after="60" w:line="240" w:lineRule="auto"/>
              <w:rPr>
                <w:noProof/>
              </w:rPr>
            </w:pPr>
            <w:r>
              <w:rPr>
                <w:rFonts w:ascii="Times New Roman" w:hAnsi="Times New Roman"/>
                <w:noProof/>
              </w:rPr>
              <w:t>În IT: Asigurarea pentru transportul mărfurilor, asigurarea vehiculelor ca atare și asigurarea de răspundere civilă pentru riscurile situate în Italia pot fi subscrise numai de societăți de asigurare stabilite în Uniune. Această rezervă nu se aplică transportului internațional al mărfurilor importate în Italia.</w:t>
            </w:r>
          </w:p>
        </w:tc>
      </w:tr>
      <w:tr>
        <w:trPr>
          <w:trHeight w:val="2812"/>
        </w:trP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Servicii bancare și alte servicii financiare (cu excepția asigurărilor)</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CZ, DE, DK, ES, FI, FR, EL, HU, IE, IT, LU, NL, PL, PT, SK, SE: neconsolidat, cu excepția furnizării de informații financiare și prelucrării datelor financiare și pentru serviciile de consultanță și alte servicii auxiliare, exceptând intermedierea.</w:t>
            </w:r>
          </w:p>
          <w:p>
            <w:pPr>
              <w:widowControl/>
              <w:suppressAutoHyphens/>
              <w:spacing w:before="60" w:after="60" w:line="240" w:lineRule="auto"/>
              <w:rPr>
                <w:rFonts w:ascii="Times New Roman" w:hAnsi="Times New Roman"/>
                <w:noProof/>
              </w:rPr>
            </w:pPr>
            <w:r>
              <w:rPr>
                <w:rFonts w:ascii="Times New Roman" w:hAnsi="Times New Roman"/>
                <w:noProof/>
              </w:rPr>
              <w:t>În AT, BE: Este necesară stabilirea pentru a furniza servicii de consultanță pentru investiții.</w:t>
            </w:r>
          </w:p>
          <w:p>
            <w:pPr>
              <w:widowControl/>
              <w:suppressAutoHyphens/>
              <w:spacing w:before="60" w:after="60" w:line="240" w:lineRule="auto"/>
              <w:rPr>
                <w:rFonts w:ascii="Times New Roman" w:hAnsi="Times New Roman"/>
                <w:noProof/>
              </w:rPr>
            </w:pPr>
            <w:r>
              <w:rPr>
                <w:rFonts w:ascii="Times New Roman" w:hAnsi="Times New Roman"/>
                <w:noProof/>
              </w:rPr>
              <w:t>În BG: Se pot aplica limitări și condiții privind utilizarea rețelei de telecomunicații.</w:t>
            </w:r>
          </w:p>
          <w:p>
            <w:pPr>
              <w:widowControl/>
              <w:suppressAutoHyphens/>
              <w:spacing w:before="60" w:after="60" w:line="240" w:lineRule="auto"/>
              <w:rPr>
                <w:rFonts w:ascii="Times New Roman" w:hAnsi="Times New Roman"/>
                <w:noProof/>
              </w:rPr>
            </w:pPr>
            <w:r>
              <w:rPr>
                <w:rFonts w:ascii="Times New Roman" w:hAnsi="Times New Roman"/>
                <w:noProof/>
              </w:rPr>
              <w:t>În CY: neconsolidat, cu excepția tranzacționării valorilor mobiliare, a furnizării de informații financiare și a prelucrării datelor financiare, precum și a serviciilor de consiliere și a altor servicii auxiliare, excluzând intermedierea.</w:t>
            </w:r>
          </w:p>
        </w:tc>
      </w:tr>
      <w:tr>
        <w:trPr>
          <w:trHeight w:val="5175"/>
        </w:trP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EE: Pentru acceptarea depozitelor, este necesară autorizația eliberată de Autoritatea de Supraveghere Financiară din Estonia și înregistrarea conform legislației estone ca societate pe acțiuni, filială sau sucursală.</w:t>
            </w:r>
          </w:p>
          <w:p>
            <w:pPr>
              <w:widowControl/>
              <w:suppressAutoHyphens/>
              <w:spacing w:before="60" w:after="60" w:line="240" w:lineRule="auto"/>
              <w:rPr>
                <w:rFonts w:ascii="Times New Roman" w:hAnsi="Times New Roman"/>
                <w:noProof/>
              </w:rPr>
            </w:pPr>
            <w:r>
              <w:rPr>
                <w:rFonts w:ascii="Times New Roman" w:hAnsi="Times New Roman"/>
                <w:noProof/>
              </w:rPr>
              <w:t>În EE: Este necesară stabilirea unei societăți de administrare specializate pentru desfășurarea activităților de administrare a fondurilor de investiții și numai firmele care au sediul social în Uniune pot acționa ca depozitari de active ale fondurilor de investiții.</w:t>
            </w:r>
          </w:p>
          <w:p>
            <w:pPr>
              <w:widowControl/>
              <w:suppressAutoHyphens/>
              <w:spacing w:before="60" w:after="60" w:line="240" w:lineRule="auto"/>
              <w:rPr>
                <w:rFonts w:ascii="Times New Roman" w:hAnsi="Times New Roman"/>
                <w:noProof/>
              </w:rPr>
            </w:pPr>
            <w:r>
              <w:rPr>
                <w:rFonts w:ascii="Times New Roman" w:hAnsi="Times New Roman"/>
                <w:noProof/>
              </w:rPr>
              <w:t>În HR: neconsolidat, cu excepția împrumuturilor, a leasingului financiar, a serviciilor de plăți și transferuri monetare, a garanțiilor și a angajamentelor, a intermedierii pe piețele interbancare, a furnizării și transferului de informații financiare și a serviciilor de consultanță și a altor servicii financiare auxiliare, cu excepția intermedierii.</w:t>
            </w:r>
          </w:p>
          <w:p>
            <w:pPr>
              <w:widowControl/>
              <w:suppressAutoHyphens/>
              <w:spacing w:before="60" w:after="60" w:line="240" w:lineRule="auto"/>
              <w:rPr>
                <w:rFonts w:ascii="Times New Roman" w:hAnsi="Times New Roman"/>
                <w:noProof/>
              </w:rPr>
            </w:pPr>
            <w:r>
              <w:rPr>
                <w:rFonts w:ascii="Times New Roman" w:hAnsi="Times New Roman"/>
                <w:noProof/>
              </w:rPr>
              <w:t>În LT: Este necesară stabilirea unei societăți de administrare specializate pentru desfășurarea activității de administrare a fondurilor de investiții de tip „unit trust” și a societăților de investiții și numai firmele care au sediul social în Uniune pot acționa ca depozitari de active ale fondurilor de investiții.</w:t>
            </w:r>
          </w:p>
          <w:p>
            <w:pPr>
              <w:widowControl/>
              <w:suppressAutoHyphens/>
              <w:spacing w:before="60" w:after="60" w:line="240" w:lineRule="auto"/>
              <w:rPr>
                <w:rFonts w:ascii="Times New Roman" w:hAnsi="Times New Roman"/>
                <w:noProof/>
              </w:rPr>
            </w:pPr>
            <w:r>
              <w:rPr>
                <w:rFonts w:ascii="Times New Roman" w:hAnsi="Times New Roman"/>
                <w:noProof/>
              </w:rPr>
              <w:t>În IT: neconsolidat pentru „</w:t>
            </w:r>
            <w:r>
              <w:rPr>
                <w:rFonts w:ascii="Times New Roman" w:hAnsi="Times New Roman"/>
                <w:i/>
                <w:noProof/>
              </w:rPr>
              <w:t>promotori di servizi finanziari</w:t>
            </w:r>
            <w:r>
              <w:rPr>
                <w:rFonts w:ascii="Times New Roman" w:hAnsi="Times New Roman"/>
                <w:noProof/>
              </w:rPr>
              <w:t>” (agenți financiari).</w:t>
            </w:r>
          </w:p>
          <w:p>
            <w:pPr>
              <w:widowControl/>
              <w:suppressAutoHyphens/>
              <w:spacing w:before="60" w:after="60" w:line="240" w:lineRule="auto"/>
              <w:rPr>
                <w:rFonts w:ascii="Times New Roman" w:hAnsi="Times New Roman"/>
                <w:noProof/>
              </w:rPr>
            </w:pPr>
            <w:r>
              <w:rPr>
                <w:rFonts w:ascii="Times New Roman" w:hAnsi="Times New Roman"/>
                <w:noProof/>
              </w:rPr>
              <w:t>În LV: neconsolidat, cu excepția participării la emiterea tuturor tipurilor de valori mobiliare, a furnizării de informații financiare și a prelucrării datelor financiare și a serviciilor de consultanță, precum și a altor servicii auxiliare, excluzând intermedierea.</w:t>
            </w:r>
          </w:p>
          <w:p>
            <w:pPr>
              <w:suppressAutoHyphens/>
              <w:spacing w:before="60" w:after="60" w:line="240" w:lineRule="auto"/>
              <w:rPr>
                <w:noProof/>
              </w:rPr>
            </w:pPr>
            <w:r>
              <w:rPr>
                <w:rFonts w:ascii="Times New Roman" w:hAnsi="Times New Roman"/>
                <w:noProof/>
              </w:rPr>
              <w:t>În LT: Prezența comercială este necesară pentru administrarea fondurilor de pensii.</w:t>
            </w:r>
          </w:p>
        </w:tc>
      </w:tr>
      <w:tr>
        <w:trPr>
          <w:trHeight w:val="4958"/>
        </w:trPr>
        <w:tc>
          <w:tcPr>
            <w:tcW w:w="1410" w:type="pct"/>
            <w:tcBorders>
              <w:top w:val="nil"/>
              <w:bottom w:val="nil"/>
            </w:tcBorders>
          </w:tcPr>
          <w:p>
            <w:pPr>
              <w:pageBreakBefore/>
              <w:suppressAutoHyphens/>
              <w:spacing w:before="60" w:after="60" w:line="240" w:lineRule="auto"/>
              <w:rPr>
                <w:noProof/>
              </w:rPr>
            </w:pPr>
          </w:p>
        </w:tc>
        <w:tc>
          <w:tcPr>
            <w:tcW w:w="3590"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MT: neconsolidat, cu excepția acceptării de depozite, a împrumuturilor de toate tipurile, a furnizării de informații financiare și a prelucrării datelor financiare, precum și a serviciilor de consultanță și a altor servicii auxiliare, exceptând intermedierea.</w:t>
            </w:r>
          </w:p>
          <w:p>
            <w:pPr>
              <w:widowControl/>
              <w:suppressAutoHyphens/>
              <w:spacing w:before="60" w:after="60" w:line="240" w:lineRule="auto"/>
              <w:rPr>
                <w:rFonts w:ascii="Times New Roman" w:hAnsi="Times New Roman"/>
                <w:noProof/>
              </w:rPr>
            </w:pPr>
            <w:r>
              <w:rPr>
                <w:rFonts w:ascii="Times New Roman" w:hAnsi="Times New Roman"/>
                <w:noProof/>
              </w:rPr>
              <w:t>În PL: Pentru furnizarea și transferul de informații financiare, pentru prelucrarea datelor financiare și programele informatice conexe, se prevede cerința de a utiliza rețeaua publică de telecomunicații sau rețeaua unui alt operator autorizat.</w:t>
            </w:r>
          </w:p>
          <w:p>
            <w:pPr>
              <w:widowControl/>
              <w:suppressAutoHyphens/>
              <w:spacing w:before="60" w:after="60" w:line="240" w:lineRule="auto"/>
              <w:rPr>
                <w:rFonts w:ascii="Times New Roman" w:hAnsi="Times New Roman"/>
                <w:noProof/>
              </w:rPr>
            </w:pPr>
            <w:r>
              <w:rPr>
                <w:rFonts w:ascii="Times New Roman" w:hAnsi="Times New Roman"/>
                <w:noProof/>
              </w:rPr>
              <w:t>În RO: neconsolidat pentru leasingul financiar, pentru comercializarea de instrumente ale pieței monetare, schimbul valutar, produsele derivate, instrumentele privind cursul de schimb și rata dobânzii, valorile mobiliare și alte instrumente și active financiare negociabile, pentru participarea la emisiuni de toate tipurile de valori mobiliare, administrarea activelor și pentru serviciile de decontare și de compensare de active financiare. Serviciile de plată și de transfer de bani sunt permise numai prin intermediul unei bănci stabilite în România.</w:t>
            </w:r>
          </w:p>
          <w:p>
            <w:pPr>
              <w:suppressAutoHyphens/>
              <w:spacing w:before="60" w:after="60" w:line="240" w:lineRule="auto"/>
              <w:rPr>
                <w:noProof/>
              </w:rPr>
            </w:pPr>
            <w:r>
              <w:rPr>
                <w:rFonts w:ascii="Times New Roman" w:hAnsi="Times New Roman"/>
                <w:noProof/>
              </w:rPr>
              <w:t>În SI: neconsolidat, cu excepția împrumuturilor de toate tipurile, a acceptării garanțiilor și a angajamentelor din partea instituțiilor de credit străine de către instituțiile juridice naționale și proprietarii unici, a furnizării și a transferului de informații financiare, a prelucrării de date financiare și a furnizării software-ului aferent de către furnizori de alte servicii financiare, a serviciilor de consultanță și a altor servicii financiare auxiliare referitoare la toate aceste activități, inclusiv furnizarea de informații privind creditele și analiza creditelor, cercetare și consiliere în materie de investiții și portofoliu, consultanță privind achizițiile, precum și privind restructurarea și strategia întreprinderilor.</w:t>
            </w:r>
          </w:p>
        </w:tc>
      </w:tr>
      <w:tr>
        <w:tc>
          <w:tcPr>
            <w:tcW w:w="1410" w:type="pct"/>
            <w:tcBorders>
              <w:top w:val="nil"/>
            </w:tcBorders>
          </w:tcPr>
          <w:p>
            <w:pPr>
              <w:pageBreakBefore/>
              <w:suppressAutoHyphens/>
              <w:spacing w:before="60" w:after="60" w:line="240" w:lineRule="auto"/>
              <w:rPr>
                <w:noProof/>
              </w:rPr>
            </w:pPr>
          </w:p>
        </w:tc>
        <w:tc>
          <w:tcPr>
            <w:tcW w:w="3590"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BG: Se pot aplica limitări și condiții privind utilizarea rețelei de telecomunicații.</w:t>
            </w:r>
          </w:p>
          <w:p>
            <w:pPr>
              <w:suppressAutoHyphens/>
              <w:spacing w:before="60" w:after="60" w:line="240" w:lineRule="auto"/>
              <w:rPr>
                <w:noProof/>
              </w:rPr>
            </w:pPr>
            <w:r>
              <w:rPr>
                <w:rFonts w:ascii="Times New Roman" w:hAnsi="Times New Roman"/>
                <w:noProof/>
              </w:rPr>
              <w:t>În PL: Pentru furnizarea și transferul de informații financiare, pentru prelucrarea datelor financiare și programele informatice conexe, se prevede cerința de a utiliza rețeaua publică de telecomunicații sau rețeaua unui alt operator autorizat.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8. SERVICII DE SĂNĂTATE ȘI SERVICII SOCIALE</w:t>
            </w:r>
          </w:p>
          <w:p>
            <w:pPr>
              <w:widowControl/>
              <w:suppressAutoHyphens/>
              <w:spacing w:before="60" w:after="60" w:line="240" w:lineRule="auto"/>
              <w:rPr>
                <w:rFonts w:ascii="Times New Roman" w:hAnsi="Times New Roman"/>
                <w:noProof/>
              </w:rPr>
            </w:pPr>
            <w:r>
              <w:rPr>
                <w:rFonts w:ascii="Times New Roman" w:hAnsi="Times New Roman"/>
                <w:noProof/>
              </w:rPr>
              <w:t>(doar serviciile cu finanțare privată)</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cu privire la activități sau servicii care fac parte dintr-un plan public de pensii sau un sistem legal de securitate socială.</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spitalicești</w:t>
            </w:r>
          </w:p>
          <w:p>
            <w:pPr>
              <w:widowControl/>
              <w:suppressAutoHyphens/>
              <w:spacing w:before="60" w:after="60" w:line="240" w:lineRule="auto"/>
              <w:rPr>
                <w:rFonts w:ascii="Times New Roman" w:hAnsi="Times New Roman"/>
                <w:noProof/>
              </w:rPr>
            </w:pPr>
            <w:r>
              <w:rPr>
                <w:rFonts w:ascii="Times New Roman" w:hAnsi="Times New Roman"/>
                <w:noProof/>
              </w:rPr>
              <w:t>(CPC 9311)</w:t>
            </w:r>
          </w:p>
          <w:p>
            <w:pPr>
              <w:widowControl/>
              <w:suppressAutoHyphens/>
              <w:spacing w:before="60" w:after="60" w:line="240" w:lineRule="auto"/>
              <w:rPr>
                <w:rFonts w:ascii="Times New Roman" w:hAnsi="Times New Roman"/>
                <w:noProof/>
              </w:rPr>
            </w:pPr>
            <w:r>
              <w:rPr>
                <w:rFonts w:ascii="Times New Roman" w:hAnsi="Times New Roman"/>
                <w:noProof/>
              </w:rPr>
              <w:t>C. Servicii furnizate de unitățile rezidențiale de îngrijire medicală, altele decât serviciile spitalicești</w:t>
            </w:r>
          </w:p>
          <w:p>
            <w:pPr>
              <w:widowControl/>
              <w:suppressAutoHyphens/>
              <w:spacing w:before="60" w:after="60" w:line="240" w:lineRule="auto"/>
              <w:rPr>
                <w:rFonts w:ascii="Times New Roman" w:hAnsi="Times New Roman"/>
                <w:noProof/>
              </w:rPr>
            </w:pPr>
            <w:r>
              <w:rPr>
                <w:rFonts w:ascii="Times New Roman" w:hAnsi="Times New Roman"/>
                <w:noProof/>
              </w:rPr>
              <w:t>(CPC 93193)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DE, CY, CZ, DK, ES, EE, FI, FR, EL, HR, IE, IT, LV, LT, MT, LU, NL, PL, PT, RO, SI, SE,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Servicii sociale</w:t>
            </w:r>
          </w:p>
          <w:p>
            <w:pPr>
              <w:widowControl/>
              <w:suppressAutoHyphens/>
              <w:spacing w:before="60" w:after="60" w:line="240" w:lineRule="auto"/>
              <w:rPr>
                <w:rFonts w:ascii="Times New Roman" w:hAnsi="Times New Roman"/>
                <w:noProof/>
              </w:rPr>
            </w:pPr>
            <w:r>
              <w:rPr>
                <w:rFonts w:ascii="Times New Roman" w:hAnsi="Times New Roman"/>
                <w:noProof/>
              </w:rPr>
              <w:t>(CPC 933)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EE, ES, EL, FI, FR, HR, HU, IE, IT, LU, MT, PL, PT, RO, SE, SI,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BE: neconsolidat, cu excepția caselor de convalescență și de odihnă și a azilurilor de bătrâni.</w:t>
            </w:r>
          </w:p>
          <w:p>
            <w:pPr>
              <w:widowControl/>
              <w:suppressAutoHyphens/>
              <w:spacing w:before="60" w:after="60" w:line="240" w:lineRule="auto"/>
              <w:rPr>
                <w:rFonts w:ascii="Times New Roman" w:hAnsi="Times New Roman"/>
                <w:noProof/>
              </w:rPr>
            </w:pPr>
            <w:r>
              <w:rPr>
                <w:rFonts w:ascii="Times New Roman" w:hAnsi="Times New Roman"/>
                <w:noProof/>
              </w:rPr>
              <w:t>În CZ: neconsolidat.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 SERVICII TURISTICE ȘI SERVICII LEGATE DE CĂLĂTORII</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Hoteluri, restaurante și catering</w:t>
            </w:r>
          </w:p>
          <w:p>
            <w:pPr>
              <w:widowControl/>
              <w:suppressAutoHyphens/>
              <w:spacing w:before="60" w:after="60" w:line="240" w:lineRule="auto"/>
              <w:rPr>
                <w:rFonts w:ascii="Times New Roman" w:hAnsi="Times New Roman"/>
                <w:noProof/>
              </w:rPr>
            </w:pPr>
            <w:r>
              <w:rPr>
                <w:rFonts w:ascii="Times New Roman" w:hAnsi="Times New Roman"/>
                <w:noProof/>
              </w:rPr>
              <w:t>(CPC 641, CPC 642 și CPC 643)</w:t>
            </w:r>
          </w:p>
          <w:p>
            <w:pPr>
              <w:widowControl/>
              <w:suppressAutoHyphens/>
              <w:spacing w:before="60" w:after="60" w:line="240" w:lineRule="auto"/>
              <w:rPr>
                <w:rFonts w:ascii="Times New Roman" w:hAnsi="Times New Roman"/>
                <w:noProof/>
              </w:rPr>
            </w:pPr>
            <w:r>
              <w:rPr>
                <w:rFonts w:ascii="Times New Roman" w:hAnsi="Times New Roman"/>
                <w:noProof/>
              </w:rPr>
              <w:t>cu excepția cateringului în sectorul serviciilor de transport aerian</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FR, EL, IE, IT, LV, LT, LU, MT, NL, PL, PT, RO, SK, SI, SE: neconsolidat, cu excepția cateringului.</w:t>
            </w:r>
          </w:p>
          <w:p>
            <w:pPr>
              <w:widowControl/>
              <w:suppressAutoHyphens/>
              <w:spacing w:before="60" w:after="60" w:line="240" w:lineRule="auto"/>
              <w:rPr>
                <w:rFonts w:ascii="Times New Roman" w:hAnsi="Times New Roman"/>
                <w:noProof/>
              </w:rPr>
            </w:pPr>
            <w:r>
              <w:rPr>
                <w:rFonts w:ascii="Times New Roman" w:hAnsi="Times New Roman"/>
                <w:noProof/>
              </w:rPr>
              <w:t>În HR: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Servicii ale agențiilor de voiaj și ale operatorilor de turism</w:t>
            </w:r>
          </w:p>
          <w:p>
            <w:pPr>
              <w:widowControl/>
              <w:suppressAutoHyphens/>
              <w:spacing w:before="60" w:after="60" w:line="240" w:lineRule="auto"/>
              <w:rPr>
                <w:rFonts w:ascii="Times New Roman" w:hAnsi="Times New Roman"/>
                <w:noProof/>
              </w:rPr>
            </w:pPr>
            <w:r>
              <w:rPr>
                <w:rFonts w:ascii="Times New Roman" w:hAnsi="Times New Roman"/>
                <w:noProof/>
              </w:rPr>
              <w:t>(inclusiv serviciile gestionarilor de circuite turistice)</w:t>
            </w:r>
          </w:p>
          <w:p>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HU: neconsolidat.</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 Furnizorii de servicii străini trebuie să fie reprezentați de un birou de voiaj rezident.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ghid turistic</w:t>
            </w:r>
          </w:p>
          <w:p>
            <w:pPr>
              <w:pageBreakBefore/>
              <w:widowControl/>
              <w:suppressAutoHyphens/>
              <w:spacing w:before="60" w:after="60" w:line="240" w:lineRule="auto"/>
              <w:rPr>
                <w:rFonts w:ascii="Times New Roman" w:hAnsi="Times New Roman"/>
                <w:noProof/>
              </w:rPr>
            </w:pPr>
            <w:r>
              <w:rPr>
                <w:rFonts w:ascii="Times New Roman" w:hAnsi="Times New Roman"/>
                <w:noProof/>
              </w:rPr>
              <w:t>(CPC 7472)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CZ, HU, IT, LT, MT, PL, SK, SI: neconsolidat.</w:t>
            </w:r>
          </w:p>
          <w:p>
            <w:pPr>
              <w:widowControl/>
              <w:suppressAutoHyphens/>
              <w:spacing w:before="60" w:after="60" w:line="240" w:lineRule="auto"/>
              <w:rPr>
                <w:rFonts w:ascii="Times New Roman" w:hAnsi="Times New Roman"/>
                <w:noProof/>
              </w:rPr>
            </w:pPr>
            <w:r>
              <w:rPr>
                <w:rFonts w:ascii="Times New Roman" w:hAnsi="Times New Roman"/>
                <w:noProof/>
              </w:rPr>
              <w:t>În ES, FR: Pentru furnizarea de servicii de ghid turistic, este necesară cetățenia unui stat membru al UE.</w:t>
            </w:r>
          </w:p>
          <w:p>
            <w:pPr>
              <w:widowControl/>
              <w:suppressAutoHyphens/>
              <w:spacing w:before="60" w:after="60" w:line="240" w:lineRule="auto"/>
              <w:rPr>
                <w:rFonts w:ascii="Times New Roman" w:hAnsi="Times New Roman"/>
                <w:noProof/>
              </w:rPr>
            </w:pPr>
            <w:r>
              <w:rPr>
                <w:rFonts w:ascii="Times New Roman" w:hAnsi="Times New Roman"/>
                <w:noProof/>
              </w:rPr>
              <w:t>În EL: Cetățenii din țări terțe trebuie să obțină o diplomă de la școlile de ghizi turistici ale Ministerului Turismului din Grecia pentru a avea dreptul de a practica profesia. În mod excepțional, dreptul practicării profesiei le poate fi acordat temporar cetățenilor din țările terțe, prin derogare de la dispozițiile menționate mai sus, în cazul în care se confirmă absența unui ghid turistic pentru o anumită limbă.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10. SERVICII RECREATIVE, CULTURALE ȘI SPORTIVE (altele decât serviciile din domeniul audiovizualului)</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de spectacole (inclusiv servicii privind piesele de teatru, formațiile muzicale cu prezentare publică în direct, spectacolele de circ și discotecile)</w:t>
            </w:r>
          </w:p>
          <w:p>
            <w:pPr>
              <w:widowControl/>
              <w:suppressAutoHyphens/>
              <w:spacing w:before="60" w:after="60" w:line="240" w:lineRule="auto"/>
              <w:rPr>
                <w:rFonts w:ascii="Times New Roman" w:hAnsi="Times New Roman"/>
                <w:noProof/>
              </w:rPr>
            </w:pPr>
            <w:r>
              <w:rPr>
                <w:rFonts w:ascii="Times New Roman" w:hAnsi="Times New Roman"/>
                <w:noProof/>
              </w:rPr>
              <w:t>(CPC 9619)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BE, BG, CY, CZ, DE, DK, ES, EE, FI, FR, EL, HR, HU, IE, IT, LV, LT, LU, MT, NL, PL, PT, RO, SK, SI: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CY, CZ, FI, HR, MT, PL, RO, SK, SI: neconsolidat.</w:t>
            </w:r>
          </w:p>
          <w:p>
            <w:pPr>
              <w:widowControl/>
              <w:suppressAutoHyphens/>
              <w:spacing w:before="60" w:after="60" w:line="240" w:lineRule="auto"/>
              <w:rPr>
                <w:rFonts w:ascii="Times New Roman" w:hAnsi="Times New Roman"/>
                <w:noProof/>
              </w:rPr>
            </w:pPr>
            <w:r>
              <w:rPr>
                <w:rFonts w:ascii="Times New Roman" w:hAnsi="Times New Roman"/>
                <w:noProof/>
              </w:rPr>
              <w:t>În BG: neconsolidat, cu excepția serviciilor de divertisment furnizate de producătorii de teatru, grupurile de interpreți vocali, grupurile muzicale și orchestre (CPC </w:t>
            </w:r>
            <w:hyperlink r:id="rId21">
              <w:r>
                <w:rPr>
                  <w:rFonts w:ascii="Times New Roman" w:hAnsi="Times New Roman"/>
                  <w:noProof/>
                </w:rPr>
                <w:t>96191</w:t>
              </w:r>
            </w:hyperlink>
            <w:r>
              <w:rPr>
                <w:rFonts w:ascii="Times New Roman" w:hAnsi="Times New Roman"/>
                <w:noProof/>
              </w:rPr>
              <w:t>)</w:t>
            </w:r>
            <w:r>
              <w:rPr>
                <w:noProof/>
              </w:rPr>
              <w:t>;</w:t>
            </w:r>
            <w:r>
              <w:rPr>
                <w:rFonts w:ascii="Times New Roman" w:hAnsi="Times New Roman"/>
                <w:noProof/>
              </w:rPr>
              <w:t xml:space="preserve"> a serviciilor furnizate de autori, compozitori, sculptori, artiști comici și alți artiști individuali (CPC </w:t>
            </w:r>
            <w:hyperlink r:id="rId22">
              <w:r>
                <w:rPr>
                  <w:rFonts w:ascii="Times New Roman" w:hAnsi="Times New Roman"/>
                  <w:noProof/>
                </w:rPr>
                <w:t>96192</w:t>
              </w:r>
            </w:hyperlink>
            <w:r>
              <w:rPr>
                <w:rFonts w:ascii="Times New Roman" w:hAnsi="Times New Roman"/>
                <w:noProof/>
              </w:rPr>
              <w:t>)</w:t>
            </w:r>
            <w:r>
              <w:rPr>
                <w:noProof/>
              </w:rPr>
              <w:t>;</w:t>
            </w:r>
            <w:r>
              <w:rPr>
                <w:rFonts w:ascii="Times New Roman" w:hAnsi="Times New Roman"/>
                <w:noProof/>
              </w:rPr>
              <w:t xml:space="preserve"> și a serviciilor de teatru auxiliare (CPC </w:t>
            </w:r>
            <w:hyperlink r:id="rId23">
              <w:r>
                <w:rPr>
                  <w:rFonts w:ascii="Times New Roman" w:hAnsi="Times New Roman"/>
                  <w:noProof/>
                </w:rPr>
                <w:t>96193</w:t>
              </w:r>
            </w:hyperlink>
            <w:r>
              <w:rPr>
                <w:rFonts w:ascii="Times New Roman" w:hAnsi="Times New Roman"/>
                <w:noProof/>
              </w:rPr>
              <w:t>)</w:t>
            </w:r>
            <w:r>
              <w:rPr>
                <w:noProof/>
              </w:rPr>
              <w:t>.</w:t>
            </w:r>
          </w:p>
          <w:p>
            <w:pPr>
              <w:widowControl/>
              <w:suppressAutoHyphens/>
              <w:spacing w:before="60" w:after="60" w:line="240" w:lineRule="auto"/>
              <w:rPr>
                <w:rFonts w:ascii="Times New Roman" w:hAnsi="Times New Roman"/>
                <w:noProof/>
              </w:rPr>
            </w:pPr>
            <w:r>
              <w:rPr>
                <w:rFonts w:ascii="Times New Roman" w:hAnsi="Times New Roman"/>
                <w:noProof/>
              </w:rPr>
              <w:t>În EE: neconsolidat pentru alte servicii de divertisment (CPC </w:t>
            </w:r>
            <w:hyperlink r:id="rId24">
              <w:r>
                <w:rPr>
                  <w:rFonts w:ascii="Times New Roman" w:hAnsi="Times New Roman"/>
                  <w:noProof/>
                </w:rPr>
                <w:t>96199</w:t>
              </w:r>
            </w:hyperlink>
            <w:r>
              <w:rPr>
                <w:rFonts w:ascii="Times New Roman" w:hAnsi="Times New Roman"/>
                <w:noProof/>
              </w:rPr>
              <w:t>), cu excepția serviciilor privind sălile de cinematograf</w:t>
            </w:r>
            <w:r>
              <w:rPr>
                <w:noProof/>
              </w:rPr>
              <w:t>.</w:t>
            </w:r>
          </w:p>
          <w:p>
            <w:pPr>
              <w:widowControl/>
              <w:suppressAutoHyphens/>
              <w:spacing w:before="60" w:after="60" w:line="240" w:lineRule="auto"/>
              <w:rPr>
                <w:rFonts w:ascii="Times New Roman" w:hAnsi="Times New Roman"/>
                <w:noProof/>
              </w:rPr>
            </w:pPr>
            <w:r>
              <w:rPr>
                <w:rFonts w:ascii="Times New Roman" w:hAnsi="Times New Roman"/>
                <w:noProof/>
              </w:rPr>
              <w:t>În LT, LV: neconsolidat, cu excepția serviciilor de operare a sălilor de cinematograf (parte din CPC </w:t>
            </w:r>
            <w:hyperlink r:id="rId25">
              <w:r>
                <w:rPr>
                  <w:rFonts w:ascii="Times New Roman" w:hAnsi="Times New Roman"/>
                  <w:noProof/>
                </w:rPr>
                <w:t>96199</w:t>
              </w:r>
            </w:hyperlink>
            <w:r>
              <w:rPr>
                <w:rFonts w:ascii="Times New Roman" w:hAnsi="Times New Roman"/>
                <w:noProof/>
              </w:rPr>
              <w:t>)</w:t>
            </w:r>
            <w:r>
              <w:rPr>
                <w:noProof/>
              </w:rPr>
              <w: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Servicii ale agențiilor de știri și ale agențiilor de presă</w:t>
            </w:r>
          </w:p>
          <w:p>
            <w:pPr>
              <w:widowControl/>
              <w:suppressAutoHyphens/>
              <w:spacing w:before="60" w:after="60" w:line="240" w:lineRule="auto"/>
              <w:rPr>
                <w:rFonts w:ascii="Times New Roman" w:hAnsi="Times New Roman"/>
                <w:noProof/>
              </w:rPr>
            </w:pPr>
            <w:r>
              <w:rPr>
                <w:rFonts w:ascii="Times New Roman" w:hAnsi="Times New Roman"/>
                <w:noProof/>
              </w:rPr>
              <w:t>(CPC 962)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BG, CY, CZ, EE, HU, LT, MT, RO, PL, SI,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BG, CY, CZ, HU, LT, MT, PL, RO, SI, SK: neconsolidat.</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Biblioteci, arhive, muzee și alte servicii culturale (CPC 963)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BE, BG, CY, CZ, DE, DK, ES, EE, FI, FR, EL, HR, HU, IE, IT, LT, LV, LU, MT, NL, PL, PT, RO, SK, SI,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BE, BG, CY, CZ, DE, DK, ES, FI, FR, EL, HR, HU, IE, IT, LT, LV, LU, MT, NL, PL, PT, RO, SK, SI, SE: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Servicii sportive</w:t>
            </w:r>
          </w:p>
          <w:p>
            <w:pPr>
              <w:widowControl/>
              <w:suppressAutoHyphens/>
              <w:spacing w:before="60" w:after="60" w:line="240" w:lineRule="auto"/>
              <w:rPr>
                <w:rFonts w:ascii="Times New Roman" w:hAnsi="Times New Roman"/>
                <w:noProof/>
              </w:rPr>
            </w:pPr>
            <w:r>
              <w:rPr>
                <w:rFonts w:ascii="Times New Roman" w:hAnsi="Times New Roman"/>
                <w:noProof/>
              </w:rPr>
              <w:t>(CPC 9641)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În AT: neconsolidat pentru serviciile școlilor de schi și serviciile de ghizi montani.</w:t>
            </w:r>
          </w:p>
          <w:p>
            <w:pPr>
              <w:widowControl/>
              <w:suppressAutoHyphens/>
              <w:spacing w:before="60" w:after="60" w:line="240" w:lineRule="auto"/>
              <w:rPr>
                <w:rFonts w:ascii="Times New Roman" w:hAnsi="Times New Roman"/>
                <w:noProof/>
              </w:rPr>
            </w:pPr>
            <w:r>
              <w:rPr>
                <w:rFonts w:ascii="Times New Roman" w:hAnsi="Times New Roman"/>
                <w:noProof/>
              </w:rPr>
              <w:t>În BG, CZ, HR, LV, MT, PL, RO, SK: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CY, EE: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Servicii legate de parcurile de distracții și plajă</w:t>
            </w:r>
          </w:p>
          <w:p>
            <w:pPr>
              <w:widowControl/>
              <w:suppressAutoHyphens/>
              <w:spacing w:before="60" w:after="60" w:line="240" w:lineRule="auto"/>
              <w:rPr>
                <w:rFonts w:ascii="Times New Roman" w:hAnsi="Times New Roman"/>
                <w:noProof/>
              </w:rPr>
            </w:pPr>
            <w:r>
              <w:rPr>
                <w:rFonts w:ascii="Times New Roman" w:hAnsi="Times New Roman"/>
                <w:noProof/>
              </w:rPr>
              <w:t>(CPC 96491)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11. SERVICII</w:t>
            </w:r>
          </w:p>
          <w:p>
            <w:pPr>
              <w:widowControl/>
              <w:suppressAutoHyphens/>
              <w:spacing w:before="60" w:after="60" w:line="240" w:lineRule="auto"/>
              <w:rPr>
                <w:rFonts w:ascii="Times New Roman" w:hAnsi="Times New Roman"/>
                <w:noProof/>
              </w:rPr>
            </w:pPr>
            <w:r>
              <w:rPr>
                <w:rFonts w:ascii="Times New Roman" w:hAnsi="Times New Roman"/>
                <w:noProof/>
              </w:rPr>
              <w:t>DE TRANSPORT</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Transport maritim</w:t>
            </w:r>
          </w:p>
          <w:p>
            <w:pPr>
              <w:widowControl/>
              <w:suppressAutoHyphens/>
              <w:spacing w:before="60" w:after="60" w:line="240" w:lineRule="auto"/>
              <w:rPr>
                <w:rFonts w:ascii="Times New Roman" w:hAnsi="Times New Roman"/>
                <w:noProof/>
              </w:rPr>
            </w:pPr>
            <w:r>
              <w:rPr>
                <w:rFonts w:ascii="Times New Roman" w:hAnsi="Times New Roman"/>
                <w:noProof/>
              </w:rPr>
              <w:t>(a) Transport internațional de călători</w:t>
            </w:r>
          </w:p>
          <w:p>
            <w:pPr>
              <w:widowControl/>
              <w:suppressAutoHyphens/>
              <w:spacing w:before="60" w:after="60" w:line="240" w:lineRule="auto"/>
              <w:rPr>
                <w:rFonts w:ascii="Times New Roman" w:hAnsi="Times New Roman"/>
                <w:noProof/>
              </w:rPr>
            </w:pPr>
            <w:r>
              <w:rPr>
                <w:rFonts w:ascii="Times New Roman" w:hAnsi="Times New Roman"/>
                <w:noProof/>
              </w:rPr>
              <w:t>(CPC 7211, mai puțin transportul intern de cabotaj</w:t>
            </w:r>
            <w:r>
              <w:rPr>
                <w:rStyle w:val="FootnoteReference"/>
                <w:rFonts w:ascii="Times New Roman" w:hAnsi="Times New Roman"/>
                <w:b/>
                <w:noProof/>
              </w:rPr>
              <w:footnoteReference w:id="2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(b) Transportul internațional de mărfuri</w:t>
            </w:r>
          </w:p>
          <w:p>
            <w:pPr>
              <w:widowControl/>
              <w:suppressAutoHyphens/>
              <w:spacing w:before="60" w:after="60" w:line="240" w:lineRule="auto"/>
              <w:rPr>
                <w:rFonts w:ascii="Times New Roman" w:hAnsi="Times New Roman"/>
                <w:noProof/>
              </w:rPr>
            </w:pPr>
            <w:r>
              <w:rPr>
                <w:rFonts w:ascii="Times New Roman" w:hAnsi="Times New Roman"/>
                <w:noProof/>
              </w:rPr>
              <w:t>(CPC 7212, mai puțin transportul intern de cabotaj</w:t>
            </w:r>
            <w:r>
              <w:rPr>
                <w:rStyle w:val="FootnoteReference"/>
                <w:rFonts w:ascii="Times New Roman" w:hAnsi="Times New Roman"/>
                <w:b/>
                <w:noProof/>
              </w:rPr>
              <w:footnoteReference w:id="24"/>
            </w:r>
            <w:r>
              <w:rPr>
                <w:rFonts w:ascii="Times New Roman" w:hAnsi="Times New Roman"/>
                <w:noProof/>
              </w:rPr>
              <w:t>)</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Transportul feroviar</w:t>
            </w:r>
          </w:p>
          <w:p>
            <w:pPr>
              <w:widowControl/>
              <w:suppressAutoHyphens/>
              <w:spacing w:before="60" w:after="60" w:line="240" w:lineRule="auto"/>
              <w:rPr>
                <w:rFonts w:ascii="Times New Roman" w:hAnsi="Times New Roman"/>
                <w:noProof/>
              </w:rPr>
            </w:pPr>
            <w:r>
              <w:rPr>
                <w:rFonts w:ascii="Times New Roman" w:hAnsi="Times New Roman"/>
                <w:noProof/>
              </w:rPr>
              <w:t>(a) Transportul de călători</w:t>
            </w:r>
          </w:p>
          <w:p>
            <w:pPr>
              <w:widowControl/>
              <w:suppressAutoHyphens/>
              <w:spacing w:before="60" w:after="60" w:line="240" w:lineRule="auto"/>
              <w:rPr>
                <w:rFonts w:ascii="Times New Roman" w:hAnsi="Times New Roman"/>
                <w:noProof/>
              </w:rPr>
            </w:pPr>
            <w:r>
              <w:rPr>
                <w:rFonts w:ascii="Times New Roman" w:hAnsi="Times New Roman"/>
                <w:noProof/>
              </w:rPr>
              <w:t>(CPC 7111)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 și modul 2:</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Transportul de mărfuri</w:t>
            </w:r>
          </w:p>
          <w:p>
            <w:pPr>
              <w:widowControl/>
              <w:suppressAutoHyphens/>
              <w:spacing w:before="60" w:after="60" w:line="240" w:lineRule="auto"/>
              <w:rPr>
                <w:rFonts w:ascii="Times New Roman" w:hAnsi="Times New Roman"/>
                <w:noProof/>
              </w:rPr>
            </w:pPr>
            <w:r>
              <w:rPr>
                <w:rFonts w:ascii="Times New Roman" w:hAnsi="Times New Roman"/>
                <w:noProof/>
              </w:rPr>
              <w:t>(CPC 7112)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 și modul 2:</w:t>
            </w:r>
          </w:p>
          <w:p>
            <w:pPr>
              <w:widowControl/>
              <w:suppressAutoHyphens/>
              <w:spacing w:before="60" w:after="60" w:line="240" w:lineRule="auto"/>
              <w:rPr>
                <w:rFonts w:ascii="Times New Roman" w:hAnsi="Times New Roman"/>
                <w:noProof/>
              </w:rPr>
            </w:pPr>
            <w:r>
              <w:rPr>
                <w:rFonts w:ascii="Times New Roman" w:hAnsi="Times New Roman"/>
                <w:noProof/>
              </w:rPr>
              <w:t>În UE: neconsolidat, exceptând pentru tratamentul național, în cazul căruia: niciuna.</w:t>
            </w:r>
          </w:p>
          <w:p>
            <w:pPr>
              <w:widowControl/>
              <w:suppressAutoHyphens/>
              <w:spacing w:before="60" w:after="60" w:line="240" w:lineRule="auto"/>
              <w:rPr>
                <w:rFonts w:ascii="Times New Roman" w:hAnsi="Times New Roman"/>
                <w:noProof/>
              </w:rPr>
            </w:pPr>
            <w:r>
              <w:rPr>
                <w:rFonts w:ascii="Times New Roman" w:hAnsi="Times New Roman"/>
                <w:noProof/>
              </w:rPr>
              <w:t>În IE și SK: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Transportul rutier</w:t>
            </w:r>
          </w:p>
          <w:p>
            <w:pPr>
              <w:widowControl/>
              <w:suppressAutoHyphens/>
              <w:spacing w:before="60" w:after="60" w:line="240" w:lineRule="auto"/>
              <w:rPr>
                <w:rFonts w:ascii="Times New Roman" w:hAnsi="Times New Roman"/>
                <w:noProof/>
              </w:rPr>
            </w:pPr>
            <w:r>
              <w:rPr>
                <w:rFonts w:ascii="Times New Roman" w:hAnsi="Times New Roman"/>
                <w:noProof/>
              </w:rPr>
              <w:t>(a) Transportul de călători</w:t>
            </w:r>
          </w:p>
          <w:p>
            <w:pPr>
              <w:widowControl/>
              <w:suppressAutoHyphens/>
              <w:spacing w:before="60" w:after="60" w:line="240" w:lineRule="auto"/>
              <w:rPr>
                <w:rFonts w:ascii="Times New Roman" w:hAnsi="Times New Roman"/>
                <w:noProof/>
              </w:rPr>
            </w:pPr>
            <w:r>
              <w:rPr>
                <w:rFonts w:ascii="Times New Roman" w:hAnsi="Times New Roman"/>
                <w:noProof/>
              </w:rPr>
              <w:t>(CPC 7121 și CPC 7122)</w:t>
            </w:r>
          </w:p>
          <w:p>
            <w:pPr>
              <w:widowControl/>
              <w:suppressAutoHyphens/>
              <w:spacing w:before="60" w:after="60" w:line="240" w:lineRule="auto"/>
              <w:rPr>
                <w:rFonts w:ascii="Times New Roman" w:hAnsi="Times New Roman"/>
                <w:noProof/>
              </w:rPr>
            </w:pPr>
            <w:r>
              <w:rPr>
                <w:rFonts w:ascii="Times New Roman" w:hAnsi="Times New Roman"/>
                <w:noProof/>
              </w:rPr>
              <w:t>(b) Transportul de mărfuri</w:t>
            </w:r>
          </w:p>
          <w:p>
            <w:pPr>
              <w:widowControl/>
              <w:suppressAutoHyphens/>
              <w:spacing w:before="60" w:after="60" w:line="240" w:lineRule="auto"/>
              <w:rPr>
                <w:rFonts w:ascii="Times New Roman" w:hAnsi="Times New Roman"/>
                <w:noProof/>
              </w:rPr>
            </w:pPr>
            <w:r>
              <w:rPr>
                <w:rFonts w:ascii="Times New Roman" w:hAnsi="Times New Roman"/>
                <w:noProof/>
              </w:rPr>
              <w:t>(CPC 7123, excluzând transportul trimiterilor poștale și de curierat pe cont propriu</w:t>
            </w:r>
            <w:r>
              <w:rPr>
                <w:rStyle w:val="FootnoteReference"/>
                <w:rFonts w:ascii="Times New Roman" w:hAnsi="Times New Roman"/>
                <w:b/>
                <w:noProof/>
              </w:rPr>
              <w:footnoteReference w:id="25"/>
            </w:r>
            <w:r>
              <w:rPr>
                <w:rFonts w:ascii="Times New Roman" w:hAnsi="Times New Roman"/>
                <w:noProof/>
              </w:rPr>
              <w:t>)</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Transportul prin conducte al altor produse decât combustibilul</w:t>
            </w:r>
            <w:r>
              <w:rPr>
                <w:rStyle w:val="FootnoteReference"/>
                <w:rFonts w:ascii="Times New Roman" w:hAnsi="Times New Roman"/>
                <w:b/>
                <w:noProof/>
              </w:rPr>
              <w:footnoteReference w:id="26"/>
            </w:r>
          </w:p>
          <w:p>
            <w:pPr>
              <w:widowControl/>
              <w:suppressAutoHyphens/>
              <w:spacing w:before="60" w:after="60" w:line="240" w:lineRule="auto"/>
              <w:rPr>
                <w:rFonts w:ascii="Times New Roman" w:hAnsi="Times New Roman"/>
                <w:noProof/>
              </w:rPr>
            </w:pPr>
            <w:r>
              <w:rPr>
                <w:rFonts w:ascii="Times New Roman" w:hAnsi="Times New Roman"/>
                <w:noProof/>
              </w:rPr>
              <w:t>(CPC 7139)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IE, IT, LV, LU, MT, NL, PL, PT, RO, SK, SI, SE: neconsolidat.</w:t>
            </w:r>
          </w:p>
        </w:tc>
      </w:tr>
      <w:tr>
        <w:tc>
          <w:tcPr>
            <w:tcW w:w="141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12. SERVICII AUXILIARE TRANSPORTULUI</w:t>
            </w:r>
            <w:r>
              <w:rPr>
                <w:rStyle w:val="FootnoteReference"/>
                <w:rFonts w:ascii="Times New Roman" w:hAnsi="Times New Roman"/>
                <w:b/>
                <w:noProof/>
              </w:rPr>
              <w:footnoteReference w:id="27"/>
            </w:r>
          </w:p>
        </w:tc>
        <w:tc>
          <w:tcPr>
            <w:tcW w:w="3590"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3668"/>
        </w:trPr>
        <w:tc>
          <w:tcPr>
            <w:tcW w:w="141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auxiliare transportului maritim</w:t>
            </w:r>
          </w:p>
          <w:p>
            <w:pPr>
              <w:widowControl/>
              <w:suppressAutoHyphens/>
              <w:spacing w:before="60" w:after="60" w:line="240" w:lineRule="auto"/>
              <w:rPr>
                <w:rFonts w:ascii="Times New Roman" w:hAnsi="Times New Roman"/>
                <w:noProof/>
              </w:rPr>
            </w:pPr>
            <w:r>
              <w:rPr>
                <w:rFonts w:ascii="Times New Roman" w:hAnsi="Times New Roman"/>
                <w:noProof/>
              </w:rPr>
              <w:t>(a) Servicii de manipulare a încărcăturilor</w:t>
            </w:r>
          </w:p>
          <w:p>
            <w:pPr>
              <w:widowControl/>
              <w:suppressAutoHyphens/>
              <w:spacing w:before="60" w:after="60" w:line="240" w:lineRule="auto"/>
              <w:rPr>
                <w:rFonts w:ascii="Times New Roman" w:hAnsi="Times New Roman"/>
                <w:noProof/>
              </w:rPr>
            </w:pPr>
            <w:r>
              <w:rPr>
                <w:rFonts w:ascii="Times New Roman" w:hAnsi="Times New Roman"/>
                <w:noProof/>
              </w:rPr>
              <w:t>maritime</w:t>
            </w:r>
          </w:p>
          <w:p>
            <w:pPr>
              <w:widowControl/>
              <w:suppressAutoHyphens/>
              <w:spacing w:before="60" w:after="60" w:line="240" w:lineRule="auto"/>
              <w:rPr>
                <w:rFonts w:ascii="Times New Roman" w:hAnsi="Times New Roman"/>
                <w:noProof/>
              </w:rPr>
            </w:pPr>
            <w:r>
              <w:rPr>
                <w:rFonts w:ascii="Times New Roman" w:hAnsi="Times New Roman"/>
                <w:noProof/>
              </w:rPr>
              <w:t>(b) Servicii de stocare și depozitare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p>
            <w:pPr>
              <w:widowControl/>
              <w:suppressAutoHyphens/>
              <w:spacing w:before="60" w:after="60" w:line="240" w:lineRule="auto"/>
              <w:rPr>
                <w:rFonts w:ascii="Times New Roman" w:hAnsi="Times New Roman"/>
                <w:noProof/>
              </w:rPr>
            </w:pPr>
            <w:r>
              <w:rPr>
                <w:rFonts w:ascii="Times New Roman" w:hAnsi="Times New Roman"/>
                <w:noProof/>
              </w:rPr>
              <w:t>(c) Servicii de vămuire</w:t>
            </w:r>
          </w:p>
          <w:p>
            <w:pPr>
              <w:widowControl/>
              <w:suppressAutoHyphens/>
              <w:spacing w:before="60" w:after="60" w:line="240" w:lineRule="auto"/>
              <w:rPr>
                <w:rFonts w:ascii="Times New Roman" w:hAnsi="Times New Roman"/>
                <w:noProof/>
              </w:rPr>
            </w:pPr>
            <w:r>
              <w:rPr>
                <w:rFonts w:ascii="Times New Roman" w:hAnsi="Times New Roman"/>
                <w:noProof/>
              </w:rPr>
              <w:t>(d) Servicii de staționare și depozitare a containerelor</w:t>
            </w:r>
          </w:p>
          <w:p>
            <w:pPr>
              <w:suppressAutoHyphens/>
              <w:spacing w:before="60" w:after="60" w:line="240" w:lineRule="auto"/>
              <w:rPr>
                <w:rFonts w:ascii="Times New Roman" w:hAnsi="Times New Roman"/>
                <w:noProof/>
              </w:rPr>
            </w:pPr>
            <w:r>
              <w:rPr>
                <w:rFonts w:ascii="Times New Roman" w:hAnsi="Times New Roman"/>
                <w:noProof/>
              </w:rPr>
              <w:t>(e) Servicii ale agențiilor maritime</w:t>
            </w:r>
          </w:p>
        </w:tc>
        <w:tc>
          <w:tcPr>
            <w:tcW w:w="359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pentru serviciile de manipulare a încărcăturilor maritime și pentru serviciile de împingere și remorcare.</w:t>
            </w:r>
          </w:p>
          <w:p>
            <w:pPr>
              <w:widowControl/>
              <w:suppressAutoHyphens/>
              <w:spacing w:before="60" w:after="60" w:line="240" w:lineRule="auto"/>
              <w:rPr>
                <w:rFonts w:ascii="Times New Roman" w:hAnsi="Times New Roman"/>
                <w:noProof/>
              </w:rPr>
            </w:pPr>
            <w:r>
              <w:rPr>
                <w:rFonts w:ascii="Times New Roman" w:hAnsi="Times New Roman"/>
                <w:noProof/>
              </w:rPr>
              <w:t>În UE: niciuna, cu excepția cerinței privind rezidența pentru serviciile de vămuire.</w:t>
            </w:r>
          </w:p>
          <w:p>
            <w:pPr>
              <w:widowControl/>
              <w:suppressAutoHyphens/>
              <w:spacing w:before="60" w:after="60" w:line="240" w:lineRule="auto"/>
              <w:rPr>
                <w:rFonts w:ascii="Times New Roman" w:hAnsi="Times New Roman"/>
                <w:noProof/>
              </w:rPr>
            </w:pPr>
            <w:r>
              <w:rPr>
                <w:rFonts w:ascii="Times New Roman" w:hAnsi="Times New Roman"/>
                <w:noProof/>
              </w:rPr>
              <w:t>În SE: niciuna, cu excepția împingerii sau a remorcării și a închirierii de nave cu echipaj, în cazul în care SE are limitări cu privire la cabotaj și pavilion.</w:t>
            </w:r>
          </w:p>
          <w:p>
            <w:pPr>
              <w:widowControl/>
              <w:suppressAutoHyphens/>
              <w:spacing w:before="60" w:after="60" w:line="240" w:lineRule="auto"/>
              <w:rPr>
                <w:rFonts w:ascii="Times New Roman" w:hAnsi="Times New Roman"/>
                <w:noProof/>
              </w:rPr>
            </w:pPr>
            <w:r>
              <w:rPr>
                <w:rFonts w:ascii="Times New Roman" w:hAnsi="Times New Roman"/>
                <w:noProof/>
              </w:rPr>
              <w:t>În AT, BG, CY, CZ, DE, EE, HU, LT, MT, PL, RO, SI, SK: neconsolidat pentru serviciile de închiriere de nave cu echipaj.</w:t>
            </w:r>
          </w:p>
          <w:p>
            <w:pPr>
              <w:widowControl/>
              <w:suppressAutoHyphens/>
              <w:spacing w:before="60" w:after="60" w:line="240" w:lineRule="auto"/>
              <w:rPr>
                <w:rFonts w:ascii="Times New Roman" w:hAnsi="Times New Roman"/>
                <w:noProof/>
              </w:rPr>
            </w:pPr>
            <w:r>
              <w:rPr>
                <w:rFonts w:ascii="Times New Roman" w:hAnsi="Times New Roman"/>
                <w:noProof/>
              </w:rPr>
              <w:t>În HR: neconsolidat, cu excepția serviciilor de agenție de transport de mărfuri.</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rPr>
          <w:trHeight w:val="1508"/>
        </w:trPr>
        <w:tc>
          <w:tcPr>
            <w:tcW w:w="1410"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 Servicii maritime de expediere de mărfuri</w:t>
            </w:r>
          </w:p>
          <w:p>
            <w:pPr>
              <w:widowControl/>
              <w:suppressAutoHyphens/>
              <w:spacing w:before="60" w:after="60" w:line="240" w:lineRule="auto"/>
              <w:rPr>
                <w:rFonts w:ascii="Times New Roman" w:hAnsi="Times New Roman"/>
                <w:noProof/>
              </w:rPr>
            </w:pPr>
            <w:r>
              <w:rPr>
                <w:rFonts w:ascii="Times New Roman" w:hAnsi="Times New Roman"/>
                <w:noProof/>
              </w:rPr>
              <w:t>(g) Servicii de închiriere de nave cu echipaj</w:t>
            </w:r>
          </w:p>
          <w:p>
            <w:pPr>
              <w:widowControl/>
              <w:suppressAutoHyphens/>
              <w:spacing w:before="60" w:after="60" w:line="240" w:lineRule="auto"/>
              <w:rPr>
                <w:rFonts w:ascii="Times New Roman" w:hAnsi="Times New Roman"/>
                <w:noProof/>
              </w:rPr>
            </w:pPr>
            <w:r>
              <w:rPr>
                <w:rFonts w:ascii="Times New Roman" w:hAnsi="Times New Roman"/>
                <w:noProof/>
              </w:rPr>
              <w:t>(CPC 7213)</w:t>
            </w:r>
          </w:p>
          <w:p>
            <w:pPr>
              <w:widowControl/>
              <w:suppressAutoHyphens/>
              <w:spacing w:before="60" w:after="60" w:line="240" w:lineRule="auto"/>
              <w:rPr>
                <w:rFonts w:ascii="Times New Roman" w:hAnsi="Times New Roman"/>
                <w:noProof/>
              </w:rPr>
            </w:pPr>
            <w:r>
              <w:rPr>
                <w:rFonts w:ascii="Times New Roman" w:hAnsi="Times New Roman"/>
                <w:noProof/>
              </w:rPr>
              <w:t>(h) Servicii de împingere și remorcare</w:t>
            </w:r>
          </w:p>
          <w:p>
            <w:pPr>
              <w:widowControl/>
              <w:suppressAutoHyphens/>
              <w:spacing w:before="60" w:after="60" w:line="240" w:lineRule="auto"/>
              <w:rPr>
                <w:rFonts w:ascii="Times New Roman" w:hAnsi="Times New Roman"/>
                <w:noProof/>
              </w:rPr>
            </w:pPr>
            <w:r>
              <w:rPr>
                <w:rFonts w:ascii="Times New Roman" w:hAnsi="Times New Roman"/>
                <w:noProof/>
              </w:rPr>
              <w:t>(CPC 7214)</w:t>
            </w:r>
          </w:p>
          <w:p>
            <w:pPr>
              <w:widowControl/>
              <w:suppressAutoHyphens/>
              <w:spacing w:before="60" w:after="60" w:line="240" w:lineRule="auto"/>
              <w:rPr>
                <w:rFonts w:ascii="Times New Roman" w:hAnsi="Times New Roman"/>
                <w:noProof/>
              </w:rPr>
            </w:pPr>
            <w:r>
              <w:rPr>
                <w:rFonts w:ascii="Times New Roman" w:hAnsi="Times New Roman"/>
                <w:noProof/>
              </w:rPr>
              <w:t>(i) Servicii de sprijin pentru transportul maritim</w:t>
            </w:r>
          </w:p>
          <w:p>
            <w:pPr>
              <w:widowControl/>
              <w:suppressAutoHyphens/>
              <w:spacing w:before="60" w:after="60" w:line="240" w:lineRule="auto"/>
              <w:rPr>
                <w:rFonts w:ascii="Times New Roman" w:hAnsi="Times New Roman"/>
                <w:noProof/>
              </w:rPr>
            </w:pPr>
            <w:r>
              <w:rPr>
                <w:rFonts w:ascii="Times New Roman" w:hAnsi="Times New Roman"/>
                <w:noProof/>
              </w:rPr>
              <w:t>(parte din CPC 745)</w:t>
            </w:r>
          </w:p>
          <w:p>
            <w:pPr>
              <w:widowControl/>
              <w:suppressAutoHyphens/>
              <w:spacing w:before="60" w:after="60" w:line="240" w:lineRule="auto"/>
              <w:rPr>
                <w:rFonts w:ascii="Times New Roman" w:hAnsi="Times New Roman"/>
                <w:noProof/>
              </w:rPr>
            </w:pPr>
            <w:r>
              <w:rPr>
                <w:rFonts w:ascii="Times New Roman" w:hAnsi="Times New Roman"/>
                <w:noProof/>
              </w:rPr>
              <w:t>(j) Alte servicii de sprijin și auxiliare</w:t>
            </w:r>
          </w:p>
          <w:p>
            <w:pPr>
              <w:suppressAutoHyphens/>
              <w:spacing w:before="60" w:after="60" w:line="240" w:lineRule="auto"/>
              <w:rPr>
                <w:noProof/>
              </w:rPr>
            </w:pPr>
            <w:r>
              <w:rPr>
                <w:rFonts w:ascii="Times New Roman" w:hAnsi="Times New Roman"/>
                <w:noProof/>
              </w:rPr>
              <w:t>(parte din CPC 749)</w:t>
            </w:r>
          </w:p>
        </w:tc>
        <w:tc>
          <w:tcPr>
            <w:tcW w:w="3590" w:type="pct"/>
            <w:tcBorders>
              <w:top w:val="nil"/>
            </w:tcBorders>
          </w:tcPr>
          <w:p>
            <w:pPr>
              <w:suppressAutoHyphens/>
              <w:spacing w:before="60" w:after="60" w:line="240" w:lineRule="auto"/>
              <w:rPr>
                <w:noProof/>
              </w:rPr>
            </w:pP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auxiliare transportului feroviar</w:t>
            </w:r>
          </w:p>
          <w:p>
            <w:pPr>
              <w:widowControl/>
              <w:suppressAutoHyphens/>
              <w:spacing w:before="60" w:after="60" w:line="240" w:lineRule="auto"/>
              <w:rPr>
                <w:rFonts w:ascii="Times New Roman" w:hAnsi="Times New Roman"/>
                <w:noProof/>
              </w:rPr>
            </w:pPr>
            <w:r>
              <w:rPr>
                <w:rFonts w:ascii="Times New Roman" w:hAnsi="Times New Roman"/>
                <w:noProof/>
              </w:rPr>
              <w:t>(a) Servicii de manipulare a încărcăturilor</w:t>
            </w:r>
          </w:p>
          <w:p>
            <w:pPr>
              <w:widowControl/>
              <w:suppressAutoHyphens/>
              <w:spacing w:before="60" w:after="60" w:line="240" w:lineRule="auto"/>
              <w:rPr>
                <w:rFonts w:ascii="Times New Roman" w:hAnsi="Times New Roman"/>
                <w:noProof/>
              </w:rPr>
            </w:pPr>
            <w:r>
              <w:rPr>
                <w:rFonts w:ascii="Times New Roman" w:hAnsi="Times New Roman"/>
                <w:noProof/>
              </w:rPr>
              <w:t>(parte din CPC 741)</w:t>
            </w:r>
          </w:p>
          <w:p>
            <w:pPr>
              <w:widowControl/>
              <w:suppressAutoHyphens/>
              <w:spacing w:before="60" w:after="60" w:line="240" w:lineRule="auto"/>
              <w:rPr>
                <w:rFonts w:ascii="Times New Roman" w:hAnsi="Times New Roman"/>
                <w:noProof/>
              </w:rPr>
            </w:pPr>
            <w:r>
              <w:rPr>
                <w:rFonts w:ascii="Times New Roman" w:hAnsi="Times New Roman"/>
                <w:noProof/>
              </w:rPr>
              <w:t>(b) Servicii de depozitare și antrepozitare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p>
            <w:pPr>
              <w:widowControl/>
              <w:suppressAutoHyphens/>
              <w:spacing w:before="60" w:after="60" w:line="240" w:lineRule="auto"/>
              <w:rPr>
                <w:rFonts w:ascii="Times New Roman" w:hAnsi="Times New Roman"/>
                <w:noProof/>
              </w:rPr>
            </w:pPr>
            <w:r>
              <w:rPr>
                <w:rFonts w:ascii="Times New Roman" w:hAnsi="Times New Roman"/>
                <w:noProof/>
              </w:rPr>
              <w:t>(c) Servicii de agenție de transport de mărfuri</w:t>
            </w:r>
          </w:p>
          <w:p>
            <w:pPr>
              <w:widowControl/>
              <w:suppressAutoHyphens/>
              <w:spacing w:before="60" w:after="60" w:line="240" w:lineRule="auto"/>
              <w:rPr>
                <w:rFonts w:ascii="Times New Roman" w:hAnsi="Times New Roman"/>
                <w:noProof/>
              </w:rPr>
            </w:pPr>
            <w:r>
              <w:rPr>
                <w:rFonts w:ascii="Times New Roman" w:hAnsi="Times New Roman"/>
                <w:noProof/>
              </w:rPr>
              <w:t>(parte din CPC 748)</w:t>
            </w:r>
          </w:p>
          <w:p>
            <w:pPr>
              <w:widowControl/>
              <w:suppressAutoHyphens/>
              <w:spacing w:before="60" w:after="60" w:line="240" w:lineRule="auto"/>
              <w:rPr>
                <w:rFonts w:ascii="Times New Roman" w:hAnsi="Times New Roman"/>
                <w:noProof/>
              </w:rPr>
            </w:pPr>
            <w:r>
              <w:rPr>
                <w:rFonts w:ascii="Times New Roman" w:hAnsi="Times New Roman"/>
                <w:noProof/>
              </w:rPr>
              <w:t>(d) Servicii de împingere și remorcare</w:t>
            </w:r>
          </w:p>
          <w:p>
            <w:pPr>
              <w:widowControl/>
              <w:suppressAutoHyphens/>
              <w:spacing w:before="60" w:after="60" w:line="240" w:lineRule="auto"/>
              <w:rPr>
                <w:rFonts w:ascii="Times New Roman" w:hAnsi="Times New Roman"/>
                <w:noProof/>
              </w:rPr>
            </w:pPr>
            <w:r>
              <w:rPr>
                <w:rFonts w:ascii="Times New Roman" w:hAnsi="Times New Roman"/>
                <w:noProof/>
              </w:rPr>
              <w:t>(CPC 7113)</w:t>
            </w:r>
          </w:p>
          <w:p>
            <w:pPr>
              <w:widowControl/>
              <w:suppressAutoHyphens/>
              <w:spacing w:before="60" w:after="60" w:line="240" w:lineRule="auto"/>
              <w:rPr>
                <w:rFonts w:ascii="Times New Roman" w:hAnsi="Times New Roman"/>
                <w:noProof/>
              </w:rPr>
            </w:pPr>
            <w:r>
              <w:rPr>
                <w:rFonts w:ascii="Times New Roman" w:hAnsi="Times New Roman"/>
                <w:noProof/>
              </w:rPr>
              <w:t>(e) Servicii de sprijin pentru serviciile de transport feroviar</w:t>
            </w:r>
          </w:p>
          <w:p>
            <w:pPr>
              <w:widowControl/>
              <w:suppressAutoHyphens/>
              <w:spacing w:before="60" w:after="60" w:line="240" w:lineRule="auto"/>
              <w:rPr>
                <w:rFonts w:ascii="Times New Roman" w:hAnsi="Times New Roman"/>
                <w:noProof/>
              </w:rPr>
            </w:pPr>
            <w:r>
              <w:rPr>
                <w:rFonts w:ascii="Times New Roman" w:hAnsi="Times New Roman"/>
                <w:noProof/>
              </w:rPr>
              <w:t>(CPC 743)</w:t>
            </w:r>
          </w:p>
          <w:p>
            <w:pPr>
              <w:widowControl/>
              <w:suppressAutoHyphens/>
              <w:spacing w:before="60" w:after="60" w:line="240" w:lineRule="auto"/>
              <w:rPr>
                <w:rFonts w:ascii="Times New Roman" w:hAnsi="Times New Roman"/>
                <w:noProof/>
              </w:rPr>
            </w:pPr>
            <w:r>
              <w:rPr>
                <w:rFonts w:ascii="Times New Roman" w:hAnsi="Times New Roman"/>
                <w:noProof/>
              </w:rPr>
              <w:t>(f) Alte servicii de sprijin și auxiliare</w:t>
            </w:r>
          </w:p>
          <w:p>
            <w:pPr>
              <w:widowControl/>
              <w:suppressAutoHyphens/>
              <w:spacing w:before="60" w:after="60" w:line="240" w:lineRule="auto"/>
              <w:rPr>
                <w:rFonts w:ascii="Times New Roman" w:hAnsi="Times New Roman"/>
                <w:noProof/>
              </w:rPr>
            </w:pPr>
            <w:r>
              <w:rPr>
                <w:rFonts w:ascii="Times New Roman" w:hAnsi="Times New Roman"/>
                <w:noProof/>
              </w:rPr>
              <w:t>(parte din CPC 749)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pentru serviciile de împingere și remorcare.</w:t>
            </w:r>
          </w:p>
          <w:p>
            <w:pPr>
              <w:widowControl/>
              <w:suppressAutoHyphens/>
              <w:spacing w:before="60" w:after="60" w:line="240" w:lineRule="auto"/>
              <w:rPr>
                <w:rFonts w:ascii="Times New Roman" w:hAnsi="Times New Roman"/>
                <w:noProof/>
              </w:rPr>
            </w:pPr>
            <w:r>
              <w:rPr>
                <w:rFonts w:ascii="Times New Roman" w:hAnsi="Times New Roman"/>
                <w:noProof/>
              </w:rPr>
              <w:t>În CZ: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HR: neconsolidat, cu excepția serviciilor de agenție de transport de mărfuri.</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auxiliare transportului rutier</w:t>
            </w:r>
          </w:p>
          <w:p>
            <w:pPr>
              <w:widowControl/>
              <w:suppressAutoHyphens/>
              <w:spacing w:before="60" w:after="60" w:line="240" w:lineRule="auto"/>
              <w:rPr>
                <w:rFonts w:ascii="Times New Roman" w:hAnsi="Times New Roman"/>
                <w:noProof/>
              </w:rPr>
            </w:pPr>
            <w:r>
              <w:rPr>
                <w:rFonts w:ascii="Times New Roman" w:hAnsi="Times New Roman"/>
                <w:noProof/>
              </w:rPr>
              <w:t>(a) Servicii de manipulare a încărcăturilor</w:t>
            </w:r>
          </w:p>
          <w:p>
            <w:pPr>
              <w:widowControl/>
              <w:suppressAutoHyphens/>
              <w:spacing w:before="60" w:after="60" w:line="240" w:lineRule="auto"/>
              <w:rPr>
                <w:rFonts w:ascii="Times New Roman" w:hAnsi="Times New Roman"/>
                <w:noProof/>
              </w:rPr>
            </w:pPr>
            <w:r>
              <w:rPr>
                <w:rFonts w:ascii="Times New Roman" w:hAnsi="Times New Roman"/>
                <w:noProof/>
              </w:rPr>
              <w:t>(parte din CPC 741)</w:t>
            </w:r>
          </w:p>
          <w:p>
            <w:pPr>
              <w:widowControl/>
              <w:suppressAutoHyphens/>
              <w:spacing w:before="60" w:after="60" w:line="240" w:lineRule="auto"/>
              <w:rPr>
                <w:rFonts w:ascii="Times New Roman" w:hAnsi="Times New Roman"/>
                <w:noProof/>
              </w:rPr>
            </w:pPr>
            <w:r>
              <w:rPr>
                <w:rFonts w:ascii="Times New Roman" w:hAnsi="Times New Roman"/>
                <w:noProof/>
              </w:rPr>
              <w:t>(b) Servicii de depozitare și antrepozitare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p>
            <w:pPr>
              <w:widowControl/>
              <w:suppressAutoHyphens/>
              <w:spacing w:before="60" w:after="60" w:line="240" w:lineRule="auto"/>
              <w:rPr>
                <w:rFonts w:ascii="Times New Roman" w:hAnsi="Times New Roman"/>
                <w:noProof/>
              </w:rPr>
            </w:pPr>
            <w:r>
              <w:rPr>
                <w:rFonts w:ascii="Times New Roman" w:hAnsi="Times New Roman"/>
                <w:noProof/>
              </w:rPr>
              <w:t>(c) Servicii de agenție de transport de mărfuri</w:t>
            </w:r>
          </w:p>
          <w:p>
            <w:pPr>
              <w:widowControl/>
              <w:suppressAutoHyphens/>
              <w:spacing w:before="60" w:after="60" w:line="240" w:lineRule="auto"/>
              <w:rPr>
                <w:rFonts w:ascii="Times New Roman" w:hAnsi="Times New Roman"/>
                <w:noProof/>
              </w:rPr>
            </w:pPr>
            <w:r>
              <w:rPr>
                <w:rFonts w:ascii="Times New Roman" w:hAnsi="Times New Roman"/>
                <w:noProof/>
              </w:rPr>
              <w:t>(parte din CPC 748)</w:t>
            </w:r>
          </w:p>
          <w:p>
            <w:pPr>
              <w:widowControl/>
              <w:suppressAutoHyphens/>
              <w:spacing w:before="60" w:after="60" w:line="240" w:lineRule="auto"/>
              <w:rPr>
                <w:rFonts w:ascii="Times New Roman" w:hAnsi="Times New Roman"/>
                <w:noProof/>
              </w:rPr>
            </w:pPr>
            <w:r>
              <w:rPr>
                <w:rFonts w:ascii="Times New Roman" w:hAnsi="Times New Roman"/>
                <w:noProof/>
              </w:rPr>
              <w:t>(d) Închiriere de vehicule rutiere comerciale cu operatori</w:t>
            </w:r>
          </w:p>
          <w:p>
            <w:pPr>
              <w:widowControl/>
              <w:suppressAutoHyphens/>
              <w:spacing w:before="60" w:after="60" w:line="240" w:lineRule="auto"/>
              <w:rPr>
                <w:rFonts w:ascii="Times New Roman" w:hAnsi="Times New Roman"/>
                <w:noProof/>
              </w:rPr>
            </w:pPr>
            <w:r>
              <w:rPr>
                <w:rFonts w:ascii="Times New Roman" w:hAnsi="Times New Roman"/>
                <w:noProof/>
              </w:rPr>
              <w:t>(CPC 7124)</w:t>
            </w:r>
          </w:p>
          <w:p>
            <w:pPr>
              <w:widowControl/>
              <w:suppressAutoHyphens/>
              <w:spacing w:before="60" w:after="60" w:line="240" w:lineRule="auto"/>
              <w:rPr>
                <w:rFonts w:ascii="Times New Roman" w:hAnsi="Times New Roman"/>
                <w:noProof/>
              </w:rPr>
            </w:pPr>
            <w:r>
              <w:rPr>
                <w:rFonts w:ascii="Times New Roman" w:hAnsi="Times New Roman"/>
                <w:noProof/>
              </w:rPr>
              <w:t>(e) Servicii de sprijin pentru transportul rutier</w:t>
            </w:r>
          </w:p>
          <w:p>
            <w:pPr>
              <w:widowControl/>
              <w:suppressAutoHyphens/>
              <w:spacing w:before="60" w:after="60" w:line="240" w:lineRule="auto"/>
              <w:rPr>
                <w:rFonts w:ascii="Times New Roman" w:hAnsi="Times New Roman"/>
                <w:noProof/>
              </w:rPr>
            </w:pPr>
            <w:r>
              <w:rPr>
                <w:rFonts w:ascii="Times New Roman" w:hAnsi="Times New Roman"/>
                <w:noProof/>
              </w:rPr>
              <w:t>(CPC 744)</w:t>
            </w:r>
          </w:p>
          <w:p>
            <w:pPr>
              <w:widowControl/>
              <w:suppressAutoHyphens/>
              <w:spacing w:before="60" w:after="60" w:line="240" w:lineRule="auto"/>
              <w:rPr>
                <w:rFonts w:ascii="Times New Roman" w:hAnsi="Times New Roman"/>
                <w:noProof/>
              </w:rPr>
            </w:pPr>
            <w:r>
              <w:rPr>
                <w:rFonts w:ascii="Times New Roman" w:hAnsi="Times New Roman"/>
                <w:noProof/>
              </w:rPr>
              <w:t>(f) Alte servicii de sprijin și auxiliare</w:t>
            </w:r>
          </w:p>
          <w:p>
            <w:pPr>
              <w:widowControl/>
              <w:suppressAutoHyphens/>
              <w:spacing w:before="60" w:after="60" w:line="240" w:lineRule="auto"/>
              <w:rPr>
                <w:rFonts w:ascii="Times New Roman" w:hAnsi="Times New Roman"/>
                <w:noProof/>
              </w:rPr>
            </w:pPr>
            <w:r>
              <w:rPr>
                <w:rFonts w:ascii="Times New Roman" w:hAnsi="Times New Roman"/>
                <w:noProof/>
              </w:rPr>
              <w:t>(parte din CPC 749)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BG, CY, CZ, EE, HU, LV, LT, MT, PL, RO, SK, SI, SE: neconsolidat pentru închirierea de vehicule rutiere comerciale cu operatori.</w:t>
            </w:r>
          </w:p>
          <w:p>
            <w:pPr>
              <w:widowControl/>
              <w:suppressAutoHyphens/>
              <w:spacing w:before="60" w:after="60" w:line="240" w:lineRule="auto"/>
              <w:rPr>
                <w:rFonts w:ascii="Times New Roman" w:hAnsi="Times New Roman"/>
                <w:noProof/>
              </w:rPr>
            </w:pPr>
            <w:r>
              <w:rPr>
                <w:rFonts w:ascii="Times New Roman" w:hAnsi="Times New Roman"/>
                <w:noProof/>
              </w:rPr>
              <w:t>În HR: neconsolidat, cu excepția serviciilor de agenție de transport de mărfuri și a serviciilor de sprijin pentru transportul rutier, care fac obiectul unei autorizații.</w:t>
            </w:r>
          </w:p>
          <w:p>
            <w:pPr>
              <w:widowControl/>
              <w:suppressAutoHyphens/>
              <w:spacing w:before="60" w:after="60" w:line="240" w:lineRule="auto"/>
              <w:rPr>
                <w:rFonts w:ascii="Times New Roman" w:hAnsi="Times New Roman"/>
                <w:noProof/>
              </w:rPr>
            </w:pPr>
            <w:r>
              <w:rPr>
                <w:rFonts w:ascii="Times New Roman" w:hAnsi="Times New Roman"/>
                <w:noProof/>
              </w:rPr>
              <w:t>În CZ: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auxiliare serviciilor de transport aerian</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de handling la sol (inclusiv servicii de catering)</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cu excepția cateringului.</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BG, CY, CZ, HU, MT, PL, RO, SK SI: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Servicii de depozitare și antrepozitare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Servicii de agenție de transport de mărfuri</w:t>
            </w:r>
          </w:p>
          <w:p>
            <w:pPr>
              <w:widowControl/>
              <w:suppressAutoHyphens/>
              <w:spacing w:before="60" w:after="60" w:line="240" w:lineRule="auto"/>
              <w:rPr>
                <w:rFonts w:ascii="Times New Roman" w:hAnsi="Times New Roman"/>
                <w:noProof/>
              </w:rPr>
            </w:pPr>
            <w:r>
              <w:rPr>
                <w:rFonts w:ascii="Times New Roman" w:hAnsi="Times New Roman"/>
                <w:noProof/>
              </w:rPr>
              <w:t>(parte din CPC 748)</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Servicii auxiliare transportului prin conducte al altor produse decât combustibilul</w:t>
            </w:r>
            <w:r>
              <w:rPr>
                <w:rStyle w:val="FootnoteReference"/>
                <w:rFonts w:ascii="Times New Roman" w:hAnsi="Times New Roman"/>
                <w:b/>
                <w:noProof/>
              </w:rPr>
              <w:footnoteReference w:id="28"/>
            </w:r>
          </w:p>
          <w:p>
            <w:pPr>
              <w:widowControl/>
              <w:suppressAutoHyphens/>
              <w:spacing w:before="60" w:after="60" w:line="240" w:lineRule="auto"/>
              <w:rPr>
                <w:rFonts w:ascii="Times New Roman" w:hAnsi="Times New Roman"/>
                <w:noProof/>
              </w:rPr>
            </w:pPr>
            <w:r>
              <w:rPr>
                <w:rFonts w:ascii="Times New Roman" w:hAnsi="Times New Roman"/>
                <w:noProof/>
              </w:rPr>
              <w:t>(a) Servicii de depozitare și antrepozitare a produselor, altele decât combustibilul, transportate prin conducte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FI, FR, EL, HR, IE, IT, LT, LU, MT, NL, PL, PT, RO, SK, SI,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13. ALTE SERVICII DE TRANSPORT</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Furnizarea de servicii de transport combinat</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Toate statele membre, cu excepția AT, BG, CY, CZ, EE, HR, HU, LT, LV, MT, PL, RO, SE, SI, SK: Nu sunt prevăzute, fără a se aduce atingere limitărilor înscrise în prezenta listă a angajamentelor care afectează orice modalitate specifică de transport.</w:t>
            </w:r>
          </w:p>
          <w:p>
            <w:pPr>
              <w:widowControl/>
              <w:suppressAutoHyphens/>
              <w:spacing w:before="60" w:after="60" w:line="240" w:lineRule="auto"/>
              <w:rPr>
                <w:rFonts w:ascii="Times New Roman" w:hAnsi="Times New Roman"/>
                <w:noProof/>
              </w:rPr>
            </w:pPr>
            <w:r>
              <w:rPr>
                <w:rFonts w:ascii="Times New Roman" w:hAnsi="Times New Roman"/>
                <w:noProof/>
              </w:rPr>
              <w:t>În AT, BG, CY, CZ, EE, HR, HU, LT, LV, MT, PL, RO, SE, SI, SK: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14. SERVICII ENERGETICE</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conexe mineritului</w:t>
            </w:r>
          </w:p>
          <w:p>
            <w:pPr>
              <w:widowControl/>
              <w:suppressAutoHyphens/>
              <w:spacing w:before="60" w:after="60" w:line="240" w:lineRule="auto"/>
              <w:rPr>
                <w:rFonts w:ascii="Times New Roman" w:hAnsi="Times New Roman"/>
                <w:noProof/>
              </w:rPr>
            </w:pPr>
            <w:r>
              <w:rPr>
                <w:rFonts w:ascii="Times New Roman" w:hAnsi="Times New Roman"/>
                <w:noProof/>
              </w:rPr>
              <w:t>(CPC 883)</w:t>
            </w:r>
            <w:r>
              <w:rPr>
                <w:rStyle w:val="FootnoteReference"/>
                <w:rFonts w:ascii="Times New Roman" w:hAnsi="Times New Roman"/>
                <w:b/>
                <w:noProof/>
              </w:rPr>
              <w:footnoteReference w:id="29"/>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Transportul prin conducte al combustibililor</w:t>
            </w:r>
          </w:p>
          <w:p>
            <w:pPr>
              <w:pageBreakBefore/>
              <w:widowControl/>
              <w:suppressAutoHyphens/>
              <w:spacing w:before="60" w:after="60" w:line="240" w:lineRule="auto"/>
              <w:rPr>
                <w:rFonts w:ascii="Times New Roman" w:hAnsi="Times New Roman"/>
                <w:noProof/>
              </w:rPr>
            </w:pPr>
            <w:r>
              <w:rPr>
                <w:rFonts w:ascii="Times New Roman" w:hAnsi="Times New Roman"/>
                <w:noProof/>
              </w:rPr>
              <w:t>(CPC 7131)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IE, IT, LV, LU, MT, NL, PL, PT, RO, SK, SI, SE: neconsolidat.</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Servicii de depozitare și antrepozitare a combustibililor transportați prin conducte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ES, FI, FR, EL, HR, IE, IT, LT, LU, MT, NL, PL, PT, RO, SK, SI, SE: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D. Servicii de comerț angro cu combustibili solizi, lichizi și gazoși și de produse conexe</w:t>
            </w:r>
          </w:p>
          <w:p>
            <w:pPr>
              <w:widowControl/>
              <w:suppressAutoHyphens/>
              <w:spacing w:before="60" w:after="60" w:line="240" w:lineRule="auto"/>
              <w:rPr>
                <w:rFonts w:ascii="Times New Roman" w:hAnsi="Times New Roman"/>
                <w:noProof/>
              </w:rPr>
            </w:pPr>
            <w:r>
              <w:rPr>
                <w:rFonts w:ascii="Times New Roman" w:hAnsi="Times New Roman"/>
                <w:noProof/>
              </w:rPr>
              <w:t>(CPC 62271)</w:t>
            </w:r>
          </w:p>
          <w:p>
            <w:pPr>
              <w:widowControl/>
              <w:suppressAutoHyphens/>
              <w:spacing w:before="60" w:after="60" w:line="240" w:lineRule="auto"/>
              <w:rPr>
                <w:rFonts w:ascii="Times New Roman" w:hAnsi="Times New Roman"/>
                <w:noProof/>
              </w:rPr>
            </w:pPr>
            <w:r>
              <w:rPr>
                <w:rFonts w:ascii="Times New Roman" w:hAnsi="Times New Roman"/>
                <w:noProof/>
              </w:rPr>
              <w:t>și servicii de comerț angro cu energie electrică, abur și apă caldă</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pentru serviciile de comerț angro cu energie electrică, abur și apă caldă</w:t>
            </w:r>
          </w:p>
          <w:p>
            <w:pPr>
              <w:widowControl/>
              <w:suppressAutoHyphens/>
              <w:spacing w:before="60" w:after="60" w:line="240" w:lineRule="auto"/>
              <w:rPr>
                <w:rFonts w:ascii="Times New Roman" w:hAnsi="Times New Roman"/>
                <w:noProof/>
              </w:rPr>
            </w:pPr>
            <w:r>
              <w:rPr>
                <w:rFonts w:ascii="Times New Roman" w:hAnsi="Times New Roman"/>
                <w:noProof/>
              </w:rPr>
              <w:t>În SK: pentru combustibili lichizi și gazoși: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Servicii de comerț cu amănuntul cu carburanți pentru autovehicule</w:t>
            </w:r>
          </w:p>
          <w:p>
            <w:pPr>
              <w:widowControl/>
              <w:suppressAutoHyphens/>
              <w:spacing w:before="60" w:after="60" w:line="240" w:lineRule="auto"/>
              <w:rPr>
                <w:rFonts w:ascii="Times New Roman" w:hAnsi="Times New Roman"/>
                <w:noProof/>
              </w:rPr>
            </w:pPr>
            <w:r>
              <w:rPr>
                <w:rFonts w:ascii="Times New Roman" w:hAnsi="Times New Roman"/>
                <w:noProof/>
              </w:rPr>
              <w:t>(CPC 613)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F. Servicii de comercializare cu amănuntul a păcurii, a gazului îmbuteliat, a cărbunelui și a lemnului</w:t>
            </w:r>
          </w:p>
          <w:p>
            <w:pPr>
              <w:widowControl/>
              <w:suppressAutoHyphens/>
              <w:spacing w:before="60" w:after="60" w:line="240" w:lineRule="auto"/>
              <w:rPr>
                <w:rFonts w:ascii="Times New Roman" w:hAnsi="Times New Roman"/>
                <w:noProof/>
              </w:rPr>
            </w:pPr>
            <w:r>
              <w:rPr>
                <w:rFonts w:ascii="Times New Roman" w:hAnsi="Times New Roman"/>
                <w:noProof/>
              </w:rPr>
              <w:t>(CPC 63297)</w:t>
            </w:r>
          </w:p>
          <w:p>
            <w:pPr>
              <w:widowControl/>
              <w:suppressAutoHyphens/>
              <w:spacing w:before="60" w:after="60" w:line="240" w:lineRule="auto"/>
              <w:rPr>
                <w:rFonts w:ascii="Times New Roman" w:hAnsi="Times New Roman"/>
                <w:noProof/>
              </w:rPr>
            </w:pPr>
            <w:r>
              <w:rPr>
                <w:rFonts w:ascii="Times New Roman" w:hAnsi="Times New Roman"/>
                <w:noProof/>
              </w:rPr>
              <w:t>și servicii de comercializare cu amănuntul a energiei electrice, a gazului (neîmbuteliat), a aburului și a apei calde</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pentru serviciile de comercializare cu amănuntul a energiei electrice, a gazului (neîmbuteliat), a aburului și a apei calde.</w:t>
            </w:r>
          </w:p>
          <w:p>
            <w:pPr>
              <w:widowControl/>
              <w:suppressAutoHyphens/>
              <w:spacing w:before="60" w:after="60" w:line="240" w:lineRule="auto"/>
              <w:rPr>
                <w:rFonts w:ascii="Times New Roman" w:hAnsi="Times New Roman"/>
                <w:noProof/>
              </w:rPr>
            </w:pPr>
            <w:r>
              <w:rPr>
                <w:rFonts w:ascii="Times New Roman" w:hAnsi="Times New Roman"/>
                <w:noProof/>
              </w:rPr>
              <w:t>În BE, BG, CY, CZ, DE, DK, ES, FR, EL, IE, IT, LU, MT, NL, PL, PT, SK: Pentru serviciile de comercializare cu amănuntul a păcurii, a gazului îmbuteliat, a cărbunelui și a lemnului, neconsolidat, cu excepția comenzilor prin corespondență (nu sunt prevăzute pentru comenzile prin corespondență).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G. Servicii conexe distribuției de energie electrică</w:t>
            </w:r>
          </w:p>
          <w:p>
            <w:pPr>
              <w:widowControl/>
              <w:suppressAutoHyphens/>
              <w:spacing w:before="60" w:after="60" w:line="240" w:lineRule="auto"/>
              <w:rPr>
                <w:rFonts w:ascii="Times New Roman" w:hAnsi="Times New Roman"/>
                <w:noProof/>
              </w:rPr>
            </w:pPr>
            <w:r>
              <w:rPr>
                <w:rFonts w:ascii="Times New Roman" w:hAnsi="Times New Roman"/>
                <w:noProof/>
              </w:rPr>
              <w:t>(CPC 887)</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 cu excepția serviciilor de consultanță (nu sunt prevăzute pentru serviciile de consultanță).</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15. ALTE SERVICII CARE NU SUNT INCLUSE ÎN ALTĂ PARTE</w:t>
            </w:r>
          </w:p>
        </w:tc>
        <w:tc>
          <w:tcPr>
            <w:tcW w:w="3590" w:type="pct"/>
          </w:tcPr>
          <w:p>
            <w:pPr>
              <w:widowControl/>
              <w:suppressAutoHyphens/>
              <w:spacing w:before="60" w:after="60" w:line="240" w:lineRule="auto"/>
              <w:rPr>
                <w:rFonts w:ascii="Times New Roman" w:hAnsi="Times New Roman"/>
                <w:noProof/>
              </w:rPr>
            </w:pP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(a) Servicii de spălat, curățat și vopsit</w:t>
            </w:r>
          </w:p>
          <w:p>
            <w:pPr>
              <w:widowControl/>
              <w:suppressAutoHyphens/>
              <w:spacing w:before="60" w:after="60" w:line="240" w:lineRule="auto"/>
              <w:rPr>
                <w:rFonts w:ascii="Times New Roman" w:hAnsi="Times New Roman"/>
                <w:noProof/>
              </w:rPr>
            </w:pPr>
            <w:r>
              <w:rPr>
                <w:rFonts w:ascii="Times New Roman" w:hAnsi="Times New Roman"/>
                <w:noProof/>
              </w:rPr>
              <w:t>(CPC 9701)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(b) Servicii de coafură</w:t>
            </w:r>
          </w:p>
          <w:p>
            <w:pPr>
              <w:widowControl/>
              <w:suppressAutoHyphens/>
              <w:spacing w:before="60" w:after="60" w:line="240" w:lineRule="auto"/>
              <w:rPr>
                <w:rFonts w:ascii="Times New Roman" w:hAnsi="Times New Roman"/>
                <w:noProof/>
              </w:rPr>
            </w:pPr>
            <w:r>
              <w:rPr>
                <w:rFonts w:ascii="Times New Roman" w:hAnsi="Times New Roman"/>
                <w:noProof/>
              </w:rPr>
              <w:t>(CPC 97021)</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(c) Servicii de tratament cosmetic, manichiură și pedichiură</w:t>
            </w:r>
          </w:p>
          <w:p>
            <w:pPr>
              <w:widowControl/>
              <w:suppressAutoHyphens/>
              <w:spacing w:before="60" w:after="60" w:line="240" w:lineRule="auto"/>
              <w:rPr>
                <w:rFonts w:ascii="Times New Roman" w:hAnsi="Times New Roman"/>
                <w:noProof/>
              </w:rPr>
            </w:pPr>
            <w:r>
              <w:rPr>
                <w:rFonts w:ascii="Times New Roman" w:hAnsi="Times New Roman"/>
                <w:noProof/>
              </w:rPr>
              <w:t>(CPC 97022)</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Alte servicii de tratament de înfrumusețare n.c.a.</w:t>
            </w:r>
          </w:p>
          <w:p>
            <w:pPr>
              <w:widowControl/>
              <w:suppressAutoHyphens/>
              <w:spacing w:before="60" w:after="60" w:line="240" w:lineRule="auto"/>
              <w:rPr>
                <w:rFonts w:ascii="Times New Roman" w:hAnsi="Times New Roman"/>
                <w:noProof/>
              </w:rPr>
            </w:pPr>
            <w:r>
              <w:rPr>
                <w:rFonts w:ascii="Times New Roman" w:hAnsi="Times New Roman"/>
                <w:noProof/>
              </w:rPr>
              <w:t>(CPC 97029)</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(e) Servicii de întreținere corporală și masaje altele decât terapeutice, în măsura în care sunt furnizate ca servicii de relaxare și de asigurare a bunăstării fizice, și nu în scopuri medicale sau de recuperare</w:t>
            </w:r>
            <w:r>
              <w:rPr>
                <w:rStyle w:val="FootnoteReference"/>
                <w:rFonts w:ascii="Times New Roman" w:hAnsi="Times New Roman"/>
                <w:b/>
                <w:noProof/>
              </w:rPr>
              <w:footnoteReference w:id="30"/>
            </w:r>
          </w:p>
          <w:p>
            <w:pPr>
              <w:widowControl/>
              <w:suppressAutoHyphens/>
              <w:spacing w:before="60" w:after="60" w:line="240" w:lineRule="auto"/>
              <w:rPr>
                <w:rFonts w:ascii="Times New Roman" w:hAnsi="Times New Roman"/>
                <w:noProof/>
              </w:rPr>
            </w:pPr>
            <w:r>
              <w:rPr>
                <w:rFonts w:ascii="Times New Roman" w:hAnsi="Times New Roman"/>
                <w:noProof/>
              </w:rPr>
              <w:t>(CPC ver. 1.0 97230)</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410" w:type="pct"/>
          </w:tcPr>
          <w:p>
            <w:pPr>
              <w:widowControl/>
              <w:suppressAutoHyphens/>
              <w:spacing w:before="60" w:after="60" w:line="240" w:lineRule="auto"/>
              <w:rPr>
                <w:rFonts w:ascii="Times New Roman" w:hAnsi="Times New Roman"/>
                <w:noProof/>
              </w:rPr>
            </w:pPr>
            <w:r>
              <w:rPr>
                <w:rFonts w:ascii="Times New Roman" w:hAnsi="Times New Roman"/>
                <w:noProof/>
              </w:rPr>
              <w:t>(g) Servicii de conexiuni de telecomunicații</w:t>
            </w:r>
          </w:p>
          <w:p>
            <w:pPr>
              <w:widowControl/>
              <w:suppressAutoHyphens/>
              <w:spacing w:before="60" w:after="60" w:line="240" w:lineRule="auto"/>
              <w:rPr>
                <w:rFonts w:ascii="Times New Roman" w:hAnsi="Times New Roman"/>
                <w:noProof/>
              </w:rPr>
            </w:pPr>
            <w:r>
              <w:rPr>
                <w:rFonts w:ascii="Times New Roman" w:hAnsi="Times New Roman"/>
                <w:noProof/>
              </w:rPr>
              <w:t>(CPC 7543)</w:t>
            </w:r>
          </w:p>
        </w:tc>
        <w:tc>
          <w:tcPr>
            <w:tcW w:w="3590" w:type="pct"/>
          </w:tcPr>
          <w:p>
            <w:pPr>
              <w:widowControl/>
              <w:suppressAutoHyphens/>
              <w:spacing w:before="60" w:after="60" w:line="240" w:lineRule="auto"/>
              <w:rPr>
                <w:rFonts w:ascii="Times New Roman" w:hAnsi="Times New Roman"/>
                <w:noProof/>
              </w:rPr>
            </w:pPr>
            <w:r>
              <w:rPr>
                <w:rFonts w:ascii="Times New Roman" w:hAnsi="Times New Roman"/>
                <w:noProof/>
              </w:rPr>
              <w:t>Pentru modurile 1 și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bl>
    <w:p>
      <w:pPr>
        <w:rPr>
          <w:noProof/>
        </w:rPr>
      </w:pPr>
    </w:p>
    <w:p>
      <w:pPr>
        <w:rPr>
          <w:noProof/>
        </w:rPr>
      </w:pPr>
    </w:p>
    <w:p>
      <w:pPr>
        <w:jc w:val="center"/>
        <w:rPr>
          <w:noProof/>
        </w:rPr>
      </w:pPr>
      <w:r>
        <w:rPr>
          <w:noProof/>
        </w:rPr>
        <w:t>________________</w:t>
      </w:r>
    </w:p>
    <w:p>
      <w:pPr>
        <w:rPr>
          <w:noProof/>
        </w:rPr>
        <w:sectPr>
          <w:headerReference w:type="default" r:id="rId26"/>
          <w:footerReference w:type="default" r:id="rId27"/>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bookmarkStart w:id="10" w:name="_Hlk231966772"/>
      <w:r>
        <w:rPr>
          <w:b/>
          <w:noProof/>
          <w:u w:val="single"/>
        </w:rPr>
        <w:lastRenderedPageBreak/>
        <w:t>ANEXA 8-B</w:t>
      </w:r>
    </w:p>
    <w:p>
      <w:pPr>
        <w:rPr>
          <w:rFonts w:eastAsia="Batang"/>
          <w:noProof/>
        </w:rPr>
      </w:pPr>
    </w:p>
    <w:p>
      <w:pPr>
        <w:rPr>
          <w:rFonts w:eastAsia="Batang"/>
          <w:noProof/>
        </w:rPr>
      </w:pPr>
    </w:p>
    <w:p>
      <w:pPr>
        <w:jc w:val="center"/>
        <w:rPr>
          <w:rFonts w:eastAsia="Batang"/>
          <w:noProof/>
        </w:rPr>
      </w:pPr>
      <w:r>
        <w:rPr>
          <w:noProof/>
        </w:rPr>
        <w:t xml:space="preserve">LISTA ANGAJAMENTELOR SPECIFICE </w:t>
      </w:r>
      <w:r>
        <w:rPr>
          <w:noProof/>
        </w:rPr>
        <w:br/>
        <w:t>PRIVIND LIBERALIZAREA INVESTIȚIILOR</w:t>
      </w:r>
    </w:p>
    <w:p>
      <w:pPr>
        <w:jc w:val="center"/>
        <w:rPr>
          <w:rFonts w:eastAsia="Batang"/>
          <w:noProof/>
        </w:rPr>
      </w:pPr>
    </w:p>
    <w:p>
      <w:pPr>
        <w:jc w:val="center"/>
        <w:rPr>
          <w:rFonts w:eastAsia="Batang"/>
          <w:noProof/>
        </w:rPr>
      </w:pPr>
      <w:r>
        <w:rPr>
          <w:noProof/>
        </w:rPr>
        <w:t>UNIUNE</w:t>
      </w:r>
    </w:p>
    <w:p>
      <w:pPr>
        <w:rPr>
          <w:rFonts w:eastAsia="Batang"/>
          <w:noProof/>
        </w:rPr>
      </w:pPr>
    </w:p>
    <w:p>
      <w:pPr>
        <w:rPr>
          <w:noProof/>
        </w:rPr>
      </w:pPr>
    </w:p>
    <w:p>
      <w:pPr>
        <w:rPr>
          <w:noProof/>
        </w:rPr>
      </w:pPr>
      <w:r>
        <w:rPr>
          <w:noProof/>
        </w:rPr>
        <w:t>1.</w:t>
      </w:r>
      <w:r>
        <w:rPr>
          <w:noProof/>
        </w:rPr>
        <w:tab/>
        <w:t xml:space="preserve">Lista angajamentelor care figurează în prezenta anexă </w:t>
      </w:r>
      <w:bookmarkStart w:id="11" w:name="_Hlk229129027"/>
      <w:r>
        <w:rPr>
          <w:noProof/>
        </w:rPr>
        <w:t xml:space="preserve">indică </w:t>
      </w:r>
      <w:bookmarkEnd w:id="11"/>
      <w:r>
        <w:rPr>
          <w:noProof/>
        </w:rPr>
        <w:t>activitățile economice liberalizate în temeiul articolului 8.10 și, după caz, limitările și condițiile privind accesul pe piață, tratamentul național și cerințele de performanță care li se aplică întreprinderilor și investitorilor din Indonezia pentru activitățile respective. Lista respectivă cuprinde următoarele elemente:</w:t>
      </w:r>
    </w:p>
    <w:p>
      <w:pPr>
        <w:rPr>
          <w:noProof/>
        </w:rPr>
      </w:pPr>
    </w:p>
    <w:p>
      <w:pPr>
        <w:ind w:left="567" w:hanging="567"/>
        <w:rPr>
          <w:noProof/>
        </w:rPr>
      </w:pPr>
      <w:r>
        <w:rPr>
          <w:noProof/>
        </w:rPr>
        <w:t>(a)</w:t>
      </w:r>
      <w:r>
        <w:rPr>
          <w:noProof/>
        </w:rPr>
        <w:tab/>
        <w:t>prima coloană indică sectorul sau subsectorul în care angajamentul este asumat de către Uniune și domeniul de aplicare al liberalizării în care se aplică rezerve și</w:t>
      </w:r>
    </w:p>
    <w:p>
      <w:pPr>
        <w:rPr>
          <w:noProof/>
        </w:rPr>
      </w:pPr>
    </w:p>
    <w:p>
      <w:pPr>
        <w:ind w:left="567" w:hanging="567"/>
        <w:rPr>
          <w:noProof/>
        </w:rPr>
      </w:pPr>
      <w:r>
        <w:rPr>
          <w:noProof/>
        </w:rPr>
        <w:t>(b)</w:t>
      </w:r>
      <w:r>
        <w:rPr>
          <w:noProof/>
        </w:rPr>
        <w:tab/>
        <w:t>a doua coloană descrie limitările și condițiile relevante și, în plus, Uniunea își asumă angajamente în temeiul articolului 8.10 alineatul (3) cu privire la orice măsură existentă descrisă în coloana respectivă care este incompatibilă cu articolele 8.7, 8.8 sau 8.11, pentru sectoarele sau subsectoarele indicate ca făcând obiectul unei liberalizări viitoare („</w:t>
      </w:r>
      <w:bookmarkStart w:id="12" w:name="_Hlk213334399"/>
      <w:r>
        <w:rPr>
          <w:noProof/>
        </w:rPr>
        <w:t>LV</w:t>
      </w:r>
      <w:bookmarkEnd w:id="12"/>
      <w:r>
        <w:rPr>
          <w:noProof/>
        </w:rPr>
        <w:t>”).</w:t>
      </w:r>
    </w:p>
    <w:p>
      <w:pPr>
        <w:rPr>
          <w:noProof/>
        </w:rPr>
      </w:pPr>
    </w:p>
    <w:p>
      <w:pPr>
        <w:rPr>
          <w:noProof/>
        </w:rPr>
      </w:pPr>
      <w:r>
        <w:rPr>
          <w:noProof/>
        </w:rPr>
        <w:t>2.</w:t>
      </w:r>
      <w:r>
        <w:rPr>
          <w:noProof/>
        </w:rPr>
        <w:tab/>
        <w:t>Pentru mai multă certitudine și fără a aduce atingere articolului 8.8 alineatul (3), rezervele și angajamentele în temeiul articolelor 8.7, 8.8 și 8.11 incluse în prezenta anexă în ceea ce privește stabilirea continuă să li se aplice întreprinderilor și investitorilor din Indonezia după stabilirea acestora pe teritoriul Uniunii.</w:t>
      </w:r>
    </w:p>
    <w:p>
      <w:pPr>
        <w:rPr>
          <w:noProof/>
        </w:rPr>
      </w:pPr>
    </w:p>
    <w:p>
      <w:pPr>
        <w:widowControl/>
        <w:spacing w:line="240" w:lineRule="auto"/>
        <w:rPr>
          <w:noProof/>
        </w:rPr>
      </w:pPr>
      <w:r>
        <w:rPr>
          <w:noProof/>
        </w:rPr>
        <w:br w:type="page"/>
      </w:r>
    </w:p>
    <w:p>
      <w:pPr>
        <w:rPr>
          <w:noProof/>
        </w:rPr>
      </w:pPr>
      <w:r>
        <w:rPr>
          <w:noProof/>
        </w:rPr>
        <w:lastRenderedPageBreak/>
        <w:t>3.</w:t>
      </w:r>
      <w:r>
        <w:rPr>
          <w:noProof/>
        </w:rPr>
        <w:tab/>
        <w:t>Uniunea nu își asumă niciun fel de angajamente privind accesul pe piață, tratamentul național sau cerințele de performanță în sectoarele sau subsectoarele care intră sub incidența prezentului acord, dar care nu sunt menționate în lista angajamentelor care figurează în prezenta anexă.</w:t>
      </w:r>
    </w:p>
    <w:p>
      <w:pPr>
        <w:rPr>
          <w:noProof/>
        </w:rPr>
      </w:pPr>
    </w:p>
    <w:p>
      <w:pPr>
        <w:rPr>
          <w:noProof/>
        </w:rPr>
      </w:pPr>
      <w:r>
        <w:rPr>
          <w:noProof/>
        </w:rPr>
        <w:t>4.</w:t>
      </w:r>
      <w:r>
        <w:rPr>
          <w:noProof/>
        </w:rPr>
        <w:tab/>
        <w:t>La identificarea sectoarelor și subsectoarelor individuale:</w:t>
      </w:r>
    </w:p>
    <w:p>
      <w:pPr>
        <w:rPr>
          <w:noProof/>
        </w:rPr>
      </w:pPr>
    </w:p>
    <w:p>
      <w:pPr>
        <w:ind w:left="567" w:hanging="567"/>
        <w:rPr>
          <w:noProof/>
        </w:rPr>
      </w:pPr>
      <w:r>
        <w:rPr>
          <w:noProof/>
        </w:rPr>
        <w:t>(a)</w:t>
      </w:r>
      <w:r>
        <w:rPr>
          <w:noProof/>
        </w:rPr>
        <w:tab/>
      </w:r>
      <w:bookmarkStart w:id="13" w:name="_Hlk229063319"/>
      <w:r>
        <w:rPr>
          <w:noProof/>
        </w:rPr>
        <w:t>„CPC” înseamnă</w:t>
      </w:r>
      <w:bookmarkStart w:id="14" w:name="_Hlk229129082"/>
      <w:r>
        <w:rPr>
          <w:noProof/>
        </w:rPr>
        <w:t xml:space="preserve"> Clasificarea centrală provizorie a produselor (Statistical Papers, seria M, nr. 77, Departamentul Afaceri Sociale și Economice Internaționale, Oficiul de Statistică al Organizației Națiunilor Unite, New York, 1991</w:t>
      </w:r>
      <w:bookmarkEnd w:id="14"/>
      <w:r>
        <w:rPr>
          <w:noProof/>
        </w:rPr>
        <w:t>);</w:t>
      </w:r>
    </w:p>
    <w:bookmarkEnd w:id="13"/>
    <w:p>
      <w:pPr>
        <w:rPr>
          <w:noProof/>
        </w:rPr>
      </w:pPr>
    </w:p>
    <w:p>
      <w:pPr>
        <w:ind w:left="567" w:hanging="567"/>
        <w:rPr>
          <w:noProof/>
        </w:rPr>
      </w:pPr>
      <w:r>
        <w:rPr>
          <w:noProof/>
        </w:rPr>
        <w:t>(b)</w:t>
      </w:r>
      <w:r>
        <w:rPr>
          <w:noProof/>
        </w:rPr>
        <w:tab/>
        <w:t>„CPC ver. 1.0” înseamnă Clasificarea centrală a produselor, astfel cum este stabilită de Oficiul statistic al Organizației Națiunilor Unite, Statistical Papers, seria M, nr. 77, CPC ver 1.0, 1998 și</w:t>
      </w:r>
    </w:p>
    <w:p>
      <w:pPr>
        <w:rPr>
          <w:noProof/>
        </w:rPr>
      </w:pPr>
    </w:p>
    <w:p>
      <w:pPr>
        <w:ind w:left="567" w:hanging="567"/>
        <w:rPr>
          <w:noProof/>
        </w:rPr>
      </w:pPr>
      <w:r>
        <w:rPr>
          <w:noProof/>
        </w:rPr>
        <w:t>(c)</w:t>
      </w:r>
      <w:r>
        <w:rPr>
          <w:noProof/>
        </w:rPr>
        <w:tab/>
        <w:t>„ISIC rev 3.1” înseamnă Clasificarea industrială internațională standard pentru toate activitățile economice, astfel cum este stabilită de Oficiul Statistic al Organizației Națiunilor Unite, Statistical Papers, seria M, nr. 4, ISIC REV 3.1, 2002.</w:t>
      </w:r>
    </w:p>
    <w:p>
      <w:pPr>
        <w:rPr>
          <w:noProof/>
        </w:rPr>
      </w:pPr>
    </w:p>
    <w:p>
      <w:pPr>
        <w:widowControl/>
        <w:spacing w:line="240" w:lineRule="auto"/>
        <w:rPr>
          <w:noProof/>
        </w:rPr>
      </w:pPr>
      <w:r>
        <w:rPr>
          <w:noProof/>
        </w:rPr>
        <w:br w:type="page"/>
      </w:r>
    </w:p>
    <w:p>
      <w:pPr>
        <w:rPr>
          <w:noProof/>
        </w:rPr>
      </w:pPr>
      <w:r>
        <w:rPr>
          <w:noProof/>
        </w:rPr>
        <w:lastRenderedPageBreak/>
        <w:t>5.</w:t>
      </w:r>
      <w:r>
        <w:rPr>
          <w:noProof/>
        </w:rPr>
        <w:tab/>
        <w:t>Lista angajamentelor care figurează în prezenta anexă nu include măsuri cu privire la cerințele și procedurile de calificare, la standardele tehnice și la cerințele și procedurile de acordare a licențelor dacă acestea nu reprezintă o limitare a accesului pe piață sau a tratamentului național în înțelesul articolelor 8.7 și 8.8. Respectivele măsuri pot include, în special, necesitatea de a obține o licență, de a îndeplini obligațiile de serviciu universal, de a deține calificări recunoscute în sectoarele reglementate, de a promova examene specifice, inclusiv examene de limbă, de a îndeplini o cerință de apartenență la o anumită profesie, cum ar fi apartenența la o organizație profesională, de a avea un agent local pentru servicii sau de a menține o adresă locală sau orice alte cerințe nediscriminatorii conform cărora anumite activități nu pot fi desfășurate în zone protejate. Deși nu sunt enumerate, astfel de măsuri continuă să li se aplice în orice caz întreprinderilor și investitorilor din Indonezia.</w:t>
      </w:r>
    </w:p>
    <w:p>
      <w:pPr>
        <w:rPr>
          <w:noProof/>
        </w:rPr>
      </w:pPr>
    </w:p>
    <w:p>
      <w:pPr>
        <w:rPr>
          <w:noProof/>
        </w:rPr>
      </w:pPr>
      <w:r>
        <w:rPr>
          <w:noProof/>
        </w:rPr>
        <w:t>6.</w:t>
      </w:r>
      <w:r>
        <w:rPr>
          <w:noProof/>
        </w:rPr>
        <w:tab/>
        <w:t>În conformitate cu articolul 8.3 alineatul (3), lista angajamentelor care figurează în prezenta anexă nu include măsurile privind subvențiile acordate de una dintre părți.</w:t>
      </w:r>
    </w:p>
    <w:p>
      <w:pPr>
        <w:rPr>
          <w:noProof/>
        </w:rPr>
      </w:pPr>
    </w:p>
    <w:p>
      <w:pPr>
        <w:rPr>
          <w:noProof/>
        </w:rPr>
      </w:pPr>
      <w:r>
        <w:rPr>
          <w:noProof/>
        </w:rPr>
        <w:t>7.</w:t>
      </w:r>
      <w:r>
        <w:rPr>
          <w:noProof/>
        </w:rPr>
        <w:tab/>
        <w:t>Fără a aduce atingere articolului 8.7, nu este necesar ca respectivele cerințe nediscriminatorii referitoare la tipul de formă juridică a unei întreprinderi să fie specificate în lista angajamentelor care figurează în prezenta anexă pentru a fi menținute sau adoptate de către Uniune.</w:t>
      </w:r>
    </w:p>
    <w:p>
      <w:pPr>
        <w:rPr>
          <w:noProof/>
        </w:rPr>
      </w:pPr>
    </w:p>
    <w:p>
      <w:pPr>
        <w:rPr>
          <w:noProof/>
        </w:rPr>
      </w:pPr>
      <w:r>
        <w:rPr>
          <w:noProof/>
        </w:rPr>
        <w:t>8.</w:t>
      </w:r>
      <w:r>
        <w:rPr>
          <w:noProof/>
        </w:rPr>
        <w:tab/>
        <w:t>Drepturile și obligațiile care derivă din lista angajamentelor care figurează în prezenta anexă nu au efect direct aplicabil și nu conferă drepturi directe persoanelor fizice sau juridice.</w:t>
      </w:r>
    </w:p>
    <w:p>
      <w:pPr>
        <w:rPr>
          <w:noProof/>
        </w:rPr>
      </w:pPr>
    </w:p>
    <w:p>
      <w:pPr>
        <w:rPr>
          <w:noProof/>
        </w:rPr>
      </w:pPr>
      <w:r>
        <w:rPr>
          <w:noProof/>
        </w:rPr>
        <w:t>9.</w:t>
      </w:r>
      <w:r>
        <w:rPr>
          <w:noProof/>
        </w:rPr>
        <w:tab/>
        <w:t>Uniunea își asumă angajamente diferențiate în funcție de statele sale membre, după caz.</w:t>
      </w:r>
    </w:p>
    <w:p>
      <w:pPr>
        <w:rPr>
          <w:noProof/>
        </w:rPr>
      </w:pPr>
    </w:p>
    <w:p>
      <w:pPr>
        <w:widowControl/>
        <w:spacing w:line="240" w:lineRule="auto"/>
        <w:rPr>
          <w:noProof/>
        </w:rPr>
      </w:pPr>
      <w:bookmarkStart w:id="15" w:name="_Hlk228371062"/>
      <w:r>
        <w:rPr>
          <w:noProof/>
        </w:rPr>
        <w:br w:type="page"/>
      </w:r>
    </w:p>
    <w:p>
      <w:pPr>
        <w:rPr>
          <w:noProof/>
        </w:rPr>
      </w:pPr>
      <w:r>
        <w:rPr>
          <w:noProof/>
        </w:rPr>
        <w:lastRenderedPageBreak/>
        <w:t>10.</w:t>
      </w:r>
      <w:r>
        <w:rPr>
          <w:noProof/>
        </w:rPr>
        <w:tab/>
        <w:t>Pentru mai multă certitudine, în cazul Uniunii, obligația de a acorda tratamentul național nu implică cerința de a extinde la persoanele fizice sau juridice din Indonezia tratamentul acordat într-un stat membru, în temeiul TFUE sau al oricăror măsuri adoptate în temeiul tratatului respectiv, inclusiv în ceea ce privește punerea lor în aplicare în statele membre, pentru:</w:t>
      </w:r>
    </w:p>
    <w:p>
      <w:pPr>
        <w:rPr>
          <w:noProof/>
        </w:rPr>
      </w:pPr>
    </w:p>
    <w:p>
      <w:pPr>
        <w:ind w:left="567" w:hanging="567"/>
        <w:rPr>
          <w:noProof/>
        </w:rPr>
      </w:pPr>
      <w:r>
        <w:rPr>
          <w:noProof/>
        </w:rPr>
        <w:t>(a)</w:t>
      </w:r>
      <w:r>
        <w:rPr>
          <w:noProof/>
        </w:rPr>
        <w:tab/>
        <w:t>persoanele fizice sau rezidenții unui stat membru al Uniunii sau</w:t>
      </w:r>
    </w:p>
    <w:p>
      <w:pPr>
        <w:rPr>
          <w:noProof/>
        </w:rPr>
      </w:pPr>
    </w:p>
    <w:p>
      <w:pPr>
        <w:ind w:left="567" w:hanging="567"/>
        <w:rPr>
          <w:noProof/>
        </w:rPr>
      </w:pPr>
      <w:r>
        <w:rPr>
          <w:noProof/>
        </w:rPr>
        <w:t>(b)</w:t>
      </w:r>
      <w:r>
        <w:rPr>
          <w:noProof/>
        </w:rPr>
        <w:tab/>
        <w:t>persoanele juridice care sunt constituite sau organizate în temeiul legislației unui alt stat membru sau a Uniunii și care își au sediul social, administrația centrală sau locul principal de desfășurare a activității într-un stat membru al Uniunii.</w:t>
      </w:r>
    </w:p>
    <w:p>
      <w:pPr>
        <w:rPr>
          <w:noProof/>
        </w:rPr>
      </w:pPr>
    </w:p>
    <w:p>
      <w:pPr>
        <w:rPr>
          <w:noProof/>
        </w:rPr>
      </w:pPr>
      <w:r>
        <w:rPr>
          <w:noProof/>
        </w:rPr>
        <w:t>Respectivul tratament național este acordat persoanelor juridice care sunt constituite sau organizate în temeiul legislației unui stat membru sau a Uniunii și care își au sediul social, administrația centrală sau locul principal de desfășurare a activității într-un stat membru, inclusiv cele care sunt deținute sau controlate de persoane fizice sau juridice din Indonezia.</w:t>
      </w:r>
    </w:p>
    <w:p>
      <w:pPr>
        <w:rPr>
          <w:noProof/>
        </w:rPr>
      </w:pPr>
    </w:p>
    <w:p>
      <w:pPr>
        <w:rPr>
          <w:noProof/>
        </w:rPr>
      </w:pPr>
      <w:r>
        <w:rPr>
          <w:noProof/>
        </w:rPr>
        <w:t>11.</w:t>
      </w:r>
      <w:r>
        <w:rPr>
          <w:noProof/>
        </w:rPr>
        <w:tab/>
        <w:t>Tratamentul acordat persoanelor juridice care sunt constituite de investitorii unei părți în conformitate cu legislația celeilalte părți (inclusiv, în cazul Uniunii, cu legislația unui stat membru) și care își au sediul social, administrația centrală sau locul principal de desfășurare a activității în cadrul celeilalte părți nu aduce atingere condițiilor sau obligațiilor, în conformitate cu capitolul 8 (Liberalizarea investițiilor și a comerțului cu servicii), care i-ar fi putut fi impuse unei astfel de persoane juridice în momentul stabilirii sale pe teritoriul celeilalte părți și care continuă să se aplice.</w:t>
      </w:r>
    </w:p>
    <w:bookmarkEnd w:id="15"/>
    <w:p>
      <w:pPr>
        <w:rPr>
          <w:noProof/>
        </w:rPr>
      </w:pPr>
    </w:p>
    <w:p>
      <w:pPr>
        <w:widowControl/>
        <w:spacing w:line="240" w:lineRule="auto"/>
        <w:rPr>
          <w:noProof/>
        </w:rPr>
      </w:pPr>
      <w:r>
        <w:rPr>
          <w:noProof/>
        </w:rPr>
        <w:br w:type="page"/>
      </w:r>
    </w:p>
    <w:p>
      <w:pPr>
        <w:rPr>
          <w:noProof/>
        </w:rPr>
      </w:pPr>
      <w:r>
        <w:rPr>
          <w:noProof/>
        </w:rPr>
        <w:lastRenderedPageBreak/>
        <w:t>12.</w:t>
      </w:r>
      <w:r>
        <w:rPr>
          <w:noProof/>
        </w:rPr>
        <w:tab/>
        <w:t>În ceea ce privește serviciile financiare, spre deosebire de filialele străine, sucursalele înființate direct într-un stat membru de către o instituție financiară din afara Uniunii nu se supun, cu anumite excepții limitate, reglementărilor prudențiale armonizate la nivelul Uniunii, care le permit filialelor de acest fel să beneficieze de facilități sporite pentru înființarea de noi instituții și pentru furnizarea de servicii transfrontaliere pe tot teritoriul Uniunii. Prin urmare, aceste sucursale sunt autorizate să funcționeze pe teritoriul unui stat membru în aceleași condiții precum cele care se aplică instituțiilor financiare naționale din statul membru respectiv și li se poate solicita să îndeplinească o serie de cerințe prudențiale specifice, cum ar fi, în cazul băncilor și al titlurilor de valoare, cerințe privind capitalizarea separată și alte cerințe privind solvabilitatea, precum și cerințe privind raportarea și publicarea conturilor sau, în cazul asigurărilor, cerințe specifice privind garanțiile și depozitele, capitalizarea separată și localizarea în statul membru vizat a activelor reprezentând rezerve tehnice și cel puțin o treime din marja de solvabilitate.</w:t>
      </w:r>
    </w:p>
    <w:p>
      <w:pPr>
        <w:rPr>
          <w:noProof/>
        </w:rPr>
      </w:pPr>
    </w:p>
    <w:p>
      <w:pPr>
        <w:rPr>
          <w:noProof/>
        </w:rPr>
      </w:pPr>
      <w:r>
        <w:rPr>
          <w:noProof/>
        </w:rPr>
        <w:t>13.</w:t>
      </w:r>
      <w:r>
        <w:rPr>
          <w:noProof/>
        </w:rPr>
        <w:tab/>
        <w:t>În lista angajamentelor care figurează în prezenta anexă, se utilizează următoarele abrevieri:</w:t>
      </w:r>
    </w:p>
    <w:p>
      <w:pPr>
        <w:rPr>
          <w:noProof/>
        </w:rPr>
      </w:pPr>
    </w:p>
    <w:p>
      <w:pPr>
        <w:rPr>
          <w:noProof/>
        </w:rPr>
      </w:pPr>
      <w:r>
        <w:rPr>
          <w:noProof/>
        </w:rPr>
        <w:t>UE</w:t>
      </w:r>
      <w:r>
        <w:rPr>
          <w:noProof/>
        </w:rPr>
        <w:tab/>
        <w:t>Uniunea, inclusiv toate statele membre ale acesteia</w:t>
      </w:r>
    </w:p>
    <w:p>
      <w:pPr>
        <w:rPr>
          <w:noProof/>
        </w:rPr>
      </w:pPr>
    </w:p>
    <w:p>
      <w:pPr>
        <w:rPr>
          <w:noProof/>
        </w:rPr>
      </w:pPr>
      <w:r>
        <w:rPr>
          <w:noProof/>
        </w:rPr>
        <w:t>AT</w:t>
      </w:r>
      <w:r>
        <w:rPr>
          <w:noProof/>
        </w:rPr>
        <w:tab/>
        <w:t>Austria</w:t>
      </w:r>
    </w:p>
    <w:p>
      <w:pPr>
        <w:rPr>
          <w:noProof/>
        </w:rPr>
      </w:pPr>
    </w:p>
    <w:p>
      <w:pPr>
        <w:rPr>
          <w:noProof/>
        </w:rPr>
      </w:pPr>
      <w:r>
        <w:rPr>
          <w:noProof/>
        </w:rPr>
        <w:t>BE</w:t>
      </w:r>
      <w:r>
        <w:rPr>
          <w:noProof/>
        </w:rPr>
        <w:tab/>
        <w:t>Belgia</w:t>
      </w:r>
    </w:p>
    <w:p>
      <w:pPr>
        <w:rPr>
          <w:noProof/>
        </w:rPr>
      </w:pPr>
    </w:p>
    <w:p>
      <w:pPr>
        <w:rPr>
          <w:noProof/>
        </w:rPr>
      </w:pPr>
      <w:r>
        <w:rPr>
          <w:noProof/>
        </w:rPr>
        <w:t>BG</w:t>
      </w:r>
      <w:r>
        <w:rPr>
          <w:noProof/>
        </w:rPr>
        <w:tab/>
        <w:t>Bulgaria</w:t>
      </w:r>
    </w:p>
    <w:p>
      <w:pPr>
        <w:rPr>
          <w:noProof/>
        </w:rPr>
      </w:pPr>
    </w:p>
    <w:p>
      <w:pPr>
        <w:rPr>
          <w:noProof/>
        </w:rPr>
      </w:pPr>
      <w:r>
        <w:rPr>
          <w:noProof/>
        </w:rPr>
        <w:t>CY</w:t>
      </w:r>
      <w:r>
        <w:rPr>
          <w:noProof/>
        </w:rPr>
        <w:tab/>
        <w:t>Cipru</w:t>
      </w:r>
    </w:p>
    <w:p>
      <w:pPr>
        <w:rPr>
          <w:noProof/>
        </w:rPr>
      </w:pPr>
    </w:p>
    <w:p>
      <w:pPr>
        <w:rPr>
          <w:noProof/>
        </w:rPr>
      </w:pPr>
      <w:r>
        <w:rPr>
          <w:noProof/>
        </w:rPr>
        <w:t>CZ</w:t>
      </w:r>
      <w:r>
        <w:rPr>
          <w:noProof/>
        </w:rPr>
        <w:tab/>
        <w:t>Cehia</w:t>
      </w:r>
    </w:p>
    <w:p>
      <w:pPr>
        <w:rPr>
          <w:noProof/>
        </w:rPr>
      </w:pPr>
    </w:p>
    <w:p>
      <w:pPr>
        <w:widowControl/>
        <w:spacing w:line="240" w:lineRule="auto"/>
        <w:rPr>
          <w:noProof/>
        </w:rPr>
      </w:pPr>
      <w:r>
        <w:rPr>
          <w:noProof/>
        </w:rPr>
        <w:br w:type="page"/>
      </w:r>
    </w:p>
    <w:p>
      <w:pPr>
        <w:rPr>
          <w:noProof/>
        </w:rPr>
      </w:pPr>
      <w:r>
        <w:rPr>
          <w:noProof/>
        </w:rPr>
        <w:lastRenderedPageBreak/>
        <w:t>DE</w:t>
      </w:r>
      <w:r>
        <w:rPr>
          <w:noProof/>
        </w:rPr>
        <w:tab/>
        <w:t>Germania</w:t>
      </w:r>
    </w:p>
    <w:p>
      <w:pPr>
        <w:rPr>
          <w:noProof/>
        </w:rPr>
      </w:pPr>
    </w:p>
    <w:p>
      <w:pPr>
        <w:rPr>
          <w:noProof/>
        </w:rPr>
      </w:pPr>
      <w:r>
        <w:rPr>
          <w:noProof/>
        </w:rPr>
        <w:t>DK</w:t>
      </w:r>
      <w:r>
        <w:rPr>
          <w:noProof/>
        </w:rPr>
        <w:tab/>
        <w:t>Danemarca</w:t>
      </w:r>
    </w:p>
    <w:p>
      <w:pPr>
        <w:rPr>
          <w:noProof/>
        </w:rPr>
      </w:pPr>
    </w:p>
    <w:p>
      <w:pPr>
        <w:rPr>
          <w:noProof/>
        </w:rPr>
      </w:pPr>
      <w:r>
        <w:rPr>
          <w:noProof/>
        </w:rPr>
        <w:t>EE</w:t>
      </w:r>
      <w:r>
        <w:rPr>
          <w:noProof/>
        </w:rPr>
        <w:tab/>
        <w:t>Estonia</w:t>
      </w:r>
    </w:p>
    <w:p>
      <w:pPr>
        <w:rPr>
          <w:noProof/>
        </w:rPr>
      </w:pPr>
    </w:p>
    <w:p>
      <w:pPr>
        <w:rPr>
          <w:noProof/>
        </w:rPr>
      </w:pPr>
      <w:r>
        <w:rPr>
          <w:noProof/>
        </w:rPr>
        <w:t>EL</w:t>
      </w:r>
      <w:r>
        <w:rPr>
          <w:noProof/>
        </w:rPr>
        <w:tab/>
        <w:t>Grecia</w:t>
      </w:r>
    </w:p>
    <w:p>
      <w:pPr>
        <w:rPr>
          <w:noProof/>
        </w:rPr>
      </w:pPr>
    </w:p>
    <w:p>
      <w:pPr>
        <w:rPr>
          <w:noProof/>
        </w:rPr>
      </w:pPr>
      <w:r>
        <w:rPr>
          <w:noProof/>
        </w:rPr>
        <w:t>ES</w:t>
      </w:r>
      <w:r>
        <w:rPr>
          <w:noProof/>
        </w:rPr>
        <w:tab/>
        <w:t>Spania</w:t>
      </w:r>
    </w:p>
    <w:p>
      <w:pPr>
        <w:rPr>
          <w:noProof/>
        </w:rPr>
      </w:pPr>
    </w:p>
    <w:p>
      <w:pPr>
        <w:rPr>
          <w:noProof/>
        </w:rPr>
      </w:pPr>
      <w:r>
        <w:rPr>
          <w:noProof/>
        </w:rPr>
        <w:t>FI</w:t>
      </w:r>
      <w:r>
        <w:rPr>
          <w:noProof/>
        </w:rPr>
        <w:tab/>
        <w:t>Finlanda</w:t>
      </w:r>
    </w:p>
    <w:p>
      <w:pPr>
        <w:rPr>
          <w:noProof/>
        </w:rPr>
      </w:pPr>
    </w:p>
    <w:p>
      <w:pPr>
        <w:rPr>
          <w:noProof/>
        </w:rPr>
      </w:pPr>
      <w:r>
        <w:rPr>
          <w:noProof/>
        </w:rPr>
        <w:t>FR</w:t>
      </w:r>
      <w:r>
        <w:rPr>
          <w:noProof/>
        </w:rPr>
        <w:tab/>
        <w:t>Franța</w:t>
      </w:r>
    </w:p>
    <w:p>
      <w:pPr>
        <w:rPr>
          <w:noProof/>
        </w:rPr>
      </w:pPr>
    </w:p>
    <w:p>
      <w:pPr>
        <w:rPr>
          <w:noProof/>
        </w:rPr>
      </w:pPr>
      <w:r>
        <w:rPr>
          <w:noProof/>
        </w:rPr>
        <w:t>HR</w:t>
      </w:r>
      <w:r>
        <w:rPr>
          <w:noProof/>
        </w:rPr>
        <w:tab/>
        <w:t>Croația</w:t>
      </w:r>
    </w:p>
    <w:p>
      <w:pPr>
        <w:rPr>
          <w:noProof/>
        </w:rPr>
      </w:pPr>
    </w:p>
    <w:p>
      <w:pPr>
        <w:rPr>
          <w:noProof/>
        </w:rPr>
      </w:pPr>
      <w:r>
        <w:rPr>
          <w:noProof/>
        </w:rPr>
        <w:t>HU</w:t>
      </w:r>
      <w:r>
        <w:rPr>
          <w:noProof/>
        </w:rPr>
        <w:tab/>
        <w:t>Ungaria</w:t>
      </w:r>
    </w:p>
    <w:p>
      <w:pPr>
        <w:rPr>
          <w:noProof/>
        </w:rPr>
      </w:pPr>
    </w:p>
    <w:p>
      <w:pPr>
        <w:rPr>
          <w:noProof/>
        </w:rPr>
      </w:pPr>
      <w:r>
        <w:rPr>
          <w:noProof/>
        </w:rPr>
        <w:t>IE</w:t>
      </w:r>
      <w:r>
        <w:rPr>
          <w:noProof/>
        </w:rPr>
        <w:tab/>
        <w:t>Irlanda</w:t>
      </w:r>
    </w:p>
    <w:p>
      <w:pPr>
        <w:rPr>
          <w:noProof/>
        </w:rPr>
      </w:pPr>
    </w:p>
    <w:p>
      <w:pPr>
        <w:rPr>
          <w:noProof/>
        </w:rPr>
      </w:pPr>
      <w:r>
        <w:rPr>
          <w:noProof/>
        </w:rPr>
        <w:t>IT</w:t>
      </w:r>
      <w:r>
        <w:rPr>
          <w:noProof/>
        </w:rPr>
        <w:tab/>
        <w:t>Italia</w:t>
      </w:r>
    </w:p>
    <w:p>
      <w:pPr>
        <w:rPr>
          <w:noProof/>
        </w:rPr>
      </w:pPr>
    </w:p>
    <w:p>
      <w:pPr>
        <w:rPr>
          <w:noProof/>
        </w:rPr>
      </w:pPr>
      <w:r>
        <w:rPr>
          <w:noProof/>
        </w:rPr>
        <w:t>LV</w:t>
      </w:r>
      <w:r>
        <w:rPr>
          <w:noProof/>
        </w:rPr>
        <w:tab/>
        <w:t>Letonia</w:t>
      </w:r>
    </w:p>
    <w:p>
      <w:pPr>
        <w:rPr>
          <w:noProof/>
        </w:rPr>
      </w:pPr>
    </w:p>
    <w:p>
      <w:pPr>
        <w:rPr>
          <w:noProof/>
        </w:rPr>
      </w:pPr>
      <w:r>
        <w:rPr>
          <w:noProof/>
        </w:rPr>
        <w:t>LT</w:t>
      </w:r>
      <w:r>
        <w:rPr>
          <w:noProof/>
        </w:rPr>
        <w:tab/>
        <w:t>Lituania</w:t>
      </w:r>
    </w:p>
    <w:p>
      <w:pPr>
        <w:rPr>
          <w:noProof/>
        </w:rPr>
      </w:pPr>
    </w:p>
    <w:p>
      <w:pPr>
        <w:rPr>
          <w:noProof/>
        </w:rPr>
      </w:pPr>
      <w:r>
        <w:rPr>
          <w:noProof/>
        </w:rPr>
        <w:t>LU</w:t>
      </w:r>
      <w:r>
        <w:rPr>
          <w:noProof/>
        </w:rPr>
        <w:tab/>
        <w:t>Luxemburg</w:t>
      </w:r>
    </w:p>
    <w:p>
      <w:pPr>
        <w:rPr>
          <w:noProof/>
        </w:rPr>
      </w:pPr>
    </w:p>
    <w:p>
      <w:pPr>
        <w:rPr>
          <w:noProof/>
        </w:rPr>
      </w:pPr>
      <w:r>
        <w:rPr>
          <w:noProof/>
        </w:rPr>
        <w:t>MT</w:t>
      </w:r>
      <w:r>
        <w:rPr>
          <w:noProof/>
        </w:rPr>
        <w:tab/>
        <w:t>Malta</w:t>
      </w:r>
    </w:p>
    <w:p>
      <w:pPr>
        <w:rPr>
          <w:noProof/>
        </w:rPr>
      </w:pPr>
    </w:p>
    <w:p>
      <w:pPr>
        <w:rPr>
          <w:noProof/>
        </w:rPr>
      </w:pPr>
      <w:r>
        <w:rPr>
          <w:noProof/>
        </w:rPr>
        <w:t>NL</w:t>
      </w:r>
      <w:r>
        <w:rPr>
          <w:noProof/>
        </w:rPr>
        <w:tab/>
        <w:t>Țările de Jos</w:t>
      </w:r>
    </w:p>
    <w:p>
      <w:pPr>
        <w:rPr>
          <w:noProof/>
        </w:rPr>
      </w:pPr>
    </w:p>
    <w:p>
      <w:pPr>
        <w:widowControl/>
        <w:spacing w:line="240" w:lineRule="auto"/>
        <w:rPr>
          <w:noProof/>
        </w:rPr>
      </w:pPr>
      <w:r>
        <w:rPr>
          <w:noProof/>
        </w:rPr>
        <w:br w:type="page"/>
      </w:r>
    </w:p>
    <w:p>
      <w:pPr>
        <w:rPr>
          <w:noProof/>
        </w:rPr>
      </w:pPr>
      <w:r>
        <w:rPr>
          <w:noProof/>
        </w:rPr>
        <w:lastRenderedPageBreak/>
        <w:t>PL</w:t>
      </w:r>
      <w:r>
        <w:rPr>
          <w:noProof/>
        </w:rPr>
        <w:tab/>
        <w:t>Polonia</w:t>
      </w:r>
    </w:p>
    <w:p>
      <w:pPr>
        <w:rPr>
          <w:noProof/>
        </w:rPr>
      </w:pPr>
    </w:p>
    <w:p>
      <w:pPr>
        <w:rPr>
          <w:noProof/>
        </w:rPr>
      </w:pPr>
      <w:r>
        <w:rPr>
          <w:noProof/>
        </w:rPr>
        <w:t>PT</w:t>
      </w:r>
      <w:r>
        <w:rPr>
          <w:noProof/>
        </w:rPr>
        <w:tab/>
        <w:t>Portugalia</w:t>
      </w:r>
    </w:p>
    <w:p>
      <w:pPr>
        <w:rPr>
          <w:noProof/>
        </w:rPr>
      </w:pPr>
    </w:p>
    <w:p>
      <w:pPr>
        <w:rPr>
          <w:noProof/>
        </w:rPr>
      </w:pPr>
      <w:r>
        <w:rPr>
          <w:noProof/>
        </w:rPr>
        <w:t>RO</w:t>
      </w:r>
      <w:r>
        <w:rPr>
          <w:noProof/>
        </w:rPr>
        <w:tab/>
        <w:t>România</w:t>
      </w:r>
    </w:p>
    <w:p>
      <w:pPr>
        <w:rPr>
          <w:noProof/>
        </w:rPr>
      </w:pPr>
    </w:p>
    <w:p>
      <w:pPr>
        <w:rPr>
          <w:noProof/>
        </w:rPr>
      </w:pPr>
      <w:r>
        <w:rPr>
          <w:noProof/>
        </w:rPr>
        <w:t>SK</w:t>
      </w:r>
      <w:r>
        <w:rPr>
          <w:noProof/>
        </w:rPr>
        <w:tab/>
        <w:t>Slovacia</w:t>
      </w:r>
    </w:p>
    <w:p>
      <w:pPr>
        <w:rPr>
          <w:noProof/>
        </w:rPr>
      </w:pPr>
    </w:p>
    <w:p>
      <w:pPr>
        <w:rPr>
          <w:noProof/>
        </w:rPr>
      </w:pPr>
      <w:r>
        <w:rPr>
          <w:noProof/>
        </w:rPr>
        <w:t>SI</w:t>
      </w:r>
      <w:r>
        <w:rPr>
          <w:noProof/>
        </w:rPr>
        <w:tab/>
        <w:t>Slovenia</w:t>
      </w:r>
    </w:p>
    <w:p>
      <w:pPr>
        <w:rPr>
          <w:noProof/>
        </w:rPr>
      </w:pPr>
    </w:p>
    <w:p>
      <w:pPr>
        <w:rPr>
          <w:noProof/>
        </w:rPr>
      </w:pPr>
      <w:r>
        <w:rPr>
          <w:noProof/>
        </w:rPr>
        <w:t>SE</w:t>
      </w:r>
      <w:r>
        <w:rPr>
          <w:noProof/>
        </w:rPr>
        <w:tab/>
        <w:t>Suedia</w:t>
      </w:r>
    </w:p>
    <w:p>
      <w:pPr>
        <w:rPr>
          <w:noProof/>
        </w:rPr>
      </w:pPr>
    </w:p>
    <w:p>
      <w:pPr>
        <w:rPr>
          <w:noProof/>
        </w:rPr>
      </w:pPr>
      <w:r>
        <w:rPr>
          <w:noProof/>
        </w:rPr>
        <w:t>SEE</w:t>
      </w:r>
      <w:r>
        <w:rPr>
          <w:noProof/>
        </w:rPr>
        <w:tab/>
        <w:t>Spațiul Economic European</w:t>
      </w:r>
    </w:p>
    <w:p>
      <w:pPr>
        <w:rPr>
          <w:noProof/>
        </w:rPr>
      </w:pPr>
    </w:p>
    <w:p>
      <w:pPr>
        <w:rPr>
          <w:noProof/>
        </w:rPr>
      </w:pPr>
    </w:p>
    <w:p>
      <w:pPr>
        <w:rPr>
          <w:noProof/>
        </w:rPr>
        <w:sectPr>
          <w:headerReference w:type="even" r:id="rId28"/>
          <w:headerReference w:type="default" r:id="rId29"/>
          <w:footerReference w:type="even" r:id="rId30"/>
          <w:footerReference w:type="default" r:id="rId31"/>
          <w:headerReference w:type="first" r:id="rId32"/>
          <w:footerReference w:type="first" r:id="rId33"/>
          <w:footnotePr>
            <w:numRestart w:val="eachSect"/>
          </w:footnotePr>
          <w:endnotePr>
            <w:numFmt w:val="decimal"/>
          </w:endnotePr>
          <w:pgSz w:w="11907" w:h="16840" w:code="9"/>
          <w:pgMar w:top="1134" w:right="1134" w:bottom="1134" w:left="1134" w:header="567" w:footer="567" w:gutter="0"/>
          <w:pgNumType w:start="1"/>
          <w:cols w:space="720"/>
        </w:sectPr>
      </w:pPr>
    </w:p>
    <w:tbl>
      <w:tblPr>
        <w:tblStyle w:val="TableGrid"/>
        <w:tblW w:w="5000" w:type="pct"/>
        <w:tblLayout w:type="fixed"/>
        <w:tblLook w:val="04A0" w:firstRow="1" w:lastRow="0" w:firstColumn="1" w:lastColumn="0" w:noHBand="0" w:noVBand="1"/>
      </w:tblPr>
      <w:tblGrid>
        <w:gridCol w:w="2831"/>
        <w:gridCol w:w="11731"/>
      </w:tblGrid>
      <w:tr>
        <w:trPr>
          <w:tblHeader/>
        </w:trPr>
        <w:tc>
          <w:tcPr>
            <w:tcW w:w="972"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t>Sectorul sau subsectorul</w:t>
            </w:r>
          </w:p>
        </w:tc>
        <w:tc>
          <w:tcPr>
            <w:tcW w:w="4028" w:type="pct"/>
            <w:tcBorders>
              <w:bottom w:val="single" w:sz="4" w:space="0" w:color="auto"/>
            </w:tcBorders>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Descrierea rezervelor</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Bunuri imobile</w:t>
            </w:r>
          </w:p>
          <w:p>
            <w:pPr>
              <w:widowControl/>
              <w:suppressAutoHyphens/>
              <w:spacing w:before="60" w:after="60" w:line="240" w:lineRule="auto"/>
              <w:rPr>
                <w:rFonts w:ascii="Times New Roman" w:hAnsi="Times New Roman"/>
                <w:noProof/>
              </w:rPr>
            </w:pPr>
            <w:r>
              <w:rPr>
                <w:rFonts w:ascii="Times New Roman" w:hAnsi="Times New Roman"/>
                <w:noProof/>
              </w:rPr>
              <w:t>Toate statele membre, exceptând AT, BG, CY, CZ, DE, DK, EE, EL, ES, FI, HR, HU, IE, IT, LV, LT, MT, PL, RO, SI, SK: niciuna.</w:t>
            </w:r>
          </w:p>
          <w:p>
            <w:pPr>
              <w:widowControl/>
              <w:suppressAutoHyphens/>
              <w:spacing w:before="60" w:after="60" w:line="240" w:lineRule="auto"/>
              <w:rPr>
                <w:rFonts w:ascii="Times New Roman" w:hAnsi="Times New Roman"/>
                <w:noProof/>
              </w:rPr>
            </w:pPr>
            <w:r>
              <w:rPr>
                <w:rFonts w:ascii="Times New Roman" w:hAnsi="Times New Roman"/>
                <w:noProof/>
              </w:rPr>
              <w:t>În AT: Pentru achiziționarea, cumpărarea, precum și închirierea sau concesionarea de bunuri imobile de către persoane fizice și juridice străine se solicită o autorizare din partea autorităților regionale competente (</w:t>
            </w:r>
            <w:r>
              <w:rPr>
                <w:rFonts w:ascii="Times New Roman" w:hAnsi="Times New Roman"/>
                <w:i/>
                <w:noProof/>
              </w:rPr>
              <w:t>Länder</w:t>
            </w:r>
            <w:r>
              <w:rPr>
                <w:rFonts w:ascii="Times New Roman" w:hAnsi="Times New Roman"/>
                <w:noProof/>
              </w:rPr>
              <w:t>), care vor lua în considerare dacă sunt afectate sau nu interese economice, sociale sau culturale importante.</w:t>
            </w:r>
          </w:p>
          <w:p>
            <w:pPr>
              <w:widowControl/>
              <w:suppressAutoHyphens/>
              <w:spacing w:before="60" w:after="60" w:line="240" w:lineRule="auto"/>
              <w:rPr>
                <w:rFonts w:ascii="Times New Roman" w:hAnsi="Times New Roman"/>
                <w:noProof/>
              </w:rPr>
            </w:pPr>
            <w:r>
              <w:rPr>
                <w:rFonts w:ascii="Times New Roman" w:hAnsi="Times New Roman"/>
                <w:noProof/>
              </w:rPr>
              <w:t>În BG: Persoanele fizice și juridice străine (inclusiv prin intermediul unei sucursale) nu pot dobândi dreptul de proprietate asupra unui teren. Persoanele juridice bulgare cu participare străină nu pot dobândi dreptul de proprietate asupra unui teren agricol.</w:t>
            </w:r>
          </w:p>
          <w:p>
            <w:pPr>
              <w:widowControl/>
              <w:suppressAutoHyphens/>
              <w:spacing w:before="60" w:after="60" w:line="240" w:lineRule="auto"/>
              <w:rPr>
                <w:rFonts w:ascii="Times New Roman" w:hAnsi="Times New Roman"/>
                <w:noProof/>
              </w:rPr>
            </w:pPr>
            <w:r>
              <w:rPr>
                <w:rFonts w:ascii="Times New Roman" w:hAnsi="Times New Roman"/>
                <w:noProof/>
              </w:rPr>
              <w:t>Persoanele juridice străine și cetățenii străini cu rezidență permanentă în străinătate pot dobândi dreptul de proprietate asupra clădirilor și drepturi de proprietate limitate</w:t>
            </w:r>
            <w:r>
              <w:rPr>
                <w:rStyle w:val="FootnoteReference"/>
                <w:rFonts w:ascii="Times New Roman" w:hAnsi="Times New Roman"/>
                <w:b/>
                <w:noProof/>
              </w:rPr>
              <w:footnoteReference w:id="31"/>
            </w:r>
            <w:r>
              <w:rPr>
                <w:rFonts w:ascii="Times New Roman" w:hAnsi="Times New Roman"/>
                <w:noProof/>
              </w:rPr>
              <w:t xml:space="preserve"> asupra bunurilor imobile, cu condiția obținerii unei autorizații din partea Ministerului de Finanțe. Obligația de a obține o astfel de autorizație nu se aplică persoanelor care au făcut investiții în Bulgaria.</w:t>
            </w:r>
          </w:p>
          <w:p>
            <w:pPr>
              <w:widowControl/>
              <w:suppressAutoHyphens/>
              <w:spacing w:before="60" w:after="60" w:line="240" w:lineRule="auto"/>
              <w:rPr>
                <w:rFonts w:ascii="Times New Roman" w:hAnsi="Times New Roman"/>
                <w:noProof/>
              </w:rPr>
            </w:pPr>
            <w:r>
              <w:rPr>
                <w:rFonts w:ascii="Times New Roman" w:hAnsi="Times New Roman"/>
                <w:noProof/>
              </w:rPr>
              <w:t>Cetățenii străini care au rezidența permanentă în străinătate, persoanele juridice străine și societățile în care participarea străină asigură majoritatea necesară pentru adoptarea deciziilor sau pentru blocarea adoptării deciziilor pot dobândi drepturi de proprietate asupra bunurilor imobile în regiuni geografice anume, desemnate de Consiliul de Miniștri, cu condiția obținerii unei aprobări.</w:t>
            </w:r>
          </w:p>
          <w:p>
            <w:pPr>
              <w:suppressAutoHyphens/>
              <w:spacing w:before="60" w:after="60" w:line="240" w:lineRule="auto"/>
              <w:rPr>
                <w:rFonts w:ascii="Times New Roman" w:hAnsi="Times New Roman"/>
                <w:noProof/>
              </w:rPr>
            </w:pPr>
            <w:r>
              <w:rPr>
                <w:rFonts w:ascii="Times New Roman" w:hAnsi="Times New Roman"/>
                <w:noProof/>
              </w:rPr>
              <w:t>În CY: neconsolidat.</w:t>
            </w:r>
          </w:p>
        </w:tc>
      </w:tr>
      <w:t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CZ: Se aplică norme specifice pentru terenurile agricole aflate în proprietatea statului. Terenurile agricole de stat pot fi achiziționate numai de către cetățenii cehi, de resortisanți ai unui alt stat membru sau ai unor state părți la Acordul privind SEE sau ai Confederației Elvețiene. Persoanele juridice</w:t>
            </w:r>
            <w:r>
              <w:rPr>
                <w:rStyle w:val="FootnoteReference"/>
                <w:rFonts w:ascii="Times New Roman" w:hAnsi="Times New Roman"/>
                <w:b/>
                <w:noProof/>
              </w:rPr>
              <w:footnoteReference w:id="32"/>
            </w:r>
            <w:r>
              <w:rPr>
                <w:rFonts w:ascii="Times New Roman" w:hAnsi="Times New Roman"/>
                <w:noProof/>
              </w:rPr>
              <w:t xml:space="preserve"> pot achiziționa de la stat terenuri agricole de stat numai dacă sunt antreprenori agricoli în Republica Cehă sau persoane cu un statut similar în alt stat membru al Uniunii Europene sau în state care sunt părți la Acordul privind SEE ori în Confederația Elvețiană.</w:t>
            </w:r>
          </w:p>
          <w:p>
            <w:pPr>
              <w:widowControl/>
              <w:suppressAutoHyphens/>
              <w:spacing w:before="60" w:after="60" w:line="240" w:lineRule="auto"/>
              <w:rPr>
                <w:rFonts w:ascii="Times New Roman" w:hAnsi="Times New Roman"/>
                <w:noProof/>
              </w:rPr>
            </w:pPr>
            <w:r>
              <w:rPr>
                <w:rFonts w:ascii="Times New Roman" w:hAnsi="Times New Roman"/>
                <w:noProof/>
              </w:rPr>
              <w:t>În DE: Anumite condiții de reciprocitate se pot aplica în cazul achiziționării de bunuri imobile.</w:t>
            </w:r>
          </w:p>
          <w:p>
            <w:pPr>
              <w:widowControl/>
              <w:suppressAutoHyphens/>
              <w:spacing w:before="60" w:after="60" w:line="240" w:lineRule="auto"/>
              <w:rPr>
                <w:rFonts w:ascii="Times New Roman" w:hAnsi="Times New Roman"/>
                <w:noProof/>
              </w:rPr>
            </w:pPr>
            <w:r>
              <w:rPr>
                <w:rFonts w:ascii="Times New Roman" w:hAnsi="Times New Roman"/>
                <w:noProof/>
              </w:rPr>
              <w:t>În DK: Se aplică limitări privind achizițiile de bunuri imobile de către persoane fizice și juridice nerezidente. Se aplică limitări și în ceea ce privește proprietățile agricole achiziționate de persoane fizice și juridice.</w:t>
            </w:r>
          </w:p>
          <w:p>
            <w:pPr>
              <w:widowControl/>
              <w:suppressAutoHyphens/>
              <w:spacing w:before="60" w:after="60" w:line="240" w:lineRule="auto"/>
              <w:rPr>
                <w:rFonts w:ascii="Times New Roman" w:hAnsi="Times New Roman"/>
                <w:noProof/>
              </w:rPr>
            </w:pPr>
            <w:r>
              <w:rPr>
                <w:rFonts w:ascii="Times New Roman" w:hAnsi="Times New Roman"/>
                <w:noProof/>
              </w:rPr>
              <w:t>În EE: neconsolidat pentru achiziționarea de teren agricol și forestier</w:t>
            </w:r>
            <w:r>
              <w:rPr>
                <w:rStyle w:val="FootnoteReference"/>
                <w:rFonts w:ascii="Times New Roman" w:hAnsi="Times New Roman"/>
                <w:b/>
                <w:noProof/>
              </w:rPr>
              <w:footnoteReference w:id="3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ES: Investițiile străine în activități legate direct de investiții imobiliare pentru misiuni diplomatice din partea statelor care nu sunt state membre ale UE necesită o autorizație administrativă din partea Consiliului de Miniștri spaniol, cu excepția cazului în care există un acord reciproc de liberalizare.</w:t>
            </w:r>
          </w:p>
          <w:p>
            <w:pPr>
              <w:suppressAutoHyphens/>
              <w:spacing w:before="60" w:after="60" w:line="240" w:lineRule="auto"/>
              <w:rPr>
                <w:noProof/>
              </w:rPr>
            </w:pPr>
            <w:r>
              <w:rPr>
                <w:rFonts w:ascii="Times New Roman" w:hAnsi="Times New Roman"/>
                <w:noProof/>
              </w:rPr>
              <w:t>În EL: Persoanele fizice sau juridice care nu sunt cetățeni ai statelor membre sau ai statelor care fac parte din Asociația Europeană a Liberului Schimb sau care nu sunt stabilite în astfel de state nu au dreptul să achiziționeze sau să închirieze bunuri imobile în regiunile de frontieră. Interdicția poate fi ridicată printr-o decizie discreționară luată de un comitet al administrației descentralizate corespunzătoare (sau de ministrul apărării naționale în cazul în care proprietățile ce urmează să fie exploatate aparțin Fondului pentru exploatarea proprietăților de stat care pot fi comercializate sau privatizate).</w:t>
            </w:r>
          </w:p>
        </w:tc>
      </w:tr>
      <w:t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FI (Insulele Åland): Se aplică restricții privind dreptul persoanelor fizice care nu dețin cetățenie regională în Åland și al persoanelor juridice de a achiziționa și deține bunuri imobile în insulele Åland, fără permisiunea autorităților competente din insule.</w:t>
            </w:r>
          </w:p>
          <w:p>
            <w:pPr>
              <w:widowControl/>
              <w:suppressAutoHyphens/>
              <w:spacing w:before="60" w:after="60" w:line="240" w:lineRule="auto"/>
              <w:rPr>
                <w:rFonts w:ascii="Times New Roman" w:hAnsi="Times New Roman"/>
                <w:noProof/>
              </w:rPr>
            </w:pPr>
            <w:r>
              <w:rPr>
                <w:rFonts w:ascii="Times New Roman" w:hAnsi="Times New Roman"/>
                <w:noProof/>
              </w:rPr>
              <w:t>În HR: neconsolidat în ceea ce privește achiziționarea de bunuri imobiliare de către furnizorii de servicii care nu sunt stabiliți și înregistrați în Croația. Este permisă achiziționarea de bunuri imobile necesare pentru furnizarea de servicii de către societăți stabilite și înregistrate în Croația ca persoane juridice. Achiziționarea de bunuri imobile necesare pentru furnizarea de servicii de către sucursale necesită aprobarea Ministerului Justiției. Persoanele fizice sau juridice străine pot achiziționa terenuri agricole.</w:t>
            </w:r>
          </w:p>
          <w:p>
            <w:pPr>
              <w:widowControl/>
              <w:suppressAutoHyphens/>
              <w:spacing w:before="60" w:after="60" w:line="240" w:lineRule="auto"/>
              <w:rPr>
                <w:rFonts w:ascii="Times New Roman" w:hAnsi="Times New Roman"/>
                <w:noProof/>
              </w:rPr>
            </w:pPr>
            <w:r>
              <w:rPr>
                <w:rFonts w:ascii="Times New Roman" w:hAnsi="Times New Roman"/>
                <w:noProof/>
              </w:rPr>
              <w:t>În HU: neconsolidat în ceea ce privește achiziționarea proprietăților deținute de stat. Se aplică limitări privind achiziționarea de terenuri și bunuri imobile de către investitorii străini</w:t>
            </w:r>
            <w:r>
              <w:rPr>
                <w:rStyle w:val="FootnoteReference"/>
                <w:rFonts w:ascii="Times New Roman" w:hAnsi="Times New Roman"/>
                <w:b/>
                <w:noProof/>
              </w:rPr>
              <w:footnoteReference w:id="34"/>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IE: Pentru achiziționarea oricărei participații în ceea ce privește terenurile irlandeze de către societăți naționale sau străine sau resortisanți străini este necesară aprobarea prealabilă scrisă a Comisiei Funciare. În cazul în care un astfel de teren este destinat unei utilizări industriale (alta decât industria agricolă), se renunță la această cerință, sub rezerva unui certificat emis în acest sens de către Ministrul Întreprinderilor, Comerțului și Ocupării Forței de Muncă. Această lege nu se aplică terenurilor din intravilanul orașelor.</w:t>
            </w:r>
          </w:p>
          <w:p>
            <w:pPr>
              <w:widowControl/>
              <w:suppressAutoHyphens/>
              <w:spacing w:before="60" w:after="60" w:line="240" w:lineRule="auto"/>
              <w:rPr>
                <w:rFonts w:ascii="Times New Roman" w:hAnsi="Times New Roman"/>
                <w:noProof/>
              </w:rPr>
            </w:pPr>
            <w:r>
              <w:rPr>
                <w:rFonts w:ascii="Times New Roman" w:hAnsi="Times New Roman"/>
                <w:noProof/>
              </w:rPr>
              <w:t>În IT: Achiziționarea de bunuri imobile de către persoane fizice și juridice străine este supusă unei condiții de reciprocitate.</w:t>
            </w:r>
          </w:p>
          <w:p>
            <w:pPr>
              <w:suppressAutoHyphens/>
              <w:spacing w:before="60" w:after="60" w:line="240" w:lineRule="auto"/>
              <w:rPr>
                <w:rFonts w:ascii="Times New Roman" w:hAnsi="Times New Roman"/>
                <w:noProof/>
              </w:rPr>
            </w:pPr>
            <w:r>
              <w:rPr>
                <w:rFonts w:ascii="Times New Roman" w:hAnsi="Times New Roman"/>
                <w:noProof/>
              </w:rPr>
              <w:t>În LV: neconsolidat în ceea ce privește achiziția terenurilor; este permisă închirierea terenurilor pentru o perioadă care nu depășește 99 de ani.</w:t>
            </w:r>
          </w:p>
          <w:p>
            <w:pPr>
              <w:widowControl/>
              <w:suppressAutoHyphens/>
              <w:spacing w:before="60" w:after="60" w:line="240" w:lineRule="auto"/>
              <w:rPr>
                <w:rFonts w:ascii="Times New Roman" w:hAnsi="Times New Roman"/>
                <w:noProof/>
              </w:rPr>
            </w:pPr>
            <w:r>
              <w:rPr>
                <w:rFonts w:ascii="Times New Roman" w:hAnsi="Times New Roman"/>
                <w:noProof/>
              </w:rPr>
              <w:t>În LT: neconsolidat pentru achiziționarea de terenuri</w:t>
            </w:r>
            <w:r>
              <w:rPr>
                <w:rStyle w:val="FootnoteReference"/>
                <w:rFonts w:ascii="Times New Roman" w:hAnsi="Times New Roman"/>
                <w:b/>
                <w:noProof/>
              </w:rPr>
              <w:footnoteReference w:id="35"/>
            </w:r>
            <w:r>
              <w:rPr>
                <w:rFonts w:ascii="Times New Roman" w:hAnsi="Times New Roman"/>
                <w:noProof/>
              </w:rPr>
              <w:t>.</w:t>
            </w:r>
          </w:p>
        </w:tc>
      </w:tr>
      <w:t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MT: Prevederile legislației malteze și normele malteze privind achiziționarea de bunuri imobile se aplică în continuare.</w:t>
            </w:r>
          </w:p>
          <w:p>
            <w:pPr>
              <w:widowControl/>
              <w:suppressAutoHyphens/>
              <w:spacing w:before="60" w:after="60" w:line="240" w:lineRule="auto"/>
              <w:rPr>
                <w:rFonts w:ascii="Times New Roman" w:hAnsi="Times New Roman"/>
                <w:noProof/>
              </w:rPr>
            </w:pPr>
            <w:r>
              <w:rPr>
                <w:rFonts w:ascii="Times New Roman" w:hAnsi="Times New Roman"/>
                <w:noProof/>
              </w:rPr>
              <w:t>În PL: Achiziționarea de bunuri imobile, direct sau indirect, de către străini este condiționată de obținerea unei autorizații. Autorizația este emisă, printr-o decizie administrativă, de un ministru competent în materie de afaceri interne, cu aprobarea ministrului apărării naționale, iar în cazul terenurilor agricole și cu aprobarea ministrului agriculturii și dezvoltării rurale.</w:t>
            </w:r>
          </w:p>
          <w:p>
            <w:pPr>
              <w:widowControl/>
              <w:suppressAutoHyphens/>
              <w:spacing w:before="60" w:after="60" w:line="240" w:lineRule="auto"/>
              <w:rPr>
                <w:rFonts w:ascii="Times New Roman" w:hAnsi="Times New Roman"/>
                <w:noProof/>
              </w:rPr>
            </w:pPr>
            <w:r>
              <w:rPr>
                <w:rFonts w:ascii="Times New Roman" w:hAnsi="Times New Roman"/>
                <w:noProof/>
              </w:rPr>
              <w:t xml:space="preserve">În RO: Persoanele fizice care nu au cetățenie română și nici nu au rezidența în România, precum și persoanele juridice care nu sunt resortisanți români și nu au sediul în România nu pot dobândi dreptul de proprietate asupra niciunui tip de terenuri prin intermediul unor acte </w:t>
            </w:r>
            <w:r>
              <w:rPr>
                <w:rFonts w:ascii="Times New Roman" w:hAnsi="Times New Roman"/>
                <w:i/>
                <w:noProof/>
              </w:rPr>
              <w:t>inter vivos</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SI: Persoanele juridice, stabilite în Slovenia cu participare de capital străin pot achiziționa bunuri imobile pe teritoriul Sloveniei. Sucursalele</w:t>
            </w:r>
            <w:r>
              <w:rPr>
                <w:rStyle w:val="FootnoteReference"/>
                <w:rFonts w:ascii="Times New Roman" w:hAnsi="Times New Roman"/>
                <w:b/>
                <w:noProof/>
              </w:rPr>
              <w:footnoteReference w:id="36"/>
            </w:r>
            <w:r>
              <w:rPr>
                <w:rFonts w:ascii="Times New Roman" w:hAnsi="Times New Roman"/>
                <w:noProof/>
              </w:rPr>
              <w:t xml:space="preserve"> înființate în Slovenia de către persoane străine pot achiziționa numai bunuri imobile, cu excepția terenurilor, necesare pentru desfășurarea activităților economice pentru care sunt înființate.</w:t>
            </w:r>
          </w:p>
          <w:p>
            <w:pPr>
              <w:suppressAutoHyphens/>
              <w:spacing w:before="60" w:after="60" w:line="240" w:lineRule="auto"/>
              <w:rPr>
                <w:noProof/>
              </w:rPr>
            </w:pPr>
            <w:r>
              <w:rPr>
                <w:rFonts w:ascii="Times New Roman" w:hAnsi="Times New Roman"/>
                <w:noProof/>
              </w:rPr>
              <w:t>În SK: Societățile sau persoanele fizice străine nu pot achiziționa terenuri agricole și forestiere în afara limitelor intravilanului unei municipalități și nici anumite alte terenuri (de exemplu, resurse naturale, lacuri, râuri, drumuri publice etc.).</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Directorii generali și auditorii</w:t>
            </w:r>
          </w:p>
          <w:p>
            <w:pPr>
              <w:widowControl/>
              <w:suppressAutoHyphens/>
              <w:spacing w:before="60" w:after="60" w:line="240" w:lineRule="auto"/>
              <w:rPr>
                <w:rFonts w:ascii="Times New Roman" w:hAnsi="Times New Roman"/>
                <w:noProof/>
              </w:rPr>
            </w:pPr>
            <w:r>
              <w:rPr>
                <w:rFonts w:ascii="Times New Roman" w:hAnsi="Times New Roman"/>
                <w:noProof/>
              </w:rPr>
              <w:t>În AT: Directorii generali ai sucursalelor persoanelor juridice trebuie să fie rezidenți în Austria. Persoanele fizice din cadrul unei persoane juridice sau al unei sucursale care sunt responsabile pentru respectarea legislației comerciale austriece trebuie să fie domiciliate în Austria.</w:t>
            </w:r>
          </w:p>
          <w:p>
            <w:pPr>
              <w:widowControl/>
              <w:suppressAutoHyphens/>
              <w:spacing w:before="60" w:after="60" w:line="240" w:lineRule="auto"/>
              <w:rPr>
                <w:rFonts w:ascii="Times New Roman" w:hAnsi="Times New Roman"/>
                <w:noProof/>
              </w:rPr>
            </w:pPr>
            <w:r>
              <w:rPr>
                <w:rFonts w:ascii="Times New Roman" w:hAnsi="Times New Roman"/>
                <w:noProof/>
              </w:rPr>
              <w:t>În FI: Un străin care desfășoară o activitate comercială în calitate de întreprinzător privat trebuie să obțină un permis comercial și să aibă rezidența permanentă în Uniune. Pentru toate sectoarele, cu excepția serviciilor de telecomunicații, condiția privind deținerea cetățeniei și cerința privind rezidența se aplică pentru directorul general al unei societăți cu răspundere limitată. Pentru serviciile de telecomunicații, condiția privind rezidența permanentă se aplică pentru directorul general.</w:t>
            </w:r>
          </w:p>
          <w:p>
            <w:pPr>
              <w:widowControl/>
              <w:suppressAutoHyphens/>
              <w:spacing w:before="60" w:after="60" w:line="240" w:lineRule="auto"/>
              <w:rPr>
                <w:rFonts w:ascii="Times New Roman" w:hAnsi="Times New Roman"/>
                <w:noProof/>
              </w:rPr>
            </w:pPr>
            <w:r>
              <w:rPr>
                <w:rFonts w:ascii="Times New Roman" w:hAnsi="Times New Roman"/>
                <w:noProof/>
              </w:rPr>
              <w:t>În FR: Directorul general al unei activități industriale, comerciale sau artizanale, dacă este titular al unui permis de ședere, are nevoie de o autorizație specială.</w:t>
            </w:r>
          </w:p>
          <w:p>
            <w:pPr>
              <w:widowControl/>
              <w:suppressAutoHyphens/>
              <w:spacing w:before="60" w:after="60" w:line="240" w:lineRule="auto"/>
              <w:rPr>
                <w:rFonts w:ascii="Times New Roman" w:hAnsi="Times New Roman"/>
                <w:noProof/>
              </w:rPr>
            </w:pPr>
            <w:r>
              <w:rPr>
                <w:rFonts w:ascii="Times New Roman" w:hAnsi="Times New Roman"/>
                <w:noProof/>
              </w:rPr>
              <w:t>În RO: Majoritatea auditorilor societăților comerciale și a adjuncților acestora trebuie să fie cetățeni români.</w:t>
            </w:r>
          </w:p>
          <w:p>
            <w:pPr>
              <w:widowControl/>
              <w:suppressAutoHyphens/>
              <w:spacing w:before="60" w:after="60" w:line="240" w:lineRule="auto"/>
              <w:rPr>
                <w:rFonts w:ascii="Times New Roman" w:hAnsi="Times New Roman"/>
                <w:noProof/>
              </w:rPr>
            </w:pPr>
            <w:r>
              <w:rPr>
                <w:rFonts w:ascii="Times New Roman" w:hAnsi="Times New Roman"/>
                <w:noProof/>
              </w:rPr>
              <w:t>În SE: Directorul general al unei persoane juridice sau al unei sucursale trebuie să fie rezident în SEE, cu excepția cazului în care autoritatea competentă permite altfel într-un anumit caz. Un auditor care este un auditor autorizat sau recunoscut în Suedia trebuie să fie rezident în SEE. Un auditor care nu este un auditor autorizat sau recunoscut în Suedia trebuie să fie rezident în SEE, cu excepția cazului în care un auditor autorizat sau recunoscut participă, de asemenea, la audit. Autoritatea competentă poate să permită altfel într-un anumit caz.</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Servicii de utilități publice</w:t>
            </w:r>
          </w:p>
          <w:p>
            <w:pPr>
              <w:widowControl/>
              <w:suppressAutoHyphens/>
              <w:spacing w:before="60" w:after="60" w:line="240" w:lineRule="auto"/>
              <w:rPr>
                <w:rFonts w:ascii="Times New Roman" w:hAnsi="Times New Roman"/>
                <w:noProof/>
              </w:rPr>
            </w:pPr>
            <w:r>
              <w:rPr>
                <w:rFonts w:ascii="Times New Roman" w:hAnsi="Times New Roman"/>
                <w:noProof/>
              </w:rPr>
              <w:t>În UE: Activitățile economice considerate drept servicii de utilități publice la nivel național sau local pot face obiectul unor monopoluri publice sau al unor drepturi exclusive acordate unor operatori privați</w:t>
            </w:r>
            <w:r>
              <w:rPr>
                <w:rStyle w:val="FootnoteReference"/>
                <w:rFonts w:ascii="Times New Roman" w:hAnsi="Times New Roman"/>
                <w:b/>
                <w:noProof/>
              </w:rPr>
              <w:footnoteReference w:id="37"/>
            </w:r>
            <w:r>
              <w:rPr>
                <w:rStyle w:val="FootnoteReference"/>
                <w:rFonts w:ascii="Times New Roman" w:hAnsi="Times New Roman"/>
                <w:b/>
                <w:noProof/>
              </w:rPr>
              <w:footnoteReference w:id="38"/>
            </w:r>
            <w:r>
              <w:rPr>
                <w:rFonts w:ascii="Times New Roman" w:hAnsi="Times New Roman"/>
                <w:noProof/>
              </w:rPr>
              <w:t>.</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Tipuri de stabilire</w:t>
            </w:r>
          </w:p>
          <w:p>
            <w:pPr>
              <w:widowControl/>
              <w:suppressAutoHyphens/>
              <w:spacing w:before="60" w:after="60" w:line="240" w:lineRule="auto"/>
              <w:rPr>
                <w:rFonts w:ascii="Times New Roman" w:hAnsi="Times New Roman"/>
                <w:noProof/>
              </w:rPr>
            </w:pPr>
            <w:r>
              <w:rPr>
                <w:rFonts w:ascii="Times New Roman" w:hAnsi="Times New Roman"/>
                <w:noProof/>
              </w:rPr>
              <w:t>În UE: Tratamentul acordat filialelor (societăților din Indonezia) constituite în conformitate cu legislația unui stat membru al Uniunii și avându-și sediul social, administrația centrală sau principalul loc de desfășurare a activității pe teritoriul Uniunii nu se extinde la sucursalele sau agențiile stabilite în statele membre ale Uniunii ale societăților din Indonezia</w:t>
            </w:r>
            <w:r>
              <w:rPr>
                <w:rStyle w:val="FootnoteReference"/>
                <w:rFonts w:ascii="Times New Roman" w:hAnsi="Times New Roman"/>
                <w:b/>
                <w:noProof/>
              </w:rPr>
              <w:footnoteReference w:id="39"/>
            </w:r>
            <w:r>
              <w:rPr>
                <w:rFonts w:ascii="Times New Roman" w:hAnsi="Times New Roman"/>
                <w:noProof/>
              </w:rPr>
              <w:t>. Acest lucru nu împiedică însă un stat membru să extindă tratamentul în cauză la sucursalele sau agențiile stabilite într-un alt stat membru de o societate sau firmă dintr-o țară terță în ceea ce privește funcționarea lor pe teritoriul primului stat membru, cu excepția cazului în care această extindere este explicit interzisă de dreptul Uniunii.</w:t>
            </w:r>
          </w:p>
          <w:p>
            <w:pPr>
              <w:suppressAutoHyphens/>
              <w:spacing w:before="60" w:after="60" w:line="240" w:lineRule="auto"/>
              <w:rPr>
                <w:rFonts w:ascii="Times New Roman" w:hAnsi="Times New Roman"/>
                <w:noProof/>
              </w:rPr>
            </w:pPr>
            <w:r>
              <w:rPr>
                <w:rFonts w:ascii="Times New Roman" w:hAnsi="Times New Roman"/>
                <w:noProof/>
              </w:rPr>
              <w:t>În UE: Se aplică cerințe nediscriminatorii referitoare la forma juridică.</w:t>
            </w:r>
          </w:p>
        </w:tc>
      </w:tr>
      <w:t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BG: Stabilirea sucursalelor este condiționată de obținerea unei autorizații în acest sens.</w:t>
            </w:r>
          </w:p>
          <w:p>
            <w:pPr>
              <w:widowControl/>
              <w:suppressAutoHyphens/>
              <w:spacing w:before="60" w:after="60" w:line="240" w:lineRule="auto"/>
              <w:rPr>
                <w:rFonts w:ascii="Times New Roman" w:hAnsi="Times New Roman"/>
                <w:noProof/>
              </w:rPr>
            </w:pPr>
            <w:r>
              <w:rPr>
                <w:rFonts w:ascii="Times New Roman" w:hAnsi="Times New Roman"/>
                <w:noProof/>
              </w:rPr>
              <w:t>În EE: Cel puțin jumătate din membrii consiliului de administrație trebuie să-și aibă rezidența în Uniune.</w:t>
            </w:r>
          </w:p>
          <w:p>
            <w:pPr>
              <w:widowControl/>
              <w:suppressAutoHyphens/>
              <w:spacing w:before="60" w:after="60" w:line="240" w:lineRule="auto"/>
              <w:rPr>
                <w:rFonts w:ascii="Times New Roman" w:hAnsi="Times New Roman"/>
                <w:noProof/>
              </w:rPr>
            </w:pPr>
            <w:r>
              <w:rPr>
                <w:rFonts w:ascii="Times New Roman" w:hAnsi="Times New Roman"/>
                <w:noProof/>
              </w:rPr>
              <w:t>În FI: O persoană din Indonezia care desfășoară o activitate comercială în calitate de asociat într-o societate în comandită simplă sau într-o societate în nume colectiv finlandeză are nevoie de un permis comercial și trebuie să aibă rezidență permanentă în Uniune. Pentru toate sectoarele, cu excepția serviciilor de telecomunicații, este necesară îndeplinirea cerinței privind deținerea cetățeniei și a celei privind rezidența în cazul a cel puțin jumătate dintre membrii ordinari și supleanți ai consiliului de administrație; cu toate acestea pot fi acordate derogări pentru anumite societăți. Pentru serviciile de telecomunicații, este necesară îndeplinirea cerinței privind rezidența permanentă pentru jumătate dintre membrii fondatori și jumătate dintre membrii consiliului de administrație. Dacă fondatorul este o persoană juridică, respectiva persoană juridică este, de asemenea, supusă unei cerințe privind rezidența. Dacă o organizație din Indonezia intenționează să desfășoare activități comerciale sau schimburi comerciale prin stabilirea unei sucursale în Finlanda, este necesar un permis comercial. Permisiunea de a acționa în calitate de fondator al unei societăți cu răspundere limitată este necesară pentru o organizație indoneziană sau o persoană fizică ce nu este cetățean al Uniunii.</w:t>
            </w:r>
          </w:p>
          <w:p>
            <w:pPr>
              <w:widowControl/>
              <w:suppressAutoHyphens/>
              <w:spacing w:before="60" w:after="60" w:line="240" w:lineRule="auto"/>
              <w:rPr>
                <w:rFonts w:ascii="Times New Roman" w:hAnsi="Times New Roman"/>
                <w:noProof/>
              </w:rPr>
            </w:pPr>
            <w:r>
              <w:rPr>
                <w:rFonts w:ascii="Times New Roman" w:hAnsi="Times New Roman"/>
                <w:noProof/>
              </w:rPr>
              <w:t>În IT: Accesul la activitățile industriale, comerciale și artizanale face obiectul cerinței privind deținerea unui permis de ședere și a unei autorizații specifice de desfășurare a activităților respective.</w:t>
            </w:r>
          </w:p>
          <w:p>
            <w:pPr>
              <w:widowControl/>
              <w:suppressAutoHyphens/>
              <w:spacing w:before="60" w:after="60" w:line="240" w:lineRule="auto"/>
              <w:rPr>
                <w:rFonts w:ascii="Times New Roman" w:hAnsi="Times New Roman"/>
                <w:noProof/>
              </w:rPr>
            </w:pPr>
            <w:r>
              <w:rPr>
                <w:rFonts w:ascii="Times New Roman" w:hAnsi="Times New Roman"/>
                <w:noProof/>
              </w:rPr>
              <w:t>În BG și PL: Sfera operațiunilor unei reprezentanțe poate cuprinde numai publicitatea și promovarea societății-mamă străine pe care o reprezintă.</w:t>
            </w:r>
          </w:p>
          <w:p>
            <w:pPr>
              <w:suppressAutoHyphens/>
              <w:spacing w:before="60" w:after="60" w:line="240" w:lineRule="auto"/>
              <w:rPr>
                <w:noProof/>
              </w:rPr>
            </w:pPr>
            <w:r>
              <w:rPr>
                <w:rFonts w:ascii="Times New Roman" w:hAnsi="Times New Roman"/>
                <w:noProof/>
              </w:rPr>
              <w:t>În PL: Cu excepția serviciilor financiare, neconsolidat pentru sucursale. Investitorii din Indonezia pot întreprinde și desfășura activități economice numai sub forma unei societăți în nume colectiv, a unei societăți în comandită pe acțiuni, a unei societăți cu răspundere limitată și a unei societăți pe acțiuni (în cazul serviciilor juridice, numai sub forma unui societăți în nume colectiv înregistrate și a unei societăți în comandită simplă).</w:t>
            </w:r>
          </w:p>
        </w:tc>
      </w:tr>
      <w:t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RO: Administratorul unic sau președintele consiliului de administrație, precum și jumătate din numărul total de administratori ai societăților comerciale sunt cetățeni români, cu excepția cazului în care se prevede altfel prin contractul sau statutul societății. Majoritatea auditorilor societăților comerciale și a adjuncților acestora trebuie să fie cetățeni români.</w:t>
            </w:r>
          </w:p>
          <w:p>
            <w:pPr>
              <w:widowControl/>
              <w:suppressAutoHyphens/>
              <w:spacing w:before="60" w:after="60" w:line="240" w:lineRule="auto"/>
              <w:rPr>
                <w:rFonts w:ascii="Times New Roman" w:hAnsi="Times New Roman"/>
                <w:noProof/>
              </w:rPr>
            </w:pPr>
            <w:r>
              <w:rPr>
                <w:rFonts w:ascii="Times New Roman" w:hAnsi="Times New Roman"/>
                <w:noProof/>
              </w:rPr>
              <w:t>În SE: O societate din Indonezia care nu a stabilit o entitate juridică în Suedia sau care își desfășoară afacerile prin intermediul unui agent comercial își va desfășura operațiunile comerciale printr-o sucursală înregistrată în Suedia, cu un director administrativ independent și contabilitate separată. Directorul general al sucursalei și directorul general adjunct al acesteia, în cazul în care este numit unul, trebuie să fie rezidenți ai Spațiului Economic European (SEE). O persoană fizică nerezidentă în SEE care desfășoară operațiuni comerciale în Suedia trebuie să numească și să înregistreze un reprezentant rezident, care să fie responsabil cu operațiunile din Suedia. Pentru operațiunile din Suedia, se menține o contabilitate separată. În cazuri aparte, autoritatea competentă poate acorda derogări de la cerințele referitoare la sucursală și la rezidență. Proiectele de construcție cu o durată de mai puțin de un an – derulate de către o societate situată în afara SEE sau o persoană fizică rezidentă în afara SEE – sunt scutite de obligația de înființare a unei sucursale sau de numire a unui reprezentant rezident.</w:t>
            </w:r>
          </w:p>
          <w:p>
            <w:pPr>
              <w:suppressAutoHyphens/>
              <w:spacing w:before="60" w:after="60" w:line="240" w:lineRule="auto"/>
              <w:rPr>
                <w:noProof/>
              </w:rPr>
            </w:pPr>
            <w:r>
              <w:rPr>
                <w:rFonts w:ascii="Times New Roman" w:hAnsi="Times New Roman"/>
                <w:noProof/>
              </w:rPr>
              <w:t>În cazul societăților cu răspundere limitată și al asociațiilor economice cooperatiste, cel puțin 50 % dintre membrii consiliului de administrație, cel puțin 50 % dintre membrii supleanți ai consiliului de administrație, directorul general, directorul general adjunct și cel puțin una dintre persoanele autorizate să semneze în numele societății, dacă este cazul, trebuie să fie rezidenți în SEE. Autoritatea competentă poate acorda derogări de la această cerință. În cazul în care niciunul dintre reprezentanții companiei sau ai societății nu este rezident pe teritoriul Suediei, consiliul trebuie să desemneze și să înregistreze o persoană rezidentă în Suedia, autorizată să primească acte oficiale în numele companiei sau al societății.</w:t>
            </w:r>
          </w:p>
        </w:tc>
      </w:tr>
      <w:tr>
        <w:tc>
          <w:tcPr>
            <w:tcW w:w="972" w:type="pct"/>
            <w:tcBorders>
              <w:top w:val="nil"/>
              <w:bottom w:val="single" w:sz="4" w:space="0" w:color="auto"/>
            </w:tcBorders>
          </w:tcPr>
          <w:p>
            <w:pPr>
              <w:pageBreakBefore/>
              <w:suppressAutoHyphens/>
              <w:spacing w:before="60" w:after="60" w:line="240" w:lineRule="auto"/>
              <w:rPr>
                <w:noProof/>
              </w:rPr>
            </w:pPr>
          </w:p>
        </w:tc>
        <w:tc>
          <w:tcPr>
            <w:tcW w:w="4028"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Pentru stabilirea tuturor celorlalte tipuri de entități juridice prevalează condiții corespunzătoare.</w:t>
            </w:r>
          </w:p>
          <w:p>
            <w:pPr>
              <w:suppressAutoHyphens/>
              <w:spacing w:before="60" w:after="60" w:line="240" w:lineRule="auto"/>
              <w:rPr>
                <w:noProof/>
              </w:rPr>
            </w:pPr>
            <w:r>
              <w:rPr>
                <w:rFonts w:ascii="Times New Roman" w:hAnsi="Times New Roman"/>
                <w:noProof/>
              </w:rPr>
              <w:t>În SK, o persoană fizică din Indonezia al cărei nume urmează a fi înregistrat în registrul corespunzător (Registrul comerțului, Registrul antreprenorilor sau alt registru profesional) ca persoană autorizată să acționeze în numele antreprenorului trebuie să prezinte un permis de ședere în Slovacia.</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Investiții</w:t>
            </w:r>
          </w:p>
          <w:p>
            <w:pPr>
              <w:widowControl/>
              <w:suppressAutoHyphens/>
              <w:spacing w:before="60" w:after="60" w:line="240" w:lineRule="auto"/>
              <w:rPr>
                <w:rFonts w:ascii="Times New Roman" w:hAnsi="Times New Roman"/>
                <w:noProof/>
              </w:rPr>
            </w:pPr>
            <w:r>
              <w:rPr>
                <w:rFonts w:ascii="Times New Roman" w:hAnsi="Times New Roman"/>
                <w:noProof/>
              </w:rPr>
              <w:t>În BG: În întreprinderile în care participarea publică (de stat sau municipală) la capitalul social depășește 30 %, transferul acestor participații către terți necesită autorizație. Anumite activități economice legate de exploatarea sau utilizarea proprietății de stat sau publice fac obiectul concesiunilor acordate în temeiul dispozițiilor legii privind concesiunile. Investitorii străini nu pot participa la privatizare. Investitorii străini și persoanele juridice bulgare cu participație indoneziană care conferă controlul necesită o autorizație pentru (a) prospectarea, dezvoltarea sau extracția de resurse naturale din mările teritoriale, platforma continentală sau zona economică exclusivă și (b) achiziționarea unei participații care conferă controlul în societăți implicate în oricare dintre activitățile specificate la litera (a).</w:t>
            </w:r>
          </w:p>
          <w:p>
            <w:pPr>
              <w:suppressAutoHyphens/>
              <w:spacing w:before="60" w:after="60" w:line="240" w:lineRule="auto"/>
              <w:rPr>
                <w:rFonts w:ascii="Times New Roman" w:hAnsi="Times New Roman"/>
                <w:noProof/>
              </w:rPr>
            </w:pPr>
            <w:r>
              <w:rPr>
                <w:rFonts w:ascii="Times New Roman" w:hAnsi="Times New Roman"/>
                <w:noProof/>
              </w:rPr>
              <w:t>Întreprinderile stabilite în Bulgaria pot angaja resortisanți ai țărilor terțe numai pentru posturile pentru care nu este prevăzută cerința privind deținerea cetățeniei bulgare. Numărul total de resortisanți ai țărilor terțe angajați de o întreprindere stabilită în Bulgaria în ultimele 12 luni nu trebuie să depășească 20 % (35 % pentru întreprinderile mici și mijlocii) din numărul mediu de resortisanți bulgari, resortisanți ai altor state membre, ai statelor care sunt părți la Acordul privind Spațiul Economic European sau ai Confederației Elvețiene, angajați cu un contract de muncă. În plus, angajatorul trebuie să demonstreze că nu există un lucrător bulgar, un lucrător din UE, un lucrător din SEE sau un lucrător elvețian adecvat pentru poziția respectivă, prin efectuarea unui test al pieței muncii înainte de angajarea unui resortisant dintr-o țară terță.</w:t>
            </w:r>
          </w:p>
        </w:tc>
      </w:tr>
      <w:t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lucrătorii cu înaltă calificare, cei sezonieri și cei detașați, precum și pentru persoanele transferate în cadrul aceleiași companii, pentru cercetători și studenți, nu există nicio limitare a numărului de resortisanți ai țărilor terțe care lucrează pentru o singură întreprindere. Pentru angajarea resortisanților țărilor terțe în aceste categorii, nu este necesar să se efectueze un test al pieței muncii.</w:t>
            </w:r>
          </w:p>
          <w:p>
            <w:pPr>
              <w:widowControl/>
              <w:suppressAutoHyphens/>
              <w:spacing w:before="60" w:after="60" w:line="240" w:lineRule="auto"/>
              <w:rPr>
                <w:rFonts w:ascii="Times New Roman" w:hAnsi="Times New Roman"/>
                <w:noProof/>
              </w:rPr>
            </w:pPr>
            <w:r>
              <w:rPr>
                <w:rFonts w:ascii="Times New Roman" w:hAnsi="Times New Roman"/>
                <w:noProof/>
              </w:rPr>
              <w:t>În DK: Stabilirea de sucursale de către societăți străine din afara Uniunii este condiționată de aderarea țării respective la un acord internațional. Planificarea comerțului cu amănuntul în Danemarca este reglementată de legea privind planificarea, care cuprinde criterii privind mărimea și localizarea magazinelor destinate comerțului cu amănuntul. Regulile privind mărimea și localizarea au la bază doar considerente de mediu. Prin urmare, întreprinderile străine de comerț cu amănuntul nu au nevoie de un permis sau de o autorizație specială înainte de a investi în Danemarca.</w:t>
            </w:r>
          </w:p>
          <w:p>
            <w:pPr>
              <w:widowControl/>
              <w:suppressAutoHyphens/>
              <w:spacing w:before="60" w:after="60" w:line="240" w:lineRule="auto"/>
              <w:rPr>
                <w:rFonts w:ascii="Times New Roman" w:hAnsi="Times New Roman"/>
                <w:noProof/>
              </w:rPr>
            </w:pPr>
            <w:r>
              <w:rPr>
                <w:rFonts w:ascii="Times New Roman" w:hAnsi="Times New Roman"/>
                <w:noProof/>
              </w:rPr>
              <w:t>În ES: Investițiile în Spania ale guvernelor străine și ale entităților publice străine, în mod direct sau prin intermediul unor societăți sau al unor alte entități controlate în mod direct sau indirect de guverne străine, necesită autorizarea prealabilă a guvernului. Astfel de investiții au tendința să implice nu numai interese economice, ci și neeconomice pentru respectivele entități.</w:t>
            </w:r>
          </w:p>
          <w:p>
            <w:pPr>
              <w:widowControl/>
              <w:suppressAutoHyphens/>
              <w:spacing w:before="60" w:after="60" w:line="240" w:lineRule="auto"/>
              <w:rPr>
                <w:rFonts w:ascii="Times New Roman" w:hAnsi="Times New Roman"/>
                <w:noProof/>
              </w:rPr>
            </w:pPr>
            <w:r>
              <w:rPr>
                <w:rFonts w:ascii="Times New Roman" w:hAnsi="Times New Roman"/>
                <w:noProof/>
              </w:rPr>
              <w:t>În FR: În conformitate cu articolele L151-1 și 151-1 și următoarele din Codul monetar și financiar, investițiile străine făcute în Franța în sectoarele enumerate la articolul R.151-3 din Codul monetar și financiar fac obiectul unei aprobări prealabile din partea ministrului economiei.</w:t>
            </w:r>
          </w:p>
          <w:p>
            <w:pPr>
              <w:widowControl/>
              <w:suppressAutoHyphens/>
              <w:spacing w:before="60" w:after="60" w:line="240" w:lineRule="auto"/>
              <w:rPr>
                <w:rFonts w:ascii="Times New Roman" w:hAnsi="Times New Roman"/>
                <w:noProof/>
              </w:rPr>
            </w:pPr>
            <w:r>
              <w:rPr>
                <w:rFonts w:ascii="Times New Roman" w:hAnsi="Times New Roman"/>
                <w:noProof/>
              </w:rPr>
              <w:t>Aprobarea acordată poate fi supusă unor condiții speciale.</w:t>
            </w:r>
          </w:p>
          <w:p>
            <w:pPr>
              <w:suppressAutoHyphens/>
              <w:spacing w:before="60" w:after="60" w:line="240" w:lineRule="auto"/>
              <w:rPr>
                <w:noProof/>
              </w:rPr>
            </w:pPr>
            <w:r>
              <w:rPr>
                <w:rFonts w:ascii="Times New Roman" w:hAnsi="Times New Roman"/>
                <w:noProof/>
              </w:rPr>
              <w:t>Participarea străină în societățile nou privatizate poate fi limitată la o sumă variabilă din capitalul propriu oferit publicului, stabilită de guvernul francez de la caz la caz. Pentru desfășurarea anumitor activități comerciale, industriale sau artizanale, este necesară o autorizație specifică în cazul în care directorul general nu este titularul unui permis de ședere permanent.</w:t>
            </w:r>
          </w:p>
        </w:tc>
      </w:tr>
      <w:t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FI: Achiziționarea de către acționari indonezieni a unor participații prin care obțin mai mult de o treime din drepturile de vot ale unei societăți finlandeze mari sau ale unei întreprinderi comerciale mari (cu peste 1 000 de angajați, cu o cifră de afaceri de peste 168 de milioane EUR sau cu un bilanț total</w:t>
            </w:r>
            <w:r>
              <w:rPr>
                <w:rStyle w:val="FootnoteReference"/>
                <w:rFonts w:ascii="Times New Roman" w:hAnsi="Times New Roman"/>
                <w:b/>
                <w:noProof/>
              </w:rPr>
              <w:footnoteReference w:id="40"/>
            </w:r>
            <w:r>
              <w:rPr>
                <w:rFonts w:ascii="Times New Roman" w:hAnsi="Times New Roman"/>
                <w:noProof/>
              </w:rPr>
              <w:t xml:space="preserve"> de peste 168 de milioane EUR) este condiționată de obținerea unei confirmări din partea autorităților finlandeze. Confirmarea în cauză poate fi refuzată numai în cazul în care ar fi pus în pericol un interes național important. Aceste limitări nu se aplică în cazul serviciilor de telecomunicații.</w:t>
            </w:r>
          </w:p>
          <w:p>
            <w:pPr>
              <w:widowControl/>
              <w:suppressAutoHyphens/>
              <w:spacing w:before="60" w:after="60" w:line="240" w:lineRule="auto"/>
              <w:rPr>
                <w:rFonts w:ascii="Times New Roman" w:hAnsi="Times New Roman"/>
                <w:noProof/>
              </w:rPr>
            </w:pPr>
            <w:r>
              <w:rPr>
                <w:rFonts w:ascii="Times New Roman" w:hAnsi="Times New Roman"/>
                <w:noProof/>
              </w:rPr>
              <w:t>În HU: neconsolidat pentru participarea indoneziană la societățile nou privatizate.</w:t>
            </w:r>
          </w:p>
          <w:p>
            <w:pPr>
              <w:widowControl/>
              <w:suppressAutoHyphens/>
              <w:spacing w:before="60" w:after="60" w:line="240" w:lineRule="auto"/>
              <w:rPr>
                <w:rFonts w:ascii="Times New Roman" w:hAnsi="Times New Roman"/>
                <w:noProof/>
              </w:rPr>
            </w:pPr>
            <w:r>
              <w:rPr>
                <w:rFonts w:ascii="Times New Roman" w:hAnsi="Times New Roman"/>
                <w:noProof/>
              </w:rPr>
              <w:t>În LT: întreprinderi, sectoare, zone, active și instalații de importanță strategică pentru securitatea națională.</w:t>
            </w:r>
          </w:p>
          <w:p>
            <w:pPr>
              <w:suppressAutoHyphens/>
              <w:spacing w:before="60" w:after="60" w:line="240" w:lineRule="auto"/>
              <w:rPr>
                <w:noProof/>
              </w:rPr>
            </w:pPr>
            <w:r>
              <w:rPr>
                <w:rFonts w:ascii="Times New Roman" w:hAnsi="Times New Roman"/>
                <w:noProof/>
              </w:rPr>
              <w:t>În IT: Societăților nou privatizate li se pot acorda sau menține drepturi exclusive. Drepturile de vot în societățile nou privatizate pot fi limitate în anumite cazuri. Pentru o perioadă de cinci ani de la data intrării în vigoare a prezentului acord, achiziționarea de pachete mari de acțiuni la societățile care își desfășoară activitatea în domeniul apărării, al serviciilor de transport, al telecomunicațiilor și al energiei poate fi supusă aprobării autorităților competente.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Zone geografice</w:t>
            </w:r>
          </w:p>
          <w:p>
            <w:pPr>
              <w:widowControl/>
              <w:suppressAutoHyphens/>
              <w:spacing w:before="60" w:after="60" w:line="240" w:lineRule="auto"/>
              <w:rPr>
                <w:rFonts w:ascii="Times New Roman" w:hAnsi="Times New Roman"/>
                <w:noProof/>
              </w:rPr>
            </w:pPr>
            <w:r>
              <w:rPr>
                <w:rFonts w:ascii="Times New Roman" w:hAnsi="Times New Roman"/>
                <w:noProof/>
              </w:rPr>
              <w:t>În FI: În Insulele Åland, se prevăd limitări privind dreptul de stabilire și dreptul de a desfășura activități economice de către persoanele fizice care nu beneficiază de cetățenie regională în Åland sau de către orice persoană juridică fără permisiunea autorităților competente ale Insulelor Åland.</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Recunoaștere</w:t>
            </w:r>
          </w:p>
          <w:p>
            <w:pPr>
              <w:widowControl/>
              <w:suppressAutoHyphens/>
              <w:spacing w:before="60" w:after="60" w:line="240" w:lineRule="auto"/>
              <w:rPr>
                <w:rFonts w:ascii="Times New Roman" w:hAnsi="Times New Roman"/>
                <w:noProof/>
              </w:rPr>
            </w:pPr>
            <w:r>
              <w:rPr>
                <w:rFonts w:ascii="Times New Roman" w:hAnsi="Times New Roman"/>
                <w:noProof/>
              </w:rPr>
              <w:t>În UE: Directivele Uniunii privind recunoașterea reciprocă a diplomelor se aplică numai cetățenilor Uniunii. Dreptul de a practica un serviciu profesional reglementat într-unul dintre statele membre ale Uniunii nu acordă dreptul de practică într-un alt stat membru</w:t>
            </w:r>
            <w:r>
              <w:rPr>
                <w:rStyle w:val="FootnoteReference"/>
                <w:rFonts w:ascii="Times New Roman" w:hAnsi="Times New Roman"/>
                <w:b/>
                <w:noProof/>
              </w:rPr>
              <w:footnoteReference w:id="41"/>
            </w:r>
            <w:r>
              <w:rPr>
                <w:rFonts w:ascii="Times New Roman" w:hAnsi="Times New Roman"/>
                <w:noProof/>
              </w:rPr>
              <w:t>.</w:t>
            </w:r>
          </w:p>
        </w:tc>
      </w:tr>
      <w:tr>
        <w:trPr>
          <w:tblHeader/>
        </w:trPr>
        <w:tc>
          <w:tcPr>
            <w:tcW w:w="972" w:type="pct"/>
            <w:vAlign w:val="center"/>
          </w:tcPr>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AGRICULTURĂ, VÂNĂTOARE, SILVICULTURĂ</w:t>
            </w:r>
          </w:p>
        </w:tc>
        <w:tc>
          <w:tcPr>
            <w:tcW w:w="4028" w:type="pct"/>
            <w:vAlign w:val="center"/>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Agricultură, vânătoare</w:t>
            </w:r>
          </w:p>
          <w:p>
            <w:pPr>
              <w:widowControl/>
              <w:suppressAutoHyphens/>
              <w:spacing w:before="60" w:after="60" w:line="240" w:lineRule="auto"/>
              <w:rPr>
                <w:rFonts w:ascii="Times New Roman" w:hAnsi="Times New Roman"/>
                <w:noProof/>
              </w:rPr>
            </w:pPr>
            <w:r>
              <w:rPr>
                <w:rFonts w:ascii="Times New Roman" w:hAnsi="Times New Roman"/>
                <w:noProof/>
              </w:rPr>
              <w:t>(ISIC rev 3.1: 011, 012, 013, 014, 015), cu excepția serviciilor de consiliere și de consultanță</w:t>
            </w:r>
            <w:r>
              <w:rPr>
                <w:rStyle w:val="FootnoteReference"/>
                <w:rFonts w:ascii="Times New Roman" w:hAnsi="Times New Roman"/>
                <w:b/>
                <w:noProof/>
              </w:rPr>
              <w:footnoteReference w:id="42"/>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cu excepția AT, FI, FR, HR, HU, IE, MT, RO, SE și SI: niciuna.</w:t>
            </w:r>
          </w:p>
          <w:p>
            <w:pPr>
              <w:widowControl/>
              <w:suppressAutoHyphens/>
              <w:spacing w:before="60" w:after="60" w:line="240" w:lineRule="auto"/>
              <w:rPr>
                <w:rFonts w:ascii="Times New Roman" w:hAnsi="Times New Roman"/>
                <w:noProof/>
              </w:rPr>
            </w:pPr>
            <w:r>
              <w:rPr>
                <w:rFonts w:ascii="Times New Roman" w:hAnsi="Times New Roman"/>
                <w:noProof/>
              </w:rPr>
              <w:t>În AT, HR, HU, MT, RO, SI: neconsolidat pentru activitățile agricole.</w:t>
            </w:r>
          </w:p>
          <w:p>
            <w:pPr>
              <w:widowControl/>
              <w:suppressAutoHyphens/>
              <w:spacing w:before="60" w:after="60" w:line="240" w:lineRule="auto"/>
              <w:rPr>
                <w:rFonts w:ascii="Times New Roman" w:hAnsi="Times New Roman"/>
                <w:noProof/>
              </w:rPr>
            </w:pPr>
            <w:r>
              <w:rPr>
                <w:rFonts w:ascii="Times New Roman" w:hAnsi="Times New Roman"/>
                <w:noProof/>
              </w:rPr>
              <w:t>În FR, înființarea de întreprinderi agricole de către resortisanți indonezieni și achiziționarea de plantații viticole de către investitori indonezieni necesită autorizație. Pentru a deveni membru sau pentru a acționa în calitate de director al unei cooperative agricole este necesară, de asemenea, autorizarea prealabilă.</w:t>
            </w:r>
          </w:p>
          <w:p>
            <w:pPr>
              <w:widowControl/>
              <w:suppressAutoHyphens/>
              <w:spacing w:before="60" w:after="60" w:line="240" w:lineRule="auto"/>
              <w:rPr>
                <w:rFonts w:ascii="Times New Roman" w:hAnsi="Times New Roman"/>
                <w:noProof/>
              </w:rPr>
            </w:pPr>
            <w:r>
              <w:rPr>
                <w:rFonts w:ascii="Times New Roman" w:hAnsi="Times New Roman"/>
                <w:noProof/>
              </w:rPr>
              <w:t>În SE: Populației sami i se acordă un drept exclusiv de creștere a renilor.</w:t>
            </w:r>
          </w:p>
          <w:p>
            <w:pPr>
              <w:widowControl/>
              <w:suppressAutoHyphens/>
              <w:spacing w:before="60" w:after="60" w:line="240" w:lineRule="auto"/>
              <w:rPr>
                <w:rFonts w:ascii="Times New Roman" w:hAnsi="Times New Roman"/>
                <w:noProof/>
              </w:rPr>
            </w:pPr>
            <w:r>
              <w:rPr>
                <w:rFonts w:ascii="Times New Roman" w:hAnsi="Times New Roman"/>
                <w:noProof/>
              </w:rPr>
              <w:t>În IE, stabilirea rezidenților indonezieni în vederea desfășurării activității de morărit necesită autorizație.</w:t>
            </w:r>
          </w:p>
          <w:p>
            <w:pPr>
              <w:widowControl/>
              <w:suppressAutoHyphens/>
              <w:spacing w:before="60" w:after="60" w:line="240" w:lineRule="auto"/>
              <w:rPr>
                <w:rFonts w:ascii="Times New Roman" w:hAnsi="Times New Roman"/>
                <w:noProof/>
              </w:rPr>
            </w:pPr>
            <w:r>
              <w:rPr>
                <w:rFonts w:ascii="Times New Roman" w:hAnsi="Times New Roman"/>
                <w:noProof/>
              </w:rPr>
              <w:t>În FI: Numai cetățenii unui stat membru al SEE rezidenți în zona de creștere a renilor pot să dețină reni și să practice creșterea renilor. Pot fi acordate drepturi exclusive.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Silvicultură și exploatare forestieră</w:t>
            </w:r>
          </w:p>
          <w:p>
            <w:pPr>
              <w:widowControl/>
              <w:suppressAutoHyphens/>
              <w:spacing w:before="60" w:after="60" w:line="240" w:lineRule="auto"/>
              <w:rPr>
                <w:rFonts w:ascii="Times New Roman" w:hAnsi="Times New Roman"/>
                <w:noProof/>
              </w:rPr>
            </w:pPr>
            <w:r>
              <w:rPr>
                <w:rFonts w:ascii="Times New Roman" w:hAnsi="Times New Roman"/>
                <w:noProof/>
              </w:rPr>
              <w:t>(ISIC rev 3.1: 020) cu excepția serviciilor de consiliere și de consultanță</w:t>
            </w:r>
            <w:r>
              <w:rPr>
                <w:rStyle w:val="FootnoteReference"/>
                <w:rFonts w:ascii="Times New Roman" w:hAnsi="Times New Roman"/>
                <w:b/>
                <w:bCs/>
                <w:noProof/>
                <w:szCs w:val="24"/>
              </w:rPr>
              <w:footnoteReference w:id="43"/>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cu excepția BG: niciuna.</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activitățile din domeniul exploatării forestiere.</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2. Pescuit și acvacultură</w:t>
            </w:r>
          </w:p>
          <w:p>
            <w:pPr>
              <w:widowControl/>
              <w:suppressAutoHyphens/>
              <w:spacing w:before="60" w:after="60" w:line="240" w:lineRule="auto"/>
              <w:rPr>
                <w:rFonts w:ascii="Times New Roman" w:hAnsi="Times New Roman"/>
                <w:noProof/>
              </w:rPr>
            </w:pPr>
            <w:r>
              <w:rPr>
                <w:rFonts w:ascii="Times New Roman" w:hAnsi="Times New Roman"/>
                <w:noProof/>
              </w:rPr>
              <w:t>(ISIC rev 3.1: 0501, 0502), cu excepția serviciilor de consiliere și de consultanță</w:t>
            </w:r>
            <w:r>
              <w:rPr>
                <w:rStyle w:val="FootnoteReference"/>
                <w:rFonts w:ascii="Times New Roman" w:hAnsi="Times New Roman"/>
                <w:b/>
                <w:bCs/>
                <w:noProof/>
              </w:rPr>
              <w:footnoteReference w:id="44"/>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rPr>
          <w:trHeight w:val="144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3. </w:t>
            </w:r>
            <w:bookmarkStart w:id="16" w:name="_Hlk228374289"/>
            <w:r>
              <w:rPr>
                <w:rFonts w:ascii="Times New Roman" w:hAnsi="Times New Roman"/>
                <w:noProof/>
              </w:rPr>
              <w:t>Industria extractivă</w:t>
            </w:r>
            <w:r>
              <w:rPr>
                <w:rStyle w:val="FootnoteReference"/>
                <w:rFonts w:ascii="Times New Roman" w:hAnsi="Times New Roman"/>
                <w:b/>
                <w:noProof/>
              </w:rPr>
              <w:footnoteReference w:id="45"/>
            </w:r>
            <w:bookmarkEnd w:id="16"/>
          </w:p>
          <w:p>
            <w:pPr>
              <w:widowControl/>
              <w:suppressAutoHyphens/>
              <w:spacing w:before="60" w:after="60" w:line="240" w:lineRule="auto"/>
              <w:rPr>
                <w:rFonts w:ascii="Times New Roman" w:hAnsi="Times New Roman"/>
                <w:noProof/>
              </w:rPr>
            </w:pPr>
            <w:r>
              <w:rPr>
                <w:rFonts w:ascii="Times New Roman" w:hAnsi="Times New Roman"/>
                <w:noProof/>
              </w:rPr>
              <w:t>A. Mineritul cărbunelui și lignitului; extracția turbei</w:t>
            </w:r>
          </w:p>
          <w:p>
            <w:pPr>
              <w:suppressAutoHyphens/>
              <w:spacing w:before="60" w:after="60" w:line="240" w:lineRule="auto"/>
              <w:rPr>
                <w:rFonts w:ascii="Times New Roman" w:hAnsi="Times New Roman"/>
                <w:noProof/>
              </w:rPr>
            </w:pPr>
            <w:r>
              <w:rPr>
                <w:rFonts w:ascii="Times New Roman" w:hAnsi="Times New Roman"/>
                <w:noProof/>
              </w:rPr>
              <w:t>(ISIC rev 3.1: 10)</w:t>
            </w:r>
          </w:p>
        </w:tc>
        <w:tc>
          <w:tcPr>
            <w:tcW w:w="4028" w:type="pct"/>
            <w:tcBorders>
              <w:bottom w:val="nil"/>
            </w:tcBorders>
          </w:tcPr>
          <w:p>
            <w:pPr>
              <w:widowControl/>
              <w:suppressAutoHyphens/>
              <w:spacing w:before="60" w:after="60" w:line="240" w:lineRule="auto"/>
              <w:rPr>
                <w:rFonts w:ascii="Times New Roman" w:hAnsi="Times New Roman"/>
                <w:noProof/>
              </w:rPr>
            </w:pPr>
            <w:bookmarkStart w:id="17" w:name="_Hlk228374323"/>
            <w:r>
              <w:rPr>
                <w:rFonts w:ascii="Times New Roman" w:hAnsi="Times New Roman"/>
                <w:noProof/>
              </w:rPr>
              <w:t>LV în UE, cu excepția BE.</w:t>
            </w:r>
          </w:p>
          <w:bookmarkEnd w:id="17"/>
          <w:p>
            <w:pPr>
              <w:widowControl/>
              <w:suppressAutoHyphens/>
              <w:spacing w:before="60" w:after="60" w:line="240" w:lineRule="auto"/>
              <w:rPr>
                <w:rFonts w:ascii="Times New Roman" w:hAnsi="Times New Roman"/>
                <w:noProof/>
              </w:rPr>
            </w:pPr>
            <w:r>
              <w:rPr>
                <w:rFonts w:ascii="Times New Roman" w:hAnsi="Times New Roman"/>
                <w:noProof/>
              </w:rPr>
              <w:t>În UE: neconsolidat pentru persoane juridice aflate sub controlul</w:t>
            </w:r>
            <w:r>
              <w:rPr>
                <w:rStyle w:val="FootnoteReference"/>
                <w:rFonts w:ascii="Times New Roman" w:hAnsi="Times New Roman"/>
                <w:b/>
                <w:noProof/>
              </w:rPr>
              <w:footnoteReference w:id="46"/>
            </w:r>
            <w:r>
              <w:rPr>
                <w:rFonts w:ascii="Times New Roman" w:hAnsi="Times New Roman"/>
                <w:noProof/>
              </w:rPr>
              <w:t xml:space="preserve"> unor persoane fizice sau juridice dintr-o țară care nu este membră a Uniunii, care asigură peste 5 % din importurile de petrol sau de gaze naturale ale Uniunii. Neconsolidat pentru deschiderea de sucursale directe (este necesară înregistrarea). Neconsolidat pentru extracția petrolului brut și a gazelor naturale.</w:t>
            </w:r>
          </w:p>
          <w:p>
            <w:pPr>
              <w:suppressAutoHyphens/>
              <w:spacing w:before="60" w:after="60" w:line="240" w:lineRule="auto"/>
              <w:rPr>
                <w:rFonts w:ascii="Times New Roman" w:hAnsi="Times New Roman"/>
                <w:noProof/>
              </w:rPr>
            </w:pPr>
            <w:r>
              <w:rPr>
                <w:rFonts w:ascii="Times New Roman" w:hAnsi="Times New Roman"/>
                <w:noProof/>
              </w:rPr>
              <w:t>În CY: neconsolidat.</w:t>
            </w:r>
          </w:p>
        </w:tc>
      </w:tr>
      <w:tr>
        <w:trPr>
          <w:trHeight w:val="2133"/>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Extracția țițeiului și a gazelor naturale</w:t>
            </w:r>
            <w:r>
              <w:rPr>
                <w:rStyle w:val="FootnoteReference"/>
                <w:rFonts w:ascii="Times New Roman" w:hAnsi="Times New Roman"/>
                <w:b/>
                <w:noProof/>
              </w:rPr>
              <w:footnoteReference w:id="47"/>
            </w:r>
          </w:p>
          <w:p>
            <w:pPr>
              <w:widowControl/>
              <w:suppressAutoHyphens/>
              <w:spacing w:before="60" w:after="60" w:line="240" w:lineRule="auto"/>
              <w:rPr>
                <w:rFonts w:ascii="Times New Roman" w:hAnsi="Times New Roman"/>
                <w:noProof/>
              </w:rPr>
            </w:pPr>
            <w:r>
              <w:rPr>
                <w:rFonts w:ascii="Times New Roman" w:hAnsi="Times New Roman"/>
                <w:noProof/>
              </w:rPr>
              <w:t>(ISIC rev 3.1: 1110)</w:t>
            </w:r>
          </w:p>
          <w:p>
            <w:pPr>
              <w:widowControl/>
              <w:suppressAutoHyphens/>
              <w:spacing w:before="60" w:after="60" w:line="240" w:lineRule="auto"/>
              <w:rPr>
                <w:rFonts w:ascii="Times New Roman" w:hAnsi="Times New Roman"/>
                <w:noProof/>
              </w:rPr>
            </w:pPr>
            <w:r>
              <w:rPr>
                <w:rFonts w:ascii="Times New Roman" w:hAnsi="Times New Roman"/>
                <w:noProof/>
              </w:rPr>
              <w:t>C. Extracția minereurilor metalifere</w:t>
            </w:r>
          </w:p>
          <w:p>
            <w:pPr>
              <w:widowControl/>
              <w:suppressAutoHyphens/>
              <w:spacing w:before="60" w:after="60" w:line="240" w:lineRule="auto"/>
              <w:rPr>
                <w:rFonts w:ascii="Times New Roman" w:hAnsi="Times New Roman"/>
                <w:noProof/>
              </w:rPr>
            </w:pPr>
            <w:r>
              <w:rPr>
                <w:rFonts w:ascii="Times New Roman" w:hAnsi="Times New Roman"/>
                <w:noProof/>
              </w:rPr>
              <w:t>(ISIC rev 3.1: 13)</w:t>
            </w:r>
          </w:p>
          <w:p>
            <w:pPr>
              <w:widowControl/>
              <w:suppressAutoHyphens/>
              <w:spacing w:before="60" w:after="60" w:line="240" w:lineRule="auto"/>
              <w:rPr>
                <w:rFonts w:ascii="Times New Roman" w:hAnsi="Times New Roman"/>
                <w:noProof/>
              </w:rPr>
            </w:pPr>
            <w:r>
              <w:rPr>
                <w:rFonts w:ascii="Times New Roman" w:hAnsi="Times New Roman"/>
                <w:noProof/>
              </w:rPr>
              <w:t>D. Alte activități din industria extractivă</w:t>
            </w:r>
          </w:p>
          <w:p>
            <w:pPr>
              <w:suppressAutoHyphens/>
              <w:spacing w:before="60" w:after="60" w:line="240" w:lineRule="auto"/>
              <w:rPr>
                <w:noProof/>
              </w:rPr>
            </w:pPr>
            <w:r>
              <w:rPr>
                <w:rFonts w:ascii="Times New Roman" w:hAnsi="Times New Roman"/>
                <w:noProof/>
              </w:rPr>
              <w:t>(ISIC rev 3.1: 14)</w:t>
            </w: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SI: Explorarea și exploatarea resurselor minerale, inclusiv serviciile miniere reglementate, fac obiectul unei condiții privind stabilirea sau cetățenia SEE, a Confederației Elvețiene sau a unei țări membre a OCDE sau a unei țări terțe cu condiția reciprocității materiale. Respectarea condiției de reciprocitate este verificată de ministerul responsabil cu activitățile miniere.</w:t>
            </w:r>
          </w:p>
          <w:p>
            <w:pPr>
              <w:suppressAutoHyphens/>
              <w:spacing w:before="60" w:after="60" w:line="240" w:lineRule="auto"/>
              <w:rPr>
                <w:noProof/>
              </w:rPr>
            </w:pPr>
            <w:r>
              <w:rPr>
                <w:rFonts w:ascii="Times New Roman" w:hAnsi="Times New Roman"/>
                <w:noProof/>
              </w:rPr>
              <w:t>În SK: Pentru minerit, activitățile legate de minerit și activitățile geologice, este necesară constituirea ca societate în SEE (nu sunt permise sucursalele). Activitățile miniere și de prospectare care intră sub incidența Legii nr. 44/1988 a Republicii Slovace privind protecția și exploatarea resurselor naturale sunt reglementate în mod nediscriminatoriu, inclusiv prin măsuri de politică publică ce vizează să asigure conservarea și protejarea resurselor naturale și a mediului, precum autorizarea sau interzicerea anumitor tehnologii de extracție minieră. Pentru mai multă certitudine, astfel de măsuri includ interzicerea utilizării lixivierii cu cianuri în tratarea sau rafinarea mineralelor, cerința deținerii unei autorizații specifice în caz de fracturare hidraulică pentru activitățile de prospectare, de explorare și de extracție de petrol și de gaze, precum și aprobarea prealabilă prin referendum local în cazul resurselor minerale nucleare/radioactive.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4. Industria producătoare</w:t>
            </w:r>
            <w:r>
              <w:rPr>
                <w:rStyle w:val="FootnoteReference"/>
                <w:rFonts w:ascii="Times New Roman" w:hAnsi="Times New Roman"/>
                <w:b/>
                <w:noProof/>
              </w:rPr>
              <w:footnoteReference w:id="48"/>
            </w:r>
            <w:r>
              <w:rPr>
                <w:rStyle w:val="FootnoteReference"/>
                <w:rFonts w:ascii="Times New Roman" w:hAnsi="Times New Roman"/>
                <w:b/>
                <w:noProof/>
              </w:rPr>
              <w:footnoteReference w:id="49"/>
            </w:r>
          </w:p>
        </w:tc>
        <w:tc>
          <w:tcPr>
            <w:tcW w:w="4028" w:type="pct"/>
          </w:tcPr>
          <w:p>
            <w:pPr>
              <w:widowControl/>
              <w:suppressAutoHyphens/>
              <w:spacing w:before="60" w:after="60" w:line="240" w:lineRule="auto"/>
              <w:rPr>
                <w:rFonts w:ascii="Times New Roman" w:hAnsi="Times New Roman"/>
                <w:noProof/>
              </w:rPr>
            </w:pPr>
            <w:bookmarkStart w:id="18" w:name="_Hlk228374436"/>
            <w:r>
              <w:rPr>
                <w:rFonts w:ascii="Times New Roman" w:hAnsi="Times New Roman"/>
                <w:noProof/>
              </w:rPr>
              <w:t>LV în UE, cu excepția ISIC 23.2 în CY</w:t>
            </w:r>
            <w:bookmarkEnd w:id="18"/>
            <w:r>
              <w:rPr>
                <w:noProof/>
              </w:rPr>
              <w: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Fabricarea de produse alimentare și băuturi</w:t>
            </w:r>
          </w:p>
          <w:p>
            <w:pPr>
              <w:widowControl/>
              <w:suppressAutoHyphens/>
              <w:spacing w:before="60" w:after="60" w:line="240" w:lineRule="auto"/>
              <w:rPr>
                <w:rFonts w:ascii="Times New Roman" w:hAnsi="Times New Roman"/>
                <w:noProof/>
              </w:rPr>
            </w:pPr>
            <w:r>
              <w:rPr>
                <w:rFonts w:ascii="Times New Roman" w:hAnsi="Times New Roman"/>
                <w:noProof/>
              </w:rPr>
              <w:t>(ISIC rev 3.1: 15)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Fabricarea produselor din tutun</w:t>
            </w:r>
          </w:p>
          <w:p>
            <w:pPr>
              <w:widowControl/>
              <w:suppressAutoHyphens/>
              <w:spacing w:before="60" w:after="60" w:line="240" w:lineRule="auto"/>
              <w:rPr>
                <w:rFonts w:ascii="Times New Roman" w:hAnsi="Times New Roman"/>
                <w:noProof/>
              </w:rPr>
            </w:pPr>
            <w:r>
              <w:rPr>
                <w:rFonts w:ascii="Times New Roman" w:hAnsi="Times New Roman"/>
                <w:noProof/>
              </w:rPr>
              <w:t>(ISIC rev 3.1: 16)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cu excepția CY: niciuna.</w:t>
            </w:r>
          </w:p>
          <w:p>
            <w:pPr>
              <w:widowControl/>
              <w:suppressAutoHyphens/>
              <w:spacing w:before="60" w:after="60" w:line="240" w:lineRule="auto"/>
              <w:rPr>
                <w:rFonts w:ascii="Times New Roman" w:hAnsi="Times New Roman"/>
                <w:noProof/>
              </w:rPr>
            </w:pPr>
            <w:r>
              <w:rPr>
                <w:rFonts w:ascii="Times New Roman" w:hAnsi="Times New Roman"/>
                <w:noProof/>
              </w:rPr>
              <w:t>În CY: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Fabricarea produselor textile</w:t>
            </w:r>
          </w:p>
          <w:p>
            <w:pPr>
              <w:widowControl/>
              <w:suppressAutoHyphens/>
              <w:spacing w:before="60" w:after="60" w:line="240" w:lineRule="auto"/>
              <w:rPr>
                <w:rFonts w:ascii="Times New Roman" w:hAnsi="Times New Roman"/>
                <w:noProof/>
              </w:rPr>
            </w:pPr>
            <w:r>
              <w:rPr>
                <w:rFonts w:ascii="Times New Roman" w:hAnsi="Times New Roman"/>
                <w:noProof/>
              </w:rPr>
              <w:t>(ISIC rev 3.1: 17)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Fabricarea articolelor de îmbrăcăminte; argăsirea și vopsirea blănurilor</w:t>
            </w:r>
          </w:p>
          <w:p>
            <w:pPr>
              <w:widowControl/>
              <w:suppressAutoHyphens/>
              <w:spacing w:before="60" w:after="60" w:line="240" w:lineRule="auto"/>
              <w:rPr>
                <w:rFonts w:ascii="Times New Roman" w:hAnsi="Times New Roman"/>
                <w:noProof/>
              </w:rPr>
            </w:pPr>
            <w:r>
              <w:rPr>
                <w:rFonts w:ascii="Times New Roman" w:hAnsi="Times New Roman"/>
                <w:noProof/>
              </w:rPr>
              <w:t>(ISIC rev 3.1: 18)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Tăbăcirea și finisarea pieilor; fabricarea articolelor de voiaj și marochinărie, a șeilor, a harnașamentelor și a încălțămintei</w:t>
            </w:r>
          </w:p>
          <w:p>
            <w:pPr>
              <w:widowControl/>
              <w:suppressAutoHyphens/>
              <w:spacing w:before="60" w:after="60" w:line="240" w:lineRule="auto"/>
              <w:rPr>
                <w:rFonts w:ascii="Times New Roman" w:hAnsi="Times New Roman"/>
                <w:noProof/>
              </w:rPr>
            </w:pPr>
            <w:r>
              <w:rPr>
                <w:rFonts w:ascii="Times New Roman" w:hAnsi="Times New Roman"/>
                <w:noProof/>
              </w:rPr>
              <w:t>(ISIC rev 3.1: 19)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Fabricarea lemnului și a produselor din lemn și plută, cu excepția mobilei; fabricarea articolelor din nuiele și împletituri</w:t>
            </w:r>
          </w:p>
          <w:p>
            <w:pPr>
              <w:widowControl/>
              <w:suppressAutoHyphens/>
              <w:spacing w:before="60" w:after="60" w:line="240" w:lineRule="auto"/>
              <w:rPr>
                <w:rFonts w:ascii="Times New Roman" w:hAnsi="Times New Roman"/>
                <w:noProof/>
              </w:rPr>
            </w:pPr>
            <w:r>
              <w:rPr>
                <w:rFonts w:ascii="Times New Roman" w:hAnsi="Times New Roman"/>
                <w:noProof/>
              </w:rPr>
              <w:t>(ISIC rev 3.1: 20)</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G. Fabricarea hârtiei și a produselor din hârtie</w:t>
            </w:r>
          </w:p>
          <w:p>
            <w:pPr>
              <w:widowControl/>
              <w:suppressAutoHyphens/>
              <w:spacing w:before="60" w:after="60" w:line="240" w:lineRule="auto"/>
              <w:rPr>
                <w:rFonts w:ascii="Times New Roman" w:hAnsi="Times New Roman"/>
                <w:noProof/>
              </w:rPr>
            </w:pPr>
            <w:r>
              <w:rPr>
                <w:rFonts w:ascii="Times New Roman" w:hAnsi="Times New Roman"/>
                <w:noProof/>
              </w:rPr>
              <w:t>(ISIC rev 3.1: 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H. Editarea, tipărirea și reproducerea înregistrărilor</w:t>
            </w:r>
            <w:r>
              <w:rPr>
                <w:rStyle w:val="FootnoteReference"/>
                <w:rFonts w:ascii="Times New Roman" w:hAnsi="Times New Roman"/>
                <w:b/>
                <w:noProof/>
              </w:rPr>
              <w:footnoteReference w:id="50"/>
            </w:r>
          </w:p>
          <w:p>
            <w:pPr>
              <w:widowControl/>
              <w:suppressAutoHyphens/>
              <w:spacing w:before="60" w:after="60" w:line="240" w:lineRule="auto"/>
              <w:rPr>
                <w:rFonts w:ascii="Times New Roman" w:hAnsi="Times New Roman"/>
                <w:noProof/>
              </w:rPr>
            </w:pPr>
            <w:r>
              <w:rPr>
                <w:rFonts w:ascii="Times New Roman" w:hAnsi="Times New Roman"/>
                <w:noProof/>
              </w:rPr>
              <w:t>(ISIC rev 3.1: 22, cu excepția editării și a tipăririi pe bază de tarif sau de contract</w:t>
            </w:r>
            <w:r>
              <w:rPr>
                <w:rStyle w:val="FootnoteReference"/>
                <w:rFonts w:ascii="Times New Roman" w:hAnsi="Times New Roman"/>
                <w:b/>
                <w:noProof/>
              </w:rPr>
              <w:footnoteReference w:id="51"/>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cu excepția IT, HR, PL și SE: niciuna.</w:t>
            </w:r>
          </w:p>
          <w:p>
            <w:pPr>
              <w:widowControl/>
              <w:suppressAutoHyphens/>
              <w:spacing w:before="60" w:after="60" w:line="240" w:lineRule="auto"/>
              <w:rPr>
                <w:rFonts w:ascii="Times New Roman" w:hAnsi="Times New Roman"/>
                <w:noProof/>
              </w:rPr>
            </w:pPr>
            <w:r>
              <w:rPr>
                <w:rFonts w:ascii="Times New Roman" w:hAnsi="Times New Roman"/>
                <w:noProof/>
              </w:rPr>
              <w:t>În IT: Se aplică condiția privind deținerea cetățeniei pentru proprietarul editurii și al tipografiei.</w:t>
            </w:r>
          </w:p>
          <w:p>
            <w:pPr>
              <w:widowControl/>
              <w:suppressAutoHyphens/>
              <w:spacing w:before="60" w:after="60" w:line="240" w:lineRule="auto"/>
              <w:rPr>
                <w:rFonts w:ascii="Times New Roman" w:hAnsi="Times New Roman"/>
                <w:noProof/>
              </w:rPr>
            </w:pPr>
            <w:r>
              <w:rPr>
                <w:rFonts w:ascii="Times New Roman" w:hAnsi="Times New Roman"/>
                <w:noProof/>
              </w:rPr>
              <w:t>În HR: Se aplică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În PL: cerința privind cetățenia pentru redactorii-șefi ai ziarelor și revistelor.</w:t>
            </w:r>
          </w:p>
          <w:p>
            <w:pPr>
              <w:widowControl/>
              <w:suppressAutoHyphens/>
              <w:spacing w:before="60" w:after="60" w:line="240" w:lineRule="auto"/>
              <w:rPr>
                <w:rFonts w:ascii="Times New Roman" w:hAnsi="Times New Roman"/>
                <w:noProof/>
              </w:rPr>
            </w:pPr>
            <w:r>
              <w:rPr>
                <w:rFonts w:ascii="Times New Roman" w:hAnsi="Times New Roman"/>
                <w:noProof/>
              </w:rPr>
              <w:t>În SE: Persoanele fizice care dețin publicații periodice tipărite și publicate în Suedia trebuie să aibă rezidența în Suedia sau să fie cetățeni ai unui stat membru al SEE. Proprietarii de astfel de publicații periodice care sunt persoane juridice trebuie să fie stabiliți în SEE. Publicațiile periodice care sunt tipărite și publicate în Suedia, precum și înregistrările tehnice trebuie să aibă un redactor responsabil, care trebuie să aibă domiciliul în Suedia, în conformitate cu Legea privind libertatea presei (1949:105), Legea fundamentală privind libertatea de expresie (1991:1469) și Legea privind ordonanțele referitoare la Legea privind libertatea presei și la Legea fundamentală privind libertatea de expresie (1991:1559).</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Fabricarea produselor de cocserie</w:t>
            </w:r>
          </w:p>
          <w:p>
            <w:pPr>
              <w:widowControl/>
              <w:suppressAutoHyphens/>
              <w:spacing w:before="60" w:after="60" w:line="240" w:lineRule="auto"/>
              <w:rPr>
                <w:rFonts w:ascii="Times New Roman" w:hAnsi="Times New Roman"/>
                <w:noProof/>
              </w:rPr>
            </w:pPr>
            <w:r>
              <w:rPr>
                <w:rFonts w:ascii="Times New Roman" w:hAnsi="Times New Roman"/>
                <w:noProof/>
              </w:rPr>
              <w:t>(ISIC rev 3.1: 231)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Fabricarea produselor obținute prin rafinarea petrolului</w:t>
            </w:r>
            <w:r>
              <w:rPr>
                <w:rStyle w:val="FootnoteReference"/>
                <w:rFonts w:ascii="Times New Roman" w:hAnsi="Times New Roman"/>
                <w:b/>
                <w:noProof/>
              </w:rPr>
              <w:footnoteReference w:id="52"/>
            </w:r>
          </w:p>
          <w:p>
            <w:pPr>
              <w:widowControl/>
              <w:suppressAutoHyphens/>
              <w:spacing w:before="60" w:after="60" w:line="240" w:lineRule="auto"/>
              <w:rPr>
                <w:rFonts w:ascii="Times New Roman" w:hAnsi="Times New Roman"/>
                <w:noProof/>
              </w:rPr>
            </w:pPr>
            <w:r>
              <w:rPr>
                <w:rFonts w:ascii="Times New Roman" w:hAnsi="Times New Roman"/>
                <w:noProof/>
              </w:rPr>
              <w:t>(ISIC rev 3.1: 232)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pentru persoane juridice aflate sub controlul unor persoane fizice sau juridice dintr-o țară care nu este membră a Uniunii, care asigură peste 5 % din importurile de petrol sau de gaze naturale ale Uniunii. Neconsolidat pentru deschiderea de sucursale directe (este necesară înregistrarea).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K. Fabricarea substanțelor și a produselor chimice, altele decât explozivii</w:t>
            </w:r>
          </w:p>
          <w:p>
            <w:pPr>
              <w:widowControl/>
              <w:suppressAutoHyphens/>
              <w:spacing w:before="60" w:after="60" w:line="240" w:lineRule="auto"/>
              <w:rPr>
                <w:rFonts w:ascii="Times New Roman" w:hAnsi="Times New Roman"/>
                <w:noProof/>
              </w:rPr>
            </w:pPr>
            <w:r>
              <w:rPr>
                <w:rFonts w:ascii="Times New Roman" w:hAnsi="Times New Roman"/>
                <w:noProof/>
              </w:rPr>
              <w:t>(ISIC rev 3.1: 24, cu excepția fabricării explozivilor)</w:t>
            </w:r>
          </w:p>
        </w:tc>
        <w:tc>
          <w:tcPr>
            <w:tcW w:w="4028"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Fabricarea produselor din cauciuc și mase plastice</w:t>
            </w:r>
          </w:p>
          <w:p>
            <w:pPr>
              <w:widowControl/>
              <w:suppressAutoHyphens/>
              <w:spacing w:before="60" w:after="60" w:line="240" w:lineRule="auto"/>
              <w:rPr>
                <w:rFonts w:ascii="Times New Roman" w:hAnsi="Times New Roman"/>
                <w:noProof/>
              </w:rPr>
            </w:pPr>
            <w:r>
              <w:rPr>
                <w:rFonts w:ascii="Times New Roman" w:hAnsi="Times New Roman"/>
                <w:noProof/>
              </w:rPr>
              <w:t>(ISIC rev 3.1: 25)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M. Fabricarea altor produse minerale nemetalice</w:t>
            </w:r>
          </w:p>
          <w:p>
            <w:pPr>
              <w:widowControl/>
              <w:suppressAutoHyphens/>
              <w:spacing w:before="60" w:after="60" w:line="240" w:lineRule="auto"/>
              <w:rPr>
                <w:rFonts w:ascii="Times New Roman" w:hAnsi="Times New Roman"/>
                <w:noProof/>
              </w:rPr>
            </w:pPr>
            <w:r>
              <w:rPr>
                <w:rFonts w:ascii="Times New Roman" w:hAnsi="Times New Roman"/>
                <w:noProof/>
              </w:rPr>
              <w:t>(ISIC rev 3.1: 26)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N. Fabricarea metalelor comune</w:t>
            </w:r>
          </w:p>
          <w:p>
            <w:pPr>
              <w:widowControl/>
              <w:suppressAutoHyphens/>
              <w:spacing w:before="60" w:after="60" w:line="240" w:lineRule="auto"/>
              <w:rPr>
                <w:rFonts w:ascii="Times New Roman" w:hAnsi="Times New Roman"/>
                <w:noProof/>
              </w:rPr>
            </w:pPr>
            <w:r>
              <w:rPr>
                <w:rFonts w:ascii="Times New Roman" w:hAnsi="Times New Roman"/>
                <w:noProof/>
              </w:rPr>
              <w:t>(ISIC rev 3.1: 27)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O. Fabricarea produselor metalice cu excepția mașinilor și echipamentelor</w:t>
            </w:r>
          </w:p>
          <w:p>
            <w:pPr>
              <w:widowControl/>
              <w:suppressAutoHyphens/>
              <w:spacing w:before="60" w:after="60" w:line="240" w:lineRule="auto"/>
              <w:rPr>
                <w:rFonts w:ascii="Times New Roman" w:hAnsi="Times New Roman"/>
                <w:noProof/>
              </w:rPr>
            </w:pPr>
            <w:r>
              <w:rPr>
                <w:rFonts w:ascii="Times New Roman" w:hAnsi="Times New Roman"/>
                <w:noProof/>
              </w:rPr>
              <w:t>(ISIC rev 3.1: 28)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P. Fabricarea mașinilor</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Fabricarea mașinilor de uz general</w:t>
            </w:r>
          </w:p>
          <w:p>
            <w:pPr>
              <w:widowControl/>
              <w:suppressAutoHyphens/>
              <w:spacing w:before="60" w:after="60" w:line="240" w:lineRule="auto"/>
              <w:rPr>
                <w:rFonts w:ascii="Times New Roman" w:hAnsi="Times New Roman"/>
                <w:noProof/>
              </w:rPr>
            </w:pPr>
            <w:r>
              <w:rPr>
                <w:rFonts w:ascii="Times New Roman" w:hAnsi="Times New Roman"/>
                <w:noProof/>
              </w:rPr>
              <w:t>(ISIC rev 3.1: 291)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bookmarkStart w:id="19" w:name="_Hlk228374654"/>
            <w:r>
              <w:rPr>
                <w:rFonts w:ascii="Times New Roman" w:hAnsi="Times New Roman"/>
                <w:noProof/>
              </w:rPr>
              <w:t>(b) Fabricarea mașinilor de uz specific, altele decât armele și munițiile</w:t>
            </w:r>
          </w:p>
          <w:p>
            <w:pPr>
              <w:widowControl/>
              <w:suppressAutoHyphens/>
              <w:spacing w:before="60" w:after="60" w:line="240" w:lineRule="auto"/>
              <w:rPr>
                <w:rFonts w:ascii="Times New Roman" w:hAnsi="Times New Roman"/>
                <w:noProof/>
              </w:rPr>
            </w:pPr>
            <w:r>
              <w:rPr>
                <w:rFonts w:ascii="Times New Roman" w:hAnsi="Times New Roman"/>
                <w:noProof/>
              </w:rPr>
              <w:t>(ISIC rev 3.1: 2921, 2922, 2923, 2924, 2925, 2926, 2929)</w:t>
            </w:r>
            <w:bookmarkEnd w:id="19"/>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Fabricarea aparatelor de uz casnic n.c.a.</w:t>
            </w:r>
          </w:p>
          <w:p>
            <w:pPr>
              <w:widowControl/>
              <w:suppressAutoHyphens/>
              <w:spacing w:before="60" w:after="60" w:line="240" w:lineRule="auto"/>
              <w:rPr>
                <w:rFonts w:ascii="Times New Roman" w:hAnsi="Times New Roman"/>
                <w:noProof/>
              </w:rPr>
            </w:pPr>
            <w:r>
              <w:rPr>
                <w:rFonts w:ascii="Times New Roman" w:hAnsi="Times New Roman"/>
                <w:noProof/>
              </w:rPr>
              <w:t>(ISIC rev 3.1: 293)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Fabricarea mașinilor de birou, de calculat și de contabilizat</w:t>
            </w:r>
          </w:p>
          <w:p>
            <w:pPr>
              <w:widowControl/>
              <w:suppressAutoHyphens/>
              <w:spacing w:before="60" w:after="60" w:line="240" w:lineRule="auto"/>
              <w:rPr>
                <w:rFonts w:ascii="Times New Roman" w:hAnsi="Times New Roman"/>
                <w:noProof/>
              </w:rPr>
            </w:pPr>
            <w:r>
              <w:rPr>
                <w:rFonts w:ascii="Times New Roman" w:hAnsi="Times New Roman"/>
                <w:noProof/>
              </w:rPr>
              <w:t>(ISIC rev 3.1: 30)</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Fabricarea mașinilor și a aparatelor electrice n.c.a.</w:t>
            </w:r>
          </w:p>
          <w:p>
            <w:pPr>
              <w:widowControl/>
              <w:suppressAutoHyphens/>
              <w:spacing w:before="60" w:after="60" w:line="240" w:lineRule="auto"/>
              <w:rPr>
                <w:rFonts w:ascii="Times New Roman" w:hAnsi="Times New Roman"/>
                <w:noProof/>
              </w:rPr>
            </w:pPr>
            <w:r>
              <w:rPr>
                <w:rFonts w:ascii="Times New Roman" w:hAnsi="Times New Roman"/>
                <w:noProof/>
              </w:rPr>
              <w:t>(ISIC rev 3.1: 31)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Fabricarea echipamentelor și a aparatelor de radio, televiziune și comunicații</w:t>
            </w:r>
          </w:p>
          <w:p>
            <w:pPr>
              <w:widowControl/>
              <w:suppressAutoHyphens/>
              <w:spacing w:before="60" w:after="60" w:line="240" w:lineRule="auto"/>
              <w:rPr>
                <w:rFonts w:ascii="Times New Roman" w:hAnsi="Times New Roman"/>
                <w:noProof/>
              </w:rPr>
            </w:pPr>
            <w:r>
              <w:rPr>
                <w:rFonts w:ascii="Times New Roman" w:hAnsi="Times New Roman"/>
                <w:noProof/>
              </w:rPr>
              <w:t>(ISIC rev 3.1: 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Q. Fabricarea instrumentelor medicale, de precizie și optice și de ceasornicărie</w:t>
            </w:r>
          </w:p>
          <w:p>
            <w:pPr>
              <w:widowControl/>
              <w:suppressAutoHyphens/>
              <w:spacing w:before="60" w:after="60" w:line="240" w:lineRule="auto"/>
              <w:rPr>
                <w:rFonts w:ascii="Times New Roman" w:hAnsi="Times New Roman"/>
                <w:noProof/>
              </w:rPr>
            </w:pPr>
            <w:r>
              <w:rPr>
                <w:rFonts w:ascii="Times New Roman" w:hAnsi="Times New Roman"/>
                <w:noProof/>
              </w:rPr>
              <w:t>(ISIC rev 3.1: 33)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Fabricarea autovehiculelor, remorcilor și semiremorcilor</w:t>
            </w:r>
          </w:p>
          <w:p>
            <w:pPr>
              <w:widowControl/>
              <w:suppressAutoHyphens/>
              <w:spacing w:before="60" w:after="60" w:line="240" w:lineRule="auto"/>
              <w:rPr>
                <w:rFonts w:ascii="Times New Roman" w:hAnsi="Times New Roman"/>
                <w:noProof/>
              </w:rPr>
            </w:pPr>
            <w:r>
              <w:rPr>
                <w:rFonts w:ascii="Times New Roman" w:hAnsi="Times New Roman"/>
                <w:noProof/>
              </w:rPr>
              <w:t>(ISIC rev 3.1: 34)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 Fabricarea altor echipamente de transport (altele decât cele militare)</w:t>
            </w:r>
          </w:p>
          <w:p>
            <w:pPr>
              <w:widowControl/>
              <w:suppressAutoHyphens/>
              <w:spacing w:before="60" w:after="60" w:line="240" w:lineRule="auto"/>
              <w:rPr>
                <w:rFonts w:ascii="Times New Roman" w:hAnsi="Times New Roman"/>
                <w:noProof/>
              </w:rPr>
            </w:pPr>
            <w:r>
              <w:rPr>
                <w:rFonts w:ascii="Times New Roman" w:hAnsi="Times New Roman"/>
                <w:noProof/>
              </w:rPr>
              <w:t>(ISIC rev 3.1: 35, cu excepția fabricării navelor de război, a avioanelor de război și a altor echipamente de transport de uz militar)</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T. Producția de mobilier; activități manufacturiere n.c.a.</w:t>
            </w:r>
          </w:p>
          <w:p>
            <w:pPr>
              <w:widowControl/>
              <w:suppressAutoHyphens/>
              <w:spacing w:before="60" w:after="60" w:line="240" w:lineRule="auto"/>
              <w:rPr>
                <w:rFonts w:ascii="Times New Roman" w:hAnsi="Times New Roman"/>
                <w:noProof/>
              </w:rPr>
            </w:pPr>
            <w:r>
              <w:rPr>
                <w:rFonts w:ascii="Times New Roman" w:hAnsi="Times New Roman"/>
                <w:noProof/>
              </w:rPr>
              <w:t>(ISIC rev 3.1: 361, 369)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U. Reciclare</w:t>
            </w:r>
          </w:p>
          <w:p>
            <w:pPr>
              <w:widowControl/>
              <w:suppressAutoHyphens/>
              <w:spacing w:before="60" w:after="60" w:line="240" w:lineRule="auto"/>
              <w:rPr>
                <w:rFonts w:ascii="Times New Roman" w:hAnsi="Times New Roman"/>
                <w:noProof/>
              </w:rPr>
            </w:pPr>
            <w:r>
              <w:rPr>
                <w:rFonts w:ascii="Times New Roman" w:hAnsi="Times New Roman"/>
                <w:noProof/>
              </w:rPr>
              <w:t>(ISIC rev 3.1: 37)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cu excepția CZ: Niciuna.</w:t>
            </w:r>
          </w:p>
          <w:p>
            <w:pPr>
              <w:widowControl/>
              <w:suppressAutoHyphens/>
              <w:spacing w:before="60" w:after="60" w:line="240" w:lineRule="auto"/>
              <w:rPr>
                <w:rFonts w:ascii="Times New Roman" w:hAnsi="Times New Roman"/>
                <w:noProof/>
              </w:rPr>
            </w:pPr>
            <w:r>
              <w:rPr>
                <w:rFonts w:ascii="Times New Roman" w:hAnsi="Times New Roman"/>
                <w:noProof/>
              </w:rPr>
              <w:t>În CZ: Numai o societate de ambalare autorizată poate să furnizeze servicii legate de</w:t>
            </w:r>
          </w:p>
          <w:p>
            <w:pPr>
              <w:widowControl/>
              <w:suppressAutoHyphens/>
              <w:spacing w:before="60" w:after="60" w:line="240" w:lineRule="auto"/>
              <w:rPr>
                <w:rFonts w:ascii="Times New Roman" w:hAnsi="Times New Roman"/>
                <w:noProof/>
              </w:rPr>
            </w:pPr>
            <w:r>
              <w:rPr>
                <w:rFonts w:ascii="Times New Roman" w:hAnsi="Times New Roman"/>
                <w:noProof/>
              </w:rPr>
              <w:t>preluarea și recuperarea ambalajelor, iar aceasta trebuie să fie o persoană juridică înființată ca societate pe acțiuni.</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PRODUCȚIA, TRANSPORTUL ȘI DISTRIBUȚIA ENERGIEI ELECTRICE, A GAZELOR, A ABURULUI ȘI A APEI CALDE</w:t>
            </w:r>
            <w:r>
              <w:rPr>
                <w:rStyle w:val="FootnoteReference"/>
                <w:rFonts w:ascii="Times New Roman" w:hAnsi="Times New Roman"/>
                <w:b/>
                <w:noProof/>
              </w:rPr>
              <w:footnoteReference w:id="53"/>
            </w:r>
            <w:r>
              <w:rPr>
                <w:rFonts w:ascii="Times New Roman" w:hAnsi="Times New Roman"/>
                <w:noProof/>
              </w:rPr>
              <w:t xml:space="preserve"> PE CONT PROPRIU (CU EXCEPȚIA GENERĂRII ENERGIEI ELECTRICE PE BAZĂ NUCLEARĂ)</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bookmarkStart w:id="20" w:name="_Hlk228374787"/>
            <w:r>
              <w:rPr>
                <w:rFonts w:ascii="Times New Roman" w:hAnsi="Times New Roman"/>
                <w:noProof/>
              </w:rPr>
              <w:t>A. Producția, transportul și distribuția energiei electrice pe cont propriu</w:t>
            </w:r>
          </w:p>
          <w:p>
            <w:pPr>
              <w:widowControl/>
              <w:suppressAutoHyphens/>
              <w:spacing w:before="60" w:after="60" w:line="240" w:lineRule="auto"/>
              <w:rPr>
                <w:rFonts w:ascii="Times New Roman" w:hAnsi="Times New Roman"/>
                <w:noProof/>
              </w:rPr>
            </w:pPr>
            <w:r>
              <w:rPr>
                <w:rFonts w:ascii="Times New Roman" w:hAnsi="Times New Roman"/>
                <w:noProof/>
              </w:rPr>
              <w:t>(parte din ISIC rev 3.1: 4010)</w:t>
            </w:r>
            <w:bookmarkEnd w:id="20"/>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Producția gazelor naturale; distribuția pe cont propriu a combustibililor gazoși prin conducte</w:t>
            </w:r>
          </w:p>
          <w:p>
            <w:pPr>
              <w:widowControl/>
              <w:suppressAutoHyphens/>
              <w:spacing w:before="60" w:after="60" w:line="240" w:lineRule="auto"/>
              <w:rPr>
                <w:rFonts w:ascii="Times New Roman" w:hAnsi="Times New Roman"/>
                <w:noProof/>
              </w:rPr>
            </w:pPr>
            <w:r>
              <w:rPr>
                <w:rFonts w:ascii="Times New Roman" w:hAnsi="Times New Roman"/>
                <w:noProof/>
              </w:rPr>
              <w:t>(parte din ISIC rev 3.1: 4020)</w:t>
            </w:r>
            <w:r>
              <w:rPr>
                <w:rStyle w:val="FootnoteReference"/>
                <w:rFonts w:ascii="Times New Roman" w:hAnsi="Times New Roman"/>
                <w:b/>
                <w:noProof/>
              </w:rPr>
              <w:footnoteReference w:id="54"/>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Producția aburului și a apei calde; distribuția pe cont propriu a aburului și a apei calde</w:t>
            </w:r>
          </w:p>
          <w:p>
            <w:pPr>
              <w:widowControl/>
              <w:suppressAutoHyphens/>
              <w:spacing w:before="60" w:after="60" w:line="240" w:lineRule="auto"/>
              <w:rPr>
                <w:rFonts w:ascii="Times New Roman" w:hAnsi="Times New Roman"/>
                <w:noProof/>
              </w:rPr>
            </w:pPr>
            <w:r>
              <w:rPr>
                <w:rFonts w:ascii="Times New Roman" w:hAnsi="Times New Roman"/>
                <w:noProof/>
              </w:rPr>
              <w:t>(parte din ISIC rev 3.1: 4030)</w:t>
            </w:r>
            <w:r>
              <w:rPr>
                <w:rStyle w:val="FootnoteReference"/>
                <w:rFonts w:ascii="Times New Roman" w:hAnsi="Times New Roman"/>
                <w:b/>
                <w:noProof/>
              </w:rPr>
              <w:footnoteReference w:id="55"/>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pentru persoane juridice aflate sub controlul</w:t>
            </w:r>
            <w:r>
              <w:rPr>
                <w:rStyle w:val="FootnoteReference"/>
                <w:rFonts w:ascii="Times New Roman" w:hAnsi="Times New Roman"/>
                <w:b/>
                <w:noProof/>
              </w:rPr>
              <w:footnoteReference w:id="56"/>
            </w:r>
            <w:r>
              <w:rPr>
                <w:rFonts w:ascii="Times New Roman" w:hAnsi="Times New Roman"/>
                <w:noProof/>
              </w:rPr>
              <w:t xml:space="preserve"> unor persoane fizice sau juridice dintr-o țară care nu este membră a Uniunii, care asigură peste 5 % din importurile de petrol sau de gaze naturale ale Uniunii.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CZ: Este necesară o autorizație. O astfel de autorizație poate fi acordată numai unei persoane fizice titulare a unui permis de ședere sau unei persoane juridice stabilite în Uniune.</w:t>
            </w:r>
          </w:p>
          <w:p>
            <w:pPr>
              <w:widowControl/>
              <w:suppressAutoHyphens/>
              <w:spacing w:before="60" w:after="60" w:line="240" w:lineRule="auto"/>
              <w:rPr>
                <w:rFonts w:ascii="Times New Roman" w:hAnsi="Times New Roman"/>
                <w:noProof/>
              </w:rPr>
            </w:pPr>
            <w:r>
              <w:rPr>
                <w:rFonts w:ascii="Times New Roman" w:hAnsi="Times New Roman"/>
                <w:noProof/>
              </w:rPr>
              <w:t>În SK: Este necesară o autorizație pentru producția și distribuția aburului și a apei calde. Se aplică testul privind necesitățile economice, iar cererea poate fi refuzată numai în cazul în care piața este saturată. Pentru toate aceste activități, o autorizație poate fi acordată numai unei persoane fizice cu rezidență permanentă în SEE sau unei persoane juridice din SEE.</w:t>
            </w:r>
          </w:p>
        </w:tc>
      </w:tr>
      <w:tr>
        <w:trPr>
          <w:cantSplit/>
          <w:tblHeader/>
        </w:trPr>
        <w:tc>
          <w:tcPr>
            <w:tcW w:w="972" w:type="pct"/>
            <w:vAlign w:val="center"/>
          </w:tcPr>
          <w:p>
            <w:pPr>
              <w:pageBreakBefore/>
              <w:widowControl/>
              <w:suppressAutoHyphens/>
              <w:spacing w:before="60" w:after="60" w:line="240" w:lineRule="auto"/>
              <w:jc w:val="center"/>
              <w:rPr>
                <w:rFonts w:ascii="Times New Roman" w:hAnsi="Times New Roman"/>
                <w:noProof/>
              </w:rPr>
            </w:pPr>
            <w:r>
              <w:rPr>
                <w:rFonts w:ascii="Times New Roman" w:hAnsi="Times New Roman"/>
                <w:noProof/>
              </w:rPr>
              <w:lastRenderedPageBreak/>
              <w:t>6. SERVICII PENTRU ÎNTREPRINDERI</w:t>
            </w:r>
          </w:p>
        </w:tc>
        <w:tc>
          <w:tcPr>
            <w:tcW w:w="4028" w:type="pct"/>
            <w:vAlign w:val="center"/>
          </w:tcPr>
          <w:p>
            <w:pPr>
              <w:widowControl/>
              <w:suppressAutoHyphens/>
              <w:spacing w:before="60" w:after="60" w:line="240" w:lineRule="auto"/>
              <w:jc w:val="center"/>
              <w:rPr>
                <w:rFonts w:ascii="Times New Roman" w:hAnsi="Times New Roman"/>
                <w:noProof/>
              </w:rPr>
            </w:pP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 Servicii profesionale</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346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juridice</w:t>
            </w:r>
          </w:p>
          <w:p>
            <w:pPr>
              <w:widowControl/>
              <w:suppressAutoHyphens/>
              <w:spacing w:before="60" w:after="60" w:line="240" w:lineRule="auto"/>
              <w:rPr>
                <w:rFonts w:ascii="Times New Roman" w:hAnsi="Times New Roman"/>
                <w:noProof/>
              </w:rPr>
            </w:pPr>
            <w:r>
              <w:rPr>
                <w:rFonts w:ascii="Times New Roman" w:hAnsi="Times New Roman"/>
                <w:noProof/>
              </w:rPr>
              <w:t>(CPC 861)</w:t>
            </w:r>
            <w:r>
              <w:rPr>
                <w:rStyle w:val="FootnoteReference"/>
                <w:rFonts w:ascii="Times New Roman" w:hAnsi="Times New Roman"/>
                <w:b/>
                <w:noProof/>
              </w:rPr>
              <w:footnoteReference w:id="57"/>
            </w:r>
          </w:p>
          <w:p>
            <w:pPr>
              <w:widowControl/>
              <w:suppressAutoHyphens/>
              <w:spacing w:before="60" w:after="60" w:line="240" w:lineRule="auto"/>
              <w:rPr>
                <w:rFonts w:ascii="Times New Roman" w:hAnsi="Times New Roman"/>
                <w:noProof/>
              </w:rPr>
            </w:pPr>
            <w:r>
              <w:rPr>
                <w:rFonts w:ascii="Times New Roman" w:hAnsi="Times New Roman"/>
                <w:noProof/>
              </w:rPr>
              <w:t>cu excepția consilierii juridice și a serviciilor de documentare și certificare juridică furnizate de membri ai profesiei juridice cărora le-au fost încredințate funcții publice, precum notari, „</w:t>
            </w:r>
            <w:r>
              <w:rPr>
                <w:rFonts w:ascii="Times New Roman" w:hAnsi="Times New Roman"/>
                <w:i/>
                <w:noProof/>
              </w:rPr>
              <w:t>huissiers de justice</w:t>
            </w:r>
            <w:r>
              <w:rPr>
                <w:rFonts w:ascii="Times New Roman" w:hAnsi="Times New Roman"/>
                <w:noProof/>
              </w:rPr>
              <w:t>” sau alți „</w:t>
            </w:r>
            <w:r>
              <w:rPr>
                <w:rFonts w:ascii="Times New Roman" w:hAnsi="Times New Roman"/>
                <w:i/>
                <w:noProof/>
              </w:rPr>
              <w:t>officiers publics et ministériels</w:t>
            </w:r>
            <w:r>
              <w:rPr>
                <w:rFonts w:ascii="Times New Roman" w:hAnsi="Times New Roman"/>
                <w:noProof/>
              </w:rPr>
              <w:t>”.</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UE: Reprezentarea juridică a persoanelor fizice sau juridice în fața Oficiului Uniunii Europene pentru Proprietate Intelectuală (denumit în continuare „EUIPO”) poate fi realizată numai de către un practician în domeniul dreptului, calificat în unul dintre statele membre ale Spațiului Economic European, care își are sediul în Spațiul Economic European, în măsura în care acesta are dreptul, în statul membru respectiv, să acționeze în calitate de reprezentant în domeniul mărcilor sau al proprietății industriale, precum și de către reprezentanți autorizați ale căror nume figurează pe lista păstrată în acest scop de EUIPO. (parte din CPC 861).</w:t>
            </w:r>
          </w:p>
          <w:p>
            <w:pPr>
              <w:widowControl/>
              <w:suppressAutoHyphens/>
              <w:spacing w:before="60" w:after="60" w:line="240" w:lineRule="auto"/>
              <w:rPr>
                <w:rFonts w:ascii="Times New Roman" w:hAnsi="Times New Roman"/>
                <w:noProof/>
              </w:rPr>
            </w:pPr>
            <w:r>
              <w:rPr>
                <w:rFonts w:ascii="Times New Roman" w:hAnsi="Times New Roman"/>
                <w:noProof/>
              </w:rPr>
              <w:t>În UE: În fiecare stat membru se aplică cerințe specifice nediscriminatorii privind forma juridică.</w:t>
            </w:r>
          </w:p>
          <w:p>
            <w:pPr>
              <w:widowControl/>
              <w:suppressAutoHyphens/>
              <w:spacing w:before="60" w:after="60" w:line="240" w:lineRule="auto"/>
              <w:rPr>
                <w:rFonts w:ascii="Times New Roman" w:hAnsi="Times New Roman"/>
                <w:noProof/>
              </w:rPr>
            </w:pPr>
            <w:r>
              <w:rPr>
                <w:rFonts w:ascii="Times New Roman" w:hAnsi="Times New Roman"/>
                <w:noProof/>
              </w:rPr>
              <w:t>În AT: Avocații străini (care trebuie să fie pe deplin calificați în jurisdicția lor de origine) pot participa la capitalul social al oricărei firme de avocatură și pot deține o cotă-parte din veniturile de exploatare de până la 25 %; restul trebuie să fie deținut de avocați pe deplin calificați din SEE sau din Confederația Elvețiană și numai aceștia din urmă pot exercita o influență decisivă în procesul decizional al firmei de avocatură.</w:t>
            </w:r>
          </w:p>
          <w:p>
            <w:pPr>
              <w:widowControl/>
              <w:suppressAutoHyphens/>
              <w:spacing w:before="60" w:after="60" w:line="240" w:lineRule="auto"/>
              <w:rPr>
                <w:rFonts w:ascii="Times New Roman" w:hAnsi="Times New Roman"/>
                <w:noProof/>
              </w:rPr>
            </w:pPr>
            <w:r>
              <w:rPr>
                <w:rFonts w:ascii="Times New Roman" w:hAnsi="Times New Roman"/>
                <w:noProof/>
              </w:rPr>
              <w:t>În BE: Pentru admiterea deplină în barou și pentru furnizarea de servicii juridice care țin de dreptul intern belgian, inclusiv reprezentarea în instanță, este necesară îndeplinirea cerinței privind rezidența. Reprezentarea în fața „</w:t>
            </w:r>
            <w:r>
              <w:rPr>
                <w:rFonts w:ascii="Times New Roman" w:hAnsi="Times New Roman"/>
                <w:i/>
                <w:noProof/>
              </w:rPr>
              <w:t>Cour de Cassation</w:t>
            </w:r>
            <w:r>
              <w:rPr>
                <w:rFonts w:ascii="Times New Roman" w:hAnsi="Times New Roman"/>
                <w:noProof/>
              </w:rPr>
              <w:t>” face obiectul propunerii de candidatură pe o listă specifică.</w:t>
            </w:r>
          </w:p>
        </w:tc>
      </w:tr>
      <w:tr>
        <w:trPr>
          <w:trHeight w:val="5700"/>
        </w:trP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CY: Pentru furnizarea de servicii juridice, admiterea deplină în barou este obligatorie. Admiterea în barou este supusă condiției privind deținerea cetățeniei. Numai avocații înscriși în barou pot fi asociați, acționari sau membri ai consiliului de administrație într-un cabinet de avocatură în Cipru.</w:t>
            </w:r>
          </w:p>
          <w:p>
            <w:pPr>
              <w:widowControl/>
              <w:suppressAutoHyphens/>
              <w:spacing w:before="60" w:after="60" w:line="240" w:lineRule="auto"/>
              <w:rPr>
                <w:rFonts w:ascii="Times New Roman" w:hAnsi="Times New Roman"/>
                <w:noProof/>
              </w:rPr>
            </w:pPr>
            <w:r>
              <w:rPr>
                <w:rFonts w:ascii="Times New Roman" w:hAnsi="Times New Roman"/>
                <w:noProof/>
              </w:rPr>
              <w:t>În CZ: Pentru furnizarea de servicii juridice care țin de dreptul intern (al UE și al statului membru respectiv), inclusiv reprezentarea în instanță, este necesară admiterea deplină în Baroul Ceh, precum și rezidența (prezența comercială).</w:t>
            </w:r>
          </w:p>
          <w:p>
            <w:pPr>
              <w:widowControl/>
              <w:suppressAutoHyphens/>
              <w:spacing w:before="60" w:after="60" w:line="240" w:lineRule="auto"/>
              <w:rPr>
                <w:rFonts w:ascii="Times New Roman" w:hAnsi="Times New Roman"/>
                <w:noProof/>
              </w:rPr>
            </w:pPr>
            <w:r>
              <w:rPr>
                <w:rFonts w:ascii="Times New Roman" w:hAnsi="Times New Roman"/>
                <w:noProof/>
              </w:rPr>
              <w:t>În DE: Numai avocații care și-au obținut calificarea în SEE sau în Confederația Elvețiană pot fi admiși în barou și au astfel dreptul să furnizeze servicii juridice care țin de dreptul intern. Pentru a obține admiterea deplină în barou este necesară prezența comercială. Baroul competent poate acorda derogări.</w:t>
            </w:r>
          </w:p>
          <w:p>
            <w:pPr>
              <w:widowControl/>
              <w:suppressAutoHyphens/>
              <w:spacing w:before="60" w:after="60" w:line="240" w:lineRule="auto"/>
              <w:rPr>
                <w:rFonts w:ascii="Times New Roman" w:hAnsi="Times New Roman"/>
                <w:noProof/>
              </w:rPr>
            </w:pPr>
            <w:r>
              <w:rPr>
                <w:rFonts w:ascii="Times New Roman" w:hAnsi="Times New Roman"/>
                <w:noProof/>
              </w:rPr>
              <w:t>Pentru avocații străini (care nu și-au obținut calificarea în SEE sau în Confederația Elvețiană) pot exista restricții privind deținerea de participații în cadrul unei firme de avocatură care furnizează servicii juridice care țin de dreptul intern. Avocații străini sau firmele de avocatură străine pot oferi servicii juridice care țin de dreptul străin și de dreptul internațional public dacă dovedesc că dețin cunoștințe de specialitate.</w:t>
            </w:r>
          </w:p>
          <w:p>
            <w:pPr>
              <w:suppressAutoHyphens/>
              <w:spacing w:before="60" w:after="60" w:line="240" w:lineRule="auto"/>
              <w:rPr>
                <w:noProof/>
              </w:rPr>
            </w:pPr>
            <w:r>
              <w:rPr>
                <w:rFonts w:ascii="Times New Roman" w:hAnsi="Times New Roman"/>
                <w:noProof/>
              </w:rPr>
              <w:t>O societate profesională poate deveni acționar al unei firme de avocatură germane numai dacă este admisă în baroul german și dacă adoptă una dintre formele juridice enumerate la articolul 59b din Legea federală privind avocații. Un acționar trebuie să participe activ în cadrul firmei de avocatură. Sucursalele firmelor de avocatură străine pot furniza servicii juridice dacă au fost admise în barou. Admiterea în barou impune ca acționarii să fie calificați drept avocați sau consilieri specializați în brevete într-un stat în care profesia juridică corespunzătoare este recunoscută prin regulament al Ministerului Justiției din Germania ca având un statut educațional și profesional comparabil (secțiunea 206 din Legea federală privind avocații și secțiunea 157 din Legea federală privind avocații specializați în brevete). Sucursala trebuie să aibă o conducere separată cu putere de reprezentare în Germania și cel puțin un administrator al sucursalei cu împuternicire trebuie să fie admis în baroul german.</w:t>
            </w:r>
          </w:p>
        </w:tc>
      </w:tr>
      <w:t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DK: Pentru cabinetele de avocatură, se aplică cerințe nediscriminatorii referitoare la forma juridică. În plus, unicul scop al unui cabinet de avocatură trebuie să fie exercitarea profesiei în domeniul dreptului. Acțiunile unei firme de avocatură pot fi deținute numai de avocați care își exercită în mod activ profesia în domeniul dreptului în cadrul firmei, în societatea-mamă sau într-o filială a firmei, de alți angajați decât avocații din cadrul firmei sau de o altă firmă de avocatură înregistrată în Danemarca. În plus, alți angajați decât avocații din cadrul firmei pot deține în mod colectiv doar sub 10 % din acțiuni și drepturile de vot, iar pentru a fi acționari, aceștia trebuie să promoveze un examen privind normele deosebit de importante pentru exercitarea profesiei în domeniul dreptului. Numai avocații care își exercită în mod activ profesia în domeniul dreptului în cadrul firmei, al societății-mamă sau al filialei acesteia, precum și alți acționari și reprezentanții angajaților pot fi membri ai consiliului de administrație. Majoritatea membrilor consiliului de administrație trebuie să fie avocați care își exercită în mod activ profesia în domeniul dreptului în cadrul firmei, al societății-mamă sau al filialei acesteia. Numai avocații care își exercită în mod activ profesia în domeniul dreptului în cadrul firmei, al societății-mamă sau al filialei acesteia, precum și alți acționari care au promovat examenul menționat mai sus pot fi directori ai firmei de avocatură. Avocații care își exercită profesia în domeniul dreptului într-o firmă de avocatură sau alți angajați în cadrul societății care dețin acțiuni sunt personal răspunzători împreună cu firma pentru orice pretenții apărute ca urmare a asistenței acordate unui client.</w:t>
            </w:r>
          </w:p>
          <w:p>
            <w:pPr>
              <w:widowControl/>
              <w:suppressAutoHyphens/>
              <w:spacing w:before="60" w:after="60" w:line="240" w:lineRule="auto"/>
              <w:rPr>
                <w:rFonts w:ascii="Times New Roman" w:hAnsi="Times New Roman"/>
                <w:noProof/>
              </w:rPr>
            </w:pPr>
            <w:r>
              <w:rPr>
                <w:rFonts w:ascii="Times New Roman" w:hAnsi="Times New Roman"/>
                <w:noProof/>
              </w:rPr>
              <w:t>În EL: Pentru practicarea de servicii juridice care țin de dreptul intern (al UE și al statului membru respectiv), inclusiv reprezentarea în instanță, sunt necesare cetățenia unui stat membru al SEE sau cetățenia elvețiană și rezidența (prezența comercială) în SEE sau în Confederația Elvețiană.</w:t>
            </w:r>
          </w:p>
          <w:p>
            <w:pPr>
              <w:widowControl/>
              <w:suppressAutoHyphens/>
              <w:spacing w:before="60" w:after="60" w:line="240" w:lineRule="auto"/>
              <w:rPr>
                <w:noProof/>
              </w:rPr>
            </w:pPr>
            <w:r>
              <w:rPr>
                <w:rFonts w:ascii="Times New Roman" w:hAnsi="Times New Roman"/>
                <w:noProof/>
              </w:rPr>
              <w:t>În ES: Pentru furnizarea de servicii juridice care țin de dreptul intern (al UE și al statului membru respectiv), inclusiv reprezentarea în instanță, este obligatorie cetățenia unui stat membru al SEE sau cetățenia elvețiană. Autoritățile competente pot acorda derogări de la cerința privind deținerea cetățeniei. Pentru a furniza orice servicii juridice, este necesară o adresă profesională.</w:t>
            </w:r>
          </w:p>
        </w:tc>
      </w:tr>
      <w:tr>
        <w:trPr>
          <w:trHeight w:val="5775"/>
        </w:trP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FR: Accesul avocaților la profesia de „</w:t>
            </w:r>
            <w:r>
              <w:rPr>
                <w:rFonts w:ascii="Times New Roman" w:hAnsi="Times New Roman"/>
                <w:i/>
                <w:noProof/>
              </w:rPr>
              <w:t>avocat auprès de la Cour de Cassation</w:t>
            </w:r>
            <w:r>
              <w:rPr>
                <w:rFonts w:ascii="Times New Roman" w:hAnsi="Times New Roman"/>
                <w:noProof/>
              </w:rPr>
              <w:t>” și „</w:t>
            </w:r>
            <w:r>
              <w:rPr>
                <w:rFonts w:ascii="Times New Roman" w:hAnsi="Times New Roman"/>
                <w:i/>
                <w:noProof/>
              </w:rPr>
              <w:t>avocat auprès du Conseil d’Etat</w:t>
            </w:r>
            <w:r>
              <w:rPr>
                <w:rFonts w:ascii="Times New Roman" w:hAnsi="Times New Roman"/>
                <w:noProof/>
              </w:rPr>
              <w:t>” face obiectul unor cote și al condiției privind deținerea cetățeniei. Unele tipuri de forme juridice („</w:t>
            </w:r>
            <w:r>
              <w:rPr>
                <w:rFonts w:ascii="Times New Roman" w:hAnsi="Times New Roman"/>
                <w:i/>
                <w:noProof/>
              </w:rPr>
              <w:t>association d'avocats</w:t>
            </w:r>
            <w:r>
              <w:rPr>
                <w:rFonts w:ascii="Times New Roman" w:hAnsi="Times New Roman"/>
                <w:noProof/>
              </w:rPr>
              <w:t>” și „</w:t>
            </w:r>
            <w:r>
              <w:rPr>
                <w:rFonts w:ascii="Times New Roman" w:hAnsi="Times New Roman"/>
                <w:i/>
                <w:noProof/>
              </w:rPr>
              <w:t>société en participation d'avocat</w:t>
            </w:r>
            <w:r>
              <w:rPr>
                <w:rFonts w:ascii="Times New Roman" w:hAnsi="Times New Roman"/>
                <w:noProof/>
              </w:rPr>
              <w:t>”) le sunt rezervate avocaților admiși deplin în barou în Franța. Acționarii, directorii și asociații pot face obiectul unor restricții specifice legate de activitatea lor profesională. Într-un birou de avocatură care furnizează servicii ce țin de dreptul francez sau de dreptul Uniunii, cel puțin 75 % dintre asociații care dețin 75 % din acțiuni trebuie să fie avocați admiși pe deplin în baroul francez.</w:t>
            </w:r>
          </w:p>
          <w:p>
            <w:pPr>
              <w:widowControl/>
              <w:suppressAutoHyphens/>
              <w:spacing w:before="60" w:after="60" w:line="240" w:lineRule="auto"/>
              <w:rPr>
                <w:rFonts w:ascii="Times New Roman" w:hAnsi="Times New Roman"/>
                <w:noProof/>
              </w:rPr>
            </w:pPr>
            <w:r>
              <w:rPr>
                <w:rFonts w:ascii="Times New Roman" w:hAnsi="Times New Roman"/>
                <w:noProof/>
              </w:rPr>
              <w:t>În FR: Pentru a fi înregistrat pe lista serviciilor de consiliere în materie de proprietate industrială, este necesară îndeplinirea cerinței privind stabilirea sau rezidența în SEE. Pentru persoanele fizice, este necesară cetățenia SEE. Pentru a reprezenta un client în fața oficiului național pentru proprietate intelectuală, este necesară îndeplinirea cerinței privind stabilirea în SEE. Furnizarea de servicii numai prin SCP („</w:t>
            </w:r>
            <w:r>
              <w:rPr>
                <w:rFonts w:ascii="Times New Roman" w:hAnsi="Times New Roman"/>
                <w:i/>
                <w:noProof/>
              </w:rPr>
              <w:t>société civile professionnelle</w:t>
            </w:r>
            <w:r>
              <w:rPr>
                <w:rFonts w:ascii="Times New Roman" w:hAnsi="Times New Roman"/>
                <w:noProof/>
              </w:rPr>
              <w:t>”), SEL („</w:t>
            </w:r>
            <w:r>
              <w:rPr>
                <w:rFonts w:ascii="Times New Roman" w:hAnsi="Times New Roman"/>
                <w:i/>
                <w:noProof/>
              </w:rPr>
              <w:t>société d’exercice libéral”</w:t>
            </w:r>
            <w:r>
              <w:rPr>
                <w:rFonts w:ascii="Times New Roman" w:hAnsi="Times New Roman"/>
                <w:noProof/>
              </w:rPr>
              <w:t>) sau orice altă formă juridică, în anumite condiții. Indiferent de forma juridică, mai mult de jumătate din acțiuni și din drepturile de vot trebuie să fie deținute de profesioniști din SEE. Firmele de avocatură pot avea dreptul de a furniza servicii de consiliere în materie de proprietate industrială (a se vedea rezerva pentru servicii juridice).</w:t>
            </w:r>
          </w:p>
          <w:p>
            <w:pPr>
              <w:widowControl/>
              <w:suppressAutoHyphens/>
              <w:spacing w:before="60" w:after="60" w:line="240" w:lineRule="auto"/>
              <w:rPr>
                <w:rFonts w:ascii="Times New Roman" w:hAnsi="Times New Roman"/>
                <w:noProof/>
              </w:rPr>
            </w:pPr>
            <w:r>
              <w:rPr>
                <w:rFonts w:ascii="Times New Roman" w:hAnsi="Times New Roman"/>
                <w:noProof/>
              </w:rPr>
              <w:t>În FI: Pentru utilizarea titlului profesional de „avocat” (în limba finlandeză „</w:t>
            </w:r>
            <w:r>
              <w:rPr>
                <w:rFonts w:ascii="Times New Roman" w:hAnsi="Times New Roman"/>
                <w:i/>
                <w:noProof/>
              </w:rPr>
              <w:t>asianajaja</w:t>
            </w:r>
            <w:r>
              <w:rPr>
                <w:rFonts w:ascii="Times New Roman" w:hAnsi="Times New Roman"/>
                <w:noProof/>
              </w:rPr>
              <w:t>” sau în limba suedeză „</w:t>
            </w:r>
            <w:r>
              <w:rPr>
                <w:rFonts w:ascii="Times New Roman" w:hAnsi="Times New Roman"/>
                <w:i/>
                <w:noProof/>
              </w:rPr>
              <w:t>advokat</w:t>
            </w:r>
            <w:r>
              <w:rPr>
                <w:rFonts w:ascii="Times New Roman" w:hAnsi="Times New Roman"/>
                <w:noProof/>
              </w:rPr>
              <w:t>”), este necesară îndeplinirea cerinței privind rezidența într-un stat membru al SEE sau în Elveția și înscrierea în barou. Serviciile juridice, inclusiv cele care țin de dreptul intern finlandez, pot fi furnizate și de persoane care nu fac parte din barou.</w:t>
            </w:r>
          </w:p>
          <w:p>
            <w:pPr>
              <w:widowControl/>
              <w:suppressAutoHyphens/>
              <w:spacing w:before="60" w:after="60" w:line="240" w:lineRule="auto"/>
              <w:rPr>
                <w:rFonts w:ascii="Times New Roman" w:hAnsi="Times New Roman"/>
                <w:noProof/>
              </w:rPr>
            </w:pPr>
            <w:r>
              <w:rPr>
                <w:rFonts w:ascii="Times New Roman" w:hAnsi="Times New Roman"/>
                <w:noProof/>
              </w:rPr>
              <w:t>În FI: Agenții pentru brevete trebuie să fie rezidenți în SEE pentru a putea fi înscriși în Registrul agenților pentru brevete în vederea practicării profesiei.</w:t>
            </w:r>
          </w:p>
          <w:p>
            <w:pPr>
              <w:suppressAutoHyphens/>
              <w:spacing w:before="60" w:after="60" w:line="240" w:lineRule="auto"/>
              <w:rPr>
                <w:noProof/>
              </w:rPr>
            </w:pPr>
            <w:r>
              <w:rPr>
                <w:rFonts w:ascii="Times New Roman" w:hAnsi="Times New Roman"/>
                <w:noProof/>
              </w:rPr>
              <w:t>În HR: Reprezentarea părților în instanță este limitată la membrii Consiliului Baroului din Croația („</w:t>
            </w:r>
            <w:r>
              <w:rPr>
                <w:rFonts w:ascii="Times New Roman" w:hAnsi="Times New Roman"/>
                <w:i/>
                <w:noProof/>
              </w:rPr>
              <w:t>odvjetnici</w:t>
            </w:r>
            <w:r>
              <w:rPr>
                <w:rFonts w:ascii="Times New Roman" w:hAnsi="Times New Roman"/>
                <w:noProof/>
              </w:rPr>
              <w:t>”). Cerința privind deținerea cetățeniei pentru calitatea de membru în Consiliul Baroului.</w:t>
            </w:r>
          </w:p>
        </w:tc>
      </w:tr>
      <w:tr>
        <w:trPr>
          <w:trHeight w:val="5970"/>
        </w:trP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HU: Admiterea deplină în barou este supusă condiției privind deținerea cetățeniei, la care se adaugă cerința privind rezidența. Prezența comercială ar trebui să ia forma unui parteneriat cu un avocat („</w:t>
            </w:r>
            <w:r>
              <w:rPr>
                <w:rFonts w:ascii="Times New Roman" w:hAnsi="Times New Roman"/>
                <w:i/>
                <w:noProof/>
              </w:rPr>
              <w:t>ügyvéd</w:t>
            </w:r>
            <w:r>
              <w:rPr>
                <w:rFonts w:ascii="Times New Roman" w:hAnsi="Times New Roman"/>
                <w:noProof/>
              </w:rPr>
              <w:t>”) sau cu un birou de avocatură („</w:t>
            </w:r>
            <w:r>
              <w:rPr>
                <w:rFonts w:ascii="Times New Roman" w:hAnsi="Times New Roman"/>
                <w:i/>
                <w:noProof/>
              </w:rPr>
              <w:t>ügyvédiiroda</w:t>
            </w:r>
            <w:r>
              <w:rPr>
                <w:rFonts w:ascii="Times New Roman" w:hAnsi="Times New Roman"/>
                <w:noProof/>
              </w:rPr>
              <w:t>”) maghiar sau cu o reprezentanță maghiară.</w:t>
            </w:r>
          </w:p>
          <w:p>
            <w:pPr>
              <w:widowControl/>
              <w:suppressAutoHyphens/>
              <w:spacing w:before="60" w:after="60" w:line="240" w:lineRule="auto"/>
              <w:rPr>
                <w:rFonts w:ascii="Times New Roman" w:hAnsi="Times New Roman"/>
                <w:noProof/>
              </w:rPr>
            </w:pPr>
            <w:r>
              <w:rPr>
                <w:rFonts w:ascii="Times New Roman" w:hAnsi="Times New Roman"/>
                <w:noProof/>
              </w:rPr>
              <w:t>În LT: Admiterea deplină în barou, necesară pentru exercitarea profesiei în domeniul dreptului intern (al Uniunii și al statului membru respectiv), este supusă condiției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LU: condiția privind deținerea cetățeniei pentru furnizarea de servicii juridice în materie de drept luxemburghez și de drept al UE.</w:t>
            </w:r>
          </w:p>
          <w:p>
            <w:pPr>
              <w:widowControl/>
              <w:suppressAutoHyphens/>
              <w:spacing w:before="60" w:after="60" w:line="240" w:lineRule="auto"/>
              <w:rPr>
                <w:rFonts w:ascii="Times New Roman" w:hAnsi="Times New Roman"/>
                <w:noProof/>
              </w:rPr>
            </w:pPr>
            <w:r>
              <w:rPr>
                <w:rFonts w:ascii="Times New Roman" w:hAnsi="Times New Roman"/>
                <w:noProof/>
              </w:rPr>
              <w:t>În LV: condiția privind deținerea cetățeniei pentru avocații autorizați, cărora le este rezervată reprezentarea juridică în procedurile penale.</w:t>
            </w:r>
          </w:p>
          <w:p>
            <w:pPr>
              <w:widowControl/>
              <w:suppressAutoHyphens/>
              <w:spacing w:before="60" w:after="60" w:line="240" w:lineRule="auto"/>
              <w:rPr>
                <w:rFonts w:ascii="Times New Roman" w:hAnsi="Times New Roman"/>
                <w:noProof/>
              </w:rPr>
            </w:pPr>
            <w:r>
              <w:rPr>
                <w:rFonts w:ascii="Times New Roman" w:hAnsi="Times New Roman"/>
                <w:noProof/>
              </w:rPr>
              <w:t>În PL: În timp ce avocații din statele membre ale Uniunii au la dispoziție și alte tipuri de forme juridice, avocații străini au acces doar la formele juridice de societate în nume colectiv, societate în comandită pe acțiuni și societăți în comandită simplă.</w:t>
            </w:r>
          </w:p>
          <w:p>
            <w:pPr>
              <w:widowControl/>
              <w:suppressAutoHyphens/>
              <w:spacing w:before="60" w:after="60" w:line="240" w:lineRule="auto"/>
              <w:rPr>
                <w:rFonts w:ascii="Times New Roman" w:hAnsi="Times New Roman"/>
                <w:noProof/>
              </w:rPr>
            </w:pPr>
            <w:r>
              <w:rPr>
                <w:rFonts w:ascii="Times New Roman" w:hAnsi="Times New Roman"/>
                <w:noProof/>
              </w:rPr>
              <w:t>În RO: Admiterea deplină în barou este condiționată de îndeplinirea cerinței privind rezidența. Avocatul străin care exercită profesia de avocat în România are obligația de a se înregistra în barou. Un avocat străin poate prezenta concluzii orale sau scrise instanțelor și altor autorități jurisdicționale și juridice în materie de arbitraj internațional, numai dacă este îndeplinită condiția reciprocității efective.</w:t>
            </w:r>
          </w:p>
          <w:p>
            <w:pPr>
              <w:suppressAutoHyphens/>
              <w:spacing w:before="60" w:after="60" w:line="240" w:lineRule="auto"/>
              <w:rPr>
                <w:noProof/>
              </w:rPr>
            </w:pPr>
            <w:r>
              <w:rPr>
                <w:rFonts w:ascii="Times New Roman" w:hAnsi="Times New Roman"/>
                <w:noProof/>
              </w:rPr>
              <w:t>În SI: Reprezentarea clienților în fața instanței contra cost este condiționată de prezența comercială în Republica Slovenia. Un avocat străin care are dreptul de a exercita această profesie într-o țară străină poate să furnizeze servicii juridice sau să își exercite profesia în domeniul dreptului în condițiile prevăzute la articolul 34a din Legea privind avocații, în măsura în care este îndeplinită condiția reciprocității efective. Prezența comercială pentru avocații numiți de baroul sloven este limitată numai la societățile cu răspundere limitată cu asociat unic, la firmele de avocatură cu răspundere limitată (societăți în nume colectiv) sau la firmele de avocatură cu răspundere nelimitată (societăți în nume colectiv). Activitățile unei firme de avocatură sunt limitate la exercitarea profesiei în domeniul dreptului. Numai avocații pot fi asociați în cadrul unei firme de avocatură.</w:t>
            </w:r>
          </w:p>
        </w:tc>
      </w:tr>
      <w:t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SI: Pentru ca un titular/solicitant de drepturi de proprietate industrială înregistrate (brevete, mărci, protecția desenelor sau modelelor) să poată acționa în fața Oficiului pentru Proprietate Intelectuală din Slovenia fără un agent pentru brevete sau un agent pentru mărci și desene sau modele, este necesară îndeplinirea cerinței privind rezidența în Slovenia. Alternativ, este necesar un agent pentru brevete sau un agent pentru mărci și desene sau modele înregistrat în Slovenia, scopul principal fiind furnizarea de servicii aferente procesului, notificarea etc.</w:t>
            </w:r>
          </w:p>
          <w:p>
            <w:pPr>
              <w:widowControl/>
              <w:suppressAutoHyphens/>
              <w:spacing w:before="60" w:after="60" w:line="240" w:lineRule="auto"/>
              <w:rPr>
                <w:rFonts w:ascii="Times New Roman" w:hAnsi="Times New Roman"/>
                <w:noProof/>
              </w:rPr>
            </w:pPr>
            <w:r>
              <w:rPr>
                <w:rFonts w:ascii="Times New Roman" w:hAnsi="Times New Roman"/>
                <w:noProof/>
              </w:rPr>
              <w:t>În SK: Admiterea deplină în barou, necesară pentru exercitarea profesiei în domeniul dreptului intern al Uniunii și al statului membru respectiv, este supusă condiției privind deținerea cetățeniei, la care se adaugă o cerință privind rezidența. Este necesară reciprocitatea efectivă.</w:t>
            </w:r>
          </w:p>
          <w:p>
            <w:pPr>
              <w:suppressAutoHyphens/>
              <w:spacing w:before="60" w:after="60" w:line="240" w:lineRule="auto"/>
              <w:rPr>
                <w:noProof/>
              </w:rPr>
            </w:pPr>
            <w:r>
              <w:rPr>
                <w:rFonts w:ascii="Times New Roman" w:hAnsi="Times New Roman"/>
                <w:noProof/>
              </w:rPr>
              <w:t>În SE: Admiterea în barou, necesară numai pentru utilizarea titlului suedez „</w:t>
            </w:r>
            <w:r>
              <w:rPr>
                <w:rFonts w:ascii="Times New Roman" w:hAnsi="Times New Roman"/>
                <w:i/>
                <w:noProof/>
              </w:rPr>
              <w:t>advokat</w:t>
            </w:r>
            <w:r>
              <w:rPr>
                <w:rFonts w:ascii="Times New Roman" w:hAnsi="Times New Roman"/>
                <w:noProof/>
              </w:rPr>
              <w:t>”, este supusă unei cerințe privind rezidența.</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(b) 1. Servicii de contabilitate și de evidență contabilă</w:t>
            </w:r>
          </w:p>
          <w:p>
            <w:pPr>
              <w:widowControl/>
              <w:suppressAutoHyphens/>
              <w:spacing w:before="60" w:after="60" w:line="240" w:lineRule="auto"/>
              <w:rPr>
                <w:rFonts w:ascii="Times New Roman" w:hAnsi="Times New Roman"/>
                <w:noProof/>
              </w:rPr>
            </w:pPr>
            <w:r>
              <w:rPr>
                <w:rFonts w:ascii="Times New Roman" w:hAnsi="Times New Roman"/>
                <w:noProof/>
              </w:rPr>
              <w:t>(CPC 86212, alte servicii decât „serviciile de audit”, CPC 86213, CPC 86219 și CPC 86220)</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LV în UE</w:t>
            </w:r>
          </w:p>
          <w:p>
            <w:pPr>
              <w:widowControl/>
              <w:suppressAutoHyphens/>
              <w:spacing w:before="60" w:after="60" w:line="240" w:lineRule="auto"/>
              <w:rPr>
                <w:rFonts w:ascii="Times New Roman" w:hAnsi="Times New Roman"/>
                <w:noProof/>
              </w:rPr>
            </w:pPr>
            <w:r>
              <w:rPr>
                <w:rFonts w:ascii="Times New Roman" w:hAnsi="Times New Roman"/>
                <w:noProof/>
              </w:rPr>
              <w:t>În AT: Participarea experților contabili indonezieni (care trebuie să fie autorizați în conformitate cu legislația din Indonezia) la capitalul social al unei entități juridice austriece, precum și cota-parte a acestora din veniturile din exploatare nu pot depăși 25 %, în cazul în care aceștia nu sunt membri ai corpului profesional austriac.</w:t>
            </w:r>
          </w:p>
          <w:p>
            <w:pPr>
              <w:widowControl/>
              <w:suppressAutoHyphens/>
              <w:spacing w:before="60" w:after="60" w:line="240" w:lineRule="auto"/>
              <w:rPr>
                <w:rFonts w:ascii="Times New Roman" w:hAnsi="Times New Roman"/>
                <w:noProof/>
              </w:rPr>
            </w:pPr>
            <w:r>
              <w:rPr>
                <w:rFonts w:ascii="Times New Roman" w:hAnsi="Times New Roman"/>
                <w:noProof/>
              </w:rPr>
              <w:t>În FR: Furnizarea de servicii de contabilitate și evidență contabilă este condiționată de o decizie în acest sens a ministrului economiei, finanțelor și industriei, în acord cu ministrul afacerilor externe. Cerința privind rezidența nu poate depăși cinci ani.</w:t>
            </w:r>
          </w:p>
        </w:tc>
      </w:tr>
      <w:tr>
        <w:trPr>
          <w:trHeight w:val="5670"/>
        </w:trPr>
        <w:tc>
          <w:tcPr>
            <w:tcW w:w="972"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2. Servicii de audit</w:t>
            </w:r>
          </w:p>
          <w:p>
            <w:pPr>
              <w:widowControl/>
              <w:suppressAutoHyphens/>
              <w:spacing w:before="60" w:after="60" w:line="240" w:lineRule="auto"/>
              <w:rPr>
                <w:rFonts w:ascii="Times New Roman" w:hAnsi="Times New Roman"/>
                <w:noProof/>
              </w:rPr>
            </w:pPr>
            <w:r>
              <w:rPr>
                <w:rFonts w:ascii="Times New Roman" w:hAnsi="Times New Roman"/>
                <w:noProof/>
              </w:rPr>
              <w:t>(CPC 86211 și 86212 altele decât serviciile de contabilitate)</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UE: Furnizarea de servicii de audit statutar necesită aprobarea din partea autorităților competente ale unui stat membru care pot recunoaște echivalența calificărilor unui auditor care este cetățean al Indoneziei sau al oricărei țări terțe, sub rezerva reciprocității (CPC 8621).</w:t>
            </w:r>
          </w:p>
          <w:p>
            <w:pPr>
              <w:widowControl/>
              <w:suppressAutoHyphens/>
              <w:spacing w:before="60" w:after="60" w:line="240" w:lineRule="auto"/>
              <w:rPr>
                <w:rFonts w:ascii="Times New Roman" w:hAnsi="Times New Roman"/>
                <w:noProof/>
              </w:rPr>
            </w:pPr>
            <w:r>
              <w:rPr>
                <w:rFonts w:ascii="Times New Roman" w:hAnsi="Times New Roman"/>
                <w:noProof/>
              </w:rPr>
              <w:t>În AT: Participarea auditorilor indonezieni (care trebuie să fie autorizați în conformitate cu legislația din Indonezia) la capitalul social al unei entități juridice austriece, precum și cota-parte a acestora din veniturile din exploatare nu pot depăși 25 %, în cazul în care aceștia nu sunt membri ai corpului profesional austriac. Se aplică condiția privind deținerea cetățeniei pentru reprezentarea în fața autorităților competente și pentru efectuarea auditurilor prevăzute în anumite legi austriece (de exemplu, legea privind societățile pe acțiuni, legea privind bursa de valori, legea bancară etc.).</w:t>
            </w:r>
          </w:p>
          <w:p>
            <w:pPr>
              <w:widowControl/>
              <w:suppressAutoHyphens/>
              <w:spacing w:before="60" w:after="60" w:line="240" w:lineRule="auto"/>
              <w:rPr>
                <w:rFonts w:ascii="Times New Roman" w:hAnsi="Times New Roman"/>
                <w:noProof/>
              </w:rPr>
            </w:pPr>
            <w:r>
              <w:rPr>
                <w:rFonts w:ascii="Times New Roman" w:hAnsi="Times New Roman"/>
                <w:noProof/>
              </w:rPr>
              <w:t>În CY: Autorizarea este necesară și face obiectul unui test privind necesitățile economice. Criteriile principale: situația ocupării forței de muncă în subsector. Sunt permise asocierile profesionale (parteneriate) între persoane fizice.</w:t>
            </w:r>
          </w:p>
          <w:p>
            <w:pPr>
              <w:widowControl/>
              <w:suppressAutoHyphens/>
              <w:spacing w:before="60" w:after="60" w:line="240" w:lineRule="auto"/>
              <w:rPr>
                <w:rFonts w:ascii="Times New Roman" w:hAnsi="Times New Roman"/>
                <w:noProof/>
              </w:rPr>
            </w:pPr>
            <w:r>
              <w:rPr>
                <w:rFonts w:ascii="Times New Roman" w:hAnsi="Times New Roman"/>
                <w:noProof/>
              </w:rPr>
              <w:t>În CZ: Serviciile de audit pot fi furnizate de persoane fizice și juridice autorizate să furnizeze servicii de audit în statul lor de origine și autorizate în Republica Cehă. În cadrul entităților juridice, majoritatea acțiunilor cu drept de vot trebuie să aparțină auditorilor autorizați în Republica Cehă sau în orice alt stat al UE. Majoritatea persoanelor dintr-un organism statutar trebuie să fie auditori autorizați în Republica Cehă sau în orice alt stat membru al UE.</w:t>
            </w:r>
          </w:p>
          <w:p>
            <w:pPr>
              <w:widowControl/>
              <w:suppressAutoHyphens/>
              <w:spacing w:before="60" w:after="60" w:line="240" w:lineRule="auto"/>
              <w:rPr>
                <w:rFonts w:ascii="Times New Roman" w:hAnsi="Times New Roman"/>
                <w:noProof/>
              </w:rPr>
            </w:pPr>
            <w:r>
              <w:rPr>
                <w:rFonts w:ascii="Times New Roman" w:hAnsi="Times New Roman"/>
                <w:noProof/>
              </w:rPr>
              <w:t>În DK: Pentru a putea constitui parteneriate cu contabili autorizați danezi, experții contabili străini trebuie să obțină permisiunea Agenției Daneze pentru Comerț și Societăți Comerciale.</w:t>
            </w:r>
          </w:p>
          <w:p>
            <w:pPr>
              <w:suppressAutoHyphens/>
              <w:spacing w:before="60" w:after="60" w:line="240" w:lineRule="auto"/>
              <w:rPr>
                <w:rFonts w:ascii="Times New Roman" w:hAnsi="Times New Roman"/>
                <w:noProof/>
              </w:rPr>
            </w:pPr>
            <w:r>
              <w:rPr>
                <w:rFonts w:ascii="Times New Roman" w:hAnsi="Times New Roman"/>
                <w:noProof/>
              </w:rPr>
              <w:t>În ES: condiția privind deținerea cetățeniei pentru auditorii statutari și pentru administratorii, directorii și asociații altor societăți comerciale decât cele care intră sub incidența Directivei 2006/43/CE a Parlamentului European și a Consiliului („a opta directivă privind dreptul societăților comerciale”).</w:t>
            </w:r>
          </w:p>
          <w:p>
            <w:pPr>
              <w:widowControl/>
              <w:suppressAutoHyphens/>
              <w:spacing w:before="60" w:after="60" w:line="240" w:lineRule="auto"/>
              <w:rPr>
                <w:rFonts w:ascii="Times New Roman" w:hAnsi="Times New Roman"/>
                <w:noProof/>
              </w:rPr>
            </w:pPr>
            <w:r>
              <w:rPr>
                <w:rFonts w:ascii="Times New Roman" w:hAnsi="Times New Roman"/>
                <w:noProof/>
              </w:rPr>
              <w:t>În FI: necesitatea îndeplinirii cerinței privind rezidența de către cel puțin unul dintre auditorii unei societăți finlandeze cu răspundere limitată. Auditorul trebuie să fie un auditor autorizat la nivel local sau o firmă de audit autorizată la nivel local.</w:t>
            </w:r>
          </w:p>
        </w:tc>
      </w:tr>
      <w:tr>
        <w:trPr>
          <w:trHeight w:val="2940"/>
        </w:trP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FR: Cetățenii indonezieni pot furniza servicii de audit statutar în Franța, sub rezerva reciprocității.</w:t>
            </w:r>
          </w:p>
          <w:p>
            <w:pPr>
              <w:widowControl/>
              <w:suppressAutoHyphens/>
              <w:spacing w:before="60" w:after="60" w:line="240" w:lineRule="auto"/>
              <w:rPr>
                <w:rFonts w:ascii="Times New Roman" w:hAnsi="Times New Roman"/>
                <w:noProof/>
              </w:rPr>
            </w:pPr>
            <w:r>
              <w:rPr>
                <w:rFonts w:ascii="Times New Roman" w:hAnsi="Times New Roman"/>
                <w:noProof/>
              </w:rPr>
              <w:t>În HR: niciuna, cu excepția faptului că auditul nu poate fi efectuat decât de persoane juridice.</w:t>
            </w:r>
          </w:p>
          <w:p>
            <w:pPr>
              <w:widowControl/>
              <w:suppressAutoHyphens/>
              <w:spacing w:before="60" w:after="60" w:line="240" w:lineRule="auto"/>
              <w:rPr>
                <w:rFonts w:ascii="Times New Roman" w:hAnsi="Times New Roman"/>
                <w:noProof/>
              </w:rPr>
            </w:pPr>
            <w:r>
              <w:rPr>
                <w:rFonts w:ascii="Times New Roman" w:hAnsi="Times New Roman"/>
                <w:noProof/>
              </w:rPr>
              <w:t>În IT: Pentru furnizarea de servicii de audit de către persoane fizice, este necesară îndeplinirea cerinței privind rezidența.</w:t>
            </w:r>
          </w:p>
          <w:p>
            <w:pPr>
              <w:widowControl/>
              <w:suppressAutoHyphens/>
              <w:spacing w:before="60" w:after="60" w:line="240" w:lineRule="auto"/>
              <w:rPr>
                <w:rFonts w:ascii="Times New Roman" w:hAnsi="Times New Roman"/>
                <w:noProof/>
              </w:rPr>
            </w:pPr>
            <w:r>
              <w:rPr>
                <w:rFonts w:ascii="Times New Roman" w:hAnsi="Times New Roman"/>
                <w:noProof/>
              </w:rPr>
              <w:t>În LV: În societățile comerciale de auditori autorizați, auditorii autorizați din Uniune sau societățile comerciale de auditori autorizați din Uniune trebuie să dețină peste 50 % din acțiunile cu drept de vot.</w:t>
            </w:r>
          </w:p>
          <w:p>
            <w:pPr>
              <w:widowControl/>
              <w:suppressAutoHyphens/>
              <w:spacing w:before="60" w:after="60" w:line="240" w:lineRule="auto"/>
              <w:rPr>
                <w:rFonts w:ascii="Times New Roman" w:hAnsi="Times New Roman"/>
                <w:noProof/>
              </w:rPr>
            </w:pPr>
            <w:r>
              <w:rPr>
                <w:rFonts w:ascii="Times New Roman" w:hAnsi="Times New Roman"/>
                <w:noProof/>
              </w:rPr>
              <w:t>În LT: Cel puțin 75 % din acțiuni trebuie să aparțină auditorilor sau societăților de audit din Uniune.</w:t>
            </w:r>
          </w:p>
          <w:p>
            <w:pPr>
              <w:widowControl/>
              <w:suppressAutoHyphens/>
              <w:spacing w:before="60" w:after="60" w:line="240" w:lineRule="auto"/>
              <w:rPr>
                <w:rFonts w:ascii="Times New Roman" w:hAnsi="Times New Roman"/>
                <w:noProof/>
              </w:rPr>
            </w:pPr>
            <w:r>
              <w:rPr>
                <w:rFonts w:ascii="Times New Roman" w:hAnsi="Times New Roman"/>
                <w:noProof/>
              </w:rPr>
              <w:t>În PL: În vederea furnizării de servicii de audit, este necesară stabilirea în UE. Se aplică cerințe referitoare la forma juridică.</w:t>
            </w:r>
          </w:p>
          <w:p>
            <w:pPr>
              <w:widowControl/>
              <w:suppressAutoHyphens/>
              <w:spacing w:before="60" w:after="60" w:line="240" w:lineRule="auto"/>
              <w:rPr>
                <w:rFonts w:ascii="Times New Roman" w:hAnsi="Times New Roman"/>
                <w:noProof/>
              </w:rPr>
            </w:pPr>
            <w:r>
              <w:rPr>
                <w:rFonts w:ascii="Times New Roman" w:hAnsi="Times New Roman"/>
                <w:noProof/>
              </w:rPr>
              <w:t>În SE: Numai auditorii recunoscuți în Suedia și firmele de audit înregistrate în Suedia pot efectua servicii de audit statutar. Este necesară rezidența în SEE. Titlurile de „auditor recunoscut” și „auditor autorizat” pot fi utilizate numai de către auditorii recunoscuți sau autorizați în Suedia. Auditorii din asociații economice cooperatiste și din câteva alte întreprinderi, care nu sunt contabili certificați sau recunoscuți, trebuie să fie rezidenți în SEE, cu excepția cazului în care administrația publică sau o autoritate guvernamentală desemnată de administrația publică decide altfel într-un caz specific.</w:t>
            </w:r>
          </w:p>
          <w:p>
            <w:pPr>
              <w:widowControl/>
              <w:suppressAutoHyphens/>
              <w:spacing w:before="60" w:after="60" w:line="240" w:lineRule="auto"/>
              <w:rPr>
                <w:rFonts w:ascii="Times New Roman" w:hAnsi="Times New Roman"/>
                <w:noProof/>
              </w:rPr>
            </w:pPr>
            <w:r>
              <w:rPr>
                <w:rFonts w:ascii="Times New Roman" w:hAnsi="Times New Roman"/>
                <w:noProof/>
              </w:rPr>
              <w:t>În SI: Este necesară prezența comercială. O entitate de audit dintr-o terță țară poate deține participații sau poate forma parteneriate într-o societate de audit slovenă cu condiția ca, în temeiul legislației țării în care este constituită entitatea de audit respectivă, societățile de audit slovene să poată deține participații sau să poată forma parteneriate într-o entitate de audit din țara respectivă.</w:t>
            </w:r>
          </w:p>
          <w:p>
            <w:pPr>
              <w:suppressAutoHyphens/>
              <w:spacing w:before="60" w:after="60" w:line="240" w:lineRule="auto"/>
              <w:rPr>
                <w:noProof/>
              </w:rPr>
            </w:pPr>
            <w:r>
              <w:rPr>
                <w:rFonts w:ascii="Times New Roman" w:hAnsi="Times New Roman"/>
                <w:noProof/>
              </w:rPr>
              <w:t>În SK: Numai o întreprindere în care cel puțin 60 % din participațiile la capital sau drepturile de vot sunt rezervate cetățenilor slovaci sau cetățenilor unui stat membru poate fi autorizată să efectueze audituri în Republica Slovacă.</w:t>
            </w:r>
          </w:p>
        </w:tc>
      </w:tr>
      <w:tr>
        <w:tc>
          <w:tcPr>
            <w:tcW w:w="972" w:type="pct"/>
          </w:tcPr>
          <w:p>
            <w:pPr>
              <w:pageBreakBefore/>
              <w:widowControl/>
              <w:suppressAutoHyphens/>
              <w:spacing w:before="60" w:after="60" w:line="240" w:lineRule="auto"/>
              <w:rPr>
                <w:rFonts w:ascii="Times New Roman" w:hAnsi="Times New Roman"/>
                <w:noProof/>
              </w:rPr>
            </w:pPr>
            <w:bookmarkStart w:id="21" w:name="_Hlk228375467"/>
            <w:r>
              <w:rPr>
                <w:rFonts w:ascii="Times New Roman" w:hAnsi="Times New Roman"/>
                <w:noProof/>
              </w:rPr>
              <w:lastRenderedPageBreak/>
              <w:t>(c) Servicii de consultanță fiscală</w:t>
            </w:r>
          </w:p>
          <w:p>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rPr>
              <w:footnoteReference w:id="58"/>
            </w:r>
            <w:bookmarkEnd w:id="21"/>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Participarea consilierilor fiscali indonezieni (care trebuie să fie autorizați în conformitate cu legislația din Indonezia) la capitalul social al unei entități juridice austriece, precum și cota-parte a acestora la veniturile din exploatare nu pot depăși 25 %. Această limită se aplică numai persoanelor care nu sunt membre ale corpului profesional austriac.</w:t>
            </w:r>
          </w:p>
          <w:p>
            <w:pPr>
              <w:widowControl/>
              <w:suppressAutoHyphens/>
              <w:spacing w:before="60" w:after="60" w:line="240" w:lineRule="auto"/>
              <w:rPr>
                <w:rFonts w:ascii="Times New Roman" w:hAnsi="Times New Roman"/>
                <w:noProof/>
              </w:rPr>
            </w:pPr>
            <w:r>
              <w:rPr>
                <w:rFonts w:ascii="Times New Roman" w:hAnsi="Times New Roman"/>
                <w:noProof/>
              </w:rPr>
              <w:t>În CY: Accesul este supus testului privind necesitățile economice. Criteriile principale: situația ocupării forței de muncă în subsector.</w:t>
            </w:r>
          </w:p>
          <w:p>
            <w:pPr>
              <w:widowControl/>
              <w:suppressAutoHyphens/>
              <w:spacing w:before="60" w:after="60" w:line="240" w:lineRule="auto"/>
              <w:rPr>
                <w:rFonts w:ascii="Times New Roman" w:hAnsi="Times New Roman"/>
                <w:noProof/>
              </w:rPr>
            </w:pPr>
            <w:r>
              <w:rPr>
                <w:rFonts w:ascii="Times New Roman" w:hAnsi="Times New Roman"/>
                <w:noProof/>
              </w:rPr>
              <w:t>În CZ, SK: Serviciile fiscale pot fi furnizate de persoane fizice care sunt înregistrate pe lista Camerei Consultanților Fiscali sau la Camera Auditorilor.</w:t>
            </w:r>
          </w:p>
          <w:p>
            <w:pPr>
              <w:widowControl/>
              <w:suppressAutoHyphens/>
              <w:spacing w:before="60" w:after="60" w:line="240" w:lineRule="auto"/>
              <w:rPr>
                <w:rFonts w:ascii="Times New Roman" w:hAnsi="Times New Roman"/>
                <w:noProof/>
              </w:rPr>
            </w:pPr>
            <w:r>
              <w:rPr>
                <w:rFonts w:ascii="Times New Roman" w:hAnsi="Times New Roman"/>
                <w:noProof/>
              </w:rPr>
              <w:t>În HU: Pentru furnizarea de servicii de consultanță fiscală este necesară îndeplinirea cerinței privind rezidența în SEE, în măsura în care aceste servicii sunt furnizate de o persoană fizică prezentă pe teritoriul Ungariei.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Servicii de arhitectură</w:t>
            </w:r>
          </w:p>
          <w:p>
            <w:pPr>
              <w:widowControl/>
              <w:suppressAutoHyphens/>
              <w:spacing w:before="60" w:after="60" w:line="240" w:lineRule="auto"/>
              <w:rPr>
                <w:rFonts w:ascii="Times New Roman" w:hAnsi="Times New Roman"/>
                <w:noProof/>
              </w:rPr>
            </w:pPr>
            <w:r>
              <w:rPr>
                <w:rFonts w:ascii="Times New Roman" w:hAnsi="Times New Roman"/>
                <w:noProof/>
              </w:rPr>
              <w:t>și</w:t>
            </w:r>
          </w:p>
          <w:p>
            <w:pPr>
              <w:widowControl/>
              <w:suppressAutoHyphens/>
              <w:spacing w:before="60" w:after="60" w:line="240" w:lineRule="auto"/>
              <w:rPr>
                <w:rFonts w:ascii="Times New Roman" w:hAnsi="Times New Roman"/>
                <w:noProof/>
              </w:rPr>
            </w:pPr>
            <w:r>
              <w:rPr>
                <w:rFonts w:ascii="Times New Roman" w:hAnsi="Times New Roman"/>
                <w:noProof/>
              </w:rPr>
              <w:t>(e) Servicii de urbanism și de arhitectură peisagistică</w:t>
            </w:r>
          </w:p>
          <w:p>
            <w:pPr>
              <w:widowControl/>
              <w:suppressAutoHyphens/>
              <w:spacing w:before="60" w:after="60" w:line="240" w:lineRule="auto"/>
              <w:rPr>
                <w:rFonts w:ascii="Times New Roman" w:hAnsi="Times New Roman"/>
                <w:noProof/>
              </w:rPr>
            </w:pPr>
            <w:r>
              <w:rPr>
                <w:rFonts w:ascii="Times New Roman" w:hAnsi="Times New Roman"/>
                <w:noProof/>
              </w:rPr>
              <w:t>(CPC 8671 și CPC 8674)</w:t>
            </w:r>
            <w:bookmarkStart w:id="22" w:name="_Hlk130281743"/>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LV în UE.</w:t>
            </w:r>
          </w:p>
          <w:p>
            <w:pPr>
              <w:widowControl/>
              <w:suppressAutoHyphens/>
              <w:spacing w:before="60" w:after="60" w:line="240" w:lineRule="auto"/>
              <w:rPr>
                <w:rFonts w:ascii="Times New Roman" w:hAnsi="Times New Roman"/>
                <w:noProof/>
              </w:rPr>
            </w:pPr>
            <w:r>
              <w:rPr>
                <w:rFonts w:ascii="Times New Roman" w:hAnsi="Times New Roman"/>
                <w:noProof/>
              </w:rPr>
              <w:t>În BG: În cazul proiectelor de importanță națională sau regională, investitorii indonezieni trebuie să acționeze în asociere cu investitori locali sau în calitate de subcontractanți ai acestora.</w:t>
            </w:r>
          </w:p>
          <w:p>
            <w:pPr>
              <w:widowControl/>
              <w:suppressAutoHyphens/>
              <w:spacing w:before="60" w:after="60" w:line="240" w:lineRule="auto"/>
              <w:rPr>
                <w:rFonts w:ascii="Times New Roman" w:hAnsi="Times New Roman"/>
                <w:noProof/>
              </w:rPr>
            </w:pPr>
            <w:r>
              <w:rPr>
                <w:rFonts w:ascii="Times New Roman" w:hAnsi="Times New Roman"/>
                <w:noProof/>
              </w:rPr>
              <w:t>În LV: În cazul serviciilor de arhitectură, în vederea primirii licenței care permite desfășurarea de activități comerciale, cu toate răspunderile legale și drepturile de a semna un proiect, se cer doi ani de practică în Letonia în domeniul proiectării și o diplomă universitară.</w:t>
            </w:r>
          </w:p>
          <w:p>
            <w:pPr>
              <w:widowControl/>
              <w:suppressAutoHyphens/>
              <w:spacing w:before="60" w:after="60" w:line="240" w:lineRule="auto"/>
              <w:rPr>
                <w:rFonts w:ascii="Times New Roman" w:hAnsi="Times New Roman"/>
                <w:noProof/>
              </w:rPr>
            </w:pPr>
            <w:r>
              <w:rPr>
                <w:rFonts w:ascii="Times New Roman" w:hAnsi="Times New Roman"/>
                <w:noProof/>
              </w:rPr>
              <w:t>În SK: Calitatea de membru în camera relevantă este obligatorie; calitatea de membru în instituții străine relevante poate fi recunoscută. Se prevăd cerința privind rezidența și cerința privind deținerea cetățeniei; totuși pot fi luate în considerare anumite excepții.</w:t>
            </w:r>
          </w:p>
          <w:p>
            <w:pPr>
              <w:widowControl/>
              <w:suppressAutoHyphens/>
              <w:spacing w:before="60" w:after="60" w:line="240" w:lineRule="auto"/>
              <w:rPr>
                <w:rFonts w:ascii="Times New Roman" w:hAnsi="Times New Roman"/>
                <w:noProof/>
              </w:rPr>
            </w:pPr>
            <w:r>
              <w:rPr>
                <w:rFonts w:ascii="Times New Roman" w:hAnsi="Times New Roman"/>
                <w:noProof/>
              </w:rPr>
              <w:t>În CY: se aplică condiția privind deținerea cetățeniei și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În CZ, HU, IT: cerința privind rezidența.</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 Servicii de inginerie</w:t>
            </w:r>
          </w:p>
          <w:p>
            <w:pPr>
              <w:widowControl/>
              <w:suppressAutoHyphens/>
              <w:spacing w:before="60" w:after="60" w:line="240" w:lineRule="auto"/>
              <w:rPr>
                <w:rFonts w:ascii="Times New Roman" w:hAnsi="Times New Roman"/>
                <w:noProof/>
              </w:rPr>
            </w:pPr>
            <w:r>
              <w:rPr>
                <w:rFonts w:ascii="Times New Roman" w:hAnsi="Times New Roman"/>
                <w:noProof/>
              </w:rPr>
              <w:t>și</w:t>
            </w:r>
          </w:p>
          <w:p>
            <w:pPr>
              <w:widowControl/>
              <w:suppressAutoHyphens/>
              <w:spacing w:before="60" w:after="60" w:line="240" w:lineRule="auto"/>
              <w:rPr>
                <w:rFonts w:ascii="Times New Roman" w:hAnsi="Times New Roman"/>
                <w:noProof/>
              </w:rPr>
            </w:pPr>
            <w:r>
              <w:rPr>
                <w:rFonts w:ascii="Times New Roman" w:hAnsi="Times New Roman"/>
                <w:noProof/>
              </w:rPr>
              <w:t>(g) Servicii integrate de inginerie</w:t>
            </w:r>
          </w:p>
          <w:p>
            <w:pPr>
              <w:widowControl/>
              <w:suppressAutoHyphens/>
              <w:spacing w:before="60" w:after="60" w:line="240" w:lineRule="auto"/>
              <w:rPr>
                <w:rFonts w:ascii="Times New Roman" w:hAnsi="Times New Roman"/>
                <w:noProof/>
              </w:rPr>
            </w:pPr>
            <w:r>
              <w:rPr>
                <w:rFonts w:ascii="Times New Roman" w:hAnsi="Times New Roman"/>
                <w:noProof/>
              </w:rPr>
              <w:t>(CPC 8672 și CPC 8673)</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LV în UE</w:t>
            </w:r>
          </w:p>
          <w:p>
            <w:pPr>
              <w:widowControl/>
              <w:suppressAutoHyphens/>
              <w:spacing w:before="60" w:after="60" w:line="240" w:lineRule="auto"/>
              <w:rPr>
                <w:rFonts w:ascii="Times New Roman" w:hAnsi="Times New Roman"/>
                <w:noProof/>
              </w:rPr>
            </w:pPr>
            <w:r>
              <w:rPr>
                <w:rFonts w:ascii="Times New Roman" w:hAnsi="Times New Roman"/>
                <w:noProof/>
              </w:rPr>
              <w:t>În BG: În cazul proiectelor de importanță națională sau regională, investitorii indonezieni trebuie să acționeze în asociere cu investitori locali sau în calitate de subcontractanți ai acestora.</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CZ, HU, IT: cerința privind rezidența.</w:t>
            </w:r>
          </w:p>
          <w:p>
            <w:pPr>
              <w:widowControl/>
              <w:suppressAutoHyphens/>
              <w:spacing w:before="60" w:after="60" w:line="240" w:lineRule="auto"/>
              <w:rPr>
                <w:rFonts w:ascii="Times New Roman" w:hAnsi="Times New Roman"/>
                <w:noProof/>
              </w:rPr>
            </w:pPr>
            <w:r>
              <w:rPr>
                <w:rFonts w:ascii="Times New Roman" w:hAnsi="Times New Roman"/>
                <w:noProof/>
              </w:rPr>
              <w:t>În SK: cerința privind deținerea cetățeniei și cerința privind rezidența.</w:t>
            </w:r>
          </w:p>
        </w:tc>
      </w:tr>
      <w:bookmarkEnd w:id="22"/>
      <w:tr>
        <w:trPr>
          <w:trHeight w:val="390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(h) Servicii medicale (inclusiv serviciile furnizate de psihologi) și stomatologice</w:t>
            </w:r>
          </w:p>
          <w:p>
            <w:pPr>
              <w:widowControl/>
              <w:suppressAutoHyphens/>
              <w:spacing w:before="60" w:after="60" w:line="240" w:lineRule="auto"/>
              <w:rPr>
                <w:rFonts w:ascii="Times New Roman" w:hAnsi="Times New Roman"/>
                <w:noProof/>
              </w:rPr>
            </w:pPr>
            <w:r>
              <w:rPr>
                <w:rFonts w:ascii="Times New Roman" w:hAnsi="Times New Roman"/>
                <w:noProof/>
              </w:rPr>
              <w:t xml:space="preserve">(CPC 9312 și parte din CPC 85201) </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CY, FI, EE și MT: neconsolidat.</w:t>
            </w:r>
          </w:p>
          <w:p>
            <w:pPr>
              <w:widowControl/>
              <w:suppressAutoHyphens/>
              <w:spacing w:before="60" w:after="60" w:line="240" w:lineRule="auto"/>
              <w:rPr>
                <w:rFonts w:ascii="Times New Roman" w:hAnsi="Times New Roman"/>
                <w:noProof/>
              </w:rPr>
            </w:pPr>
            <w:r>
              <w:rPr>
                <w:rFonts w:ascii="Times New Roman" w:hAnsi="Times New Roman"/>
                <w:noProof/>
              </w:rPr>
              <w:t>În AT: neconsolidat, cu excepția serviciilor stomatologice și a serviciilor furnizate de psihologi și psihoterapeuți; nu sunt prevăzute pentru serviciile stomatologice și pentru serviciile furnizate de psihologi și psihoterapeuți.</w:t>
            </w:r>
          </w:p>
          <w:p>
            <w:pPr>
              <w:widowControl/>
              <w:suppressAutoHyphens/>
              <w:spacing w:before="60" w:after="60" w:line="240" w:lineRule="auto"/>
              <w:rPr>
                <w:rFonts w:ascii="Times New Roman" w:hAnsi="Times New Roman"/>
                <w:noProof/>
              </w:rPr>
            </w:pPr>
            <w:r>
              <w:rPr>
                <w:rFonts w:ascii="Times New Roman" w:hAnsi="Times New Roman"/>
                <w:noProof/>
              </w:rPr>
              <w:t>În CZ: Accesul este limitat numai la persoanele fizice. Pentru persoane fizice străine, se cere o autorizație emisă de Ministerul Sănătății.</w:t>
            </w:r>
          </w:p>
          <w:p>
            <w:pPr>
              <w:widowControl/>
              <w:suppressAutoHyphens/>
              <w:spacing w:before="60" w:after="60" w:line="240" w:lineRule="auto"/>
              <w:rPr>
                <w:rFonts w:ascii="Times New Roman" w:hAnsi="Times New Roman"/>
                <w:noProof/>
              </w:rPr>
            </w:pPr>
            <w:r>
              <w:rPr>
                <w:rFonts w:ascii="Times New Roman" w:hAnsi="Times New Roman"/>
                <w:noProof/>
              </w:rPr>
              <w:t>În DE: Se aplică un test privind necesitățile economice atunci când medicii și stomatologii sunt autorizați să trateze membri ai sistemelor de asigurări publice. Criteriile principale: criză de medici și de stomatologi în regiunea dată.</w:t>
            </w:r>
          </w:p>
          <w:p>
            <w:pPr>
              <w:widowControl/>
              <w:suppressAutoHyphens/>
              <w:spacing w:before="60" w:after="60" w:line="240" w:lineRule="auto"/>
              <w:rPr>
                <w:rFonts w:ascii="Times New Roman" w:hAnsi="Times New Roman"/>
                <w:noProof/>
              </w:rPr>
            </w:pPr>
            <w:r>
              <w:rPr>
                <w:rFonts w:ascii="Times New Roman" w:hAnsi="Times New Roman"/>
                <w:noProof/>
              </w:rPr>
              <w:t>În FR: Este necesară cetățenia franceză. Cu toate acestea, accesul străinilor este posibil în cadrul cotelor stabilite anual. În timp ce investitorii din Uniune au la dispoziție și alte tipuri de forme juridice, investitorii indonezieni au acces doar la formele juridice de „</w:t>
            </w:r>
            <w:r>
              <w:rPr>
                <w:rFonts w:ascii="Times New Roman" w:hAnsi="Times New Roman"/>
                <w:i/>
                <w:noProof/>
              </w:rPr>
              <w:t>société d'exercice liberal</w:t>
            </w:r>
            <w:r>
              <w:rPr>
                <w:rFonts w:ascii="Times New Roman" w:hAnsi="Times New Roman"/>
                <w:noProof/>
              </w:rPr>
              <w:t>” (SEL) și de „</w:t>
            </w:r>
            <w:r>
              <w:rPr>
                <w:rFonts w:ascii="Times New Roman" w:hAnsi="Times New Roman"/>
                <w:i/>
                <w:noProof/>
              </w:rPr>
              <w:t>société civile professionnelle</w:t>
            </w:r>
            <w:r>
              <w:rPr>
                <w:rFonts w:ascii="Times New Roman" w:hAnsi="Times New Roman"/>
                <w:noProof/>
              </w:rPr>
              <w:t>” (SCP).</w:t>
            </w:r>
          </w:p>
          <w:p>
            <w:pPr>
              <w:suppressAutoHyphens/>
              <w:spacing w:before="60" w:after="60" w:line="240" w:lineRule="auto"/>
              <w:rPr>
                <w:rFonts w:ascii="Times New Roman" w:hAnsi="Times New Roman"/>
                <w:noProof/>
              </w:rPr>
            </w:pPr>
            <w:r>
              <w:rPr>
                <w:rFonts w:ascii="Times New Roman" w:hAnsi="Times New Roman"/>
                <w:noProof/>
              </w:rPr>
              <w:t>În HR: Toate persoanele care oferă servicii direct pacienților/tratează pacienți au nevoie de o licență de la camera profesională.</w:t>
            </w:r>
          </w:p>
          <w:p>
            <w:pPr>
              <w:widowControl/>
              <w:suppressAutoHyphens/>
              <w:spacing w:before="60" w:after="60" w:line="240" w:lineRule="auto"/>
              <w:rPr>
                <w:rFonts w:ascii="Times New Roman" w:hAnsi="Times New Roman"/>
                <w:noProof/>
              </w:rPr>
            </w:pPr>
            <w:r>
              <w:rPr>
                <w:rFonts w:ascii="Times New Roman" w:hAnsi="Times New Roman"/>
                <w:noProof/>
              </w:rPr>
              <w:t>În LV: Se aplică un test privind necesitățile economice. Criteriile principale: criză de medici și de stomatologi în regiunea dată.</w:t>
            </w:r>
          </w:p>
        </w:tc>
      </w:tr>
      <w:t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BG și LT: Furnizarea serviciului este condiționată de obținerea unei autorizații care se bazează pe un plan de servicii medicale stabilit în funcție de necesități, luând în considerare populația și serviciile medicale și stomatologice existente.</w:t>
            </w:r>
          </w:p>
          <w:p>
            <w:pPr>
              <w:suppressAutoHyphens/>
              <w:spacing w:before="60" w:after="60" w:line="240" w:lineRule="auto"/>
              <w:rPr>
                <w:rFonts w:ascii="Times New Roman" w:hAnsi="Times New Roman"/>
                <w:noProof/>
              </w:rPr>
            </w:pPr>
            <w:r>
              <w:rPr>
                <w:rFonts w:ascii="Times New Roman" w:hAnsi="Times New Roman"/>
                <w:noProof/>
              </w:rPr>
              <w:t>În SI: neconsolidat pentru medicina socială, serviciile sanitare, epidemiologice, medicale/ecologice; furnizarea de sânge, preparate sanguine și transplanturi și autopsii.</w:t>
            </w:r>
          </w:p>
          <w:p>
            <w:pPr>
              <w:suppressAutoHyphens/>
              <w:spacing w:before="60" w:after="60" w:line="240" w:lineRule="auto"/>
              <w:rPr>
                <w:noProof/>
              </w:rPr>
            </w:pPr>
            <w:r>
              <w:rPr>
                <w:rFonts w:ascii="Times New Roman" w:hAnsi="Times New Roman"/>
                <w:noProof/>
              </w:rPr>
              <w:t>În SK: Este necesară autorizarea din partea autorităților competente (Ministerul Sănătății sau regiunile autonome).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Servicii veterinare</w:t>
            </w:r>
          </w:p>
          <w:p>
            <w:pPr>
              <w:widowControl/>
              <w:suppressAutoHyphens/>
              <w:spacing w:before="60" w:after="60" w:line="240" w:lineRule="auto"/>
              <w:rPr>
                <w:rFonts w:ascii="Times New Roman" w:hAnsi="Times New Roman"/>
                <w:noProof/>
              </w:rPr>
            </w:pPr>
            <w:r>
              <w:rPr>
                <w:rFonts w:ascii="Times New Roman" w:hAnsi="Times New Roman"/>
                <w:noProof/>
              </w:rPr>
              <w:t>(CPC 932)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CY, EE, MT, SI: neconsolidat.</w:t>
            </w:r>
          </w:p>
          <w:p>
            <w:pPr>
              <w:widowControl/>
              <w:suppressAutoHyphens/>
              <w:spacing w:before="60" w:after="60" w:line="240" w:lineRule="auto"/>
              <w:rPr>
                <w:rFonts w:ascii="Times New Roman" w:hAnsi="Times New Roman"/>
                <w:noProof/>
              </w:rPr>
            </w:pPr>
            <w:r>
              <w:rPr>
                <w:rFonts w:ascii="Times New Roman" w:hAnsi="Times New Roman"/>
                <w:noProof/>
              </w:rPr>
              <w:t>În BG: Se aplică un test privind necesitățile economice. Criteriile principale: populația și densitatea întreprinderilor existente.</w:t>
            </w:r>
          </w:p>
          <w:p>
            <w:pPr>
              <w:widowControl/>
              <w:suppressAutoHyphens/>
              <w:spacing w:before="60" w:after="60" w:line="240" w:lineRule="auto"/>
              <w:rPr>
                <w:rFonts w:ascii="Times New Roman" w:hAnsi="Times New Roman"/>
                <w:noProof/>
              </w:rPr>
            </w:pPr>
            <w:r>
              <w:rPr>
                <w:rFonts w:ascii="Times New Roman" w:hAnsi="Times New Roman"/>
                <w:noProof/>
              </w:rPr>
              <w:t>În CZ: Accesul este limitat numai la persoanele fizice. Este necesară autorizarea de către administrația veterinară.</w:t>
            </w:r>
          </w:p>
          <w:p>
            <w:pPr>
              <w:widowControl/>
              <w:suppressAutoHyphens/>
              <w:spacing w:before="60" w:after="60" w:line="240" w:lineRule="auto"/>
              <w:rPr>
                <w:rFonts w:ascii="Times New Roman" w:hAnsi="Times New Roman"/>
                <w:noProof/>
              </w:rPr>
            </w:pPr>
            <w:r>
              <w:rPr>
                <w:rFonts w:ascii="Times New Roman" w:hAnsi="Times New Roman"/>
                <w:noProof/>
              </w:rPr>
              <w:t>În DK, NL: Accesul este limitat la persoanele fizice.</w:t>
            </w:r>
          </w:p>
          <w:p>
            <w:pPr>
              <w:widowControl/>
              <w:suppressAutoHyphens/>
              <w:spacing w:before="60" w:after="60" w:line="240" w:lineRule="auto"/>
              <w:rPr>
                <w:rFonts w:ascii="Times New Roman" w:hAnsi="Times New Roman"/>
                <w:noProof/>
              </w:rPr>
            </w:pPr>
            <w:r>
              <w:rPr>
                <w:rFonts w:ascii="Times New Roman" w:hAnsi="Times New Roman"/>
                <w:noProof/>
              </w:rPr>
              <w:t>În ES: Calitatea de membru în organizația profesională este necesară pentru exercitarea profesiei și necesită cetățenia UE, cerință la care se poate renunța prin intermediul unui acord profesional bilateral. Furnizarea de servicii veterinare este limitată la persoanele fizice.</w:t>
            </w:r>
          </w:p>
          <w:p>
            <w:pPr>
              <w:widowControl/>
              <w:suppressAutoHyphens/>
              <w:spacing w:before="60" w:after="60" w:line="240" w:lineRule="auto"/>
              <w:rPr>
                <w:rFonts w:ascii="Times New Roman" w:hAnsi="Times New Roman"/>
                <w:noProof/>
              </w:rPr>
            </w:pPr>
            <w:r>
              <w:rPr>
                <w:rFonts w:ascii="Times New Roman" w:hAnsi="Times New Roman"/>
                <w:noProof/>
              </w:rPr>
              <w:t>În HU: Se aplică un test privind necesitățile economice. Criteriile principale: condițiile pieței forței de muncă din sector.</w:t>
            </w:r>
          </w:p>
          <w:p>
            <w:pPr>
              <w:widowControl/>
              <w:suppressAutoHyphens/>
              <w:spacing w:before="60" w:after="60" w:line="240" w:lineRule="auto"/>
              <w:rPr>
                <w:rFonts w:ascii="Times New Roman" w:hAnsi="Times New Roman"/>
                <w:noProof/>
              </w:rPr>
            </w:pPr>
            <w:r>
              <w:rPr>
                <w:rFonts w:ascii="Times New Roman" w:hAnsi="Times New Roman"/>
                <w:noProof/>
              </w:rPr>
              <w:t>În FR: Cetățenia unui stat membru al SEE este necesară pentru furnizarea de servicii veterinare, dar se poate renunța la cerința privind deținerea cetățeniei sub rezerva reciprocității.</w:t>
            </w:r>
          </w:p>
          <w:p>
            <w:pPr>
              <w:widowControl/>
              <w:suppressAutoHyphens/>
              <w:spacing w:before="60" w:after="60" w:line="240" w:lineRule="auto"/>
              <w:rPr>
                <w:rFonts w:ascii="Times New Roman" w:hAnsi="Times New Roman"/>
                <w:noProof/>
              </w:rPr>
            </w:pPr>
            <w:r>
              <w:rPr>
                <w:rFonts w:ascii="Times New Roman" w:hAnsi="Times New Roman"/>
                <w:noProof/>
              </w:rPr>
              <w:t>În PL: Persoanele străine pot solicita autorizația de exercitare a profesiei.</w:t>
            </w:r>
          </w:p>
          <w:p>
            <w:pPr>
              <w:widowControl/>
              <w:suppressAutoHyphens/>
              <w:spacing w:before="60" w:after="60" w:line="240" w:lineRule="auto"/>
              <w:rPr>
                <w:rFonts w:ascii="Times New Roman" w:hAnsi="Times New Roman"/>
                <w:noProof/>
              </w:rPr>
            </w:pPr>
            <w:r>
              <w:rPr>
                <w:rFonts w:ascii="Times New Roman" w:hAnsi="Times New Roman"/>
                <w:noProof/>
              </w:rPr>
              <w:t xml:space="preserve">În SK: Accesul este limitat numai la persoanele fizice. </w:t>
            </w:r>
            <w:bookmarkStart w:id="23" w:name="_Hlk138236055"/>
            <w:r>
              <w:rPr>
                <w:rFonts w:ascii="Times New Roman" w:hAnsi="Times New Roman"/>
                <w:noProof/>
              </w:rPr>
              <w:t>Este necesară autorizarea de către autoritățile competente</w:t>
            </w:r>
            <w:bookmarkEnd w:id="23"/>
            <w:r>
              <w:rPr>
                <w:noProof/>
              </w:rPr>
              <w:t>.</w:t>
            </w:r>
            <w:r>
              <w:rPr>
                <w:rFonts w:ascii="Times New Roman" w:hAnsi="Times New Roman"/>
                <w:noProof/>
              </w:rPr>
              <w:t xml:space="preserve"> Cerința privind rezidența.</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1. Servicii furnizate de moașe</w:t>
            </w:r>
          </w:p>
          <w:p>
            <w:pPr>
              <w:widowControl/>
              <w:suppressAutoHyphens/>
              <w:spacing w:before="60" w:after="60" w:line="240" w:lineRule="auto"/>
              <w:rPr>
                <w:rFonts w:ascii="Times New Roman" w:hAnsi="Times New Roman"/>
                <w:noProof/>
              </w:rPr>
            </w:pPr>
            <w:r>
              <w:rPr>
                <w:rFonts w:ascii="Times New Roman" w:hAnsi="Times New Roman"/>
                <w:noProof/>
              </w:rPr>
              <w:t>(parte din CPC 93191)</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BG, CY, CZ, FI, HU, MT, SI, SK: neconsolidat.</w:t>
            </w:r>
          </w:p>
          <w:p>
            <w:pPr>
              <w:widowControl/>
              <w:suppressAutoHyphens/>
              <w:spacing w:before="60" w:after="60" w:line="240" w:lineRule="auto"/>
              <w:rPr>
                <w:rFonts w:ascii="Times New Roman" w:hAnsi="Times New Roman"/>
                <w:noProof/>
              </w:rPr>
            </w:pPr>
            <w:r>
              <w:rPr>
                <w:rFonts w:ascii="Times New Roman" w:hAnsi="Times New Roman"/>
                <w:noProof/>
              </w:rPr>
              <w:t>În FR: Este necesară cetățenia franceză. Cu toate acestea, accesul străinilor este posibil în cadrul cotelor stabilite anual. În timp ce investitorii din Uniune au la dispoziție și alte tipuri de forme juridice, investitorii indonezieni au acces doar la formele juridice de „</w:t>
            </w:r>
            <w:r>
              <w:rPr>
                <w:rFonts w:ascii="Times New Roman" w:hAnsi="Times New Roman"/>
                <w:i/>
                <w:noProof/>
              </w:rPr>
              <w:t>société d'exercice liberal</w:t>
            </w:r>
            <w:r>
              <w:rPr>
                <w:rFonts w:ascii="Times New Roman" w:hAnsi="Times New Roman"/>
                <w:noProof/>
              </w:rPr>
              <w:t>” (SEL) și de „</w:t>
            </w:r>
            <w:r>
              <w:rPr>
                <w:rFonts w:ascii="Times New Roman" w:hAnsi="Times New Roman"/>
                <w:i/>
                <w:noProof/>
              </w:rPr>
              <w:t>société civile professionnelle</w:t>
            </w:r>
            <w:r>
              <w:rPr>
                <w:rFonts w:ascii="Times New Roman" w:hAnsi="Times New Roman"/>
                <w:noProof/>
              </w:rPr>
              <w:t>” (SCP).</w:t>
            </w:r>
          </w:p>
          <w:p>
            <w:pPr>
              <w:widowControl/>
              <w:suppressAutoHyphens/>
              <w:spacing w:before="60" w:after="60" w:line="240" w:lineRule="auto"/>
              <w:rPr>
                <w:rFonts w:ascii="Times New Roman" w:hAnsi="Times New Roman"/>
                <w:noProof/>
              </w:rPr>
            </w:pPr>
            <w:r>
              <w:rPr>
                <w:rFonts w:ascii="Times New Roman" w:hAnsi="Times New Roman"/>
                <w:noProof/>
              </w:rPr>
              <w:t>În LT: Se poate aplica un test privind necesitățile economice. Criteriile principale: situația ocupării forței de muncă în subsector.</w:t>
            </w:r>
          </w:p>
          <w:p>
            <w:pPr>
              <w:widowControl/>
              <w:suppressAutoHyphens/>
              <w:spacing w:before="60" w:after="60" w:line="240" w:lineRule="auto"/>
              <w:rPr>
                <w:rFonts w:ascii="Times New Roman" w:hAnsi="Times New Roman"/>
                <w:noProof/>
              </w:rPr>
            </w:pPr>
            <w:r>
              <w:rPr>
                <w:rFonts w:ascii="Times New Roman" w:hAnsi="Times New Roman"/>
                <w:noProof/>
              </w:rPr>
              <w:t>În HR: Toate persoanele care oferă servicii direct pacienților/tratează pacienți au nevoie de o licență de la camera profesională.</w:t>
            </w:r>
          </w:p>
        </w:tc>
      </w:tr>
      <w:tr>
        <w:trPr>
          <w:trHeight w:val="363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(j) 2. Servicii furnizate de asistenți medicali, fizioterapeuți și personal paramedical</w:t>
            </w:r>
          </w:p>
          <w:p>
            <w:pPr>
              <w:widowControl/>
              <w:suppressAutoHyphens/>
              <w:spacing w:before="60" w:after="60" w:line="240" w:lineRule="auto"/>
              <w:rPr>
                <w:rFonts w:ascii="Times New Roman" w:hAnsi="Times New Roman"/>
                <w:noProof/>
              </w:rPr>
            </w:pPr>
            <w:r>
              <w:rPr>
                <w:rFonts w:ascii="Times New Roman" w:hAnsi="Times New Roman"/>
                <w:noProof/>
              </w:rPr>
              <w:t>(parte din CPC 93191)</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CY, ES, SK: neconsolidat.</w:t>
            </w:r>
          </w:p>
          <w:p>
            <w:pPr>
              <w:widowControl/>
              <w:suppressAutoHyphens/>
              <w:spacing w:before="60" w:after="60" w:line="240" w:lineRule="auto"/>
              <w:rPr>
                <w:rFonts w:ascii="Times New Roman" w:hAnsi="Times New Roman"/>
                <w:noProof/>
              </w:rPr>
            </w:pPr>
            <w:r>
              <w:rPr>
                <w:rFonts w:ascii="Times New Roman" w:hAnsi="Times New Roman"/>
                <w:noProof/>
              </w:rPr>
              <w:t>În AT: Investitorilor străini li se permite accesul doar la activitățile desfășurate de: asistenți medicali, fizioterapeuți, terapeuți ocupaționali, logopezi, dieteticieni și nutriționiști.</w:t>
            </w:r>
          </w:p>
          <w:p>
            <w:pPr>
              <w:widowControl/>
              <w:suppressAutoHyphens/>
              <w:spacing w:before="60" w:after="60" w:line="240" w:lineRule="auto"/>
              <w:rPr>
                <w:rFonts w:ascii="Times New Roman" w:hAnsi="Times New Roman"/>
                <w:noProof/>
              </w:rPr>
            </w:pPr>
            <w:r>
              <w:rPr>
                <w:rFonts w:ascii="Times New Roman" w:hAnsi="Times New Roman"/>
                <w:noProof/>
              </w:rPr>
              <w:t>În BG, MT: neconsolidat.</w:t>
            </w:r>
          </w:p>
          <w:p>
            <w:pPr>
              <w:widowControl/>
              <w:suppressAutoHyphens/>
              <w:spacing w:before="60" w:after="60" w:line="240" w:lineRule="auto"/>
              <w:rPr>
                <w:rFonts w:ascii="Times New Roman" w:hAnsi="Times New Roman"/>
                <w:noProof/>
              </w:rPr>
            </w:pPr>
            <w:r>
              <w:rPr>
                <w:rFonts w:ascii="Times New Roman" w:hAnsi="Times New Roman"/>
                <w:noProof/>
              </w:rPr>
              <w:t>În CZ: Accesul este limitat numai la persoanele fizice. Pentru persoanele fizice străine, este obligatorie autorizarea de către autoritatea competentă.</w:t>
            </w:r>
          </w:p>
          <w:p>
            <w:pPr>
              <w:widowControl/>
              <w:suppressAutoHyphens/>
              <w:spacing w:before="60" w:after="60" w:line="240" w:lineRule="auto"/>
              <w:rPr>
                <w:rFonts w:ascii="Times New Roman" w:hAnsi="Times New Roman"/>
                <w:noProof/>
              </w:rPr>
            </w:pPr>
            <w:r>
              <w:rPr>
                <w:rFonts w:ascii="Times New Roman" w:hAnsi="Times New Roman"/>
                <w:noProof/>
              </w:rPr>
              <w:t>În FI și SI: neconsolidat pentru fizioterapeuți și personal paramedical.</w:t>
            </w:r>
          </w:p>
          <w:p>
            <w:pPr>
              <w:widowControl/>
              <w:suppressAutoHyphens/>
              <w:spacing w:before="60" w:after="60" w:line="240" w:lineRule="auto"/>
              <w:rPr>
                <w:rFonts w:ascii="Times New Roman" w:hAnsi="Times New Roman"/>
                <w:noProof/>
              </w:rPr>
            </w:pPr>
            <w:r>
              <w:rPr>
                <w:rFonts w:ascii="Times New Roman" w:hAnsi="Times New Roman"/>
                <w:noProof/>
              </w:rPr>
              <w:t>În FR: În timp ce investitorii din Uniune au la dispoziție și alte tipuri de forme juridice, investitorii indonezieni au acces doar la formele juridice de „</w:t>
            </w:r>
            <w:r>
              <w:rPr>
                <w:rFonts w:ascii="Times New Roman" w:hAnsi="Times New Roman"/>
                <w:i/>
                <w:noProof/>
              </w:rPr>
              <w:t>société d'exercice liberal</w:t>
            </w:r>
            <w:r>
              <w:rPr>
                <w:rFonts w:ascii="Times New Roman" w:hAnsi="Times New Roman"/>
                <w:noProof/>
              </w:rPr>
              <w:t>” (SEL) și de „</w:t>
            </w:r>
            <w:r>
              <w:rPr>
                <w:rFonts w:ascii="Times New Roman" w:hAnsi="Times New Roman"/>
                <w:i/>
                <w:noProof/>
              </w:rPr>
              <w:t>société civile professionnelle</w:t>
            </w:r>
            <w:r>
              <w:rPr>
                <w:rFonts w:ascii="Times New Roman" w:hAnsi="Times New Roman"/>
                <w:noProof/>
              </w:rPr>
              <w:t>” (SCP).</w:t>
            </w:r>
          </w:p>
          <w:p>
            <w:pPr>
              <w:widowControl/>
              <w:suppressAutoHyphens/>
              <w:spacing w:before="60" w:after="60" w:line="240" w:lineRule="auto"/>
              <w:rPr>
                <w:rFonts w:ascii="Times New Roman" w:hAnsi="Times New Roman"/>
                <w:noProof/>
              </w:rPr>
            </w:pPr>
            <w:r>
              <w:rPr>
                <w:rFonts w:ascii="Times New Roman" w:hAnsi="Times New Roman"/>
                <w:noProof/>
              </w:rPr>
              <w:t>În LT: Se poate aplica un test privind necesitățile economice. Criteriile principale: situația ocupării forței de muncă în subsector.</w:t>
            </w:r>
          </w:p>
        </w:tc>
      </w:tr>
      <w:tr>
        <w:trPr>
          <w:trHeight w:val="1320"/>
        </w:trPr>
        <w:tc>
          <w:tcPr>
            <w:tcW w:w="972" w:type="pct"/>
            <w:tcBorders>
              <w:top w:val="nil"/>
              <w:bottom w:val="single" w:sz="4" w:space="0" w:color="auto"/>
            </w:tcBorders>
          </w:tcPr>
          <w:p>
            <w:pPr>
              <w:pageBreakBefore/>
              <w:suppressAutoHyphens/>
              <w:spacing w:before="60" w:after="60" w:line="240" w:lineRule="auto"/>
              <w:rPr>
                <w:noProof/>
              </w:rPr>
            </w:pPr>
          </w:p>
        </w:tc>
        <w:tc>
          <w:tcPr>
            <w:tcW w:w="4028"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LV: un test privind necesitățile economice pentru fizioterapeuții străini și personalul paramedical străin. Criteriile principale: situația ocupării forței într-o anumită regiune.</w:t>
            </w:r>
          </w:p>
          <w:p>
            <w:pPr>
              <w:suppressAutoHyphens/>
              <w:spacing w:before="60" w:after="60" w:line="240" w:lineRule="auto"/>
              <w:rPr>
                <w:noProof/>
              </w:rPr>
            </w:pPr>
            <w:r>
              <w:rPr>
                <w:rFonts w:ascii="Times New Roman" w:hAnsi="Times New Roman"/>
                <w:noProof/>
              </w:rPr>
              <w:t>În HR: Toate persoanele care oferă servicii direct pacienților/tratează pacienți au nevoie de o licență de la camera profesională.</w:t>
            </w:r>
          </w:p>
        </w:tc>
      </w:tr>
      <w:tr>
        <w:trPr>
          <w:trHeight w:val="366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(k) </w:t>
            </w:r>
            <w:bookmarkStart w:id="24" w:name="_Hlk228375707"/>
            <w:r>
              <w:rPr>
                <w:rFonts w:ascii="Times New Roman" w:hAnsi="Times New Roman"/>
                <w:noProof/>
              </w:rPr>
              <w:t>Vânzarea cu amănuntul de produse farmaceutice, medicale și ortopedice</w:t>
            </w:r>
          </w:p>
          <w:p>
            <w:pPr>
              <w:widowControl/>
              <w:suppressAutoHyphens/>
              <w:spacing w:before="60" w:after="60" w:line="240" w:lineRule="auto"/>
              <w:rPr>
                <w:rFonts w:ascii="Times New Roman" w:hAnsi="Times New Roman"/>
                <w:noProof/>
              </w:rPr>
            </w:pPr>
            <w:r>
              <w:rPr>
                <w:rFonts w:ascii="Times New Roman" w:hAnsi="Times New Roman"/>
                <w:noProof/>
              </w:rPr>
              <w:t>(CPC 63211)</w:t>
            </w:r>
          </w:p>
          <w:bookmarkEnd w:id="24"/>
          <w:p>
            <w:pPr>
              <w:widowControl/>
              <w:suppressAutoHyphens/>
              <w:spacing w:before="60" w:after="60" w:line="240" w:lineRule="auto"/>
              <w:rPr>
                <w:rFonts w:ascii="Times New Roman" w:hAnsi="Times New Roman"/>
                <w:noProof/>
              </w:rPr>
            </w:pPr>
            <w:r>
              <w:rPr>
                <w:rFonts w:ascii="Times New Roman" w:hAnsi="Times New Roman"/>
                <w:noProof/>
              </w:rPr>
              <w:t>și alte servicii furnizate de farmaciști</w:t>
            </w:r>
            <w:r>
              <w:rPr>
                <w:rStyle w:val="FootnoteReference"/>
                <w:rFonts w:ascii="Times New Roman" w:hAnsi="Times New Roman"/>
                <w:b/>
                <w:noProof/>
              </w:rPr>
              <w:footnoteReference w:id="59"/>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BG, CY, FI, MT, PL, RO, SE, SI: neconsolidat.</w:t>
            </w:r>
          </w:p>
          <w:p>
            <w:pPr>
              <w:widowControl/>
              <w:suppressAutoHyphens/>
              <w:spacing w:before="60" w:after="60" w:line="240" w:lineRule="auto"/>
              <w:rPr>
                <w:rFonts w:ascii="Times New Roman" w:hAnsi="Times New Roman"/>
                <w:noProof/>
              </w:rPr>
            </w:pPr>
            <w:r>
              <w:rPr>
                <w:rFonts w:ascii="Times New Roman" w:hAnsi="Times New Roman"/>
                <w:noProof/>
              </w:rPr>
              <w:t>În BE, DK, EE, ES, IT, HR, HU, LV, PT, SK: Autorizarea face obiectul unui test privind necesitățile economice. Criteriile principale: populația și densitatea geografică a farmaciilor existente.</w:t>
            </w:r>
          </w:p>
          <w:p>
            <w:pPr>
              <w:widowControl/>
              <w:suppressAutoHyphens/>
              <w:spacing w:before="60" w:after="60" w:line="240" w:lineRule="auto"/>
              <w:rPr>
                <w:rFonts w:ascii="Times New Roman" w:hAnsi="Times New Roman"/>
                <w:noProof/>
              </w:rPr>
            </w:pPr>
            <w:r>
              <w:rPr>
                <w:rFonts w:ascii="Times New Roman" w:hAnsi="Times New Roman"/>
                <w:noProof/>
              </w:rPr>
              <w:t>În CZ: Vânzarea cu amănuntul este posibilă numai din statele membre ale Uniunii.</w:t>
            </w:r>
          </w:p>
          <w:p>
            <w:pPr>
              <w:widowControl/>
              <w:suppressAutoHyphens/>
              <w:spacing w:before="60" w:after="60" w:line="240" w:lineRule="auto"/>
              <w:rPr>
                <w:rFonts w:ascii="Times New Roman" w:hAnsi="Times New Roman"/>
                <w:noProof/>
              </w:rPr>
            </w:pPr>
            <w:r>
              <w:rPr>
                <w:rFonts w:ascii="Times New Roman" w:hAnsi="Times New Roman"/>
                <w:noProof/>
              </w:rPr>
              <w:t>În DE, numai persoanele fizice pot oferi servicii de vânzare cu amănuntul de produse farmaceutice și produse medicale specifice către public. Persoanele care nu au promovat examenul de farmacie german și nu și-au exercitat profesia în Germania timp de cel puțin trei ani consecutivi pot obține doar o licență de a prelua o farmacie care a existat deja în ultimii trei ani.</w:t>
            </w:r>
          </w:p>
          <w:p>
            <w:pPr>
              <w:widowControl/>
              <w:suppressAutoHyphens/>
              <w:spacing w:before="60" w:after="60" w:line="240" w:lineRule="auto"/>
              <w:rPr>
                <w:rFonts w:ascii="Times New Roman" w:hAnsi="Times New Roman"/>
                <w:noProof/>
              </w:rPr>
            </w:pPr>
            <w:r>
              <w:rPr>
                <w:rFonts w:ascii="Times New Roman" w:hAnsi="Times New Roman"/>
                <w:noProof/>
              </w:rPr>
              <w:t>În EL: Numai farmaciștii autorizați persoane fizice și societățile înființate de farmaciști autorizați pot oferi servicii de vânzare cu amănuntul de produse farmaceutice și de produse medicale specifice către public. Pentru exploatarea unei farmacii, este necesară cetățenia unui stat membru al Uniunii Europene.</w:t>
            </w:r>
          </w:p>
        </w:tc>
      </w:tr>
      <w:tr>
        <w:trPr>
          <w:trHeight w:val="2400"/>
        </w:trP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ES: Numai farmaciștii autorizați persoane fizice pot oferi servicii de vânzare cu amănuntul de produse farmaceutice și de produse medicale specifice către public. Fiecare farmacist nu poate obține mai mult de o licență. Sunt interzise comenzile prin corespondență de produse farmaceutice eliberate obligatoriu cu prescripție medicală.</w:t>
            </w:r>
          </w:p>
          <w:p>
            <w:pPr>
              <w:widowControl/>
              <w:suppressAutoHyphens/>
              <w:spacing w:before="60" w:after="60" w:line="240" w:lineRule="auto"/>
              <w:rPr>
                <w:rFonts w:ascii="Times New Roman" w:hAnsi="Times New Roman"/>
                <w:noProof/>
              </w:rPr>
            </w:pPr>
            <w:r>
              <w:rPr>
                <w:rFonts w:ascii="Times New Roman" w:hAnsi="Times New Roman"/>
                <w:noProof/>
              </w:rPr>
              <w:t>În FR: Pentru exploatarea unei farmacii, este necesară cetățenia unui stat membru al SEE sau cetățenia elvețiană. Poate fi permisă stabilirea unor farmaciști străini în limita cotelor stabilite anual. Autorizarea face obiectul unui test privind necesitățile economice. Criteriile principale: populația și densitatea geografică a farmaciilor existente. Dacă este autorizată, furnizarea de servicii (inclusiv vânzarea la distanță de medicamente către public prin intermediul serviciilor societății informaționale) trebuie să adopte una dintre formele juridice permise în conformitate cu legislația națională, pe bază nediscriminatorie.</w:t>
            </w:r>
          </w:p>
          <w:p>
            <w:pPr>
              <w:widowControl/>
              <w:suppressAutoHyphens/>
              <w:spacing w:before="60" w:after="60" w:line="240" w:lineRule="auto"/>
              <w:rPr>
                <w:rFonts w:ascii="Times New Roman" w:hAnsi="Times New Roman"/>
                <w:noProof/>
              </w:rPr>
            </w:pPr>
            <w:r>
              <w:rPr>
                <w:rFonts w:ascii="Times New Roman" w:hAnsi="Times New Roman"/>
                <w:noProof/>
              </w:rPr>
              <w:t>În IE: Vânzarea cu amănuntul a anumitor produse farmaceutice și produse medicale specifice poate fi efectuată numai prin intermediul unei farmacii, astfel cum se prevede în SI 540 din 2003 – Regulamentele din 2003 privind produsele medicale (prescripția și controlul furnizării), cu modificările ulterioare, și în SI 540 din 2007 – Regulamentele din 2007 privind medicamentele (controlul introducerii pe piață), cu modificările ulterioare.</w:t>
            </w:r>
          </w:p>
          <w:p>
            <w:pPr>
              <w:suppressAutoHyphens/>
              <w:spacing w:before="60" w:after="60" w:line="240" w:lineRule="auto"/>
              <w:rPr>
                <w:noProof/>
              </w:rPr>
            </w:pPr>
            <w:r>
              <w:rPr>
                <w:rFonts w:ascii="Times New Roman" w:hAnsi="Times New Roman"/>
                <w:noProof/>
              </w:rPr>
              <w:t>În SK: Pentru a obține o licență de farmacist sau pentru a deschide o farmacie pentru vânzarea cu amănuntul de produse farmaceutice și de anumite produse medicale către public se aplică cerința privind rezidența.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Servicii informatice și conexe</w:t>
            </w:r>
          </w:p>
          <w:p>
            <w:pPr>
              <w:widowControl/>
              <w:suppressAutoHyphens/>
              <w:spacing w:before="60" w:after="60" w:line="240" w:lineRule="auto"/>
              <w:rPr>
                <w:rFonts w:ascii="Times New Roman" w:hAnsi="Times New Roman"/>
                <w:noProof/>
              </w:rPr>
            </w:pPr>
            <w:r>
              <w:rPr>
                <w:rFonts w:ascii="Times New Roman" w:hAnsi="Times New Roman"/>
                <w:noProof/>
              </w:rPr>
              <w:t>(CPC 84)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cercetare și dezvoltare</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bookmarkStart w:id="25" w:name="_Hlk228375813"/>
            <w:r>
              <w:rPr>
                <w:rFonts w:ascii="Times New Roman" w:hAnsi="Times New Roman"/>
                <w:noProof/>
              </w:rPr>
              <w:t>(a) Servicii de C&amp;D în domeniul științelor naturale</w:t>
            </w:r>
          </w:p>
          <w:bookmarkEnd w:id="25"/>
          <w:p>
            <w:pPr>
              <w:widowControl/>
              <w:suppressAutoHyphens/>
              <w:spacing w:before="60" w:after="60" w:line="240" w:lineRule="auto"/>
              <w:rPr>
                <w:rFonts w:ascii="Times New Roman" w:hAnsi="Times New Roman"/>
                <w:noProof/>
              </w:rPr>
            </w:pPr>
            <w:r>
              <w:rPr>
                <w:rFonts w:ascii="Times New Roman" w:hAnsi="Times New Roman"/>
                <w:noProof/>
              </w:rPr>
              <w:t>(CPC 851)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Pentru serviciile de C&amp;D finanțate public, pot fi acordate drepturi sau autorizații exclusive numai resortisanților statelor membre ale Uniunii și persoanelor juridice din Uniune care își au sediul în Uniune.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Servicii de C&amp;D în domeniul științelor sociale și umaniste</w:t>
            </w:r>
          </w:p>
          <w:p>
            <w:pPr>
              <w:widowControl/>
              <w:suppressAutoHyphens/>
              <w:spacing w:before="60" w:after="60" w:line="240" w:lineRule="auto"/>
              <w:rPr>
                <w:rFonts w:ascii="Times New Roman" w:hAnsi="Times New Roman"/>
                <w:noProof/>
              </w:rPr>
            </w:pPr>
            <w:r>
              <w:rPr>
                <w:rFonts w:ascii="Times New Roman" w:hAnsi="Times New Roman"/>
                <w:noProof/>
              </w:rPr>
              <w:t>(CPC 852, cu excepția serviciilor furnizate de psihologi</w:t>
            </w:r>
            <w:r>
              <w:rPr>
                <w:rStyle w:val="FootnoteReference"/>
                <w:rFonts w:ascii="Times New Roman" w:hAnsi="Times New Roman"/>
                <w:b/>
                <w:noProof/>
              </w:rPr>
              <w:footnoteReference w:id="60"/>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Servicii de C&amp;D interdisciplinare</w:t>
            </w:r>
          </w:p>
          <w:p>
            <w:pPr>
              <w:widowControl/>
              <w:suppressAutoHyphens/>
              <w:spacing w:before="60" w:after="60" w:line="240" w:lineRule="auto"/>
              <w:rPr>
                <w:rFonts w:ascii="Times New Roman" w:hAnsi="Times New Roman"/>
                <w:noProof/>
              </w:rPr>
            </w:pPr>
            <w:r>
              <w:rPr>
                <w:rFonts w:ascii="Times New Roman" w:hAnsi="Times New Roman"/>
                <w:noProof/>
              </w:rPr>
              <w:t>(CPC 853)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Pentru serviciile de C&amp;D finanțate public, pot fi acordate drepturi sau autorizații exclusive numai resortisanților statelor membre ale Uniunii și persoanelor juridice din Uniune care își au sediul în Uniune.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imobiliare</w:t>
            </w:r>
            <w:r>
              <w:rPr>
                <w:rStyle w:val="FootnoteReference"/>
                <w:rFonts w:ascii="Times New Roman" w:hAnsi="Times New Roman"/>
                <w:b/>
                <w:noProof/>
              </w:rPr>
              <w:footnoteReference w:id="61"/>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Cu bunuri proprii sau închiriate</w:t>
            </w:r>
          </w:p>
          <w:p>
            <w:pPr>
              <w:widowControl/>
              <w:suppressAutoHyphens/>
              <w:spacing w:before="60" w:after="60" w:line="240" w:lineRule="auto"/>
              <w:rPr>
                <w:rFonts w:ascii="Times New Roman" w:hAnsi="Times New Roman"/>
                <w:noProof/>
              </w:rPr>
            </w:pPr>
            <w:r>
              <w:rPr>
                <w:rFonts w:ascii="Times New Roman" w:hAnsi="Times New Roman"/>
                <w:noProof/>
              </w:rPr>
              <w:t>(CPC 821)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DK: Pentru furnizarea de servicii imobiliare de către o persoană fizică prezentă pe teritoriul Danemarcei, numai agenții imobiliari autorizați care sunt persoane fizice și care au fost admiși în registrul agenților imobiliari al Autorității Daneze în Domeniul Afacerilor pot utiliza titlul de „agent imobiliar” în conformitate cu secțiunea 6 alineatul (1) din Legea privind vânzarea de bunuri imobile, care stabilește condițiile pentru admiterea unei persoane în registru. Legea respectivă prevede ca solicitantul să fie rezident danez sau rezident al UE, al SEE sau al Elveției. Legea privind vânzarea de bunuri imobile este aplicabilă numai în cazul furnizării de servicii imobiliare către consumatori. În plus, Legea privind vânzarea de bunuri imobile nu se aplică în cazul închirierii de bunuri imobile.</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IE: Stabilirea este necesară pentru furnizarea de servicii imobiliare și pentru scoaterea la licitație a altor bunuri decât terenurile.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Pe bază de tarif sau contract</w:t>
            </w:r>
          </w:p>
          <w:p>
            <w:pPr>
              <w:widowControl/>
              <w:suppressAutoHyphens/>
              <w:spacing w:before="60" w:after="60" w:line="240" w:lineRule="auto"/>
              <w:rPr>
                <w:rFonts w:ascii="Times New Roman" w:hAnsi="Times New Roman"/>
                <w:noProof/>
              </w:rPr>
            </w:pPr>
            <w:r>
              <w:rPr>
                <w:rFonts w:ascii="Times New Roman" w:hAnsi="Times New Roman"/>
                <w:noProof/>
              </w:rPr>
              <w:t>(CPC 822)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IE: Stabilirea este necesară pentru furnizarea de servicii imobiliare și pentru scoaterea la licitație a altor bunuri decât terenurile.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Servicii de închiriere/leasing fără operatori</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Referitoare la nave</w:t>
            </w:r>
          </w:p>
          <w:p>
            <w:pPr>
              <w:widowControl/>
              <w:suppressAutoHyphens/>
              <w:spacing w:before="60" w:after="60" w:line="240" w:lineRule="auto"/>
              <w:rPr>
                <w:rFonts w:ascii="Times New Roman" w:hAnsi="Times New Roman"/>
                <w:noProof/>
              </w:rPr>
            </w:pPr>
            <w:r>
              <w:rPr>
                <w:rFonts w:ascii="Times New Roman" w:hAnsi="Times New Roman"/>
                <w:noProof/>
              </w:rPr>
              <w:t>(CPC 83103)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HU, IE, IT, LT, LV, LU, MT, NL, PL, PT, RO, SK, SI, SE: neconsolidat pentru stabilirea unei societăți înregistrate cu scopul de a exploata o flotă sub pavilionul național al statului de stabilire.</w:t>
            </w:r>
          </w:p>
          <w:p>
            <w:pPr>
              <w:widowControl/>
              <w:suppressAutoHyphens/>
              <w:spacing w:before="60" w:after="60" w:line="240" w:lineRule="auto"/>
              <w:rPr>
                <w:rFonts w:ascii="Times New Roman" w:hAnsi="Times New Roman"/>
                <w:noProof/>
              </w:rPr>
            </w:pPr>
            <w:r>
              <w:rPr>
                <w:rFonts w:ascii="Times New Roman" w:hAnsi="Times New Roman"/>
                <w:noProof/>
              </w:rPr>
              <w:t>În LT: Navele trebuie să fie deținute de persoane fizice lituaniene sau de societăți cu sediul în Lituania.</w:t>
            </w:r>
          </w:p>
          <w:p>
            <w:pPr>
              <w:widowControl/>
              <w:suppressAutoHyphens/>
              <w:spacing w:before="60" w:after="60" w:line="240" w:lineRule="auto"/>
              <w:rPr>
                <w:rFonts w:ascii="Times New Roman" w:hAnsi="Times New Roman"/>
                <w:noProof/>
                <w:highlight w:val="cyan"/>
              </w:rPr>
            </w:pPr>
            <w:r>
              <w:rPr>
                <w:rFonts w:ascii="Times New Roman" w:hAnsi="Times New Roman"/>
                <w:noProof/>
              </w:rPr>
              <w:t>În SE: Pentru a naviga sub pavilion suedez, în cazul existenței unei participări străine la proprietatea navelor, trebuie demonstrată influența dominantă a operatorilor suedezi. Influența dominantă a operatorilor suedezi se referă la faptul că exploatarea navei este localizată în Suedia și că resortisanți suedezi sau resortisanți din altă țară din SEE dețin o parte importantă, în mod proporțional, din drepturile de proprietate asupra navei. Altor nave străine li se pot acorda, în anumite condiții, derogări de la această regulă în cazul în care sunt închiriate de persoane juridice suedeze prin intermediul unor contracte de navlosire a navei nude.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Referitoare la aeronave</w:t>
            </w:r>
          </w:p>
          <w:p>
            <w:pPr>
              <w:widowControl/>
              <w:suppressAutoHyphens/>
              <w:spacing w:before="60" w:after="60" w:line="240" w:lineRule="auto"/>
              <w:rPr>
                <w:rFonts w:ascii="Times New Roman" w:hAnsi="Times New Roman"/>
                <w:noProof/>
              </w:rPr>
            </w:pPr>
            <w:r>
              <w:rPr>
                <w:rFonts w:ascii="Times New Roman" w:hAnsi="Times New Roman"/>
                <w:noProof/>
              </w:rPr>
              <w:t>(CPC 83104)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În cazul închirierii sau al leasingului de aeronave fără echipaj (închirierea în sistem „dry lease”), aeronavele utilizate de un transportator aerian din Uniunea Europeană fac obiectul cerințelor aplicabile în ceea ce privește înmatricularea aeronavelor. Un contract de închiriere fără echipaj la care este parte un transportator din UE face obiectul cerințelor prevăzute în dreptul UE sau în dreptul național cu privire la siguranța aviației, cum ar fi aprobarea prealabilă și alte condiții aplicabile utilizării aeronavelor înmatriculate în țări terțe. Pentru a fi înmatriculate, poate fi necesar ca aeronavele să fie proprietatea fie a unor persoane fizice care îndeplinesc criterii specifice privind cetățenia, fie a unor întreprinderi care îndeplinesc criterii specifice privind proprietatea asupra capitalului și controlul.</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Referitoare la alte echipamente de transport</w:t>
            </w:r>
          </w:p>
          <w:p>
            <w:pPr>
              <w:widowControl/>
              <w:suppressAutoHyphens/>
              <w:spacing w:before="60" w:after="60" w:line="240" w:lineRule="auto"/>
              <w:rPr>
                <w:rFonts w:ascii="Times New Roman" w:hAnsi="Times New Roman"/>
                <w:noProof/>
              </w:rPr>
            </w:pPr>
            <w:r>
              <w:rPr>
                <w:rFonts w:ascii="Times New Roman" w:hAnsi="Times New Roman"/>
                <w:noProof/>
              </w:rPr>
              <w:t xml:space="preserve">(CPC 83101, CPC 83102 și CPC 83105)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SE.</w:t>
            </w:r>
          </w:p>
          <w:p>
            <w:pPr>
              <w:widowControl/>
              <w:suppressAutoHyphens/>
              <w:spacing w:before="60" w:after="60" w:line="240" w:lineRule="auto"/>
              <w:rPr>
                <w:rFonts w:ascii="Times New Roman" w:hAnsi="Times New Roman"/>
                <w:noProof/>
              </w:rPr>
            </w:pPr>
            <w:r>
              <w:rPr>
                <w:rFonts w:ascii="Times New Roman" w:hAnsi="Times New Roman"/>
                <w:noProof/>
              </w:rPr>
              <w:t>În SE: Furnizorii de servicii de închiriere sau de leasing de automobile și de anumite vehicule de teren („</w:t>
            </w:r>
            <w:r>
              <w:rPr>
                <w:rFonts w:ascii="Times New Roman" w:hAnsi="Times New Roman"/>
                <w:i/>
                <w:noProof/>
              </w:rPr>
              <w:t>terrängmotorfordon</w:t>
            </w:r>
            <w:r>
              <w:rPr>
                <w:rFonts w:ascii="Times New Roman" w:hAnsi="Times New Roman"/>
                <w:noProof/>
              </w:rPr>
              <w:t>”) fără șofer, închiriate sau luate în leasing pe o perioadă mai mică de un an, sunt obligați să desemneze o persoană responsabilă cu garantarea, printre altele, a faptului că activitatea se desfășoară în conformitate cu normele și reglementările aplicabile și că sunt respectate regulile privind siguranța traficului rutier. Persoana responsabilă trebuie să fie rezidentă în Suedia.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Referitoare la alte mașini și echipamente</w:t>
            </w:r>
          </w:p>
          <w:p>
            <w:pPr>
              <w:widowControl/>
              <w:suppressAutoHyphens/>
              <w:spacing w:before="60" w:after="60" w:line="240" w:lineRule="auto"/>
              <w:rPr>
                <w:rFonts w:ascii="Times New Roman" w:hAnsi="Times New Roman"/>
                <w:noProof/>
              </w:rPr>
            </w:pPr>
            <w:r>
              <w:rPr>
                <w:rFonts w:ascii="Times New Roman" w:hAnsi="Times New Roman"/>
                <w:noProof/>
              </w:rPr>
              <w:t>(CPC 83106, CPC 83107, CPC 83108 și CPC 83109)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Referitoare la bunuri de uz personal și casnic</w:t>
            </w:r>
          </w:p>
          <w:p>
            <w:pPr>
              <w:widowControl/>
              <w:suppressAutoHyphens/>
              <w:spacing w:before="60" w:after="60" w:line="240" w:lineRule="auto"/>
              <w:rPr>
                <w:rFonts w:ascii="Times New Roman" w:hAnsi="Times New Roman"/>
                <w:noProof/>
              </w:rPr>
            </w:pPr>
            <w:r>
              <w:rPr>
                <w:rFonts w:ascii="Times New Roman" w:hAnsi="Times New Roman"/>
                <w:noProof/>
              </w:rPr>
              <w:t>(CPC 832)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rPr>
                <w:rFonts w:ascii="Times New Roman" w:hAnsi="Times New Roman"/>
                <w:noProof/>
              </w:rPr>
            </w:pPr>
            <w:r>
              <w:rPr>
                <w:rFonts w:ascii="Times New Roman" w:hAnsi="Times New Roman"/>
                <w:noProof/>
              </w:rPr>
              <w:t>În BE, FR: neconsolidat pentru CPC 83202.</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Închiriere de echipamente de telecomunicații</w:t>
            </w:r>
          </w:p>
          <w:p>
            <w:pPr>
              <w:widowControl/>
              <w:suppressAutoHyphens/>
              <w:spacing w:before="60" w:after="60" w:line="240" w:lineRule="auto"/>
              <w:rPr>
                <w:rFonts w:ascii="Times New Roman" w:hAnsi="Times New Roman"/>
                <w:noProof/>
              </w:rPr>
            </w:pPr>
            <w:r>
              <w:rPr>
                <w:rFonts w:ascii="Times New Roman" w:hAnsi="Times New Roman"/>
                <w:noProof/>
              </w:rPr>
              <w:t>(CPC 7541)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Alte servicii pentru întreprinderi</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de publicitate</w:t>
            </w:r>
          </w:p>
          <w:p>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Cercetare de piață și sondarea opiniei publice</w:t>
            </w:r>
          </w:p>
          <w:p>
            <w:pPr>
              <w:widowControl/>
              <w:suppressAutoHyphens/>
              <w:spacing w:before="60" w:after="60" w:line="240" w:lineRule="auto"/>
              <w:rPr>
                <w:rFonts w:ascii="Times New Roman" w:hAnsi="Times New Roman"/>
                <w:noProof/>
              </w:rPr>
            </w:pPr>
            <w:r>
              <w:rPr>
                <w:rFonts w:ascii="Times New Roman" w:hAnsi="Times New Roman"/>
                <w:noProof/>
              </w:rPr>
              <w:t>(CPC 864)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Servicii de consultanță în management</w:t>
            </w:r>
          </w:p>
          <w:p>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Servicii conexe consultanței în management</w:t>
            </w:r>
          </w:p>
          <w:p>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HU: neconsolidat pentru serviciile de arbitraj și de conciliere (CPC 86602).</w:t>
            </w:r>
          </w:p>
        </w:tc>
      </w:tr>
      <w:tr>
        <w:tc>
          <w:tcPr>
            <w:tcW w:w="972" w:type="pct"/>
          </w:tcPr>
          <w:p>
            <w:pPr>
              <w:widowControl/>
              <w:suppressAutoHyphens/>
              <w:spacing w:before="60" w:after="60" w:line="240" w:lineRule="auto"/>
              <w:rPr>
                <w:rFonts w:ascii="Times New Roman" w:hAnsi="Times New Roman"/>
                <w:noProof/>
              </w:rPr>
            </w:pPr>
            <w:bookmarkStart w:id="26" w:name="_Hlk228376057"/>
            <w:r>
              <w:rPr>
                <w:rFonts w:ascii="Times New Roman" w:hAnsi="Times New Roman"/>
                <w:noProof/>
              </w:rPr>
              <w:t>(e) Servicii de testări și analize tehnice</w:t>
            </w:r>
          </w:p>
          <w:p>
            <w:pPr>
              <w:widowControl/>
              <w:suppressAutoHyphens/>
              <w:spacing w:before="60" w:after="60" w:line="240" w:lineRule="auto"/>
              <w:rPr>
                <w:rFonts w:ascii="Times New Roman" w:hAnsi="Times New Roman"/>
                <w:noProof/>
              </w:rPr>
            </w:pPr>
            <w:r>
              <w:rPr>
                <w:rFonts w:ascii="Times New Roman" w:hAnsi="Times New Roman"/>
                <w:noProof/>
              </w:rPr>
              <w:t>(CPC 8676)</w:t>
            </w:r>
            <w:bookmarkEnd w:id="26"/>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CZ, SK: Fără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CY, pentru chimiști și biologi: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 xml:space="preserve">În FR: Profesiile de biolog sunt rezervate persoanelor fizice care dețin cetățenia unui stat membru al SEE. </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Servicii de consiliere și consultanță conexe agriculturii, vânătorii și silviculturii</w:t>
            </w:r>
          </w:p>
          <w:p>
            <w:pPr>
              <w:widowControl/>
              <w:suppressAutoHyphens/>
              <w:spacing w:before="60" w:after="60" w:line="240" w:lineRule="auto"/>
              <w:rPr>
                <w:rFonts w:ascii="Times New Roman" w:hAnsi="Times New Roman"/>
                <w:noProof/>
              </w:rPr>
            </w:pPr>
            <w:r>
              <w:rPr>
                <w:rFonts w:ascii="Times New Roman" w:hAnsi="Times New Roman"/>
                <w:noProof/>
              </w:rPr>
              <w:t>(parte din CPC 881)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PT: Profesiile de biolog, analist chimist și agronom sunt rezervate persoanelor fizice.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(g) Servicii de consiliere și consultanță privind pescuitul</w:t>
            </w:r>
          </w:p>
          <w:p>
            <w:pPr>
              <w:widowControl/>
              <w:suppressAutoHyphens/>
              <w:spacing w:before="60" w:after="60" w:line="240" w:lineRule="auto"/>
              <w:rPr>
                <w:rFonts w:ascii="Times New Roman" w:hAnsi="Times New Roman"/>
                <w:noProof/>
              </w:rPr>
            </w:pPr>
            <w:r>
              <w:rPr>
                <w:rFonts w:ascii="Times New Roman" w:hAnsi="Times New Roman"/>
                <w:noProof/>
              </w:rPr>
              <w:t>(parte din CPC 882)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(h) Servicii de consiliere și consultanță conexe industriei prelucrătoare</w:t>
            </w:r>
          </w:p>
          <w:p>
            <w:pPr>
              <w:widowControl/>
              <w:suppressAutoHyphens/>
              <w:spacing w:before="60" w:after="60" w:line="240" w:lineRule="auto"/>
              <w:rPr>
                <w:rFonts w:ascii="Times New Roman" w:hAnsi="Times New Roman"/>
                <w:noProof/>
              </w:rPr>
            </w:pPr>
            <w:r>
              <w:rPr>
                <w:rFonts w:ascii="Times New Roman" w:hAnsi="Times New Roman"/>
                <w:noProof/>
              </w:rPr>
              <w:t>(parte din CPC 884 și parte din CPC 885)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bookmarkStart w:id="27" w:name="_Hlk228376189"/>
            <w:r>
              <w:rPr>
                <w:rFonts w:ascii="Times New Roman" w:hAnsi="Times New Roman"/>
                <w:noProof/>
              </w:rPr>
              <w:t xml:space="preserve">(i) Servicii de plasare și de furnizare a personalului </w:t>
            </w:r>
            <w:bookmarkEnd w:id="27"/>
          </w:p>
        </w:tc>
        <w:tc>
          <w:tcPr>
            <w:tcW w:w="4028" w:type="pct"/>
          </w:tcPr>
          <w:p>
            <w:pPr>
              <w:widowControl/>
              <w:suppressAutoHyphens/>
              <w:spacing w:before="60" w:after="60" w:line="240" w:lineRule="auto"/>
              <w:rPr>
                <w:rFonts w:ascii="Times New Roman" w:hAnsi="Times New Roman"/>
                <w:noProof/>
              </w:rPr>
            </w:pP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 1. Servicii de recrutare de personal de conducere</w:t>
            </w:r>
          </w:p>
          <w:p>
            <w:pPr>
              <w:widowControl/>
              <w:suppressAutoHyphens/>
              <w:spacing w:before="60" w:after="60" w:line="240" w:lineRule="auto"/>
              <w:rPr>
                <w:rFonts w:ascii="Times New Roman" w:hAnsi="Times New Roman"/>
                <w:noProof/>
              </w:rPr>
            </w:pPr>
            <w:r>
              <w:rPr>
                <w:rFonts w:ascii="Times New Roman" w:hAnsi="Times New Roman"/>
                <w:noProof/>
              </w:rPr>
              <w:t>(CPC 87201)</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BG, CY, CZ, DE, EE, FI, HR, LV, LT, MT, PL, PT, RO, SK, SI: neconsolidat.</w:t>
            </w:r>
          </w:p>
          <w:p>
            <w:pPr>
              <w:widowControl/>
              <w:suppressAutoHyphens/>
              <w:spacing w:before="60" w:after="60" w:line="240" w:lineRule="auto"/>
              <w:rPr>
                <w:rFonts w:ascii="Times New Roman" w:hAnsi="Times New Roman"/>
                <w:noProof/>
              </w:rPr>
            </w:pPr>
            <w:r>
              <w:rPr>
                <w:rFonts w:ascii="Times New Roman" w:hAnsi="Times New Roman"/>
                <w:noProof/>
              </w:rPr>
              <w:t xml:space="preserve">În ES: Înainte de începerea activității, agențiilor de plasare li se solicită să depună o declarație sub jurământ care să ateste respectarea cerințelor enunțate în legislația actuală. </w:t>
            </w:r>
          </w:p>
        </w:tc>
      </w:tr>
      <w:tr>
        <w:trPr>
          <w:trHeight w:val="150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 2. Servicii de plasare</w:t>
            </w:r>
          </w:p>
          <w:p>
            <w:pPr>
              <w:widowControl/>
              <w:suppressAutoHyphens/>
              <w:spacing w:before="60" w:after="60" w:line="240" w:lineRule="auto"/>
              <w:rPr>
                <w:rFonts w:ascii="Times New Roman" w:hAnsi="Times New Roman"/>
                <w:noProof/>
              </w:rPr>
            </w:pPr>
            <w:r>
              <w:rPr>
                <w:rFonts w:ascii="Times New Roman" w:hAnsi="Times New Roman"/>
                <w:noProof/>
              </w:rPr>
              <w:t>(CPC 87202)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BG, CY, CZ, EE, FI, HR, LV, LT, MT, PL, PT, RO, SI, SK: neconsolidat.</w:t>
            </w:r>
          </w:p>
          <w:p>
            <w:pPr>
              <w:widowControl/>
              <w:suppressAutoHyphens/>
              <w:spacing w:before="60" w:after="60" w:line="240" w:lineRule="auto"/>
              <w:rPr>
                <w:rFonts w:ascii="Times New Roman" w:hAnsi="Times New Roman"/>
                <w:noProof/>
              </w:rPr>
            </w:pPr>
            <w:r>
              <w:rPr>
                <w:rFonts w:ascii="Times New Roman" w:hAnsi="Times New Roman"/>
                <w:noProof/>
              </w:rPr>
              <w:t>În BE: O societate cu sediul central în afara SEE trebuie să demonstreze că furnizează servicii de plasare în țara sa de origine. Se aplică cerințe nediscriminatorii referitoare la forma juridică.</w:t>
            </w:r>
          </w:p>
          <w:p>
            <w:pPr>
              <w:widowControl/>
              <w:suppressAutoHyphens/>
              <w:spacing w:before="60" w:after="60" w:line="240" w:lineRule="auto"/>
              <w:rPr>
                <w:rFonts w:ascii="Times New Roman" w:hAnsi="Times New Roman"/>
                <w:noProof/>
              </w:rPr>
            </w:pPr>
            <w:r>
              <w:rPr>
                <w:rFonts w:ascii="Times New Roman" w:hAnsi="Times New Roman"/>
                <w:noProof/>
              </w:rPr>
              <w:t>În FR și IT: Se aplică monopolul de stat.</w:t>
            </w:r>
          </w:p>
        </w:tc>
      </w:tr>
      <w:tr>
        <w:trPr>
          <w:trHeight w:val="1290"/>
        </w:trP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bookmarkStart w:id="28" w:name="_Hlk481930916"/>
            <w:r>
              <w:rPr>
                <w:rFonts w:ascii="Times New Roman" w:hAnsi="Times New Roman"/>
                <w:noProof/>
              </w:rPr>
              <w:t xml:space="preserve">În ES: Înainte de începerea activității, agențiilor de plasare li se solicită să depună o declarație sub jurământ care să ateste </w:t>
            </w:r>
            <w:bookmarkEnd w:id="28"/>
            <w:r>
              <w:rPr>
                <w:rFonts w:ascii="Times New Roman" w:hAnsi="Times New Roman"/>
                <w:noProof/>
              </w:rPr>
              <w:t>respectarea cerințelor enunțate în legislația actuală</w:t>
            </w:r>
            <w:r>
              <w:rPr>
                <w:noProof/>
              </w:rPr>
              <w:t>.</w:t>
            </w:r>
          </w:p>
          <w:p>
            <w:pPr>
              <w:suppressAutoHyphens/>
              <w:spacing w:before="60" w:after="60" w:line="240" w:lineRule="auto"/>
              <w:rPr>
                <w:noProof/>
              </w:rPr>
            </w:pPr>
            <w:r>
              <w:rPr>
                <w:rFonts w:ascii="Times New Roman" w:hAnsi="Times New Roman"/>
                <w:noProof/>
              </w:rPr>
              <w:t>În DE: Autorizarea face obiectul unui test privind necesitățile economice. Criteriile principale: situația și evoluția pieței muncii.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3. Servicii de furnizare a personalului administrativ auxiliar</w:t>
            </w:r>
          </w:p>
          <w:p>
            <w:pPr>
              <w:widowControl/>
              <w:suppressAutoHyphens/>
              <w:spacing w:before="60" w:after="60" w:line="240" w:lineRule="auto"/>
              <w:rPr>
                <w:rFonts w:ascii="Times New Roman" w:hAnsi="Times New Roman"/>
                <w:noProof/>
              </w:rPr>
            </w:pPr>
            <w:r>
              <w:rPr>
                <w:rFonts w:ascii="Times New Roman" w:hAnsi="Times New Roman"/>
                <w:noProof/>
              </w:rPr>
              <w:t>(CPC 87203)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BG, CY, CZ, DE, EE, FI, HR, LV, LT, MT, PL, PT, RO, SK, SI: neconsolidat.</w:t>
            </w:r>
          </w:p>
          <w:p>
            <w:pPr>
              <w:widowControl/>
              <w:suppressAutoHyphens/>
              <w:spacing w:before="60" w:after="60" w:line="240" w:lineRule="auto"/>
              <w:rPr>
                <w:rFonts w:ascii="Times New Roman" w:hAnsi="Times New Roman"/>
                <w:noProof/>
              </w:rPr>
            </w:pPr>
            <w:r>
              <w:rPr>
                <w:rFonts w:ascii="Times New Roman" w:hAnsi="Times New Roman"/>
                <w:noProof/>
              </w:rPr>
              <w:t>În IT: Se aplică monopolul de stat.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4. Servicii ale agențiilor de modele</w:t>
            </w:r>
          </w:p>
          <w:p>
            <w:pPr>
              <w:widowControl/>
              <w:suppressAutoHyphens/>
              <w:spacing w:before="60" w:after="60" w:line="240" w:lineRule="auto"/>
              <w:rPr>
                <w:rFonts w:ascii="Times New Roman" w:hAnsi="Times New Roman"/>
                <w:noProof/>
              </w:rPr>
            </w:pPr>
            <w:r>
              <w:rPr>
                <w:rFonts w:ascii="Times New Roman" w:hAnsi="Times New Roman"/>
                <w:noProof/>
              </w:rPr>
              <w:t>(parte din CPC 87209)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DE: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(i) 5. Servicii de furnizare a personalului de asistență la domiciliu, a altor lucrători în comerț sau industrie, a personalului de asistență medicală și a altui tip de personal</w:t>
            </w:r>
          </w:p>
          <w:p>
            <w:pPr>
              <w:widowControl/>
              <w:suppressAutoHyphens/>
              <w:spacing w:before="60" w:after="60" w:line="240" w:lineRule="auto"/>
              <w:rPr>
                <w:rFonts w:ascii="Times New Roman" w:hAnsi="Times New Roman"/>
                <w:noProof/>
              </w:rPr>
            </w:pPr>
            <w:r>
              <w:rPr>
                <w:rFonts w:ascii="Times New Roman" w:hAnsi="Times New Roman"/>
                <w:noProof/>
              </w:rPr>
              <w:t>(CPC 87204, 87205, 87206, 87209)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toate statele membre, cu excepția HU: neconsolidat.</w:t>
            </w:r>
          </w:p>
          <w:p>
            <w:pPr>
              <w:widowControl/>
              <w:suppressAutoHyphens/>
              <w:spacing w:before="60" w:after="60" w:line="240" w:lineRule="auto"/>
              <w:rPr>
                <w:rFonts w:ascii="Times New Roman" w:hAnsi="Times New Roman"/>
                <w:noProof/>
              </w:rPr>
            </w:pPr>
            <w:r>
              <w:rPr>
                <w:rFonts w:ascii="Times New Roman" w:hAnsi="Times New Roman"/>
                <w:noProof/>
              </w:rPr>
              <w:t>În HU: 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(j) 1. Servicii de investigație</w:t>
            </w:r>
          </w:p>
          <w:p>
            <w:pPr>
              <w:widowControl/>
              <w:suppressAutoHyphens/>
              <w:spacing w:before="60" w:after="60" w:line="240" w:lineRule="auto"/>
              <w:rPr>
                <w:rFonts w:ascii="Times New Roman" w:hAnsi="Times New Roman"/>
                <w:noProof/>
              </w:rPr>
            </w:pPr>
            <w:r>
              <w:rPr>
                <w:rFonts w:ascii="Times New Roman" w:hAnsi="Times New Roman"/>
                <w:noProof/>
              </w:rPr>
              <w:t>(CPC 87301)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BE, BG, CY, CZ, DE, ES, EE, FR, EL, HR, HU, IE, IT, LV, LT, LU, MT, NL, PL, PT, RO, SK, SI: neconsolidat.</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(j) 2. Servicii de securitate</w:t>
            </w:r>
          </w:p>
          <w:p>
            <w:pPr>
              <w:widowControl/>
              <w:suppressAutoHyphens/>
              <w:spacing w:before="60" w:after="60" w:line="240" w:lineRule="auto"/>
              <w:rPr>
                <w:rFonts w:ascii="Times New Roman" w:hAnsi="Times New Roman"/>
                <w:noProof/>
              </w:rPr>
            </w:pPr>
            <w:r>
              <w:rPr>
                <w:rFonts w:ascii="Times New Roman" w:hAnsi="Times New Roman"/>
                <w:noProof/>
              </w:rPr>
              <w:t>(CPC 87302, CPC 87303, CPC 87304 și CPC 87305)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DK: Se aplică cerința privind cetățenia și cerința privind rezidența pentru membrii consiliului de administrație. Neconsolidat pentru furnizarea de servicii de pază în aeroporturi.</w:t>
            </w:r>
          </w:p>
          <w:p>
            <w:pPr>
              <w:widowControl/>
              <w:suppressAutoHyphens/>
              <w:spacing w:before="60" w:after="60" w:line="240" w:lineRule="auto"/>
              <w:rPr>
                <w:rFonts w:ascii="Times New Roman" w:hAnsi="Times New Roman"/>
                <w:noProof/>
              </w:rPr>
            </w:pPr>
            <w:r>
              <w:rPr>
                <w:rFonts w:ascii="Times New Roman" w:hAnsi="Times New Roman"/>
                <w:noProof/>
              </w:rPr>
              <w:t>În HR, CY, CZ, SI, SK: neconsolidat.</w:t>
            </w:r>
          </w:p>
          <w:p>
            <w:pPr>
              <w:widowControl/>
              <w:suppressAutoHyphens/>
              <w:spacing w:before="60" w:after="60" w:line="240" w:lineRule="auto"/>
              <w:rPr>
                <w:rFonts w:ascii="Times New Roman" w:hAnsi="Times New Roman"/>
                <w:noProof/>
              </w:rPr>
            </w:pPr>
            <w:r>
              <w:rPr>
                <w:rFonts w:ascii="Times New Roman" w:hAnsi="Times New Roman"/>
                <w:noProof/>
              </w:rPr>
              <w:t>În BG, CZ, EE, FI, LV, LT, MT, PL, RO, SK: Autorizația se acordă numai resortisanților și organizațiilor naționale înregistrate.</w:t>
            </w:r>
          </w:p>
          <w:p>
            <w:pPr>
              <w:widowControl/>
              <w:suppressAutoHyphens/>
              <w:spacing w:before="60" w:after="60" w:line="240" w:lineRule="auto"/>
              <w:rPr>
                <w:rFonts w:ascii="Times New Roman" w:hAnsi="Times New Roman"/>
                <w:noProof/>
              </w:rPr>
            </w:pPr>
            <w:r>
              <w:rPr>
                <w:rFonts w:ascii="Times New Roman" w:hAnsi="Times New Roman"/>
                <w:noProof/>
              </w:rPr>
              <w:t>În EE: Pentru furnizarea de servicii de securitate și pentru agenții de securitate este necesară îndeplinirea cerinței privind rezidența.</w:t>
            </w:r>
          </w:p>
          <w:p>
            <w:pPr>
              <w:widowControl/>
              <w:suppressAutoHyphens/>
              <w:spacing w:before="60" w:after="60" w:line="240" w:lineRule="auto"/>
              <w:rPr>
                <w:rFonts w:ascii="Times New Roman" w:hAnsi="Times New Roman"/>
                <w:noProof/>
              </w:rPr>
            </w:pPr>
            <w:r>
              <w:rPr>
                <w:rFonts w:ascii="Times New Roman" w:hAnsi="Times New Roman"/>
                <w:noProof/>
              </w:rPr>
              <w:t>În ES: Există cerințe privind deținerea cetățeniei pentru personalul de securitate privat.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(k) Servicii conexe de consultanță științifică și tehnică</w:t>
            </w:r>
          </w:p>
          <w:p>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FR: Pentru investitorii străini, este necesară o autorizație specifică pentru servicii de explorare și prospectare.</w:t>
            </w:r>
          </w:p>
          <w:p>
            <w:pPr>
              <w:widowControl/>
              <w:suppressAutoHyphens/>
              <w:spacing w:before="60" w:after="60" w:line="240" w:lineRule="auto"/>
              <w:rPr>
                <w:rFonts w:ascii="Times New Roman" w:hAnsi="Times New Roman"/>
                <w:noProof/>
              </w:rPr>
            </w:pPr>
            <w:r>
              <w:rPr>
                <w:rFonts w:ascii="Times New Roman" w:hAnsi="Times New Roman"/>
                <w:noProof/>
              </w:rPr>
              <w:t>În CY: Pentru furnizarea de servicii relevante, trebuie să fie îndeplinită cerința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SI: Explorarea și exploatarea resurselor minerale, inclusiv serviciile miniere reglementate, fac obiectul unei condiții privind stabilirea sau cetățenia SEE, a Confederației Elvețiene sau a unei țări membre a OCDE sau a unei țări terțe cu condiția reciprocității materiale. Respectarea condiției de reciprocitate este verificată de ministerul responsabil cu activitățile miniere. (CPC 8675).</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1. Întreținerea și repararea navelor</w:t>
            </w:r>
          </w:p>
          <w:p>
            <w:pPr>
              <w:widowControl/>
              <w:suppressAutoHyphens/>
              <w:spacing w:before="60" w:after="60" w:line="240" w:lineRule="auto"/>
              <w:rPr>
                <w:rFonts w:ascii="Times New Roman" w:hAnsi="Times New Roman"/>
                <w:noProof/>
              </w:rPr>
            </w:pPr>
            <w:r>
              <w:rPr>
                <w:rFonts w:ascii="Times New Roman" w:hAnsi="Times New Roman"/>
                <w:noProof/>
              </w:rPr>
              <w:t>(parte din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 2. Întreținerea și repararea echipamentelor de transport feroviar</w:t>
            </w:r>
          </w:p>
          <w:p>
            <w:pPr>
              <w:widowControl/>
              <w:suppressAutoHyphens/>
              <w:spacing w:before="60" w:after="60" w:line="240" w:lineRule="auto"/>
              <w:rPr>
                <w:rFonts w:ascii="Times New Roman" w:hAnsi="Times New Roman"/>
                <w:noProof/>
              </w:rPr>
            </w:pPr>
            <w:r>
              <w:rPr>
                <w:rFonts w:ascii="Times New Roman" w:hAnsi="Times New Roman"/>
                <w:noProof/>
              </w:rPr>
              <w:t>(parte din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LT: Se aplică monopolul de stat.</w:t>
            </w:r>
          </w:p>
          <w:p>
            <w:pPr>
              <w:widowControl/>
              <w:suppressAutoHyphens/>
              <w:spacing w:before="60" w:after="60" w:line="240" w:lineRule="auto"/>
              <w:rPr>
                <w:rFonts w:ascii="Times New Roman" w:hAnsi="Times New Roman"/>
                <w:noProof/>
              </w:rPr>
            </w:pPr>
            <w:r>
              <w:rPr>
                <w:rFonts w:ascii="Times New Roman" w:hAnsi="Times New Roman"/>
                <w:noProof/>
              </w:rPr>
              <w:t>În SE: Se aplică testul privind necesitățile economice atunci când un investitor intenționează să își stabilească propriile unități de infrastructură pentru terminale. Criteriile principale: constrângeri privind spațiul și capacitatea.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3. Întreținerea și repararea autovehiculelor, motocicletelor, snow-mobilelor și a echipamentelor de transport rutier</w:t>
            </w:r>
          </w:p>
          <w:p>
            <w:pPr>
              <w:widowControl/>
              <w:suppressAutoHyphens/>
              <w:spacing w:before="60" w:after="60" w:line="240" w:lineRule="auto"/>
              <w:rPr>
                <w:rFonts w:ascii="Times New Roman" w:hAnsi="Times New Roman"/>
                <w:noProof/>
              </w:rPr>
            </w:pPr>
            <w:r>
              <w:rPr>
                <w:rFonts w:ascii="Times New Roman" w:hAnsi="Times New Roman"/>
                <w:noProof/>
              </w:rPr>
              <w:t>(CPC 6112, CPC 6122, parte din CPC 8867 și parte din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SE: Se aplică testul privind necesitățile economice atunci când un investitor intenționează să își stabilească propriile unități de infrastructură pentru terminale. Criteriile principale: constrângeri privind spațiul și capacitatea.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(l) 4. Întreținerea și repararea aeronavelor și a părților acestora</w:t>
            </w:r>
          </w:p>
          <w:p>
            <w:pPr>
              <w:widowControl/>
              <w:suppressAutoHyphens/>
              <w:spacing w:before="60" w:after="60" w:line="240" w:lineRule="auto"/>
              <w:rPr>
                <w:rFonts w:ascii="Times New Roman" w:hAnsi="Times New Roman"/>
                <w:noProof/>
              </w:rPr>
            </w:pPr>
            <w:r>
              <w:rPr>
                <w:rFonts w:ascii="Times New Roman" w:hAnsi="Times New Roman"/>
                <w:noProof/>
              </w:rPr>
              <w:t>(parte din CPC 8868)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w:t>
            </w:r>
            <w:r>
              <w:rPr>
                <w:rFonts w:ascii="Times New Roman" w:hAnsi="Times New Roman"/>
                <w:noProof/>
              </w:rPr>
              <w:br w:type="page"/>
              <w:t>l) 5. Servicii de întreținere și reparare a produselor din metal, a mașinilor (altele decât cele de birou), a echipamentelor (altele decât cele de transport și de birou) și a bunurilor de uz personal și casnic</w:t>
            </w:r>
            <w:r>
              <w:rPr>
                <w:rStyle w:val="FootnoteReference"/>
                <w:rFonts w:ascii="Times New Roman" w:hAnsi="Times New Roman"/>
                <w:b/>
                <w:noProof/>
              </w:rPr>
              <w:footnoteReference w:id="62"/>
            </w:r>
          </w:p>
          <w:p>
            <w:pPr>
              <w:widowControl/>
              <w:suppressAutoHyphens/>
              <w:spacing w:before="60" w:after="60" w:line="240" w:lineRule="auto"/>
              <w:rPr>
                <w:rFonts w:ascii="Times New Roman" w:hAnsi="Times New Roman"/>
                <w:noProof/>
              </w:rPr>
            </w:pPr>
            <w:r>
              <w:rPr>
                <w:rFonts w:ascii="Times New Roman" w:hAnsi="Times New Roman"/>
                <w:noProof/>
              </w:rPr>
              <w:t>(CPC 633, CPC 7545, CPC 8861, CPC 8862, CPC 8864, CPC 8865 și CPC 8866)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(m) Servicii de curățenie pentru clădiri</w:t>
            </w:r>
          </w:p>
          <w:p>
            <w:pPr>
              <w:widowControl/>
              <w:suppressAutoHyphens/>
              <w:spacing w:before="60" w:after="60" w:line="240" w:lineRule="auto"/>
              <w:rPr>
                <w:rFonts w:ascii="Times New Roman" w:hAnsi="Times New Roman"/>
                <w:noProof/>
              </w:rPr>
            </w:pPr>
            <w:r>
              <w:rPr>
                <w:rFonts w:ascii="Times New Roman" w:hAnsi="Times New Roman"/>
                <w:noProof/>
              </w:rPr>
              <w:t>(CPC 874)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(n) Servicii de fotografie</w:t>
            </w:r>
          </w:p>
          <w:p>
            <w:pPr>
              <w:widowControl/>
              <w:suppressAutoHyphens/>
              <w:spacing w:before="60" w:after="60" w:line="240" w:lineRule="auto"/>
              <w:rPr>
                <w:rFonts w:ascii="Times New Roman" w:hAnsi="Times New Roman"/>
                <w:noProof/>
              </w:rPr>
            </w:pPr>
            <w:r>
              <w:rPr>
                <w:rFonts w:ascii="Times New Roman" w:hAnsi="Times New Roman"/>
                <w:noProof/>
              </w:rPr>
              <w:t>(CPC 875)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(o) Servicii de ambalare</w:t>
            </w:r>
          </w:p>
          <w:p>
            <w:pPr>
              <w:widowControl/>
              <w:suppressAutoHyphens/>
              <w:spacing w:before="60" w:after="60" w:line="240" w:lineRule="auto"/>
              <w:rPr>
                <w:rFonts w:ascii="Times New Roman" w:hAnsi="Times New Roman"/>
                <w:noProof/>
              </w:rPr>
            </w:pPr>
            <w:r>
              <w:rPr>
                <w:rFonts w:ascii="Times New Roman" w:hAnsi="Times New Roman"/>
                <w:noProof/>
              </w:rPr>
              <w:t>(CPC 876)</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(p) Tipărire și editare</w:t>
            </w:r>
          </w:p>
          <w:p>
            <w:pPr>
              <w:widowControl/>
              <w:suppressAutoHyphens/>
              <w:spacing w:before="60" w:after="60" w:line="240" w:lineRule="auto"/>
              <w:rPr>
                <w:rFonts w:ascii="Times New Roman" w:hAnsi="Times New Roman"/>
                <w:noProof/>
              </w:rPr>
            </w:pPr>
            <w:r>
              <w:rPr>
                <w:rFonts w:ascii="Times New Roman" w:hAnsi="Times New Roman"/>
                <w:noProof/>
              </w:rPr>
              <w:t>(CPC 88442)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LT, LV: Drepturile de stabilire în sectorul editorial se acordă numai persoanelor juridice înregistrate în țările respective (sucursalele nu sunt permise).</w:t>
            </w:r>
          </w:p>
          <w:p>
            <w:pPr>
              <w:widowControl/>
              <w:suppressAutoHyphens/>
              <w:spacing w:before="60" w:after="60" w:line="240" w:lineRule="auto"/>
              <w:rPr>
                <w:rFonts w:ascii="Times New Roman" w:hAnsi="Times New Roman"/>
                <w:noProof/>
              </w:rPr>
            </w:pPr>
            <w:r>
              <w:rPr>
                <w:rFonts w:ascii="Times New Roman" w:hAnsi="Times New Roman"/>
                <w:noProof/>
              </w:rPr>
              <w:t>În PL: cerința privind deținerea cetățeniei pentru redactorii-șefi ai ziarelor și revistelor.</w:t>
            </w:r>
          </w:p>
          <w:p>
            <w:pPr>
              <w:widowControl/>
              <w:suppressAutoHyphens/>
              <w:spacing w:before="60" w:after="60" w:line="240" w:lineRule="auto"/>
              <w:rPr>
                <w:rFonts w:ascii="Times New Roman" w:hAnsi="Times New Roman"/>
                <w:noProof/>
              </w:rPr>
            </w:pPr>
            <w:bookmarkStart w:id="29" w:name="_Hlk158216936"/>
            <w:r>
              <w:rPr>
                <w:rFonts w:ascii="Times New Roman" w:hAnsi="Times New Roman"/>
                <w:noProof/>
              </w:rPr>
              <w:t>În HR: cerințele privind rezidența pentru editor și comitetul editorial.</w:t>
            </w:r>
          </w:p>
          <w:p>
            <w:pPr>
              <w:widowControl/>
              <w:suppressAutoHyphens/>
              <w:spacing w:before="60" w:after="60" w:line="240" w:lineRule="auto"/>
              <w:rPr>
                <w:rFonts w:ascii="Times New Roman" w:hAnsi="Times New Roman"/>
                <w:noProof/>
              </w:rPr>
            </w:pPr>
            <w:r>
              <w:rPr>
                <w:rFonts w:ascii="Times New Roman" w:hAnsi="Times New Roman"/>
                <w:noProof/>
              </w:rPr>
              <w:t>În SE: Persoanele fizice care dețin publicații periodice tipărite și publicate în Suedia trebuie să aibă rezidența în Suedia sau să fie cetățeni ai unui stat membru al SEE. Proprietarii de astfel de publicații periodice care sunt persoane juridice trebuie să fie stabiliți în SEE. Publicațiile periodice care sunt tipărite și publicate în Suedia, precum și înregistrările tehnice trebuie să aibă un redactor responsabil, care trebuie să aibă domiciliul în Suedia, în conformitate cu Legea privind libertatea presei (1949:105), Legea fundamentală privind libertatea de expresie (1991:1469) și Legea privind ordonanțele referitoare la Legea privind libertatea presei și la Legea fundamentală privind libertatea de expresie (1991:1559).</w:t>
            </w:r>
            <w:bookmarkEnd w:id="29"/>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(q) Servicii de organizare de congrese</w:t>
            </w:r>
          </w:p>
          <w:p>
            <w:pPr>
              <w:widowControl/>
              <w:suppressAutoHyphens/>
              <w:spacing w:before="60" w:after="60" w:line="240" w:lineRule="auto"/>
              <w:rPr>
                <w:rFonts w:ascii="Times New Roman" w:hAnsi="Times New Roman"/>
                <w:noProof/>
              </w:rPr>
            </w:pPr>
            <w:r>
              <w:rPr>
                <w:rFonts w:ascii="Times New Roman" w:hAnsi="Times New Roman"/>
                <w:noProof/>
              </w:rPr>
              <w:t>(parte din CPC 87909)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1. Servicii de traduceri și interpretariat</w:t>
            </w:r>
          </w:p>
          <w:p>
            <w:pPr>
              <w:widowControl/>
              <w:suppressAutoHyphens/>
              <w:spacing w:before="60" w:after="60" w:line="240" w:lineRule="auto"/>
              <w:rPr>
                <w:rFonts w:ascii="Times New Roman" w:hAnsi="Times New Roman"/>
                <w:noProof/>
              </w:rPr>
            </w:pPr>
            <w:r>
              <w:rPr>
                <w:rFonts w:ascii="Times New Roman" w:hAnsi="Times New Roman"/>
                <w:noProof/>
              </w:rPr>
              <w:t>(CPC 87905)</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FI: Pentru traducătorii autorizați, este necesară rezidența în SEE.</w:t>
            </w:r>
          </w:p>
          <w:p>
            <w:pPr>
              <w:widowControl/>
              <w:suppressAutoHyphens/>
              <w:spacing w:before="60" w:after="60" w:line="240" w:lineRule="auto"/>
              <w:rPr>
                <w:rFonts w:ascii="Times New Roman" w:hAnsi="Times New Roman"/>
                <w:noProof/>
              </w:rPr>
            </w:pPr>
            <w:r>
              <w:rPr>
                <w:rFonts w:ascii="Times New Roman" w:hAnsi="Times New Roman"/>
                <w:noProof/>
              </w:rPr>
              <w:t>În EE: Traducătorii autorizați trebuie să fie cetățeni ai unui stat membru al UE.</w:t>
            </w:r>
          </w:p>
          <w:p>
            <w:pPr>
              <w:widowControl/>
              <w:suppressAutoHyphens/>
              <w:spacing w:before="60" w:after="60" w:line="240" w:lineRule="auto"/>
              <w:rPr>
                <w:rFonts w:ascii="Times New Roman" w:hAnsi="Times New Roman"/>
                <w:noProof/>
              </w:rPr>
            </w:pPr>
            <w:r>
              <w:rPr>
                <w:rFonts w:ascii="Times New Roman" w:hAnsi="Times New Roman"/>
                <w:noProof/>
              </w:rPr>
              <w:t>În PL: neconsolidat pentru serviciile de interpret autorizat.</w:t>
            </w:r>
          </w:p>
          <w:p>
            <w:pPr>
              <w:widowControl/>
              <w:suppressAutoHyphens/>
              <w:spacing w:before="60" w:after="60" w:line="240" w:lineRule="auto"/>
              <w:rPr>
                <w:rFonts w:ascii="Times New Roman" w:hAnsi="Times New Roman"/>
                <w:noProof/>
              </w:rPr>
            </w:pPr>
            <w:r>
              <w:rPr>
                <w:rFonts w:ascii="Times New Roman" w:hAnsi="Times New Roman"/>
                <w:noProof/>
              </w:rPr>
              <w:t>În BG, HU, SK: neconsolidat pentru traducerile și interpretariatul oficiale.</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serviciile de traducere și interpretare pentru/în fața instanțelor croate.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2. Servicii de decorațiuni interioare și de design de specialitate</w:t>
            </w:r>
          </w:p>
          <w:p>
            <w:pPr>
              <w:widowControl/>
              <w:suppressAutoHyphens/>
              <w:spacing w:before="60" w:after="60" w:line="240" w:lineRule="auto"/>
              <w:rPr>
                <w:rFonts w:ascii="Times New Roman" w:hAnsi="Times New Roman"/>
                <w:noProof/>
              </w:rPr>
            </w:pPr>
            <w:r>
              <w:rPr>
                <w:rFonts w:ascii="Times New Roman" w:hAnsi="Times New Roman"/>
                <w:noProof/>
              </w:rPr>
              <w:t>(CPC 87907)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3. Servicii ale agențiilor de recuperare</w:t>
            </w:r>
          </w:p>
          <w:p>
            <w:pPr>
              <w:widowControl/>
              <w:suppressAutoHyphens/>
              <w:spacing w:before="60" w:after="60" w:line="240" w:lineRule="auto"/>
              <w:rPr>
                <w:rFonts w:ascii="Times New Roman" w:hAnsi="Times New Roman"/>
                <w:noProof/>
              </w:rPr>
            </w:pPr>
            <w:r>
              <w:rPr>
                <w:rFonts w:ascii="Times New Roman" w:hAnsi="Times New Roman"/>
                <w:noProof/>
              </w:rPr>
              <w:t>(CPC 87902)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IT și PT: Se aplică condiția privind deținerea cetățeniei pentru investitori.</w:t>
            </w:r>
          </w:p>
          <w:p>
            <w:pPr>
              <w:widowControl/>
              <w:suppressAutoHyphens/>
              <w:spacing w:before="60" w:after="60" w:line="240" w:lineRule="auto"/>
              <w:rPr>
                <w:rFonts w:ascii="Times New Roman" w:hAnsi="Times New Roman"/>
                <w:noProof/>
              </w:rPr>
            </w:pPr>
            <w:r>
              <w:rPr>
                <w:rFonts w:ascii="Times New Roman" w:hAnsi="Times New Roman"/>
                <w:noProof/>
              </w:rPr>
              <w:t>În CZ: neconsolidat.</w:t>
            </w:r>
          </w:p>
          <w:p>
            <w:pPr>
              <w:widowControl/>
              <w:suppressAutoHyphens/>
              <w:spacing w:before="60" w:after="60" w:line="240" w:lineRule="auto"/>
              <w:rPr>
                <w:rFonts w:ascii="Times New Roman" w:hAnsi="Times New Roman"/>
                <w:noProof/>
              </w:rPr>
            </w:pPr>
            <w:r>
              <w:rPr>
                <w:rFonts w:ascii="Times New Roman" w:hAnsi="Times New Roman"/>
                <w:noProof/>
              </w:rPr>
              <w:t>În DK: Serviciile de firmă de recuperare a datoriilor sunt reglementate de Legea nr. 319 din 14 mai 1997 (cu modificările ulterioare) privind recuperarea datoriilor. Legea respectivă conține o serie de cerințe pentru serviciile de recuperare a datoriilor din Danemarca. Printre alte aspecte, legea stabilește norme privind autorizarea firmei de recuperare a datoriilor și aprobarea personalului implicat în recuperarea datoriilor și conține dispoziții privind recuperarea datoriilor și revocarea autorizației acordate firmei de recuperare a datoriilor.</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(r) 4. Servicii de raportare a creditului</w:t>
            </w:r>
          </w:p>
          <w:p>
            <w:pPr>
              <w:widowControl/>
              <w:suppressAutoHyphens/>
              <w:spacing w:before="60" w:after="60" w:line="240" w:lineRule="auto"/>
              <w:rPr>
                <w:rFonts w:ascii="Times New Roman" w:hAnsi="Times New Roman"/>
                <w:noProof/>
              </w:rPr>
            </w:pPr>
            <w:r>
              <w:rPr>
                <w:rFonts w:ascii="Times New Roman" w:hAnsi="Times New Roman"/>
                <w:noProof/>
              </w:rPr>
              <w:t>(CPC 87901)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BE: În cazul bazelor de date pentru creditele de consum, condiția privind deținerea cetățeniei se aplică pentru investitori.</w:t>
            </w:r>
          </w:p>
          <w:p>
            <w:pPr>
              <w:widowControl/>
              <w:suppressAutoHyphens/>
              <w:spacing w:before="60" w:after="60" w:line="240" w:lineRule="auto"/>
              <w:rPr>
                <w:rFonts w:ascii="Times New Roman" w:hAnsi="Times New Roman"/>
                <w:noProof/>
              </w:rPr>
            </w:pPr>
            <w:r>
              <w:rPr>
                <w:rFonts w:ascii="Times New Roman" w:hAnsi="Times New Roman"/>
                <w:noProof/>
              </w:rPr>
              <w:t>În IT, PT: condiția privind deținerea cetățeniei pentru investitori.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5. Servicii de copiere</w:t>
            </w:r>
          </w:p>
          <w:p>
            <w:pPr>
              <w:widowControl/>
              <w:suppressAutoHyphens/>
              <w:spacing w:before="60" w:after="60" w:line="240" w:lineRule="auto"/>
              <w:rPr>
                <w:rFonts w:ascii="Times New Roman" w:hAnsi="Times New Roman"/>
                <w:noProof/>
              </w:rPr>
            </w:pPr>
            <w:r>
              <w:rPr>
                <w:rFonts w:ascii="Times New Roman" w:hAnsi="Times New Roman"/>
                <w:noProof/>
              </w:rPr>
              <w:t>(CPC 87904)</w:t>
            </w:r>
            <w:r>
              <w:rPr>
                <w:rStyle w:val="FootnoteReference"/>
                <w:rFonts w:ascii="Times New Roman" w:hAnsi="Times New Roman"/>
                <w:b/>
                <w:noProof/>
              </w:rPr>
              <w:footnoteReference w:id="63"/>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6. Servicii de consultanță în domeniul telecomunicațiilor</w:t>
            </w:r>
          </w:p>
          <w:p>
            <w:pPr>
              <w:widowControl/>
              <w:suppressAutoHyphens/>
              <w:spacing w:before="60" w:after="60" w:line="240" w:lineRule="auto"/>
              <w:rPr>
                <w:rFonts w:ascii="Times New Roman" w:hAnsi="Times New Roman"/>
                <w:noProof/>
              </w:rPr>
            </w:pPr>
            <w:r>
              <w:rPr>
                <w:rFonts w:ascii="Times New Roman" w:hAnsi="Times New Roman"/>
                <w:noProof/>
              </w:rPr>
              <w:t>(CPC 7544)</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(r) 7. Servicii de recepționare și transmitere a mesajelor telefonice</w:t>
            </w:r>
          </w:p>
          <w:p>
            <w:pPr>
              <w:widowControl/>
              <w:suppressAutoHyphens/>
              <w:spacing w:before="60" w:after="60" w:line="240" w:lineRule="auto"/>
              <w:rPr>
                <w:rFonts w:ascii="Times New Roman" w:hAnsi="Times New Roman"/>
                <w:noProof/>
              </w:rPr>
            </w:pPr>
            <w:r>
              <w:rPr>
                <w:rFonts w:ascii="Times New Roman" w:hAnsi="Times New Roman"/>
                <w:noProof/>
              </w:rPr>
              <w:t>(CPC 87903)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(s) Vânzări și marketing</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 Sistem informatizat</w:t>
            </w:r>
          </w:p>
          <w:p>
            <w:pPr>
              <w:widowControl/>
              <w:suppressAutoHyphens/>
              <w:spacing w:before="60" w:after="60" w:line="240" w:lineRule="auto"/>
              <w:rPr>
                <w:rFonts w:ascii="Times New Roman" w:hAnsi="Times New Roman"/>
                <w:noProof/>
              </w:rPr>
            </w:pPr>
            <w:r>
              <w:rPr>
                <w:rFonts w:ascii="Times New Roman" w:hAnsi="Times New Roman"/>
                <w:noProof/>
              </w:rPr>
              <w:t>de rezervare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Atunci când transportatorii aerieni din Uniune nu beneficiază, din partea furnizorilor de servicii SIR din Indonezia, de un tratament echivalent</w:t>
            </w:r>
            <w:r>
              <w:rPr>
                <w:rStyle w:val="FootnoteReference"/>
                <w:rFonts w:ascii="Times New Roman" w:hAnsi="Times New Roman"/>
                <w:b/>
                <w:noProof/>
              </w:rPr>
              <w:footnoteReference w:id="64"/>
            </w:r>
            <w:r>
              <w:rPr>
                <w:rFonts w:ascii="Times New Roman" w:hAnsi="Times New Roman"/>
                <w:noProof/>
              </w:rPr>
              <w:t xml:space="preserve"> cu cel acordat în Uniunea Europeană sau atunci când furnizorii de servicii SIR din Uniune nu beneficiază, din partea transportatorilor aerieni din Indonezia, de un tratament echivalent cu cel acordat în Uniunea Europeană, se pot lua măsuri de acordare a unui tratament echivalent de către furnizorii de servicii SIR din Uniunea Europeană transportatorilor aerieni din Indonezia și respectiv, de către transportatorii aerieni din Uniune furnizorilor de servicii SIR din Indonezia.</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7. SERVICII DE COMUNICAȚII</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poștale și de curierat</w:t>
            </w:r>
          </w:p>
          <w:p>
            <w:pPr>
              <w:widowControl/>
              <w:suppressAutoHyphens/>
              <w:spacing w:before="60" w:after="60" w:line="240" w:lineRule="auto"/>
              <w:rPr>
                <w:rFonts w:ascii="Times New Roman" w:hAnsi="Times New Roman"/>
                <w:noProof/>
              </w:rPr>
            </w:pPr>
            <w:r>
              <w:rPr>
                <w:rFonts w:ascii="Times New Roman" w:hAnsi="Times New Roman"/>
                <w:noProof/>
              </w:rPr>
              <w:t xml:space="preserve">(CPC 751 și CPC 71235)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UE: Organizarea plasării cutiilor poștale pe drumurile publice, emisiunea de timbre poștale și serviciul de corespondență recomandată folosit în cadrul procedurilor judiciare sau administrative pot fi restricționate în conformitate cu legislația națională. Se pot institui sisteme de acordare a licențelor pentru serviciile în cazul cărora există obligativitatea serviciului universal. Aceste licențe pot face obiectul unor obligații specifice de serviciu universal sau al unei contribuții financiare la un fond de compensații.</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telecomunicații</w:t>
            </w:r>
          </w:p>
          <w:p>
            <w:pPr>
              <w:widowControl/>
              <w:suppressAutoHyphens/>
              <w:spacing w:before="60" w:after="60" w:line="240" w:lineRule="auto"/>
              <w:rPr>
                <w:rFonts w:ascii="Times New Roman" w:hAnsi="Times New Roman"/>
                <w:noProof/>
              </w:rPr>
            </w:pPr>
            <w:r>
              <w:rPr>
                <w:rFonts w:ascii="Times New Roman" w:hAnsi="Times New Roman"/>
                <w:noProof/>
              </w:rPr>
              <w:t>Aceste servicii nu cuprind activitatea economică ce constă în furnizarea de conținut care necesită servicii de telecomunicații pentru transportul său.</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Toate serviciile care constau în transmiterea și recepția semnalelor prin orice mijloace electromagnetice</w:t>
            </w:r>
            <w:r>
              <w:rPr>
                <w:rStyle w:val="FootnoteReference"/>
                <w:rFonts w:ascii="Times New Roman" w:hAnsi="Times New Roman"/>
                <w:b/>
                <w:noProof/>
              </w:rPr>
              <w:footnoteReference w:id="65"/>
            </w:r>
            <w:r>
              <w:rPr>
                <w:rFonts w:ascii="Times New Roman" w:hAnsi="Times New Roman"/>
                <w:noProof/>
              </w:rPr>
              <w:t>, cu excepția radiodifuziunii</w:t>
            </w:r>
            <w:r>
              <w:rPr>
                <w:rStyle w:val="FootnoteReference"/>
                <w:rFonts w:ascii="Times New Roman" w:hAnsi="Times New Roman"/>
                <w:b/>
                <w:noProof/>
              </w:rPr>
              <w:footnoteReference w:id="66"/>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8. SERVICII DE CONSTRUCȚII ȘI SERVICII DE INGINERIE CONEXE (CPC 511, CPC 512, CPC 513, CPC 514, CPC 515, CPC 516, CPC 517 și CPC 518)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LV în UE</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 SERVICII DE DISTRIBUȚIE</w:t>
            </w:r>
          </w:p>
          <w:p>
            <w:pPr>
              <w:widowControl/>
              <w:suppressAutoHyphens/>
              <w:spacing w:before="60" w:after="60" w:line="240" w:lineRule="auto"/>
              <w:rPr>
                <w:rFonts w:ascii="Times New Roman" w:hAnsi="Times New Roman"/>
                <w:noProof/>
              </w:rPr>
            </w:pPr>
            <w:r>
              <w:rPr>
                <w:rFonts w:ascii="Times New Roman" w:hAnsi="Times New Roman"/>
                <w:noProof/>
              </w:rPr>
              <w:t>(cu excepția distribuției de arme, muniții, explozivi și a altor materiale de război)</w:t>
            </w:r>
          </w:p>
          <w:p>
            <w:pPr>
              <w:widowControl/>
              <w:suppressAutoHyphens/>
              <w:spacing w:before="60" w:after="60" w:line="240" w:lineRule="auto"/>
              <w:rPr>
                <w:rFonts w:ascii="Times New Roman" w:hAnsi="Times New Roman"/>
                <w:noProof/>
              </w:rPr>
            </w:pPr>
            <w:r>
              <w:rPr>
                <w:rFonts w:ascii="Times New Roman" w:hAnsi="Times New Roman"/>
                <w:noProof/>
              </w:rPr>
              <w:t>Toate subsectoarele menționate mai jos</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neconsolidat pentru distribuția produselor pirotehnice, a articolelor inflamabile, a echipamentelor explozibile și a substanțelor toxice. Pentru distribuirea produselor farmaceutice și a produselor din tutun, pot fi acordate drepturi și/sau autorizații exclusive numai resortisanților statelor membre ale Uniunii și persoanelor juridice din Uniune care au sediul în Uniune.</w:t>
            </w:r>
          </w:p>
          <w:p>
            <w:pPr>
              <w:widowControl/>
              <w:suppressAutoHyphens/>
              <w:spacing w:before="60" w:after="60" w:line="240" w:lineRule="auto"/>
              <w:rPr>
                <w:rFonts w:ascii="Times New Roman" w:hAnsi="Times New Roman"/>
                <w:noProof/>
              </w:rPr>
            </w:pPr>
            <w:r>
              <w:rPr>
                <w:rFonts w:ascii="Times New Roman" w:hAnsi="Times New Roman"/>
                <w:noProof/>
              </w:rPr>
              <w:t>În CY: neconsolidat pentru distribuția de produse farmaceutice, produse din tutun și băuturi alcoolice.</w:t>
            </w:r>
          </w:p>
          <w:p>
            <w:pPr>
              <w:widowControl/>
              <w:suppressAutoHyphens/>
              <w:spacing w:before="60" w:after="60" w:line="240" w:lineRule="auto"/>
              <w:rPr>
                <w:rFonts w:ascii="Times New Roman" w:hAnsi="Times New Roman"/>
                <w:noProof/>
              </w:rPr>
            </w:pPr>
            <w:r>
              <w:rPr>
                <w:rFonts w:ascii="Times New Roman" w:hAnsi="Times New Roman"/>
                <w:noProof/>
              </w:rPr>
              <w:t>În FI: neconsolidat pentru distribuția de băuturi alcoolice și produse farmaceutice.</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distribuția de produse din tutun.</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 xml:space="preserve">A. Servicii ale agenților comisionari </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ale agenților comisionari pentru autovehicule, motociclete și snow-mobile și părți și accesorii ale acestora</w:t>
            </w:r>
          </w:p>
          <w:p>
            <w:pPr>
              <w:widowControl/>
              <w:suppressAutoHyphens/>
              <w:spacing w:before="60" w:after="60" w:line="240" w:lineRule="auto"/>
              <w:rPr>
                <w:rFonts w:ascii="Times New Roman" w:hAnsi="Times New Roman"/>
                <w:noProof/>
              </w:rPr>
            </w:pPr>
            <w:r>
              <w:rPr>
                <w:rFonts w:ascii="Times New Roman" w:hAnsi="Times New Roman"/>
                <w:noProof/>
              </w:rPr>
              <w:t xml:space="preserve">(parte din CPC 61111, parte din CPC 6113 și parte din CPC 6121)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(b) Alte servicii ale agenților comisionari (CPC 621)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Servicii de comerț angro</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de comerț angro de autovehicule, motociclete și snow-mobile și părți și accesorii ale acestora</w:t>
            </w:r>
          </w:p>
          <w:p>
            <w:pPr>
              <w:widowControl/>
              <w:suppressAutoHyphens/>
              <w:spacing w:before="60" w:after="60" w:line="240" w:lineRule="auto"/>
              <w:rPr>
                <w:rFonts w:ascii="Times New Roman" w:hAnsi="Times New Roman"/>
                <w:noProof/>
              </w:rPr>
            </w:pPr>
            <w:r>
              <w:rPr>
                <w:rFonts w:ascii="Times New Roman" w:hAnsi="Times New Roman"/>
                <w:noProof/>
              </w:rPr>
              <w:t>(parte din CPC 61111, parte din CPC 6113 și parte din CPC 6121)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Servicii de comerț angro de echipament terminal de telecomunicații</w:t>
            </w:r>
          </w:p>
          <w:p>
            <w:pPr>
              <w:widowControl/>
              <w:suppressAutoHyphens/>
              <w:spacing w:before="60" w:after="60" w:line="240" w:lineRule="auto"/>
              <w:rPr>
                <w:rFonts w:ascii="Times New Roman" w:hAnsi="Times New Roman"/>
                <w:noProof/>
              </w:rPr>
            </w:pPr>
            <w:r>
              <w:rPr>
                <w:rFonts w:ascii="Times New Roman" w:hAnsi="Times New Roman"/>
                <w:noProof/>
              </w:rPr>
              <w:t>(parte din CPC 7542)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Alte servicii de comerț angro</w:t>
            </w:r>
          </w:p>
          <w:p>
            <w:pPr>
              <w:widowControl/>
              <w:suppressAutoHyphens/>
              <w:spacing w:before="60" w:after="60" w:line="240" w:lineRule="auto"/>
              <w:rPr>
                <w:rFonts w:ascii="Times New Roman" w:hAnsi="Times New Roman"/>
                <w:noProof/>
              </w:rPr>
            </w:pPr>
            <w:r>
              <w:rPr>
                <w:rFonts w:ascii="Times New Roman" w:hAnsi="Times New Roman"/>
                <w:noProof/>
              </w:rPr>
              <w:t>(CPC 622, cu excepția serviciilor de comerț angro de produse energetice</w:t>
            </w:r>
            <w:r>
              <w:rPr>
                <w:rStyle w:val="FootnoteReference"/>
                <w:rFonts w:ascii="Times New Roman" w:hAnsi="Times New Roman"/>
                <w:b/>
                <w:noProof/>
              </w:rPr>
              <w:footnoteReference w:id="67"/>
            </w:r>
            <w:r>
              <w:rPr>
                <w:rFonts w:ascii="Times New Roman" w:hAnsi="Times New Roman"/>
                <w:noProof/>
              </w:rPr>
              <w:t>)</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FR și IT: Se aplică monopolul de stat asupra tutunului.</w:t>
            </w:r>
          </w:p>
          <w:p>
            <w:pPr>
              <w:widowControl/>
              <w:suppressAutoHyphens/>
              <w:spacing w:before="60" w:after="60" w:line="240" w:lineRule="auto"/>
              <w:rPr>
                <w:rFonts w:ascii="Times New Roman" w:hAnsi="Times New Roman"/>
                <w:noProof/>
              </w:rPr>
            </w:pPr>
            <w:r>
              <w:rPr>
                <w:rFonts w:ascii="Times New Roman" w:hAnsi="Times New Roman"/>
                <w:noProof/>
              </w:rPr>
              <w:t>În FR: Autorizarea farmaciilor angro este supusă unui test privind necesitățile economice. Criteriile principale: populația și densitatea geografică a farmaciilor existente.</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Servicii de comerț cu amănuntul</w:t>
            </w:r>
            <w:r>
              <w:rPr>
                <w:rStyle w:val="FootnoteReference"/>
                <w:rFonts w:ascii="Times New Roman" w:hAnsi="Times New Roman"/>
                <w:b/>
                <w:noProof/>
              </w:rPr>
              <w:footnoteReference w:id="68"/>
            </w:r>
          </w:p>
          <w:p>
            <w:pPr>
              <w:widowControl/>
              <w:suppressAutoHyphens/>
              <w:spacing w:before="60" w:after="60" w:line="240" w:lineRule="auto"/>
              <w:rPr>
                <w:rFonts w:ascii="Times New Roman" w:hAnsi="Times New Roman"/>
                <w:noProof/>
              </w:rPr>
            </w:pPr>
            <w:r>
              <w:rPr>
                <w:rFonts w:ascii="Times New Roman" w:hAnsi="Times New Roman"/>
                <w:noProof/>
              </w:rPr>
              <w:t>Servicii de comerț cu amănuntul cu autovehicule, motociclete și snow-mobile și părți și accesorii ale acestora</w:t>
            </w:r>
          </w:p>
          <w:p>
            <w:pPr>
              <w:widowControl/>
              <w:suppressAutoHyphens/>
              <w:spacing w:before="60" w:after="60" w:line="240" w:lineRule="auto"/>
              <w:rPr>
                <w:rFonts w:ascii="Times New Roman" w:hAnsi="Times New Roman"/>
                <w:noProof/>
              </w:rPr>
            </w:pPr>
            <w:r>
              <w:rPr>
                <w:rFonts w:ascii="Times New Roman" w:hAnsi="Times New Roman"/>
                <w:noProof/>
              </w:rPr>
              <w:t>(CPC 61112, parte din CPC 6113 și parte din CPC 6121)</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ES: Există un monopol de stat asupra vânzărilor cu amănuntul de tutun. Stabilirea este supusă condiției privind deținerea cetățeniei unui stat membru al UE. Numai persoanele fizice pot acționa în calitate de comercianți de tutun. Un comerciant de tutun poate obține o singură licență. (CPC 63108)</w:t>
            </w:r>
          </w:p>
          <w:p>
            <w:pPr>
              <w:widowControl/>
              <w:suppressAutoHyphens/>
              <w:spacing w:before="60" w:after="60" w:line="240" w:lineRule="auto"/>
              <w:rPr>
                <w:rFonts w:ascii="Times New Roman" w:hAnsi="Times New Roman"/>
                <w:noProof/>
              </w:rPr>
            </w:pPr>
            <w:r>
              <w:rPr>
                <w:rFonts w:ascii="Times New Roman" w:hAnsi="Times New Roman"/>
                <w:noProof/>
              </w:rPr>
              <w:t>În FR, IT: Se aplică monopolul de stat asupra tutunului.</w:t>
            </w:r>
          </w:p>
          <w:p>
            <w:pPr>
              <w:widowControl/>
              <w:suppressAutoHyphens/>
              <w:spacing w:before="60" w:after="60" w:line="240" w:lineRule="auto"/>
              <w:rPr>
                <w:rFonts w:ascii="Times New Roman" w:hAnsi="Times New Roman"/>
                <w:noProof/>
              </w:rPr>
            </w:pPr>
            <w:r>
              <w:rPr>
                <w:rFonts w:ascii="Times New Roman" w:hAnsi="Times New Roman"/>
                <w:noProof/>
              </w:rPr>
              <w:t>În BG, DK, FR, IT, MT: Autorizația pentru magazinele universale (în cazul FR numai pentru magazinele mari) este supusă unui test privind necesitățile economice. Criteriile principale: numărul magazinelor existente și impactul asupra acestora, densitatea populației, răspândirea geografică, impactul asupra condițiilor de trafic și crearea de noi locuri de muncă.</w:t>
            </w:r>
          </w:p>
          <w:p>
            <w:pPr>
              <w:widowControl/>
              <w:suppressAutoHyphens/>
              <w:spacing w:before="60" w:after="60" w:line="240" w:lineRule="auto"/>
              <w:rPr>
                <w:rFonts w:ascii="Times New Roman" w:hAnsi="Times New Roman"/>
                <w:noProof/>
              </w:rPr>
            </w:pPr>
            <w:r>
              <w:rPr>
                <w:rFonts w:ascii="Times New Roman" w:hAnsi="Times New Roman"/>
                <w:noProof/>
              </w:rPr>
              <w:t>În IE: neconsolidat pentru vânzarea cu amănuntul de băuturi alcoolice.</w:t>
            </w:r>
          </w:p>
          <w:p>
            <w:pPr>
              <w:widowControl/>
              <w:suppressAutoHyphens/>
              <w:spacing w:before="60" w:after="60" w:line="240" w:lineRule="auto"/>
              <w:rPr>
                <w:rFonts w:ascii="Times New Roman" w:hAnsi="Times New Roman"/>
                <w:noProof/>
              </w:rPr>
            </w:pPr>
            <w:r>
              <w:rPr>
                <w:rFonts w:ascii="Times New Roman" w:hAnsi="Times New Roman"/>
                <w:noProof/>
              </w:rPr>
              <w:t>În SE: neconsolidat pentru vânzarea cu amănuntul de băuturi alcoolice. (parte din CPC 631)</w:t>
            </w:r>
          </w:p>
        </w:tc>
      </w:tr>
      <w:tr>
        <w:trPr>
          <w:trHeight w:val="1605"/>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comerț cu amănuntul cu echipamente terminale de telecomunicații</w:t>
            </w:r>
          </w:p>
          <w:p>
            <w:pPr>
              <w:pageBreakBefore/>
              <w:widowControl/>
              <w:suppressAutoHyphens/>
              <w:spacing w:before="60" w:after="60" w:line="240" w:lineRule="auto"/>
              <w:rPr>
                <w:rFonts w:ascii="Times New Roman" w:hAnsi="Times New Roman"/>
                <w:noProof/>
              </w:rPr>
            </w:pPr>
            <w:r>
              <w:rPr>
                <w:rFonts w:ascii="Times New Roman" w:hAnsi="Times New Roman"/>
                <w:noProof/>
              </w:rPr>
              <w:t>(parte din CPC 7542)</w:t>
            </w:r>
          </w:p>
          <w:p>
            <w:pPr>
              <w:pageBreakBefore/>
              <w:widowControl/>
              <w:suppressAutoHyphens/>
              <w:spacing w:before="60" w:after="60" w:line="240" w:lineRule="auto"/>
              <w:rPr>
                <w:rFonts w:ascii="Times New Roman" w:hAnsi="Times New Roman"/>
                <w:noProof/>
              </w:rPr>
            </w:pPr>
            <w:r>
              <w:rPr>
                <w:rFonts w:ascii="Times New Roman" w:hAnsi="Times New Roman"/>
                <w:noProof/>
              </w:rPr>
              <w:t>Servicii de comerț cu amănuntul cu produse alimentare (CPC 631)</w:t>
            </w:r>
          </w:p>
          <w:p>
            <w:pPr>
              <w:widowControl/>
              <w:suppressAutoHyphens/>
              <w:spacing w:before="60" w:after="60" w:line="240" w:lineRule="auto"/>
              <w:rPr>
                <w:rFonts w:ascii="Times New Roman" w:hAnsi="Times New Roman"/>
                <w:noProof/>
              </w:rPr>
            </w:pPr>
            <w:r>
              <w:rPr>
                <w:rFonts w:ascii="Times New Roman" w:hAnsi="Times New Roman"/>
                <w:noProof/>
              </w:rPr>
              <w:t>Servicii de comerț cu amănuntul cu alte produse (altele decât cele energetice), cu excepția comerțului cu amănuntul cu produse farmaceutice, medicale și ortopedice</w:t>
            </w:r>
            <w:r>
              <w:rPr>
                <w:rStyle w:val="FootnoteReference"/>
                <w:rFonts w:ascii="Times New Roman" w:hAnsi="Times New Roman"/>
                <w:b/>
                <w:noProof/>
              </w:rPr>
              <w:footnoteReference w:id="69"/>
            </w:r>
          </w:p>
          <w:p>
            <w:pPr>
              <w:suppressAutoHyphens/>
              <w:spacing w:before="60" w:after="60" w:line="240" w:lineRule="auto"/>
              <w:rPr>
                <w:noProof/>
              </w:rPr>
            </w:pPr>
            <w:r>
              <w:rPr>
                <w:rFonts w:ascii="Times New Roman" w:hAnsi="Times New Roman"/>
                <w:noProof/>
              </w:rPr>
              <w:t>(CPC 632, cu excepția CPC 63211 și CPC 63297)</w:t>
            </w:r>
          </w:p>
        </w:tc>
        <w:tc>
          <w:tcPr>
            <w:tcW w:w="4028" w:type="pct"/>
            <w:tcBorders>
              <w:top w:val="nil"/>
            </w:tcBorders>
          </w:tcPr>
          <w:p>
            <w:pPr>
              <w:suppressAutoHyphens/>
              <w:spacing w:before="60" w:after="60" w:line="240" w:lineRule="auto"/>
              <w:rPr>
                <w:noProof/>
              </w:rPr>
            </w:pPr>
            <w:r>
              <w:rPr>
                <w:rFonts w:ascii="Times New Roman" w:hAnsi="Times New Roman"/>
                <w:noProof/>
              </w:rPr>
              <w:t>În PT: Există o schemă specifică de autorizare pentru instalarea anumitor unități de vânzare cu amănuntul și centre comerciale. Aceasta se referă la centrele comerciale care au o suprafață locativă brută mai mare sau egală cu 8 000 m</w:t>
            </w:r>
            <w:r>
              <w:rPr>
                <w:rFonts w:ascii="Times New Roman" w:hAnsi="Times New Roman"/>
                <w:noProof/>
                <w:vertAlign w:val="superscript"/>
              </w:rPr>
              <w:t xml:space="preserve">2 </w:t>
            </w:r>
            <w:r>
              <w:rPr>
                <w:rFonts w:ascii="Times New Roman" w:hAnsi="Times New Roman"/>
                <w:noProof/>
              </w:rPr>
              <w:t>și la unitățile de vânzare cu amănuntul care au un spațiu de comercializare mai mare sau egal cu 2 000 m</w:t>
            </w:r>
            <w:r>
              <w:rPr>
                <w:rFonts w:ascii="Times New Roman" w:hAnsi="Times New Roman"/>
                <w:noProof/>
                <w:vertAlign w:val="superscript"/>
              </w:rPr>
              <w:t>2</w:t>
            </w:r>
            <w:r>
              <w:rPr>
                <w:rFonts w:ascii="Times New Roman" w:hAnsi="Times New Roman"/>
                <w:noProof/>
              </w:rPr>
              <w:t>, atunci când sunt situate în afara centrelor comerciale. Criteriile principale: contribuția la o multitudine de oferte comerciale; evaluarea serviciilor oferite consumatorilor; calitatea locurilor de muncă și responsabilitatea socială a întreprinderilor; integrarea în mediul urban; contribuția la ecoeficiență.</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Franciză</w:t>
            </w:r>
          </w:p>
          <w:p>
            <w:pPr>
              <w:widowControl/>
              <w:suppressAutoHyphens/>
              <w:spacing w:before="60" w:after="60" w:line="240" w:lineRule="auto"/>
              <w:rPr>
                <w:rFonts w:ascii="Times New Roman" w:hAnsi="Times New Roman"/>
                <w:noProof/>
              </w:rPr>
            </w:pPr>
            <w:r>
              <w:rPr>
                <w:rFonts w:ascii="Times New Roman" w:hAnsi="Times New Roman"/>
                <w:noProof/>
              </w:rPr>
              <w:t>(CPC 8929)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10. SERVICII DE ÎNVĂȚĂMÂNT (doar serviciile cu finanțare privată) </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489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de învățământ primar</w:t>
            </w:r>
          </w:p>
          <w:p>
            <w:pPr>
              <w:widowControl/>
              <w:suppressAutoHyphens/>
              <w:spacing w:before="60" w:after="60" w:line="240" w:lineRule="auto"/>
              <w:rPr>
                <w:rFonts w:ascii="Times New Roman" w:hAnsi="Times New Roman"/>
                <w:noProof/>
              </w:rPr>
            </w:pPr>
            <w:r>
              <w:rPr>
                <w:rFonts w:ascii="Times New Roman" w:hAnsi="Times New Roman"/>
                <w:noProof/>
              </w:rPr>
              <w:t>(CPC 921)</w:t>
            </w:r>
          </w:p>
          <w:p>
            <w:pPr>
              <w:widowControl/>
              <w:suppressAutoHyphens/>
              <w:spacing w:before="60" w:after="60" w:line="240" w:lineRule="auto"/>
              <w:rPr>
                <w:rFonts w:ascii="Times New Roman" w:hAnsi="Times New Roman"/>
                <w:noProof/>
              </w:rPr>
            </w:pPr>
            <w:r>
              <w:rPr>
                <w:rFonts w:ascii="Times New Roman" w:hAnsi="Times New Roman"/>
                <w:noProof/>
              </w:rPr>
              <w:t>B. Servicii de învățământ secundar</w:t>
            </w:r>
          </w:p>
          <w:p>
            <w:pPr>
              <w:widowControl/>
              <w:suppressAutoHyphens/>
              <w:spacing w:before="60" w:after="60" w:line="240" w:lineRule="auto"/>
              <w:rPr>
                <w:rFonts w:ascii="Times New Roman" w:hAnsi="Times New Roman"/>
                <w:noProof/>
              </w:rPr>
            </w:pPr>
            <w:r>
              <w:rPr>
                <w:rFonts w:ascii="Times New Roman" w:hAnsi="Times New Roman"/>
                <w:noProof/>
              </w:rPr>
              <w:t>(CPC 922)</w:t>
            </w:r>
          </w:p>
          <w:p>
            <w:pPr>
              <w:widowControl/>
              <w:suppressAutoHyphens/>
              <w:spacing w:before="60" w:after="60" w:line="240" w:lineRule="auto"/>
              <w:rPr>
                <w:rFonts w:ascii="Times New Roman" w:hAnsi="Times New Roman"/>
                <w:noProof/>
              </w:rPr>
            </w:pPr>
            <w:r>
              <w:rPr>
                <w:rFonts w:ascii="Times New Roman" w:hAnsi="Times New Roman"/>
                <w:noProof/>
              </w:rPr>
              <w:t>C. Servicii de învățământ superior</w:t>
            </w:r>
          </w:p>
          <w:p>
            <w:pPr>
              <w:widowControl/>
              <w:suppressAutoHyphens/>
              <w:spacing w:before="60" w:after="60" w:line="240" w:lineRule="auto"/>
              <w:rPr>
                <w:rFonts w:ascii="Times New Roman" w:hAnsi="Times New Roman"/>
                <w:noProof/>
              </w:rPr>
            </w:pPr>
            <w:r>
              <w:rPr>
                <w:rFonts w:ascii="Times New Roman" w:hAnsi="Times New Roman"/>
                <w:noProof/>
              </w:rPr>
              <w:t>(CPC 923)</w:t>
            </w:r>
          </w:p>
          <w:p>
            <w:pPr>
              <w:widowControl/>
              <w:suppressAutoHyphens/>
              <w:spacing w:before="60" w:after="60" w:line="240" w:lineRule="auto"/>
              <w:rPr>
                <w:rFonts w:ascii="Times New Roman" w:hAnsi="Times New Roman"/>
                <w:noProof/>
              </w:rPr>
            </w:pPr>
            <w:r>
              <w:rPr>
                <w:rFonts w:ascii="Times New Roman" w:hAnsi="Times New Roman"/>
                <w:noProof/>
              </w:rPr>
              <w:t>D. Servicii de învățământ pentru adulți</w:t>
            </w:r>
          </w:p>
          <w:p>
            <w:pPr>
              <w:widowControl/>
              <w:suppressAutoHyphens/>
              <w:spacing w:before="60" w:after="60" w:line="240" w:lineRule="auto"/>
              <w:rPr>
                <w:rFonts w:ascii="Times New Roman" w:hAnsi="Times New Roman"/>
                <w:noProof/>
              </w:rPr>
            </w:pPr>
            <w:r>
              <w:rPr>
                <w:rFonts w:ascii="Times New Roman" w:hAnsi="Times New Roman"/>
                <w:noProof/>
              </w:rPr>
              <w:t>(CPC 924)</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UE: Participarea operatorilor privați la rețeaua educațională este supusă concesiunii.</w:t>
            </w:r>
          </w:p>
          <w:p>
            <w:pPr>
              <w:widowControl/>
              <w:suppressAutoHyphens/>
              <w:spacing w:before="60" w:after="60" w:line="240" w:lineRule="auto"/>
              <w:rPr>
                <w:rFonts w:ascii="Times New Roman" w:hAnsi="Times New Roman"/>
                <w:noProof/>
              </w:rPr>
            </w:pPr>
            <w:r>
              <w:rPr>
                <w:rFonts w:ascii="Times New Roman" w:hAnsi="Times New Roman"/>
                <w:noProof/>
              </w:rPr>
              <w:t>În AT: neconsolidat pentru serviciile de învățământ superior și pentru serviciile de învățământ pentru adulți furnizate prin intermediul emisiunilor radio sau de televiziune.</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furnizarea de servicii de învățământ primar sau secundar de către persoanele fizice străine și asociațiile străine și pentru furnizarea de servicii de învățământ superior.</w:t>
            </w:r>
          </w:p>
          <w:p>
            <w:pPr>
              <w:widowControl/>
              <w:suppressAutoHyphens/>
              <w:spacing w:before="60" w:after="60" w:line="240" w:lineRule="auto"/>
              <w:rPr>
                <w:rFonts w:ascii="Times New Roman" w:hAnsi="Times New Roman"/>
                <w:noProof/>
              </w:rPr>
            </w:pPr>
            <w:r>
              <w:rPr>
                <w:rFonts w:ascii="Times New Roman" w:hAnsi="Times New Roman"/>
                <w:noProof/>
              </w:rPr>
              <w:t>În CZ, SK: condiția privind deținerea cetățeniei pentru majoritatea membrilor consiliului de administrație. neconsolidat pentru furnizarea de servicii de învățământ superior, cu excepția serviciilor de învățământ postliceal tehnic și profesional (CPC 92310).</w:t>
            </w:r>
          </w:p>
          <w:p>
            <w:pPr>
              <w:widowControl/>
              <w:suppressAutoHyphens/>
              <w:spacing w:before="60" w:after="60" w:line="240" w:lineRule="auto"/>
              <w:rPr>
                <w:rFonts w:ascii="Times New Roman" w:hAnsi="Times New Roman"/>
                <w:noProof/>
              </w:rPr>
            </w:pPr>
            <w:r>
              <w:rPr>
                <w:rFonts w:ascii="Times New Roman" w:hAnsi="Times New Roman"/>
                <w:noProof/>
              </w:rPr>
              <w:t>În CY, FI, MT, RO, SE: neconsolidat.</w:t>
            </w:r>
          </w:p>
          <w:p>
            <w:pPr>
              <w:widowControl/>
              <w:suppressAutoHyphens/>
              <w:spacing w:before="60" w:after="60" w:line="240" w:lineRule="auto"/>
              <w:rPr>
                <w:rFonts w:ascii="Times New Roman" w:hAnsi="Times New Roman"/>
                <w:noProof/>
              </w:rPr>
            </w:pPr>
            <w:r>
              <w:rPr>
                <w:rFonts w:ascii="Times New Roman" w:hAnsi="Times New Roman"/>
                <w:noProof/>
              </w:rPr>
              <w:t>În EL: Condiția privind deținerea cetățeniei se aplică pentru proprietarii și pentru majoritatea membrilor consiliilor de administrație ale școlilor primare și secundare cu finanțare privată, precum și pentru cadrele didactice din învățământul primar și secundar cu finanțare privată (CPC 921, 922). Educația la nivel universitar este furnizată exclusiv de instituții care sunt persoane juridice de drept public complet autonome. Rezidenții Uniunii Europene (persoane fizice sau juridice) sunt autorizați să înființeze instituții private de învățământ postliceal care acordă certificate ce nu sunt recunoscute ca fiind echivalente cu diplomele universitare (CPC 923).</w:t>
            </w:r>
          </w:p>
          <w:p>
            <w:pPr>
              <w:suppressAutoHyphens/>
              <w:spacing w:before="60" w:after="60" w:line="240" w:lineRule="auto"/>
              <w:rPr>
                <w:rFonts w:ascii="Times New Roman" w:hAnsi="Times New Roman"/>
                <w:noProof/>
              </w:rPr>
            </w:pPr>
            <w:r>
              <w:rPr>
                <w:rFonts w:ascii="Times New Roman" w:hAnsi="Times New Roman"/>
                <w:noProof/>
              </w:rPr>
              <w:t>În ES, IT: testul privind necesitățile economice pentru stabilirea de universități particulare autorizate să emită diplome sau titluri recunoscute. Procedura relevantă implică avizul Parlamentului. Criteriile principale: populația și densitatea instituțiilor existente.</w:t>
            </w:r>
          </w:p>
        </w:tc>
      </w:tr>
      <w:tr>
        <w:trPr>
          <w:trHeight w:val="2640"/>
        </w:trP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FR: Pentru a preda într-o instituție de învățământ cu finanțare privată (CPC 921, CPC 922, CPC 923) este necesară cetățenia unui stat membru al UE. Cu toate acestea, resortisanții Indoneziei pot obține o autorizație din partea autorităților competente relevante pentru a preda în instituții de învățământ primar, secundar și superior.</w:t>
            </w:r>
          </w:p>
          <w:p>
            <w:pPr>
              <w:widowControl/>
              <w:suppressAutoHyphens/>
              <w:spacing w:before="60" w:after="60" w:line="240" w:lineRule="auto"/>
              <w:rPr>
                <w:rFonts w:ascii="Times New Roman" w:hAnsi="Times New Roman"/>
                <w:noProof/>
              </w:rPr>
            </w:pPr>
            <w:r>
              <w:rPr>
                <w:rFonts w:ascii="Times New Roman" w:hAnsi="Times New Roman"/>
                <w:noProof/>
              </w:rPr>
              <w:t>Resortisanții Indoneziei pot obține, de asemenea, o autorizație din partea autorităților competente relevante pentru a înființa și a exploata sau a administra instituții de învățământ primar, secundar sau superior. O astfel de autorizație se acordă în mod discreționar.</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serviciile de învățământ primar (CPC 921). Pentru serviciile de învățământ secundar: niciuna pentru persoanele juridice.</w:t>
            </w:r>
          </w:p>
          <w:p>
            <w:pPr>
              <w:widowControl/>
              <w:suppressAutoHyphens/>
              <w:spacing w:before="60" w:after="60" w:line="240" w:lineRule="auto"/>
              <w:rPr>
                <w:rFonts w:ascii="Times New Roman" w:hAnsi="Times New Roman"/>
                <w:noProof/>
              </w:rPr>
            </w:pPr>
            <w:r>
              <w:rPr>
                <w:rFonts w:ascii="Times New Roman" w:hAnsi="Times New Roman"/>
                <w:noProof/>
              </w:rPr>
              <w:t>În HU: Numărul școlilor stabilite poate fi limitat de autoritățile locale (sau în cazul liceelor și al altor instituții de învățământ superior, de către autoritățile centrale) însărcinate cu acordarea autorizațiilor.</w:t>
            </w:r>
          </w:p>
          <w:p>
            <w:pPr>
              <w:widowControl/>
              <w:suppressAutoHyphens/>
              <w:spacing w:before="60" w:after="60" w:line="240" w:lineRule="auto"/>
              <w:rPr>
                <w:rFonts w:ascii="Times New Roman" w:hAnsi="Times New Roman"/>
                <w:noProof/>
              </w:rPr>
            </w:pPr>
            <w:r>
              <w:rPr>
                <w:rFonts w:ascii="Times New Roman" w:hAnsi="Times New Roman"/>
                <w:noProof/>
              </w:rPr>
              <w:t>În SK: Toți furnizorii de servicii de învățământ cu finanțare privată, altele decât serviciile educaționale pentru învățământul post-liceal profesional și tehnic, trebuie să fie rezidenți în SEE. Se poate aplica testul privind necesitățile economice, iar numărul școlilor înființate poate fi limitat de autoritățile locale (CPC 921, 922, 923, cu excepția 92310, 924).</w:t>
            </w:r>
          </w:p>
          <w:p>
            <w:pPr>
              <w:widowControl/>
              <w:suppressAutoHyphens/>
              <w:spacing w:before="60" w:after="60" w:line="240" w:lineRule="auto"/>
              <w:rPr>
                <w:rFonts w:ascii="Times New Roman" w:hAnsi="Times New Roman"/>
                <w:noProof/>
              </w:rPr>
            </w:pPr>
            <w:r>
              <w:rPr>
                <w:rFonts w:ascii="Times New Roman" w:hAnsi="Times New Roman"/>
                <w:noProof/>
              </w:rPr>
              <w:t>În LV: neconsolidat pentru furnizarea de servicii de învățământ legate de serviciile de învățământ de tipul școlilor postliceale tehnice și profesionale pentru elevii cu handicap (CPC 9224).</w:t>
            </w:r>
          </w:p>
          <w:p>
            <w:pPr>
              <w:suppressAutoHyphens/>
              <w:spacing w:before="60" w:after="60" w:line="240" w:lineRule="auto"/>
              <w:rPr>
                <w:noProof/>
              </w:rPr>
            </w:pPr>
            <w:r>
              <w:rPr>
                <w:rFonts w:ascii="Times New Roman" w:hAnsi="Times New Roman"/>
                <w:noProof/>
              </w:rPr>
              <w:t>În SI: neconsolidat pentru școlile primare. Condiția privind deținerea cetățeniei pentru majoritatea membrilor consiliului de administrație în cazul școlilor secundare și al liceelor.</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Alte servicii de învățământ</w:t>
            </w:r>
          </w:p>
          <w:p>
            <w:pPr>
              <w:widowControl/>
              <w:suppressAutoHyphens/>
              <w:spacing w:before="60" w:after="60" w:line="240" w:lineRule="auto"/>
              <w:rPr>
                <w:rFonts w:ascii="Times New Roman" w:hAnsi="Times New Roman"/>
                <w:noProof/>
              </w:rPr>
            </w:pPr>
            <w:r>
              <w:rPr>
                <w:rFonts w:ascii="Times New Roman" w:hAnsi="Times New Roman"/>
                <w:noProof/>
              </w:rPr>
              <w:t>(CPC 929)</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AT, BE, BG, CY, DE, DK, ES, EE, FI, FR, EL, HU, IE, IT, LV, LT, LU, MT, NL, PL, PT, RO, SI, SE: neconsolidat.</w:t>
            </w:r>
          </w:p>
          <w:p>
            <w:pPr>
              <w:widowControl/>
              <w:suppressAutoHyphens/>
              <w:spacing w:before="60" w:after="60" w:line="240" w:lineRule="auto"/>
              <w:rPr>
                <w:rFonts w:ascii="Times New Roman" w:hAnsi="Times New Roman"/>
                <w:noProof/>
              </w:rPr>
            </w:pPr>
            <w:r>
              <w:rPr>
                <w:rFonts w:ascii="Times New Roman" w:hAnsi="Times New Roman"/>
                <w:noProof/>
              </w:rPr>
              <w:t>În CZ, SK: Participarea operatorilor privați la rețeaua educațională este supusă concesiunii. Condiția privind deținerea cetățeniei pentru majoritatea membrilor consiliului de administrație.</w:t>
            </w:r>
          </w:p>
        </w:tc>
      </w:tr>
      <w:tr>
        <w:trPr>
          <w:trHeight w:val="3840"/>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11. SERVICII DE MEDIU</w:t>
            </w:r>
          </w:p>
          <w:p>
            <w:pPr>
              <w:widowControl/>
              <w:suppressAutoHyphens/>
              <w:spacing w:before="60" w:after="60" w:line="240" w:lineRule="auto"/>
              <w:rPr>
                <w:rFonts w:ascii="Times New Roman" w:hAnsi="Times New Roman"/>
                <w:noProof/>
              </w:rPr>
            </w:pPr>
            <w:r>
              <w:rPr>
                <w:rFonts w:ascii="Times New Roman" w:hAnsi="Times New Roman"/>
                <w:noProof/>
              </w:rPr>
              <w:t>A. Servicii legate de apele uzate</w:t>
            </w:r>
          </w:p>
          <w:p>
            <w:pPr>
              <w:widowControl/>
              <w:suppressAutoHyphens/>
              <w:spacing w:before="60" w:after="60" w:line="240" w:lineRule="auto"/>
              <w:rPr>
                <w:rFonts w:ascii="Times New Roman" w:hAnsi="Times New Roman"/>
                <w:noProof/>
              </w:rPr>
            </w:pPr>
            <w:r>
              <w:rPr>
                <w:rFonts w:ascii="Times New Roman" w:hAnsi="Times New Roman"/>
                <w:noProof/>
              </w:rPr>
              <w:t>(CPC 9401)</w:t>
            </w:r>
            <w:r>
              <w:rPr>
                <w:rStyle w:val="FootnoteReference"/>
                <w:rFonts w:ascii="Times New Roman" w:hAnsi="Times New Roman"/>
                <w:b/>
                <w:noProof/>
              </w:rPr>
              <w:footnoteReference w:id="70"/>
            </w:r>
          </w:p>
          <w:p>
            <w:pPr>
              <w:widowControl/>
              <w:suppressAutoHyphens/>
              <w:spacing w:before="60" w:after="60" w:line="240" w:lineRule="auto"/>
              <w:rPr>
                <w:rFonts w:ascii="Times New Roman" w:hAnsi="Times New Roman"/>
                <w:noProof/>
              </w:rPr>
            </w:pPr>
            <w:r>
              <w:rPr>
                <w:rFonts w:ascii="Times New Roman" w:hAnsi="Times New Roman"/>
                <w:noProof/>
              </w:rPr>
              <w:t>B. Gestionarea deșeurilor solide/periculoase, cu excepția transportului transfrontalier de deșeuri periculoase</w:t>
            </w:r>
          </w:p>
          <w:p>
            <w:pPr>
              <w:widowControl/>
              <w:suppressAutoHyphens/>
              <w:spacing w:before="60" w:after="60" w:line="240" w:lineRule="auto"/>
              <w:rPr>
                <w:rFonts w:ascii="Times New Roman" w:hAnsi="Times New Roman"/>
                <w:noProof/>
              </w:rPr>
            </w:pPr>
            <w:r>
              <w:rPr>
                <w:rFonts w:ascii="Times New Roman" w:hAnsi="Times New Roman"/>
                <w:noProof/>
              </w:rPr>
              <w:t>(a) Servicii de eliminare a deșeurilor menajere</w:t>
            </w:r>
          </w:p>
          <w:p>
            <w:pPr>
              <w:widowControl/>
              <w:suppressAutoHyphens/>
              <w:spacing w:before="60" w:after="60" w:line="240" w:lineRule="auto"/>
              <w:rPr>
                <w:rFonts w:ascii="Times New Roman" w:hAnsi="Times New Roman"/>
                <w:noProof/>
              </w:rPr>
            </w:pPr>
            <w:r>
              <w:rPr>
                <w:rFonts w:ascii="Times New Roman" w:hAnsi="Times New Roman"/>
                <w:noProof/>
              </w:rPr>
              <w:t>(CPC 9402)</w:t>
            </w:r>
          </w:p>
          <w:p>
            <w:pPr>
              <w:pageBreakBefore/>
              <w:widowControl/>
              <w:suppressAutoHyphens/>
              <w:spacing w:before="60" w:after="60" w:line="240" w:lineRule="auto"/>
              <w:rPr>
                <w:rFonts w:ascii="Times New Roman" w:hAnsi="Times New Roman"/>
                <w:noProof/>
              </w:rPr>
            </w:pPr>
            <w:r>
              <w:rPr>
                <w:rFonts w:ascii="Times New Roman" w:hAnsi="Times New Roman"/>
                <w:noProof/>
              </w:rPr>
              <w:t>(b) Servicii de salubritate și servicii similare</w:t>
            </w:r>
          </w:p>
          <w:p>
            <w:pPr>
              <w:widowControl/>
              <w:suppressAutoHyphens/>
              <w:spacing w:before="60" w:after="60" w:line="240" w:lineRule="auto"/>
              <w:rPr>
                <w:rFonts w:ascii="Times New Roman" w:hAnsi="Times New Roman"/>
                <w:noProof/>
              </w:rPr>
            </w:pPr>
            <w:r>
              <w:rPr>
                <w:rFonts w:ascii="Times New Roman" w:hAnsi="Times New Roman"/>
                <w:noProof/>
              </w:rPr>
              <w:t>(CPC 9403)</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SK: Pentru tratarea și reciclarea bateriilor și a acumulatorilor uzați, a deșeurilor de ulei, a autovehiculelor vechi și a deșeurilor provenite din echipamente electrice și electronice, este necesară constituirea ca societate în SEE (cerința privind rezidența) (parte din CPC 9402).</w:t>
            </w:r>
          </w:p>
        </w:tc>
      </w:tr>
      <w:tr>
        <w:trPr>
          <w:trHeight w:val="5805"/>
        </w:trPr>
        <w:tc>
          <w:tcPr>
            <w:tcW w:w="972" w:type="pct"/>
            <w:tcBorders>
              <w:top w:val="nil"/>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Protecția aerului atmosferic și a climei</w:t>
            </w:r>
          </w:p>
          <w:p>
            <w:pPr>
              <w:widowControl/>
              <w:suppressAutoHyphens/>
              <w:spacing w:before="60" w:after="60" w:line="240" w:lineRule="auto"/>
              <w:rPr>
                <w:rFonts w:ascii="Times New Roman" w:hAnsi="Times New Roman"/>
                <w:noProof/>
              </w:rPr>
            </w:pPr>
            <w:r>
              <w:rPr>
                <w:rFonts w:ascii="Times New Roman" w:hAnsi="Times New Roman"/>
                <w:noProof/>
              </w:rPr>
              <w:t>(CPC 9404)</w:t>
            </w:r>
            <w:r>
              <w:rPr>
                <w:rStyle w:val="FootnoteReference"/>
                <w:rFonts w:ascii="Times New Roman" w:hAnsi="Times New Roman"/>
                <w:b/>
                <w:noProof/>
              </w:rPr>
              <w:footnoteReference w:id="71"/>
            </w:r>
          </w:p>
          <w:p>
            <w:pPr>
              <w:widowControl/>
              <w:suppressAutoHyphens/>
              <w:spacing w:before="60" w:after="60" w:line="240" w:lineRule="auto"/>
              <w:rPr>
                <w:rFonts w:ascii="Times New Roman" w:hAnsi="Times New Roman"/>
                <w:noProof/>
              </w:rPr>
            </w:pPr>
            <w:r>
              <w:rPr>
                <w:rFonts w:ascii="Times New Roman" w:hAnsi="Times New Roman"/>
                <w:noProof/>
              </w:rPr>
              <w:t>D. Remedierea și curățarea solului și a apelor</w:t>
            </w:r>
          </w:p>
          <w:p>
            <w:pPr>
              <w:widowControl/>
              <w:suppressAutoHyphens/>
              <w:spacing w:before="60" w:after="60" w:line="240" w:lineRule="auto"/>
              <w:rPr>
                <w:rFonts w:ascii="Times New Roman" w:hAnsi="Times New Roman"/>
                <w:noProof/>
              </w:rPr>
            </w:pPr>
            <w:r>
              <w:rPr>
                <w:rFonts w:ascii="Times New Roman" w:hAnsi="Times New Roman"/>
                <w:noProof/>
              </w:rPr>
              <w:t>(a) Tratarea și remedierea solului și a apelor contaminate/poluate</w:t>
            </w:r>
          </w:p>
          <w:p>
            <w:pPr>
              <w:widowControl/>
              <w:suppressAutoHyphens/>
              <w:spacing w:before="60" w:after="60" w:line="240" w:lineRule="auto"/>
              <w:rPr>
                <w:rFonts w:ascii="Times New Roman" w:hAnsi="Times New Roman"/>
                <w:noProof/>
              </w:rPr>
            </w:pPr>
            <w:r>
              <w:rPr>
                <w:rFonts w:ascii="Times New Roman" w:hAnsi="Times New Roman"/>
                <w:noProof/>
              </w:rPr>
              <w:t>(parte din CPC 9406)</w:t>
            </w:r>
            <w:r>
              <w:rPr>
                <w:rStyle w:val="FootnoteReference"/>
                <w:rFonts w:ascii="Times New Roman" w:hAnsi="Times New Roman"/>
                <w:b/>
                <w:noProof/>
              </w:rPr>
              <w:footnoteReference w:id="72"/>
            </w:r>
          </w:p>
          <w:p>
            <w:pPr>
              <w:widowControl/>
              <w:suppressAutoHyphens/>
              <w:spacing w:before="60" w:after="60" w:line="240" w:lineRule="auto"/>
              <w:rPr>
                <w:rFonts w:ascii="Times New Roman" w:hAnsi="Times New Roman"/>
                <w:noProof/>
              </w:rPr>
            </w:pPr>
            <w:r>
              <w:rPr>
                <w:rFonts w:ascii="Times New Roman" w:hAnsi="Times New Roman"/>
                <w:noProof/>
              </w:rPr>
              <w:t>E. Atenuarea zgomotelor și a vibrațiilor</w:t>
            </w:r>
          </w:p>
          <w:p>
            <w:pPr>
              <w:widowControl/>
              <w:suppressAutoHyphens/>
              <w:spacing w:before="60" w:after="60" w:line="240" w:lineRule="auto"/>
              <w:rPr>
                <w:rFonts w:ascii="Times New Roman" w:hAnsi="Times New Roman"/>
                <w:noProof/>
              </w:rPr>
            </w:pPr>
            <w:r>
              <w:rPr>
                <w:rFonts w:ascii="Times New Roman" w:hAnsi="Times New Roman"/>
                <w:noProof/>
              </w:rPr>
              <w:t>(CPC 9405)</w:t>
            </w:r>
          </w:p>
          <w:p>
            <w:pPr>
              <w:widowControl/>
              <w:suppressAutoHyphens/>
              <w:spacing w:before="60" w:after="60" w:line="240" w:lineRule="auto"/>
              <w:rPr>
                <w:rFonts w:ascii="Times New Roman" w:hAnsi="Times New Roman"/>
                <w:noProof/>
              </w:rPr>
            </w:pPr>
            <w:r>
              <w:rPr>
                <w:rFonts w:ascii="Times New Roman" w:hAnsi="Times New Roman"/>
                <w:noProof/>
              </w:rPr>
              <w:t>F. Protecția biodiversității și a peisajelor</w:t>
            </w:r>
          </w:p>
          <w:p>
            <w:pPr>
              <w:widowControl/>
              <w:suppressAutoHyphens/>
              <w:spacing w:before="60" w:after="60" w:line="240" w:lineRule="auto"/>
              <w:rPr>
                <w:rFonts w:ascii="Times New Roman" w:hAnsi="Times New Roman"/>
                <w:noProof/>
              </w:rPr>
            </w:pPr>
            <w:r>
              <w:rPr>
                <w:rFonts w:ascii="Times New Roman" w:hAnsi="Times New Roman"/>
                <w:noProof/>
              </w:rPr>
              <w:t>(a) Servicii de protecție a naturii și a peisajelor</w:t>
            </w:r>
          </w:p>
          <w:p>
            <w:pPr>
              <w:suppressAutoHyphens/>
              <w:spacing w:before="60" w:after="60" w:line="240" w:lineRule="auto"/>
              <w:rPr>
                <w:noProof/>
              </w:rPr>
            </w:pPr>
            <w:r>
              <w:rPr>
                <w:rFonts w:ascii="Times New Roman" w:hAnsi="Times New Roman"/>
                <w:noProof/>
              </w:rPr>
              <w:t>(parte din CPC 9406)</w:t>
            </w:r>
          </w:p>
        </w:tc>
        <w:tc>
          <w:tcPr>
            <w:tcW w:w="4028" w:type="pct"/>
            <w:tcBorders>
              <w:top w:val="nil"/>
              <w:bottom w:val="nil"/>
            </w:tcBorders>
          </w:tcPr>
          <w:p>
            <w:pPr>
              <w:suppressAutoHyphens/>
              <w:spacing w:before="60" w:after="60" w:line="240" w:lineRule="auto"/>
              <w:rPr>
                <w:noProof/>
              </w:rPr>
            </w:pPr>
          </w:p>
        </w:tc>
      </w:tr>
      <w:tr>
        <w:trPr>
          <w:trHeight w:val="1140"/>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G. Alte servicii de protecție a mediului și servicii auxiliare</w:t>
            </w:r>
          </w:p>
          <w:p>
            <w:pPr>
              <w:suppressAutoHyphens/>
              <w:spacing w:before="60" w:after="60" w:line="240" w:lineRule="auto"/>
              <w:rPr>
                <w:noProof/>
              </w:rPr>
            </w:pPr>
            <w:r>
              <w:rPr>
                <w:rFonts w:ascii="Times New Roman" w:hAnsi="Times New Roman"/>
                <w:noProof/>
              </w:rPr>
              <w:t>(CPC 9409)</w:t>
            </w:r>
          </w:p>
        </w:tc>
        <w:tc>
          <w:tcPr>
            <w:tcW w:w="4028" w:type="pct"/>
            <w:tcBorders>
              <w:top w:val="nil"/>
            </w:tcBorders>
          </w:tcPr>
          <w:p>
            <w:pPr>
              <w:suppressAutoHyphens/>
              <w:spacing w:before="60" w:after="60" w:line="240" w:lineRule="auto"/>
              <w:rPr>
                <w:noProof/>
              </w:rPr>
            </w:pP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12. SERVICII FINANCIARE</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442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de asigurări și servicii conexe asigurărilor</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Nu se acordă autorizație de deschidere pentru sucursalele asigurătorilor din Indonezia dacă, în Indonezia, asigurătorul nu are o formă legală corespunzătoare sau comparabilă cu cea de societate comercială pe acțiuni sau de asociație de asigurare mutuală.</w:t>
            </w:r>
          </w:p>
          <w:p>
            <w:pPr>
              <w:widowControl/>
              <w:suppressAutoHyphens/>
              <w:spacing w:before="60" w:after="60" w:line="240" w:lineRule="auto"/>
              <w:rPr>
                <w:rFonts w:ascii="Times New Roman" w:hAnsi="Times New Roman"/>
                <w:noProof/>
              </w:rPr>
            </w:pPr>
            <w:r>
              <w:rPr>
                <w:rFonts w:ascii="Times New Roman" w:hAnsi="Times New Roman"/>
                <w:noProof/>
              </w:rPr>
              <w:t>În BG, ES: Înainte de a stabili o sucursală sau o agenție în Bulgaria sau Spania, cu scopul de a oferi anumite clase de asigurări, asigurătorul din Indonezia trebuie să fi fost autorizat să desfășoare activitate pentru respectivele clase de asigurări în Indonezia timp de cel puțin cinci ani.</w:t>
            </w:r>
          </w:p>
          <w:p>
            <w:pPr>
              <w:widowControl/>
              <w:suppressAutoHyphens/>
              <w:spacing w:before="60" w:after="60" w:line="240" w:lineRule="auto"/>
              <w:rPr>
                <w:rFonts w:ascii="Times New Roman" w:hAnsi="Times New Roman"/>
                <w:noProof/>
              </w:rPr>
            </w:pPr>
            <w:r>
              <w:rPr>
                <w:rFonts w:ascii="Times New Roman" w:hAnsi="Times New Roman"/>
                <w:noProof/>
              </w:rPr>
              <w:t>În EL: Societățile de asigurare și de reasigurare cu sediul central în țări terțe își pot desfășura activitatea în Grecia prin înființarea unei filiale sau a unei sucursale, atunci când, în acest caz, sucursala nu are o formă juridică specifică, și anume o prezență permanentă pe teritoriul Greciei a unei întreprinderi cu sediul central în afara UE, care primește o autorizație în Grecia și care desfășoară activități de asigurare.</w:t>
            </w:r>
          </w:p>
          <w:p>
            <w:pPr>
              <w:widowControl/>
              <w:suppressAutoHyphens/>
              <w:spacing w:before="60" w:after="60" w:line="240" w:lineRule="auto"/>
              <w:rPr>
                <w:rFonts w:ascii="Times New Roman" w:hAnsi="Times New Roman"/>
                <w:noProof/>
              </w:rPr>
            </w:pPr>
            <w:r>
              <w:rPr>
                <w:rFonts w:ascii="Times New Roman" w:hAnsi="Times New Roman"/>
                <w:noProof/>
              </w:rPr>
              <w:t>În ES: cerința privind rezidența pentru profesia de actuar (sau, alternativ, doi ani de experiență).</w:t>
            </w:r>
          </w:p>
          <w:p>
            <w:pPr>
              <w:suppressAutoHyphens/>
              <w:spacing w:before="60" w:after="60" w:line="240" w:lineRule="auto"/>
              <w:rPr>
                <w:rFonts w:ascii="Times New Roman" w:hAnsi="Times New Roman"/>
                <w:noProof/>
              </w:rPr>
            </w:pPr>
            <w:r>
              <w:rPr>
                <w:rFonts w:ascii="Times New Roman" w:hAnsi="Times New Roman"/>
                <w:noProof/>
              </w:rPr>
              <w:t>În FI: Cel puțin jumătate dintre promotori, membrii consiliului de administrație și ai consiliului de supraveghere și directorul general ai unei societăți de asigurări trebuie să aibă rezidența în SEE, cu excepția cazului în care autoritățile competente acordă o derogare de la această cerință. În Finlanda, asigurătorii străini nu pot obține o licență ca sucursală pentru încheierea de asigurări de pensii obligatorii. Cel puțin un auditor trebuie să aibă rezidența permanentă în SEE.</w:t>
            </w:r>
          </w:p>
        </w:tc>
      </w:tr>
      <w:tr>
        <w:trPr>
          <w:trHeight w:val="2055"/>
        </w:trPr>
        <w:tc>
          <w:tcPr>
            <w:tcW w:w="972" w:type="pct"/>
            <w:tcBorders>
              <w:top w:val="nil"/>
              <w:bottom w:val="single" w:sz="4" w:space="0" w:color="auto"/>
            </w:tcBorders>
          </w:tcPr>
          <w:p>
            <w:pPr>
              <w:pageBreakBefore/>
              <w:suppressAutoHyphens/>
              <w:spacing w:before="60" w:after="60" w:line="240" w:lineRule="auto"/>
              <w:rPr>
                <w:noProof/>
              </w:rPr>
            </w:pPr>
          </w:p>
        </w:tc>
        <w:tc>
          <w:tcPr>
            <w:tcW w:w="4028"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IT: Autorizarea stabilirii de sucursale se face sub rezerva evaluării de către autoritățile de supraveghere.</w:t>
            </w:r>
          </w:p>
          <w:p>
            <w:pPr>
              <w:widowControl/>
              <w:suppressAutoHyphens/>
              <w:spacing w:before="60" w:after="60" w:line="240" w:lineRule="auto"/>
              <w:rPr>
                <w:rFonts w:ascii="Times New Roman" w:hAnsi="Times New Roman"/>
                <w:noProof/>
              </w:rPr>
            </w:pPr>
            <w:r>
              <w:rPr>
                <w:rFonts w:ascii="Times New Roman" w:hAnsi="Times New Roman"/>
                <w:noProof/>
              </w:rPr>
              <w:t>În BG și PL: Pentru intermediarii în asigurări este necesară constituirea unei societăți locale (nu se acceptă sucursale).</w:t>
            </w:r>
          </w:p>
          <w:p>
            <w:pPr>
              <w:widowControl/>
              <w:suppressAutoHyphens/>
              <w:spacing w:before="60" w:after="60" w:line="240" w:lineRule="auto"/>
              <w:rPr>
                <w:rFonts w:ascii="Times New Roman" w:hAnsi="Times New Roman"/>
                <w:noProof/>
              </w:rPr>
            </w:pPr>
            <w:r>
              <w:rPr>
                <w:rFonts w:ascii="Times New Roman" w:hAnsi="Times New Roman"/>
                <w:noProof/>
              </w:rPr>
              <w:t>În PT: Pentru a stabili o sucursală în Portugalia, societățile de asigurări din Indonezia trebuie să facă dovada unei experiențe operaționale prealabile de cel puțin cinci ani. Stabilirea directă de sucursale nu este permisă pentru intermedierea în asigurări, care este rezervată societăților constituite în conformitate cu legislația unui stat membru al Uniunii.</w:t>
            </w:r>
          </w:p>
          <w:p>
            <w:pPr>
              <w:widowControl/>
              <w:suppressAutoHyphens/>
              <w:spacing w:before="60" w:after="60" w:line="240" w:lineRule="auto"/>
              <w:rPr>
                <w:rFonts w:ascii="Times New Roman" w:hAnsi="Times New Roman"/>
                <w:noProof/>
              </w:rPr>
            </w:pPr>
            <w:r>
              <w:rPr>
                <w:rFonts w:ascii="Times New Roman" w:hAnsi="Times New Roman"/>
                <w:noProof/>
              </w:rPr>
              <w:t>În SK: Resortisanții din Indonezia pot înființa o societate de asigurări sub forma unei societăți pe acțiuni sau pot desfășura activități de asigurare prin intermediul sucursalelor lor care au sediul social în Republica Slovacă. În ambele cazuri, autorizația face obiectul evaluării autorității de supraveghere.</w:t>
            </w:r>
          </w:p>
          <w:p>
            <w:pPr>
              <w:widowControl/>
              <w:suppressAutoHyphens/>
              <w:spacing w:before="60" w:after="60" w:line="240" w:lineRule="auto"/>
              <w:rPr>
                <w:rFonts w:ascii="Times New Roman" w:hAnsi="Times New Roman"/>
                <w:noProof/>
              </w:rPr>
            </w:pPr>
            <w:r>
              <w:rPr>
                <w:rFonts w:ascii="Times New Roman" w:hAnsi="Times New Roman"/>
                <w:noProof/>
              </w:rPr>
              <w:t>În SI: Investitorii străini nu pot participa la societățile de asigurări în curs de privatizare. Pot fi membre ale instituției de asigurare mutuală numai societățile stabilite în Slovenia (nu sunt permise sucursalele) și persoanele fizice de naționalitate slovenă. Pentru a furniza servicii de consultanță și servicii de soluționare a cererilor de despăgubire, este necesară înregistrarea ca persoană juridică (nu sunt permise sucursalele).</w:t>
            </w:r>
          </w:p>
          <w:p>
            <w:pPr>
              <w:suppressAutoHyphens/>
              <w:spacing w:before="60" w:after="60" w:line="240" w:lineRule="auto"/>
              <w:rPr>
                <w:noProof/>
              </w:rPr>
            </w:pPr>
            <w:r>
              <w:rPr>
                <w:rFonts w:ascii="Times New Roman" w:hAnsi="Times New Roman"/>
                <w:noProof/>
              </w:rPr>
              <w:t>În SE: Un intermediar de asigurări dintr-o țară din afara SEE poate, numai cu permisiunea autorității naționale competente suedeze, să desfășoare activități de distribuție de asigurări în Suedia. Distribuția trebuie să fie efectuată printr-o sucursală sau printr-o prezență permanentă în Suedia.</w:t>
            </w:r>
          </w:p>
        </w:tc>
      </w:tr>
      <w:tr>
        <w:trPr>
          <w:trHeight w:val="118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Servicii bancare și alte servicii financiare (cu excepția asigurărilor)</w:t>
            </w:r>
          </w:p>
        </w:tc>
        <w:tc>
          <w:tcPr>
            <w:tcW w:w="4028" w:type="pct"/>
            <w:tcBorders>
              <w:bottom w:val="nil"/>
            </w:tcBorders>
          </w:tcPr>
          <w:p>
            <w:pPr>
              <w:suppressAutoHyphens/>
              <w:spacing w:before="60" w:after="60" w:line="240" w:lineRule="auto"/>
              <w:rPr>
                <w:rFonts w:ascii="Times New Roman" w:hAnsi="Times New Roman"/>
                <w:noProof/>
              </w:rPr>
            </w:pPr>
            <w:r>
              <w:rPr>
                <w:rFonts w:ascii="Times New Roman" w:hAnsi="Times New Roman"/>
                <w:noProof/>
              </w:rPr>
              <w:t>În UE: Numai firmele cu sediul social în Uniune pot acționa ca depozitare ale activelor fondurilor de investiții. Stabilirea unei societăți de administrare specializate cu sediul central și sediul social în același stat membru al Uniunii este necesară pentru realizarea activităților de administrare a fondurilor de investiții și a societăților de investiții.</w:t>
            </w:r>
          </w:p>
        </w:tc>
      </w:tr>
      <w:tr>
        <w:trPr>
          <w:trHeight w:val="3690"/>
        </w:trPr>
        <w:tc>
          <w:tcPr>
            <w:tcW w:w="972" w:type="pct"/>
            <w:tcBorders>
              <w:top w:val="nil"/>
              <w:bottom w:val="nil"/>
            </w:tcBorders>
          </w:tcPr>
          <w:p>
            <w:pPr>
              <w:pageBreakBefore/>
              <w:suppressAutoHyphens/>
              <w:spacing w:before="60" w:after="60" w:line="240" w:lineRule="auto"/>
              <w:rPr>
                <w:noProof/>
              </w:rPr>
            </w:pP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BG: Asigurările de pensie se implementează prin participarea la societățile de asigurare acreditate pentru pensii înregistrate (nu sunt permise sucursalele). Este necesar ca președintele consiliului director și președintele consiliului de administrație să aibă rezidența permanentă în Bulgaria.</w:t>
            </w:r>
          </w:p>
          <w:p>
            <w:pPr>
              <w:widowControl/>
              <w:suppressAutoHyphens/>
              <w:spacing w:before="60" w:after="60" w:line="240" w:lineRule="auto"/>
              <w:rPr>
                <w:rFonts w:ascii="Times New Roman" w:hAnsi="Times New Roman"/>
                <w:noProof/>
              </w:rPr>
            </w:pPr>
            <w:r>
              <w:rPr>
                <w:rFonts w:ascii="Times New Roman" w:hAnsi="Times New Roman"/>
                <w:noProof/>
              </w:rPr>
              <w:t>În CY: Numai membrii (brokerii) Bursei de Valori din Cipru pot efectua activități legate de brokerajul valorilor mobiliare în Cipru. O societate de brokeraj se poate înregistra ca membru al Bursei de Valori din Cipru numai dacă a fost înființată și înregistrată în conformitate cu legea societăților comerciale din Cipru (nu sunt permise sucursalele).</w:t>
            </w:r>
          </w:p>
          <w:p>
            <w:pPr>
              <w:widowControl/>
              <w:suppressAutoHyphens/>
              <w:spacing w:before="60" w:after="60" w:line="240" w:lineRule="auto"/>
              <w:rPr>
                <w:rFonts w:ascii="Times New Roman" w:hAnsi="Times New Roman"/>
                <w:noProof/>
              </w:rPr>
            </w:pPr>
            <w:r>
              <w:rPr>
                <w:rFonts w:ascii="Times New Roman" w:hAnsi="Times New Roman"/>
                <w:noProof/>
              </w:rPr>
              <w:t>În HR: niciuna, cu excepția serviciilor de decontare și de compensare în cazul cărora Agenția Centrală de Depozitare (CDA) este singurul furnizor în Croația. Accesul la serviciile CDA va fi acordat nerezidenților în mod nediscriminatoriu.</w:t>
            </w:r>
          </w:p>
          <w:p>
            <w:pPr>
              <w:suppressAutoHyphens/>
              <w:spacing w:before="60" w:after="60" w:line="240" w:lineRule="auto"/>
              <w:rPr>
                <w:rFonts w:ascii="Times New Roman" w:hAnsi="Times New Roman"/>
                <w:noProof/>
              </w:rPr>
            </w:pPr>
            <w:r>
              <w:rPr>
                <w:rFonts w:ascii="Times New Roman" w:hAnsi="Times New Roman"/>
                <w:noProof/>
              </w:rPr>
              <w:t>În HU: Sucursalelor instituțiilor din Indonezia nu li se permite să furnizeze servicii de gestionare a activelor pentru fondurile de pensii private sau servicii de gestionare a capitalului de risc. Consiliul de administrație al unei instituții financiare trebuie să includă cel puțin doi membri care sunt cetățeni maghiari, rezidenți în sensul reglementărilor relevante privind schimbul valutar, și să aibă rezidență permanentă în Ungaria timp de cel puțin un an.</w:t>
            </w:r>
          </w:p>
        </w:tc>
      </w:tr>
      <w:tr>
        <w:tc>
          <w:tcPr>
            <w:tcW w:w="972" w:type="pct"/>
            <w:tcBorders>
              <w:top w:val="nil"/>
              <w:bottom w:val="single" w:sz="4" w:space="0" w:color="auto"/>
            </w:tcBorders>
          </w:tcPr>
          <w:p>
            <w:pPr>
              <w:pageBreakBefore/>
              <w:suppressAutoHyphens/>
              <w:spacing w:before="60" w:after="60" w:line="240" w:lineRule="auto"/>
              <w:rPr>
                <w:noProof/>
              </w:rPr>
            </w:pPr>
          </w:p>
        </w:tc>
        <w:tc>
          <w:tcPr>
            <w:tcW w:w="4028" w:type="pct"/>
            <w:tcBorders>
              <w:top w:val="nil"/>
              <w:bottom w:val="single" w:sz="4" w:space="0" w:color="auto"/>
            </w:tcBorders>
          </w:tcPr>
          <w:p>
            <w:pPr>
              <w:suppressAutoHyphens/>
              <w:spacing w:before="60" w:after="60" w:line="240" w:lineRule="auto"/>
              <w:rPr>
                <w:noProof/>
              </w:rPr>
            </w:pPr>
            <w:r>
              <w:rPr>
                <w:rFonts w:ascii="Times New Roman" w:hAnsi="Times New Roman"/>
                <w:noProof/>
              </w:rPr>
              <w:t>În IT: Pentru a fi autorizată să gestioneze sistemul de decontare a operațiunilor cu valori mobiliare cu o unitate din Italia, o societate are obligația de a fi înregistrată în Italia (nu sunt permise sucursalele). Pentru a fi autorizate să administreze, la nivel central, serviciile de depozitare a valorilor mobiliare cu o unitate din Italia, societățile au obligația de a se înregistra în Italia (nu sunt permise sucursalele). În cazul organismelor de plasamente colective altele decât OPCVM armonizate în temeiul legislației Uniunii, mandatarul/depozitarul are obligația să se înregistreze în Italia sau în alt stat membru al Uniunii și să se stabilească printr-o sucursală în Italia. De asemenea, societățile de administrare a OPCVM care nu sunt armonizate în temeiul legislației Uniunii au obligația de a se înregistra în Italia (nu sunt permise sucursalele). Numai băncile, societățile de asigurare, societățile de investiții și societățile care gestionează OPCVM armonizate în temeiul legislației Uniunii care au sediul juridic central în Uniune, precum și OPCVM înregistrate în Italia pot desfășura activități de gestionare a resurselor fondurilor de pensii. La furnizarea serviciilor de vânzări la domiciliu, intermediarii trebuie să recurgă la vânzători financiari autorizați rezidenți pe teritoriul unui stat membru al Uniunii. Reprezentanțele intermediarilor străini nu pot desfășura activități destinate furnizării serviciilor de investiții.</w:t>
            </w:r>
          </w:p>
        </w:tc>
      </w:tr>
      <w:tr>
        <w:tc>
          <w:tcPr>
            <w:tcW w:w="972" w:type="pct"/>
            <w:tcBorders>
              <w:top w:val="single" w:sz="4" w:space="0" w:color="auto"/>
              <w:bottom w:val="nil"/>
            </w:tcBorders>
          </w:tcPr>
          <w:p>
            <w:pPr>
              <w:suppressAutoHyphens/>
              <w:spacing w:before="60" w:after="60" w:line="240" w:lineRule="auto"/>
              <w:rPr>
                <w:noProof/>
              </w:rPr>
            </w:pPr>
          </w:p>
        </w:tc>
        <w:tc>
          <w:tcPr>
            <w:tcW w:w="4028" w:type="pct"/>
            <w:tcBorders>
              <w:top w:val="single" w:sz="4" w:space="0" w:color="auto"/>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LT: Pentru administrarea activelor, este necesară înregistrarea ca societate de administrare specializată (nu sunt permise sucursalele). Numai băncile care au sediul social sau o sucursală în Lituania și care sunt autorizate să furnizeze servicii de investiții în SEE pot acționa ca depozitare ale activelor fondurilor de pensii. Cel puțin un șef al administrației unei bănci trebuie să vorbească limba lituaniană și să aibă rezidență permanentă în Lituania.</w:t>
            </w:r>
          </w:p>
        </w:tc>
      </w:tr>
      <w:t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PT: Administrarea fondurilor de pensii poate fi realizată numai de societăți specializate înregistrate în acest scop în Portugalia și de societăți de asigurare stabilite în Portugalia și autorizate să practice servicii de asigurări de viață sau de către entități autorizate să administreze fonduri de pensii în alte state membre ale Uniunii (neconsolidat pentru deschiderea directă de sucursale ale unor societăți din țări care nu sunt membre ale Uniunii).</w:t>
            </w:r>
          </w:p>
          <w:p>
            <w:pPr>
              <w:widowControl/>
              <w:suppressAutoHyphens/>
              <w:spacing w:before="60" w:after="60" w:line="240" w:lineRule="auto"/>
              <w:rPr>
                <w:rFonts w:ascii="Times New Roman" w:hAnsi="Times New Roman"/>
                <w:noProof/>
              </w:rPr>
            </w:pPr>
            <w:r>
              <w:rPr>
                <w:rFonts w:ascii="Times New Roman" w:hAnsi="Times New Roman"/>
                <w:noProof/>
              </w:rPr>
              <w:t>În RO: Sucursalelor instituțiilor străine nu li se permite să furnizeze servicii de administrare a activelor.</w:t>
            </w:r>
          </w:p>
          <w:p>
            <w:pPr>
              <w:widowControl/>
              <w:suppressAutoHyphens/>
              <w:spacing w:before="60" w:after="60" w:line="240" w:lineRule="auto"/>
              <w:rPr>
                <w:rFonts w:ascii="Times New Roman" w:hAnsi="Times New Roman"/>
                <w:noProof/>
              </w:rPr>
            </w:pPr>
            <w:r>
              <w:rPr>
                <w:rFonts w:ascii="Times New Roman" w:hAnsi="Times New Roman"/>
                <w:noProof/>
              </w:rPr>
              <w:t>În SK: Serviciile de investiții în Slovacia pot fi furnizate de băncile, societățile de investiții, fondurile de investiții și agenții de valori mobiliare care au forma juridică de societate pe acțiuni cu capital social în conformitate cu legislația (nu sunt permise sucursalele).</w:t>
            </w:r>
          </w:p>
          <w:p>
            <w:pPr>
              <w:widowControl/>
              <w:suppressAutoHyphens/>
              <w:spacing w:before="60" w:after="60" w:line="240" w:lineRule="auto"/>
              <w:rPr>
                <w:rFonts w:ascii="Times New Roman" w:hAnsi="Times New Roman"/>
                <w:noProof/>
              </w:rPr>
            </w:pPr>
            <w:r>
              <w:rPr>
                <w:rFonts w:ascii="Times New Roman" w:hAnsi="Times New Roman"/>
                <w:noProof/>
              </w:rPr>
              <w:t>În SI: neconsolidat pentru participarea la băncile în curs de privatizare și pentru fondurile de pensii private (fonduri de pensii neobligatorii).</w:t>
            </w:r>
          </w:p>
          <w:p>
            <w:pPr>
              <w:suppressAutoHyphens/>
              <w:spacing w:before="60" w:after="60" w:line="240" w:lineRule="auto"/>
              <w:rPr>
                <w:noProof/>
              </w:rPr>
            </w:pPr>
            <w:r>
              <w:rPr>
                <w:rFonts w:ascii="Times New Roman" w:hAnsi="Times New Roman"/>
                <w:noProof/>
              </w:rPr>
              <w:t>În SE: Fondatorul unei case de economii trebuie să fie o persoană fizică.</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13. SERVICII DE SĂNĂTATE ȘI SERVICII SOCIALE</w:t>
            </w:r>
          </w:p>
          <w:p>
            <w:pPr>
              <w:widowControl/>
              <w:suppressAutoHyphens/>
              <w:spacing w:before="60" w:after="60" w:line="240" w:lineRule="auto"/>
              <w:rPr>
                <w:rFonts w:ascii="Times New Roman" w:hAnsi="Times New Roman"/>
                <w:noProof/>
              </w:rPr>
            </w:pPr>
            <w:r>
              <w:rPr>
                <w:rFonts w:ascii="Times New Roman" w:hAnsi="Times New Roman"/>
                <w:noProof/>
              </w:rPr>
              <w:t>(doar serviciile cu finanțare privată)</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5475"/>
        </w:trPr>
        <w:tc>
          <w:tcPr>
            <w:tcW w:w="972"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 Servicii spitalicești</w:t>
            </w:r>
          </w:p>
          <w:p>
            <w:pPr>
              <w:widowControl/>
              <w:suppressAutoHyphens/>
              <w:spacing w:before="60" w:after="60" w:line="240" w:lineRule="auto"/>
              <w:rPr>
                <w:rFonts w:ascii="Times New Roman" w:hAnsi="Times New Roman"/>
                <w:noProof/>
              </w:rPr>
            </w:pPr>
            <w:r>
              <w:rPr>
                <w:rFonts w:ascii="Times New Roman" w:hAnsi="Times New Roman"/>
                <w:noProof/>
              </w:rPr>
              <w:t>(CPC 9311)</w:t>
            </w:r>
          </w:p>
          <w:p>
            <w:pPr>
              <w:widowControl/>
              <w:suppressAutoHyphens/>
              <w:spacing w:before="60" w:after="60" w:line="240" w:lineRule="auto"/>
              <w:rPr>
                <w:rFonts w:ascii="Times New Roman" w:hAnsi="Times New Roman"/>
                <w:noProof/>
              </w:rPr>
            </w:pPr>
            <w:r>
              <w:rPr>
                <w:rFonts w:ascii="Times New Roman" w:hAnsi="Times New Roman"/>
                <w:noProof/>
              </w:rPr>
              <w:t>B. Servicii de ambulanță</w:t>
            </w:r>
          </w:p>
          <w:p>
            <w:pPr>
              <w:widowControl/>
              <w:suppressAutoHyphens/>
              <w:spacing w:before="60" w:after="60" w:line="240" w:lineRule="auto"/>
              <w:rPr>
                <w:rFonts w:ascii="Times New Roman" w:hAnsi="Times New Roman"/>
                <w:noProof/>
              </w:rPr>
            </w:pPr>
            <w:r>
              <w:rPr>
                <w:rFonts w:ascii="Times New Roman" w:hAnsi="Times New Roman"/>
                <w:noProof/>
              </w:rPr>
              <w:t>(CPC 93192)</w:t>
            </w:r>
          </w:p>
          <w:p>
            <w:pPr>
              <w:widowControl/>
              <w:suppressAutoHyphens/>
              <w:spacing w:before="60" w:after="60" w:line="240" w:lineRule="auto"/>
              <w:rPr>
                <w:rFonts w:ascii="Times New Roman" w:hAnsi="Times New Roman"/>
                <w:noProof/>
              </w:rPr>
            </w:pPr>
            <w:r>
              <w:rPr>
                <w:rFonts w:ascii="Times New Roman" w:hAnsi="Times New Roman"/>
                <w:noProof/>
              </w:rPr>
              <w:t>C. Servicii furnizate de unitățile rezidențiale de îngrijire medicală, altele decât serviciile spitalicești</w:t>
            </w:r>
          </w:p>
          <w:p>
            <w:pPr>
              <w:widowControl/>
              <w:suppressAutoHyphens/>
              <w:spacing w:before="60" w:after="60" w:line="240" w:lineRule="auto"/>
              <w:rPr>
                <w:rFonts w:ascii="Times New Roman" w:hAnsi="Times New Roman"/>
                <w:noProof/>
              </w:rPr>
            </w:pPr>
            <w:r>
              <w:rPr>
                <w:rFonts w:ascii="Times New Roman" w:hAnsi="Times New Roman"/>
                <w:noProof/>
              </w:rPr>
              <w:t>(CPC 93193)</w:t>
            </w:r>
          </w:p>
          <w:p>
            <w:pPr>
              <w:widowControl/>
              <w:suppressAutoHyphens/>
              <w:spacing w:before="60" w:after="60" w:line="240" w:lineRule="auto"/>
              <w:rPr>
                <w:rFonts w:ascii="Times New Roman" w:hAnsi="Times New Roman"/>
                <w:noProof/>
              </w:rPr>
            </w:pPr>
            <w:r>
              <w:rPr>
                <w:rFonts w:ascii="Times New Roman" w:hAnsi="Times New Roman"/>
                <w:noProof/>
              </w:rPr>
              <w:t>D. Servicii sociale</w:t>
            </w:r>
          </w:p>
          <w:p>
            <w:pPr>
              <w:widowControl/>
              <w:suppressAutoHyphens/>
              <w:spacing w:before="60" w:after="60" w:line="240" w:lineRule="auto"/>
              <w:rPr>
                <w:rFonts w:ascii="Times New Roman" w:hAnsi="Times New Roman"/>
                <w:noProof/>
              </w:rPr>
            </w:pPr>
            <w:r>
              <w:rPr>
                <w:rFonts w:ascii="Times New Roman" w:hAnsi="Times New Roman"/>
                <w:noProof/>
              </w:rPr>
              <w:t>(CPC 933)</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UE: Participarea operatorilor privați la rețeaua de sănătate și socială este supusă concesiunii. Se poate aplica testul privind necesitățile economice. Criteriile principale: numărul unităților existente și impactul asupra acestora, infrastructura de transport, densitatea populației, răspândirea geografică și crearea de noi locuri de muncă.</w:t>
            </w:r>
          </w:p>
          <w:p>
            <w:pPr>
              <w:widowControl/>
              <w:suppressAutoHyphens/>
              <w:spacing w:before="60" w:after="60" w:line="240" w:lineRule="auto"/>
              <w:rPr>
                <w:rFonts w:ascii="Times New Roman" w:hAnsi="Times New Roman"/>
                <w:noProof/>
              </w:rPr>
            </w:pPr>
            <w:r>
              <w:rPr>
                <w:rFonts w:ascii="Times New Roman" w:hAnsi="Times New Roman"/>
                <w:noProof/>
              </w:rPr>
              <w:t>În AT, SI: neconsolidat pentru serviciile de ambulanță.</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serviciile spitalicești, pentru serviciile de ambulanță și pentru serviciile furnizate de unitățile rezidențiale de îngrijire medicală, altele decât serviciile spitalicești.</w:t>
            </w:r>
          </w:p>
          <w:p>
            <w:pPr>
              <w:widowControl/>
              <w:suppressAutoHyphens/>
              <w:spacing w:before="60" w:after="60" w:line="240" w:lineRule="auto"/>
              <w:rPr>
                <w:rFonts w:ascii="Times New Roman" w:hAnsi="Times New Roman"/>
                <w:noProof/>
              </w:rPr>
            </w:pPr>
            <w:r>
              <w:rPr>
                <w:rFonts w:ascii="Times New Roman" w:hAnsi="Times New Roman"/>
                <w:noProof/>
              </w:rPr>
              <w:t>În CY, CZ, FI, MT, SE, SK: neconsolidat.</w:t>
            </w:r>
          </w:p>
          <w:p>
            <w:pPr>
              <w:widowControl/>
              <w:suppressAutoHyphens/>
              <w:spacing w:before="60" w:after="60" w:line="240" w:lineRule="auto"/>
              <w:rPr>
                <w:rFonts w:ascii="Times New Roman" w:hAnsi="Times New Roman"/>
                <w:noProof/>
              </w:rPr>
            </w:pPr>
            <w:r>
              <w:rPr>
                <w:rFonts w:ascii="Times New Roman" w:hAnsi="Times New Roman"/>
                <w:noProof/>
              </w:rPr>
              <w:t>În HU: neconsolidat pentru serviciile sociale.</w:t>
            </w:r>
          </w:p>
          <w:p>
            <w:pPr>
              <w:widowControl/>
              <w:suppressAutoHyphens/>
              <w:spacing w:before="60" w:after="60" w:line="240" w:lineRule="auto"/>
              <w:rPr>
                <w:rFonts w:ascii="Times New Roman" w:hAnsi="Times New Roman"/>
                <w:noProof/>
              </w:rPr>
            </w:pPr>
            <w:r>
              <w:rPr>
                <w:rFonts w:ascii="Times New Roman" w:hAnsi="Times New Roman"/>
                <w:noProof/>
              </w:rPr>
              <w:t>În PL: neconsolidat pentru serviciile de ambulanță, pentru serviciile furnizate de unitățile rezidențiale de îngrijire medicală, altele decât serviciile spitalicești, și pentru serviciile sociale.</w:t>
            </w:r>
          </w:p>
          <w:p>
            <w:pPr>
              <w:widowControl/>
              <w:suppressAutoHyphens/>
              <w:spacing w:before="60" w:after="60" w:line="240" w:lineRule="auto"/>
              <w:rPr>
                <w:rFonts w:ascii="Times New Roman" w:hAnsi="Times New Roman"/>
                <w:noProof/>
              </w:rPr>
            </w:pPr>
            <w:r>
              <w:rPr>
                <w:rFonts w:ascii="Times New Roman" w:hAnsi="Times New Roman"/>
                <w:noProof/>
              </w:rPr>
              <w:t>În BE: neconsolidat pentru serviciile de ambulanță, pentru serviciile furnizate de unitățile rezidențiale de îngrijire medicală, altele decât serviciile spitalicești, și pentru serviciile sociale, altele decât casele de convalescență și de odihnă și azilurile de bătrâni.</w:t>
            </w:r>
          </w:p>
          <w:p>
            <w:pPr>
              <w:widowControl/>
              <w:suppressAutoHyphens/>
              <w:spacing w:before="60" w:after="60" w:line="240" w:lineRule="auto"/>
              <w:rPr>
                <w:rFonts w:ascii="Times New Roman" w:hAnsi="Times New Roman"/>
                <w:noProof/>
              </w:rPr>
            </w:pPr>
            <w:r>
              <w:rPr>
                <w:rFonts w:ascii="Times New Roman" w:hAnsi="Times New Roman"/>
                <w:noProof/>
              </w:rPr>
              <w:t>În ES: neconsolidat pentru furnizarea de servicii sociale finanțate din fonduri private, altele decât serviciile legate de casele de convalescență și de odihnă și de azilurile de bătrâni.</w:t>
            </w:r>
          </w:p>
          <w:p>
            <w:pPr>
              <w:suppressAutoHyphens/>
              <w:spacing w:before="60" w:after="60" w:line="240" w:lineRule="auto"/>
              <w:rPr>
                <w:rFonts w:ascii="Times New Roman" w:hAnsi="Times New Roman"/>
                <w:noProof/>
              </w:rPr>
            </w:pPr>
            <w:r>
              <w:rPr>
                <w:rFonts w:ascii="Times New Roman" w:hAnsi="Times New Roman"/>
                <w:noProof/>
              </w:rPr>
              <w:t>În HR: Toate persoanele care oferă servicii direct pacienților/tratează pacienți au nevoie de o licență de la camera profesională.</w:t>
            </w:r>
          </w:p>
        </w:tc>
      </w:tr>
      <w:tr>
        <w:trPr>
          <w:trHeight w:val="3135"/>
        </w:trP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DE: neconsolidat pentru serviciile sociale, altele decât casele de convalescență și de odihnă și azilurile de bătrâni. Serviciile de salvare și „serviciile de ambulanță calificate” ar putea fi rezervate pentru operatori fără scop lucrativ. Numărul furnizorilor de servicii TIC poate fi limitat pentru a se garanta interoperabilitatea, compatibilitatea și standardele de siguranță necesare.</w:t>
            </w:r>
          </w:p>
          <w:p>
            <w:pPr>
              <w:widowControl/>
              <w:suppressAutoHyphens/>
              <w:spacing w:before="60" w:after="60" w:line="240" w:lineRule="auto"/>
              <w:rPr>
                <w:rFonts w:ascii="Times New Roman" w:hAnsi="Times New Roman"/>
                <w:noProof/>
              </w:rPr>
            </w:pPr>
            <w:r>
              <w:rPr>
                <w:rFonts w:ascii="Times New Roman" w:hAnsi="Times New Roman"/>
                <w:noProof/>
              </w:rPr>
              <w:t>În FR: În timp ce investitorii din UE au la dispoziție și alte tipuri de forme juridice, investitorii străini au acces doar la formele juridice „</w:t>
            </w:r>
            <w:r>
              <w:rPr>
                <w:rFonts w:ascii="Times New Roman" w:hAnsi="Times New Roman"/>
                <w:i/>
                <w:noProof/>
              </w:rPr>
              <w:t>société d'exercice liberal</w:t>
            </w:r>
            <w:r>
              <w:rPr>
                <w:rFonts w:ascii="Times New Roman" w:hAnsi="Times New Roman"/>
                <w:noProof/>
              </w:rPr>
              <w:t>” și „</w:t>
            </w:r>
            <w:r>
              <w:rPr>
                <w:rFonts w:ascii="Times New Roman" w:hAnsi="Times New Roman"/>
                <w:i/>
                <w:noProof/>
              </w:rPr>
              <w:t>société civile professionnelle</w:t>
            </w:r>
            <w:r>
              <w:rPr>
                <w:rFonts w:ascii="Times New Roman" w:hAnsi="Times New Roman"/>
                <w:noProof/>
              </w:rPr>
              <w:t>”. În cazul serviciilor spitalicești și de ambulanță, al serviciilor unităților rezidențiale de îngrijire medicală (altele decât serviciile spitalicești) și al serviciilor sociale, este necesară o autorizație pentru a putea exercita funcții de administrare. Procesul de autorizare ține seama de disponibilitatea administratorilor locali. Neconsolidat pentru furnizarea de servicii de analize și teste de laborator cu finanțare privată.</w:t>
            </w:r>
          </w:p>
          <w:p>
            <w:pPr>
              <w:widowControl/>
              <w:suppressAutoHyphens/>
              <w:spacing w:before="60" w:after="60" w:line="240" w:lineRule="auto"/>
              <w:rPr>
                <w:rFonts w:ascii="Times New Roman" w:hAnsi="Times New Roman"/>
                <w:noProof/>
              </w:rPr>
            </w:pPr>
            <w:r>
              <w:rPr>
                <w:rFonts w:ascii="Times New Roman" w:hAnsi="Times New Roman"/>
                <w:noProof/>
              </w:rPr>
              <w:t>În HR: înființarea unora dintre unitățile de asistență socială cu finanțare privată poate face obiectul unor limite, în funcție de nevoi, în anumite zone geografice. (CPC 9311, CPC 93192, CPC 93193, CPC 933).</w:t>
            </w:r>
          </w:p>
          <w:p>
            <w:pPr>
              <w:suppressAutoHyphens/>
              <w:spacing w:before="60" w:after="60" w:line="240" w:lineRule="auto"/>
              <w:rPr>
                <w:noProof/>
              </w:rPr>
            </w:pPr>
            <w:r>
              <w:rPr>
                <w:rFonts w:ascii="Times New Roman" w:hAnsi="Times New Roman"/>
                <w:noProof/>
              </w:rPr>
              <w:t>În SI: neconsolidat pentru serviciile sociale.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14. SERVICII TURISTICE ȘI SERVICII LEGATE DE CĂLĂTORII</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Hoteluri, restaurante și catering</w:t>
            </w:r>
          </w:p>
          <w:p>
            <w:pPr>
              <w:widowControl/>
              <w:suppressAutoHyphens/>
              <w:spacing w:before="60" w:after="60" w:line="240" w:lineRule="auto"/>
              <w:rPr>
                <w:rFonts w:ascii="Times New Roman" w:hAnsi="Times New Roman"/>
                <w:noProof/>
              </w:rPr>
            </w:pPr>
            <w:r>
              <w:rPr>
                <w:rFonts w:ascii="Times New Roman" w:hAnsi="Times New Roman"/>
                <w:noProof/>
              </w:rPr>
              <w:t>(CPC 641, CPC 642 și CPC 643)</w:t>
            </w:r>
          </w:p>
          <w:p>
            <w:pPr>
              <w:widowControl/>
              <w:suppressAutoHyphens/>
              <w:spacing w:before="60" w:after="60" w:line="240" w:lineRule="auto"/>
              <w:rPr>
                <w:rFonts w:ascii="Times New Roman" w:hAnsi="Times New Roman"/>
                <w:noProof/>
              </w:rPr>
            </w:pPr>
            <w:r>
              <w:rPr>
                <w:rFonts w:ascii="Times New Roman" w:hAnsi="Times New Roman"/>
                <w:noProof/>
              </w:rPr>
              <w:t xml:space="preserve">cu excepția cateringului în sectorul serviciilor de transport aerian </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BG: Este necesară înregistrarea (nu sunt permise sucursalele).</w:t>
            </w:r>
          </w:p>
          <w:p>
            <w:pPr>
              <w:widowControl/>
              <w:suppressAutoHyphens/>
              <w:spacing w:before="60" w:after="60" w:line="240" w:lineRule="auto"/>
              <w:rPr>
                <w:rFonts w:ascii="Times New Roman" w:hAnsi="Times New Roman"/>
                <w:noProof/>
              </w:rPr>
            </w:pPr>
            <w:r>
              <w:rPr>
                <w:rFonts w:ascii="Times New Roman" w:hAnsi="Times New Roman"/>
                <w:noProof/>
              </w:rPr>
              <w:t>În IT: Se aplică testul privind necesitățile economice pentru baruri, cafenele și restaurante. Criteriile principale: populația și densitatea instituțiilor existente.</w:t>
            </w:r>
          </w:p>
          <w:p>
            <w:pPr>
              <w:widowControl/>
              <w:suppressAutoHyphens/>
              <w:spacing w:before="60" w:after="60" w:line="240" w:lineRule="auto"/>
              <w:rPr>
                <w:rFonts w:ascii="Times New Roman" w:hAnsi="Times New Roman"/>
                <w:noProof/>
              </w:rPr>
            </w:pPr>
            <w:r>
              <w:rPr>
                <w:rFonts w:ascii="Times New Roman" w:hAnsi="Times New Roman"/>
                <w:noProof/>
              </w:rPr>
              <w:t>În HR: Localizarea în zone protejate de interes istoric și artistic deosebit și în parcuri naționale sau naturale este condiționată de obținerea unei autorizații din partea guvernului Croației, care poate fi refuzată.</w:t>
            </w:r>
          </w:p>
        </w:tc>
      </w:tr>
      <w:tr>
        <w:tc>
          <w:tcPr>
            <w:tcW w:w="972"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ale agențiilor de voiaj și ale operatorilor de turism (inclusiv serviciile gestionarilor de circuite turistice)</w:t>
            </w:r>
          </w:p>
          <w:p>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LV în UE.</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 Furnizorii de servicii străini trebuie să fie reprezentați de un birou de voiaj rezident.</w:t>
            </w:r>
          </w:p>
          <w:p>
            <w:pPr>
              <w:widowControl/>
              <w:suppressAutoHyphens/>
              <w:spacing w:before="60" w:after="60" w:line="240" w:lineRule="auto"/>
              <w:rPr>
                <w:rFonts w:ascii="Times New Roman" w:hAnsi="Times New Roman"/>
                <w:noProof/>
              </w:rPr>
            </w:pPr>
            <w:r>
              <w:rPr>
                <w:rFonts w:ascii="Times New Roman" w:hAnsi="Times New Roman"/>
                <w:noProof/>
              </w:rPr>
              <w:t>În PT: cerința privind înregistrarea unei societăți comerciale cu sediul central în Portugalia (neconsolidat pentru sucursale).</w:t>
            </w:r>
          </w:p>
          <w:p>
            <w:pPr>
              <w:widowControl/>
              <w:suppressAutoHyphens/>
              <w:spacing w:before="60" w:after="60" w:line="240" w:lineRule="auto"/>
              <w:rPr>
                <w:rFonts w:ascii="Times New Roman" w:hAnsi="Times New Roman"/>
                <w:noProof/>
              </w:rPr>
            </w:pPr>
            <w:r>
              <w:rPr>
                <w:rFonts w:ascii="Times New Roman" w:hAnsi="Times New Roman"/>
                <w:noProof/>
              </w:rPr>
              <w:t>În CZ: Testul privind necesitățile economice pe baza criteriului privind populația.</w:t>
            </w:r>
          </w:p>
        </w:tc>
      </w:tr>
      <w:t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Servicii de ghid turistic</w:t>
            </w:r>
          </w:p>
          <w:p>
            <w:pPr>
              <w:widowControl/>
              <w:suppressAutoHyphens/>
              <w:spacing w:before="60" w:after="60" w:line="240" w:lineRule="auto"/>
              <w:rPr>
                <w:rFonts w:ascii="Times New Roman" w:hAnsi="Times New Roman"/>
                <w:noProof/>
              </w:rPr>
            </w:pPr>
            <w:r>
              <w:rPr>
                <w:rFonts w:ascii="Times New Roman" w:hAnsi="Times New Roman"/>
                <w:noProof/>
              </w:rPr>
              <w:t>(CPC 7472)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BG, FR, se prevede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CY: neconsolidat.</w:t>
            </w:r>
          </w:p>
          <w:p>
            <w:pPr>
              <w:widowControl/>
              <w:suppressAutoHyphens/>
              <w:spacing w:before="60" w:after="60" w:line="240" w:lineRule="auto"/>
              <w:rPr>
                <w:rFonts w:ascii="Times New Roman" w:hAnsi="Times New Roman"/>
                <w:noProof/>
              </w:rPr>
            </w:pPr>
            <w:r>
              <w:rPr>
                <w:rFonts w:ascii="Times New Roman" w:hAnsi="Times New Roman"/>
                <w:noProof/>
              </w:rPr>
              <w:t>În HR: Pentru furnizarea de servicii de cazare și de catering în gospodării și ferme este necesară cetățenia unui stat membru al SEE (CPC 641, 642, 643, 7471, 7472).</w:t>
            </w:r>
          </w:p>
          <w:p>
            <w:pPr>
              <w:widowControl/>
              <w:suppressAutoHyphens/>
              <w:spacing w:before="60" w:after="60" w:line="240" w:lineRule="auto"/>
              <w:rPr>
                <w:rFonts w:ascii="Times New Roman" w:hAnsi="Times New Roman"/>
                <w:noProof/>
              </w:rPr>
            </w:pPr>
            <w:r>
              <w:rPr>
                <w:rFonts w:ascii="Times New Roman" w:hAnsi="Times New Roman"/>
                <w:noProof/>
              </w:rPr>
              <w:t>În ES: (pentru ES, se aplică și nivelului de guvernare regional) – pentru furnizarea de servicii de ghid turistic, este necesară cetățenia unui stat membru. (CPC 7472).</w:t>
            </w:r>
          </w:p>
          <w:p>
            <w:pPr>
              <w:widowControl/>
              <w:suppressAutoHyphens/>
              <w:spacing w:before="60" w:after="60" w:line="240" w:lineRule="auto"/>
              <w:rPr>
                <w:rFonts w:ascii="Times New Roman" w:hAnsi="Times New Roman"/>
                <w:noProof/>
              </w:rPr>
            </w:pPr>
            <w:r>
              <w:rPr>
                <w:rFonts w:ascii="Times New Roman" w:hAnsi="Times New Roman"/>
                <w:noProof/>
              </w:rPr>
              <w:t>În EL: Cetățenii din țări terțe trebuie să obțină o diplomă de la școlile de ghizi turistici ale Ministerului Turismului din Grecia pentru a avea dreptul de a exercita profesia. În mod excepțional, dreptul de exercitare a profesiei poate fi acordat temporar cetățenilor din țările terțe, prin derogare de la dispozițiile menționate mai sus, în cazul în care se confirmă absența unui ghid turistic pentru o anumită limbă.</w:t>
            </w:r>
          </w:p>
        </w:tc>
      </w:tr>
      <w:t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suppressAutoHyphens/>
              <w:spacing w:before="60" w:after="60" w:line="240" w:lineRule="auto"/>
              <w:rPr>
                <w:rFonts w:ascii="Times New Roman" w:hAnsi="Times New Roman"/>
                <w:noProof/>
              </w:rPr>
            </w:pPr>
            <w:r>
              <w:rPr>
                <w:rFonts w:ascii="Times New Roman" w:hAnsi="Times New Roman"/>
                <w:noProof/>
              </w:rPr>
              <w:t>În HU: Furnizarea de servicii ale agențiilor de voiaj și ale operatorilor de turism și furnizarea de servicii de ghid turistic la nivel transfrontalier este condiționată de obținerea unei autorizații emise de Oficiul de autorizare comercială din Ungaria. Autorizațiile sunt rezervate cetățenilor unui stat membru al SEE și persoanelor juridice care își au sediul în statele membre ale SEE (CPC 7472).</w:t>
            </w:r>
          </w:p>
          <w:p>
            <w:pPr>
              <w:suppressAutoHyphens/>
              <w:spacing w:before="60" w:after="60" w:line="240" w:lineRule="auto"/>
              <w:rPr>
                <w:noProof/>
              </w:rPr>
            </w:pPr>
            <w:r>
              <w:rPr>
                <w:rFonts w:ascii="Times New Roman" w:hAnsi="Times New Roman"/>
                <w:noProof/>
              </w:rPr>
              <w:t>În IT: (se aplică și nivelului de guvernare regional) – ghizii turistici din țări din afara Uniunii Europene trebuie să obțină o licență specifică din partea regiunii în cauză pentru a putea exercita profesia de ghid turistic profesionist. Ghizii turistici din statele membre ale UE pot profesa în mod liber fără să fie condiționați de obținerea unei astfel de licențe. Licența se acordă ghizilor turistici care demonstrează că dețin competențele și cunoștințele necesare (CPC 7472).</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15. SERVICII RECREATIVE, CULTURALE ȘI SPORTIVE (altele decât serviciile din domeniul audiovizualului)</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de spectacole (inclusiv servicii privind piesele de teatru, formațiile muzicale cu prezentare publică în direct, spectacolele de circ și discotecile)</w:t>
            </w:r>
          </w:p>
          <w:p>
            <w:pPr>
              <w:widowControl/>
              <w:suppressAutoHyphens/>
              <w:spacing w:before="60" w:after="60" w:line="240" w:lineRule="auto"/>
              <w:rPr>
                <w:rFonts w:ascii="Times New Roman" w:hAnsi="Times New Roman"/>
                <w:noProof/>
              </w:rPr>
            </w:pPr>
            <w:r>
              <w:rPr>
                <w:rFonts w:ascii="Times New Roman" w:hAnsi="Times New Roman"/>
                <w:noProof/>
              </w:rPr>
              <w:t>(CPC 9619)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CZ, FI, MT, PL, RO, SI, SK: neconsolidat.</w:t>
            </w:r>
          </w:p>
          <w:p>
            <w:pPr>
              <w:widowControl/>
              <w:suppressAutoHyphens/>
              <w:spacing w:before="60" w:after="60" w:line="240" w:lineRule="auto"/>
              <w:rPr>
                <w:rFonts w:ascii="Times New Roman" w:hAnsi="Times New Roman"/>
                <w:noProof/>
              </w:rPr>
            </w:pPr>
            <w:r>
              <w:rPr>
                <w:rFonts w:ascii="Times New Roman" w:hAnsi="Times New Roman"/>
                <w:noProof/>
              </w:rPr>
              <w:t>În BG: neconsolidat, cu excepția serviciilor de divertisment furnizate de producătorii de teatru, grupurile de interpreți vocali, grupurile muzicale și orchestre (CPC 96191), a serviciilor furnizate de autori, compozitori, sculptori, artiști comici și alți artiști individuali (CPC 96192) și a serviciilor auxiliare teatrului (CPC 96193).</w:t>
            </w:r>
          </w:p>
          <w:p>
            <w:pPr>
              <w:widowControl/>
              <w:suppressAutoHyphens/>
              <w:spacing w:before="60" w:after="60" w:line="240" w:lineRule="auto"/>
              <w:rPr>
                <w:rFonts w:ascii="Times New Roman" w:hAnsi="Times New Roman"/>
                <w:noProof/>
              </w:rPr>
            </w:pPr>
            <w:r>
              <w:rPr>
                <w:rFonts w:ascii="Times New Roman" w:hAnsi="Times New Roman"/>
                <w:noProof/>
              </w:rPr>
              <w:t>În EE: neconsolidat pentru alte servicii de divertisment (CPC 96199), cu excepția serviciilor privind sălile de cinematograf.</w:t>
            </w:r>
          </w:p>
          <w:p>
            <w:pPr>
              <w:widowControl/>
              <w:suppressAutoHyphens/>
              <w:spacing w:before="60" w:after="60" w:line="240" w:lineRule="auto"/>
              <w:rPr>
                <w:rFonts w:ascii="Times New Roman" w:hAnsi="Times New Roman"/>
                <w:noProof/>
              </w:rPr>
            </w:pPr>
            <w:r>
              <w:rPr>
                <w:rFonts w:ascii="Times New Roman" w:hAnsi="Times New Roman"/>
                <w:noProof/>
              </w:rPr>
              <w:t>În LV: neconsolidat, cu excepția serviciilor de operare a sălilor de cinematograf (parte din CPC 96199).</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ale agențiilor de știri și ale agențiilor de presă</w:t>
            </w:r>
          </w:p>
          <w:p>
            <w:pPr>
              <w:widowControl/>
              <w:suppressAutoHyphens/>
              <w:spacing w:before="60" w:after="60" w:line="240" w:lineRule="auto"/>
              <w:rPr>
                <w:rFonts w:ascii="Times New Roman" w:hAnsi="Times New Roman"/>
                <w:noProof/>
              </w:rPr>
            </w:pPr>
            <w:r>
              <w:rPr>
                <w:rFonts w:ascii="Times New Roman" w:hAnsi="Times New Roman"/>
                <w:noProof/>
              </w:rPr>
              <w:t>(CPC 962)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FR: Participarea străină în societățile franceze care publică publicații în limba franceză nu poate depăși 20 % din capitalul sau din drepturile de vot în cadrul societății. Agențiile de presă: neconsolidat.</w:t>
            </w:r>
          </w:p>
          <w:p>
            <w:pPr>
              <w:widowControl/>
              <w:suppressAutoHyphens/>
              <w:spacing w:before="60" w:after="60" w:line="240" w:lineRule="auto"/>
              <w:rPr>
                <w:rFonts w:ascii="Times New Roman" w:hAnsi="Times New Roman"/>
                <w:noProof/>
              </w:rPr>
            </w:pPr>
            <w:r>
              <w:rPr>
                <w:rFonts w:ascii="Times New Roman" w:hAnsi="Times New Roman"/>
                <w:noProof/>
              </w:rPr>
              <w:t>În BG, CY, CZ, EE, HU, LT, MT, RO, PL, SI, SK: neconsolidat.</w:t>
            </w:r>
          </w:p>
          <w:p>
            <w:pPr>
              <w:widowControl/>
              <w:suppressAutoHyphens/>
              <w:spacing w:before="60" w:after="60" w:line="240" w:lineRule="auto"/>
              <w:rPr>
                <w:rFonts w:ascii="Times New Roman" w:hAnsi="Times New Roman"/>
                <w:noProof/>
              </w:rPr>
            </w:pPr>
            <w:r>
              <w:rPr>
                <w:rFonts w:ascii="Times New Roman" w:hAnsi="Times New Roman"/>
                <w:noProof/>
              </w:rPr>
              <w:t>În PT: Societățile de știri înregistrate în Portugalia sub forma juridică „</w:t>
            </w:r>
            <w:r>
              <w:rPr>
                <w:rFonts w:ascii="Times New Roman" w:hAnsi="Times New Roman"/>
                <w:i/>
                <w:noProof/>
              </w:rPr>
              <w:t>Sociedade Anónima</w:t>
            </w:r>
            <w:r>
              <w:rPr>
                <w:rFonts w:ascii="Times New Roman" w:hAnsi="Times New Roman"/>
                <w:noProof/>
              </w:rPr>
              <w:t>” trebuie să aibă capitalul social sub forma acțiunilor nominale.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Biblioteci, arhive, muzee și alte servicii culturale</w:t>
            </w:r>
          </w:p>
          <w:p>
            <w:pPr>
              <w:widowControl/>
              <w:suppressAutoHyphens/>
              <w:spacing w:before="60" w:after="60" w:line="240" w:lineRule="auto"/>
              <w:rPr>
                <w:rFonts w:ascii="Times New Roman" w:hAnsi="Times New Roman"/>
                <w:noProof/>
              </w:rPr>
            </w:pPr>
            <w:r>
              <w:rPr>
                <w:rFonts w:ascii="Times New Roman" w:hAnsi="Times New Roman"/>
                <w:noProof/>
              </w:rPr>
              <w:t>(CPC 963)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BE, BG, CY, CZ, DE, DK, ES, EE, FI, FR, EL, HR, HU, IE, IT, LV, LU, MT, NL, PL, PT, RO, SK, SI, SE: neconsolidat.</w:t>
            </w:r>
          </w:p>
          <w:p>
            <w:pPr>
              <w:widowControl/>
              <w:suppressAutoHyphens/>
              <w:spacing w:before="60" w:after="60" w:line="240" w:lineRule="auto"/>
              <w:rPr>
                <w:rFonts w:ascii="Times New Roman" w:hAnsi="Times New Roman"/>
                <w:noProof/>
              </w:rPr>
            </w:pPr>
            <w:r>
              <w:rPr>
                <w:rFonts w:ascii="Times New Roman" w:hAnsi="Times New Roman"/>
                <w:noProof/>
              </w:rPr>
              <w:t>În AT, LT: Participarea operatorilor privați la rețeaua de biblioteci, arhive, muzee și alte rețele de servicii culturale este supusă concesiunii sau deținerii unei autorizații.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Servicii sportive</w:t>
            </w:r>
          </w:p>
          <w:p>
            <w:pPr>
              <w:widowControl/>
              <w:suppressAutoHyphens/>
              <w:spacing w:before="60" w:after="60" w:line="240" w:lineRule="auto"/>
              <w:rPr>
                <w:rFonts w:ascii="Times New Roman" w:hAnsi="Times New Roman"/>
                <w:noProof/>
              </w:rPr>
            </w:pPr>
            <w:r>
              <w:rPr>
                <w:rFonts w:ascii="Times New Roman" w:hAnsi="Times New Roman"/>
                <w:noProof/>
              </w:rPr>
              <w:t>(CPC 9641)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SI: neconsolidat pentru serviciile școlilor de schi și serviciile de ghizi montani.</w:t>
            </w:r>
          </w:p>
          <w:p>
            <w:pPr>
              <w:widowControl/>
              <w:suppressAutoHyphens/>
              <w:spacing w:before="60" w:after="60" w:line="240" w:lineRule="auto"/>
              <w:rPr>
                <w:rFonts w:ascii="Times New Roman" w:hAnsi="Times New Roman"/>
                <w:noProof/>
              </w:rPr>
            </w:pPr>
            <w:r>
              <w:rPr>
                <w:rFonts w:ascii="Times New Roman" w:hAnsi="Times New Roman"/>
                <w:noProof/>
              </w:rPr>
              <w:t>În BG, CY, CZ, EE, LV, MT, PL, RO, SK: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Servicii legate de parcurile de distracții și plajă</w:t>
            </w:r>
          </w:p>
          <w:p>
            <w:pPr>
              <w:widowControl/>
              <w:suppressAutoHyphens/>
              <w:spacing w:before="60" w:after="60" w:line="240" w:lineRule="auto"/>
              <w:rPr>
                <w:rFonts w:ascii="Times New Roman" w:hAnsi="Times New Roman"/>
                <w:noProof/>
              </w:rPr>
            </w:pPr>
            <w:r>
              <w:rPr>
                <w:rFonts w:ascii="Times New Roman" w:hAnsi="Times New Roman"/>
                <w:noProof/>
              </w:rPr>
              <w:t>(CPC 96491)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16. SERVICII</w:t>
            </w:r>
          </w:p>
          <w:p>
            <w:pPr>
              <w:widowControl/>
              <w:suppressAutoHyphens/>
              <w:spacing w:before="60" w:after="60" w:line="240" w:lineRule="auto"/>
              <w:rPr>
                <w:rFonts w:ascii="Times New Roman" w:hAnsi="Times New Roman"/>
                <w:noProof/>
              </w:rPr>
            </w:pPr>
            <w:r>
              <w:rPr>
                <w:rFonts w:ascii="Times New Roman" w:hAnsi="Times New Roman"/>
                <w:noProof/>
              </w:rPr>
              <w:t>DE TRANSPORT</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Transport maritim</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Transport internațional de călători</w:t>
            </w:r>
          </w:p>
          <w:p>
            <w:pPr>
              <w:widowControl/>
              <w:suppressAutoHyphens/>
              <w:spacing w:before="60" w:after="60" w:line="240" w:lineRule="auto"/>
              <w:rPr>
                <w:rFonts w:ascii="Times New Roman" w:hAnsi="Times New Roman"/>
                <w:noProof/>
              </w:rPr>
            </w:pPr>
            <w:r>
              <w:rPr>
                <w:rFonts w:ascii="Times New Roman" w:hAnsi="Times New Roman"/>
                <w:noProof/>
              </w:rPr>
              <w:t>(CPC 7211, mai puțin transportul intern de cabotaj</w:t>
            </w:r>
            <w:r>
              <w:rPr>
                <w:rStyle w:val="FootnoteReference"/>
                <w:rFonts w:ascii="Times New Roman" w:hAnsi="Times New Roman"/>
                <w:b/>
                <w:noProof/>
              </w:rPr>
              <w:footnoteReference w:id="73"/>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(b) Transportul internațional de mărfuri</w:t>
            </w:r>
          </w:p>
          <w:p>
            <w:pPr>
              <w:widowControl/>
              <w:suppressAutoHyphens/>
              <w:spacing w:before="60" w:after="60" w:line="240" w:lineRule="auto"/>
              <w:rPr>
                <w:rFonts w:ascii="Times New Roman" w:hAnsi="Times New Roman"/>
                <w:noProof/>
              </w:rPr>
            </w:pPr>
            <w:r>
              <w:rPr>
                <w:rFonts w:ascii="Times New Roman" w:hAnsi="Times New Roman"/>
                <w:noProof/>
              </w:rPr>
              <w:t>(CPC 7212, mai puțin transportul intern de cabotaj</w:t>
            </w:r>
            <w:r>
              <w:rPr>
                <w:rStyle w:val="FootnoteReference"/>
                <w:rFonts w:ascii="Times New Roman" w:hAnsi="Times New Roman"/>
                <w:b/>
                <w:noProof/>
              </w:rPr>
              <w:footnoteReference w:id="74"/>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HR, HU, IE, IT, LT, LU, NL, PL, PT, RO, SK, SI, SE: neconsolidat pentru stabilirea unei societăți înregistrate cu scopul de a exploata o flotă sub pavilionul național al statului de stabilire.</w:t>
            </w:r>
          </w:p>
          <w:p>
            <w:pPr>
              <w:widowControl/>
              <w:suppressAutoHyphens/>
              <w:spacing w:before="60" w:after="60" w:line="240" w:lineRule="auto"/>
              <w:rPr>
                <w:rFonts w:ascii="Times New Roman" w:hAnsi="Times New Roman"/>
                <w:noProof/>
              </w:rPr>
            </w:pPr>
            <w:r>
              <w:rPr>
                <w:rFonts w:ascii="Times New Roman" w:hAnsi="Times New Roman"/>
                <w:noProof/>
              </w:rPr>
              <w:t>În UE: condiția privind deținerea cetățeniei pentru echipajele navelor.</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Transportul feroviar</w:t>
            </w:r>
          </w:p>
          <w:p>
            <w:pPr>
              <w:widowControl/>
              <w:suppressAutoHyphens/>
              <w:spacing w:before="60" w:after="60" w:line="240" w:lineRule="auto"/>
              <w:rPr>
                <w:rFonts w:ascii="Times New Roman" w:hAnsi="Times New Roman"/>
                <w:noProof/>
              </w:rPr>
            </w:pPr>
            <w:r>
              <w:rPr>
                <w:rFonts w:ascii="Times New Roman" w:hAnsi="Times New Roman"/>
                <w:noProof/>
              </w:rPr>
              <w:t>(a) Transportul de călători</w:t>
            </w:r>
          </w:p>
          <w:p>
            <w:pPr>
              <w:widowControl/>
              <w:suppressAutoHyphens/>
              <w:spacing w:before="60" w:after="60" w:line="240" w:lineRule="auto"/>
              <w:rPr>
                <w:rFonts w:ascii="Times New Roman" w:hAnsi="Times New Roman"/>
                <w:noProof/>
              </w:rPr>
            </w:pPr>
            <w:r>
              <w:rPr>
                <w:rFonts w:ascii="Times New Roman" w:hAnsi="Times New Roman"/>
                <w:noProof/>
              </w:rPr>
              <w:t>(CPC 7111)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Transportul de mărfuri</w:t>
            </w:r>
          </w:p>
          <w:p>
            <w:pPr>
              <w:widowControl/>
              <w:suppressAutoHyphens/>
              <w:spacing w:before="60" w:after="60" w:line="240" w:lineRule="auto"/>
              <w:rPr>
                <w:rFonts w:ascii="Times New Roman" w:hAnsi="Times New Roman"/>
                <w:noProof/>
              </w:rPr>
            </w:pPr>
            <w:r>
              <w:rPr>
                <w:rFonts w:ascii="Times New Roman" w:hAnsi="Times New Roman"/>
                <w:noProof/>
              </w:rPr>
              <w:t>(CPC 7112)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exceptând pentru tratamentul național, în cazul căruia: niciuna.</w:t>
            </w:r>
          </w:p>
          <w:p>
            <w:pPr>
              <w:widowControl/>
              <w:suppressAutoHyphens/>
              <w:spacing w:before="60" w:after="60" w:line="240" w:lineRule="auto"/>
              <w:rPr>
                <w:rFonts w:ascii="Times New Roman" w:hAnsi="Times New Roman"/>
                <w:noProof/>
              </w:rPr>
            </w:pPr>
            <w:r>
              <w:rPr>
                <w:rFonts w:ascii="Times New Roman" w:hAnsi="Times New Roman"/>
                <w:noProof/>
              </w:rPr>
              <w:t>În IE și SK: neconsolidat.</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C. Transportul rutier </w:t>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355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Transportul de călători</w:t>
            </w:r>
          </w:p>
          <w:p>
            <w:pPr>
              <w:widowControl/>
              <w:suppressAutoHyphens/>
              <w:spacing w:before="60" w:after="60" w:line="240" w:lineRule="auto"/>
              <w:rPr>
                <w:rFonts w:ascii="Times New Roman" w:hAnsi="Times New Roman"/>
                <w:noProof/>
              </w:rPr>
            </w:pPr>
            <w:r>
              <w:rPr>
                <w:rFonts w:ascii="Times New Roman" w:hAnsi="Times New Roman"/>
                <w:noProof/>
              </w:rPr>
              <w:t>(CPC 7121 și CPC 7122)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UE: Investitorii străini nu pot furniza servicii de transport pe teritoriul unui stat membru (cabotaj), cu excepția închirierii de servicii neregulate ale autobuzelor cu operator.</w:t>
            </w:r>
          </w:p>
          <w:p>
            <w:pPr>
              <w:widowControl/>
              <w:suppressAutoHyphens/>
              <w:spacing w:before="60" w:after="60" w:line="240" w:lineRule="auto"/>
              <w:rPr>
                <w:rFonts w:ascii="Times New Roman" w:hAnsi="Times New Roman"/>
                <w:noProof/>
              </w:rPr>
            </w:pPr>
            <w:r>
              <w:rPr>
                <w:rFonts w:ascii="Times New Roman" w:hAnsi="Times New Roman"/>
                <w:noProof/>
              </w:rPr>
              <w:t>În UE: Se aplică un test privind necesitățile economice pentru serviciile de taxi. Criteriile principale: numărul întreprinderilor existente și impactul asupra acestora, densitatea populației, răspândirea geografică, impactul asupra condițiilor de trafic și crearea de noi locuri de muncă.</w:t>
            </w:r>
          </w:p>
          <w:p>
            <w:pPr>
              <w:widowControl/>
              <w:suppressAutoHyphens/>
              <w:spacing w:before="60" w:after="60" w:line="240" w:lineRule="auto"/>
              <w:rPr>
                <w:rFonts w:ascii="Times New Roman" w:hAnsi="Times New Roman"/>
                <w:noProof/>
              </w:rPr>
            </w:pPr>
            <w:r>
              <w:rPr>
                <w:rFonts w:ascii="Times New Roman" w:hAnsi="Times New Roman"/>
                <w:noProof/>
              </w:rPr>
              <w:t>În AT: Se pot acorda drepturi sau autorizații exclusive numai resortisanților statelor membre ale Uniunii și persoanelor juridice din Uniune care au sediul în Uniune.</w:t>
            </w:r>
          </w:p>
          <w:p>
            <w:pPr>
              <w:widowControl/>
              <w:suppressAutoHyphens/>
              <w:spacing w:before="60" w:after="60" w:line="240" w:lineRule="auto"/>
              <w:rPr>
                <w:rFonts w:ascii="Times New Roman" w:hAnsi="Times New Roman"/>
                <w:noProof/>
              </w:rPr>
            </w:pPr>
            <w:r>
              <w:rPr>
                <w:rFonts w:ascii="Times New Roman" w:hAnsi="Times New Roman"/>
                <w:noProof/>
              </w:rPr>
              <w:t>În BG: Se pot acorda drepturi sau autorizații exclusive numai resortisanților statelor membre ale Uniunii și persoanelor juridice din Uniune care au sediul în Uniune.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CY: neconsolidat.</w:t>
            </w:r>
          </w:p>
          <w:p>
            <w:pPr>
              <w:suppressAutoHyphens/>
              <w:spacing w:before="60" w:after="60" w:line="240" w:lineRule="auto"/>
              <w:rPr>
                <w:rFonts w:ascii="Times New Roman" w:hAnsi="Times New Roman"/>
                <w:noProof/>
              </w:rPr>
            </w:pPr>
            <w:r>
              <w:rPr>
                <w:rFonts w:ascii="Times New Roman" w:hAnsi="Times New Roman"/>
                <w:noProof/>
              </w:rPr>
              <w:t>În CZ: neconsolidat pentru deschiderea de sucursale directe (este necesară înregistrarea).</w:t>
            </w:r>
          </w:p>
        </w:tc>
      </w:tr>
      <w:tr>
        <w:trPr>
          <w:trHeight w:val="2325"/>
        </w:trPr>
        <w:tc>
          <w:tcPr>
            <w:tcW w:w="972" w:type="pct"/>
            <w:tcBorders>
              <w:top w:val="nil"/>
            </w:tcBorders>
          </w:tcPr>
          <w:p>
            <w:pPr>
              <w:pageBreakBefore/>
              <w:suppressAutoHyphens/>
              <w:spacing w:before="60" w:after="60" w:line="240" w:lineRule="auto"/>
              <w:rPr>
                <w:noProof/>
              </w:rPr>
            </w:pPr>
          </w:p>
        </w:tc>
        <w:tc>
          <w:tcPr>
            <w:tcW w:w="4028"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LV: Se aplică cerința ca entitățile stabilite să utilizeze vehicule înmatriculate în țară.</w:t>
            </w:r>
          </w:p>
          <w:p>
            <w:pPr>
              <w:widowControl/>
              <w:suppressAutoHyphens/>
              <w:spacing w:before="60" w:after="60" w:line="240" w:lineRule="auto"/>
              <w:rPr>
                <w:rFonts w:ascii="Times New Roman" w:hAnsi="Times New Roman"/>
                <w:noProof/>
              </w:rPr>
            </w:pPr>
            <w:r>
              <w:rPr>
                <w:rFonts w:ascii="Times New Roman" w:hAnsi="Times New Roman"/>
                <w:noProof/>
              </w:rPr>
              <w:t>În ES: Se aplică un test privind necesitățile economice pentru CPC 7122. Criteriile principale: cererea locală.</w:t>
            </w:r>
          </w:p>
          <w:p>
            <w:pPr>
              <w:widowControl/>
              <w:suppressAutoHyphens/>
              <w:spacing w:before="60" w:after="60" w:line="240" w:lineRule="auto"/>
              <w:rPr>
                <w:rFonts w:ascii="Times New Roman" w:hAnsi="Times New Roman"/>
                <w:noProof/>
              </w:rPr>
            </w:pPr>
            <w:r>
              <w:rPr>
                <w:rFonts w:ascii="Times New Roman" w:hAnsi="Times New Roman"/>
                <w:noProof/>
              </w:rPr>
              <w:t>În IT și PT: Se aplică un test privind necesitățile economice pentru serviciile de limuzină. Criteriile principale: numărul întreprinderilor existente și impactul asupra acestora, densitatea populației, răspândirea geografică, impactul asupra condițiilor de trafic și crearea de noi locuri de muncă.</w:t>
            </w:r>
          </w:p>
          <w:p>
            <w:pPr>
              <w:widowControl/>
              <w:suppressAutoHyphens/>
              <w:spacing w:before="60" w:after="60" w:line="240" w:lineRule="auto"/>
              <w:rPr>
                <w:rFonts w:ascii="Times New Roman" w:hAnsi="Times New Roman"/>
                <w:noProof/>
              </w:rPr>
            </w:pPr>
            <w:r>
              <w:rPr>
                <w:rFonts w:ascii="Times New Roman" w:hAnsi="Times New Roman"/>
                <w:noProof/>
              </w:rPr>
              <w:t>În ES și IT: testul privind necesitățile economice pentru serviciile de transport interurban cu autobuzul. Criteriile principale: numărul întreprinderilor existente și impactul asupra acestora, densitatea populației, răspândirea geografică, impactul asupra condițiilor de trafic și crearea de noi locuri de muncă.</w:t>
            </w:r>
          </w:p>
          <w:p>
            <w:pPr>
              <w:widowControl/>
              <w:suppressAutoHyphens/>
              <w:spacing w:before="60" w:after="60" w:line="240" w:lineRule="auto"/>
              <w:rPr>
                <w:rFonts w:ascii="Times New Roman" w:hAnsi="Times New Roman"/>
                <w:noProof/>
              </w:rPr>
            </w:pPr>
            <w:r>
              <w:rPr>
                <w:rFonts w:ascii="Times New Roman" w:hAnsi="Times New Roman"/>
                <w:noProof/>
              </w:rPr>
              <w:t>În FR: neconsolidat pentru serviciile de transport interurban cu autobuzul.</w:t>
            </w:r>
          </w:p>
          <w:p>
            <w:pPr>
              <w:widowControl/>
              <w:suppressAutoHyphens/>
              <w:spacing w:before="60" w:after="60" w:line="240" w:lineRule="auto"/>
              <w:rPr>
                <w:rFonts w:ascii="Times New Roman" w:hAnsi="Times New Roman"/>
                <w:noProof/>
              </w:rPr>
            </w:pPr>
            <w:r>
              <w:rPr>
                <w:rFonts w:ascii="Times New Roman" w:hAnsi="Times New Roman"/>
                <w:noProof/>
              </w:rPr>
              <w:t>În FI, LV: Este necesară o autorizație, care nu se acordă în cazul vehiculelor înmatriculate în străinătate.</w:t>
            </w:r>
          </w:p>
          <w:p>
            <w:pPr>
              <w:widowControl/>
              <w:suppressAutoHyphens/>
              <w:spacing w:before="60" w:after="60" w:line="240" w:lineRule="auto"/>
              <w:rPr>
                <w:rFonts w:ascii="Times New Roman" w:hAnsi="Times New Roman"/>
                <w:noProof/>
              </w:rPr>
            </w:pPr>
            <w:r>
              <w:rPr>
                <w:rFonts w:ascii="Times New Roman" w:hAnsi="Times New Roman"/>
                <w:noProof/>
              </w:rPr>
              <w:t>În SK: Furnizarea de servicii de transport rutier necesită constituirea sau rezidența într-un stat membru al Uniunii Europene.</w:t>
            </w:r>
          </w:p>
          <w:p>
            <w:pPr>
              <w:suppressAutoHyphens/>
              <w:spacing w:before="60" w:after="60" w:line="240" w:lineRule="auto"/>
              <w:rPr>
                <w:noProof/>
              </w:rPr>
            </w:pPr>
            <w:r>
              <w:rPr>
                <w:rFonts w:ascii="Times New Roman" w:hAnsi="Times New Roman"/>
                <w:noProof/>
              </w:rPr>
              <w:t xml:space="preserve">În SE: În scopul exercitării profesiei de operator de transport rutier este necesară o licență suedeză. Criteriile pentru a primi o licență de taxi includ desemnarea de către societate a unei persoane fizice care să acționeze în calitate de manager de transport (o cerință de rezidență </w:t>
            </w:r>
            <w:r>
              <w:rPr>
                <w:rFonts w:ascii="Times New Roman" w:hAnsi="Times New Roman"/>
                <w:i/>
                <w:noProof/>
              </w:rPr>
              <w:t>de facto </w:t>
            </w:r>
            <w:r>
              <w:rPr>
                <w:rFonts w:ascii="Times New Roman" w:hAnsi="Times New Roman"/>
                <w:noProof/>
              </w:rPr>
              <w:t>– a se vedea rezerva suedeză privind tipurile de stabilire). Astfel cum se prevede în Yrkestrafiklag (2012:210) (Legea privind traficul profesional), Yrkestrafikförordning (2012:237) (Regulamentul Guvernului privind traficul profesional), Taxitrafiklag (2012:211) (Legea privind taxiurile) și Taxitrafikförordning (2012:238) (Regulamentul Guvernului privind taxiurile).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Transportul de mărfuri</w:t>
            </w:r>
          </w:p>
          <w:p>
            <w:pPr>
              <w:widowControl/>
              <w:suppressAutoHyphens/>
              <w:spacing w:before="60" w:after="60" w:line="240" w:lineRule="auto"/>
              <w:rPr>
                <w:rFonts w:ascii="Times New Roman" w:hAnsi="Times New Roman"/>
                <w:noProof/>
              </w:rPr>
            </w:pPr>
            <w:r>
              <w:rPr>
                <w:rFonts w:ascii="Times New Roman" w:hAnsi="Times New Roman"/>
                <w:noProof/>
              </w:rPr>
              <w:t>(CPC 7123, excluzând transportul trimiterilor poștale și de curierat pe cont propriu</w:t>
            </w:r>
            <w:r>
              <w:rPr>
                <w:rStyle w:val="FootnoteReference"/>
                <w:rFonts w:ascii="Times New Roman" w:hAnsi="Times New Roman"/>
                <w:b/>
                <w:noProof/>
              </w:rPr>
              <w:footnoteReference w:id="75"/>
            </w:r>
            <w:r>
              <w:rPr>
                <w:rFonts w:ascii="Times New Roman" w:hAnsi="Times New Roman"/>
                <w:noProof/>
              </w:rPr>
              <w: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și BG: Se pot acorda drepturi sau autorizații exclusive numai resortisanților statelor membre ale Uniunii și persoanelor juridice din Uniune care au sediul în Uniune.</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CZ: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FI, LV: Este necesară o autorizație, care nu se acordă în cazul vehiculelor înmatriculate în străinătate.</w:t>
            </w:r>
          </w:p>
          <w:p>
            <w:pPr>
              <w:widowControl/>
              <w:suppressAutoHyphens/>
              <w:spacing w:before="60" w:after="60" w:line="240" w:lineRule="auto"/>
              <w:rPr>
                <w:rFonts w:ascii="Times New Roman" w:hAnsi="Times New Roman"/>
                <w:noProof/>
              </w:rPr>
            </w:pPr>
            <w:r>
              <w:rPr>
                <w:rFonts w:ascii="Times New Roman" w:hAnsi="Times New Roman"/>
                <w:noProof/>
              </w:rPr>
              <w:t>În LV: Se aplică cerința ca entitățile stabilite să utilizeze vehicule înmatriculate în țară.</w:t>
            </w:r>
          </w:p>
          <w:p>
            <w:pPr>
              <w:widowControl/>
              <w:suppressAutoHyphens/>
              <w:spacing w:before="60" w:after="60" w:line="240" w:lineRule="auto"/>
              <w:rPr>
                <w:rFonts w:ascii="Times New Roman" w:hAnsi="Times New Roman"/>
                <w:noProof/>
              </w:rPr>
            </w:pPr>
            <w:r>
              <w:rPr>
                <w:rFonts w:ascii="Times New Roman" w:hAnsi="Times New Roman"/>
                <w:noProof/>
              </w:rPr>
              <w:t>În IT, SK: testul privind necesitățile economice. Criteriile principale: cererea locală.</w:t>
            </w:r>
          </w:p>
          <w:p>
            <w:pPr>
              <w:widowControl/>
              <w:suppressAutoHyphens/>
              <w:spacing w:before="60" w:after="60" w:line="240" w:lineRule="auto"/>
              <w:rPr>
                <w:rFonts w:ascii="Times New Roman" w:hAnsi="Times New Roman"/>
                <w:noProof/>
              </w:rPr>
            </w:pPr>
            <w:r>
              <w:rPr>
                <w:rFonts w:ascii="Times New Roman" w:hAnsi="Times New Roman"/>
                <w:noProof/>
              </w:rPr>
              <w:t>În SK: Furnizarea de servicii de transport rutier necesită constituirea sau rezidența într-un stat membru al Uniunii Europene.</w:t>
            </w:r>
          </w:p>
          <w:p>
            <w:pPr>
              <w:widowControl/>
              <w:suppressAutoHyphens/>
              <w:spacing w:before="60" w:after="60" w:line="240" w:lineRule="auto"/>
              <w:rPr>
                <w:rFonts w:ascii="Times New Roman" w:hAnsi="Times New Roman"/>
                <w:noProof/>
              </w:rPr>
            </w:pPr>
            <w:r>
              <w:rPr>
                <w:rFonts w:ascii="Times New Roman" w:hAnsi="Times New Roman"/>
                <w:noProof/>
              </w:rPr>
              <w:t xml:space="preserve">În SE: În scopul exercitării profesiei de operator de transport rutier este necesară o licență suedeză. Criteriile pentru a primi o licență includ desemnarea de către societate a unei persoane fizice care să acționeze în calitate de manager de transport (o cerință de rezidență </w:t>
            </w:r>
            <w:r>
              <w:rPr>
                <w:rFonts w:ascii="Times New Roman" w:hAnsi="Times New Roman"/>
                <w:i/>
                <w:noProof/>
              </w:rPr>
              <w:t>de facto</w:t>
            </w:r>
            <w:r>
              <w:rPr>
                <w:rFonts w:ascii="Times New Roman" w:hAnsi="Times New Roman"/>
                <w:noProof/>
              </w:rPr>
              <w:t> – a se vedea rezerva suedeză privind tipurile de stabilire). Astfel cum se prevede în Yrkestrafiklag (2012:210) (Legea privind traficul profesional), Yrkestrafikförordning (2012:237) (Regulamentul Guvernului privind traficul profesional), Taxitrafiklag (2012:211) (Legea privind taxiurile) și Taxitrafikförordning (2012:238) (Regulamentul Guvernului privind taxiurile).</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Transportul prin conducte al altor produse decât combustibilul</w:t>
            </w:r>
            <w:r>
              <w:rPr>
                <w:rStyle w:val="FootnoteReference"/>
                <w:rFonts w:ascii="Times New Roman" w:hAnsi="Times New Roman"/>
                <w:b/>
                <w:noProof/>
              </w:rPr>
              <w:footnoteReference w:id="76"/>
            </w:r>
          </w:p>
          <w:p>
            <w:pPr>
              <w:widowControl/>
              <w:suppressAutoHyphens/>
              <w:spacing w:before="60" w:after="60" w:line="240" w:lineRule="auto"/>
              <w:rPr>
                <w:rFonts w:ascii="Times New Roman" w:hAnsi="Times New Roman"/>
                <w:noProof/>
              </w:rPr>
            </w:pPr>
            <w:r>
              <w:rPr>
                <w:rFonts w:ascii="Times New Roman" w:hAnsi="Times New Roman"/>
                <w:noProof/>
              </w:rPr>
              <w:t>(CPC 7139)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Se pot acorda drepturi exclusive numai resortisanților statelor membre ale Uniunii și persoanelor juridice din Uniune care au sediul în Uniune.</w:t>
            </w:r>
          </w:p>
        </w:tc>
      </w:tr>
      <w:tr>
        <w:tc>
          <w:tcPr>
            <w:tcW w:w="97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17. SERVICII AUXILIARE TRANSPORTULUI</w:t>
            </w:r>
            <w:r>
              <w:rPr>
                <w:rStyle w:val="FootnoteReference"/>
                <w:rFonts w:ascii="Times New Roman" w:hAnsi="Times New Roman"/>
                <w:b/>
                <w:noProof/>
              </w:rPr>
              <w:footnoteReference w:id="77"/>
            </w:r>
          </w:p>
        </w:tc>
        <w:tc>
          <w:tcPr>
            <w:tcW w:w="4028"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295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 Servicii auxiliare transportului maritim</w:t>
            </w:r>
          </w:p>
          <w:p>
            <w:pPr>
              <w:widowControl/>
              <w:suppressAutoHyphens/>
              <w:spacing w:before="60" w:after="60" w:line="240" w:lineRule="auto"/>
              <w:rPr>
                <w:rFonts w:ascii="Times New Roman" w:hAnsi="Times New Roman"/>
                <w:noProof/>
              </w:rPr>
            </w:pPr>
            <w:r>
              <w:rPr>
                <w:rFonts w:ascii="Times New Roman" w:hAnsi="Times New Roman"/>
                <w:noProof/>
              </w:rPr>
              <w:t>(a) Servicii de manipulare a încărcăturilor maritime</w:t>
            </w:r>
          </w:p>
          <w:p>
            <w:pPr>
              <w:widowControl/>
              <w:suppressAutoHyphens/>
              <w:spacing w:before="60" w:after="60" w:line="240" w:lineRule="auto"/>
              <w:rPr>
                <w:rFonts w:ascii="Times New Roman" w:hAnsi="Times New Roman"/>
                <w:noProof/>
              </w:rPr>
            </w:pPr>
            <w:r>
              <w:rPr>
                <w:rFonts w:ascii="Times New Roman" w:hAnsi="Times New Roman"/>
                <w:noProof/>
              </w:rPr>
              <w:t>(b) Servicii de stocare și depozitare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p>
            <w:pPr>
              <w:suppressAutoHyphens/>
              <w:spacing w:before="60" w:after="60" w:line="240" w:lineRule="auto"/>
              <w:rPr>
                <w:rFonts w:ascii="Times New Roman" w:hAnsi="Times New Roman"/>
                <w:noProof/>
              </w:rPr>
            </w:pPr>
            <w:r>
              <w:rPr>
                <w:rFonts w:ascii="Times New Roman" w:hAnsi="Times New Roman"/>
                <w:noProof/>
              </w:rPr>
              <w:t>(c) Servicii de vămuire</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HU, IE, IT, LT, LU, MT, NL, PL, PT, RO, SK, SI, SE: neconsolidat pentru stabilirea unei societăți înregistrate cu scopul de a exploata o flotă sub pavilionul național al statului de stabilire.</w:t>
            </w:r>
          </w:p>
          <w:p>
            <w:pPr>
              <w:widowControl/>
              <w:suppressAutoHyphens/>
              <w:spacing w:before="60" w:after="60" w:line="240" w:lineRule="auto"/>
              <w:rPr>
                <w:rFonts w:ascii="Times New Roman" w:hAnsi="Times New Roman"/>
                <w:noProof/>
              </w:rPr>
            </w:pPr>
            <w:r>
              <w:rPr>
                <w:rFonts w:ascii="Times New Roman" w:hAnsi="Times New Roman"/>
                <w:noProof/>
              </w:rPr>
              <w:t>În IT: Se aplică un test privind necesitățile economice</w:t>
            </w:r>
            <w:r>
              <w:rPr>
                <w:rStyle w:val="FootnoteReference"/>
                <w:rFonts w:ascii="Times New Roman" w:hAnsi="Times New Roman"/>
                <w:b/>
                <w:noProof/>
              </w:rPr>
              <w:footnoteReference w:id="78"/>
            </w:r>
            <w:r>
              <w:rPr>
                <w:rFonts w:ascii="Times New Roman" w:hAnsi="Times New Roman"/>
                <w:noProof/>
              </w:rPr>
              <w:t xml:space="preserve"> pentru serviciile de manipulare a încărcăturilor maritime. Criteriile principale: numărul unităților existente și impactul asupra acestora, densitatea populației, răspândirea geografică și crearea de noi locuri de muncă. Cerința privind rezidența pentru „</w:t>
            </w:r>
            <w:r>
              <w:rPr>
                <w:rFonts w:ascii="Times New Roman" w:hAnsi="Times New Roman"/>
                <w:i/>
                <w:noProof/>
              </w:rPr>
              <w:t>raccomandatario marittimo</w:t>
            </w:r>
            <w:r>
              <w:rPr>
                <w:rFonts w:ascii="Times New Roman" w:hAnsi="Times New Roman"/>
                <w:noProof/>
              </w:rPr>
              <w:t>”.</w:t>
            </w:r>
          </w:p>
          <w:p>
            <w:pPr>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 Pentru serviciile agențiilor maritime, companiile maritime din Indonezia au dreptul de a înființa sucursale care pot acționa în calitate de agenți pentru birourile lor centrale. Serviciile auxiliare transportului maritim care necesită utilizarea de nave pot fi furnizate numai de navele exploatate sub pavilion bulgar. Condiția privind deținerea cetățeniei.</w:t>
            </w:r>
          </w:p>
        </w:tc>
      </w:tr>
      <w:tr>
        <w:trPr>
          <w:trHeight w:val="5160"/>
        </w:trPr>
        <w:tc>
          <w:tcPr>
            <w:tcW w:w="972"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lastRenderedPageBreak/>
              <w:t>(d) Servicii de staționare și depozitare a containerelor</w:t>
            </w:r>
          </w:p>
          <w:p>
            <w:pPr>
              <w:widowControl/>
              <w:suppressAutoHyphens/>
              <w:spacing w:before="60" w:after="60" w:line="240" w:lineRule="auto"/>
              <w:rPr>
                <w:rFonts w:ascii="Times New Roman" w:hAnsi="Times New Roman"/>
                <w:noProof/>
              </w:rPr>
            </w:pPr>
            <w:r>
              <w:rPr>
                <w:rFonts w:ascii="Times New Roman" w:hAnsi="Times New Roman"/>
                <w:noProof/>
              </w:rPr>
              <w:t>(e) Servicii ale agențiilor maritime</w:t>
            </w:r>
            <w:r>
              <w:rPr>
                <w:rStyle w:val="FootnoteReference"/>
                <w:rFonts w:ascii="Times New Roman" w:hAnsi="Times New Roman"/>
                <w:b/>
                <w:noProof/>
              </w:rPr>
              <w:footnoteReference w:id="79"/>
            </w:r>
          </w:p>
          <w:p>
            <w:pPr>
              <w:widowControl/>
              <w:suppressAutoHyphens/>
              <w:spacing w:before="60" w:after="60" w:line="240" w:lineRule="auto"/>
              <w:rPr>
                <w:rFonts w:ascii="Times New Roman" w:hAnsi="Times New Roman"/>
                <w:noProof/>
              </w:rPr>
            </w:pPr>
            <w:r>
              <w:rPr>
                <w:rFonts w:ascii="Times New Roman" w:hAnsi="Times New Roman"/>
                <w:noProof/>
              </w:rPr>
              <w:t>(f) Servicii maritime de expediere de mărfuri</w:t>
            </w:r>
          </w:p>
          <w:p>
            <w:pPr>
              <w:widowControl/>
              <w:suppressAutoHyphens/>
              <w:spacing w:before="60" w:after="60" w:line="240" w:lineRule="auto"/>
              <w:rPr>
                <w:rFonts w:ascii="Times New Roman" w:hAnsi="Times New Roman"/>
                <w:noProof/>
              </w:rPr>
            </w:pPr>
            <w:r>
              <w:rPr>
                <w:rFonts w:ascii="Times New Roman" w:hAnsi="Times New Roman"/>
                <w:noProof/>
              </w:rPr>
              <w:t>(g) Servicii de închiriere de nave cu echipaj</w:t>
            </w:r>
          </w:p>
          <w:p>
            <w:pPr>
              <w:widowControl/>
              <w:suppressAutoHyphens/>
              <w:spacing w:before="60" w:after="60" w:line="240" w:lineRule="auto"/>
              <w:rPr>
                <w:rFonts w:ascii="Times New Roman" w:hAnsi="Times New Roman"/>
                <w:noProof/>
              </w:rPr>
            </w:pPr>
            <w:r>
              <w:rPr>
                <w:rFonts w:ascii="Times New Roman" w:hAnsi="Times New Roman"/>
                <w:noProof/>
              </w:rPr>
              <w:t>(CPC 7213)</w:t>
            </w:r>
          </w:p>
          <w:p>
            <w:pPr>
              <w:widowControl/>
              <w:suppressAutoHyphens/>
              <w:spacing w:before="60" w:after="60" w:line="240" w:lineRule="auto"/>
              <w:rPr>
                <w:rFonts w:ascii="Times New Roman" w:hAnsi="Times New Roman"/>
                <w:noProof/>
              </w:rPr>
            </w:pPr>
            <w:r>
              <w:rPr>
                <w:rFonts w:ascii="Times New Roman" w:hAnsi="Times New Roman"/>
                <w:noProof/>
              </w:rPr>
              <w:t>(h) Servicii de împingere și remorcare</w:t>
            </w:r>
          </w:p>
          <w:p>
            <w:pPr>
              <w:widowControl/>
              <w:suppressAutoHyphens/>
              <w:spacing w:before="60" w:after="60" w:line="240" w:lineRule="auto"/>
              <w:rPr>
                <w:rFonts w:ascii="Times New Roman" w:hAnsi="Times New Roman"/>
                <w:noProof/>
              </w:rPr>
            </w:pPr>
            <w:r>
              <w:rPr>
                <w:rFonts w:ascii="Times New Roman" w:hAnsi="Times New Roman"/>
                <w:noProof/>
              </w:rPr>
              <w:t>(CPC 7214)</w:t>
            </w:r>
          </w:p>
        </w:tc>
        <w:tc>
          <w:tcPr>
            <w:tcW w:w="4028" w:type="pct"/>
            <w:tcBorders>
              <w:top w:val="nil"/>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HR: neconsolidat pentru serviciile de vămuire, serviciile de staționare și depozitare a containerelor, serviciile agențiilor maritime și serviciile maritime de expediere de mărfuri. Pentru serviciile de manipulare a încărcăturilor maritime, serviciile de stocare și depozitare, alte servicii de sprijin și auxiliare (inclusiv catering), serviciile de împingere și remorcare și serviciile de sprijin pentru transportul maritim: niciuna, cu excepția faptului că persoanele juridice străine trebuie să înființeze în Croația o societate căreia autoritatea portuară să îi acorde o concesiune, în urma unei proceduri de licitație publică. Numărul de furnizori de servicii poate fi limitat în funcție de limitele capacității portuare.</w:t>
            </w:r>
          </w:p>
          <w:p>
            <w:pPr>
              <w:widowControl/>
              <w:suppressAutoHyphens/>
              <w:spacing w:before="60" w:after="60" w:line="240" w:lineRule="auto"/>
              <w:rPr>
                <w:rFonts w:ascii="Times New Roman" w:hAnsi="Times New Roman"/>
                <w:noProof/>
              </w:rPr>
            </w:pPr>
            <w:r>
              <w:rPr>
                <w:rFonts w:ascii="Times New Roman" w:hAnsi="Times New Roman"/>
                <w:noProof/>
              </w:rPr>
              <w:t>În SI: Numai persoanele juridice stabilite în Slovenia pot furniza servicii de vămuire (nu sunt permise sucursalele).</w:t>
            </w:r>
          </w:p>
          <w:p>
            <w:pPr>
              <w:suppressAutoHyphens/>
              <w:spacing w:before="60" w:after="60" w:line="240" w:lineRule="auto"/>
              <w:rPr>
                <w:noProof/>
              </w:rPr>
            </w:pPr>
            <w:r>
              <w:rPr>
                <w:rFonts w:ascii="Times New Roman" w:hAnsi="Times New Roman"/>
                <w:noProof/>
              </w:rPr>
              <w:t>În FI: Pot fi furnizate servicii numai de către navele exploatate sub pavilion finlandez.</w:t>
            </w:r>
          </w:p>
        </w:tc>
      </w:tr>
      <w:tr>
        <w:trPr>
          <w:trHeight w:val="1395"/>
        </w:trPr>
        <w:tc>
          <w:tcPr>
            <w:tcW w:w="972" w:type="pct"/>
            <w:tcBorders>
              <w:top w:val="nil"/>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 Servicii de sprijin pentru transportul maritim</w:t>
            </w:r>
          </w:p>
          <w:p>
            <w:pPr>
              <w:pageBreakBefore/>
              <w:widowControl/>
              <w:suppressAutoHyphens/>
              <w:spacing w:before="60" w:after="60" w:line="240" w:lineRule="auto"/>
              <w:rPr>
                <w:rFonts w:ascii="Times New Roman" w:hAnsi="Times New Roman"/>
                <w:noProof/>
              </w:rPr>
            </w:pPr>
            <w:r>
              <w:rPr>
                <w:rFonts w:ascii="Times New Roman" w:hAnsi="Times New Roman"/>
                <w:noProof/>
              </w:rPr>
              <w:t>(parte din CPC 745)</w:t>
            </w:r>
          </w:p>
          <w:p>
            <w:pPr>
              <w:pageBreakBefore/>
              <w:widowControl/>
              <w:suppressAutoHyphens/>
              <w:spacing w:before="60" w:after="60" w:line="240" w:lineRule="auto"/>
              <w:rPr>
                <w:rFonts w:ascii="Times New Roman" w:hAnsi="Times New Roman"/>
                <w:noProof/>
              </w:rPr>
            </w:pPr>
            <w:r>
              <w:rPr>
                <w:rFonts w:ascii="Times New Roman" w:hAnsi="Times New Roman"/>
                <w:noProof/>
              </w:rPr>
              <w:t>(j) Alte servicii de sprijin și auxiliare (inclusiv catering)</w:t>
            </w:r>
          </w:p>
          <w:p>
            <w:pPr>
              <w:suppressAutoHyphens/>
              <w:spacing w:before="60" w:after="60" w:line="240" w:lineRule="auto"/>
              <w:rPr>
                <w:noProof/>
              </w:rPr>
            </w:pPr>
            <w:r>
              <w:rPr>
                <w:rFonts w:ascii="Times New Roman" w:hAnsi="Times New Roman"/>
                <w:noProof/>
              </w:rPr>
              <w:t>(parte din CPC 749)</w:t>
            </w:r>
          </w:p>
        </w:tc>
        <w:tc>
          <w:tcPr>
            <w:tcW w:w="4028" w:type="pct"/>
            <w:tcBorders>
              <w:top w:val="nil"/>
              <w:bottom w:val="single" w:sz="4" w:space="0" w:color="auto"/>
            </w:tcBorders>
          </w:tcPr>
          <w:p>
            <w:pPr>
              <w:suppressAutoHyphens/>
              <w:spacing w:before="60" w:after="60" w:line="240" w:lineRule="auto"/>
              <w:rPr>
                <w:noProof/>
              </w:rPr>
            </w:pPr>
          </w:p>
        </w:tc>
      </w:tr>
      <w:tr>
        <w:trPr>
          <w:trHeight w:val="385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B. Servicii auxiliare transportului feroviar</w:t>
            </w:r>
          </w:p>
          <w:p>
            <w:pPr>
              <w:widowControl/>
              <w:suppressAutoHyphens/>
              <w:spacing w:before="60" w:after="60" w:line="240" w:lineRule="auto"/>
              <w:rPr>
                <w:rFonts w:ascii="Times New Roman" w:hAnsi="Times New Roman"/>
                <w:noProof/>
              </w:rPr>
            </w:pPr>
            <w:r>
              <w:rPr>
                <w:rFonts w:ascii="Times New Roman" w:hAnsi="Times New Roman"/>
                <w:noProof/>
              </w:rPr>
              <w:t>(a) Servicii de manipulare a încărcăturilor</w:t>
            </w:r>
          </w:p>
          <w:p>
            <w:pPr>
              <w:widowControl/>
              <w:suppressAutoHyphens/>
              <w:spacing w:before="60" w:after="60" w:line="240" w:lineRule="auto"/>
              <w:rPr>
                <w:rFonts w:ascii="Times New Roman" w:hAnsi="Times New Roman"/>
                <w:noProof/>
              </w:rPr>
            </w:pPr>
            <w:r>
              <w:rPr>
                <w:rFonts w:ascii="Times New Roman" w:hAnsi="Times New Roman"/>
                <w:noProof/>
              </w:rPr>
              <w:t>(parte din CPC 741)</w:t>
            </w:r>
          </w:p>
          <w:p>
            <w:pPr>
              <w:widowControl/>
              <w:suppressAutoHyphens/>
              <w:spacing w:before="60" w:after="60" w:line="240" w:lineRule="auto"/>
              <w:rPr>
                <w:rFonts w:ascii="Times New Roman" w:hAnsi="Times New Roman"/>
                <w:noProof/>
              </w:rPr>
            </w:pPr>
            <w:r>
              <w:rPr>
                <w:rFonts w:ascii="Times New Roman" w:hAnsi="Times New Roman"/>
                <w:noProof/>
              </w:rPr>
              <w:t>(b) Servicii de depozitare și antrepozitare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p>
            <w:pPr>
              <w:widowControl/>
              <w:suppressAutoHyphens/>
              <w:spacing w:before="60" w:after="60" w:line="240" w:lineRule="auto"/>
              <w:rPr>
                <w:rFonts w:ascii="Times New Roman" w:hAnsi="Times New Roman"/>
                <w:noProof/>
              </w:rPr>
            </w:pPr>
            <w:r>
              <w:rPr>
                <w:rFonts w:ascii="Times New Roman" w:hAnsi="Times New Roman"/>
                <w:noProof/>
              </w:rPr>
              <w:t>(c) Servicii de agenție de transport de mărfuri</w:t>
            </w:r>
          </w:p>
          <w:p>
            <w:pPr>
              <w:suppressAutoHyphens/>
              <w:spacing w:before="60" w:after="60" w:line="240" w:lineRule="auto"/>
              <w:rPr>
                <w:rFonts w:ascii="Times New Roman" w:hAnsi="Times New Roman"/>
                <w:noProof/>
              </w:rPr>
            </w:pPr>
            <w:r>
              <w:rPr>
                <w:rFonts w:ascii="Times New Roman" w:hAnsi="Times New Roman"/>
                <w:noProof/>
              </w:rPr>
              <w:t>(parte din CPC 748)</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 Participarea într-o societate bulgară este limitată la 49 %.</w:t>
            </w:r>
          </w:p>
          <w:p>
            <w:pPr>
              <w:widowControl/>
              <w:suppressAutoHyphens/>
              <w:spacing w:before="60" w:after="60" w:line="240" w:lineRule="auto"/>
              <w:rPr>
                <w:rFonts w:ascii="Times New Roman" w:hAnsi="Times New Roman"/>
                <w:noProof/>
              </w:rPr>
            </w:pPr>
            <w:r>
              <w:rPr>
                <w:rFonts w:ascii="Times New Roman" w:hAnsi="Times New Roman"/>
                <w:noProof/>
              </w:rPr>
              <w:t>În CZ: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SI: Numai persoanele juridice stabilite în Slovenia pot furniza servicii de vămuire (nu sunt permise sucursalele).</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serviciile de împingere și remorcare.</w:t>
            </w:r>
          </w:p>
        </w:tc>
      </w:tr>
      <w:tr>
        <w:trPr>
          <w:trHeight w:val="2145"/>
        </w:trPr>
        <w:tc>
          <w:tcPr>
            <w:tcW w:w="972" w:type="pct"/>
            <w:tcBorders>
              <w:top w:val="nil"/>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de împingere și remorcare</w:t>
            </w:r>
          </w:p>
          <w:p>
            <w:pPr>
              <w:widowControl/>
              <w:suppressAutoHyphens/>
              <w:spacing w:before="60" w:after="60" w:line="240" w:lineRule="auto"/>
              <w:rPr>
                <w:rFonts w:ascii="Times New Roman" w:hAnsi="Times New Roman"/>
                <w:noProof/>
              </w:rPr>
            </w:pPr>
            <w:r>
              <w:rPr>
                <w:rFonts w:ascii="Times New Roman" w:hAnsi="Times New Roman"/>
                <w:noProof/>
              </w:rPr>
              <w:t>(CPC 7113)</w:t>
            </w:r>
          </w:p>
          <w:p>
            <w:pPr>
              <w:widowControl/>
              <w:suppressAutoHyphens/>
              <w:spacing w:before="60" w:after="60" w:line="240" w:lineRule="auto"/>
              <w:rPr>
                <w:rFonts w:ascii="Times New Roman" w:hAnsi="Times New Roman"/>
                <w:noProof/>
              </w:rPr>
            </w:pPr>
            <w:r>
              <w:rPr>
                <w:rFonts w:ascii="Times New Roman" w:hAnsi="Times New Roman"/>
                <w:noProof/>
              </w:rPr>
              <w:t>(e) Servicii de sprijin pentru serviciile de transport feroviar</w:t>
            </w:r>
          </w:p>
          <w:p>
            <w:pPr>
              <w:widowControl/>
              <w:suppressAutoHyphens/>
              <w:spacing w:before="60" w:after="60" w:line="240" w:lineRule="auto"/>
              <w:rPr>
                <w:rFonts w:ascii="Times New Roman" w:hAnsi="Times New Roman"/>
                <w:noProof/>
              </w:rPr>
            </w:pPr>
            <w:r>
              <w:rPr>
                <w:rFonts w:ascii="Times New Roman" w:hAnsi="Times New Roman"/>
                <w:noProof/>
              </w:rPr>
              <w:t>(CPC 743)</w:t>
            </w:r>
          </w:p>
          <w:p>
            <w:pPr>
              <w:widowControl/>
              <w:suppressAutoHyphens/>
              <w:spacing w:before="60" w:after="60" w:line="240" w:lineRule="auto"/>
              <w:rPr>
                <w:rFonts w:ascii="Times New Roman" w:hAnsi="Times New Roman"/>
                <w:noProof/>
              </w:rPr>
            </w:pPr>
            <w:r>
              <w:rPr>
                <w:rFonts w:ascii="Times New Roman" w:hAnsi="Times New Roman"/>
                <w:noProof/>
              </w:rPr>
              <w:t>(f) Alte servicii de sprijin și auxiliare</w:t>
            </w:r>
          </w:p>
          <w:p>
            <w:pPr>
              <w:suppressAutoHyphens/>
              <w:spacing w:before="60" w:after="60" w:line="240" w:lineRule="auto"/>
              <w:rPr>
                <w:noProof/>
              </w:rPr>
            </w:pPr>
            <w:r>
              <w:rPr>
                <w:rFonts w:ascii="Times New Roman" w:hAnsi="Times New Roman"/>
                <w:noProof/>
              </w:rPr>
              <w:t>(parte din CPC 749)</w:t>
            </w:r>
          </w:p>
        </w:tc>
        <w:tc>
          <w:tcPr>
            <w:tcW w:w="4028" w:type="pct"/>
            <w:tcBorders>
              <w:top w:val="nil"/>
              <w:bottom w:val="single" w:sz="4" w:space="0" w:color="auto"/>
            </w:tcBorders>
          </w:tcPr>
          <w:p>
            <w:pPr>
              <w:suppressAutoHyphens/>
              <w:spacing w:before="60" w:after="60" w:line="240" w:lineRule="auto"/>
              <w:rPr>
                <w:noProof/>
              </w:rPr>
            </w:pPr>
          </w:p>
        </w:tc>
      </w:tr>
      <w:tr>
        <w:trPr>
          <w:trHeight w:val="2895"/>
        </w:trPr>
        <w:tc>
          <w:tcPr>
            <w:tcW w:w="97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 Servicii auxiliare transportului rutier</w:t>
            </w:r>
          </w:p>
          <w:p>
            <w:pPr>
              <w:widowControl/>
              <w:suppressAutoHyphens/>
              <w:spacing w:before="60" w:after="60" w:line="240" w:lineRule="auto"/>
              <w:rPr>
                <w:rFonts w:ascii="Times New Roman" w:hAnsi="Times New Roman"/>
                <w:noProof/>
              </w:rPr>
            </w:pPr>
            <w:r>
              <w:rPr>
                <w:rFonts w:ascii="Times New Roman" w:hAnsi="Times New Roman"/>
                <w:noProof/>
              </w:rPr>
              <w:t>(a) Servicii de manipulare a încărcăturilor</w:t>
            </w:r>
          </w:p>
          <w:p>
            <w:pPr>
              <w:widowControl/>
              <w:suppressAutoHyphens/>
              <w:spacing w:before="60" w:after="60" w:line="240" w:lineRule="auto"/>
              <w:rPr>
                <w:rFonts w:ascii="Times New Roman" w:hAnsi="Times New Roman"/>
                <w:noProof/>
              </w:rPr>
            </w:pPr>
            <w:r>
              <w:rPr>
                <w:rFonts w:ascii="Times New Roman" w:hAnsi="Times New Roman"/>
                <w:noProof/>
              </w:rPr>
              <w:t>(parte din CPC 741)</w:t>
            </w:r>
          </w:p>
          <w:p>
            <w:pPr>
              <w:widowControl/>
              <w:suppressAutoHyphens/>
              <w:spacing w:before="60" w:after="60" w:line="240" w:lineRule="auto"/>
              <w:rPr>
                <w:rFonts w:ascii="Times New Roman" w:hAnsi="Times New Roman"/>
                <w:noProof/>
              </w:rPr>
            </w:pPr>
            <w:r>
              <w:rPr>
                <w:rFonts w:ascii="Times New Roman" w:hAnsi="Times New Roman"/>
                <w:noProof/>
              </w:rPr>
              <w:t>(b) Servicii de depozitare și antrepozitare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40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Pentru închirierea de vehicule rutiere comerciale cu operatori, se pot acorda autorizații numai resortisanților statelor membre ale Uniunii și persoanelor juridice din Uniune care au sediul în Uniune. Condiția privind deținerea cetățeniei pentru persoanele și acționarii care au dreptul să reprezinte o persoană juridică sau un parteneriat.</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 Participarea într-o societate bulgară este limitată la 49 %. Se aplică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CZ: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FI: Pentru închirierea de vehicule rutiere comerciale cu operatori este necesară o autorizație, care nu se acordă în cazul vehiculelor înmatriculate în străinătate.</w:t>
            </w:r>
          </w:p>
        </w:tc>
      </w:tr>
      <w:tr>
        <w:trPr>
          <w:trHeight w:val="2310"/>
        </w:trPr>
        <w:tc>
          <w:tcPr>
            <w:tcW w:w="972" w:type="pct"/>
            <w:tcBorders>
              <w:top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agenție de transport de mărfuri</w:t>
            </w:r>
          </w:p>
          <w:p>
            <w:pPr>
              <w:widowControl/>
              <w:suppressAutoHyphens/>
              <w:spacing w:before="60" w:after="60" w:line="240" w:lineRule="auto"/>
              <w:rPr>
                <w:rFonts w:ascii="Times New Roman" w:hAnsi="Times New Roman"/>
                <w:noProof/>
              </w:rPr>
            </w:pPr>
            <w:r>
              <w:rPr>
                <w:rFonts w:ascii="Times New Roman" w:hAnsi="Times New Roman"/>
                <w:noProof/>
              </w:rPr>
              <w:t>(parte din CPC 748)</w:t>
            </w:r>
          </w:p>
          <w:p>
            <w:pPr>
              <w:widowControl/>
              <w:suppressAutoHyphens/>
              <w:spacing w:before="60" w:after="60" w:line="240" w:lineRule="auto"/>
              <w:rPr>
                <w:rFonts w:ascii="Times New Roman" w:hAnsi="Times New Roman"/>
                <w:noProof/>
              </w:rPr>
            </w:pPr>
            <w:r>
              <w:rPr>
                <w:rFonts w:ascii="Times New Roman" w:hAnsi="Times New Roman"/>
                <w:noProof/>
              </w:rPr>
              <w:t>(d) Închiriere de vehicule rutiere comerciale cu operatori</w:t>
            </w:r>
          </w:p>
          <w:p>
            <w:pPr>
              <w:widowControl/>
              <w:suppressAutoHyphens/>
              <w:spacing w:before="60" w:after="60" w:line="240" w:lineRule="auto"/>
              <w:rPr>
                <w:rFonts w:ascii="Times New Roman" w:hAnsi="Times New Roman"/>
                <w:noProof/>
              </w:rPr>
            </w:pPr>
            <w:r>
              <w:rPr>
                <w:rFonts w:ascii="Times New Roman" w:hAnsi="Times New Roman"/>
                <w:noProof/>
              </w:rPr>
              <w:t>(CPC 7124)</w:t>
            </w:r>
          </w:p>
          <w:p>
            <w:pPr>
              <w:widowControl/>
              <w:suppressAutoHyphens/>
              <w:spacing w:before="60" w:after="60" w:line="240" w:lineRule="auto"/>
              <w:rPr>
                <w:rFonts w:ascii="Times New Roman" w:hAnsi="Times New Roman"/>
                <w:noProof/>
              </w:rPr>
            </w:pPr>
            <w:r>
              <w:rPr>
                <w:rFonts w:ascii="Times New Roman" w:hAnsi="Times New Roman"/>
                <w:noProof/>
              </w:rPr>
              <w:t>(e) Servicii de sprijin pentru echipamentele de transport rutier</w:t>
            </w:r>
          </w:p>
          <w:p>
            <w:pPr>
              <w:widowControl/>
              <w:suppressAutoHyphens/>
              <w:spacing w:before="60" w:after="60" w:line="240" w:lineRule="auto"/>
              <w:rPr>
                <w:rFonts w:ascii="Times New Roman" w:hAnsi="Times New Roman"/>
                <w:noProof/>
              </w:rPr>
            </w:pPr>
            <w:r>
              <w:rPr>
                <w:rFonts w:ascii="Times New Roman" w:hAnsi="Times New Roman"/>
                <w:noProof/>
              </w:rPr>
              <w:t>(CPC 744)</w:t>
            </w:r>
          </w:p>
          <w:p>
            <w:pPr>
              <w:widowControl/>
              <w:suppressAutoHyphens/>
              <w:spacing w:before="60" w:after="60" w:line="240" w:lineRule="auto"/>
              <w:rPr>
                <w:rFonts w:ascii="Times New Roman" w:hAnsi="Times New Roman"/>
                <w:noProof/>
              </w:rPr>
            </w:pPr>
            <w:r>
              <w:rPr>
                <w:rFonts w:ascii="Times New Roman" w:hAnsi="Times New Roman"/>
                <w:noProof/>
              </w:rPr>
              <w:t>(f) Alte servicii de sprijin și auxiliare</w:t>
            </w:r>
          </w:p>
          <w:p>
            <w:pPr>
              <w:suppressAutoHyphens/>
              <w:spacing w:before="60" w:after="60" w:line="240" w:lineRule="auto"/>
              <w:rPr>
                <w:noProof/>
              </w:rPr>
            </w:pPr>
            <w:r>
              <w:rPr>
                <w:rFonts w:ascii="Times New Roman" w:hAnsi="Times New Roman"/>
                <w:noProof/>
              </w:rPr>
              <w:t>(parte din CPC 749)</w:t>
            </w:r>
          </w:p>
        </w:tc>
        <w:tc>
          <w:tcPr>
            <w:tcW w:w="4028" w:type="pct"/>
            <w:tcBorders>
              <w:top w:val="nil"/>
            </w:tcBorders>
          </w:tcPr>
          <w:p>
            <w:pPr>
              <w:suppressAutoHyphens/>
              <w:spacing w:before="60" w:after="60" w:line="240" w:lineRule="auto"/>
              <w:rPr>
                <w:rFonts w:ascii="Times New Roman" w:hAnsi="Times New Roman"/>
                <w:noProof/>
              </w:rPr>
            </w:pPr>
            <w:r>
              <w:rPr>
                <w:rFonts w:ascii="Times New Roman" w:hAnsi="Times New Roman"/>
                <w:noProof/>
              </w:rPr>
              <w:t>În SI: Numai persoanele juridice stabilite în Slovenia pot furniza servicii de vămuire (nu sunt permise sucursalele).</w:t>
            </w:r>
          </w:p>
          <w:p>
            <w:pPr>
              <w:widowControl/>
              <w:suppressAutoHyphens/>
              <w:spacing w:before="60" w:after="60" w:line="240" w:lineRule="auto"/>
              <w:rPr>
                <w:rFonts w:ascii="Times New Roman" w:hAnsi="Times New Roman"/>
                <w:noProof/>
              </w:rPr>
            </w:pPr>
            <w:r>
              <w:rPr>
                <w:rFonts w:ascii="Times New Roman" w:hAnsi="Times New Roman"/>
                <w:noProof/>
              </w:rPr>
              <w:t>În MT: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HR: neconsolidat pentru închirierea de vehicule rutiere comerciale cu operatori.</w:t>
            </w:r>
          </w:p>
          <w:p>
            <w:pPr>
              <w:suppressAutoHyphens/>
              <w:spacing w:before="60" w:after="60" w:line="240" w:lineRule="auto"/>
              <w:rPr>
                <w:noProof/>
              </w:rPr>
            </w:pPr>
            <w:r>
              <w:rPr>
                <w:rFonts w:ascii="Times New Roman" w:hAnsi="Times New Roman"/>
                <w:noProof/>
              </w:rPr>
              <w:t>În CY: neconsolidat pentru închirierea de vehicule rutiere comerciale cu operatori.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Servicii auxiliare serviciilor de transport aerian</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de handling la sol</w:t>
            </w:r>
          </w:p>
          <w:p>
            <w:pPr>
              <w:widowControl/>
              <w:suppressAutoHyphens/>
              <w:spacing w:before="60" w:after="60" w:line="240" w:lineRule="auto"/>
              <w:rPr>
                <w:rFonts w:ascii="Times New Roman" w:hAnsi="Times New Roman"/>
                <w:noProof/>
              </w:rPr>
            </w:pPr>
            <w:r>
              <w:rPr>
                <w:rFonts w:ascii="Times New Roman" w:hAnsi="Times New Roman"/>
                <w:noProof/>
              </w:rPr>
              <w:t>(inclusiv catering)</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cu excepția accesului pe piață. Categoriile de activități depind de mărimea aeroportului. Numărul furnizorilor de servicii pentru fiecare aeroport poate fi limitat ca urmare a constrângerilor privind spațiul disponibil și, din alte motive, poate fi limitat la nu mai puțin de doi furnizori.</w:t>
            </w:r>
          </w:p>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depozitare și antrepozitare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BG: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PL: Pentru serviciile de depozitare a produselor refrigerate sau congelate și serviciile de depozitare în vrac a lichidelor sau a gazelor, categoriile de activități depind de mărimea aeroportului. Numărul furnizorilor de servicii pentru fiecare aeroport poate fi limitat ca urmare a constrângerilor privind spațiul disponibil și, din alte motive, poate fi limitat la nu mai puțin de doi furnizori.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Servicii de agenție de transport</w:t>
            </w:r>
          </w:p>
          <w:p>
            <w:pPr>
              <w:widowControl/>
              <w:suppressAutoHyphens/>
              <w:spacing w:before="60" w:after="60" w:line="240" w:lineRule="auto"/>
              <w:rPr>
                <w:rFonts w:ascii="Times New Roman" w:hAnsi="Times New Roman"/>
                <w:noProof/>
              </w:rPr>
            </w:pPr>
            <w:r>
              <w:rPr>
                <w:rFonts w:ascii="Times New Roman" w:hAnsi="Times New Roman"/>
                <w:noProof/>
              </w:rPr>
              <w:t>de mărfuri</w:t>
            </w:r>
          </w:p>
          <w:p>
            <w:pPr>
              <w:widowControl/>
              <w:suppressAutoHyphens/>
              <w:spacing w:before="60" w:after="60" w:line="240" w:lineRule="auto"/>
              <w:rPr>
                <w:rFonts w:ascii="Times New Roman" w:hAnsi="Times New Roman"/>
                <w:noProof/>
              </w:rPr>
            </w:pPr>
            <w:r>
              <w:rPr>
                <w:rFonts w:ascii="Times New Roman" w:hAnsi="Times New Roman"/>
                <w:noProof/>
              </w:rPr>
              <w:t>(parte din CPC 748)</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CZ, HU, MT, PL, RO, SK: neconsolidat.</w:t>
            </w:r>
          </w:p>
          <w:p>
            <w:pPr>
              <w:widowControl/>
              <w:suppressAutoHyphens/>
              <w:spacing w:before="60" w:after="60" w:line="240" w:lineRule="auto"/>
              <w:rPr>
                <w:rFonts w:ascii="Times New Roman" w:hAnsi="Times New Roman"/>
                <w:noProof/>
              </w:rPr>
            </w:pPr>
            <w:r>
              <w:rPr>
                <w:rFonts w:ascii="Times New Roman" w:hAnsi="Times New Roman"/>
                <w:noProof/>
              </w:rPr>
              <w:t>În BG: Persoanele străine pot furniza servicii numai prin participarea la societățile bulgare în limita a 49 % din capitalul social și prin intermediul sucursalelor.</w:t>
            </w:r>
          </w:p>
          <w:p>
            <w:pPr>
              <w:widowControl/>
              <w:suppressAutoHyphens/>
              <w:spacing w:before="60" w:after="60" w:line="240" w:lineRule="auto"/>
              <w:rPr>
                <w:rFonts w:ascii="Times New Roman" w:hAnsi="Times New Roman"/>
                <w:noProof/>
              </w:rPr>
            </w:pPr>
            <w:r>
              <w:rPr>
                <w:rFonts w:ascii="Times New Roman" w:hAnsi="Times New Roman"/>
                <w:noProof/>
              </w:rPr>
              <w:t>În SI: Numai persoanele juridice stabilite în Slovenia pot furniza servicii de vămuire (nu sunt permise sucursalele).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E. Servicii auxiliare transportului prin conducte al altor produse decât combustibilul</w:t>
            </w:r>
            <w:r>
              <w:rPr>
                <w:rStyle w:val="FootnoteReference"/>
                <w:rFonts w:ascii="Times New Roman" w:hAnsi="Times New Roman"/>
                <w:b/>
                <w:noProof/>
              </w:rPr>
              <w:footnoteReference w:id="80"/>
            </w:r>
          </w:p>
          <w:p>
            <w:pPr>
              <w:widowControl/>
              <w:suppressAutoHyphens/>
              <w:spacing w:before="60" w:after="60" w:line="240" w:lineRule="auto"/>
              <w:rPr>
                <w:rFonts w:ascii="Times New Roman" w:hAnsi="Times New Roman"/>
                <w:noProof/>
              </w:rPr>
            </w:pPr>
            <w:r>
              <w:rPr>
                <w:rFonts w:ascii="Times New Roman" w:hAnsi="Times New Roman"/>
                <w:noProof/>
              </w:rPr>
              <w:t>(a) Servicii de depozitare și antrepozitare a produselor, altele decât combustibilul, transportate prin conducte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AT: Se aplică condiția privind deținerea cetățeniei pentru directorii generali.</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18. ALTE SERVICII DE TRANSPORT</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Furnizarea de servicii de transport combinat</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toate statele membre, cu excepția AT, BG, CY, CZ, EE, HR, HU, LT, LV, MT, PL, RO, SE, SI și SK: Nu sunt prevăzute, fără a se aduce atingere limitărilor înscrise în prezenta listă a angajamentelor care afectează orice modalitate specifică de transport.</w:t>
            </w:r>
          </w:p>
          <w:p>
            <w:pPr>
              <w:widowControl/>
              <w:suppressAutoHyphens/>
              <w:spacing w:before="60" w:after="60" w:line="240" w:lineRule="auto"/>
              <w:rPr>
                <w:rFonts w:ascii="Times New Roman" w:hAnsi="Times New Roman"/>
                <w:noProof/>
              </w:rPr>
            </w:pPr>
            <w:r>
              <w:rPr>
                <w:rFonts w:ascii="Times New Roman" w:hAnsi="Times New Roman"/>
                <w:noProof/>
              </w:rPr>
              <w:t>În AT, BG, CY, CZ, EE, HR, HU, LT, LV, MT, PL, RO, SE, SI, SK: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19. SERVICII ENERGETICE</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conexe mineritului</w:t>
            </w:r>
          </w:p>
          <w:p>
            <w:pPr>
              <w:widowControl/>
              <w:suppressAutoHyphens/>
              <w:spacing w:before="60" w:after="60" w:line="240" w:lineRule="auto"/>
              <w:rPr>
                <w:rFonts w:ascii="Times New Roman" w:hAnsi="Times New Roman"/>
                <w:noProof/>
              </w:rPr>
            </w:pPr>
            <w:r>
              <w:rPr>
                <w:rFonts w:ascii="Times New Roman" w:hAnsi="Times New Roman"/>
                <w:noProof/>
              </w:rPr>
              <w:t>(CPC 883)</w:t>
            </w:r>
            <w:r>
              <w:rPr>
                <w:rStyle w:val="FootnoteReference"/>
                <w:rFonts w:ascii="Times New Roman" w:hAnsi="Times New Roman"/>
                <w:b/>
                <w:noProof/>
              </w:rPr>
              <w:footnoteReference w:id="81"/>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Din motive de lipsă de reciprocitate, Cipru își rezervă dreptul de a refuza acordarea licențelor pentru resortisanții țărilor terțe sau entitățile controlate de către resortisanți ai țărilor terțe, în legătură cu activitățile de prospectare, explorare și exploatare a hidrocarburilor. Entitățile cărora li s-a acordat o licență în legătură cu activitățile de prospectare, explorare și exploatare a hidrocarburilor nu pot intra sub controlul direct sau indirect al unei țări terțe sau al resortisanților unei țări terțe fără o autorizare prealabilă.</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Transportul prin conducte al combustibililor</w:t>
            </w:r>
          </w:p>
          <w:p>
            <w:pPr>
              <w:widowControl/>
              <w:suppressAutoHyphens/>
              <w:spacing w:before="60" w:after="60" w:line="240" w:lineRule="auto"/>
              <w:rPr>
                <w:rFonts w:ascii="Times New Roman" w:hAnsi="Times New Roman"/>
                <w:noProof/>
              </w:rPr>
            </w:pPr>
            <w:r>
              <w:rPr>
                <w:rFonts w:ascii="Times New Roman" w:hAnsi="Times New Roman"/>
                <w:noProof/>
              </w:rPr>
              <w:t>(CPC 7131)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BE, BG, CZ, CY, DE, DK, ES, EE, FI, FR, EL, IE, IT, LV, LU, MT, NL, PL, PT, RO, SK, SI, SE: neconsolidat.</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Servicii de depozitare și antrepozitare a combustibililor transportați prin conducte</w:t>
            </w:r>
          </w:p>
          <w:p>
            <w:pPr>
              <w:widowControl/>
              <w:suppressAutoHyphens/>
              <w:spacing w:before="60" w:after="60" w:line="240" w:lineRule="auto"/>
              <w:rPr>
                <w:rFonts w:ascii="Times New Roman" w:hAnsi="Times New Roman"/>
                <w:noProof/>
              </w:rPr>
            </w:pPr>
            <w:r>
              <w:rPr>
                <w:rFonts w:ascii="Times New Roman" w:hAnsi="Times New Roman"/>
                <w:noProof/>
              </w:rPr>
              <w:t>(parte din CPC 742)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PL: Investitorilor din țările care furnizează energie li se poate interzice să dobândească controlul asupra activității. Neconsolidat pentru deschiderea de sucursale directe (este necesară înregistrarea).</w:t>
            </w:r>
          </w:p>
          <w:p>
            <w:pPr>
              <w:widowControl/>
              <w:suppressAutoHyphens/>
              <w:spacing w:before="60" w:after="60" w:line="240" w:lineRule="auto"/>
              <w:rPr>
                <w:rFonts w:ascii="Times New Roman" w:hAnsi="Times New Roman"/>
                <w:noProof/>
              </w:rPr>
            </w:pPr>
            <w:r>
              <w:rPr>
                <w:rFonts w:ascii="Times New Roman" w:hAnsi="Times New Roman"/>
                <w:noProof/>
              </w:rPr>
              <w:t>În CZ: Este necesară o autorizație. O astfel de autorizație poate fi acordată numai unei persoane fizice titulare a unui permis de ședere sau unei persoane juridice stabilite în Uniune.</w:t>
            </w:r>
          </w:p>
          <w:p>
            <w:pPr>
              <w:widowControl/>
              <w:suppressAutoHyphens/>
              <w:spacing w:before="60" w:after="60" w:line="240" w:lineRule="auto"/>
              <w:rPr>
                <w:rFonts w:ascii="Times New Roman" w:hAnsi="Times New Roman"/>
                <w:noProof/>
              </w:rPr>
            </w:pPr>
            <w:r>
              <w:rPr>
                <w:rFonts w:ascii="Times New Roman" w:hAnsi="Times New Roman"/>
                <w:noProof/>
              </w:rPr>
              <w:t>În CY: neconsolidat.</w:t>
            </w:r>
          </w:p>
          <w:p>
            <w:pPr>
              <w:widowControl/>
              <w:suppressAutoHyphens/>
              <w:spacing w:before="60" w:after="60" w:line="240" w:lineRule="auto"/>
              <w:rPr>
                <w:rFonts w:ascii="Times New Roman" w:hAnsi="Times New Roman"/>
                <w:noProof/>
              </w:rPr>
            </w:pPr>
            <w:r>
              <w:rPr>
                <w:rFonts w:ascii="Times New Roman" w:hAnsi="Times New Roman"/>
                <w:noProof/>
              </w:rPr>
              <w:t>În SK: neconsolidat pentru deschiderea de sucursale directe (este necesară înregistrarea).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Servicii de comerț angro cu combustibili solizi, lichizi și gazoși și de produse conexe</w:t>
            </w:r>
          </w:p>
          <w:p>
            <w:pPr>
              <w:widowControl/>
              <w:suppressAutoHyphens/>
              <w:spacing w:before="60" w:after="60" w:line="240" w:lineRule="auto"/>
              <w:rPr>
                <w:rFonts w:ascii="Times New Roman" w:hAnsi="Times New Roman"/>
                <w:noProof/>
              </w:rPr>
            </w:pPr>
            <w:r>
              <w:rPr>
                <w:rFonts w:ascii="Times New Roman" w:hAnsi="Times New Roman"/>
                <w:noProof/>
              </w:rPr>
              <w:t>(CPC 62271)</w:t>
            </w:r>
          </w:p>
          <w:p>
            <w:pPr>
              <w:widowControl/>
              <w:suppressAutoHyphens/>
              <w:spacing w:before="60" w:after="60" w:line="240" w:lineRule="auto"/>
              <w:rPr>
                <w:rFonts w:ascii="Times New Roman" w:hAnsi="Times New Roman"/>
                <w:noProof/>
              </w:rPr>
            </w:pPr>
            <w:r>
              <w:rPr>
                <w:rFonts w:ascii="Times New Roman" w:hAnsi="Times New Roman"/>
                <w:noProof/>
              </w:rPr>
              <w:t>și servicii de comerț angro cu energie electrică, abur și apă caldă</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pentru serviciile de comerț angro cu energie electrică, abur și apă caldă.</w:t>
            </w:r>
          </w:p>
          <w:p>
            <w:pPr>
              <w:widowControl/>
              <w:suppressAutoHyphens/>
              <w:spacing w:before="60" w:after="60" w:line="240" w:lineRule="auto"/>
              <w:rPr>
                <w:rFonts w:ascii="Times New Roman" w:hAnsi="Times New Roman"/>
                <w:noProof/>
              </w:rPr>
            </w:pPr>
            <w:r>
              <w:rPr>
                <w:rFonts w:ascii="Times New Roman" w:hAnsi="Times New Roman"/>
                <w:noProof/>
              </w:rPr>
              <w:t>În SK: pentru combustibili lichizi și gazoși: neconsolidat pentru deschiderea de sucursale directe (este necesară înregistrarea).</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Servicii de comerț cu amănuntul cu carburanți pentru autovehicule</w:t>
            </w:r>
          </w:p>
          <w:p>
            <w:pPr>
              <w:widowControl/>
              <w:suppressAutoHyphens/>
              <w:spacing w:before="60" w:after="60" w:line="240" w:lineRule="auto"/>
              <w:rPr>
                <w:rFonts w:ascii="Times New Roman" w:hAnsi="Times New Roman"/>
                <w:noProof/>
              </w:rPr>
            </w:pPr>
            <w:r>
              <w:rPr>
                <w:rFonts w:ascii="Times New Roman" w:hAnsi="Times New Roman"/>
                <w:noProof/>
              </w:rPr>
              <w:t>(CPC 613)</w:t>
            </w:r>
          </w:p>
          <w:p>
            <w:pPr>
              <w:widowControl/>
              <w:suppressAutoHyphens/>
              <w:spacing w:before="60" w:after="60" w:line="240" w:lineRule="auto"/>
              <w:rPr>
                <w:rFonts w:ascii="Times New Roman" w:hAnsi="Times New Roman"/>
                <w:noProof/>
              </w:rPr>
            </w:pPr>
            <w:r>
              <w:rPr>
                <w:rFonts w:ascii="Times New Roman" w:hAnsi="Times New Roman"/>
                <w:noProof/>
              </w:rPr>
              <w:t>F. Servicii de comercializare cu amănuntul a păcurii, a gazului îmbuteliat, a cărbunelui și a lemnului</w:t>
            </w:r>
          </w:p>
          <w:p>
            <w:pPr>
              <w:widowControl/>
              <w:suppressAutoHyphens/>
              <w:spacing w:before="60" w:after="60" w:line="240" w:lineRule="auto"/>
              <w:rPr>
                <w:rFonts w:ascii="Times New Roman" w:hAnsi="Times New Roman"/>
                <w:noProof/>
              </w:rPr>
            </w:pPr>
            <w:r>
              <w:rPr>
                <w:rFonts w:ascii="Times New Roman" w:hAnsi="Times New Roman"/>
                <w:noProof/>
              </w:rPr>
              <w:t>(CPC 63297)</w:t>
            </w:r>
          </w:p>
          <w:p>
            <w:pPr>
              <w:widowControl/>
              <w:suppressAutoHyphens/>
              <w:spacing w:before="60" w:after="60" w:line="240" w:lineRule="auto"/>
              <w:rPr>
                <w:rFonts w:ascii="Times New Roman" w:hAnsi="Times New Roman"/>
                <w:noProof/>
              </w:rPr>
            </w:pPr>
            <w:r>
              <w:rPr>
                <w:rFonts w:ascii="Times New Roman" w:hAnsi="Times New Roman"/>
                <w:noProof/>
              </w:rPr>
              <w:t>și servicii de comercializare cu amănuntul a energiei electrice, a gazului (neîmbuteliat), a aburului și a apei calde</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 pentru serviciile de comerț cu amănuntul de carburanți pentru autovehicule, energie electrică, gaz (neîmbuteliat), abur și apă caldă.</w:t>
            </w:r>
          </w:p>
          <w:p>
            <w:pPr>
              <w:widowControl/>
              <w:suppressAutoHyphens/>
              <w:spacing w:before="60" w:after="60" w:line="240" w:lineRule="auto"/>
              <w:rPr>
                <w:rFonts w:ascii="Times New Roman" w:hAnsi="Times New Roman"/>
                <w:noProof/>
              </w:rPr>
            </w:pPr>
            <w:r>
              <w:rPr>
                <w:rFonts w:ascii="Times New Roman" w:hAnsi="Times New Roman"/>
                <w:noProof/>
              </w:rPr>
              <w:t>În BG, DK, FR, IT, MT, PT: Pentru serviciile de comercializare cu amănuntul a păcurii, a gazului îmbuteliat, a cărbunelui și a lemnului, autorizația pentru magazinele universale (în cazul FR numai pentru magazinele mari) este supusă unui test privind necesitățile economice. Criteriile principale: numărul magazinelor existente și impactul asupra acestora, densitatea populației, răspândirea geografică, impactul asupra condițiilor de trafic și crearea de noi locuri de muncă.</w:t>
            </w:r>
          </w:p>
          <w:p>
            <w:pPr>
              <w:widowControl/>
              <w:suppressAutoHyphens/>
              <w:spacing w:before="60" w:after="60" w:line="240" w:lineRule="auto"/>
              <w:rPr>
                <w:rFonts w:ascii="Times New Roman" w:hAnsi="Times New Roman"/>
                <w:noProof/>
              </w:rPr>
            </w:pPr>
            <w:r>
              <w:rPr>
                <w:rFonts w:ascii="Times New Roman" w:hAnsi="Times New Roman"/>
                <w:noProof/>
              </w:rPr>
              <w:t>În CZ: Este necesară o autorizație. O astfel de autorizație poate fi acordată numai unei persoane fizice titulare a unui permis de ședere sau unei persoane juridice stabilite în Uniune.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G. Servicii conexe distribuției de energie electrică</w:t>
            </w:r>
          </w:p>
          <w:p>
            <w:pPr>
              <w:widowControl/>
              <w:suppressAutoHyphens/>
              <w:spacing w:before="60" w:after="60" w:line="240" w:lineRule="auto"/>
              <w:rPr>
                <w:rFonts w:ascii="Times New Roman" w:hAnsi="Times New Roman"/>
                <w:noProof/>
              </w:rPr>
            </w:pPr>
            <w:r>
              <w:rPr>
                <w:rFonts w:ascii="Times New Roman" w:hAnsi="Times New Roman"/>
                <w:noProof/>
              </w:rPr>
              <w:t>(CPC 887)</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AT, BE, BG, CY, CZ, DE, DK, ES, EE, FI, FR, EL, IE, HU, IT, LU, LT, MT, NL, PL, PT, RO, SK, SE: neconsolidat, cu excepția serviciilor de consultanță; nu sunt prevăzute pentru serviciile de consultanță.</w:t>
            </w:r>
          </w:p>
          <w:p>
            <w:pPr>
              <w:widowControl/>
              <w:suppressAutoHyphens/>
              <w:spacing w:before="60" w:after="60" w:line="240" w:lineRule="auto"/>
              <w:rPr>
                <w:rFonts w:ascii="Times New Roman" w:hAnsi="Times New Roman"/>
                <w:noProof/>
              </w:rPr>
            </w:pPr>
            <w:r>
              <w:rPr>
                <w:rFonts w:ascii="Times New Roman" w:hAnsi="Times New Roman"/>
                <w:noProof/>
              </w:rPr>
              <w:t>În SI: neconsolidat, cu excepția serviciilor conexe distribuției de gaz; nu sunt prevăzute pentru distribuția de gaz.</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20. ALTE SERVICII CARE NU SUNT INCLUSE ÎN ALTĂ PARTE</w:t>
            </w:r>
          </w:p>
        </w:tc>
        <w:tc>
          <w:tcPr>
            <w:tcW w:w="4028" w:type="pct"/>
          </w:tcPr>
          <w:p>
            <w:pPr>
              <w:widowControl/>
              <w:suppressAutoHyphens/>
              <w:spacing w:before="60" w:after="60" w:line="240" w:lineRule="auto"/>
              <w:rPr>
                <w:rFonts w:ascii="Times New Roman" w:hAnsi="Times New Roman"/>
                <w:noProof/>
              </w:rPr>
            </w:pP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(a) Servicii de spălat, curățat și vopsit</w:t>
            </w:r>
          </w:p>
          <w:p>
            <w:pPr>
              <w:widowControl/>
              <w:suppressAutoHyphens/>
              <w:spacing w:before="60" w:after="60" w:line="240" w:lineRule="auto"/>
              <w:rPr>
                <w:rFonts w:ascii="Times New Roman" w:hAnsi="Times New Roman"/>
                <w:noProof/>
              </w:rPr>
            </w:pPr>
            <w:r>
              <w:rPr>
                <w:rFonts w:ascii="Times New Roman" w:hAnsi="Times New Roman"/>
                <w:noProof/>
              </w:rPr>
              <w:t>(CPC 9701)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(b) Servicii de coafură</w:t>
            </w:r>
          </w:p>
          <w:p>
            <w:pPr>
              <w:widowControl/>
              <w:suppressAutoHyphens/>
              <w:spacing w:before="60" w:after="60" w:line="240" w:lineRule="auto"/>
              <w:rPr>
                <w:rFonts w:ascii="Times New Roman" w:hAnsi="Times New Roman"/>
                <w:noProof/>
              </w:rPr>
            </w:pPr>
            <w:r>
              <w:rPr>
                <w:rFonts w:ascii="Times New Roman" w:hAnsi="Times New Roman"/>
                <w:noProof/>
              </w:rPr>
              <w:t>(CPC 97021)</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p>
            <w:pPr>
              <w:widowControl/>
              <w:suppressAutoHyphens/>
              <w:spacing w:before="60" w:after="60" w:line="240" w:lineRule="auto"/>
              <w:rPr>
                <w:rFonts w:ascii="Times New Roman" w:hAnsi="Times New Roman"/>
                <w:noProof/>
              </w:rPr>
            </w:pPr>
            <w:r>
              <w:rPr>
                <w:rFonts w:ascii="Times New Roman" w:hAnsi="Times New Roman"/>
                <w:noProof/>
              </w:rPr>
              <w:t>În IT: Testul privind necesitățile economice se aplică pe baza tratamentului național. Atunci când este aplicat, testul privind necesitățile economice stabilește o limită a numărului de întreprinderi. Criteriile principale: populația și densitatea întreprinderilor existente.</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(c) Servicii de tratament cosmetic, manichiură și pedichiură</w:t>
            </w:r>
          </w:p>
          <w:p>
            <w:pPr>
              <w:widowControl/>
              <w:suppressAutoHyphens/>
              <w:spacing w:before="60" w:after="60" w:line="240" w:lineRule="auto"/>
              <w:rPr>
                <w:rFonts w:ascii="Times New Roman" w:hAnsi="Times New Roman"/>
                <w:noProof/>
              </w:rPr>
            </w:pPr>
            <w:r>
              <w:rPr>
                <w:rFonts w:ascii="Times New Roman" w:hAnsi="Times New Roman"/>
                <w:noProof/>
              </w:rPr>
              <w:t>(CPC 97022)</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IT: Testul privind necesitățile economice se aplică pe baza tratamentului național. Atunci când este aplicat, testul privind necesitățile economice stabilește o limită a numărului de întreprinderi. Criteriile principale: populația și densitatea întreprinderilor existente.</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(d) Alte servicii de tratament de înfrumusețare n.c.a.</w:t>
            </w:r>
          </w:p>
          <w:p>
            <w:pPr>
              <w:widowControl/>
              <w:suppressAutoHyphens/>
              <w:spacing w:before="60" w:after="60" w:line="240" w:lineRule="auto"/>
              <w:rPr>
                <w:rFonts w:ascii="Times New Roman" w:hAnsi="Times New Roman"/>
                <w:noProof/>
              </w:rPr>
            </w:pPr>
            <w:r>
              <w:rPr>
                <w:rFonts w:ascii="Times New Roman" w:hAnsi="Times New Roman"/>
                <w:noProof/>
              </w:rPr>
              <w:t>(CPC 97029)</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IT: Testul privind necesitățile economice se aplică pe baza tratamentului național. Atunci când este aplicat, testul privind necesitățile economice stabilește o limită a numărului de întreprinderi. Criteriile principale: populația și densitatea întreprinderilor existente.</w:t>
            </w:r>
          </w:p>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tc>
      </w:tr>
      <w:tr>
        <w:tc>
          <w:tcPr>
            <w:tcW w:w="972"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Servicii de întreținere corporală și masaje altele decât terapeutice, în măsura în care sunt furnizate ca servicii de relaxare și de asigurare a bunăstării fizice, și nu în scopuri medicale sau de recuperare</w:t>
            </w:r>
            <w:r>
              <w:rPr>
                <w:rStyle w:val="FootnoteReference"/>
                <w:rFonts w:ascii="Times New Roman" w:hAnsi="Times New Roman"/>
                <w:b/>
                <w:noProof/>
              </w:rPr>
              <w:footnoteReference w:id="82"/>
            </w:r>
          </w:p>
          <w:p>
            <w:pPr>
              <w:widowControl/>
              <w:suppressAutoHyphens/>
              <w:spacing w:before="60" w:after="60" w:line="240" w:lineRule="auto"/>
              <w:rPr>
                <w:rFonts w:ascii="Times New Roman" w:hAnsi="Times New Roman"/>
                <w:noProof/>
              </w:rPr>
            </w:pPr>
            <w:r>
              <w:rPr>
                <w:rFonts w:ascii="Times New Roman" w:hAnsi="Times New Roman"/>
                <w:noProof/>
              </w:rPr>
              <w:t>(CPC ver. 1.097230)</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condiția privind deținerea cetățeniei.</w:t>
            </w:r>
          </w:p>
        </w:tc>
      </w:tr>
      <w:tr>
        <w:tc>
          <w:tcPr>
            <w:tcW w:w="972" w:type="pct"/>
          </w:tcPr>
          <w:p>
            <w:pPr>
              <w:widowControl/>
              <w:suppressAutoHyphens/>
              <w:spacing w:before="60" w:after="60" w:line="240" w:lineRule="auto"/>
              <w:rPr>
                <w:rFonts w:ascii="Times New Roman" w:hAnsi="Times New Roman"/>
                <w:noProof/>
              </w:rPr>
            </w:pPr>
            <w:r>
              <w:rPr>
                <w:rFonts w:ascii="Times New Roman" w:hAnsi="Times New Roman"/>
                <w:noProof/>
              </w:rPr>
              <w:t>(f) Servicii de conexiuni de telecomunicații</w:t>
            </w:r>
          </w:p>
          <w:p>
            <w:pPr>
              <w:widowControl/>
              <w:suppressAutoHyphens/>
              <w:spacing w:before="60" w:after="60" w:line="240" w:lineRule="auto"/>
              <w:rPr>
                <w:rFonts w:ascii="Times New Roman" w:hAnsi="Times New Roman"/>
                <w:noProof/>
              </w:rPr>
            </w:pPr>
            <w:r>
              <w:rPr>
                <w:rFonts w:ascii="Times New Roman" w:hAnsi="Times New Roman"/>
                <w:noProof/>
              </w:rPr>
              <w:t>(CPC 7543)</w:t>
            </w:r>
          </w:p>
        </w:tc>
        <w:tc>
          <w:tcPr>
            <w:tcW w:w="4028" w:type="pct"/>
          </w:tcPr>
          <w:p>
            <w:pPr>
              <w:widowControl/>
              <w:suppressAutoHyphens/>
              <w:spacing w:before="60" w:after="60" w:line="240" w:lineRule="auto"/>
              <w:rPr>
                <w:rFonts w:ascii="Times New Roman" w:hAnsi="Times New Roman"/>
                <w:noProof/>
              </w:rPr>
            </w:pPr>
            <w:r>
              <w:rPr>
                <w:rFonts w:ascii="Times New Roman" w:hAnsi="Times New Roman"/>
                <w:noProof/>
              </w:rPr>
              <w:t>În CY: neconsolidat.</w:t>
            </w:r>
          </w:p>
        </w:tc>
      </w:tr>
      <w:bookmarkEnd w:id="10"/>
    </w:tbl>
    <w:p>
      <w:pPr>
        <w:rPr>
          <w:noProof/>
        </w:rPr>
      </w:pPr>
    </w:p>
    <w:p>
      <w:pPr>
        <w:rPr>
          <w:noProof/>
        </w:rPr>
      </w:pPr>
    </w:p>
    <w:p>
      <w:pPr>
        <w:jc w:val="center"/>
        <w:rPr>
          <w:noProof/>
        </w:rPr>
      </w:pPr>
      <w:r>
        <w:rPr>
          <w:noProof/>
        </w:rPr>
        <w:t>________________</w:t>
      </w:r>
    </w:p>
    <w:p>
      <w:pPr>
        <w:rPr>
          <w:noProof/>
        </w:rPr>
        <w:sectPr>
          <w:headerReference w:type="default" r:id="rId34"/>
          <w:footerReference w:type="default" r:id="rId35"/>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ANEXA 8-C</w:t>
      </w:r>
    </w:p>
    <w:p>
      <w:pPr>
        <w:rPr>
          <w:noProof/>
        </w:rPr>
      </w:pPr>
    </w:p>
    <w:p>
      <w:pPr>
        <w:rPr>
          <w:noProof/>
        </w:rPr>
      </w:pPr>
    </w:p>
    <w:p>
      <w:pPr>
        <w:jc w:val="center"/>
        <w:rPr>
          <w:noProof/>
        </w:rPr>
      </w:pPr>
      <w:r>
        <w:rPr>
          <w:noProof/>
        </w:rPr>
        <w:t xml:space="preserve">LISTA ANGAJAMENTELOR </w:t>
      </w:r>
      <w:r>
        <w:rPr>
          <w:noProof/>
        </w:rPr>
        <w:br/>
        <w:t xml:space="preserve">PRIVIND PREZENȚA TEMPORARĂ A PERSOANELOR FIZICE </w:t>
      </w:r>
      <w:r>
        <w:rPr>
          <w:noProof/>
        </w:rPr>
        <w:br/>
        <w:t>ÎN SCOPURI DE AFACERI</w:t>
      </w:r>
    </w:p>
    <w:p>
      <w:pPr>
        <w:jc w:val="center"/>
        <w:rPr>
          <w:noProof/>
        </w:rPr>
      </w:pPr>
    </w:p>
    <w:p>
      <w:pPr>
        <w:jc w:val="center"/>
        <w:rPr>
          <w:noProof/>
        </w:rPr>
      </w:pPr>
      <w:r>
        <w:rPr>
          <w:noProof/>
        </w:rPr>
        <w:t>UNIUNE</w:t>
      </w:r>
    </w:p>
    <w:p>
      <w:pPr>
        <w:rPr>
          <w:noProof/>
        </w:rPr>
      </w:pPr>
    </w:p>
    <w:p>
      <w:pPr>
        <w:rPr>
          <w:noProof/>
        </w:rPr>
      </w:pPr>
    </w:p>
    <w:p>
      <w:pPr>
        <w:rPr>
          <w:noProof/>
        </w:rPr>
      </w:pPr>
      <w:r>
        <w:rPr>
          <w:noProof/>
        </w:rPr>
        <w:t>1.</w:t>
      </w:r>
      <w:r>
        <w:rPr>
          <w:noProof/>
        </w:rPr>
        <w:tab/>
        <w:t>Lista angajamentelor care figurează în prezenta anexă indică sectoarele în care Uniunea își asumă angajamente în temeiul articolelor 8.18, 8.19, 8.20 și 8.21, precum și clauzele, limitările, condițiile și calificările care se aplică acestor angajamente. Lista respectivă cuprinde următoarele elemente:</w:t>
      </w:r>
    </w:p>
    <w:p>
      <w:pPr>
        <w:rPr>
          <w:noProof/>
        </w:rPr>
      </w:pPr>
    </w:p>
    <w:p>
      <w:pPr>
        <w:ind w:left="567" w:hanging="567"/>
        <w:rPr>
          <w:noProof/>
        </w:rPr>
      </w:pPr>
      <w:r>
        <w:rPr>
          <w:noProof/>
        </w:rPr>
        <w:t>(a)</w:t>
      </w:r>
      <w:r>
        <w:rPr>
          <w:noProof/>
        </w:rPr>
        <w:tab/>
        <w:t>prima coloană indică sectorul sau subsectorul în care se aplică limitări și</w:t>
      </w:r>
    </w:p>
    <w:p>
      <w:pPr>
        <w:rPr>
          <w:noProof/>
        </w:rPr>
      </w:pPr>
    </w:p>
    <w:p>
      <w:pPr>
        <w:ind w:left="567" w:hanging="567"/>
        <w:rPr>
          <w:noProof/>
        </w:rPr>
      </w:pPr>
      <w:r>
        <w:rPr>
          <w:noProof/>
        </w:rPr>
        <w:t>(b)</w:t>
      </w:r>
      <w:r>
        <w:rPr>
          <w:noProof/>
        </w:rPr>
        <w:tab/>
        <w:t>a doua coloană descrie limitările aplicabile.</w:t>
      </w:r>
    </w:p>
    <w:p>
      <w:pPr>
        <w:rPr>
          <w:noProof/>
        </w:rPr>
      </w:pPr>
    </w:p>
    <w:p>
      <w:pPr>
        <w:rPr>
          <w:noProof/>
        </w:rPr>
      </w:pPr>
      <w:r>
        <w:rPr>
          <w:noProof/>
        </w:rPr>
        <w:t>2.</w:t>
      </w:r>
      <w:r>
        <w:rPr>
          <w:noProof/>
        </w:rPr>
        <w:tab/>
        <w:t>La identificarea sectoarelor și subsectoarelor individuale:</w:t>
      </w:r>
    </w:p>
    <w:p>
      <w:pPr>
        <w:rPr>
          <w:noProof/>
        </w:rPr>
      </w:pPr>
    </w:p>
    <w:p>
      <w:pPr>
        <w:ind w:left="567" w:hanging="567"/>
        <w:rPr>
          <w:noProof/>
        </w:rPr>
      </w:pPr>
      <w:r>
        <w:rPr>
          <w:noProof/>
        </w:rPr>
        <w:t>(a)</w:t>
      </w:r>
      <w:r>
        <w:rPr>
          <w:noProof/>
        </w:rPr>
        <w:tab/>
        <w:t>„CPC” înseamnă Clasificarea centrală provizorie a produselor (Statistical Papers, seria M, nr. 77, Departamentul Afaceri Sociale și Economice Internaționale, Oficiul de Statistică al Organizației Națiunilor Unite, New York, 1991);</w:t>
      </w:r>
    </w:p>
    <w:p>
      <w:pPr>
        <w:rPr>
          <w:noProof/>
        </w:rPr>
      </w:pPr>
    </w:p>
    <w:p>
      <w:pPr>
        <w:ind w:left="567" w:hanging="567"/>
        <w:rPr>
          <w:noProof/>
        </w:rPr>
      </w:pPr>
      <w:r>
        <w:rPr>
          <w:noProof/>
        </w:rPr>
        <w:t>(b)</w:t>
      </w:r>
      <w:r>
        <w:rPr>
          <w:noProof/>
        </w:rPr>
        <w:tab/>
        <w:t>„CPC ver. 1.0” înseamnă Clasificarea centrală a produselor, astfel cum este stabilită de Oficiul statistic al Organizației Națiunilor Unite, Statistical Papers, seria M, nr. 77, CPC ver 1.0, 1998 și</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„ISIC rev 3.1” înseamnă Clasificarea industrială internațională standard pentru toate activitățile economice, astfel cum este stabilită de Oficiul Statistic al Organizației Națiunilor Unite, Statistical Papers, seria M, nr. 4, ISIC REV 3.1, 2002.</w:t>
      </w:r>
    </w:p>
    <w:p>
      <w:pPr>
        <w:rPr>
          <w:noProof/>
        </w:rPr>
      </w:pPr>
    </w:p>
    <w:p>
      <w:pPr>
        <w:rPr>
          <w:noProof/>
        </w:rPr>
      </w:pPr>
      <w:r>
        <w:rPr>
          <w:noProof/>
        </w:rPr>
        <w:t>3.</w:t>
      </w:r>
      <w:r>
        <w:rPr>
          <w:noProof/>
        </w:rPr>
        <w:tab/>
        <w:t>Angajamentele privind persoanele aflate în vizită de afaceri în scopul stabilirii, persoanele transferate în cadrul aceleiași companii, furnizorii de servicii pe bază de contract, persoanele aflate în vizită de afaceri pe termen scurt, instalatorii și personalul responsabil cu întreținerea nu se aplică în cazurile în care intenția sau efectul prezenței temporare a acestora este de a interveni cu privire la rezultatul unui litigiu sau al unei negocieri în materie de muncă sau de management sau de a afecta în alt mod acest rezultat sau angajarea oricărei persoane fizice implicate în litigiul respectiv.</w:t>
      </w:r>
    </w:p>
    <w:p>
      <w:pPr>
        <w:rPr>
          <w:noProof/>
        </w:rPr>
      </w:pPr>
    </w:p>
    <w:p>
      <w:pPr>
        <w:rPr>
          <w:noProof/>
        </w:rPr>
      </w:pPr>
      <w:r>
        <w:rPr>
          <w:noProof/>
        </w:rPr>
        <w:t>4.</w:t>
      </w:r>
      <w:r>
        <w:rPr>
          <w:noProof/>
        </w:rPr>
        <w:tab/>
        <w:t>Pe lângă lista angajamentelor care figurează în prezenta anexă, Uniunea poate adopta sau menține măsuri referitoare la cerințele și procedurile de calificare, standardele tehnice, cerințele în materie de acordare a licențelor sau procedurile de acordare a licențelor, ceea ce nu constituie o limitare în sensul secțiunii D din capitolul 8 (Liberalizarea investițiilor și a comerțului cu servicii). Respectivele măsuri pot include, în special, necesitatea de a obține o licență, de a îndeplini obligațiile de serviciu universal, de a deține calificări recunoscute în sectoarele reglementate, de a promova examene specifice, inclusiv examene de limbă, de a îndeplini o cerință de apartenență la o anumită profesie, cum ar fi apartenența la o organizație profesională, de a avea un agent local pentru servicii sau de a menține o adresă locală sau orice alte cerințe nediscriminatorii conform cărora anumite activități nu pot fi desfășurate în zone protejate. Deși nu sunt enumerate, astfel de măsuri continuă să li se aplice persoanelor aflate în vizită de afaceri în scopul stabilirii, persoanelor transferate în cadrul aceleiași companii, furnizorilor de servicii pe bază de contract, persoanelor aflate în vizită de afaceri pe termen scurt, precum și instalatorilor și personalului responsabil cu întreținerea din Indonezia.</w:t>
      </w:r>
    </w:p>
    <w:p>
      <w:pPr>
        <w:rPr>
          <w:noProof/>
        </w:rPr>
      </w:pPr>
    </w:p>
    <w:p>
      <w:pPr>
        <w:widowControl/>
        <w:spacing w:line="240" w:lineRule="auto"/>
        <w:rPr>
          <w:noProof/>
        </w:rPr>
      </w:pPr>
      <w:r>
        <w:rPr>
          <w:noProof/>
        </w:rPr>
        <w:br w:type="page"/>
      </w:r>
    </w:p>
    <w:p>
      <w:pPr>
        <w:rPr>
          <w:noProof/>
        </w:rPr>
      </w:pPr>
      <w:r>
        <w:rPr>
          <w:noProof/>
        </w:rPr>
        <w:lastRenderedPageBreak/>
        <w:t>5.</w:t>
      </w:r>
      <w:r>
        <w:rPr>
          <w:noProof/>
        </w:rPr>
        <w:tab/>
        <w:t>Toate cerințele în temeiul actelor cu putere de lege și al normelor administrative ale Uniunii privind măsurile de intrare, ședere, muncă și securitate socială se aplică în continuare, inclusiv reglementările privind perioada de ședere, salariile minime, precum și contractele colective de salarizare, chiar dacă nu sunt enumerate în prezenta anexă.</w:t>
      </w:r>
    </w:p>
    <w:p>
      <w:pPr>
        <w:rPr>
          <w:noProof/>
        </w:rPr>
      </w:pPr>
    </w:p>
    <w:p>
      <w:pPr>
        <w:rPr>
          <w:noProof/>
        </w:rPr>
      </w:pPr>
      <w:r>
        <w:rPr>
          <w:noProof/>
        </w:rPr>
        <w:t>6.</w:t>
      </w:r>
      <w:r>
        <w:rPr>
          <w:noProof/>
        </w:rPr>
        <w:tab/>
        <w:t>În conformitate cu articolul 8.3 alineatul (3), lista angajamentelor care figurează în prezenta anexă nu include măsurile privind subvențiile acordate de una dintre părți.</w:t>
      </w:r>
    </w:p>
    <w:p>
      <w:pPr>
        <w:rPr>
          <w:noProof/>
        </w:rPr>
      </w:pPr>
    </w:p>
    <w:p>
      <w:pPr>
        <w:rPr>
          <w:noProof/>
        </w:rPr>
      </w:pPr>
      <w:r>
        <w:rPr>
          <w:noProof/>
        </w:rPr>
        <w:t>7.</w:t>
      </w:r>
      <w:r>
        <w:rPr>
          <w:noProof/>
        </w:rPr>
        <w:tab/>
        <w:t>Lista angajamentelor care figurează în prezenta anexă nu aduce atingere existenței monopolurilor publice și a drepturilor exclusive descrise în lista angajamentelor privind liberalizarea investițiilor prevăzută în anexa 8-B (Lista angajamentelor specifice privind liberalizarea investițiilor – Uniune).</w:t>
      </w:r>
    </w:p>
    <w:p>
      <w:pPr>
        <w:rPr>
          <w:noProof/>
        </w:rPr>
      </w:pPr>
    </w:p>
    <w:p>
      <w:pPr>
        <w:rPr>
          <w:noProof/>
        </w:rPr>
      </w:pPr>
      <w:r>
        <w:rPr>
          <w:noProof/>
        </w:rPr>
        <w:t>8.</w:t>
      </w:r>
      <w:r>
        <w:rPr>
          <w:noProof/>
        </w:rPr>
        <w:tab/>
        <w:t>În sectoarele în care se aplică teste privind necesitățile economice, criteriul principal al acestora va fi evaluarea situației pieței relevante în statul membru sau în regiunea în care urmează să fie furnizat serviciul, inclusiv în ceea ce privește numărul furnizorilor de servicii existenți și impactul asupra acestora.</w:t>
      </w:r>
    </w:p>
    <w:p>
      <w:pPr>
        <w:rPr>
          <w:noProof/>
        </w:rPr>
      </w:pPr>
    </w:p>
    <w:p>
      <w:pPr>
        <w:rPr>
          <w:noProof/>
        </w:rPr>
      </w:pPr>
      <w:r>
        <w:rPr>
          <w:noProof/>
        </w:rPr>
        <w:t>9.</w:t>
      </w:r>
      <w:r>
        <w:rPr>
          <w:noProof/>
        </w:rPr>
        <w:tab/>
        <w:t>Drepturile și obligațiile care derivă din prezentul acord, inclusiv din lista angajamentelor care figurează în prezenta anexă, nu au efect direct aplicabil și nu conferă drepturi directe persoanelor fizice sau juridice.</w:t>
      </w:r>
    </w:p>
    <w:p>
      <w:pPr>
        <w:rPr>
          <w:noProof/>
        </w:rPr>
      </w:pPr>
    </w:p>
    <w:p>
      <w:pPr>
        <w:rPr>
          <w:noProof/>
        </w:rPr>
      </w:pPr>
      <w:r>
        <w:rPr>
          <w:noProof/>
        </w:rPr>
        <w:t>10.</w:t>
      </w:r>
      <w:r>
        <w:rPr>
          <w:noProof/>
        </w:rPr>
        <w:tab/>
        <w:t>Pentru mai multă certitudine, lista angajamentelor care figurează în prezenta anexă se aplică numai teritoriilor în care se aplică Tratatul privind Uniunea Europeană și TFUE și în condițiile stabilite în tratatele respective și este relevantă numai în contextul relațiilor comerciale dintre Uniune și statele sale membre, pe de o parte, și Indonezia, pe de altă parte. Ea nu aduce atingere drepturilor și obligațiilor statelor membre care decurg din dreptul Uniunii.</w:t>
      </w:r>
    </w:p>
    <w:p>
      <w:pPr>
        <w:rPr>
          <w:noProof/>
        </w:rPr>
      </w:pPr>
    </w:p>
    <w:p>
      <w:pPr>
        <w:widowControl/>
        <w:spacing w:line="240" w:lineRule="auto"/>
        <w:rPr>
          <w:noProof/>
        </w:rPr>
      </w:pPr>
      <w:bookmarkStart w:id="30" w:name="_Hlk130292100"/>
      <w:r>
        <w:rPr>
          <w:noProof/>
        </w:rPr>
        <w:br w:type="page"/>
      </w:r>
    </w:p>
    <w:p>
      <w:pPr>
        <w:rPr>
          <w:noProof/>
        </w:rPr>
      </w:pPr>
      <w:r>
        <w:rPr>
          <w:noProof/>
        </w:rPr>
        <w:lastRenderedPageBreak/>
        <w:t>11.</w:t>
      </w:r>
      <w:r>
        <w:rPr>
          <w:noProof/>
        </w:rPr>
        <w:tab/>
        <w:t>Pentru mai multă certitudine, în cazul Uniunii, obligația de a acorda tratamentul național nu implică cerința de a extinde la persoanele fizice sau juridice din Indonezia tratamentul acordat într-un stat membru, în conformitate cu TFUE sau cu orice măsură adoptată în temeiul tratatului respectiv, inclusiv în ceea ce privește punerea lor în aplicare în statele membre, pentru:</w:t>
      </w:r>
    </w:p>
    <w:p>
      <w:pPr>
        <w:rPr>
          <w:noProof/>
        </w:rPr>
      </w:pPr>
    </w:p>
    <w:p>
      <w:pPr>
        <w:ind w:left="567" w:hanging="567"/>
        <w:rPr>
          <w:noProof/>
        </w:rPr>
      </w:pPr>
      <w:r>
        <w:rPr>
          <w:noProof/>
        </w:rPr>
        <w:t>(a)</w:t>
      </w:r>
      <w:r>
        <w:rPr>
          <w:noProof/>
        </w:rPr>
        <w:tab/>
        <w:t>persoanele fizice sau rezidenții unui alt stat membru sau</w:t>
      </w:r>
    </w:p>
    <w:p>
      <w:pPr>
        <w:rPr>
          <w:noProof/>
        </w:rPr>
      </w:pPr>
    </w:p>
    <w:p>
      <w:pPr>
        <w:ind w:left="567" w:hanging="567"/>
        <w:rPr>
          <w:noProof/>
        </w:rPr>
      </w:pPr>
      <w:r>
        <w:rPr>
          <w:noProof/>
        </w:rPr>
        <w:t>(b)</w:t>
      </w:r>
      <w:r>
        <w:rPr>
          <w:noProof/>
        </w:rPr>
        <w:tab/>
        <w:t>persoanele juridice constituite sau organizate în temeiul legislației unui alt stat membru sau a Uniunii și care își au sediul social, administrația centrală sau locul principal de desfășurare a activității în Uniune.</w:t>
      </w:r>
    </w:p>
    <w:bookmarkEnd w:id="30"/>
    <w:p>
      <w:pPr>
        <w:rPr>
          <w:noProof/>
        </w:rPr>
      </w:pPr>
    </w:p>
    <w:p>
      <w:pPr>
        <w:rPr>
          <w:noProof/>
        </w:rPr>
      </w:pPr>
      <w:r>
        <w:rPr>
          <w:noProof/>
        </w:rPr>
        <w:t>12.</w:t>
      </w:r>
      <w:r>
        <w:rPr>
          <w:noProof/>
        </w:rPr>
        <w:tab/>
        <w:t>Orice rezervă prevăzută în anexele 8-A (Lista angajamentelor privind furnizarea transfrontalieră de servicii – Uniune) și 8-B (Lista angajamentelor specifice privind liberalizarea investițiilor – Uniune) constituie, de asemenea, o rezervă în sensul prezentei anexe, în măsura în care măsura prevăzută în rezerva respectivă sau permisă de aceasta afectează tratamentul prezenței persoanelor fizice în scopuri de afaceri pe teritoriul celeilalte părți.</w:t>
      </w:r>
    </w:p>
    <w:p>
      <w:pPr>
        <w:rPr>
          <w:noProof/>
        </w:rPr>
      </w:pPr>
    </w:p>
    <w:p>
      <w:pPr>
        <w:rPr>
          <w:noProof/>
        </w:rPr>
      </w:pPr>
      <w:r>
        <w:rPr>
          <w:noProof/>
        </w:rPr>
        <w:t>13.</w:t>
      </w:r>
      <w:r>
        <w:rPr>
          <w:noProof/>
        </w:rPr>
        <w:tab/>
        <w:t>Uniunea își asumă angajamente diferențiate în funcție de statele sale membre, după caz.</w:t>
      </w:r>
    </w:p>
    <w:p>
      <w:pPr>
        <w:rPr>
          <w:noProof/>
        </w:rPr>
      </w:pPr>
    </w:p>
    <w:p>
      <w:pPr>
        <w:rPr>
          <w:noProof/>
        </w:rPr>
      </w:pPr>
      <w:r>
        <w:rPr>
          <w:noProof/>
        </w:rPr>
        <w:t>14.</w:t>
      </w:r>
      <w:r>
        <w:rPr>
          <w:noProof/>
        </w:rPr>
        <w:tab/>
        <w:t>În lista din prezenta anexă, se utilizează următoarele abrevieri:</w:t>
      </w:r>
    </w:p>
    <w:p>
      <w:pPr>
        <w:rPr>
          <w:noProof/>
        </w:rPr>
      </w:pPr>
    </w:p>
    <w:p>
      <w:pPr>
        <w:rPr>
          <w:noProof/>
        </w:rPr>
      </w:pPr>
      <w:r>
        <w:rPr>
          <w:noProof/>
        </w:rPr>
        <w:t>UE</w:t>
      </w:r>
      <w:r>
        <w:rPr>
          <w:noProof/>
        </w:rPr>
        <w:tab/>
        <w:t>Uniunea, inclusiv toate statele membre ale acesteia</w:t>
      </w:r>
    </w:p>
    <w:p>
      <w:pPr>
        <w:rPr>
          <w:noProof/>
        </w:rPr>
      </w:pPr>
    </w:p>
    <w:p>
      <w:pPr>
        <w:rPr>
          <w:noProof/>
        </w:rPr>
      </w:pPr>
      <w:r>
        <w:rPr>
          <w:noProof/>
        </w:rPr>
        <w:t>AT</w:t>
      </w:r>
      <w:r>
        <w:rPr>
          <w:noProof/>
        </w:rPr>
        <w:tab/>
        <w:t>Austria</w:t>
      </w:r>
    </w:p>
    <w:p>
      <w:pPr>
        <w:rPr>
          <w:noProof/>
        </w:rPr>
      </w:pPr>
    </w:p>
    <w:p>
      <w:pPr>
        <w:rPr>
          <w:noProof/>
        </w:rPr>
      </w:pPr>
      <w:r>
        <w:rPr>
          <w:noProof/>
        </w:rPr>
        <w:t>BE</w:t>
      </w:r>
      <w:r>
        <w:rPr>
          <w:noProof/>
        </w:rPr>
        <w:tab/>
        <w:t>Belgia</w:t>
      </w:r>
    </w:p>
    <w:p>
      <w:pPr>
        <w:rPr>
          <w:noProof/>
        </w:rPr>
      </w:pPr>
    </w:p>
    <w:p>
      <w:pPr>
        <w:widowControl/>
        <w:spacing w:line="240" w:lineRule="auto"/>
        <w:rPr>
          <w:noProof/>
        </w:rPr>
      </w:pPr>
      <w:r>
        <w:rPr>
          <w:noProof/>
        </w:rPr>
        <w:br w:type="page"/>
      </w:r>
    </w:p>
    <w:p>
      <w:pPr>
        <w:rPr>
          <w:noProof/>
        </w:rPr>
      </w:pPr>
      <w:r>
        <w:rPr>
          <w:noProof/>
        </w:rPr>
        <w:lastRenderedPageBreak/>
        <w:t>BG</w:t>
      </w:r>
      <w:r>
        <w:rPr>
          <w:noProof/>
        </w:rPr>
        <w:tab/>
        <w:t>Bulgaria</w:t>
      </w:r>
    </w:p>
    <w:p>
      <w:pPr>
        <w:rPr>
          <w:noProof/>
        </w:rPr>
      </w:pPr>
    </w:p>
    <w:p>
      <w:pPr>
        <w:rPr>
          <w:noProof/>
        </w:rPr>
      </w:pPr>
      <w:r>
        <w:rPr>
          <w:noProof/>
        </w:rPr>
        <w:t>CY</w:t>
      </w:r>
      <w:r>
        <w:rPr>
          <w:noProof/>
        </w:rPr>
        <w:tab/>
        <w:t>Cipru</w:t>
      </w:r>
    </w:p>
    <w:p>
      <w:pPr>
        <w:rPr>
          <w:noProof/>
        </w:rPr>
      </w:pPr>
    </w:p>
    <w:p>
      <w:pPr>
        <w:rPr>
          <w:noProof/>
        </w:rPr>
      </w:pPr>
      <w:r>
        <w:rPr>
          <w:noProof/>
        </w:rPr>
        <w:t>CZ</w:t>
      </w:r>
      <w:r>
        <w:rPr>
          <w:noProof/>
        </w:rPr>
        <w:tab/>
        <w:t>Cehia</w:t>
      </w:r>
    </w:p>
    <w:p>
      <w:pPr>
        <w:rPr>
          <w:noProof/>
        </w:rPr>
      </w:pPr>
    </w:p>
    <w:p>
      <w:pPr>
        <w:rPr>
          <w:noProof/>
        </w:rPr>
      </w:pPr>
      <w:r>
        <w:rPr>
          <w:noProof/>
        </w:rPr>
        <w:t>DE</w:t>
      </w:r>
      <w:r>
        <w:rPr>
          <w:noProof/>
        </w:rPr>
        <w:tab/>
        <w:t>Germania</w:t>
      </w:r>
    </w:p>
    <w:p>
      <w:pPr>
        <w:rPr>
          <w:noProof/>
        </w:rPr>
      </w:pPr>
    </w:p>
    <w:p>
      <w:pPr>
        <w:rPr>
          <w:noProof/>
        </w:rPr>
      </w:pPr>
      <w:r>
        <w:rPr>
          <w:noProof/>
        </w:rPr>
        <w:t>DK</w:t>
      </w:r>
      <w:r>
        <w:rPr>
          <w:noProof/>
        </w:rPr>
        <w:tab/>
        <w:t>Danemarca</w:t>
      </w:r>
    </w:p>
    <w:p>
      <w:pPr>
        <w:rPr>
          <w:noProof/>
        </w:rPr>
      </w:pPr>
    </w:p>
    <w:p>
      <w:pPr>
        <w:rPr>
          <w:noProof/>
        </w:rPr>
      </w:pPr>
      <w:r>
        <w:rPr>
          <w:noProof/>
        </w:rPr>
        <w:t>EE</w:t>
      </w:r>
      <w:r>
        <w:rPr>
          <w:noProof/>
        </w:rPr>
        <w:tab/>
        <w:t>Estonia</w:t>
      </w:r>
    </w:p>
    <w:p>
      <w:pPr>
        <w:rPr>
          <w:noProof/>
        </w:rPr>
      </w:pPr>
    </w:p>
    <w:p>
      <w:pPr>
        <w:rPr>
          <w:noProof/>
        </w:rPr>
      </w:pPr>
      <w:r>
        <w:rPr>
          <w:noProof/>
        </w:rPr>
        <w:t>EL</w:t>
      </w:r>
      <w:r>
        <w:rPr>
          <w:noProof/>
        </w:rPr>
        <w:tab/>
        <w:t>Grecia</w:t>
      </w:r>
    </w:p>
    <w:p>
      <w:pPr>
        <w:rPr>
          <w:noProof/>
        </w:rPr>
      </w:pPr>
    </w:p>
    <w:p>
      <w:pPr>
        <w:rPr>
          <w:noProof/>
        </w:rPr>
      </w:pPr>
      <w:r>
        <w:rPr>
          <w:noProof/>
        </w:rPr>
        <w:t>ES</w:t>
      </w:r>
      <w:r>
        <w:rPr>
          <w:noProof/>
        </w:rPr>
        <w:tab/>
        <w:t>Spania</w:t>
      </w:r>
    </w:p>
    <w:p>
      <w:pPr>
        <w:rPr>
          <w:noProof/>
        </w:rPr>
      </w:pPr>
    </w:p>
    <w:p>
      <w:pPr>
        <w:rPr>
          <w:noProof/>
        </w:rPr>
      </w:pPr>
      <w:r>
        <w:rPr>
          <w:noProof/>
        </w:rPr>
        <w:t>FI</w:t>
      </w:r>
      <w:r>
        <w:rPr>
          <w:noProof/>
        </w:rPr>
        <w:tab/>
        <w:t>Finlanda</w:t>
      </w:r>
    </w:p>
    <w:p>
      <w:pPr>
        <w:rPr>
          <w:noProof/>
        </w:rPr>
      </w:pPr>
    </w:p>
    <w:p>
      <w:pPr>
        <w:rPr>
          <w:noProof/>
        </w:rPr>
      </w:pPr>
      <w:r>
        <w:rPr>
          <w:noProof/>
        </w:rPr>
        <w:t>FR</w:t>
      </w:r>
      <w:r>
        <w:rPr>
          <w:noProof/>
        </w:rPr>
        <w:tab/>
        <w:t>Franța</w:t>
      </w:r>
    </w:p>
    <w:p>
      <w:pPr>
        <w:rPr>
          <w:noProof/>
        </w:rPr>
      </w:pPr>
    </w:p>
    <w:p>
      <w:pPr>
        <w:rPr>
          <w:noProof/>
        </w:rPr>
      </w:pPr>
      <w:r>
        <w:rPr>
          <w:noProof/>
        </w:rPr>
        <w:t>HR</w:t>
      </w:r>
      <w:r>
        <w:rPr>
          <w:noProof/>
        </w:rPr>
        <w:tab/>
        <w:t>Croația</w:t>
      </w:r>
    </w:p>
    <w:p>
      <w:pPr>
        <w:rPr>
          <w:noProof/>
        </w:rPr>
      </w:pPr>
    </w:p>
    <w:p>
      <w:pPr>
        <w:rPr>
          <w:noProof/>
        </w:rPr>
      </w:pPr>
      <w:r>
        <w:rPr>
          <w:noProof/>
        </w:rPr>
        <w:t>HU</w:t>
      </w:r>
      <w:r>
        <w:rPr>
          <w:noProof/>
        </w:rPr>
        <w:tab/>
        <w:t>Ungaria</w:t>
      </w:r>
    </w:p>
    <w:p>
      <w:pPr>
        <w:rPr>
          <w:noProof/>
        </w:rPr>
      </w:pPr>
    </w:p>
    <w:p>
      <w:pPr>
        <w:rPr>
          <w:noProof/>
        </w:rPr>
      </w:pPr>
      <w:r>
        <w:rPr>
          <w:noProof/>
        </w:rPr>
        <w:t>IE</w:t>
      </w:r>
      <w:r>
        <w:rPr>
          <w:noProof/>
        </w:rPr>
        <w:tab/>
        <w:t>Irlanda</w:t>
      </w:r>
    </w:p>
    <w:p>
      <w:pPr>
        <w:rPr>
          <w:noProof/>
        </w:rPr>
      </w:pPr>
    </w:p>
    <w:p>
      <w:pPr>
        <w:rPr>
          <w:noProof/>
        </w:rPr>
      </w:pPr>
      <w:r>
        <w:rPr>
          <w:noProof/>
        </w:rPr>
        <w:t>IT</w:t>
      </w:r>
      <w:r>
        <w:rPr>
          <w:noProof/>
        </w:rPr>
        <w:tab/>
        <w:t>Italia</w:t>
      </w:r>
    </w:p>
    <w:p>
      <w:pPr>
        <w:rPr>
          <w:noProof/>
        </w:rPr>
      </w:pPr>
    </w:p>
    <w:p>
      <w:pPr>
        <w:rPr>
          <w:noProof/>
        </w:rPr>
      </w:pPr>
      <w:r>
        <w:rPr>
          <w:noProof/>
        </w:rPr>
        <w:t>LV</w:t>
      </w:r>
      <w:r>
        <w:rPr>
          <w:noProof/>
        </w:rPr>
        <w:tab/>
        <w:t>Letonia</w:t>
      </w:r>
    </w:p>
    <w:p>
      <w:pPr>
        <w:rPr>
          <w:noProof/>
        </w:rPr>
      </w:pPr>
    </w:p>
    <w:p>
      <w:pPr>
        <w:rPr>
          <w:noProof/>
        </w:rPr>
      </w:pPr>
      <w:r>
        <w:rPr>
          <w:noProof/>
        </w:rPr>
        <w:t>LT</w:t>
      </w:r>
      <w:r>
        <w:rPr>
          <w:noProof/>
        </w:rPr>
        <w:tab/>
        <w:t>Lituania</w:t>
      </w:r>
    </w:p>
    <w:p>
      <w:pPr>
        <w:rPr>
          <w:noProof/>
        </w:rPr>
      </w:pPr>
    </w:p>
    <w:p>
      <w:pPr>
        <w:widowControl/>
        <w:spacing w:line="240" w:lineRule="auto"/>
        <w:rPr>
          <w:noProof/>
        </w:rPr>
      </w:pPr>
      <w:r>
        <w:rPr>
          <w:noProof/>
        </w:rPr>
        <w:br w:type="page"/>
      </w:r>
    </w:p>
    <w:p>
      <w:pPr>
        <w:rPr>
          <w:noProof/>
        </w:rPr>
      </w:pPr>
      <w:r>
        <w:rPr>
          <w:noProof/>
        </w:rPr>
        <w:lastRenderedPageBreak/>
        <w:t>LU</w:t>
      </w:r>
      <w:r>
        <w:rPr>
          <w:noProof/>
        </w:rPr>
        <w:tab/>
        <w:t>Luxemburg</w:t>
      </w:r>
    </w:p>
    <w:p>
      <w:pPr>
        <w:rPr>
          <w:noProof/>
        </w:rPr>
      </w:pPr>
    </w:p>
    <w:p>
      <w:pPr>
        <w:rPr>
          <w:noProof/>
        </w:rPr>
      </w:pPr>
      <w:r>
        <w:rPr>
          <w:noProof/>
        </w:rPr>
        <w:t>MT</w:t>
      </w:r>
      <w:r>
        <w:rPr>
          <w:noProof/>
        </w:rPr>
        <w:tab/>
        <w:t>Malta</w:t>
      </w:r>
    </w:p>
    <w:p>
      <w:pPr>
        <w:rPr>
          <w:noProof/>
        </w:rPr>
      </w:pPr>
    </w:p>
    <w:p>
      <w:pPr>
        <w:rPr>
          <w:noProof/>
        </w:rPr>
      </w:pPr>
      <w:r>
        <w:rPr>
          <w:noProof/>
        </w:rPr>
        <w:t>NL</w:t>
      </w:r>
      <w:r>
        <w:rPr>
          <w:noProof/>
        </w:rPr>
        <w:tab/>
        <w:t>Țările de Jos</w:t>
      </w:r>
    </w:p>
    <w:p>
      <w:pPr>
        <w:rPr>
          <w:noProof/>
        </w:rPr>
      </w:pPr>
    </w:p>
    <w:p>
      <w:pPr>
        <w:rPr>
          <w:noProof/>
        </w:rPr>
      </w:pPr>
      <w:r>
        <w:rPr>
          <w:noProof/>
        </w:rPr>
        <w:t>PL</w:t>
      </w:r>
      <w:r>
        <w:rPr>
          <w:noProof/>
        </w:rPr>
        <w:tab/>
        <w:t>Polonia</w:t>
      </w:r>
    </w:p>
    <w:p>
      <w:pPr>
        <w:rPr>
          <w:noProof/>
        </w:rPr>
      </w:pPr>
    </w:p>
    <w:p>
      <w:pPr>
        <w:rPr>
          <w:noProof/>
        </w:rPr>
      </w:pPr>
      <w:r>
        <w:rPr>
          <w:noProof/>
        </w:rPr>
        <w:t>PT</w:t>
      </w:r>
      <w:r>
        <w:rPr>
          <w:noProof/>
        </w:rPr>
        <w:tab/>
        <w:t>Portugalia</w:t>
      </w:r>
    </w:p>
    <w:p>
      <w:pPr>
        <w:rPr>
          <w:noProof/>
        </w:rPr>
      </w:pPr>
    </w:p>
    <w:p>
      <w:pPr>
        <w:rPr>
          <w:noProof/>
        </w:rPr>
      </w:pPr>
      <w:r>
        <w:rPr>
          <w:noProof/>
        </w:rPr>
        <w:t>RO</w:t>
      </w:r>
      <w:r>
        <w:rPr>
          <w:noProof/>
        </w:rPr>
        <w:tab/>
        <w:t>România</w:t>
      </w:r>
    </w:p>
    <w:p>
      <w:pPr>
        <w:rPr>
          <w:noProof/>
        </w:rPr>
      </w:pPr>
    </w:p>
    <w:p>
      <w:pPr>
        <w:rPr>
          <w:noProof/>
        </w:rPr>
      </w:pPr>
      <w:r>
        <w:rPr>
          <w:noProof/>
        </w:rPr>
        <w:t>SK</w:t>
      </w:r>
      <w:r>
        <w:rPr>
          <w:noProof/>
        </w:rPr>
        <w:tab/>
        <w:t>Slovacia</w:t>
      </w:r>
    </w:p>
    <w:p>
      <w:pPr>
        <w:rPr>
          <w:noProof/>
        </w:rPr>
      </w:pPr>
    </w:p>
    <w:p>
      <w:pPr>
        <w:rPr>
          <w:noProof/>
        </w:rPr>
      </w:pPr>
      <w:r>
        <w:rPr>
          <w:noProof/>
        </w:rPr>
        <w:t>SI</w:t>
      </w:r>
      <w:r>
        <w:rPr>
          <w:noProof/>
        </w:rPr>
        <w:tab/>
        <w:t>Slovenia</w:t>
      </w:r>
    </w:p>
    <w:p>
      <w:pPr>
        <w:rPr>
          <w:noProof/>
        </w:rPr>
      </w:pPr>
    </w:p>
    <w:p>
      <w:pPr>
        <w:rPr>
          <w:noProof/>
        </w:rPr>
      </w:pPr>
      <w:r>
        <w:rPr>
          <w:noProof/>
        </w:rPr>
        <w:t>SE</w:t>
      </w:r>
      <w:r>
        <w:rPr>
          <w:noProof/>
        </w:rPr>
        <w:tab/>
        <w:t>Suedia</w:t>
      </w:r>
    </w:p>
    <w:p>
      <w:pPr>
        <w:rPr>
          <w:noProof/>
        </w:rPr>
      </w:pPr>
    </w:p>
    <w:p>
      <w:pPr>
        <w:rPr>
          <w:noProof/>
        </w:rPr>
      </w:pPr>
      <w:r>
        <w:rPr>
          <w:noProof/>
        </w:rPr>
        <w:t>SEE: Spațiul Economic European</w:t>
      </w:r>
    </w:p>
    <w:p>
      <w:pPr>
        <w:rPr>
          <w:noProof/>
        </w:rPr>
      </w:pPr>
    </w:p>
    <w:p>
      <w:pPr>
        <w:rPr>
          <w:noProof/>
        </w:rPr>
      </w:pPr>
    </w:p>
    <w:p>
      <w:pPr>
        <w:rPr>
          <w:noProof/>
        </w:rPr>
        <w:sectPr>
          <w:headerReference w:type="even" r:id="rId36"/>
          <w:headerReference w:type="default" r:id="rId37"/>
          <w:footerReference w:type="even" r:id="rId38"/>
          <w:footerReference w:type="default" r:id="rId39"/>
          <w:headerReference w:type="first" r:id="rId40"/>
          <w:footerReference w:type="first" r:id="rId41"/>
          <w:footnotePr>
            <w:numRestart w:val="eachSect"/>
          </w:footnotePr>
          <w:endnotePr>
            <w:numFmt w:val="decimal"/>
          </w:endnotePr>
          <w:pgSz w:w="11907" w:h="16840" w:code="9"/>
          <w:pgMar w:top="1134" w:right="1134" w:bottom="1134" w:left="1134" w:header="567" w:footer="567" w:gutter="0"/>
          <w:pgNumType w:start="1"/>
          <w:cols w:space="708"/>
          <w:docGrid w:linePitch="360"/>
        </w:sectPr>
      </w:pPr>
    </w:p>
    <w:p>
      <w:pPr>
        <w:rPr>
          <w:noProof/>
        </w:rPr>
      </w:pPr>
      <w:r>
        <w:rPr>
          <w:noProof/>
        </w:rPr>
        <w:lastRenderedPageBreak/>
        <w:t>15.</w:t>
      </w:r>
      <w:r>
        <w:rPr>
          <w:noProof/>
        </w:rPr>
        <w:tab/>
        <w:t>Persoanele transferate în cadrul aceleiași companii</w:t>
      </w:r>
    </w:p>
    <w:p>
      <w:pPr>
        <w:rPr>
          <w:noProof/>
        </w:rPr>
      </w:pPr>
    </w:p>
    <w:tbl>
      <w:tblPr>
        <w:tblStyle w:val="TableGrid"/>
        <w:tblW w:w="5000" w:type="pct"/>
        <w:tblLayout w:type="fixed"/>
        <w:tblLook w:val="04A0" w:firstRow="1" w:lastRow="0" w:firstColumn="1" w:lastColumn="0" w:noHBand="0" w:noVBand="1"/>
      </w:tblPr>
      <w:tblGrid>
        <w:gridCol w:w="2496"/>
        <w:gridCol w:w="12066"/>
      </w:tblGrid>
      <w:tr>
        <w:trPr>
          <w:cantSplit/>
        </w:trP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În AT, CZ, SK: Persoanele transferate în cadrul aceleiași companii trebuie să fie angajate de o întreprindere, alta decât o organizație non-profit, în caz contrar: neconsolidat.</w:t>
            </w:r>
          </w:p>
          <w:p>
            <w:pPr>
              <w:widowControl/>
              <w:suppressAutoHyphens/>
              <w:spacing w:before="60" w:after="60" w:line="240" w:lineRule="auto"/>
              <w:rPr>
                <w:rFonts w:ascii="Times New Roman" w:hAnsi="Times New Roman"/>
                <w:noProof/>
              </w:rPr>
            </w:pPr>
            <w:r>
              <w:rPr>
                <w:rFonts w:ascii="Times New Roman" w:hAnsi="Times New Roman"/>
                <w:noProof/>
              </w:rPr>
              <w:t>În FI: Personalul cu funcții superioare trebuie să fie angajat de o întreprindere, alta decât o organizație non-profit.</w:t>
            </w:r>
          </w:p>
          <w:p>
            <w:pPr>
              <w:widowControl/>
              <w:suppressAutoHyphens/>
              <w:spacing w:before="60" w:after="60" w:line="240" w:lineRule="auto"/>
              <w:rPr>
                <w:rFonts w:ascii="Times New Roman" w:hAnsi="Times New Roman"/>
                <w:noProof/>
              </w:rPr>
            </w:pPr>
            <w:r>
              <w:rPr>
                <w:rFonts w:ascii="Times New Roman" w:hAnsi="Times New Roman"/>
                <w:noProof/>
              </w:rPr>
              <w:t>În HU: Persoanele fizice care au fost parteneri în cadrul unei întreprinderi nu se califică pentru a fi transferate în cadrul aceleiași companii.</w:t>
            </w:r>
          </w:p>
        </w:tc>
      </w:tr>
      <w:t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Pentru angajații stagiari:</w:t>
            </w:r>
          </w:p>
          <w:p>
            <w:pPr>
              <w:widowControl/>
              <w:suppressAutoHyphens/>
              <w:spacing w:before="60" w:after="60" w:line="240" w:lineRule="auto"/>
              <w:rPr>
                <w:rFonts w:ascii="Times New Roman" w:hAnsi="Times New Roman"/>
                <w:noProof/>
              </w:rPr>
            </w:pPr>
            <w:r>
              <w:rPr>
                <w:rFonts w:ascii="Times New Roman" w:hAnsi="Times New Roman"/>
                <w:noProof/>
              </w:rPr>
              <w:t>În AT, CZ, DE, FR, ES, HU: Stagiul trebuie să fie legat de diploma universitară obținută.</w:t>
            </w:r>
          </w:p>
        </w:tc>
      </w:tr>
      <w:t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Servicii de divertisment (inclusiv servicii privind piesele de teatru, formațiile muzicale cu prezentare publică în direct, spectacolele de circ și discotecile) (CPC 9619)</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În FR: Accesul la funcțiile de conducere este condiționat de obținerea unei autorizații din partea autorității competente. Artiștii trebuie să fi obținut un contract de muncă din partea unei societăți de servicii de divertisment autorizate.</w:t>
            </w:r>
          </w:p>
        </w:tc>
      </w:tr>
    </w:tbl>
    <w:p>
      <w:pPr>
        <w:rPr>
          <w:noProof/>
        </w:rPr>
      </w:pPr>
    </w:p>
    <w:p>
      <w:pPr>
        <w:widowControl/>
        <w:spacing w:line="240" w:lineRule="auto"/>
        <w:rPr>
          <w:noProof/>
        </w:rPr>
      </w:pPr>
      <w:r>
        <w:rPr>
          <w:noProof/>
        </w:rPr>
        <w:br w:type="page"/>
      </w:r>
    </w:p>
    <w:p>
      <w:pPr>
        <w:rPr>
          <w:noProof/>
        </w:rPr>
      </w:pPr>
      <w:r>
        <w:rPr>
          <w:noProof/>
        </w:rPr>
        <w:lastRenderedPageBreak/>
        <w:t>16.</w:t>
      </w:r>
      <w:r>
        <w:rPr>
          <w:noProof/>
        </w:rPr>
        <w:tab/>
        <w:t>Persoanele aflate în vizită de afaceri în scopul stabilirii</w:t>
      </w:r>
    </w:p>
    <w:p>
      <w:pPr>
        <w:rPr>
          <w:noProof/>
        </w:rPr>
      </w:pPr>
    </w:p>
    <w:tbl>
      <w:tblPr>
        <w:tblStyle w:val="TableGrid"/>
        <w:tblW w:w="5000" w:type="pct"/>
        <w:tblLayout w:type="fixed"/>
        <w:tblLook w:val="04A0" w:firstRow="1" w:lastRow="0" w:firstColumn="1" w:lastColumn="0" w:noHBand="0" w:noVBand="1"/>
      </w:tblPr>
      <w:tblGrid>
        <w:gridCol w:w="2496"/>
        <w:gridCol w:w="12066"/>
      </w:tblGrid>
      <w:tr>
        <w:trPr>
          <w:cantSplit/>
          <w:tblHeader/>
        </w:trP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În AT, CZ: O persoană aflată în vizită de afaceri în scopul stabilirii trebuie să își desfășoare activitatea în cadrul unei întreprinderi, alta decât o organizație non-profit, în caz contrar: neconsolidat.</w:t>
            </w:r>
          </w:p>
          <w:p>
            <w:pPr>
              <w:widowControl/>
              <w:suppressAutoHyphens/>
              <w:spacing w:before="60" w:after="60" w:line="240" w:lineRule="auto"/>
              <w:rPr>
                <w:rFonts w:ascii="Times New Roman" w:hAnsi="Times New Roman"/>
                <w:noProof/>
              </w:rPr>
            </w:pPr>
            <w:r>
              <w:rPr>
                <w:rFonts w:ascii="Times New Roman" w:hAnsi="Times New Roman"/>
                <w:noProof/>
              </w:rPr>
              <w:t>În SK: O persoană aflată în vizită de afaceri în scopul stabilirii trebuie să își desfășoare activitatea în cadrul unei întreprinderi, alta decât o organizație non-profit, în caz contrar: neconsolidat. Este necesar permisul de muncă, inclusiv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CY: durata permisă a șederii: până la 90 de zile pe parcursul oricărei perioade de douăsprezece luni. O persoană aflată în vizită de afaceri în scopul stabilirii trebuie să își desfășoare activitatea în cadrul unei întreprinderi, alta decât o organizație non-profit, în caz contrar: neconsolidat.</w:t>
            </w:r>
          </w:p>
        </w:tc>
      </w:tr>
      <w:tr>
        <w:tc>
          <w:tcPr>
            <w:tcW w:w="857" w:type="pct"/>
          </w:tcPr>
          <w:p>
            <w:pPr>
              <w:widowControl/>
              <w:suppressAutoHyphens/>
              <w:spacing w:before="60" w:after="60" w:line="240" w:lineRule="auto"/>
              <w:rPr>
                <w:rFonts w:ascii="Times New Roman" w:hAnsi="Times New Roman"/>
                <w:noProof/>
              </w:rPr>
            </w:pPr>
            <w:r>
              <w:rPr>
                <w:rFonts w:ascii="Times New Roman" w:hAnsi="Times New Roman"/>
                <w:noProof/>
              </w:rPr>
              <w:t>Servicii de divertisment (inclusiv servicii privind piesele de teatru, formațiile muzicale cu prezentare publică în direct, spectacolele de circ și discotecile) (CPC 9619)</w:t>
            </w:r>
          </w:p>
        </w:tc>
        <w:tc>
          <w:tcPr>
            <w:tcW w:w="4143" w:type="pct"/>
          </w:tcPr>
          <w:p>
            <w:pPr>
              <w:widowControl/>
              <w:suppressAutoHyphens/>
              <w:spacing w:before="60" w:after="60" w:line="240" w:lineRule="auto"/>
              <w:rPr>
                <w:rFonts w:ascii="Times New Roman" w:hAnsi="Times New Roman"/>
                <w:noProof/>
              </w:rPr>
            </w:pPr>
            <w:r>
              <w:rPr>
                <w:rFonts w:ascii="Times New Roman" w:hAnsi="Times New Roman"/>
                <w:noProof/>
              </w:rPr>
              <w:t>În FR: Accesul la funcțiile de conducere este condiționat de obținerea unei autorizații din partea autorității competente. Artiștii trebuie să fi obținut un contract de muncă din partea unei societăți de servicii de divertisment autorizate.</w:t>
            </w:r>
          </w:p>
        </w:tc>
      </w:tr>
    </w:tbl>
    <w:p>
      <w:pPr>
        <w:rPr>
          <w:noProof/>
        </w:rPr>
      </w:pPr>
    </w:p>
    <w:p>
      <w:pPr>
        <w:widowControl/>
        <w:spacing w:line="240" w:lineRule="auto"/>
        <w:rPr>
          <w:noProof/>
        </w:rPr>
      </w:pPr>
      <w:r>
        <w:rPr>
          <w:noProof/>
        </w:rPr>
        <w:br w:type="page"/>
      </w:r>
    </w:p>
    <w:p>
      <w:pPr>
        <w:rPr>
          <w:noProof/>
        </w:rPr>
      </w:pPr>
      <w:r>
        <w:rPr>
          <w:noProof/>
        </w:rPr>
        <w:lastRenderedPageBreak/>
        <w:t>17.</w:t>
      </w:r>
      <w:r>
        <w:rPr>
          <w:noProof/>
        </w:rPr>
        <w:tab/>
        <w:t>Persoane aflate în vizită de afaceri pe termen scurt:</w:t>
      </w:r>
    </w:p>
    <w:p>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tc>
          <w:tcPr>
            <w:tcW w:w="85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141" w:type="pct"/>
          </w:tcPr>
          <w:p>
            <w:pPr>
              <w:widowControl/>
              <w:suppressAutoHyphens/>
              <w:spacing w:before="60" w:after="60" w:line="240" w:lineRule="auto"/>
              <w:rPr>
                <w:rFonts w:ascii="Times New Roman" w:hAnsi="Times New Roman"/>
                <w:noProof/>
              </w:rPr>
            </w:pPr>
            <w:r>
              <w:rPr>
                <w:rFonts w:ascii="Times New Roman" w:hAnsi="Times New Roman"/>
                <w:noProof/>
              </w:rPr>
              <w:t>În CY, DK, HR: Permisul de muncă, inclusiv testul privind necesitățile economice, este necesar în cazul în care persoana aflată în vizită de afaceri pe termen scurt furnizează un serviciu.</w:t>
            </w:r>
          </w:p>
        </w:tc>
      </w:tr>
      <w:tr>
        <w:tc>
          <w:tcPr>
            <w:tcW w:w="859" w:type="pct"/>
          </w:tcPr>
          <w:p>
            <w:pPr>
              <w:widowControl/>
              <w:suppressAutoHyphens/>
              <w:spacing w:before="60" w:after="60" w:line="240" w:lineRule="auto"/>
              <w:rPr>
                <w:rFonts w:ascii="Times New Roman" w:hAnsi="Times New Roman"/>
                <w:noProof/>
              </w:rPr>
            </w:pPr>
            <w:r>
              <w:rPr>
                <w:rFonts w:ascii="Times New Roman" w:hAnsi="Times New Roman"/>
                <w:noProof/>
              </w:rPr>
              <w:t>Servicii de divertisment (inclusiv servicii privind piesele de teatru, formațiile muzicale cu prezentare publică în direct, spectacolele de circ și discotecile) (CPC 9619)</w:t>
            </w:r>
          </w:p>
        </w:tc>
        <w:tc>
          <w:tcPr>
            <w:tcW w:w="4141" w:type="pct"/>
          </w:tcPr>
          <w:p>
            <w:pPr>
              <w:widowControl/>
              <w:suppressAutoHyphens/>
              <w:spacing w:before="60" w:after="60" w:line="240" w:lineRule="auto"/>
              <w:rPr>
                <w:rFonts w:ascii="Times New Roman" w:hAnsi="Times New Roman"/>
                <w:noProof/>
              </w:rPr>
            </w:pPr>
            <w:r>
              <w:rPr>
                <w:rFonts w:ascii="Times New Roman" w:hAnsi="Times New Roman"/>
                <w:noProof/>
              </w:rPr>
              <w:t>În FR: Accesul la funcțiile de conducere este condiționat de obținerea unei autorizații din partea autorității competente. Artiștii trebuie să fi obținut un contract de muncă din partea unei societăți de servicii de divertisment autorizate.</w:t>
            </w:r>
          </w:p>
        </w:tc>
      </w:tr>
    </w:tbl>
    <w:p>
      <w:pPr>
        <w:rPr>
          <w:noProof/>
        </w:rPr>
      </w:pPr>
    </w:p>
    <w:p>
      <w:pPr>
        <w:rPr>
          <w:noProof/>
        </w:rPr>
      </w:pPr>
      <w:r>
        <w:rPr>
          <w:noProof/>
        </w:rPr>
        <w:t>18.</w:t>
      </w:r>
      <w:r>
        <w:rPr>
          <w:noProof/>
        </w:rPr>
        <w:tab/>
        <w:t>Instalatori și personal responsabil cu întreținerea</w:t>
      </w:r>
    </w:p>
    <w:p>
      <w:pPr>
        <w:rPr>
          <w:rFonts w:eastAsia="Calibri"/>
          <w:noProof/>
        </w:rPr>
      </w:pPr>
    </w:p>
    <w:tbl>
      <w:tblPr>
        <w:tblStyle w:val="TableGrid"/>
        <w:tblW w:w="5000" w:type="pct"/>
        <w:tblLayout w:type="fixed"/>
        <w:tblLook w:val="04A0" w:firstRow="1" w:lastRow="0" w:firstColumn="1" w:lastColumn="0" w:noHBand="0" w:noVBand="1"/>
      </w:tblPr>
      <w:tblGrid>
        <w:gridCol w:w="2502"/>
        <w:gridCol w:w="12060"/>
      </w:tblGrid>
      <w:tr>
        <w:trPr>
          <w:cantSplit/>
        </w:trPr>
        <w:tc>
          <w:tcPr>
            <w:tcW w:w="85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4141"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AT: Este necesar permisul de muncă, inclusiv testul privind necesitățile economice. Se renunță la testul privind necesitățile economice pentru persoanele fizice care instruiesc lucrătorii să furnizeze servicii și care dețin cunoștințe de specialitate.</w:t>
            </w:r>
          </w:p>
          <w:p>
            <w:pPr>
              <w:widowControl/>
              <w:suppressAutoHyphens/>
              <w:spacing w:before="60" w:after="60" w:line="240" w:lineRule="auto"/>
              <w:rPr>
                <w:rFonts w:ascii="Times New Roman" w:hAnsi="Times New Roman"/>
                <w:noProof/>
              </w:rPr>
            </w:pPr>
            <w:r>
              <w:rPr>
                <w:rFonts w:ascii="Times New Roman" w:hAnsi="Times New Roman"/>
                <w:noProof/>
              </w:rPr>
              <w:t>În CY, CZ, SK: Permisul de muncă este necesar pentru o perioadă mai lungă de șapte zile dintr-o lună sau de 30 de zile dintr-un an calendaristic.</w:t>
            </w:r>
          </w:p>
          <w:p>
            <w:pPr>
              <w:widowControl/>
              <w:suppressAutoHyphens/>
              <w:spacing w:before="60" w:after="60" w:line="240" w:lineRule="auto"/>
              <w:rPr>
                <w:rFonts w:ascii="Times New Roman" w:hAnsi="Times New Roman"/>
                <w:noProof/>
              </w:rPr>
            </w:pPr>
            <w:r>
              <w:rPr>
                <w:rFonts w:ascii="Times New Roman" w:hAnsi="Times New Roman"/>
                <w:noProof/>
              </w:rPr>
              <w:t>În DK, HR: Permisul de muncă, inclusiv testul privind necesitățile economice, este necesar în cazul în care persoana în cauză furnizează un serviciu.</w:t>
            </w:r>
          </w:p>
        </w:tc>
      </w:tr>
      <w:tr>
        <w:trPr>
          <w:cantSplit/>
          <w:trHeight w:val="1950"/>
        </w:trPr>
        <w:tc>
          <w:tcPr>
            <w:tcW w:w="859" w:type="pct"/>
            <w:tcBorders>
              <w:top w:val="nil"/>
            </w:tcBorders>
          </w:tcPr>
          <w:p>
            <w:pPr>
              <w:pageBreakBefore/>
              <w:suppressAutoHyphens/>
              <w:spacing w:before="60" w:after="60" w:line="240" w:lineRule="auto"/>
              <w:rPr>
                <w:noProof/>
              </w:rPr>
            </w:pPr>
          </w:p>
        </w:tc>
        <w:tc>
          <w:tcPr>
            <w:tcW w:w="4141"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ES: Este necesar permisul de muncă. Instalatorii și personalul responsabil cu repararea și întreținerea ar trebui să fie angajați ca atare de persoana juridică</w:t>
            </w:r>
            <w:r>
              <w:rPr>
                <w:rStyle w:val="FootnoteReference"/>
                <w:rFonts w:ascii="Times New Roman" w:hAnsi="Times New Roman"/>
                <w:b/>
                <w:bCs/>
                <w:noProof/>
              </w:rPr>
              <w:footnoteReference w:id="83"/>
            </w:r>
            <w:r>
              <w:rPr>
                <w:rFonts w:ascii="Times New Roman" w:hAnsi="Times New Roman"/>
                <w:noProof/>
              </w:rPr>
              <w:t xml:space="preserve"> ce furnizează bunul sau serviciul sau de o întreprindere care este membră a aceluiași grup ca și persoana juridică respectivă pentru o perioadă de cel puțin trei luni imediat anterioară datei depunerii unei cereri de intrare și ar trebui să aibă cel puțin trei ani de experiență profesională relevantă, după caz, obținută după vârsta majoratului.</w:t>
            </w:r>
          </w:p>
          <w:p>
            <w:pPr>
              <w:widowControl/>
              <w:suppressAutoHyphens/>
              <w:spacing w:before="60" w:after="60" w:line="240" w:lineRule="auto"/>
              <w:rPr>
                <w:rFonts w:ascii="Times New Roman" w:hAnsi="Times New Roman"/>
                <w:noProof/>
              </w:rPr>
            </w:pPr>
            <w:r>
              <w:rPr>
                <w:rFonts w:ascii="Times New Roman" w:hAnsi="Times New Roman"/>
                <w:noProof/>
              </w:rPr>
              <w:t>În FI: În funcție de activitate, permisul de ședere ar putea fi necesar.</w:t>
            </w:r>
          </w:p>
          <w:p>
            <w:pPr>
              <w:widowControl/>
              <w:suppressAutoHyphens/>
              <w:spacing w:before="60" w:after="60" w:line="240" w:lineRule="auto"/>
              <w:rPr>
                <w:rFonts w:ascii="Times New Roman" w:hAnsi="Times New Roman"/>
                <w:noProof/>
              </w:rPr>
            </w:pPr>
            <w:r>
              <w:rPr>
                <w:rFonts w:ascii="Times New Roman" w:hAnsi="Times New Roman"/>
                <w:noProof/>
              </w:rPr>
              <w:t>În LV: Permisul de muncă este necesar pentru operațiunile/activitățile care urmează să fie realizate în baza unui contract.</w:t>
            </w:r>
          </w:p>
          <w:p>
            <w:pPr>
              <w:widowControl/>
              <w:suppressAutoHyphens/>
              <w:spacing w:before="60" w:after="60" w:line="240" w:lineRule="auto"/>
              <w:rPr>
                <w:rFonts w:ascii="Times New Roman" w:hAnsi="Times New Roman"/>
                <w:noProof/>
              </w:rPr>
            </w:pPr>
            <w:r>
              <w:rPr>
                <w:rFonts w:ascii="Times New Roman" w:hAnsi="Times New Roman"/>
                <w:noProof/>
              </w:rPr>
              <w:t>În MT: Este necesar permisul de muncă. Nu se efectuează testul privind necesitățile economice.</w:t>
            </w:r>
          </w:p>
          <w:p>
            <w:pPr>
              <w:suppressAutoHyphens/>
              <w:spacing w:before="60" w:after="60" w:line="240" w:lineRule="auto"/>
              <w:rPr>
                <w:noProof/>
              </w:rPr>
            </w:pPr>
            <w:r>
              <w:rPr>
                <w:rFonts w:ascii="Times New Roman" w:hAnsi="Times New Roman"/>
                <w:noProof/>
              </w:rPr>
              <w:t>În SE: Permisul de muncă este necesar, cu excepția: (i) persoanelor fizice care participă la instruirea, testarea, pregătirea sau finalizarea livrărilor sau la activități similare în cadrul unei tranzacții de afaceri sau (ii) a tehnicienilor sau instructorilor tehnici în cadrul instalării sau al reparării urgente a unei instalații pentru o perioadă de până la două luni, în contextul unei urgențe. Nu este necesar testul privind necesitățile economice.</w:t>
            </w:r>
          </w:p>
        </w:tc>
      </w:tr>
    </w:tbl>
    <w:p>
      <w:pPr>
        <w:rPr>
          <w:noProof/>
        </w:rPr>
      </w:pPr>
    </w:p>
    <w:p>
      <w:pPr>
        <w:widowControl/>
        <w:spacing w:line="240" w:lineRule="auto"/>
        <w:rPr>
          <w:noProof/>
        </w:rPr>
      </w:pPr>
      <w:r>
        <w:rPr>
          <w:noProof/>
        </w:rPr>
        <w:br w:type="page"/>
      </w:r>
    </w:p>
    <w:p>
      <w:pPr>
        <w:rPr>
          <w:noProof/>
        </w:rPr>
      </w:pPr>
      <w:r>
        <w:rPr>
          <w:noProof/>
        </w:rPr>
        <w:lastRenderedPageBreak/>
        <w:t>19.</w:t>
      </w:r>
      <w:r>
        <w:rPr>
          <w:noProof/>
        </w:rPr>
        <w:tab/>
        <w:t>Furnizorii de servicii pe bază de contract și profesioniștii independenți</w:t>
      </w:r>
    </w:p>
    <w:tbl>
      <w:tblPr>
        <w:tblStyle w:val="TableGrid"/>
        <w:tblW w:w="5000" w:type="pct"/>
        <w:tblLayout w:type="fixed"/>
        <w:tblLook w:val="04A0" w:firstRow="1" w:lastRow="0" w:firstColumn="1" w:lastColumn="0" w:noHBand="0" w:noVBand="1"/>
      </w:tblPr>
      <w:tblGrid>
        <w:gridCol w:w="3664"/>
        <w:gridCol w:w="10898"/>
      </w:tblGrid>
      <w:tr>
        <w:trPr>
          <w:trHeight w:val="4035"/>
        </w:trPr>
        <w:tc>
          <w:tcPr>
            <w:tcW w:w="125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 UE: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Persoanele fizice trebuie să fie implicate în furnizarea unui serviciu temporar în calitate de angajați ai unei persoane juridice, care a obținut un contract de servicii pentru cel mult douăsprezece luni.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Persoanele fizice respective ar trebui să ofere astfel de servicii în calitate de angajați ai persoanei juridice care furnizează serviciile timp de cel puțin doi ani imediat anteriori datei depunerii unei cereri de intrare pe teritoriul celeilalte părți.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Persoanele fizice care intră pe teritoriul celeilalte părți trebuie să dețină o diplomă universitară sau o calificare care să demonstreze cunoștințe de un nivel echivalent</w:t>
            </w:r>
            <w:r>
              <w:rPr>
                <w:rStyle w:val="FootnoteReference"/>
                <w:rFonts w:ascii="Times New Roman" w:hAnsi="Times New Roman"/>
                <w:b/>
                <w:bCs/>
                <w:noProof/>
              </w:rPr>
              <w:footnoteReference w:id="84"/>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Pentru profesioniștii independenți:</w:t>
            </w:r>
          </w:p>
          <w:p>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Persoanele fizice care intră pe teritoriul celeilalte părți trebuie să dețină, la data depunerii unei cereri de intrare pe teritoriul celeilalte părți, cel puțin șase ani de experiență profesională în sectorul de activitate care face obiectul contractului.</w:t>
            </w:r>
          </w:p>
        </w:tc>
      </w:tr>
      <w:tr>
        <w:trPr>
          <w:trHeight w:val="3090"/>
        </w:trPr>
        <w:tc>
          <w:tcPr>
            <w:tcW w:w="1258" w:type="pct"/>
            <w:tcBorders>
              <w:top w:val="nil"/>
            </w:tcBorders>
          </w:tcPr>
          <w:p>
            <w:pPr>
              <w:pageBreakBefore/>
              <w:suppressAutoHyphens/>
              <w:spacing w:before="60" w:after="60" w:line="240" w:lineRule="auto"/>
              <w:rPr>
                <w:noProof/>
              </w:rPr>
            </w:pPr>
          </w:p>
        </w:tc>
        <w:tc>
          <w:tcPr>
            <w:tcW w:w="3742"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Durata șederii</w:t>
            </w:r>
          </w:p>
          <w:p>
            <w:pPr>
              <w:widowControl/>
              <w:suppressAutoHyphens/>
              <w:spacing w:before="60" w:after="60" w:line="240" w:lineRule="auto"/>
              <w:rPr>
                <w:rFonts w:ascii="Times New Roman" w:hAnsi="Times New Roman"/>
                <w:noProof/>
              </w:rPr>
            </w:pPr>
            <w:r>
              <w:rPr>
                <w:rFonts w:ascii="Times New Roman" w:hAnsi="Times New Roman"/>
                <w:noProof/>
              </w:rPr>
              <w:t>În UE: Intrarea și șederea temporară a persoanelor fizice pe teritoriul părții în cauză sunt autorizate pentru o perioadă cumulată de cel mult 12 luni sau pe durata contractului, în funcție de care dintre aceste perioade este mai scurtă.</w:t>
            </w:r>
          </w:p>
          <w:p>
            <w:pPr>
              <w:widowControl/>
              <w:suppressAutoHyphens/>
              <w:spacing w:before="60" w:after="60" w:line="240" w:lineRule="auto"/>
              <w:rPr>
                <w:rFonts w:ascii="Times New Roman" w:hAnsi="Times New Roman"/>
                <w:noProof/>
              </w:rPr>
            </w:pPr>
            <w:r>
              <w:rPr>
                <w:rFonts w:ascii="Times New Roman" w:hAnsi="Times New Roman"/>
                <w:noProof/>
              </w:rPr>
              <w:t>În AT, DE: Șederea maximă pentru furnizorii de servicii pe bază de contract și profesioniștii independenți constă într-o perioadă cumulată ce nu depășește șase luni în orice perioadă de 12 luni sau în perioada aferentă duratei contractului, în funcție de care dintre aceste perioade este mai scurtă.</w:t>
            </w:r>
          </w:p>
          <w:p>
            <w:pPr>
              <w:widowControl/>
              <w:suppressAutoHyphens/>
              <w:spacing w:before="60" w:after="60" w:line="240" w:lineRule="auto"/>
              <w:rPr>
                <w:rFonts w:ascii="Times New Roman" w:eastAsia="SimSun" w:hAnsi="Times New Roman"/>
                <w:noProof/>
              </w:rPr>
            </w:pPr>
            <w:r>
              <w:rPr>
                <w:rFonts w:ascii="Times New Roman" w:hAnsi="Times New Roman"/>
                <w:noProof/>
              </w:rPr>
              <w:t>În BE, LT, MT, PT: Șederea maximă pentru furnizorii de servicii pe bază de contract și profesioniștii independenți constă într-o perioadă de maximum 12 luni consecutive sau în perioada aferentă duratei contractului, în funcție de care dintre aceste perioade este mai scurtă.</w:t>
            </w:r>
          </w:p>
          <w:p>
            <w:pPr>
              <w:widowControl/>
              <w:suppressAutoHyphens/>
              <w:spacing w:before="60" w:after="60" w:line="240" w:lineRule="auto"/>
              <w:rPr>
                <w:rFonts w:ascii="Times New Roman" w:hAnsi="Times New Roman"/>
                <w:noProof/>
              </w:rPr>
            </w:pPr>
            <w:r>
              <w:rPr>
                <w:rFonts w:ascii="Times New Roman" w:hAnsi="Times New Roman"/>
                <w:noProof/>
              </w:rPr>
              <w:t>În CZ: Pentru toate sectoarele, cu excepția serviciilor furnizate de asistenți medicali: Șederea maximă pentru furnizorii de servicii pe bază de contract și profesioniștii independenți constă într-o perioadă cumulată ce nu depășește șase luni în orice perioadă de 12 luni sau în perioada aferentă duratei contractului, în funcție de care dintre aceste perioade este mai scurtă. Pentru serviciile furnizate de asistenți medicali: Șederea maximă pentru furnizorii de servicii pe bază de contract și profesioniștii independenți constă într-o perioadă de maximum 12 luni consecutive sau în perioada aferentă duratei contractului, în funcție de care dintre aceste perioade este mai scurtă.</w:t>
            </w:r>
          </w:p>
          <w:p>
            <w:pPr>
              <w:suppressAutoHyphens/>
              <w:spacing w:before="60" w:after="60" w:line="240" w:lineRule="auto"/>
              <w:rPr>
                <w:noProof/>
              </w:rPr>
            </w:pPr>
            <w:r>
              <w:rPr>
                <w:rFonts w:ascii="Times New Roman" w:hAnsi="Times New Roman"/>
                <w:noProof/>
              </w:rPr>
              <w:t>În CY: Șederea maximă pentru furnizorii de servicii pe bază de contract și profesioniștii independenți constă într-o perioadă de șase luni care poate fi reînnoită o dată pentru o perioadă suplimentară de șase luni sau în perioada aferentă duratei contractului, în funcție de care dintre aceste perioade este mai scurtă.</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Consultanță juridică pentru servicii de consultanță juridică în ceea ce privește dreptul internațional public, dreptul jurisdicției de origine, cu excepția dreptului jurisdicției gazdă</w:t>
            </w:r>
            <w:r>
              <w:rPr>
                <w:rStyle w:val="FootnoteReference"/>
                <w:rFonts w:ascii="Times New Roman" w:hAnsi="Times New Roman"/>
                <w:b/>
                <w:noProof/>
              </w:rPr>
              <w:footnoteReference w:id="85"/>
            </w:r>
            <w:r>
              <w:rPr>
                <w:rFonts w:ascii="Times New Roman" w:hAnsi="Times New Roman"/>
                <w:noProof/>
              </w:rPr>
              <w:t xml:space="preserve"> (parte din CPC 861)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AT, BE, CY, DE, EE, EL, ES, FR, HR, IE, IT, LU, NL, PL, PT, SE: niciuna.</w:t>
            </w:r>
          </w:p>
          <w:p>
            <w:pPr>
              <w:widowControl/>
              <w:suppressAutoHyphens/>
              <w:spacing w:before="60" w:after="60" w:line="240" w:lineRule="auto"/>
              <w:rPr>
                <w:rFonts w:ascii="Times New Roman" w:hAnsi="Times New Roman"/>
                <w:noProof/>
              </w:rPr>
            </w:pPr>
            <w:r>
              <w:rPr>
                <w:rFonts w:ascii="Times New Roman" w:hAnsi="Times New Roman"/>
                <w:noProof/>
              </w:rPr>
              <w:t>În BG, CZ, DK, FI, HU, LT, LV, MT, RO, SI, SK: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AT, CY, DE, EE, FR, HR, IE, LU, LV, NL, PL, PT, SE: niciuna.</w:t>
            </w:r>
          </w:p>
          <w:p>
            <w:pPr>
              <w:widowControl/>
              <w:suppressAutoHyphens/>
              <w:spacing w:before="60" w:after="60" w:line="240" w:lineRule="auto"/>
              <w:rPr>
                <w:rFonts w:ascii="Times New Roman" w:hAnsi="Times New Roman"/>
                <w:noProof/>
              </w:rPr>
            </w:pPr>
            <w:r>
              <w:rPr>
                <w:rFonts w:ascii="Times New Roman" w:hAnsi="Times New Roman"/>
                <w:noProof/>
              </w:rPr>
              <w:t>În BE, BG, CZ, DK, EL, ES, FI, HU, IT, LT, MT, RO, SI, SK: teste privind necesitățile economice.</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de contabilitate și de evidență contabilă</w:t>
            </w:r>
          </w:p>
          <w:p>
            <w:pPr>
              <w:widowControl/>
              <w:suppressAutoHyphens/>
              <w:spacing w:before="60" w:after="60" w:line="240" w:lineRule="auto"/>
              <w:rPr>
                <w:rFonts w:ascii="Times New Roman" w:hAnsi="Times New Roman"/>
                <w:noProof/>
              </w:rPr>
            </w:pPr>
            <w:r>
              <w:rPr>
                <w:rFonts w:ascii="Times New Roman" w:hAnsi="Times New Roman"/>
                <w:noProof/>
              </w:rPr>
              <w:t>(CPC 86212, altele decât „serviciile de audit”, 86213, 86219 și 86220)</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AT, BE, DE, EE, ES, HR, IE, IT, LU,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BG, CY, CZ, DK, EL, FI, FR, HU, LT, LV, MT, RO, SK: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consultanță fiscală</w:t>
            </w:r>
          </w:p>
          <w:p>
            <w:pPr>
              <w:widowControl/>
              <w:suppressAutoHyphens/>
              <w:spacing w:before="60" w:after="60" w:line="240" w:lineRule="auto"/>
              <w:rPr>
                <w:rFonts w:ascii="Times New Roman" w:hAnsi="Times New Roman"/>
                <w:noProof/>
              </w:rPr>
            </w:pPr>
            <w:r>
              <w:rPr>
                <w:rFonts w:ascii="Times New Roman" w:hAnsi="Times New Roman"/>
                <w:noProof/>
              </w:rPr>
              <w:t>(CPC 863)</w:t>
            </w:r>
            <w:r>
              <w:rPr>
                <w:rStyle w:val="FootnoteReference"/>
                <w:rFonts w:ascii="Times New Roman" w:hAnsi="Times New Roman"/>
                <w:b/>
                <w:noProof/>
              </w:rPr>
              <w:footnoteReference w:id="86"/>
            </w:r>
          </w:p>
        </w:tc>
        <w:tc>
          <w:tcPr>
            <w:tcW w:w="374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AT, BE, DE, EE, ES, FR, HR, IE, IT, LU, NL, PL, SI, SE: niciuna.</w:t>
            </w:r>
          </w:p>
          <w:p>
            <w:pPr>
              <w:widowControl/>
              <w:suppressAutoHyphens/>
              <w:spacing w:before="60" w:after="60" w:line="240" w:lineRule="auto"/>
              <w:rPr>
                <w:rFonts w:ascii="Times New Roman" w:hAnsi="Times New Roman"/>
                <w:noProof/>
              </w:rPr>
            </w:pPr>
            <w:r>
              <w:rPr>
                <w:rFonts w:ascii="Times New Roman" w:hAnsi="Times New Roman"/>
                <w:noProof/>
              </w:rPr>
              <w:t>În BG, CY, CZ, DK, EL, FI, HU, LT, LV, MT,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PT: neconsolidat.</w:t>
            </w:r>
          </w:p>
          <w:p>
            <w:pPr>
              <w:widowControl/>
              <w:suppressAutoHyphens/>
              <w:spacing w:before="60" w:after="60" w:line="240" w:lineRule="auto"/>
              <w:rPr>
                <w:rFonts w:ascii="Times New Roman" w:eastAsia="SimSu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rPr>
          <w:trHeight w:val="3780"/>
        </w:trPr>
        <w:tc>
          <w:tcPr>
            <w:tcW w:w="125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arhitectură și servicii de urbanism și de arhitectură peisagistică</w:t>
            </w:r>
          </w:p>
          <w:p>
            <w:pPr>
              <w:widowControl/>
              <w:suppressAutoHyphens/>
              <w:spacing w:before="60" w:after="60" w:line="240" w:lineRule="auto"/>
              <w:rPr>
                <w:rFonts w:ascii="Times New Roman" w:hAnsi="Times New Roman"/>
                <w:noProof/>
              </w:rPr>
            </w:pPr>
            <w:r>
              <w:rPr>
                <w:rFonts w:ascii="Times New Roman" w:hAnsi="Times New Roman"/>
                <w:noProof/>
              </w:rPr>
              <w:t>(CPC 8671 și 8674)</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CY, EE, ES, EL, FR, HR, IE, IT,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FI: niciuna, cu următoarele excepții: persoana fizică trebuie să demonstreze că are cunoștințe de specialitate relevante pentru serviciul furnizat.</w:t>
            </w:r>
          </w:p>
          <w:p>
            <w:pPr>
              <w:widowControl/>
              <w:suppressAutoHyphens/>
              <w:spacing w:before="60" w:after="60" w:line="240" w:lineRule="auto"/>
              <w:rPr>
                <w:rFonts w:ascii="Times New Roman" w:hAnsi="Times New Roman"/>
                <w:noProof/>
              </w:rPr>
            </w:pPr>
            <w:r>
              <w:rPr>
                <w:rFonts w:ascii="Times New Roman" w:hAnsi="Times New Roman"/>
                <w:noProof/>
              </w:rPr>
              <w:t>În BG, CZ, DE, HU, LT, LV,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r>
              <w:rPr>
                <w:rFonts w:ascii="Times New Roman" w:hAnsi="Times New Roman"/>
                <w:noProof/>
              </w:rPr>
              <w:t>În AT: doar servicii de planificare, pentru care se aplică: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suppressAutoHyphens/>
              <w:spacing w:before="60" w:after="60" w:line="240" w:lineRule="auto"/>
              <w:rPr>
                <w:rFonts w:ascii="Times New Roman" w:hAnsi="Times New Roman"/>
                <w:noProof/>
              </w:rPr>
            </w:pPr>
            <w:r>
              <w:rPr>
                <w:rFonts w:ascii="Times New Roman" w:hAnsi="Times New Roman"/>
                <w:noProof/>
              </w:rPr>
              <w:t>În CY, DE, EE, EL, FR, HR, IE, LU, LV, MT, NL, PL, PT, SI, SE: niciuna.</w:t>
            </w:r>
          </w:p>
        </w:tc>
      </w:tr>
      <w:tr>
        <w:trPr>
          <w:trHeight w:val="1515"/>
        </w:trPr>
        <w:tc>
          <w:tcPr>
            <w:tcW w:w="1258" w:type="pct"/>
            <w:tcBorders>
              <w:top w:val="nil"/>
              <w:bottom w:val="single" w:sz="4" w:space="0" w:color="auto"/>
            </w:tcBorders>
          </w:tcPr>
          <w:p>
            <w:pPr>
              <w:pageBreakBefore/>
              <w:suppressAutoHyphens/>
              <w:spacing w:before="60" w:after="60" w:line="240" w:lineRule="auto"/>
              <w:rPr>
                <w:noProof/>
              </w:rPr>
            </w:pPr>
          </w:p>
        </w:tc>
        <w:tc>
          <w:tcPr>
            <w:tcW w:w="3742" w:type="pct"/>
            <w:tcBorders>
              <w:top w:val="nil"/>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În FI: niciuna, cu următoarele excepții: persoana fizică trebuie să demonstreze că are cunoștințe de specialitate relevante pentru serviciul furnizat.</w:t>
            </w:r>
          </w:p>
          <w:p>
            <w:pPr>
              <w:widowControl/>
              <w:suppressAutoHyphens/>
              <w:spacing w:before="60" w:after="60" w:line="240" w:lineRule="auto"/>
              <w:rPr>
                <w:rFonts w:ascii="Times New Roman" w:hAnsi="Times New Roman"/>
                <w:noProof/>
              </w:rPr>
            </w:pPr>
            <w:r>
              <w:rPr>
                <w:rFonts w:ascii="Times New Roman" w:hAnsi="Times New Roman"/>
                <w:noProof/>
              </w:rPr>
              <w:t>În BE, BG, CZ, DK, ES, HU, IT, LT, RO, SK: testul privind necesitățile economice.</w:t>
            </w:r>
          </w:p>
          <w:p>
            <w:pPr>
              <w:suppressAutoHyphens/>
              <w:spacing w:before="60" w:after="60" w:line="240" w:lineRule="auto"/>
              <w:rPr>
                <w:noProof/>
              </w:rPr>
            </w:pPr>
            <w:r>
              <w:rPr>
                <w:rFonts w:ascii="Times New Roman" w:hAnsi="Times New Roman"/>
                <w:noProof/>
              </w:rPr>
              <w:t>În AT: doar servicii de planificare, pentru care se aplică: testul privind necesitățile economice.</w:t>
            </w:r>
          </w:p>
        </w:tc>
      </w:tr>
      <w:tr>
        <w:tc>
          <w:tcPr>
            <w:tcW w:w="125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inginerie și servicii integrate de inginerie</w:t>
            </w:r>
          </w:p>
          <w:p>
            <w:pPr>
              <w:widowControl/>
              <w:suppressAutoHyphens/>
              <w:spacing w:before="60" w:after="60" w:line="240" w:lineRule="auto"/>
              <w:rPr>
                <w:rFonts w:ascii="Times New Roman" w:hAnsi="Times New Roman"/>
                <w:noProof/>
              </w:rPr>
            </w:pPr>
            <w:r>
              <w:rPr>
                <w:rFonts w:ascii="Times New Roman" w:hAnsi="Times New Roman"/>
                <w:noProof/>
              </w:rPr>
              <w:t>(CPC 8672 și 8673), inclusiv:</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Ingineria explorării petrolului și gazelor</w:t>
            </w:r>
          </w:p>
          <w:p>
            <w:pPr>
              <w:widowControl/>
              <w:suppressAutoHyphens/>
              <w:spacing w:before="60" w:after="60" w:line="240" w:lineRule="auto"/>
              <w:ind w:left="567" w:hanging="567"/>
              <w:rPr>
                <w:rFonts w:ascii="Times New Roman" w:hAnsi="Times New Roman"/>
                <w:noProof/>
              </w:rPr>
            </w:pPr>
            <w:r>
              <w:rPr>
                <w:noProof/>
              </w:rPr>
              <w:tab/>
            </w:r>
            <w:r>
              <w:rPr>
                <w:rFonts w:ascii="Times New Roman" w:hAnsi="Times New Roman"/>
                <w:noProof/>
              </w:rPr>
              <w:t>Ingineria laboratorului de petrol și gaze</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EE, ES, EL, FR, HR, IE, IT,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FI: niciuna, cu următoarele excepții: persoana fizică trebuie să demonstreze că are cunoștințe de specialitate relevante pentru serviciul furnizat.</w:t>
            </w:r>
          </w:p>
          <w:p>
            <w:pPr>
              <w:widowControl/>
              <w:suppressAutoHyphens/>
              <w:spacing w:before="60" w:after="60" w:line="240" w:lineRule="auto"/>
              <w:rPr>
                <w:rFonts w:ascii="Times New Roman" w:eastAsia="SimSun" w:hAnsi="Times New Roman"/>
                <w:noProof/>
              </w:rPr>
            </w:pPr>
            <w:r>
              <w:rPr>
                <w:rFonts w:ascii="Times New Roman" w:hAnsi="Times New Roman"/>
                <w:noProof/>
              </w:rPr>
              <w:t>În BG, CY, CZ, DE, HU, LV,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r>
              <w:rPr>
                <w:rFonts w:ascii="Times New Roman" w:hAnsi="Times New Roman"/>
                <w:noProof/>
              </w:rPr>
              <w:t>În AT: doar servicii de planificare, pentru care se aplică: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LT: testul privind necesitățile economice, cu excepția ingineriei explorării petrolului și gazelor, în cazul căreia: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CY, DE, EE, EL, FR, HR, IE, LU, LV,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FI: niciuna, cu următoarele excepții: persoana fizică trebuie să demonstreze că are cunoștințe de specialitate relevante pentru serviciul furnizat.</w:t>
            </w:r>
          </w:p>
        </w:tc>
      </w:tr>
      <w:tr>
        <w:tc>
          <w:tcPr>
            <w:tcW w:w="1258" w:type="pct"/>
            <w:tcBorders>
              <w:top w:val="nil"/>
            </w:tcBorders>
          </w:tcPr>
          <w:p>
            <w:pPr>
              <w:pageBreakBefore/>
              <w:widowControl/>
              <w:suppressAutoHyphens/>
              <w:spacing w:before="60" w:after="60" w:line="240" w:lineRule="auto"/>
              <w:rPr>
                <w:noProof/>
              </w:rPr>
            </w:pPr>
          </w:p>
        </w:tc>
        <w:tc>
          <w:tcPr>
            <w:tcW w:w="3742" w:type="pct"/>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În BE, BG, CZ, DK, ES, HU, IT, LT,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AT: doar servicii de planificare, pentru care se aplică: testul privind necesitățile economice.</w:t>
            </w:r>
          </w:p>
          <w:p>
            <w:pPr>
              <w:widowControl/>
              <w:suppressAutoHyphens/>
              <w:spacing w:before="60" w:after="60" w:line="240" w:lineRule="auto"/>
              <w:rPr>
                <w:noProof/>
              </w:rPr>
            </w:pPr>
            <w:r>
              <w:rPr>
                <w:rFonts w:ascii="Times New Roman" w:hAnsi="Times New Roman"/>
                <w:noProof/>
              </w:rPr>
              <w:t>În LT: testul privind necesitățile economice, cu excepția ingineriei explorării petrolului și gazelor, în cazul căreia: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furnizate de moașe</w:t>
            </w:r>
          </w:p>
          <w:p>
            <w:pPr>
              <w:pageBreakBefore/>
              <w:widowControl/>
              <w:suppressAutoHyphens/>
              <w:spacing w:before="60" w:after="60" w:line="240" w:lineRule="auto"/>
              <w:rPr>
                <w:rFonts w:ascii="Times New Roman" w:hAnsi="Times New Roman"/>
                <w:noProof/>
              </w:rPr>
            </w:pPr>
            <w:r>
              <w:rPr>
                <w:rFonts w:ascii="Times New Roman" w:hAnsi="Times New Roman"/>
                <w:noProof/>
              </w:rPr>
              <w:t>(parte din CPC 93191)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IE, SE: niciuna.</w:t>
            </w:r>
          </w:p>
          <w:p>
            <w:pPr>
              <w:widowControl/>
              <w:suppressAutoHyphens/>
              <w:spacing w:before="60" w:after="60" w:line="240" w:lineRule="auto"/>
              <w:rPr>
                <w:rFonts w:ascii="Times New Roman" w:hAnsi="Times New Roman"/>
                <w:noProof/>
              </w:rPr>
            </w:pPr>
            <w:r>
              <w:rPr>
                <w:rFonts w:ascii="Times New Roman" w:hAnsi="Times New Roman"/>
                <w:noProof/>
              </w:rPr>
              <w:t>În AT, CY, DE, DK, EE, EL, ES, IT, LT, LV, LU, MT, NL, PL, PT, RO, SI: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BE, BG, CZ, FI, FR, HR, HU, SK: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Servicii furnizate de asistenți medicali, fizioterapeuți și personal paramedical</w:t>
            </w:r>
          </w:p>
          <w:p>
            <w:pPr>
              <w:widowControl/>
              <w:suppressAutoHyphens/>
              <w:spacing w:before="60" w:after="60" w:line="240" w:lineRule="auto"/>
              <w:rPr>
                <w:rFonts w:ascii="Times New Roman" w:hAnsi="Times New Roman"/>
                <w:noProof/>
              </w:rPr>
            </w:pPr>
            <w:r>
              <w:rPr>
                <w:rFonts w:ascii="Times New Roman" w:hAnsi="Times New Roman"/>
                <w:noProof/>
              </w:rPr>
              <w:t>(parte din CPC 93191)</w:t>
            </w:r>
          </w:p>
        </w:tc>
        <w:tc>
          <w:tcPr>
            <w:tcW w:w="3742"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IE, SE: niciuna.</w:t>
            </w:r>
          </w:p>
          <w:p>
            <w:pPr>
              <w:widowControl/>
              <w:suppressAutoHyphens/>
              <w:spacing w:before="60" w:after="60" w:line="240" w:lineRule="auto"/>
              <w:rPr>
                <w:rFonts w:ascii="Times New Roman" w:hAnsi="Times New Roman"/>
                <w:noProof/>
              </w:rPr>
            </w:pPr>
            <w:r>
              <w:rPr>
                <w:rFonts w:ascii="Times New Roman" w:hAnsi="Times New Roman"/>
                <w:noProof/>
              </w:rPr>
              <w:t>În AT, CY, CZ, DE, DK, EE, EL, ES, IT, LT, LV, LU, MT, NL, PL, PT, RO, SI: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BE, BG, FI, FR, HR, HU, SK: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rPr>
          <w:trHeight w:val="6870"/>
        </w:trPr>
        <w:tc>
          <w:tcPr>
            <w:tcW w:w="1258"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informatice și servicii conexe</w:t>
            </w:r>
          </w:p>
          <w:p>
            <w:pPr>
              <w:widowControl/>
              <w:suppressAutoHyphens/>
              <w:spacing w:before="60" w:after="60" w:line="240" w:lineRule="auto"/>
              <w:rPr>
                <w:rFonts w:ascii="Times New Roman" w:hAnsi="Times New Roman"/>
                <w:noProof/>
              </w:rPr>
            </w:pPr>
            <w:r>
              <w:rPr>
                <w:rFonts w:ascii="Times New Roman" w:hAnsi="Times New Roman"/>
                <w:noProof/>
              </w:rPr>
              <w:t>(CPC 84), inclusiv:</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Designeri web</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Programatori de aplicații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Dezvoltatori de software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Dezvoltatori și analiști de sisteme și aplicații informatice</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Dezvoltatori web</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Designeri și administratori de baze de date</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Tehnicieni rețele de calculatoare sau sisteme</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Specialiști în baze de date și rețele</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Specialiști în rețele de calculatoare</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Administratori de sistem</w:t>
            </w:r>
          </w:p>
          <w:p>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Tehnicieni pentru asigurarea suportului pentru utilizatorii tehnologiei informației și comunicațiilor</w:t>
            </w:r>
          </w:p>
        </w:tc>
        <w:tc>
          <w:tcPr>
            <w:tcW w:w="3742"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eastAsia="SimSun" w:hAnsi="Times New Roman"/>
                <w:noProof/>
              </w:rPr>
            </w:pPr>
            <w:r>
              <w:rPr>
                <w:rFonts w:ascii="Times New Roman" w:hAnsi="Times New Roman"/>
                <w:noProof/>
              </w:rPr>
              <w:t>În BE, DE, EE, EL, ES, HR, IE, IT, LU, LV,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FR, pentru designerii și administratorii de baze de date, specialiștii în baze de date și rețele, specialiștii în rețele de calculatoare, administratorii de sisteme: niciuna. Altfel: șederea maximă constă într-o perioadă cumulată ce nu depășește șase luni în orice perioadă de 12 luni sau în perioada aferentă duratei contractului, în funcție de care dintre aceste perioade este mai scurtă.</w:t>
            </w:r>
          </w:p>
          <w:p>
            <w:pPr>
              <w:widowControl/>
              <w:suppressAutoHyphens/>
              <w:spacing w:before="60" w:after="60" w:line="240" w:lineRule="auto"/>
              <w:rPr>
                <w:rFonts w:ascii="Times New Roman" w:hAnsi="Times New Roman"/>
                <w:noProof/>
              </w:rPr>
            </w:pPr>
            <w:r>
              <w:rPr>
                <w:rFonts w:ascii="Times New Roman" w:hAnsi="Times New Roman"/>
                <w:noProof/>
              </w:rPr>
              <w:t>În FI: niciuna, cu următoarele excepții: persoana fizică trebuie să demonstreze că are cunoștințe de specialitate relevante pentru serviciul furnizat.</w:t>
            </w:r>
          </w:p>
          <w:p>
            <w:pPr>
              <w:widowControl/>
              <w:suppressAutoHyphens/>
              <w:spacing w:before="60" w:after="60" w:line="240" w:lineRule="auto"/>
              <w:rPr>
                <w:rFonts w:ascii="Times New Roman" w:hAnsi="Times New Roman"/>
                <w:noProof/>
              </w:rPr>
            </w:pPr>
            <w:r>
              <w:rPr>
                <w:rFonts w:ascii="Times New Roman" w:hAnsi="Times New Roman"/>
                <w:noProof/>
              </w:rPr>
              <w:t>În AT, BG, CZ, CY, HU, LT, MT,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DE, EE, EL, FR, IE, LU, LV,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FR: Șederea maximă constă într-o perioadă cumulată ce nu depășește șase luni în orice perioadă de 12 luni sau în perioada aferentă duratei contractului, în funcție de care dintre aceste perioade este mai scurtă.</w:t>
            </w:r>
          </w:p>
          <w:p>
            <w:pPr>
              <w:widowControl/>
              <w:suppressAutoHyphens/>
              <w:spacing w:before="60" w:after="60" w:line="240" w:lineRule="auto"/>
              <w:rPr>
                <w:rFonts w:ascii="Times New Roman" w:hAnsi="Times New Roman"/>
                <w:noProof/>
              </w:rPr>
            </w:pPr>
            <w:r>
              <w:rPr>
                <w:rFonts w:ascii="Times New Roman" w:hAnsi="Times New Roman"/>
                <w:noProof/>
              </w:rPr>
              <w:t>În FI: niciuna, cu următoarele excepții: persoana fizică trebuie să demonstreze că are cunoștințe de specialitate relevante pentru serviciul furnizat.</w:t>
            </w:r>
          </w:p>
          <w:p>
            <w:pPr>
              <w:widowControl/>
              <w:suppressAutoHyphens/>
              <w:spacing w:before="60" w:after="60" w:line="240" w:lineRule="auto"/>
              <w:rPr>
                <w:rFonts w:ascii="Times New Roman" w:hAnsi="Times New Roman"/>
                <w:noProof/>
              </w:rPr>
            </w:pPr>
            <w:r>
              <w:rPr>
                <w:rFonts w:ascii="Times New Roman" w:hAnsi="Times New Roman"/>
                <w:noProof/>
              </w:rPr>
              <w:t>În AT, BE, BG, CZ, CY, DK, ES, HU, IT, LT, MT,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HR: neconsolidat.</w:t>
            </w:r>
          </w:p>
        </w:tc>
      </w:tr>
      <w:tr>
        <w:tc>
          <w:tcPr>
            <w:tcW w:w="1258" w:type="pct"/>
            <w:tcBorders>
              <w:top w:val="nil"/>
            </w:tcBorders>
          </w:tcPr>
          <w:p>
            <w:pPr>
              <w:pageBreakBefore/>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lastRenderedPageBreak/>
              <w:t>–</w:t>
            </w:r>
            <w:r>
              <w:rPr>
                <w:noProof/>
              </w:rPr>
              <w:tab/>
            </w:r>
            <w:r>
              <w:rPr>
                <w:rFonts w:ascii="Times New Roman" w:hAnsi="Times New Roman"/>
                <w:noProof/>
              </w:rPr>
              <w:t>Tehnicieni pentru operațiuni în domeniul tehnologiei informației și comunicațiilor</w:t>
            </w:r>
          </w:p>
          <w:p>
            <w:pPr>
              <w:suppressAutoHyphens/>
              <w:spacing w:before="60" w:after="60" w:line="240" w:lineRule="auto"/>
              <w:ind w:left="567" w:hanging="567"/>
              <w:rPr>
                <w:noProof/>
              </w:rPr>
            </w:pPr>
            <w:r>
              <w:rPr>
                <w:rFonts w:ascii="Times New Roman" w:hAnsi="Times New Roman"/>
                <w:noProof/>
              </w:rPr>
              <w:t>–</w:t>
            </w:r>
            <w:r>
              <w:rPr>
                <w:noProof/>
              </w:rPr>
              <w:tab/>
            </w:r>
            <w:r>
              <w:rPr>
                <w:rFonts w:ascii="Times New Roman" w:hAnsi="Times New Roman"/>
                <w:noProof/>
              </w:rPr>
              <w:t>Tehnicieni în domeniul informaticii</w:t>
            </w:r>
          </w:p>
        </w:tc>
        <w:tc>
          <w:tcPr>
            <w:tcW w:w="3742" w:type="pct"/>
            <w:tcBorders>
              <w:top w:val="nil"/>
            </w:tcBorders>
          </w:tcPr>
          <w:p>
            <w:pPr>
              <w:suppressAutoHyphens/>
              <w:spacing w:before="60" w:after="60" w:line="240" w:lineRule="auto"/>
              <w:rPr>
                <w:noProof/>
              </w:rPr>
            </w:pP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de cercetare și dezvoltare</w:t>
            </w:r>
          </w:p>
          <w:p>
            <w:pPr>
              <w:widowControl/>
              <w:suppressAutoHyphens/>
              <w:spacing w:before="60" w:after="60" w:line="240" w:lineRule="auto"/>
              <w:rPr>
                <w:rFonts w:ascii="Times New Roman" w:hAnsi="Times New Roman"/>
                <w:noProof/>
              </w:rPr>
            </w:pPr>
            <w:r>
              <w:rPr>
                <w:rFonts w:ascii="Times New Roman" w:hAnsi="Times New Roman"/>
                <w:noProof/>
              </w:rPr>
              <w:t>(CPC 851, 852, cu excepția serviciilor furnizate de psihologi</w:t>
            </w:r>
            <w:r>
              <w:rPr>
                <w:rStyle w:val="FootnoteReference"/>
                <w:rFonts w:ascii="Times New Roman" w:hAnsi="Times New Roman"/>
                <w:b/>
                <w:noProof/>
              </w:rPr>
              <w:footnoteReference w:id="87"/>
            </w:r>
            <w:r>
              <w:rPr>
                <w:rFonts w:ascii="Times New Roman" w:hAnsi="Times New Roman"/>
                <w:noProof/>
              </w:rPr>
              <w:t>, și 853)</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UE, cu excepția NL, SE: Este necesar un acord de găzduire cu o organizație de cercetare autorizată</w:t>
            </w:r>
            <w:r>
              <w:rPr>
                <w:rStyle w:val="FootnoteReference"/>
                <w:rFonts w:ascii="Times New Roman" w:hAnsi="Times New Roman"/>
                <w:b/>
                <w:noProof/>
              </w:rPr>
              <w:footnoteReference w:id="88"/>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În UE, cu excepția CZ, DK, SK: niciuna.</w:t>
            </w:r>
          </w:p>
          <w:p>
            <w:pPr>
              <w:widowControl/>
              <w:suppressAutoHyphens/>
              <w:spacing w:before="60" w:after="60" w:line="240" w:lineRule="auto"/>
              <w:rPr>
                <w:rFonts w:ascii="Times New Roman" w:hAnsi="Times New Roman"/>
                <w:noProof/>
              </w:rPr>
            </w:pPr>
            <w:r>
              <w:rPr>
                <w:rFonts w:ascii="Times New Roman" w:hAnsi="Times New Roman"/>
                <w:noProof/>
              </w:rPr>
              <w:t>În CZ, DK, SK: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publicitate</w:t>
            </w:r>
          </w:p>
          <w:p>
            <w:pPr>
              <w:widowControl/>
              <w:suppressAutoHyphens/>
              <w:spacing w:before="60" w:after="60" w:line="240" w:lineRule="auto"/>
              <w:rPr>
                <w:rFonts w:ascii="Times New Roman" w:hAnsi="Times New Roman"/>
                <w:noProof/>
              </w:rPr>
            </w:pPr>
            <w:r>
              <w:rPr>
                <w:rFonts w:ascii="Times New Roman" w:hAnsi="Times New Roman"/>
                <w:noProof/>
              </w:rPr>
              <w:t>(CPC 871)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DE, EE, ES, FR, HR, IE, IT, LU,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DK, EL, FI, HU, LT, LV, MT, RO, SK: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în management</w:t>
            </w:r>
          </w:p>
          <w:p>
            <w:pPr>
              <w:widowControl/>
              <w:suppressAutoHyphens/>
              <w:spacing w:before="60" w:after="60" w:line="240" w:lineRule="auto"/>
              <w:rPr>
                <w:rFonts w:ascii="Times New Roman" w:hAnsi="Times New Roman"/>
                <w:noProof/>
              </w:rPr>
            </w:pPr>
            <w:r>
              <w:rPr>
                <w:rFonts w:ascii="Times New Roman" w:hAnsi="Times New Roman"/>
                <w:noProof/>
              </w:rPr>
              <w:t>(CPC 865)</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DE, EE, EL, ES, FI, FR, HR, IE, IT, LV,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HU, LT,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CY, DE, EE, EL, FI, FR, IE, LV,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BE, BG, CZ, DK, ES, HR, HU, IT, LT, RO, SK: testul privind necesitățile economice.</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legate de consultanța în management</w:t>
            </w:r>
          </w:p>
          <w:p>
            <w:pPr>
              <w:widowControl/>
              <w:suppressAutoHyphens/>
              <w:spacing w:before="60" w:after="60" w:line="240" w:lineRule="auto"/>
              <w:rPr>
                <w:rFonts w:ascii="Times New Roman" w:hAnsi="Times New Roman"/>
                <w:noProof/>
              </w:rPr>
            </w:pPr>
            <w:r>
              <w:rPr>
                <w:rFonts w:ascii="Times New Roman" w:hAnsi="Times New Roman"/>
                <w:noProof/>
              </w:rPr>
              <w:t>(CPC 866)</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DE, EE, EL, ES, FI, FR, HR, IE, IT, LV, LU, MT, NL, PL, PT,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LT, RO, SI,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r>
              <w:rPr>
                <w:rFonts w:ascii="Times New Roman" w:hAnsi="Times New Roman"/>
                <w:noProof/>
              </w:rPr>
              <w:t>În HU: testul privind necesitățile economice, cu excepția serviciilor de arbitraj și conciliere (CPC 86602), în cazul cărora: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CY, DE, EE, EL, FI, FR, IE, LV, LU, MT, NL, PL, PT, SE: niciuna.</w:t>
            </w:r>
          </w:p>
          <w:p>
            <w:pPr>
              <w:widowControl/>
              <w:suppressAutoHyphens/>
              <w:spacing w:before="60" w:after="60" w:line="240" w:lineRule="auto"/>
              <w:rPr>
                <w:rFonts w:ascii="Times New Roman" w:hAnsi="Times New Roman"/>
                <w:noProof/>
              </w:rPr>
            </w:pPr>
            <w:r>
              <w:rPr>
                <w:rFonts w:ascii="Times New Roman" w:hAnsi="Times New Roman"/>
                <w:noProof/>
              </w:rPr>
              <w:t>În AT, BE, BG, CZ, DK, ES, HR, IT, LT, RO, SI,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HU: testul privind necesitățile economice, cu excepția serviciilor de arbitraj și conciliere (CPC 86602), în cazul cărora: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de testări și analize tehnice</w:t>
            </w:r>
          </w:p>
          <w:p>
            <w:pPr>
              <w:widowControl/>
              <w:suppressAutoHyphens/>
              <w:spacing w:before="60" w:after="60" w:line="240" w:lineRule="auto"/>
              <w:rPr>
                <w:rFonts w:ascii="Times New Roman" w:hAnsi="Times New Roman"/>
                <w:noProof/>
              </w:rPr>
            </w:pPr>
            <w:r>
              <w:rPr>
                <w:rFonts w:ascii="Times New Roman" w:hAnsi="Times New Roman"/>
                <w:noProof/>
              </w:rPr>
              <w:t>(CPC 8676)</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DE, EE, EL, ES, FR, HR, IE, IT, LU, NL, PL,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FI, HU, LT, LV, MT, PT,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conexe de consultanță științifică și tehnică</w:t>
            </w:r>
          </w:p>
          <w:p>
            <w:pPr>
              <w:widowControl/>
              <w:suppressAutoHyphens/>
              <w:spacing w:before="60" w:after="60" w:line="240" w:lineRule="auto"/>
              <w:rPr>
                <w:rFonts w:ascii="Times New Roman" w:hAnsi="Times New Roman"/>
                <w:noProof/>
              </w:rPr>
            </w:pPr>
            <w:r>
              <w:rPr>
                <w:rFonts w:ascii="Times New Roman" w:hAnsi="Times New Roman"/>
                <w:noProof/>
              </w:rPr>
              <w:t>(CPC 8675)</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EE, EL, ES, HR, IE, IT, LU, NL, PL, SI, SE: niciuna.</w:t>
            </w:r>
          </w:p>
          <w:p>
            <w:pPr>
              <w:widowControl/>
              <w:suppressAutoHyphens/>
              <w:spacing w:before="60" w:after="60" w:line="240" w:lineRule="auto"/>
              <w:rPr>
                <w:rFonts w:ascii="Times New Roman" w:hAnsi="Times New Roman"/>
                <w:noProof/>
              </w:rPr>
            </w:pPr>
            <w:r>
              <w:rPr>
                <w:rFonts w:ascii="Times New Roman" w:hAnsi="Times New Roman"/>
                <w:noProof/>
              </w:rPr>
              <w:t>În AT, CZ, CY, DE, DK, FI, HU, LT, LV, MT, PT,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DE: niciuna, cu excepția inspectorilor desemnați public, în cazul cărora: neconsolidat.</w:t>
            </w:r>
          </w:p>
          <w:p>
            <w:pPr>
              <w:widowControl/>
              <w:suppressAutoHyphens/>
              <w:spacing w:before="60" w:after="60" w:line="240" w:lineRule="auto"/>
              <w:rPr>
                <w:rFonts w:ascii="Times New Roman" w:hAnsi="Times New Roman"/>
                <w:noProof/>
              </w:rPr>
            </w:pPr>
            <w:r>
              <w:rPr>
                <w:rFonts w:ascii="Times New Roman" w:hAnsi="Times New Roman"/>
                <w:noProof/>
              </w:rPr>
              <w:t>În FR: niciuna, cu excepția operațiunilor de „măsurători cadastrale” legate de stabilirea drepturilor de proprietate și de dreptul funciar, în cazul cărora: neconsolidat.</w:t>
            </w:r>
          </w:p>
          <w:p>
            <w:pPr>
              <w:widowControl/>
              <w:suppressAutoHyphens/>
              <w:spacing w:before="60" w:after="60" w:line="240" w:lineRule="auto"/>
              <w:rPr>
                <w:rFonts w:ascii="Times New Roman" w:hAnsi="Times New Roman"/>
                <w:noProof/>
              </w:rPr>
            </w:pPr>
            <w:r>
              <w:rPr>
                <w:rFonts w:ascii="Times New Roman" w:hAnsi="Times New Roman"/>
                <w:noProof/>
              </w:rPr>
              <w:t>În BG: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Minerit</w:t>
            </w:r>
          </w:p>
          <w:p>
            <w:pPr>
              <w:widowControl/>
              <w:suppressAutoHyphens/>
              <w:spacing w:before="60" w:after="60" w:line="240" w:lineRule="auto"/>
              <w:rPr>
                <w:rFonts w:ascii="Times New Roman" w:hAnsi="Times New Roman"/>
                <w:noProof/>
              </w:rPr>
            </w:pPr>
            <w:r>
              <w:rPr>
                <w:rFonts w:ascii="Times New Roman" w:hAnsi="Times New Roman"/>
                <w:noProof/>
              </w:rPr>
              <w:t>(CPC 883, doar servicii de consiliere și de consultanță)</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DE, EE, EL, ES, FI, FR, HR, IE, IT, LV,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HU, LT,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DE, EE, EL, FI, FR, HR, IE, LV, LU, MT, NL,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BE, BG, CY, CZ, DK, ES, HU, IT, LT, PL, RO, SK: testul privind necesitățile economice.</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Minerit</w:t>
            </w:r>
          </w:p>
          <w:p>
            <w:pPr>
              <w:widowControl/>
              <w:suppressAutoHyphens/>
              <w:spacing w:before="60" w:after="60" w:line="240" w:lineRule="auto"/>
              <w:rPr>
                <w:rFonts w:ascii="Times New Roman" w:hAnsi="Times New Roman"/>
                <w:noProof/>
              </w:rPr>
            </w:pPr>
            <w:r>
              <w:rPr>
                <w:rFonts w:ascii="Times New Roman" w:hAnsi="Times New Roman"/>
                <w:noProof/>
              </w:rPr>
              <w:t>(CPC 883, limitat la:</w:t>
            </w:r>
          </w:p>
          <w:p>
            <w:pPr>
              <w:widowControl/>
              <w:suppressAutoHyphens/>
              <w:spacing w:before="60" w:after="60" w:line="240" w:lineRule="auto"/>
              <w:ind w:left="567" w:hanging="567"/>
              <w:rPr>
                <w:rFonts w:ascii="Times New Roman" w:eastAsia="SimSun" w:hAnsi="Times New Roman"/>
                <w:noProof/>
              </w:rPr>
            </w:pPr>
            <w:r>
              <w:rPr>
                <w:rFonts w:ascii="Times New Roman" w:hAnsi="Times New Roman"/>
                <w:noProof/>
              </w:rPr>
              <w:t>–</w:t>
            </w:r>
            <w:r>
              <w:rPr>
                <w:noProof/>
              </w:rPr>
              <w:tab/>
            </w:r>
            <w:r>
              <w:rPr>
                <w:rFonts w:ascii="Times New Roman" w:hAnsi="Times New Roman"/>
                <w:noProof/>
              </w:rPr>
              <w:t>Tehnicieni minieri și metalurgiști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Supervizor instrumentație de teren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Supervizor lucrări electrice</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UE, cu excepția FR: neconsolidat.</w:t>
            </w:r>
          </w:p>
          <w:p>
            <w:pPr>
              <w:widowControl/>
              <w:suppressAutoHyphens/>
              <w:spacing w:before="60" w:after="60" w:line="240" w:lineRule="auto"/>
              <w:rPr>
                <w:rFonts w:ascii="Times New Roman" w:hAnsi="Times New Roman"/>
                <w:noProof/>
              </w:rPr>
            </w:pPr>
            <w:r>
              <w:rPr>
                <w:rFonts w:ascii="Times New Roman" w:hAnsi="Times New Roman"/>
                <w:noProof/>
              </w:rPr>
              <w:t>În FR: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produselor din metal, a mașinilor (altele decât de birou), a echipamentelor (altele decât de transport și de birou) și a bunurilor de uz personal și casnic</w:t>
            </w:r>
            <w:r>
              <w:rPr>
                <w:rStyle w:val="FootnoteReference"/>
                <w:rFonts w:ascii="Times New Roman" w:hAnsi="Times New Roman"/>
                <w:b/>
                <w:noProof/>
              </w:rPr>
              <w:footnoteReference w:id="89"/>
            </w:r>
          </w:p>
          <w:p>
            <w:pPr>
              <w:widowControl/>
              <w:suppressAutoHyphens/>
              <w:spacing w:before="60" w:after="60" w:line="240" w:lineRule="auto"/>
              <w:rPr>
                <w:rFonts w:ascii="Times New Roman" w:hAnsi="Times New Roman"/>
                <w:noProof/>
              </w:rPr>
            </w:pPr>
            <w:r>
              <w:rPr>
                <w:rFonts w:ascii="Times New Roman" w:hAnsi="Times New Roman"/>
                <w:noProof/>
              </w:rPr>
              <w:t>(CPC 633, 7545, 8861, 8862, 8864, 8865 și 8866)</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EE, EL, ES, FR, HR, IT, LV,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DE, DK, HU, IE, LT,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FI: neconsolidat, mai puțin în contextul unui contract de servicii post-vânzare sau servicii post-leasing, în cazul căruia: durata șederii este limitată la șase luni; pentru întreținerea și repararea bunurilor de uz personal și casnic (CPC 633):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traducere</w:t>
            </w:r>
          </w:p>
          <w:p>
            <w:pPr>
              <w:widowControl/>
              <w:suppressAutoHyphens/>
              <w:spacing w:before="60" w:after="60" w:line="240" w:lineRule="auto"/>
              <w:rPr>
                <w:rFonts w:ascii="Times New Roman" w:hAnsi="Times New Roman"/>
                <w:noProof/>
              </w:rPr>
            </w:pPr>
            <w:r>
              <w:rPr>
                <w:rFonts w:ascii="Times New Roman" w:hAnsi="Times New Roman"/>
                <w:noProof/>
              </w:rPr>
              <w:t>(CPC 87905, cu excepția activităților oficiale sau certificate)</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CY, DE, EE, EL, ES, FR, HR, IT, LU,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DK, FI, HU, IE, LT, LV, MT, RO, SK: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CY, DE, EE, FR, LU, LV,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BE, BG, CZ, DK, EL, ES, FI, HU, IE, IT, LT, MT,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HR: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și servicii de inginerie conexe</w:t>
            </w:r>
          </w:p>
          <w:p>
            <w:pPr>
              <w:widowControl/>
              <w:suppressAutoHyphens/>
              <w:spacing w:before="60" w:after="60" w:line="240" w:lineRule="auto"/>
              <w:rPr>
                <w:rFonts w:ascii="Times New Roman" w:hAnsi="Times New Roman"/>
                <w:noProof/>
              </w:rPr>
            </w:pPr>
            <w:r>
              <w:rPr>
                <w:rFonts w:ascii="Times New Roman" w:hAnsi="Times New Roman"/>
                <w:noProof/>
              </w:rPr>
              <w:t>(CPC 511, 512, 513, 514, 515, 516, 517 și 518. BG: CPC 512, 5131, 5132, 5135, 514, 5161, 5162, 51641, 51643, 51644, 5165 și 517)</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UE: neconsolidat, cu excepția BE, CZ, DK, ES, FR, NL și SE.</w:t>
            </w:r>
          </w:p>
          <w:p>
            <w:pPr>
              <w:widowControl/>
              <w:suppressAutoHyphens/>
              <w:spacing w:before="60" w:after="60" w:line="240" w:lineRule="auto"/>
              <w:rPr>
                <w:rFonts w:ascii="Times New Roman" w:hAnsi="Times New Roman"/>
                <w:noProof/>
              </w:rPr>
            </w:pPr>
            <w:r>
              <w:rPr>
                <w:rFonts w:ascii="Times New Roman" w:hAnsi="Times New Roman"/>
                <w:noProof/>
              </w:rPr>
              <w:t>În BE, DK, ES, NL, SE: niciuna.</w:t>
            </w:r>
          </w:p>
          <w:p>
            <w:pPr>
              <w:widowControl/>
              <w:suppressAutoHyphens/>
              <w:spacing w:before="60" w:after="60" w:line="240" w:lineRule="auto"/>
              <w:rPr>
                <w:rFonts w:ascii="Times New Roman" w:hAnsi="Times New Roman"/>
                <w:noProof/>
              </w:rPr>
            </w:pPr>
            <w:r>
              <w:rPr>
                <w:rFonts w:ascii="Times New Roman" w:hAnsi="Times New Roman"/>
                <w:noProof/>
              </w:rPr>
              <w:t>În CZ: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FR: neconsolidat, cu excepția tehnicienilor, în cazul cărora: permisul de muncă se acordă pentru o perioadă care nu depășește șase luni. Este necesară conformitatea cu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investigare a terenurilor de construcție</w:t>
            </w:r>
          </w:p>
          <w:p>
            <w:pPr>
              <w:widowControl/>
              <w:suppressAutoHyphens/>
              <w:spacing w:before="60" w:after="60" w:line="240" w:lineRule="auto"/>
              <w:rPr>
                <w:rFonts w:ascii="Times New Roman" w:hAnsi="Times New Roman"/>
                <w:noProof/>
              </w:rPr>
            </w:pPr>
            <w:r>
              <w:rPr>
                <w:rFonts w:ascii="Times New Roman" w:hAnsi="Times New Roman"/>
                <w:noProof/>
              </w:rPr>
              <w:t>(CPC 5111)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DE, EE, EL, ES, FR, HR, IE, IT,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FI, HU, LT, LV,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de învățământ superior</w:t>
            </w:r>
          </w:p>
          <w:p>
            <w:pPr>
              <w:widowControl/>
              <w:suppressAutoHyphens/>
              <w:spacing w:before="60" w:after="60" w:line="240" w:lineRule="auto"/>
              <w:rPr>
                <w:rFonts w:ascii="Times New Roman" w:hAnsi="Times New Roman"/>
                <w:noProof/>
              </w:rPr>
            </w:pPr>
            <w:r>
              <w:rPr>
                <w:rFonts w:ascii="Times New Roman" w:hAnsi="Times New Roman"/>
                <w:noProof/>
              </w:rPr>
              <w:t>(CPC 923)</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UE, cu excepția LU, MT, SE: neconsolidat.</w:t>
            </w:r>
          </w:p>
          <w:p>
            <w:pPr>
              <w:widowControl/>
              <w:suppressAutoHyphens/>
              <w:spacing w:before="60" w:after="60" w:line="240" w:lineRule="auto"/>
              <w:rPr>
                <w:rFonts w:ascii="Times New Roman" w:hAnsi="Times New Roman"/>
                <w:noProof/>
              </w:rPr>
            </w:pPr>
            <w:r>
              <w:rPr>
                <w:rFonts w:ascii="Times New Roman" w:hAnsi="Times New Roman"/>
                <w:noProof/>
              </w:rPr>
              <w:t>În LU: neconsolidat, cu excepția profesorilor universitari, în cazul cărora: niciuna.</w:t>
            </w:r>
          </w:p>
          <w:p>
            <w:pPr>
              <w:widowControl/>
              <w:suppressAutoHyphens/>
              <w:spacing w:before="60" w:after="60" w:line="240" w:lineRule="auto"/>
              <w:rPr>
                <w:rFonts w:ascii="Times New Roman" w:hAnsi="Times New Roman"/>
                <w:noProof/>
              </w:rPr>
            </w:pPr>
            <w:r>
              <w:rPr>
                <w:rFonts w:ascii="Times New Roman" w:hAnsi="Times New Roman"/>
                <w:noProof/>
              </w:rPr>
              <w:t>În MT: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SE: niciuna, cu excepția furnizorilor de servicii de învățământ finanțate din fonduri publice și private cu o anumită formă de sprijin de la stat, în cazul cărora: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mediu</w:t>
            </w:r>
          </w:p>
          <w:p>
            <w:pPr>
              <w:widowControl/>
              <w:suppressAutoHyphens/>
              <w:spacing w:before="60" w:after="60" w:line="240" w:lineRule="auto"/>
              <w:rPr>
                <w:rFonts w:ascii="Times New Roman" w:hAnsi="Times New Roman"/>
                <w:noProof/>
              </w:rPr>
            </w:pPr>
            <w:r>
              <w:rPr>
                <w:rFonts w:ascii="Times New Roman" w:hAnsi="Times New Roman"/>
                <w:noProof/>
              </w:rPr>
              <w:t>(CPC 9401, 9402, 9403, 9404, parte din 94060, 9405, parte din 9406 și 9409)</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BE, EE, ES, FI, FR, HR, IE, IT, LU, MT, NL, PL, PT, SI, SE: niciuna.</w:t>
            </w:r>
          </w:p>
          <w:p>
            <w:pPr>
              <w:widowControl/>
              <w:suppressAutoHyphens/>
              <w:spacing w:before="60" w:after="60" w:line="240" w:lineRule="auto"/>
              <w:rPr>
                <w:rFonts w:ascii="Times New Roman" w:hAnsi="Times New Roman"/>
                <w:noProof/>
              </w:rPr>
            </w:pPr>
            <w:r>
              <w:rPr>
                <w:rFonts w:ascii="Times New Roman" w:hAnsi="Times New Roman"/>
                <w:noProof/>
              </w:rPr>
              <w:t>În AT, BG, CZ, CY, DE, DK, EL, HU, LT, LV, RO, SK: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Servicii ale agențiilor de voiaj și ale organizatorilor de activități turistice (inclusiv ale gestionarilor de circuite turistice</w:t>
            </w:r>
            <w:r>
              <w:rPr>
                <w:rStyle w:val="FootnoteReference"/>
                <w:rFonts w:ascii="Times New Roman" w:hAnsi="Times New Roman"/>
                <w:b/>
                <w:noProof/>
              </w:rPr>
              <w:footnoteReference w:id="90"/>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(CPC 7471)</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AT, DE, EE, ES, FR, HR, IT, LU, NL, PL, SI, SE: niciuna.</w:t>
            </w:r>
          </w:p>
          <w:p>
            <w:pPr>
              <w:widowControl/>
              <w:suppressAutoHyphens/>
              <w:spacing w:before="60" w:after="60" w:line="240" w:lineRule="auto"/>
              <w:rPr>
                <w:rFonts w:ascii="Times New Roman" w:hAnsi="Times New Roman"/>
                <w:noProof/>
              </w:rPr>
            </w:pPr>
            <w:r>
              <w:rPr>
                <w:rFonts w:ascii="Times New Roman" w:hAnsi="Times New Roman"/>
                <w:noProof/>
              </w:rPr>
              <w:t>În BG, CY, CZ, EL, FI, HU, LT, LV, MT, PT, RO, SK: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DK: testul privind necesitățile economice, cu excepția șederilor furnizorilor de servicii pe bază de contract de până la trei luni.</w:t>
            </w:r>
          </w:p>
          <w:p>
            <w:pPr>
              <w:widowControl/>
              <w:suppressAutoHyphens/>
              <w:spacing w:before="60" w:after="60" w:line="240" w:lineRule="auto"/>
              <w:rPr>
                <w:rFonts w:ascii="Times New Roman" w:hAnsi="Times New Roman"/>
                <w:noProof/>
              </w:rPr>
            </w:pPr>
            <w:r>
              <w:rPr>
                <w:rFonts w:ascii="Times New Roman" w:hAnsi="Times New Roman"/>
                <w:noProof/>
              </w:rPr>
              <w:t>În BE, IE: neconsolidat, cu excepția gestionarilor de circuite turistice, în cazul cărora: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ghid turistic</w:t>
            </w:r>
          </w:p>
          <w:p>
            <w:pPr>
              <w:widowControl/>
              <w:suppressAutoHyphens/>
              <w:spacing w:before="60" w:after="60" w:line="240" w:lineRule="auto"/>
              <w:rPr>
                <w:rFonts w:ascii="Times New Roman" w:hAnsi="Times New Roman"/>
                <w:noProof/>
              </w:rPr>
            </w:pPr>
            <w:r>
              <w:rPr>
                <w:rFonts w:ascii="Times New Roman" w:hAnsi="Times New Roman"/>
                <w:noProof/>
              </w:rPr>
              <w:t>(CPC 7472)</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NL, PT, SE: niciuna.</w:t>
            </w:r>
          </w:p>
          <w:p>
            <w:pPr>
              <w:widowControl/>
              <w:suppressAutoHyphens/>
              <w:spacing w:before="60" w:after="60" w:line="240" w:lineRule="auto"/>
              <w:rPr>
                <w:rFonts w:ascii="Times New Roman" w:hAnsi="Times New Roman"/>
                <w:noProof/>
              </w:rPr>
            </w:pPr>
            <w:r>
              <w:rPr>
                <w:rFonts w:ascii="Times New Roman" w:hAnsi="Times New Roman"/>
                <w:noProof/>
              </w:rPr>
              <w:t>În AT, BE, BG, CY, CZ, DE, DK, EE, FI, FR, EL, HU, IE, IT, LV, LU, MT, RO, SK, SI: testul privind necesitățile economice.</w:t>
            </w:r>
          </w:p>
          <w:p>
            <w:pPr>
              <w:widowControl/>
              <w:suppressAutoHyphens/>
              <w:spacing w:before="60" w:after="60" w:line="240" w:lineRule="auto"/>
              <w:rPr>
                <w:rFonts w:ascii="Times New Roman" w:hAnsi="Times New Roman"/>
                <w:noProof/>
              </w:rPr>
            </w:pPr>
            <w:r>
              <w:rPr>
                <w:rFonts w:ascii="Times New Roman" w:hAnsi="Times New Roman"/>
                <w:noProof/>
              </w:rPr>
              <w:t>În ES, HR, LT, PL: 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Bucătar-șef</w:t>
            </w:r>
          </w:p>
          <w:p>
            <w:pPr>
              <w:widowControl/>
              <w:suppressAutoHyphens/>
              <w:spacing w:before="60" w:after="60" w:line="240" w:lineRule="auto"/>
              <w:rPr>
                <w:rFonts w:ascii="Times New Roman" w:hAnsi="Times New Roman"/>
                <w:noProof/>
              </w:rPr>
            </w:pPr>
            <w:r>
              <w:rPr>
                <w:rFonts w:ascii="Times New Roman" w:hAnsi="Times New Roman"/>
                <w:noProof/>
              </w:rPr>
              <w:t>(parte din CPC 87909)</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pe bază de contract:</w:t>
            </w:r>
          </w:p>
          <w:p>
            <w:pPr>
              <w:widowControl/>
              <w:suppressAutoHyphens/>
              <w:spacing w:before="60" w:after="60" w:line="240" w:lineRule="auto"/>
              <w:rPr>
                <w:rFonts w:ascii="Times New Roman" w:hAnsi="Times New Roman"/>
                <w:noProof/>
              </w:rPr>
            </w:pPr>
            <w:r>
              <w:rPr>
                <w:rFonts w:ascii="Times New Roman" w:hAnsi="Times New Roman"/>
                <w:noProof/>
              </w:rPr>
              <w:t>În UE, cu excepția PT: neconsolidat.</w:t>
            </w:r>
          </w:p>
          <w:p>
            <w:pPr>
              <w:widowControl/>
              <w:suppressAutoHyphens/>
              <w:spacing w:before="60" w:after="60" w:line="240" w:lineRule="auto"/>
              <w:rPr>
                <w:rFonts w:ascii="Times New Roman" w:hAnsi="Times New Roman"/>
                <w:noProof/>
              </w:rPr>
            </w:pPr>
            <w:r>
              <w:rPr>
                <w:rFonts w:ascii="Times New Roman" w:hAnsi="Times New Roman"/>
                <w:noProof/>
              </w:rPr>
              <w:t>În PT: Pot fi necesare calificări tehnice avansate și cel puțin șase ani de experiență profesională în calitate de bucătar-șef, care să poată fi demonstrată. Atunci când calificarea nu a fost obținută în UE și în statele sale membre, statul membru în cauză poate evalua dacă respectiva calificare este echivalentă cu calificarea necesară pe teritoriul său. testul privind necesitățile economice.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Profesioniștii independenți:</w:t>
            </w:r>
          </w:p>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r>
        <w:tc>
          <w:tcPr>
            <w:tcW w:w="1258" w:type="pct"/>
          </w:tcPr>
          <w:p>
            <w:pPr>
              <w:widowControl/>
              <w:suppressAutoHyphens/>
              <w:spacing w:before="60" w:after="60" w:line="240" w:lineRule="auto"/>
              <w:rPr>
                <w:rFonts w:ascii="Times New Roman" w:hAnsi="Times New Roman"/>
                <w:noProof/>
              </w:rPr>
            </w:pPr>
            <w:r>
              <w:rPr>
                <w:rFonts w:ascii="Times New Roman" w:hAnsi="Times New Roman"/>
                <w:noProof/>
              </w:rPr>
              <w:t>Toate celelalte sectoare</w:t>
            </w:r>
          </w:p>
        </w:tc>
        <w:tc>
          <w:tcPr>
            <w:tcW w:w="3742" w:type="pct"/>
          </w:tcPr>
          <w:p>
            <w:pPr>
              <w:widowControl/>
              <w:suppressAutoHyphens/>
              <w:spacing w:before="60" w:after="60" w:line="240" w:lineRule="auto"/>
              <w:rPr>
                <w:rFonts w:ascii="Times New Roman" w:hAnsi="Times New Roman"/>
                <w:noProof/>
              </w:rPr>
            </w:pPr>
            <w:r>
              <w:rPr>
                <w:rFonts w:ascii="Times New Roman" w:hAnsi="Times New Roman"/>
                <w:noProof/>
              </w:rPr>
              <w:t>În UE: neconsolidat.</w:t>
            </w:r>
          </w:p>
        </w:tc>
      </w:tr>
    </w:tbl>
    <w:p>
      <w:pPr>
        <w:rPr>
          <w:noProof/>
        </w:rPr>
      </w:pPr>
    </w:p>
    <w:p>
      <w:pPr>
        <w:rPr>
          <w:noProof/>
        </w:rPr>
      </w:pPr>
    </w:p>
    <w:p>
      <w:pPr>
        <w:jc w:val="center"/>
        <w:rPr>
          <w:noProof/>
        </w:rPr>
      </w:pPr>
      <w:r>
        <w:rPr>
          <w:noProof/>
        </w:rPr>
        <w:t>________________</w:t>
      </w:r>
    </w:p>
    <w:p>
      <w:pPr>
        <w:rPr>
          <w:noProof/>
        </w:rPr>
        <w:sectPr>
          <w:headerReference w:type="default" r:id="rId42"/>
          <w:footerReference w:type="default" r:id="rId43"/>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ANEXA 8-D</w:t>
      </w:r>
    </w:p>
    <w:p>
      <w:pPr>
        <w:rPr>
          <w:noProof/>
        </w:rPr>
      </w:pPr>
    </w:p>
    <w:p>
      <w:pPr>
        <w:rPr>
          <w:noProof/>
        </w:rPr>
      </w:pPr>
    </w:p>
    <w:p>
      <w:pPr>
        <w:jc w:val="center"/>
        <w:rPr>
          <w:noProof/>
        </w:rPr>
      </w:pPr>
      <w:r>
        <w:rPr>
          <w:noProof/>
        </w:rPr>
        <w:t>CLAUZA NAȚIUNII CELEI MAI FAVORIZATE</w:t>
      </w:r>
    </w:p>
    <w:p>
      <w:pPr>
        <w:rPr>
          <w:noProof/>
        </w:rPr>
      </w:pPr>
    </w:p>
    <w:p>
      <w:pPr>
        <w:rPr>
          <w:noProof/>
        </w:rPr>
      </w:pPr>
    </w:p>
    <w:p>
      <w:pPr>
        <w:rPr>
          <w:noProof/>
        </w:rPr>
      </w:pPr>
      <w:r>
        <w:rPr>
          <w:noProof/>
        </w:rPr>
        <w:t>1.</w:t>
      </w:r>
      <w:r>
        <w:rPr>
          <w:noProof/>
        </w:rPr>
        <w:tab/>
        <w:t>Uniunea își asumă angajamente în temeiul articolului 8.9, sub rezerva exceptărilor enumerate la punctul 3 din prezenta anexă, pentru fiecare sector, subsector sau activitate pentru care și-a asumat angajamente în ceea ce privește secțiunea B din capitolul 8 (Liberalizarea investițiilor și a comerțului cu servicii), astfel cum sunt enumerate în anexa 8-B (Lista angajamentelor specifice privind liberalizarea investițiilor).</w:t>
      </w:r>
    </w:p>
    <w:p>
      <w:pPr>
        <w:rPr>
          <w:noProof/>
        </w:rPr>
      </w:pPr>
    </w:p>
    <w:p>
      <w:pPr>
        <w:rPr>
          <w:noProof/>
        </w:rPr>
      </w:pPr>
      <w:r>
        <w:rPr>
          <w:noProof/>
        </w:rPr>
        <w:t>2.</w:t>
      </w:r>
      <w:r>
        <w:rPr>
          <w:noProof/>
        </w:rPr>
        <w:tab/>
        <w:t>Uniunea își asumă angajamente în temeiul articolului 8.15, sub rezerva exceptărilor enumerate la punctul 3 din prezenta anexă, pentru fiecare sector sau subsector pentru care și-a asumat angajamente în ceea ce privește secțiunea C din capitolul 8 (Liberalizarea investițiilor și a comerțului cu servicii), astfel cum sunt enumerate în anexa 8-A (Lista angajamentelor specifice privind furnizarea transfrontalieră de servicii – Uniune).</w:t>
      </w:r>
    </w:p>
    <w:p>
      <w:pPr>
        <w:rPr>
          <w:noProof/>
        </w:rPr>
      </w:pPr>
    </w:p>
    <w:p>
      <w:pPr>
        <w:rPr>
          <w:noProof/>
        </w:rPr>
      </w:pPr>
      <w:r>
        <w:rPr>
          <w:noProof/>
        </w:rPr>
        <w:t>3.</w:t>
      </w:r>
      <w:r>
        <w:rPr>
          <w:noProof/>
        </w:rPr>
        <w:tab/>
        <w:t>Lista exceptărilor CNF aplicabile ale Uniunii:</w:t>
      </w:r>
    </w:p>
    <w:p>
      <w:pPr>
        <w:rPr>
          <w:noProof/>
        </w:rPr>
      </w:pPr>
    </w:p>
    <w:p>
      <w:pPr>
        <w:rPr>
          <w:noProof/>
        </w:rPr>
      </w:pPr>
    </w:p>
    <w:p>
      <w:pPr>
        <w:rPr>
          <w:noProof/>
        </w:rPr>
        <w:sectPr>
          <w:headerReference w:type="default" r:id="rId44"/>
          <w:footerReference w:type="default" r:id="rId45"/>
          <w:footnotePr>
            <w:numRestart w:val="eachSect"/>
          </w:footnotePr>
          <w:endnotePr>
            <w:numFmt w:val="decimal"/>
          </w:endnotePr>
          <w:pgSz w:w="11907" w:h="16840" w:code="9"/>
          <w:pgMar w:top="1134" w:right="1134" w:bottom="1134" w:left="1134" w:header="567" w:footer="567" w:gutter="0"/>
          <w:pgNumType w:start="1"/>
          <w:cols w:space="720"/>
          <w:docGrid w:linePitch="326"/>
        </w:sectPr>
      </w:pPr>
    </w:p>
    <w:tbl>
      <w:tblPr>
        <w:tblStyle w:val="TableGrid"/>
        <w:tblW w:w="5000" w:type="pct"/>
        <w:jc w:val="center"/>
        <w:tblLayout w:type="fixed"/>
        <w:tblLook w:val="04A0" w:firstRow="1" w:lastRow="0" w:firstColumn="1" w:lastColumn="0" w:noHBand="0" w:noVBand="1"/>
      </w:tblPr>
      <w:tblGrid>
        <w:gridCol w:w="2124"/>
        <w:gridCol w:w="5388"/>
        <w:gridCol w:w="2411"/>
        <w:gridCol w:w="1561"/>
        <w:gridCol w:w="3078"/>
      </w:tblGrid>
      <w:tr>
        <w:trPr>
          <w:cantSplit/>
          <w:tblHeader/>
          <w:jc w:val="center"/>
        </w:trPr>
        <w:tc>
          <w:tcPr>
            <w:tcW w:w="729" w:type="pct"/>
            <w:vAlign w:val="center"/>
          </w:tcPr>
          <w:p>
            <w:pPr>
              <w:widowControl/>
              <w:suppressAutoHyphens/>
              <w:spacing w:before="60" w:after="60" w:line="240" w:lineRule="auto"/>
              <w:jc w:val="center"/>
              <w:rPr>
                <w:rFonts w:ascii="Times New Roman" w:hAnsi="Times New Roman"/>
                <w:noProof/>
              </w:rPr>
            </w:pPr>
            <w:bookmarkStart w:id="31" w:name="_Hlk181702002"/>
            <w:r>
              <w:rPr>
                <w:rFonts w:ascii="Times New Roman" w:hAnsi="Times New Roman"/>
                <w:noProof/>
              </w:rPr>
              <w:lastRenderedPageBreak/>
              <w:t>Sector sau subsector</w:t>
            </w:r>
          </w:p>
        </w:tc>
        <w:tc>
          <w:tcPr>
            <w:tcW w:w="1850"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Descrierea măsurii care indică incompatibilitatea acesteia cu articolul 8.9 sau cu articolul 8.15</w:t>
            </w:r>
          </w:p>
        </w:tc>
        <w:tc>
          <w:tcPr>
            <w:tcW w:w="82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Țările cărora li se aplică măsura</w:t>
            </w:r>
          </w:p>
        </w:tc>
        <w:tc>
          <w:tcPr>
            <w:tcW w:w="536"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Durata prevăzută</w:t>
            </w:r>
          </w:p>
        </w:tc>
        <w:tc>
          <w:tcPr>
            <w:tcW w:w="1057"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Condițiile care creează necesitatea unei exceptări</w:t>
            </w:r>
          </w:p>
        </w:tc>
      </w:tr>
      <w:bookmarkEnd w:id="31"/>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Acordarea unui tratament diferențiat unei țări în temeiul oricărui acord bilateral sau multilateral existent sau viitor, care: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creează o piață internă a serviciilor și investițiilor;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acordă dreptul de stabilire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prevede apropierea legislației într-unul sau în mai multe sectoare economice.</w:t>
            </w:r>
          </w:p>
          <w:p>
            <w:pPr>
              <w:widowControl/>
              <w:suppressAutoHyphens/>
              <w:spacing w:before="60" w:after="60" w:line="240" w:lineRule="auto"/>
              <w:rPr>
                <w:rFonts w:ascii="Times New Roman" w:hAnsi="Times New Roman"/>
                <w:noProof/>
              </w:rPr>
            </w:pPr>
            <w:r>
              <w:rPr>
                <w:rFonts w:ascii="Times New Roman" w:hAnsi="Times New Roman"/>
                <w:noProof/>
              </w:rPr>
              <w:t>„piață internă a serviciilor și investițiilor” înseamnă o zonă fără frontiere interne în care este garantată libera circulație a serviciilor, a capitalurilor și a persoanelor;</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Uniunea încheie un acord de integrare economică regională</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proteja acordurile internaționale existente și viitoare.</w:t>
            </w:r>
          </w:p>
        </w:tc>
      </w:tr>
      <w:tr>
        <w:trPr>
          <w:jc w:val="center"/>
        </w:trPr>
        <w:tc>
          <w:tcPr>
            <w:tcW w:w="729" w:type="pct"/>
          </w:tcPr>
          <w:p>
            <w:pPr>
              <w:pageBreakBefore/>
              <w:widowControl/>
              <w:suppressAutoHyphens/>
              <w:spacing w:before="60" w:after="60" w:line="240" w:lineRule="auto"/>
              <w:rPr>
                <w:rFonts w:ascii="Times New Roman" w:hAnsi="Times New Roman"/>
                <w:noProof/>
              </w:rPr>
            </w:pP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„drept de stabilire” înseamnă obligația de a suprima practic toate barierele din calea stabilirii între părțile participante la acordul bilateral sau multilateral, prin intrarea în vigoare a respectivului acord; dreptul de stabilire include dreptul resortisanților părților participante la acordul bilateral sau multilateral de a înființa și a exploata întreprinderi în aceleași condiții precum cele stabilite pentru resortisanți de către legislația părții în care se efectuează o astfel de stabilire;</w:t>
            </w:r>
          </w:p>
          <w:p>
            <w:pPr>
              <w:widowControl/>
              <w:suppressAutoHyphens/>
              <w:spacing w:before="60" w:after="60" w:line="240" w:lineRule="auto"/>
              <w:rPr>
                <w:rFonts w:ascii="Times New Roman" w:hAnsi="Times New Roman"/>
                <w:noProof/>
              </w:rPr>
            </w:pPr>
            <w:r>
              <w:rPr>
                <w:rFonts w:ascii="Times New Roman" w:hAnsi="Times New Roman"/>
                <w:noProof/>
              </w:rPr>
              <w:t>„apropierea legislației” înseamnă: (i) alinierea legislației uneia sau mai multora dintre părțile la acordul bilateral sau multilateral la legislația celeilalte sau celorlalte părți la respectivul acord sau (ii) încorporarea legislației comune în dreptul părților participante la acordul bilateral sau multilateral; o astfel de aliniere sau încorporare are loc și se consideră că a avut loc numai din momentul în care a fost adoptată în cadrul legislației părții sau a părților participante la acordul bilateral sau multilateral.</w:t>
            </w:r>
          </w:p>
        </w:tc>
        <w:tc>
          <w:tcPr>
            <w:tcW w:w="828" w:type="pct"/>
          </w:tcPr>
          <w:p>
            <w:pPr>
              <w:widowControl/>
              <w:suppressAutoHyphens/>
              <w:spacing w:before="60" w:after="60" w:line="240" w:lineRule="auto"/>
              <w:rPr>
                <w:rFonts w:ascii="Times New Roman" w:hAnsi="Times New Roman"/>
                <w:noProof/>
              </w:rPr>
            </w:pPr>
          </w:p>
        </w:tc>
        <w:tc>
          <w:tcPr>
            <w:tcW w:w="536" w:type="pct"/>
          </w:tcPr>
          <w:p>
            <w:pPr>
              <w:widowControl/>
              <w:suppressAutoHyphens/>
              <w:spacing w:before="60" w:after="60" w:line="240" w:lineRule="auto"/>
              <w:rPr>
                <w:rFonts w:ascii="Times New Roman" w:hAnsi="Times New Roman"/>
                <w:noProof/>
              </w:rPr>
            </w:pPr>
          </w:p>
        </w:tc>
        <w:tc>
          <w:tcPr>
            <w:tcW w:w="1057" w:type="pct"/>
          </w:tcPr>
          <w:p>
            <w:pPr>
              <w:widowControl/>
              <w:suppressAutoHyphens/>
              <w:spacing w:before="60" w:after="60" w:line="240" w:lineRule="auto"/>
              <w:rPr>
                <w:rFonts w:ascii="Times New Roman" w:hAnsi="Times New Roman"/>
                <w:noProof/>
              </w:rPr>
            </w:pP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rutier</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În România, autorizația pentru autovehiculele înregistrate în țările indicate în coloana (3) de a transporta mărfuri și/sau călători este conformă cu acordurile rutiere bilaterale existente sau viitoare. Cabotajul rutier este rezervat autovehiculelor înregistrate la nivel național.</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Albania, Austria, Belgia, Bulgaria, Republica Cehă, Cipru, Croația, Danemarca, Elveția, Finlanda, Franța, Germania, Grecia, Iran, Italia, Letonia, Lituania, Luxemburg, Norvegia, Polonia, Portugalia, Regatul Unit, Siria, Slovacia, Slovenia, Spania, Suedia, Turcia, Țările de Jos, Ungaria și probabil alte țări în viitor.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exceptării este legată de specificitatea regională a dispozițiilor transfrontaliere privind serviciile de transport rutier.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feroviar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Măsurile adoptate în cadrul acordurilor existente sau viitoare și care reglementează drepturile de circulație și condițiile de operare, precum și furnizarea de servicii de transport pe teritoriul Bulgariei, al Cehiei și al Slovaciei și între țările în cauză.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sunt sau vor fi în vigoare acorduri.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protejarea integrității infrastructurii transporturilor feroviare și a mediului și pentru a reglementa drepturile de circulație pe teritoriul Cehiei și al Slovaciei și între țările în cauză.</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Dispozițiile acordurilor existente sau viitoare privind transportul de mărfuri (inclusiv transportul combinat – rutier/feroviar) și transportul de călători, încheiate între Uniune sau statele sale membre și țări terțe, care: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restricționează sau limitează furnizarea serviciilor de transport între părțile contractante sau pe teritoriul părților contractante la autovehiculele înmatriculate în fiecare țară care este parte contractantă</w:t>
            </w:r>
            <w:r>
              <w:rPr>
                <w:rFonts w:ascii="Times New Roman" w:hAnsi="Times New Roman"/>
                <w:b/>
                <w:bCs/>
                <w:noProof/>
                <w:vertAlign w:val="superscript"/>
              </w:rPr>
              <w:footnoteReference w:id="91"/>
            </w:r>
            <w:r>
              <w:rPr>
                <w:rFonts w:ascii="Times New Roman" w:hAnsi="Times New Roman"/>
                <w:noProof/>
              </w:rPr>
              <w:t xml:space="preserve">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prevăd scutirea de taxe a respectivelor autovehicule.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Elveția, statele din Europa Centrală, Europa de Est și Europa de Sud-Est și toate statele membre ale Comunității Statelor Independente, Albania, Turcia, Liban, Israel, Siria, Iordania, Egipt, Tunisia, Algeria, Maroc, Iran, Afganistan, Irak și Kuweit.</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exceptării este legată de caracteristicile regionale ale furnizării transfrontaliere de servicii de transport rutier.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adoptate în cadrul acordurilor existente sau viitoare și care restricționează sau limitează furnizarea de servicii de transport și precizează condițiile de exploatare, inclusiv autorizațiile de tranzit și/sau taxele rutiere preferențiale ale unor servicii de transport la intrarea în Cehia, în interiorul și pe teritoriul Cehiei, precum și la ieșirea din Cehia pentru părțile contractante în cauză.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sunt sau vor fi în vigoare acorduri.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protejarea integrității infrastructurii transporturilor rutiere și a mediului și pentru a reglementa drepturile de circulație pe teritoriul Cehiei și între țările în cauză.</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Dispozițiile acordurilor bilaterale și plurilaterale reciproce existente sau viitoare privind transportul rutier internațional (inclusiv transportul combinat, rutier și feroviar) care restricționează transportul de cabotaj în Finlanda.</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acordurile bilaterale sau plurilaterale sunt în vigoare.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Specificitatea regională a serviciilor de transport rutier.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rutier</w:t>
            </w:r>
          </w:p>
          <w:p>
            <w:pPr>
              <w:pageBreakBefore/>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Scutirea de TVA în Austria se limitează la transportul internațional de călători efectuat de antreprenori străini cu ajutorul unor autovehicule cu motor înregistrate în țările indicate în a treia coloană.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Statele succesoare ale fostei Iugoslavii, Elveția și statele succesoare ale fostei Uniuni a Republicilor Sovietice Socialiste (exceptând statele baltice, Azerbaidjan, Georgia, Moldova și Uzbekistan).</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Reciprocitate și facilitarea dezvoltării turismului internațional.</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 xml:space="preserve">Exceptarea de la taxa pentru autovehicule în Austria, în anumite condiții, pe motive de reciprocitate </w:t>
            </w:r>
            <w:r>
              <w:rPr>
                <w:rFonts w:ascii="Times New Roman" w:hAnsi="Times New Roman"/>
                <w:i/>
                <w:noProof/>
              </w:rPr>
              <w:t>de facto</w:t>
            </w:r>
            <w:r>
              <w:rPr>
                <w:rFonts w:ascii="Times New Roman" w:hAnsi="Times New Roman"/>
                <w:noProof/>
              </w:rPr>
              <w:t>, limitată la autovehiculele înmatriculate în țările indicate în a treia coloană.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Israel, Monaco, San Marino, Turcia, Cetatea Vaticanului și Statele Unite.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Reciprocitate și facilitarea dezvoltării turismului internațional și/sau a transportului internațional de mărfuri.</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adoptate în cadrul acordurilor bilaterale, care stabilesc dispoziții pentru serviciile de transport și precizează condițiile de operare a acestora, inclusiv tranzitul bilateral și alte autorizații de transport pentru serviciile de transport la intrarea în Lituania, pe teritoriul Lituaniei și la ieșirea din Lituania pentru părțile contractante în cauză, precum și taxele și impunerile rutiere.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sunt sau vor fi în vigoare acorduri.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protejarea infrastructurii transporturilor și a mediului și pentru a reglementa drepturile de circulație pe teritoriul Lituaniei și între țările în cauză.</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Măsurile adoptate în cadrul acordurilor existente sau viitoare, care restricționează și/sau limitează furnizarea acestor tipuri de servicii de transport și precizează termenii și condițiile acestei furnizări, inclusiv autorizațiile de tranzit și/sau taxele rutiere preferențiale, pe teritoriul Bulgariei sau în zona frontalieră a acesteia.</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sunt sau vor fi în vigoare acorduri.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Protejarea integrității infrastructurii, precum și a mediului și reglementarea drepturilor de circulație pe teritoriul Bulgariei și între țările în cauză.</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rutier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aplicate în cadrul acordurilor existente sau viitoare privind transportul rutier internațional, care restricționează sau limitează furnizarea de servicii de transport și precizează condițiile de operare, inclusiv autorizațiile de tranzit și/sau taxele rutiere preferențiale ale unor servicii de transport la intrarea în Republica Croația, în interiorul și pe teritoriul Republicii Croației, precum și la ieșirea din Republica Croația pentru părțile în cauză.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Republica Croația a încheiat acorduri privind transportul rutier care sunt în vigoare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exceptării este legată de caracteristicile regionale ale serviciilor de transport rutier și de necesitatea de a reglementa drepturile de trafic pe teritoriul Republicii Croația și între Croația și țările în cauză</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serviciile de transport de călători și de mărfuri, cu excepția transportului maritim</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Polonia: o cerință de reciprocitate privind furnizarea de servicii de transport de către furnizori din țările în cauză, la intrarea în țările respective, precum și în interiorul și pe teritoriul țărilor respective.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Sistem de acorduri reciproce existente și viitoare privind cooperarea în domeniul transportului (sau un domeniu similar) și promovarea și protecția investițiilor străine, punând în aplicare, între altele, cote de transport provenind din sistemul de autorizații acordate de manieră bilaterală.</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adoptate în cadrul acordurilor existente sau viitoare, care restricționează sau limitează furnizarea de servicii de transport și precizează condițiile de exploatare, inclusiv autorizațiile de tranzit și/sau taxele rutiere preferențiale ale unor servicii de transport la intrarea în Slovacia, în interiorul și pe teritoriul Slovaciei și la ieșirea din Slovacia pentru părțile contractante în cauză.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sunt sau vor fi în vigoare acorduri.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protejarea integrității infrastructurii transporturilor rutiere și a mediului și pentru a reglementa drepturile de circulație pe teritoriul Slovaciei și între țările în cauză.</w:t>
            </w:r>
          </w:p>
        </w:tc>
      </w:tr>
      <w:tr>
        <w:trPr>
          <w:jc w:val="center"/>
        </w:trPr>
        <w:tc>
          <w:tcPr>
            <w:tcW w:w="729"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Transportul rutier</w:t>
            </w:r>
          </w:p>
          <w:p>
            <w:pPr>
              <w:widowControl/>
              <w:suppressAutoHyphens/>
              <w:spacing w:before="60" w:after="60" w:line="240" w:lineRule="auto"/>
              <w:rPr>
                <w:rFonts w:ascii="Times New Roman" w:hAnsi="Times New Roman"/>
                <w:noProof/>
              </w:rPr>
            </w:pPr>
            <w:r>
              <w:rPr>
                <w:rFonts w:ascii="Times New Roman" w:hAnsi="Times New Roman"/>
                <w:noProof/>
              </w:rPr>
              <w:t>– de mărfuri (CPC 7123)</w:t>
            </w:r>
          </w:p>
        </w:tc>
        <w:tc>
          <w:tcPr>
            <w:tcW w:w="1850"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Autorizația pentru stabilirea unei prezențe comerciale în Spania poate fi refuzată furnizorilor de servicii a căror țară de origine nu acordă acces efectiv pe piață furnizorilor de servicii spanioli.</w:t>
            </w:r>
          </w:p>
        </w:tc>
        <w:tc>
          <w:tcPr>
            <w:tcW w:w="828"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Necesitatea de a asigura accesul efectiv pe piață și un tratament echivalent pentru furnizorii de servicii spanioli.</w:t>
            </w:r>
          </w:p>
        </w:tc>
      </w:tr>
      <w:tr>
        <w:trPr>
          <w:trHeight w:val="5700"/>
          <w:jc w:val="center"/>
        </w:trPr>
        <w:tc>
          <w:tcPr>
            <w:tcW w:w="729" w:type="pct"/>
            <w:tcBorders>
              <w:bottom w:val="nil"/>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auxiliare transportului aerian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serviciile de reparare și de întreținere a aeronavelor pe durata cărora aeronava respectivă este retrasă din exploatare;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vânzarea și comercializarea serviciilor de transport aerian;</w:t>
            </w:r>
          </w:p>
          <w:p>
            <w:pPr>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serviciile privind sistemele informatizate de rezervare (SIR) și</w:t>
            </w:r>
          </w:p>
        </w:tc>
        <w:tc>
          <w:tcPr>
            <w:tcW w:w="1850"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Dreptul de a adopta sau menține orice măsură care acordă un tratament diferențiat anumitor țări în cadrul oricărui acord internațional în vigoare sau semnat după data intrării în vigoare a prezentului acord.</w:t>
            </w:r>
          </w:p>
        </w:tc>
        <w:tc>
          <w:tcPr>
            <w:tcW w:w="828"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Necesitatea de a proteja acordurile internaționale existente și viitoare.</w:t>
            </w:r>
          </w:p>
        </w:tc>
      </w:tr>
      <w:tr>
        <w:trPr>
          <w:trHeight w:val="2895"/>
          <w:jc w:val="center"/>
        </w:trPr>
        <w:tc>
          <w:tcPr>
            <w:tcW w:w="729" w:type="pct"/>
            <w:tcBorders>
              <w:top w:val="nil"/>
            </w:tcBorders>
          </w:tcPr>
          <w:p>
            <w:pPr>
              <w:pageBreakBefore/>
              <w:suppressAutoHyphens/>
              <w:spacing w:before="60" w:after="60" w:line="240" w:lineRule="auto"/>
              <w:ind w:left="567" w:hanging="567"/>
              <w:rPr>
                <w:noProof/>
              </w:rPr>
            </w:pPr>
            <w:r>
              <w:rPr>
                <w:rFonts w:ascii="Times New Roman" w:hAnsi="Times New Roman"/>
                <w:noProof/>
              </w:rPr>
              <w:lastRenderedPageBreak/>
              <w:t>(d)</w:t>
            </w:r>
            <w:r>
              <w:rPr>
                <w:noProof/>
              </w:rPr>
              <w:tab/>
            </w:r>
            <w:r>
              <w:rPr>
                <w:rFonts w:ascii="Times New Roman" w:hAnsi="Times New Roman"/>
                <w:noProof/>
              </w:rPr>
              <w:t>alte servicii auxiliare serviciilor de transport aerian, cum ar fi serviciile de handling la sol și serviciile de închiriere de aeronave cu echipaj</w:t>
            </w:r>
          </w:p>
        </w:tc>
        <w:tc>
          <w:tcPr>
            <w:tcW w:w="1850" w:type="pct"/>
            <w:tcBorders>
              <w:top w:val="nil"/>
            </w:tcBorders>
          </w:tcPr>
          <w:p>
            <w:pPr>
              <w:suppressAutoHyphens/>
              <w:spacing w:before="60" w:after="60" w:line="240" w:lineRule="auto"/>
              <w:rPr>
                <w:noProof/>
              </w:rPr>
            </w:pPr>
          </w:p>
        </w:tc>
        <w:tc>
          <w:tcPr>
            <w:tcW w:w="828" w:type="pct"/>
            <w:tcBorders>
              <w:top w:val="nil"/>
            </w:tcBorders>
          </w:tcPr>
          <w:p>
            <w:pPr>
              <w:suppressAutoHyphens/>
              <w:spacing w:before="60" w:after="60" w:line="240" w:lineRule="auto"/>
              <w:rPr>
                <w:noProof/>
              </w:rPr>
            </w:pPr>
          </w:p>
        </w:tc>
        <w:tc>
          <w:tcPr>
            <w:tcW w:w="536" w:type="pct"/>
            <w:tcBorders>
              <w:top w:val="nil"/>
            </w:tcBorders>
          </w:tcPr>
          <w:p>
            <w:pPr>
              <w:suppressAutoHyphens/>
              <w:spacing w:before="60" w:after="60" w:line="240" w:lineRule="auto"/>
              <w:rPr>
                <w:noProof/>
              </w:rPr>
            </w:pPr>
          </w:p>
        </w:tc>
        <w:tc>
          <w:tcPr>
            <w:tcW w:w="1057" w:type="pct"/>
            <w:tcBorders>
              <w:top w:val="nil"/>
            </w:tcBorders>
          </w:tcPr>
          <w:p>
            <w:pPr>
              <w:suppressAutoHyphens/>
              <w:spacing w:before="60" w:after="60" w:line="240" w:lineRule="auto"/>
              <w:rPr>
                <w:noProof/>
              </w:rPr>
            </w:pP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Sistemul informatizat de rezervare (SIR), vânzarea și comercializarea serviciilor de transport aerian</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Dispozițiile articolului 7 din Regulamentul (CEE) nr. 2299/89, astfel cum a fost modificat prin Regulamentul (CEE) nr. 3089/93, conform cărora obligațiile furnizorilor de sisteme informatizate de rezervare sau ale transportatorilor aerieni principali și participanți nu se aplică furnizorilor de sisteme informatizate de rezervare sau transportatorilor aerieni principali și participanți din țările în care tratamentul echivalent celui aplicat în temeiul regulamentului nu este acordat furnizorilor de sisteme informatizate de rezervare sau transportatorilor aerieni principali și participanți din UE în țările respective.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în care este stabilit un furnizor de sisteme informatizate de rezervare sau un transportator aerian principal.</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exceptării decurge din evoluția insuficientă a normelor convenite în mod multilateral de operare a SIR.</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manipulare a încărcăturilor și servicii de stocare și depozitare în porturi maritime și fluviale, inclusiv servicii legate de containere și de mărfuri în containere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Dreptul de a furniza astfel de servicii este acordat de Bulgaria pe bază de reciprocitate și în cadrul unor acorduri bilaterale cu țările în cauză.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Scopul aplicării unei asemenea măsuri este acela de a garanta accesul egal la piețele altor țări pentru furnizorii bulgari de astfel de servicii.</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Transportul maritim</w:t>
            </w:r>
          </w:p>
        </w:tc>
        <w:tc>
          <w:tcPr>
            <w:tcW w:w="1850" w:type="pct"/>
          </w:tcPr>
          <w:p>
            <w:pPr>
              <w:widowControl/>
              <w:suppressAutoHyphens/>
              <w:spacing w:before="60" w:after="60" w:line="240" w:lineRule="auto"/>
              <w:rPr>
                <w:rFonts w:ascii="Times New Roman" w:hAnsi="Times New Roman"/>
                <w:noProof/>
              </w:rPr>
            </w:pPr>
            <w:bookmarkStart w:id="32" w:name="_Hlk228294212"/>
            <w:r>
              <w:rPr>
                <w:rFonts w:ascii="Times New Roman" w:hAnsi="Times New Roman"/>
                <w:noProof/>
              </w:rPr>
              <w:t>Măsuri privind stabilirea, activitățile și operațiunile societăților de transport maritim care depășesc angajamentele asumate de Indonezia în anexele 8-E și 8-F.</w:t>
            </w:r>
            <w:bookmarkEnd w:id="32"/>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Nespecificate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Acorduri internaționale în contextul relațiilor comerciale generale.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Transportul maritim</w:t>
            </w:r>
          </w:p>
          <w:p>
            <w:pPr>
              <w:widowControl/>
              <w:suppressAutoHyphens/>
              <w:spacing w:before="60" w:after="60" w:line="240" w:lineRule="auto"/>
              <w:rPr>
                <w:rFonts w:ascii="Times New Roman" w:hAnsi="Times New Roman"/>
                <w:noProof/>
              </w:rPr>
            </w:pPr>
            <w:r>
              <w:rPr>
                <w:rFonts w:ascii="Times New Roman" w:hAnsi="Times New Roman"/>
                <w:noProof/>
              </w:rPr>
              <w:t>– cabotaj</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de reciprocitate existente sau viitoare, adoptate de Finlanda, de exceptare a navelor înregistrate sub pavilion străin al unei alte țări determinate de la interdicția generală de a efectua operațiuni de cabotaj în Finlanda.</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Specificitate regională a cabotajului maritim.</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maritim</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de reciprocitate adoptate de Suedia pe baza unor acorduri existente sau viitoare de exceptare a navelor înregistrate sub pavilion străin din țările menționate în a treia coloană de la interdicția generală de a efectua operațiuni de cabotaj în Suedia.</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acordurile bilaterale sau plurilaterale sunt în vigoare.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reglementarea circulației de cabotaj bazată pe acorduri de reciprocitate.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Servicii de închiriere/leasing fără operatori, referitoare la nave (CPC 83103)</w:t>
            </w:r>
          </w:p>
          <w:p>
            <w:pPr>
              <w:widowControl/>
              <w:suppressAutoHyphens/>
              <w:spacing w:before="60" w:after="60" w:line="240" w:lineRule="auto"/>
              <w:rPr>
                <w:rFonts w:ascii="Times New Roman" w:hAnsi="Times New Roman"/>
                <w:noProof/>
              </w:rPr>
            </w:pPr>
            <w:r>
              <w:rPr>
                <w:rFonts w:ascii="Times New Roman" w:hAnsi="Times New Roman"/>
                <w:noProof/>
              </w:rPr>
              <w:t>Închiriere de nave cu echipaj</w:t>
            </w:r>
          </w:p>
          <w:p>
            <w:pPr>
              <w:widowControl/>
              <w:suppressAutoHyphens/>
              <w:spacing w:before="60" w:after="60" w:line="240" w:lineRule="auto"/>
              <w:rPr>
                <w:rFonts w:ascii="Times New Roman" w:hAnsi="Times New Roman"/>
                <w:noProof/>
              </w:rPr>
            </w:pPr>
            <w:r>
              <w:rPr>
                <w:rFonts w:ascii="Times New Roman" w:hAnsi="Times New Roman"/>
                <w:noProof/>
              </w:rPr>
              <w:t>(CPC 7213, 7223)</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Afretarea de nave străine de către consumatori rezidenți în Germania poate face obiectul unei condiții de reciprocitate.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asigura accesul efectiv la piață și tratamentul echivalent pentru furnizorii de servicii germani.</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Pescuit</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Uniunea își rezervă dreptul de a adopta sau menține orice măsură care acordă un tratament diferențiat țărilor participante la orice acord internațional bilateral sau plurilateral referitor la pescuit, în vigoare sau semnat după data intrării în vigoare a prezentului acord.</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proteja acordurile internaționale bilaterale și plurilaterale existente și viitoare.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pescuit sau aferente pescuitului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Tratament preferențial – în zonele de pescuit aflate în jurisdicția țărilor implicate – pentru servicii și furnizorii de servicii din țările cu care Polonia întreține relații cordiale în materie de pescuit, în conformitate cu practicile internaționale din domeniul conservării halieutice și a politicilor sau acordurilor de pescuit, în special în bazinul Mării Baltice.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Cooperare privind conservarea halieutică și pescuitul, bazată pe practică, precum și pe acordurile existente și viitoare, în special în bazinul Mării Baltice.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Servicii juridice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Avocații dintr-o țară străină pot interveni ca avocați pledanți în Lituania numai în cadrul unor acorduri bilaterale privind asistența juridică.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sunt sau vor fi în vigoare acorduri.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asigura o capacitate de control a legalității și a responsabilității.</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Servicii juridice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În Bulgaria, tratamentul național integral privind stabilirea și funcționarea societăților, precum și privind furnizarea de servicii poate fi extins numai la societățile stabilite și la cetățenii originari din țările indicate în a treia coloană.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Țările cu care au fost sau vor fi încheiate acorduri preferențiale.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Obligații decurgând din acorduri internaționale.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sănătate umană</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Furnizarea, pentru cetățenii ciprioți, de îngrijiri medicale care nu sunt disponibile în Cipru, în țări selecționate cu care au fost sau vor fi încheiate acorduri bilaterale.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o cooperare medicală ar putea fi de dorit.</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Măsura este necesară datorită încheierii existente sau potențiale în viitor de noi acorduri bilaterale între Cipru și țări terțe cu care Cipru deține o proximitate geografică sau alte legături speciale.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Servicii medicale și stomatologice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Asigurările medicale publice, planurile și programele de subvenționare și compensare care acoperă costurile și cheltuielile aferente serviciilor medicale și stomatologice furnizate pentru cetățeni străini pe teritoriul Bulgariei sunt acordate pe bază de reciprocitate în cadrul unor acorduri bilaterale.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Țările cu care au fost sau vor fi încheiate astfel de acorduri bilaterale.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Obligații decurgând din acorduri internaționale.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publice de securitate socială</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Dispozițiile acordurilor bilaterale privind securitatea socială încheiate între Cipru și anumite țări.</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Australia, Egipt, Canada, provincia Quebec și orice țară cu care s-ar putea încheia un acord pe viitor.</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a le permite persoanelor care intră sau vor intra sub incidența legislației privind securitatea socială din statele părți contractante să-și mențină drepturile de securitate socială dacă se mută dintr-o țară în alta sau pentru a le permită să dobândească respectivele drepturi.</w:t>
            </w:r>
          </w:p>
          <w:p>
            <w:pPr>
              <w:widowControl/>
              <w:suppressAutoHyphens/>
              <w:spacing w:before="60" w:after="60" w:line="240" w:lineRule="auto"/>
              <w:rPr>
                <w:rFonts w:ascii="Times New Roman" w:hAnsi="Times New Roman"/>
                <w:noProof/>
              </w:rPr>
            </w:pPr>
            <w:r>
              <w:rPr>
                <w:rFonts w:ascii="Times New Roman" w:hAnsi="Times New Roman"/>
                <w:noProof/>
              </w:rPr>
              <w:t>Acordurile în cauză, care cuprind dispoziții, printre altele, de totalizare a perioadelor de asigurări sau de rezidență în statul parte contractantă din considerente de eligibilitate a beneficiarilor sunt încheiate între Cipru și țările cu care există deplasări de forță de muncă.</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Editare</w:t>
            </w:r>
          </w:p>
          <w:p>
            <w:pPr>
              <w:widowControl/>
              <w:suppressAutoHyphens/>
              <w:spacing w:before="60" w:after="60" w:line="240" w:lineRule="auto"/>
              <w:rPr>
                <w:rFonts w:ascii="Times New Roman" w:hAnsi="Times New Roman"/>
                <w:noProof/>
              </w:rPr>
            </w:pPr>
            <w:r>
              <w:rPr>
                <w:rFonts w:ascii="Times New Roman" w:hAnsi="Times New Roman"/>
                <w:noProof/>
              </w:rPr>
              <w:t>(parte din CPC 88442)</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Participarea străină în societățile italiene care depășește 49 % din capital și din drepturile de vot în societățile respective este supusă unei condiții de reciprocitate.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asigura accesul efectiv la piață și tratamentul echivalent pentru furnizorii de servicii italieni.</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Serviciile agențiilor de știri</w:t>
            </w:r>
          </w:p>
          <w:p>
            <w:pPr>
              <w:widowControl/>
              <w:suppressAutoHyphens/>
              <w:spacing w:before="60" w:after="60" w:line="240" w:lineRule="auto"/>
              <w:rPr>
                <w:rFonts w:ascii="Times New Roman" w:hAnsi="Times New Roman"/>
                <w:noProof/>
              </w:rPr>
            </w:pPr>
            <w:r>
              <w:rPr>
                <w:rFonts w:ascii="Times New Roman" w:hAnsi="Times New Roman"/>
                <w:noProof/>
              </w:rPr>
              <w:t>(parte din CPC 962)</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Participarea străină în editurile franceze de publicații în limba franceză care depășește 20 % din capital sau din drepturile de vot în societățile respective este supusă unei condiții de reciprocitate.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asigura accesul efectiv la piață și tratamentul echivalent pentru furnizorii de servicii francezi.</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Servicii ale agențiilor de presă</w:t>
            </w:r>
          </w:p>
          <w:p>
            <w:pPr>
              <w:widowControl/>
              <w:suppressAutoHyphens/>
              <w:spacing w:before="60" w:after="60" w:line="240" w:lineRule="auto"/>
              <w:rPr>
                <w:rFonts w:ascii="Times New Roman" w:hAnsi="Times New Roman"/>
                <w:noProof/>
              </w:rPr>
            </w:pPr>
            <w:r>
              <w:rPr>
                <w:rFonts w:ascii="Times New Roman" w:hAnsi="Times New Roman"/>
                <w:noProof/>
              </w:rPr>
              <w:t>(parte din CPC 962)</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Accesul pe piață în Franța. Sub rezerva condiției de reciprocitate.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asigura accesul efectiv la piață și tratamentul echivalent pentru furnizorii de servicii francezi.</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Achiziționarea de terenuri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Conform Constituției Republicii Lituania, autoritățile locale (municipalități), alte entități naționale precum și entități străine din țările indicate în a treia coloană, care desfășoară activități economice în Lituania, specificate de dreptul constituțional în conformitate cu criteriile europene și alte criterii de integrare adoptate de Lituania, au dreptul să dețină în proprietatea lor terenuri neagricole necesare pentru construcția și exploatarea clădirilor și instalațiilor necesare diverselor lor activități.</w:t>
            </w:r>
          </w:p>
          <w:p>
            <w:pPr>
              <w:widowControl/>
              <w:suppressAutoHyphens/>
              <w:spacing w:before="60" w:after="60" w:line="240" w:lineRule="auto"/>
              <w:rPr>
                <w:rFonts w:ascii="Times New Roman" w:hAnsi="Times New Roman"/>
                <w:noProof/>
              </w:rPr>
            </w:pPr>
            <w:r>
              <w:rPr>
                <w:rFonts w:ascii="Times New Roman" w:hAnsi="Times New Roman"/>
                <w:noProof/>
              </w:rPr>
              <w:t>Procedura, clauzele și condițiile de achiziționare a terenurilor, precum și restricțiile aplicabile sunt stabilite în dreptul constituțional.</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determinate prin drept constituțional: statele membre ale OCDE</w:t>
            </w:r>
            <w:r>
              <w:rPr>
                <w:rFonts w:ascii="Times New Roman" w:hAnsi="Times New Roman"/>
                <w:b/>
                <w:bCs/>
                <w:noProof/>
                <w:vertAlign w:val="superscript"/>
              </w:rPr>
              <w:footnoteReference w:id="92"/>
            </w:r>
            <w:r>
              <w:rPr>
                <w:rFonts w:ascii="Times New Roman" w:hAnsi="Times New Roman"/>
                <w:noProof/>
              </w:rPr>
              <w:t xml:space="preserve"> și ale Organizației Tratatului Atlanticului de Nord (denumită în continuare „NATO”) 54 și țările asociate ale UE.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Dorința de a crea condiții mai avantajoase pentru o cooperare economică sporită între Lituania și țările în cauză.</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ghid turistic</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În Lituania, ghizii turistici din alte țări pot furniza servicii de ghid turistic numai în conformitate cu acordurile (sau contractele) bilaterale privind asistența serviciilor de ghid turistic pe bază de reciprocitate.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acordurile (sau contractele) sunt sau vor fi în vigoare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Păstrarea și promovarea identității culturale.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Cipru:</w:t>
            </w:r>
          </w:p>
          <w:p>
            <w:pPr>
              <w:widowControl/>
              <w:suppressAutoHyphens/>
              <w:spacing w:before="60" w:after="60" w:line="240" w:lineRule="auto"/>
              <w:rPr>
                <w:rFonts w:ascii="Times New Roman" w:hAnsi="Times New Roman"/>
                <w:noProof/>
              </w:rPr>
            </w:pPr>
            <w:r>
              <w:rPr>
                <w:rFonts w:ascii="Times New Roman" w:hAnsi="Times New Roman"/>
                <w:noProof/>
              </w:rPr>
              <w:t>renunțarea la limitări privind accesul pe piață și tratamentul național în domeniul prezenței comerciale, inclusiv al circulației capitalurilor, cu privire la țările indicate: în a treia coloană.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Țările membre ale Asociației Europene a Liberului Schimb (denumită în continuare „AELS”)</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O liberalizare treptată a prezenței comerciale. Acordurile bilaterale referitoare la protecția și promovarea reciprocă a investițiilor cu unele din țările AELS sunt în pregătire.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Măsurile adoptate de Danemarca, Suedia și Finlanda vizând promovarea cooperării nordice, cum ar fi: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asistență financiară pentru proiecte de C&amp;D („Nordic Industrial Fund”);</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finanțarea studiilor de fezabilitate pentru proiecte internaționale („Nordic Fund for Project Exports”)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asistența financiară pentru societăți</w:t>
            </w:r>
            <w:r>
              <w:rPr>
                <w:rStyle w:val="FootnoteReference"/>
                <w:rFonts w:ascii="Times New Roman" w:hAnsi="Times New Roman"/>
                <w:b/>
                <w:bCs/>
                <w:noProof/>
              </w:rPr>
              <w:footnoteReference w:id="93"/>
            </w:r>
            <w:r>
              <w:rPr>
                <w:rFonts w:ascii="Times New Roman" w:hAnsi="Times New Roman"/>
                <w:noProof/>
              </w:rPr>
              <w:t xml:space="preserve"> care utilizează tehnologie de mediu („Nordic Environment Finance Corporation”).</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Islanda și Norvegia</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Pentru menținerea și dezvoltarea cooperării nordice.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Polonia:</w:t>
            </w:r>
          </w:p>
          <w:p>
            <w:pPr>
              <w:widowControl/>
              <w:suppressAutoHyphens/>
              <w:spacing w:before="60" w:after="60" w:line="240" w:lineRule="auto"/>
              <w:rPr>
                <w:rFonts w:ascii="Times New Roman" w:hAnsi="Times New Roman"/>
                <w:noProof/>
              </w:rPr>
            </w:pPr>
            <w:r>
              <w:rPr>
                <w:rFonts w:ascii="Times New Roman" w:hAnsi="Times New Roman"/>
                <w:noProof/>
              </w:rPr>
              <w:t>Condițiile preferențiale pentru stabilirea sau furnizarea transfrontalieră de servicii, care pot include eliminarea sau modificarea anumitor restricții cuprinse în lista de rezerve aplicabile în Polonia, pot fi prelungite prin tratate privind comerțul și navigația.</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Dispoziții reciproce ale acordurilor existente și viitoare</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Polonia acceptă arbitrajul obligatoriu al statului investitor în domeniul litigiilor privind investițiile, cauzate sau legate de furnizorii de servicii ai țărilor cu care Polonia a încheiat sau va încheia acorduri care prevăd o astfel de procedură.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Promovarea și protejarea acordurilor de investiții străine.</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Autorizația de achiziționare de bunuri imobile în Italia de către persoane fizice sau juridice străine este acordată pe bază de reciprocitate.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Cerința de reciprocitate este necesară pentru a asigura un tratament echivalent cetățenilor italieni pe teritoriul altor țări.</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Derogare de la cerința privind deținerea cetățeniei pentru exercitarea, în Portugalia, a anumitor activități și profesii de către persoane fizice care furnizează servicii, originare din țările indicate în a treia coloană.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Țări în care limba oficială este limba portugheză (Angola, Brazilia, Cabo Verde, Guineea-Bissau, Mozambic, Săo Tomé și Principe și Timorul de Est).</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Această măsură reflectă legăturile istorice dintre Portugalia și țările în cauză.</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bazate pe acordurile bilaterale existente și viitoare între anumite state membre</w:t>
            </w:r>
            <w:r>
              <w:rPr>
                <w:rFonts w:ascii="Times New Roman" w:hAnsi="Times New Roman"/>
                <w:b/>
                <w:bCs/>
                <w:noProof/>
                <w:vertAlign w:val="superscript"/>
              </w:rPr>
              <w:footnoteReference w:id="94"/>
            </w:r>
            <w:r>
              <w:rPr>
                <w:rFonts w:ascii="Times New Roman" w:hAnsi="Times New Roman"/>
                <w:noProof/>
              </w:rPr>
              <w:t xml:space="preserve"> și țările și principatele vizate, prevăzând dreptul de stabilire al persoanelor fizice și juridice sau renunțarea la cerințele privind permisele de muncă pentru persoanele fizice care furnizează servicii.</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San Marino, Monaco, Andorra și Cetatea Vaticanului.</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Situația geografică și legăturile istorice, economice și culturale dintre statele membre și țările și principatele în cauză.</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Bunuri imobile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Pentru Republica Croația: Cerința de reciprocitate pentru persoanele străine și aprobarea ministrului afacerilor externe</w:t>
            </w:r>
            <w:r>
              <w:rPr>
                <w:rStyle w:val="FootnoteReference"/>
                <w:rFonts w:ascii="Times New Roman" w:hAnsi="Times New Roman"/>
                <w:b/>
                <w:bCs/>
                <w:noProof/>
              </w:rPr>
              <w:footnoteReference w:customMarkFollows="1" w:id="95"/>
              <w:t>*</w:t>
            </w:r>
            <w:r>
              <w:rPr>
                <w:rFonts w:ascii="Times New Roman" w:hAnsi="Times New Roman"/>
                <w:noProof/>
              </w:rPr>
              <w:t>, cu excepția imigranților din fostele republici iugoslave și a descendenților acestora care nu au cetățenie și care necesită aprobare din partea ministerului responsabil de imigrație</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Temporară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Considerente politice și motive legate de poziția în balanța de plăți</w:t>
            </w:r>
          </w:p>
        </w:tc>
      </w:tr>
      <w:tr>
        <w:trPr>
          <w:jc w:val="center"/>
        </w:trPr>
        <w:tc>
          <w:tcPr>
            <w:tcW w:w="729"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rutier de călători și de mărfuri</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Măsuri aplicate în cadrul acordurilor existente sau viitoare privind transportul rutier internațional, care restricționează sau limitează furnizarea de servicii de transport și precizează condițiile de operare, inclusiv autorizațiile de tranzit sau taxele rutiere preferențiale ale unor servicii de transport la intrarea în Republica Croația, în interiorul și pe teritoriul Republicii Croației, precum și la ieșirea din Republica Croația pentru părțile în cauză.</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 cu care Republica Croația a încheiat acorduri privind transportul rutier care sunt în vigoare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exceptării este legată de caracteristicile regionale ale serviciilor de transport rutier și de necesitatea de a reglementa drepturile de trafic pe teritoriul Republicii Croația și între Croația și țările în cauză</w:t>
            </w:r>
          </w:p>
        </w:tc>
      </w:tr>
      <w:tr>
        <w:trPr>
          <w:jc w:val="center"/>
        </w:trPr>
        <w:tc>
          <w:tcPr>
            <w:tcW w:w="729" w:type="pct"/>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1850" w:type="pct"/>
          </w:tcPr>
          <w:p>
            <w:pPr>
              <w:widowControl/>
              <w:suppressAutoHyphens/>
              <w:spacing w:before="60" w:after="60" w:line="240" w:lineRule="auto"/>
              <w:rPr>
                <w:rFonts w:ascii="Times New Roman" w:hAnsi="Times New Roman"/>
                <w:noProof/>
              </w:rPr>
            </w:pPr>
            <w:r>
              <w:rPr>
                <w:rFonts w:ascii="Times New Roman" w:hAnsi="Times New Roman"/>
                <w:noProof/>
              </w:rPr>
              <w:t>În măsura în care angajamentele specifice din anexele 8-A și 8-B se referă la condiții de reciprocitate sau la posibilitatea de a acorda derogări, se poate renunța parțial sau integral la limitările specificate, cu condiția îndeplinirii unor cerințe specifice sau sub rezerva reciprocității.</w:t>
            </w:r>
          </w:p>
        </w:tc>
        <w:tc>
          <w:tcPr>
            <w:tcW w:w="828" w:type="pct"/>
          </w:tcPr>
          <w:p>
            <w:pPr>
              <w:widowControl/>
              <w:suppressAutoHyphens/>
              <w:spacing w:before="60" w:after="60" w:line="240" w:lineRule="auto"/>
              <w:rPr>
                <w:rFonts w:ascii="Times New Roman" w:hAnsi="Times New Roman"/>
                <w:noProof/>
              </w:rPr>
            </w:pPr>
            <w:r>
              <w:rPr>
                <w:rFonts w:ascii="Times New Roman" w:hAnsi="Times New Roman"/>
                <w:noProof/>
              </w:rPr>
              <w:t>Toate țările</w:t>
            </w:r>
          </w:p>
        </w:tc>
        <w:tc>
          <w:tcPr>
            <w:tcW w:w="536" w:type="pct"/>
          </w:tcPr>
          <w:p>
            <w:pPr>
              <w:widowControl/>
              <w:suppressAutoHyphens/>
              <w:spacing w:before="60" w:after="60" w:line="240" w:lineRule="auto"/>
              <w:rPr>
                <w:rFonts w:ascii="Times New Roman" w:hAnsi="Times New Roman"/>
                <w:noProof/>
              </w:rPr>
            </w:pPr>
            <w:r>
              <w:rPr>
                <w:rFonts w:ascii="Times New Roman" w:hAnsi="Times New Roman"/>
                <w:noProof/>
              </w:rPr>
              <w:t>Nedeterminată</w:t>
            </w:r>
          </w:p>
        </w:tc>
        <w:tc>
          <w:tcPr>
            <w:tcW w:w="1057" w:type="pct"/>
          </w:tcPr>
          <w:p>
            <w:pPr>
              <w:widowControl/>
              <w:suppressAutoHyphens/>
              <w:spacing w:before="60" w:after="60" w:line="240" w:lineRule="auto"/>
              <w:rPr>
                <w:rFonts w:ascii="Times New Roman" w:hAnsi="Times New Roman"/>
                <w:noProof/>
              </w:rPr>
            </w:pPr>
            <w:r>
              <w:rPr>
                <w:rFonts w:ascii="Times New Roman" w:hAnsi="Times New Roman"/>
                <w:noProof/>
              </w:rPr>
              <w:t>Necesitatea de a asigura accesul efectiv pe piață și tratamentul echivalent pentru furnizorii de servicii din UE.</w:t>
            </w:r>
          </w:p>
        </w:tc>
      </w:tr>
    </w:tbl>
    <w:p>
      <w:pPr>
        <w:rPr>
          <w:noProof/>
        </w:rPr>
      </w:pPr>
    </w:p>
    <w:p>
      <w:pPr>
        <w:rPr>
          <w:noProof/>
        </w:rPr>
      </w:pPr>
    </w:p>
    <w:p>
      <w:pPr>
        <w:jc w:val="center"/>
        <w:rPr>
          <w:noProof/>
        </w:rPr>
      </w:pPr>
      <w:r>
        <w:rPr>
          <w:noProof/>
        </w:rPr>
        <w:t>________________</w:t>
      </w:r>
    </w:p>
    <w:p>
      <w:pPr>
        <w:rPr>
          <w:noProof/>
        </w:rPr>
        <w:sectPr>
          <w:headerReference w:type="default" r:id="rId46"/>
          <w:footerReference w:type="default" r:id="rId47"/>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ANEXA 8-E</w:t>
      </w:r>
    </w:p>
    <w:p>
      <w:pPr>
        <w:rPr>
          <w:noProof/>
        </w:rPr>
      </w:pPr>
    </w:p>
    <w:p>
      <w:pPr>
        <w:rPr>
          <w:noProof/>
        </w:rPr>
      </w:pPr>
    </w:p>
    <w:p>
      <w:pPr>
        <w:jc w:val="center"/>
        <w:rPr>
          <w:noProof/>
        </w:rPr>
      </w:pPr>
      <w:r>
        <w:rPr>
          <w:noProof/>
        </w:rPr>
        <w:t xml:space="preserve">LISTA ANGAJAMENTELOR </w:t>
      </w:r>
      <w:r>
        <w:rPr>
          <w:noProof/>
        </w:rPr>
        <w:br/>
        <w:t>PRIVIND FURNIZAREA TRANSFRONTALIERĂ DE SERVICII</w:t>
      </w:r>
    </w:p>
    <w:p>
      <w:pPr>
        <w:jc w:val="center"/>
        <w:rPr>
          <w:noProof/>
        </w:rPr>
      </w:pPr>
    </w:p>
    <w:p>
      <w:pPr>
        <w:jc w:val="center"/>
        <w:rPr>
          <w:noProof/>
        </w:rPr>
      </w:pPr>
      <w:r>
        <w:rPr>
          <w:noProof/>
        </w:rPr>
        <w:t>INDONEZIA</w:t>
      </w:r>
    </w:p>
    <w:p>
      <w:pPr>
        <w:rPr>
          <w:noProof/>
        </w:rPr>
      </w:pPr>
    </w:p>
    <w:p>
      <w:pPr>
        <w:rPr>
          <w:noProof/>
        </w:rPr>
      </w:pPr>
    </w:p>
    <w:p>
      <w:pPr>
        <w:rPr>
          <w:noProof/>
        </w:rPr>
      </w:pPr>
      <w:r>
        <w:rPr>
          <w:noProof/>
        </w:rPr>
        <w:t>1.</w:t>
      </w:r>
      <w:r>
        <w:rPr>
          <w:noProof/>
        </w:rPr>
        <w:tab/>
        <w:t>Lista angajamentelor care figurează în prezenta anexă indică sectoarele de servicii liberalizate în temeiul articolului 8.16 și, prin intermediul rezervelor, limitările care se aplică furnizării transfrontaliere de servicii și furnizorilor de servicii din Uniune în sectoarele respective. Lista respectivă cuprinde următoarele elemente:</w:t>
      </w:r>
    </w:p>
    <w:p>
      <w:pPr>
        <w:rPr>
          <w:noProof/>
        </w:rPr>
      </w:pPr>
    </w:p>
    <w:p>
      <w:pPr>
        <w:ind w:left="567" w:hanging="567"/>
        <w:rPr>
          <w:noProof/>
        </w:rPr>
      </w:pPr>
      <w:r>
        <w:rPr>
          <w:noProof/>
        </w:rPr>
        <w:t>(a)</w:t>
      </w:r>
      <w:r>
        <w:rPr>
          <w:noProof/>
        </w:rPr>
        <w:tab/>
        <w:t>prima coloană indică sectorul sau subsectorul în care angajamentul este asumat de către Indonezia și domeniul de aplicare al liberalizării în care se aplică rezerve și</w:t>
      </w:r>
    </w:p>
    <w:p>
      <w:pPr>
        <w:rPr>
          <w:noProof/>
        </w:rPr>
      </w:pPr>
    </w:p>
    <w:p>
      <w:pPr>
        <w:ind w:left="567" w:hanging="567"/>
        <w:rPr>
          <w:noProof/>
        </w:rPr>
      </w:pPr>
      <w:r>
        <w:rPr>
          <w:noProof/>
        </w:rPr>
        <w:t>(b)</w:t>
      </w:r>
      <w:r>
        <w:rPr>
          <w:noProof/>
        </w:rPr>
        <w:tab/>
        <w:t>a doua coloană descrie rezervele aplicabile cu privire la articolele 8.13 și 8.14.</w:t>
      </w:r>
    </w:p>
    <w:p>
      <w:pPr>
        <w:rPr>
          <w:noProof/>
        </w:rPr>
      </w:pPr>
    </w:p>
    <w:p>
      <w:pPr>
        <w:rPr>
          <w:noProof/>
        </w:rPr>
      </w:pPr>
      <w:r>
        <w:rPr>
          <w:noProof/>
        </w:rPr>
        <w:t>2.</w:t>
      </w:r>
      <w:r>
        <w:rPr>
          <w:noProof/>
        </w:rPr>
        <w:tab/>
        <w:t>Nu se asumă angajamente în ceea ce privește furnizarea transfrontalieră de servicii în sectoarele sau subsectoarele reglementate de prezentul acord care nu sunt enumerate în coloana sectorială de mai jos.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La identificarea sectoarelor și subsectoarelor individuale:</w:t>
      </w:r>
    </w:p>
    <w:p>
      <w:pPr>
        <w:rPr>
          <w:noProof/>
        </w:rPr>
      </w:pPr>
    </w:p>
    <w:p>
      <w:pPr>
        <w:ind w:left="567" w:hanging="567"/>
        <w:rPr>
          <w:noProof/>
        </w:rPr>
      </w:pPr>
      <w:r>
        <w:rPr>
          <w:noProof/>
        </w:rPr>
        <w:t>(a)</w:t>
      </w:r>
      <w:r>
        <w:rPr>
          <w:noProof/>
        </w:rPr>
        <w:tab/>
      </w:r>
      <w:bookmarkStart w:id="33" w:name="_Hlk229063395"/>
      <w:r>
        <w:rPr>
          <w:noProof/>
        </w:rPr>
        <w:t>„</w:t>
      </w:r>
      <w:bookmarkEnd w:id="33"/>
      <w:r>
        <w:rPr>
          <w:noProof/>
        </w:rPr>
        <w:t>CPC” înseamnă Clasificarea centrală provizorie a produselor (Statistical Papers, seria M, nr. 77, Departamentul Afaceri Sociale și Economice Internaționale, Oficiul de Statistică al Organizației Națiunilor Unite, New York, 1991);</w:t>
      </w:r>
    </w:p>
    <w:p>
      <w:pPr>
        <w:rPr>
          <w:noProof/>
        </w:rPr>
      </w:pPr>
    </w:p>
    <w:p>
      <w:pPr>
        <w:ind w:left="567" w:hanging="567"/>
        <w:rPr>
          <w:noProof/>
        </w:rPr>
      </w:pPr>
      <w:r>
        <w:rPr>
          <w:noProof/>
        </w:rPr>
        <w:t>(b)</w:t>
      </w:r>
      <w:r>
        <w:rPr>
          <w:noProof/>
        </w:rPr>
        <w:tab/>
        <w:t>„ISIC” înseamnă standardul indonezian de clasificare industrială (Klasifikasi Baku Lapangan Usaha Indonesia/KBLI) 2020 și</w:t>
      </w:r>
    </w:p>
    <w:p>
      <w:pPr>
        <w:rPr>
          <w:noProof/>
        </w:rPr>
      </w:pPr>
    </w:p>
    <w:p>
      <w:pPr>
        <w:ind w:left="567" w:hanging="567"/>
        <w:rPr>
          <w:noProof/>
        </w:rPr>
      </w:pPr>
      <w:r>
        <w:rPr>
          <w:noProof/>
        </w:rPr>
        <w:t>(c)</w:t>
      </w:r>
      <w:r>
        <w:rPr>
          <w:noProof/>
        </w:rPr>
        <w:tab/>
        <w:t>„ISIC rev 4” înseamnă Clasificarea industrială internațională standard pentru toate activitățile economice, astfel cum este stabilită de Oficiul Statistic al Organizației Națiunilor Unite, Statistical Papers, seria M, nr. 4, ISIC REV 4, 2008.</w:t>
      </w:r>
    </w:p>
    <w:p>
      <w:pPr>
        <w:rPr>
          <w:noProof/>
        </w:rPr>
      </w:pPr>
    </w:p>
    <w:p>
      <w:pPr>
        <w:rPr>
          <w:noProof/>
        </w:rPr>
      </w:pPr>
      <w:r>
        <w:rPr>
          <w:noProof/>
        </w:rPr>
        <w:t>4.</w:t>
      </w:r>
      <w:r>
        <w:rPr>
          <w:noProof/>
        </w:rPr>
        <w:tab/>
        <w:t>În absența unei trimiteri specifice la un număr ISIC sau CPC, domeniul de aplicare al subsectoarelor sau al activităților economice vizate de rubrica respectivă va face obiectul trimiterii relevante și aplicabile, inclusiv:</w:t>
      </w:r>
    </w:p>
    <w:p>
      <w:pPr>
        <w:rPr>
          <w:noProof/>
        </w:rPr>
      </w:pPr>
    </w:p>
    <w:p>
      <w:pPr>
        <w:ind w:left="567" w:hanging="567"/>
        <w:rPr>
          <w:noProof/>
        </w:rPr>
      </w:pPr>
      <w:r>
        <w:rPr>
          <w:noProof/>
        </w:rPr>
        <w:t>(a)</w:t>
      </w:r>
      <w:r>
        <w:rPr>
          <w:noProof/>
        </w:rPr>
        <w:tab/>
        <w:t>în cazul serviciilor financiare, se va face trimitere la anexa GATS privind serviciile financiare sau</w:t>
      </w:r>
    </w:p>
    <w:p>
      <w:pPr>
        <w:rPr>
          <w:noProof/>
        </w:rPr>
      </w:pPr>
    </w:p>
    <w:p>
      <w:pPr>
        <w:ind w:left="567" w:hanging="567"/>
        <w:rPr>
          <w:noProof/>
        </w:rPr>
      </w:pPr>
      <w:r>
        <w:rPr>
          <w:noProof/>
        </w:rPr>
        <w:t>(b)</w:t>
      </w:r>
      <w:r>
        <w:rPr>
          <w:noProof/>
        </w:rPr>
        <w:tab/>
        <w:t>în cazul transportului aerian, domeniul de aplicare al activităților va fi în conformitate cu articolul 8.12, cu excepția cazului în care este calificat prin trimitere la ISIC 2020.</w:t>
      </w:r>
    </w:p>
    <w:p>
      <w:pPr>
        <w:rPr>
          <w:noProof/>
        </w:rPr>
      </w:pPr>
    </w:p>
    <w:p>
      <w:pPr>
        <w:rPr>
          <w:noProof/>
        </w:rPr>
      </w:pPr>
      <w:r>
        <w:rPr>
          <w:noProof/>
        </w:rPr>
        <w:t>5.</w:t>
      </w:r>
      <w:r>
        <w:rPr>
          <w:noProof/>
        </w:rPr>
        <w:tab/>
        <w:t>Asteriscul dublu (</w:t>
      </w:r>
      <w:r>
        <w:rPr>
          <w:b/>
          <w:noProof/>
          <w:vertAlign w:val="superscript"/>
        </w:rPr>
        <w:t>**</w:t>
      </w:r>
      <w:r>
        <w:rPr>
          <w:noProof/>
        </w:rPr>
        <w:t>) după numărul CPC indică faptul că domeniul de aplicare al serviciilor specificate constituie doar o parte din gama totală de activități încadrate la codul corespondent din CPC.</w:t>
      </w:r>
    </w:p>
    <w:p>
      <w:pPr>
        <w:rPr>
          <w:noProof/>
        </w:rPr>
      </w:pPr>
    </w:p>
    <w:p>
      <w:pPr>
        <w:widowControl/>
        <w:spacing w:line="240" w:lineRule="auto"/>
        <w:rPr>
          <w:noProof/>
        </w:rPr>
      </w:pPr>
      <w:r>
        <w:rPr>
          <w:noProof/>
        </w:rPr>
        <w:br w:type="page"/>
      </w:r>
    </w:p>
    <w:p>
      <w:pPr>
        <w:rPr>
          <w:noProof/>
        </w:rPr>
      </w:pPr>
      <w:r>
        <w:rPr>
          <w:noProof/>
        </w:rPr>
        <w:lastRenderedPageBreak/>
        <w:t>6.</w:t>
      </w:r>
      <w:r>
        <w:rPr>
          <w:noProof/>
        </w:rPr>
        <w:tab/>
        <w:t>Sectoarele sau subsectoarele marcate cu „CNF” fac obiectul articolului 8.15 pentru măsurile care intră atât sub incidența accesului pe piață, cât și a tratamentului național, astfel cum se indică în coloana „Descrierea rezervelor”.</w:t>
      </w:r>
    </w:p>
    <w:p>
      <w:pPr>
        <w:rPr>
          <w:noProof/>
        </w:rPr>
      </w:pPr>
    </w:p>
    <w:p>
      <w:pPr>
        <w:rPr>
          <w:noProof/>
        </w:rPr>
      </w:pPr>
      <w:r>
        <w:rPr>
          <w:noProof/>
        </w:rPr>
        <w:t>7.</w:t>
      </w:r>
      <w:r>
        <w:rPr>
          <w:noProof/>
        </w:rPr>
        <w:tab/>
      </w:r>
      <w:bookmarkStart w:id="34" w:name="_Hlk229130704"/>
      <w:r>
        <w:rPr>
          <w:noProof/>
        </w:rPr>
        <w:t>Lista angajamentelor care figurează în prezenta anexă</w:t>
      </w:r>
      <w:bookmarkEnd w:id="34"/>
      <w:r>
        <w:rPr>
          <w:noProof/>
        </w:rPr>
        <w:t xml:space="preserve"> nu include măsuri cu privire la cerințele și procedurile de calificare, la standardele tehnice și la cerințele și procedurile de acordare a licențelor atunci când acestea nu reprezintă o limitare a accesului pe piață sau a tratamentului național în sensul articolului 8.13 sau al articolului 8.14. Măsurile de acest tip (de exemplu, obligativitatea obținerii unei licențe, obligațiile de serviciu universal, necesitatea recunoașterii calificărilor în sectoarele reglementate, necesitatea promovării unor examene specifice, inclusiv a unor examene de limbă), chiar dacă nu sunt menționate, se aplică în orice caz serviciilor și furnizorilor de servicii din Uniune.</w:t>
      </w:r>
    </w:p>
    <w:p>
      <w:pPr>
        <w:rPr>
          <w:noProof/>
        </w:rPr>
      </w:pPr>
    </w:p>
    <w:p>
      <w:pPr>
        <w:rPr>
          <w:noProof/>
        </w:rPr>
      </w:pPr>
      <w:r>
        <w:rPr>
          <w:noProof/>
        </w:rPr>
        <w:t>8.</w:t>
      </w:r>
      <w:r>
        <w:rPr>
          <w:noProof/>
        </w:rPr>
        <w:tab/>
      </w:r>
      <w:bookmarkStart w:id="35" w:name="_Hlk228302405"/>
      <w:r>
        <w:rPr>
          <w:noProof/>
        </w:rPr>
        <w:t>Lista angajamentelor care figurează în prezenta anexă nu aduce atingere fezabilității furnizării transfrontaliere de servicii, astfel cum este definită la articolul 8.4 alineatul (1) litera (e), în anumite sectoare și subsectoare de servicii și nu aduce atingere existenței monopolurilor publice și a unor drepturi exclusive, astfel cum sunt descrise în lista angajamentelor privind stabilirea prevăzută în anexa 8-F (Lista angajamentelor specifice privind liberalizarea investițiilor – Indonezia).</w:t>
      </w:r>
    </w:p>
    <w:bookmarkEnd w:id="35"/>
    <w:p>
      <w:pPr>
        <w:rPr>
          <w:noProof/>
        </w:rPr>
      </w:pPr>
    </w:p>
    <w:p>
      <w:pPr>
        <w:rPr>
          <w:noProof/>
        </w:rPr>
      </w:pPr>
      <w:bookmarkStart w:id="36" w:name="_Hlk229129973"/>
      <w:r>
        <w:rPr>
          <w:noProof/>
        </w:rPr>
        <w:t>9.</w:t>
      </w:r>
      <w:r>
        <w:rPr>
          <w:noProof/>
        </w:rPr>
        <w:tab/>
      </w:r>
      <w:bookmarkStart w:id="37" w:name="_Hlk228367930"/>
      <w:r>
        <w:rPr>
          <w:noProof/>
        </w:rPr>
        <w:t>Restricțiile, condițiile și limitările din secțiunea orizontală se aplică „tuturor sectoarelor”, astfel cum se specifică în coloana sectorială, cu excepția cazului în care se prevede altfel în secțiunea sectorială</w:t>
      </w:r>
      <w:bookmarkEnd w:id="36"/>
      <w:r>
        <w:rPr>
          <w:noProof/>
        </w:rPr>
        <w:t xml:space="preserve">. </w:t>
      </w:r>
      <w:bookmarkStart w:id="38" w:name="_Hlk229130749"/>
      <w:r>
        <w:rPr>
          <w:noProof/>
        </w:rPr>
        <w:t>Acestea fie reflectă o măsură care constituie o limitare a accesului pe piață sau a tratamentului național, fie consolidează o situație în care nu există astfel de limitări.</w:t>
      </w:r>
      <w:bookmarkEnd w:id="38"/>
    </w:p>
    <w:bookmarkEnd w:id="37"/>
    <w:p>
      <w:pPr>
        <w:rPr>
          <w:noProof/>
        </w:rPr>
      </w:pPr>
    </w:p>
    <w:p>
      <w:pPr>
        <w:widowControl/>
        <w:spacing w:line="240" w:lineRule="auto"/>
        <w:rPr>
          <w:noProof/>
        </w:rPr>
      </w:pPr>
      <w:r>
        <w:rPr>
          <w:noProof/>
        </w:rPr>
        <w:br w:type="page"/>
      </w:r>
    </w:p>
    <w:p>
      <w:pPr>
        <w:rPr>
          <w:noProof/>
        </w:rPr>
      </w:pPr>
      <w:r>
        <w:rPr>
          <w:noProof/>
        </w:rPr>
        <w:lastRenderedPageBreak/>
        <w:t>10.</w:t>
      </w:r>
      <w:r>
        <w:rPr>
          <w:noProof/>
        </w:rPr>
        <w:tab/>
        <w:t>Mențiunea „neconsolidat, cu excepția” trebuie interpretată în sensul că angajamentul se aplică numai în măsura în care este acoperit de categoriile sau condițiile specificate după cuvântul „cu excepția” și, în acest caz, se aplică limitările specificate în secțiunea orizontală.</w:t>
      </w:r>
    </w:p>
    <w:p>
      <w:pPr>
        <w:rPr>
          <w:noProof/>
        </w:rPr>
      </w:pPr>
    </w:p>
    <w:p>
      <w:pPr>
        <w:rPr>
          <w:noProof/>
        </w:rPr>
      </w:pPr>
      <w:r>
        <w:rPr>
          <w:noProof/>
        </w:rPr>
        <w:t>11.</w:t>
      </w:r>
      <w:r>
        <w:rPr>
          <w:noProof/>
        </w:rPr>
        <w:tab/>
        <w:t>Mențiunea „niciuna” în secțiunea sectorială trebuie interpretată în sensul că nu se aplică restricții sau condiții în sectorul specific. Cu toate acestea, orice limitare relevantă prevăzută în secțiunea orizontală și condițiile generale din listă, după caz, se va aplica în continuare.</w:t>
      </w:r>
    </w:p>
    <w:p>
      <w:pPr>
        <w:rPr>
          <w:noProof/>
        </w:rPr>
      </w:pPr>
    </w:p>
    <w:p>
      <w:pPr>
        <w:rPr>
          <w:noProof/>
        </w:rPr>
      </w:pPr>
      <w:r>
        <w:rPr>
          <w:noProof/>
        </w:rPr>
        <w:t>12.</w:t>
      </w:r>
      <w:r>
        <w:rPr>
          <w:noProof/>
        </w:rPr>
        <w:tab/>
        <w:t>Mențiunea „niciuna, cu excepția” din secțiunea sectorială trebuie interpretată ca o combinație între restricțiile orizontale și condițiile prevăzute în secțiunea orizontală și restricțiile sectoriale, cu excepția cazului în care se prevede altfel în mod explicit la rubrica respectivă.</w:t>
      </w:r>
    </w:p>
    <w:p>
      <w:pPr>
        <w:rPr>
          <w:noProof/>
        </w:rPr>
      </w:pPr>
    </w:p>
    <w:p>
      <w:pPr>
        <w:rPr>
          <w:noProof/>
        </w:rPr>
      </w:pPr>
      <w:r>
        <w:rPr>
          <w:noProof/>
        </w:rPr>
        <w:t>13.</w:t>
      </w:r>
      <w:r>
        <w:rPr>
          <w:noProof/>
        </w:rPr>
        <w:tab/>
        <w:t>Drepturile și obligațiile care derivă din lista angajamentelor care figurează în prezenta anexă nu au efect direct aplicabil și, astfel, nu conferă drepturi directe persoanelor fizice sau juridice.</w:t>
      </w:r>
    </w:p>
    <w:p>
      <w:pPr>
        <w:rPr>
          <w:noProof/>
        </w:rPr>
      </w:pPr>
    </w:p>
    <w:p>
      <w:pPr>
        <w:rPr>
          <w:noProof/>
        </w:rPr>
      </w:pPr>
    </w:p>
    <w:p>
      <w:pPr>
        <w:rPr>
          <w:noProof/>
        </w:rPr>
      </w:pPr>
    </w:p>
    <w:p>
      <w:pPr>
        <w:rPr>
          <w:noProof/>
        </w:rPr>
        <w:sectPr>
          <w:headerReference w:type="even" r:id="rId48"/>
          <w:headerReference w:type="default" r:id="rId49"/>
          <w:footerReference w:type="even" r:id="rId50"/>
          <w:footerReference w:type="default" r:id="rId51"/>
          <w:headerReference w:type="first" r:id="rId52"/>
          <w:footerReference w:type="first" r:id="rId53"/>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099"/>
        <w:gridCol w:w="1133"/>
        <w:gridCol w:w="70"/>
        <w:gridCol w:w="8260"/>
      </w:tblGrid>
      <w:tr>
        <w:trPr>
          <w:tblHeader/>
        </w:trPr>
        <w:tc>
          <w:tcPr>
            <w:tcW w:w="1751" w:type="pct"/>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t>Sectorul sau subsectorul</w:t>
            </w:r>
          </w:p>
        </w:tc>
        <w:tc>
          <w:tcPr>
            <w:tcW w:w="3249" w:type="pct"/>
            <w:gridSpan w:val="3"/>
          </w:tcPr>
          <w:p>
            <w:pPr>
              <w:widowControl/>
              <w:suppressAutoHyphens/>
              <w:spacing w:before="60" w:after="60" w:line="240" w:lineRule="auto"/>
              <w:jc w:val="center"/>
              <w:rPr>
                <w:rFonts w:ascii="Times New Roman" w:hAnsi="Times New Roman"/>
                <w:noProof/>
              </w:rPr>
            </w:pPr>
            <w:r>
              <w:rPr>
                <w:rFonts w:ascii="Times New Roman" w:hAnsi="Times New Roman"/>
                <w:noProof/>
              </w:rPr>
              <w:t>Descrierea rezervelor</w:t>
            </w:r>
          </w:p>
        </w:tc>
      </w:tr>
      <w:tr>
        <w:tc>
          <w:tcPr>
            <w:tcW w:w="5000" w:type="pct"/>
            <w:gridSpan w:val="4"/>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SECȚIUNE ORIZONTALĂ</w:t>
            </w:r>
          </w:p>
        </w:tc>
      </w:tr>
      <w:tr>
        <w:tc>
          <w:tcPr>
            <w:tcW w:w="1751" w:type="pct"/>
            <w:vMerge w:val="restar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Impozit pe venit</w:t>
            </w:r>
          </w:p>
          <w:p>
            <w:pPr>
              <w:widowControl/>
              <w:suppressAutoHyphens/>
              <w:spacing w:before="60" w:after="60" w:line="240" w:lineRule="auto"/>
              <w:rPr>
                <w:rFonts w:ascii="Times New Roman" w:hAnsi="Times New Roman"/>
                <w:noProof/>
              </w:rPr>
            </w:pPr>
            <w:r>
              <w:rPr>
                <w:rFonts w:ascii="Times New Roman" w:hAnsi="Times New Roman"/>
                <w:noProof/>
              </w:rPr>
              <w:t>Contribuabilii nerezidenți fac obiectul măsurii privind impozitul pe venit.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Contribuabilii nerezidenți vor face obiectul unui impozit reținut la sursă de 20 % dacă obțin următoarele venituri dintr-o sursă indoneziană, printre altele: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dobânzi;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redevențe;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dividende;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onorarii din servicii furnizate în Indonezia.</w:t>
            </w:r>
          </w:p>
        </w:tc>
      </w:tr>
      <w:tr>
        <w:trPr>
          <w:trHeight w:val="2535"/>
        </w:trPr>
        <w:tc>
          <w:tcPr>
            <w:tcW w:w="1751" w:type="pct"/>
            <w:vMerge/>
            <w:tcBorders>
              <w:top w:val="nil"/>
            </w:tcBorders>
          </w:tcPr>
          <w:p>
            <w:pPr>
              <w:widowControl/>
              <w:suppressAutoHyphens/>
              <w:spacing w:before="60" w:after="60" w:line="240" w:lineRule="auto"/>
              <w:rPr>
                <w:rFonts w:ascii="Times New Roman" w:hAnsi="Times New Roman"/>
                <w:noProof/>
              </w:rPr>
            </w:pPr>
          </w:p>
        </w:tc>
        <w:tc>
          <w:tcPr>
            <w:tcW w:w="3249" w:type="pct"/>
            <w:gridSpan w:val="3"/>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Clauza națiunii celei mai favorizate</w:t>
            </w:r>
          </w:p>
          <w:p>
            <w:pPr>
              <w:widowControl/>
              <w:suppressAutoHyphens/>
              <w:spacing w:before="60" w:after="60" w:line="240" w:lineRule="auto"/>
              <w:rPr>
                <w:rFonts w:ascii="Times New Roman" w:hAnsi="Times New Roman"/>
                <w:noProof/>
              </w:rPr>
            </w:pPr>
            <w:r>
              <w:rPr>
                <w:rFonts w:ascii="Times New Roman" w:hAnsi="Times New Roman"/>
                <w:noProof/>
              </w:rPr>
              <w:t>Indonezia își rezervă dreptul de a adopta sau de a menține orice măsură care acordă un tratament mai favorabil oricăror servicii sau furnizori de servicii în temeiul oricărui acord internațional bilateral sau multilateral în vigoare sau semnat înainte de data intrării în vigoare a prezentului acord.</w:t>
            </w:r>
          </w:p>
          <w:p>
            <w:pPr>
              <w:suppressAutoHyphens/>
              <w:spacing w:before="60" w:after="60" w:line="240" w:lineRule="auto"/>
              <w:rPr>
                <w:rFonts w:ascii="Times New Roman" w:hAnsi="Times New Roman"/>
                <w:noProof/>
              </w:rPr>
            </w:pPr>
            <w:r>
              <w:rPr>
                <w:rFonts w:ascii="Times New Roman" w:hAnsi="Times New Roman"/>
                <w:noProof/>
              </w:rPr>
              <w:t>Indonezia își rezervă dreptul de a adopta sau de a menține orice măsură care acordă un tratament mai favorabil oricăror servicii sau furnizori de servicii în temeiul oricărui acord internațional semnat după data intrării în vigoare a prezentului acord, cu excepția tratamentelor pentru sectoarele/subsectoarele marcate cu „CNF” în secțiunea sectorială.</w:t>
            </w:r>
          </w:p>
        </w:tc>
      </w:tr>
      <w:tr>
        <w:trPr>
          <w:trHeight w:val="2370"/>
        </w:trPr>
        <w:tc>
          <w:tcPr>
            <w:tcW w:w="1751" w:type="pct"/>
          </w:tcPr>
          <w:p>
            <w:pPr>
              <w:pageBreakBefore/>
              <w:suppressAutoHyphens/>
              <w:spacing w:before="60" w:after="60" w:line="240" w:lineRule="auto"/>
              <w:rPr>
                <w:noProof/>
              </w:rPr>
            </w:pP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În ceea ce privește sectoarele/subsectoarele nemarcate drept „CNF”, dacă, după data intrării în vigoare a prezentului acord, Indonezia încheie ulterior orice acord cu o parte terță în care acordă serviciilor sau furnizorilor de servicii ai respectivei părți terțe un tratament mai favorabil decât cel pe care îl acordă serviciilor similare sau furnizorilor de servicii similari din Uniune, Uniunea poate solicita consultări pentru a discuta posibilitatea de a extinde un astfel de tratament. La cererea Uniunii, Indonezia va lua în considerare posibilitatea de a negocia încorporarea unui tratament nu mai puțin favorabil decât cel prevăzut în temeiul acordului în cauză. O astfel de încorporare ține seama de echilibrul general al beneficiilor.</w:t>
            </w:r>
          </w:p>
          <w:p>
            <w:pPr>
              <w:widowControl/>
              <w:suppressAutoHyphens/>
              <w:spacing w:before="60" w:after="60" w:line="240" w:lineRule="auto"/>
              <w:rPr>
                <w:rFonts w:ascii="Times New Roman" w:hAnsi="Times New Roman"/>
                <w:noProof/>
              </w:rPr>
            </w:pPr>
            <w:r>
              <w:rPr>
                <w:rFonts w:ascii="Times New Roman" w:hAnsi="Times New Roman"/>
                <w:noProof/>
              </w:rPr>
              <w:t>Indonezia își rezervă dreptul de a adopta sau de a menține orice măsură referitoare la un tratament mai favorabil acordat furnizorilor de servicii ai unei părți terțe și serviciilor acestora care rezultă din: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orice acord sau aranjament preferențial existent sau viitor între statele membre ale ASEAN;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ceea ce privește avantajele acordate țărilor limitrofe în măsura prevăzută la articolul II alineatul (3) din GATS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orice acord internațional în vigoare sau semnat după data intrării în vigoare a prezentului acord, care implică:</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(i)</w:t>
            </w:r>
            <w:r>
              <w:rPr>
                <w:noProof/>
              </w:rPr>
              <w:tab/>
            </w:r>
            <w:r>
              <w:rPr>
                <w:rFonts w:ascii="Times New Roman" w:hAnsi="Times New Roman"/>
                <w:noProof/>
              </w:rPr>
              <w:t>aviație</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(ii)</w:t>
            </w:r>
            <w:r>
              <w:rPr>
                <w:noProof/>
              </w:rPr>
              <w:tab/>
            </w:r>
            <w:r>
              <w:rPr>
                <w:rFonts w:ascii="Times New Roman" w:hAnsi="Times New Roman"/>
                <w:noProof/>
              </w:rPr>
              <w:t>pescuit sau</w:t>
            </w:r>
          </w:p>
          <w:p>
            <w:pPr>
              <w:suppressAutoHyphens/>
              <w:spacing w:before="60" w:after="60" w:line="240" w:lineRule="auto"/>
              <w:ind w:left="1160" w:hanging="567"/>
              <w:rPr>
                <w:noProof/>
              </w:rPr>
            </w:pPr>
            <w:r>
              <w:rPr>
                <w:rFonts w:ascii="Times New Roman" w:hAnsi="Times New Roman"/>
                <w:noProof/>
              </w:rPr>
              <w:t>(iii)</w:t>
            </w:r>
            <w:r>
              <w:rPr>
                <w:noProof/>
              </w:rPr>
              <w:tab/>
            </w:r>
            <w:r>
              <w:rPr>
                <w:rFonts w:ascii="Times New Roman" w:hAnsi="Times New Roman"/>
                <w:noProof/>
              </w:rPr>
              <w:t>aspecte maritime, inclusiv operațiuni de recuperare.</w:t>
            </w:r>
          </w:p>
        </w:tc>
      </w:tr>
      <w:tr>
        <w:tc>
          <w:tcPr>
            <w:tcW w:w="5000" w:type="pct"/>
            <w:gridSpan w:val="4"/>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II.</w:t>
            </w:r>
            <w:r>
              <w:rPr>
                <w:noProof/>
              </w:rPr>
              <w:tab/>
            </w:r>
            <w:r>
              <w:rPr>
                <w:rFonts w:ascii="Times New Roman" w:hAnsi="Times New Roman"/>
                <w:noProof/>
              </w:rPr>
              <w:t>SECȚIUNE SECTORIALĂ</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1. SERVICII PENTRU ÎNTREPRINDERI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Servicii profesionale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bookmarkStart w:id="39" w:name="_Hlk229130013"/>
            <w:r>
              <w:rPr>
                <w:rFonts w:ascii="Times New Roman" w:hAnsi="Times New Roman"/>
                <w:noProof/>
              </w:rPr>
              <w:t>Servicii juridice (CPC 861)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Numai în ceea ce privește serviciile de consultanță – drept străin (dreptul țării de origine sau dreptul internațional privind afacerile și arbitrajul).</w:t>
            </w:r>
          </w:p>
          <w:bookmarkEnd w:id="39"/>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Serviciile de consultanță nu includ:</w:t>
            </w:r>
          </w:p>
          <w:p>
            <w:pPr>
              <w:widowControl/>
              <w:suppressAutoHyphens/>
              <w:spacing w:before="60" w:after="60" w:line="240" w:lineRule="auto"/>
              <w:ind w:left="1156" w:hanging="567"/>
              <w:rPr>
                <w:rFonts w:ascii="Times New Roman" w:hAnsi="Times New Roman"/>
                <w:noProof/>
              </w:rPr>
            </w:pPr>
            <w:r>
              <w:rPr>
                <w:rFonts w:ascii="Times New Roman" w:hAnsi="Times New Roman"/>
                <w:noProof/>
              </w:rPr>
              <w:t>–</w:t>
            </w:r>
            <w:r>
              <w:rPr>
                <w:noProof/>
              </w:rPr>
              <w:tab/>
            </w:r>
            <w:r>
              <w:rPr>
                <w:rFonts w:ascii="Times New Roman" w:hAnsi="Times New Roman"/>
                <w:noProof/>
              </w:rPr>
              <w:t>reprezentarea juridică în fața unei instanțe indoneziene sau inițierea de proceduri judiciare în orice circumstanțe.</w:t>
            </w:r>
          </w:p>
          <w:p>
            <w:pPr>
              <w:widowControl/>
              <w:suppressAutoHyphens/>
              <w:spacing w:before="60" w:after="60" w:line="240" w:lineRule="auto"/>
              <w:ind w:left="1156"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activități notariale.</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contabilitate, de audit și de evidență contabilă</w:t>
            </w:r>
          </w:p>
          <w:p>
            <w:pPr>
              <w:widowControl/>
              <w:suppressAutoHyphens/>
              <w:spacing w:before="60" w:after="60" w:line="240" w:lineRule="auto"/>
              <w:rPr>
                <w:rFonts w:ascii="Times New Roman" w:hAnsi="Times New Roman"/>
                <w:noProof/>
              </w:rPr>
            </w:pPr>
            <w:r>
              <w:rPr>
                <w:rFonts w:ascii="Times New Roman" w:hAnsi="Times New Roman"/>
                <w:noProof/>
              </w:rPr>
              <w:t>(CPC 86220 – Servicii de evidență contabilă, cu excepția declarațiilor fiscale)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arhitectură (CPC 8671)</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inginerie (CPC 8672 – cu excepția CPC 86721, 86725, 86726)</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consiliere și de consultanță în domeniul ingineriei (CPC 86721)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 și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proiectare tehnologică pentru producție și procese industriale (CPC 86725)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 și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integrate de inginerie (CPC 8673)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urbanism (CPC 86741)</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highlight w:val="green"/>
              </w:rPr>
            </w:pPr>
            <w:r>
              <w:rPr>
                <w:rFonts w:ascii="Times New Roman" w:hAnsi="Times New Roman"/>
                <w:noProof/>
              </w:rPr>
              <w:t>Servicii de arhitectură peisagistică (CPC 86742)</w:t>
            </w:r>
          </w:p>
        </w:tc>
        <w:tc>
          <w:tcPr>
            <w:tcW w:w="413" w:type="pct"/>
            <w:gridSpan w:val="2"/>
          </w:tcPr>
          <w:p>
            <w:pPr>
              <w:widowControl/>
              <w:suppressAutoHyphens/>
              <w:spacing w:before="60" w:after="60" w:line="240" w:lineRule="auto"/>
              <w:rPr>
                <w:rFonts w:ascii="Times New Roman" w:hAnsi="Times New Roman"/>
                <w:noProof/>
                <w:highlight w:val="green"/>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highlight w:val="green"/>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Clinică de servicii medicale specializate pentru o instituție de sănătate înregistrată (KBLI 86105)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Clinică de servicii stomatologice specializate (KBLI 86105)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Servicii informatice și conexe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privind instalarea componentelor fizice ale calculatoarelor (hardware) (CPC 841)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implementare a programelor de calculator (software) (CPC 842)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pregătire a datelor de intrare (CPC 84310)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analiză a sistemelor (CPC 84320)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partajare a timpului (CPC 84330)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Alte servicii de prelucrare a datelor</w:t>
            </w:r>
          </w:p>
          <w:p>
            <w:pPr>
              <w:widowControl/>
              <w:suppressAutoHyphens/>
              <w:spacing w:before="60" w:after="60" w:line="240" w:lineRule="auto"/>
              <w:rPr>
                <w:rFonts w:ascii="Times New Roman" w:hAnsi="Times New Roman"/>
                <w:noProof/>
              </w:rPr>
            </w:pPr>
            <w:r>
              <w:rPr>
                <w:rFonts w:ascii="Times New Roman" w:hAnsi="Times New Roman"/>
                <w:noProof/>
              </w:rPr>
              <w:t>(CPC 84390)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baze de date (CPC 84400</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Serviciile de întreținere și reparare a mașinilor și echipamentelor de birou, inclusiv a calculatoarelor (CPC 845)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Alte servicii informatice (CPC 849)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Servicii de cercetare și dezvoltare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C&amp;D în domeniul științelor naturale (CPC 851), numai în domeniul științelor fizice, al științelor medicale și al farmaciei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C&amp;D în domeniul științelor sociale și umaniste, cu excepția serviciilor furnizate de psihologi (CPC 852)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 cu excepția cerinței de a obține avizul etic și o autorizație de cercetare</w:t>
            </w:r>
          </w:p>
        </w:tc>
      </w:tr>
      <w:tr>
        <w:tc>
          <w:tcPr>
            <w:tcW w:w="1751" w:type="pct"/>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C&amp;D interdisciplinară (CPC 853, limitată la activități industriale)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cercetare și dezvoltare experimentală în domeniul lingvistic și al limbilor (CPC 85204), limitate doar la limbile străine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 cu excepția cerinței de a obține avizul etic și o autorizație de cercetare</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Servicii imobiliare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Activități imobiliare cu proprietăți proprii sau închiriate numai pentru clădiri înalte (utilizare rezidențială și mixtă) (KBLI 68111)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highlight w:val="green"/>
              </w:rPr>
            </w:pPr>
            <w:r>
              <w:rPr>
                <w:rFonts w:ascii="Times New Roman" w:hAnsi="Times New Roman"/>
                <w:noProof/>
              </w:rPr>
              <w:t>Activități imobiliare pe bază de tarif sau contract (KBLI 68200)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F. Alte servicii pentru întreprinderi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în management (CPC 865)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 general (CPC 86501)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 de marketing (CPC 86503)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managementul resurselor umane (CPC 86504)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gestionare a proiectelor, altele decât pentru lucrările de construcție (CPC 86601)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prospectare geologică și geofizică (CPC 86751)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testări și analize tehnice (CPC 8676)</w:t>
            </w:r>
          </w:p>
          <w:p>
            <w:pPr>
              <w:widowControl/>
              <w:suppressAutoHyphens/>
              <w:spacing w:before="60" w:after="60" w:line="240" w:lineRule="auto"/>
              <w:rPr>
                <w:rFonts w:ascii="Times New Roman" w:hAnsi="Times New Roman"/>
                <w:noProof/>
              </w:rPr>
            </w:pPr>
            <w:r>
              <w:rPr>
                <w:rFonts w:ascii="Times New Roman" w:hAnsi="Times New Roman"/>
                <w:noProof/>
              </w:rPr>
              <w:t>Limitat doar la serviciile de inspecție tehnică (CPC 86764)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organizare de conferințe și seminare (MICE) CPC 87909</w:t>
            </w:r>
            <w:r>
              <w:rPr>
                <w:rFonts w:ascii="Times New Roman" w:hAnsi="Times New Roman"/>
                <w:b/>
                <w:noProof/>
                <w:vertAlign w:val="superscript"/>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fotografie (KBLI 74201, cu excepția aerofotografiei și a fotografiei în scopuri individuale)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conexe industriei prelucrătoare (CPC 884, cu excepția CPC 88411, 88412, 88421, 88422, 88423, 88430, 88442, 88460, 88491, 88492).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conexe fabricării produselor din metal, a mașinilor și a echipamentelor (CPC 885)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conexe mineritului (CPC 883)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Servicii de foraj pentru proiecte petroliere și gaziere offshore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Servicii de foraj pentru proiecte geotermale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consiliere și consultanță conexe agriculturii, vânătorii și silviculturii (parte din CPC 881)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consiliere și consultanță conexe pescuitului (parte din CPC 882)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Selectarea și plasarea personalului, limitată la plasarea pe teritoriul Indoneziei (KBLI 78101), cu excepția echipajului de navă</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Plasarea online a personalului (portalul locurilor de muncă) (KBLI 78104)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întreținere și reparare a echipamentelor (neincluzând navele maritime, aeronavele sau alte echipamente de transport) (CPC 8861 + 8866)</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ambalare (CPC 876)</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Servicii de cercetare de piață (CPC 86401)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în domeniul petrolului și gazelor: instalarea de conducte offshore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exploatare și întreținere a instalațiilor geotermale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în domeniul petrolului și gazelor: platforme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2. SERVICII DE COMUNICAȚII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Servicii poștale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poștale (CPC 7511)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Servicii de curierat</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curierat (CPC 7512)</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telecomunicații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la distanță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internaționale: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rețele publice de date cu comutare de circuite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internațional</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rețele publice de date cu comutare de circuite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la distanță</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rețele publice de date cu comutare de pachete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 releu de cadre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distanță locală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internațional</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circuite private închiriate (CPC 7522</w:t>
            </w:r>
            <w:r>
              <w:rPr>
                <w:rFonts w:ascii="Times New Roman" w:hAnsi="Times New Roman"/>
                <w:b/>
                <w:noProof/>
                <w:vertAlign w:val="superscript"/>
              </w:rPr>
              <w:t>** </w:t>
            </w:r>
            <w:r>
              <w:rPr>
                <w:rFonts w:ascii="Times New Roman" w:hAnsi="Times New Roman"/>
                <w:noProof/>
              </w:rPr>
              <w:t>+ 7523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telex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telegrafie (CPC 7522)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fax (CPC 7521</w:t>
            </w:r>
            <w:r>
              <w:rPr>
                <w:rFonts w:ascii="Times New Roman" w:hAnsi="Times New Roman"/>
                <w:b/>
                <w:noProof/>
                <w:vertAlign w:val="superscript"/>
              </w:rPr>
              <w:t>** </w:t>
            </w:r>
            <w:r>
              <w:rPr>
                <w:rFonts w:ascii="Times New Roman" w:hAnsi="Times New Roman"/>
                <w:noProof/>
              </w:rPr>
              <w:t>+ 7529</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Schimb electronic de date (EDI)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fax îmbunătățite/cu valoare adăugată, inclusiv stocarea și transmiterea, stocarea și recuperarea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Informații online și recuperare de baze de date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Informații online și/sau prelucrarea datelor (inclusiv prelucrarea tranzacțiilor) (CPC 843)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rețea dedicate (CPC 7523</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naționale: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telefonie mobilă celulară (CPC 75213)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acces la internet și servicii regionale și naționale de radiomesagerie (paging) (CPC 75291)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cu plată și servicii de mesagerie vocală (CPC 7523)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mesagerie vocală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Servicii de poștă electronică (CPC 75232)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partajare a timpului de utilizare a calculatorului (CPC 84330)</w:t>
            </w:r>
          </w:p>
          <w:p>
            <w:pPr>
              <w:widowControl/>
              <w:suppressAutoHyphens/>
              <w:spacing w:before="60" w:after="60" w:line="240" w:lineRule="auto"/>
              <w:rPr>
                <w:rFonts w:ascii="Times New Roman" w:hAnsi="Times New Roman"/>
                <w:noProof/>
              </w:rPr>
            </w:pPr>
            <w:r>
              <w:rPr>
                <w:rFonts w:ascii="Times New Roman" w:hAnsi="Times New Roman"/>
                <w:noProof/>
              </w:rPr>
              <w:t>Servicii videotext (CPC 75299)</w:t>
            </w:r>
          </w:p>
          <w:p>
            <w:pPr>
              <w:widowControl/>
              <w:suppressAutoHyphens/>
              <w:spacing w:before="60" w:after="60" w:line="240" w:lineRule="auto"/>
              <w:rPr>
                <w:rFonts w:ascii="Times New Roman" w:hAnsi="Times New Roman"/>
                <w:noProof/>
              </w:rPr>
            </w:pPr>
            <w:r>
              <w:rPr>
                <w:rFonts w:ascii="Times New Roman" w:hAnsi="Times New Roman"/>
                <w:noProof/>
              </w:rPr>
              <w:t>Poștă electronică (CPC 75232)</w:t>
            </w:r>
          </w:p>
          <w:p>
            <w:pPr>
              <w:widowControl/>
              <w:suppressAutoHyphens/>
              <w:spacing w:before="60" w:after="60" w:line="240" w:lineRule="auto"/>
              <w:rPr>
                <w:rFonts w:ascii="Times New Roman" w:hAnsi="Times New Roman"/>
                <w:noProof/>
              </w:rPr>
            </w:pPr>
            <w:r>
              <w:rPr>
                <w:rFonts w:ascii="Times New Roman" w:hAnsi="Times New Roman"/>
                <w:noProof/>
              </w:rPr>
              <w:t>Servicii de transfer de fișiere (CPC 75299)</w:t>
            </w:r>
          </w:p>
          <w:p>
            <w:pPr>
              <w:widowControl/>
              <w:suppressAutoHyphens/>
              <w:spacing w:before="60" w:after="60" w:line="240" w:lineRule="auto"/>
              <w:rPr>
                <w:rFonts w:ascii="Times New Roman" w:hAnsi="Times New Roman"/>
                <w:noProof/>
              </w:rPr>
            </w:pPr>
            <w:r>
              <w:rPr>
                <w:rFonts w:ascii="Times New Roman" w:hAnsi="Times New Roman"/>
                <w:noProof/>
              </w:rPr>
              <w:t>Servicii de alarmă telemetrică la domiciliu (CPC-75299)</w:t>
            </w:r>
          </w:p>
          <w:p>
            <w:pPr>
              <w:widowControl/>
              <w:suppressAutoHyphens/>
              <w:spacing w:before="60" w:after="60" w:line="240" w:lineRule="auto"/>
              <w:rPr>
                <w:rFonts w:ascii="Times New Roman" w:hAnsi="Times New Roman"/>
                <w:noProof/>
              </w:rPr>
            </w:pPr>
            <w:r>
              <w:rPr>
                <w:rFonts w:ascii="Times New Roman" w:hAnsi="Times New Roman"/>
                <w:noProof/>
              </w:rPr>
              <w:t>Servicii de divertisment (CPC-75299)</w:t>
            </w:r>
          </w:p>
          <w:p>
            <w:pPr>
              <w:widowControl/>
              <w:suppressAutoHyphens/>
              <w:spacing w:before="60" w:after="60" w:line="240" w:lineRule="auto"/>
              <w:rPr>
                <w:rFonts w:ascii="Times New Roman" w:hAnsi="Times New Roman"/>
                <w:noProof/>
              </w:rPr>
            </w:pPr>
            <w:r>
              <w:rPr>
                <w:rFonts w:ascii="Times New Roman" w:hAnsi="Times New Roman"/>
                <w:noProof/>
              </w:rPr>
              <w:t>Servicii de gestionare a informațiilor (CPC 75299)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3. SERVICII DE CONSTRUCȚII ȘI SERVICII DE INGINERIE CONEXE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Lucrări de preconstrucție pe șantiere (CPC 511), cu excepția serviciilor de investigare a terenurilor de construcție (CPC 51110) și a lucrărilor de organizare și de degajare a șantierului (CPC 51113)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r>
              <w:rPr>
                <w:rFonts w:ascii="Times New Roman" w:hAnsi="Times New Roman"/>
                <w:b/>
                <w:noProof/>
                <w:vertAlign w:val="superscript"/>
              </w:rPr>
              <w: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construcții pentru clădiri (CPC 512), cu excepția clădirilor cu una și două locuințe (CPC 51210)</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Lucrări de construcții de inginerie civilă (CPC 513)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 xml:space="preserve">Tratament național: neconsolidat </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Asamblarea și montarea de construcții prefabricate (CPC 514 – 5140)</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construcții ale unor întreprinderi specializate (CPC 515)</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Lucrări de instalații (CPC 516)</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Lucrări de finalizare și finisare a clădirilor (CPC 517)</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închiriere a echipamentelor pentru construcții sau pentru demolarea clădirilor sau construcții de geniu civil, cu operator (CPC 518)</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4. SERVICII DE DISTRIBUȚIE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comerț angro cu diverse bunuri de consum, limitate la piața modernă, cu un spațiu minim de peste 5 000 m² (KBLI 46900)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Distribuție indirectă</w:t>
            </w:r>
          </w:p>
          <w:p>
            <w:pPr>
              <w:widowControl/>
              <w:suppressAutoHyphens/>
              <w:spacing w:before="60" w:after="60" w:line="240" w:lineRule="auto"/>
              <w:rPr>
                <w:rFonts w:ascii="Times New Roman" w:hAnsi="Times New Roman"/>
                <w:noProof/>
              </w:rPr>
            </w:pPr>
            <w:r>
              <w:rPr>
                <w:rFonts w:ascii="Times New Roman" w:hAnsi="Times New Roman"/>
                <w:noProof/>
              </w:rPr>
              <w:t>(a)</w:t>
            </w:r>
            <w:r>
              <w:rPr>
                <w:noProof/>
              </w:rPr>
              <w:tab/>
            </w:r>
            <w:r>
              <w:rPr>
                <w:rFonts w:ascii="Times New Roman" w:hAnsi="Times New Roman"/>
                <w:noProof/>
              </w:rPr>
              <w:t>Agenți (KBLI 46100)</w:t>
            </w:r>
          </w:p>
          <w:p>
            <w:pPr>
              <w:widowControl/>
              <w:suppressAutoHyphens/>
              <w:spacing w:before="60" w:after="60" w:line="240" w:lineRule="auto"/>
              <w:rPr>
                <w:rFonts w:ascii="Times New Roman" w:hAnsi="Times New Roman"/>
                <w:noProof/>
              </w:rPr>
            </w:pPr>
            <w:r>
              <w:rPr>
                <w:rFonts w:ascii="Times New Roman" w:hAnsi="Times New Roman"/>
                <w:noProof/>
              </w:rPr>
              <w:t>(b)</w:t>
            </w:r>
            <w:r>
              <w:rPr>
                <w:noProof/>
              </w:rPr>
              <w:tab/>
            </w:r>
            <w:r>
              <w:rPr>
                <w:rFonts w:ascii="Times New Roman" w:hAnsi="Times New Roman"/>
                <w:noProof/>
              </w:rPr>
              <w:t>Distribuitori (KBLI 46900)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Vânzarea directă (comercializare pe mai multe niveluri și comercializare pe un singur nivel) (KBLI 47999)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Comerțul cu amănuntul</w:t>
            </w:r>
          </w:p>
          <w:p>
            <w:pPr>
              <w:widowControl/>
              <w:suppressAutoHyphens/>
              <w:spacing w:before="60" w:after="60" w:line="240" w:lineRule="auto"/>
              <w:rPr>
                <w:rFonts w:ascii="Times New Roman" w:hAnsi="Times New Roman"/>
                <w:noProof/>
              </w:rPr>
            </w:pPr>
            <w:r>
              <w:rPr>
                <w:rFonts w:ascii="Times New Roman" w:hAnsi="Times New Roman"/>
                <w:noProof/>
              </w:rPr>
              <w:t>Hypermarketuri (cu spațiu minim de peste 5 000 m²)</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 xml:space="preserve">niciuna </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Comerțul cu amănuntul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Supermarketuri, cu spațiu minim de peste 1 200 m²</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Magazine universale, cu spațiu minim de peste 2 000 m²</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 xml:space="preserve">niciuna </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Franciză (CPC 89290)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SERVICII DE ÎNVĂȚĂMÂNT</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Servicii de învățământ secundar</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învățământ secundar tehnic și profesional (în domeniul electronicii, auto, al modei, culinar, al forajului petrolier și gazier și al tehnologiei de sprijin IT, al limbajelor de programare, al inteligenței artificiale, al roboticii avansate, al criptomonedelor, al realității virtuale, al utilajelor și construcțiilor, al economiei creative, al ospitalității și al serviciilor de îngrijire) (CPC 92230)</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 Servicii de învățământ superior</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Alte servicii de învățământ superior (CPC 9239):</w:t>
            </w:r>
          </w:p>
          <w:p>
            <w:pPr>
              <w:widowControl/>
              <w:suppressAutoHyphens/>
              <w:spacing w:before="60" w:after="60" w:line="240" w:lineRule="auto"/>
              <w:rPr>
                <w:rFonts w:ascii="Times New Roman" w:hAnsi="Times New Roman"/>
                <w:noProof/>
              </w:rPr>
            </w:pPr>
            <w:r>
              <w:rPr>
                <w:rFonts w:ascii="Times New Roman" w:hAnsi="Times New Roman"/>
                <w:noProof/>
              </w:rPr>
              <w:t>prioritate pentru programele în domeniul științei, al tehnologiei, al ingineriei, al matematicii și al afacerilor moderne</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Servicii de învățământ pentru adulți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Cursuri și formare profesională în domeniul lingvistic, al turismului, al electronicii, al artei culinare și al autovehiculelor, al limbajelor de programare, al inteligenței artificiale, al roboticii avansate, al criptomonedelor, al realității virtuale, al utilajelor și construcțiilor, al economiei creative, al ospitalității și al serviciilor de îngrijire (CPC 924)</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Alte servicii de învățământ</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Educație sportivă și recreativă (KBLI 8541)</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6. SERVICII DE MEDIU</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Servicii de canalizare (CPC 9401) Gestionarea apelor uzate/Pengelolaan dan pembuangan air limbah berbahaya (KBLI 37022)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Servicii de eliminare a deșeurilor (CPC 9402)/Pengelolaan dan pembuangan sampah berbahaya (KBLI 38220)</w:t>
            </w:r>
          </w:p>
          <w:p>
            <w:pPr>
              <w:widowControl/>
              <w:suppressAutoHyphens/>
              <w:spacing w:before="60" w:after="60" w:line="240" w:lineRule="auto"/>
              <w:rPr>
                <w:rFonts w:ascii="Times New Roman" w:hAnsi="Times New Roman"/>
                <w:noProof/>
              </w:rPr>
            </w:pPr>
            <w:r>
              <w:rPr>
                <w:rFonts w:ascii="Times New Roman" w:hAnsi="Times New Roman"/>
                <w:noProof/>
              </w:rPr>
              <w:t>Servicii de eliminare a deșeurilor solide, numai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integrate de instalații de tratare a deșeurilor periculoase pentru tratarea nămolurilor de petrol și a deșeurilor de mercur într-o anumită zonă. Furnizorul de servicii trebuie să fie dotat cu tehnologie modernă și sofisticată și să garanteze siguranța mediului. Produsul va fi utilizat ca material nou sau ca sursă de energie nouă.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 xml:space="preserve">Servicii de instalații de tratare </w:t>
            </w:r>
            <w:r>
              <w:rPr>
                <w:rFonts w:ascii="Times New Roman" w:hAnsi="Times New Roman"/>
                <w:i/>
                <w:iCs/>
                <w:noProof/>
              </w:rPr>
              <w:t>in situ</w:t>
            </w:r>
            <w:r>
              <w:rPr>
                <w:rFonts w:ascii="Times New Roman" w:hAnsi="Times New Roman"/>
                <w:noProof/>
              </w:rPr>
              <w:t xml:space="preserve"> a deșeurilor periculoase pentru tratarea deșeurilor de produse miniere și a deșeurilor de cenușă zburătoare și cenușă de vatră de produse din cărbune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eliminare a deșeurilor (CPC 94020), limitate la gunoi, reziduuri, deșeuri și resturi nepericuloase/Pengelolaan dan pembuangan sampah tidak berbahaya (KBLI 38211)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salubrizare și servicii similare (CPC 9403), limitate numai la instalațiile de salubritate publică</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salubrizare și servicii similare (CPC 9403), limitate numai la substanțe periculoase și toxice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C. Servicii de purificare a gazelor de evacuare (CPC 9404)</w:t>
            </w:r>
          </w:p>
          <w:p>
            <w:pPr>
              <w:widowControl/>
              <w:suppressAutoHyphens/>
              <w:spacing w:before="60" w:after="60" w:line="240" w:lineRule="auto"/>
              <w:rPr>
                <w:rFonts w:ascii="Times New Roman" w:hAnsi="Times New Roman"/>
                <w:noProof/>
              </w:rPr>
            </w:pPr>
            <w:r>
              <w:rPr>
                <w:rFonts w:ascii="Times New Roman" w:hAnsi="Times New Roman"/>
                <w:noProof/>
              </w:rPr>
              <w:t>Controlul poluării aerului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Altele</w:t>
            </w:r>
          </w:p>
          <w:p>
            <w:pPr>
              <w:widowControl/>
              <w:suppressAutoHyphens/>
              <w:spacing w:before="60" w:after="60" w:line="240" w:lineRule="auto"/>
              <w:rPr>
                <w:rFonts w:ascii="Times New Roman" w:hAnsi="Times New Roman"/>
                <w:noProof/>
              </w:rPr>
            </w:pPr>
            <w:r>
              <w:rPr>
                <w:rFonts w:ascii="Times New Roman" w:hAnsi="Times New Roman"/>
                <w:noProof/>
              </w:rPr>
              <w:t>Servicii de protecție a naturii și a peisajelor, limitate la instalațiile de servicii de mediu din zonele de conservare în scopuri recreative (KBLI 02209)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Alte servicii de protecție a mediului (CPC 9409)</w:t>
            </w:r>
          </w:p>
          <w:p>
            <w:pPr>
              <w:widowControl/>
              <w:suppressAutoHyphens/>
              <w:spacing w:before="60" w:after="60" w:line="240" w:lineRule="auto"/>
              <w:rPr>
                <w:rFonts w:ascii="Times New Roman" w:hAnsi="Times New Roman"/>
                <w:noProof/>
              </w:rPr>
            </w:pPr>
            <w:r>
              <w:rPr>
                <w:rFonts w:ascii="Times New Roman" w:hAnsi="Times New Roman"/>
                <w:noProof/>
              </w:rPr>
              <w:t>Limitate la serviciile de laborator pentru mediu</w:t>
            </w:r>
          </w:p>
          <w:p>
            <w:pPr>
              <w:widowControl/>
              <w:suppressAutoHyphens/>
              <w:spacing w:before="60" w:after="60" w:line="240" w:lineRule="auto"/>
              <w:rPr>
                <w:rFonts w:ascii="Times New Roman" w:hAnsi="Times New Roman"/>
                <w:noProof/>
              </w:rPr>
            </w:pPr>
            <w:r>
              <w:rPr>
                <w:rFonts w:ascii="Times New Roman" w:hAnsi="Times New Roman"/>
                <w:noProof/>
              </w:rPr>
              <w:t>(laborator care are capacitatea și autoritatea de a testa și examina parametrul de calitate a mediului în conformitate cu actele cu putere de lege și normele administrative în vigoare în domeniul mediului)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Gestionarea apei</w:t>
            </w:r>
            <w:r>
              <w:rPr>
                <w:rStyle w:val="FootnoteReference"/>
                <w:rFonts w:ascii="Times New Roman" w:hAnsi="Times New Roman"/>
                <w:b/>
                <w:noProof/>
              </w:rPr>
              <w:footnoteReference w:id="96"/>
            </w:r>
            <w:r>
              <w:rPr>
                <w:rFonts w:ascii="Times New Roman" w:hAnsi="Times New Roman"/>
                <w:noProof/>
              </w:rPr>
              <w:t>, limitată la apa potabilă</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 SERVICII FINANCIARE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Subsectorul serviciilor financiare nebancare</w:t>
            </w:r>
          </w:p>
        </w:tc>
        <w:tc>
          <w:tcPr>
            <w:tcW w:w="3249" w:type="pct"/>
            <w:gridSpan w:val="3"/>
            <w:tcBorders>
              <w:bottom w:val="single" w:sz="4" w:space="0" w:color="auto"/>
            </w:tcBorders>
          </w:tcPr>
          <w:p>
            <w:pPr>
              <w:widowControl/>
              <w:suppressAutoHyphens/>
              <w:spacing w:before="60" w:after="60" w:line="240" w:lineRule="auto"/>
              <w:rPr>
                <w:rFonts w:ascii="Times New Roman" w:hAnsi="Times New Roman"/>
                <w:noProof/>
              </w:rPr>
            </w:pPr>
          </w:p>
        </w:tc>
      </w:tr>
      <w:tr>
        <w:tc>
          <w:tcPr>
            <w:tcW w:w="1751"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asigurare, altele decât cele de viață (CPC 8129)</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 cu excepția asigurărilor internaționale MAT: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asigurările internaționale MAT pot fi furnizate de o societate de asigurare autorizată în Uniunea Europeană, numai în cazul în care nu există nicio societate de asigurare în Indonezia, fie individual, fie în cadrul unui grup, care ar putea gestiona riscurile de asigurare ale obiectului în cauză;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 utilizează asigurări MAT din Indonezia în cazul:</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w:t>
            </w:r>
            <w:r>
              <w:rPr>
                <w:noProof/>
              </w:rPr>
              <w:tab/>
            </w:r>
            <w:r>
              <w:rPr>
                <w:rFonts w:ascii="Times New Roman" w:hAnsi="Times New Roman"/>
                <w:noProof/>
              </w:rPr>
              <w:t>exportului de cărbune sau de ulei de palmier brut (UPB), cu o capacitate de până la 10 000 TDW (tonaj deadweight); sau</w:t>
            </w:r>
          </w:p>
          <w:p>
            <w:pPr>
              <w:widowControl/>
              <w:suppressAutoHyphens/>
              <w:spacing w:before="60" w:after="60" w:line="240" w:lineRule="auto"/>
              <w:ind w:left="1160" w:hanging="567"/>
              <w:rPr>
                <w:rFonts w:ascii="Times New Roman" w:hAnsi="Times New Roman"/>
                <w:noProof/>
              </w:rPr>
            </w:pPr>
            <w:r>
              <w:rPr>
                <w:rFonts w:ascii="Times New Roman" w:hAnsi="Times New Roman"/>
                <w:noProof/>
              </w:rPr>
              <w:t>–</w:t>
            </w:r>
            <w:r>
              <w:rPr>
                <w:noProof/>
              </w:rPr>
              <w:tab/>
            </w:r>
            <w:r>
              <w:rPr>
                <w:rFonts w:ascii="Times New Roman" w:hAnsi="Times New Roman"/>
                <w:noProof/>
              </w:rPr>
              <w:t>importului de orez sau de bunuri care fac obiectul achizițiilor publice, cu o capacitate de până la 10 000 TDW (tonaj deadweight).</w:t>
            </w:r>
          </w:p>
        </w:tc>
      </w:tr>
      <w:tr>
        <w:tc>
          <w:tcPr>
            <w:tcW w:w="1751" w:type="pct"/>
            <w:tcBorders>
              <w:top w:val="nil"/>
            </w:tcBorders>
          </w:tcPr>
          <w:p>
            <w:pPr>
              <w:pageBreakBefore/>
              <w:suppressAutoHyphens/>
              <w:spacing w:before="60" w:after="60" w:line="240" w:lineRule="auto"/>
              <w:rPr>
                <w:noProof/>
              </w:rPr>
            </w:pPr>
          </w:p>
        </w:tc>
        <w:tc>
          <w:tcPr>
            <w:tcW w:w="3249" w:type="pct"/>
            <w:gridSpan w:val="3"/>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 cu excepția cazului în care: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în Indonezia, nu există nicio societate de asigurări, nici individuală, nici în cadrul unui grup, care ar putea gestiona riscurile de asigurare ale obiectului în cauză;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Indonezia, nu există nicio societate de asigurări care să dorească să ofere o acoperire prin asigurare a obiectului în cauză;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proprietarii obiectelor asigurărilor în cauză nu sunt cetățeni indonezieni sau entități juridice indoneziene.</w:t>
            </w:r>
          </w:p>
          <w:p>
            <w:pPr>
              <w:suppressAutoHyphens/>
              <w:spacing w:before="60" w:after="60" w:line="240" w:lineRule="auto"/>
              <w:rPr>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reasigurare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furnizorii de servicii de reasigurare din alte țări membre trebuie să aibă un rating minim de BBB acordat de Standard and Poor sau echivalent.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furnizorii de servicii de reasigurare din alte țări membre trebuie să aibă un rating minim de BBB acordat de Standard and Poor sau echivalent.</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asigurare de viață (CPC 81211)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 cu excepția cazului în care:</w:t>
            </w:r>
          </w:p>
          <w:p>
            <w:pPr>
              <w:widowControl/>
              <w:suppressAutoHyphens/>
              <w:spacing w:before="60" w:after="60" w:line="240" w:lineRule="auto"/>
              <w:rPr>
                <w:rFonts w:ascii="Times New Roman" w:hAnsi="Times New Roman"/>
                <w:noProof/>
              </w:rPr>
            </w:pPr>
            <w:r>
              <w:rPr>
                <w:rFonts w:ascii="Times New Roman" w:hAnsi="Times New Roman"/>
                <w:noProof/>
              </w:rPr>
              <w:t>(a)</w:t>
            </w:r>
            <w:r>
              <w:rPr>
                <w:noProof/>
              </w:rPr>
              <w:tab/>
            </w:r>
            <w:r>
              <w:rPr>
                <w:rFonts w:ascii="Times New Roman" w:hAnsi="Times New Roman"/>
                <w:noProof/>
              </w:rPr>
              <w:t>în Indonezia, nu există nicio societate de asigurări, nici individuală, nici în cadrul unui grup, care ar putea gestiona riscurile de asigurare ale obiectului în cauză;</w:t>
            </w:r>
          </w:p>
          <w:p>
            <w:pPr>
              <w:widowControl/>
              <w:suppressAutoHyphens/>
              <w:spacing w:before="60" w:after="60" w:line="240" w:lineRule="auto"/>
              <w:rPr>
                <w:rFonts w:ascii="Times New Roman" w:hAnsi="Times New Roman"/>
                <w:noProof/>
              </w:rPr>
            </w:pPr>
            <w:r>
              <w:rPr>
                <w:rFonts w:ascii="Times New Roman" w:hAnsi="Times New Roman"/>
                <w:noProof/>
              </w:rPr>
              <w:t>(b)</w:t>
            </w:r>
            <w:r>
              <w:rPr>
                <w:noProof/>
              </w:rPr>
              <w:tab/>
            </w:r>
            <w:r>
              <w:rPr>
                <w:rFonts w:ascii="Times New Roman" w:hAnsi="Times New Roman"/>
                <w:noProof/>
              </w:rPr>
              <w:t>în Indonezia, nu există nicio societate de asigurări care să dorească să ofere o acoperire prin asigurare a obiectului în cauză;</w:t>
            </w:r>
          </w:p>
          <w:p>
            <w:pPr>
              <w:widowControl/>
              <w:suppressAutoHyphens/>
              <w:spacing w:before="60" w:after="60" w:line="240" w:lineRule="auto"/>
              <w:rPr>
                <w:rFonts w:ascii="Times New Roman" w:hAnsi="Times New Roman"/>
                <w:noProof/>
              </w:rPr>
            </w:pPr>
            <w:r>
              <w:rPr>
                <w:rFonts w:ascii="Times New Roman" w:hAnsi="Times New Roman"/>
                <w:noProof/>
              </w:rPr>
              <w:t>(c)</w:t>
            </w:r>
            <w:r>
              <w:rPr>
                <w:noProof/>
              </w:rPr>
              <w:tab/>
            </w:r>
            <w:r>
              <w:rPr>
                <w:rFonts w:ascii="Times New Roman" w:hAnsi="Times New Roman"/>
                <w:noProof/>
              </w:rPr>
              <w:t>proprietarii obiectelor asigurărilor în cauză nu sunt cetățeni indonezieni sau entități juridice indoneziene.</w:t>
            </w:r>
          </w:p>
          <w:p>
            <w:pPr>
              <w:widowControl/>
              <w:suppressAutoHyphens/>
              <w:spacing w:before="60" w:after="60" w:line="240" w:lineRule="auto"/>
              <w:rPr>
                <w:rFonts w:ascii="Times New Roman" w:hAnsi="Times New Roman"/>
                <w:noProof/>
              </w:rPr>
            </w:pPr>
            <w:r>
              <w:rPr>
                <w:rFonts w:ascii="Times New Roman" w:hAnsi="Times New Roman"/>
                <w:noProof/>
              </w:rPr>
              <w:t>Tratament național: neconsolidat</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brokeraj de asigurări (CPC 8140)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brokeraj de reasigurări (CPC 8140)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leasing financiar (CPC 81120)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factoring</w:t>
            </w:r>
          </w:p>
          <w:p>
            <w:pPr>
              <w:widowControl/>
              <w:suppressAutoHyphens/>
              <w:spacing w:before="60" w:after="60" w:line="240" w:lineRule="auto"/>
              <w:rPr>
                <w:rFonts w:ascii="Times New Roman" w:hAnsi="Times New Roman"/>
                <w:noProof/>
              </w:rPr>
            </w:pPr>
            <w:r>
              <w:rPr>
                <w:rFonts w:ascii="Times New Roman" w:hAnsi="Times New Roman"/>
                <w:noProof/>
              </w:rPr>
              <w:t>(CPC 8113)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Activități privind cărțile de credit (emitentul și agentul cărților de credit) (CPC-8113)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financiare pentru consumatori (CPC 8113)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Tranzacționare de titluri de valoare în cont propriu sau în contul clienților, pe o piață bursieră sau pe o piață extrabursieră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Acțiuni cotate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Obligațiuni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Participarea la emisiunile de orice tipuri de titluri de valoare, inclusiv subscrierea și plasarea (publică sau privată) în calitate de agent și furnizarea de servicii legate de aceste emisiuni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portofoliului, toate formele de gestionare a plasamentelor colective</w:t>
            </w:r>
            <w:r>
              <w:rPr>
                <w:rStyle w:val="FootnoteReference"/>
                <w:rFonts w:ascii="Times New Roman" w:hAnsi="Times New Roman"/>
                <w:b/>
                <w:noProof/>
              </w:rPr>
              <w:footnoteReference w:id="97"/>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activelor limitată doar la gestionarea fondurilor de investiții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în materie de investiții limitate numai la consultanța în materie de investiții pe piața de capital</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SUBSECTORUL BANCAR</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Activități bancare comerciale</w:t>
            </w:r>
          </w:p>
        </w:tc>
        <w:tc>
          <w:tcPr>
            <w:tcW w:w="3249" w:type="pct"/>
            <w:gridSpan w:val="3"/>
            <w:tcBorders>
              <w:bottom w:val="single" w:sz="4" w:space="0" w:color="auto"/>
            </w:tcBorders>
          </w:tcPr>
          <w:p>
            <w:pPr>
              <w:widowControl/>
              <w:suppressAutoHyphens/>
              <w:spacing w:before="60" w:after="60" w:line="240" w:lineRule="auto"/>
              <w:rPr>
                <w:rFonts w:ascii="Times New Roman" w:hAnsi="Times New Roman"/>
                <w:noProof/>
              </w:rPr>
            </w:pPr>
          </w:p>
        </w:tc>
      </w:tr>
      <w:tr>
        <w:trPr>
          <w:trHeight w:val="5640"/>
        </w:trPr>
        <w:tc>
          <w:tcPr>
            <w:tcW w:w="1751" w:type="pct"/>
            <w:tcBorders>
              <w:bottom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Acceptarea depozitelor și a altor fonduri rambursabile de la populație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Împrumuturi de orice natură, inclusiv credite de consum, credite ipotecare, factoring și finanțarea tranzacțiilor comerciale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Toate serviciile de plăți și transferuri monetare, inclusiv cărțile de credit, cărțile de plată și cărțile de debit, cecurile de călătorie și cecurile bancare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(iv)</w:t>
            </w:r>
            <w:r>
              <w:rPr>
                <w:noProof/>
              </w:rPr>
              <w:tab/>
            </w:r>
            <w:r>
              <w:rPr>
                <w:rFonts w:ascii="Times New Roman" w:hAnsi="Times New Roman"/>
                <w:noProof/>
              </w:rPr>
              <w:t>Garanții și angajamente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(v)</w:t>
            </w:r>
            <w:r>
              <w:rPr>
                <w:noProof/>
              </w:rPr>
              <w:tab/>
            </w:r>
            <w:r>
              <w:rPr>
                <w:rFonts w:ascii="Times New Roman" w:hAnsi="Times New Roman"/>
                <w:noProof/>
              </w:rPr>
              <w:t>Tranzacționarea, în nume propriu sau în numele clienților, pe piața bursieră, pe piața extrabursieră sau pe alte piețe, a următoarelor:</w:t>
            </w:r>
          </w:p>
          <w:p>
            <w:pPr>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instrumente ale pieței monetare (inclusiv cecuri, efecte de comerț, certificate de depozit);</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rPr>
          <w:trHeight w:val="2325"/>
        </w:trPr>
        <w:tc>
          <w:tcPr>
            <w:tcW w:w="1751" w:type="pct"/>
            <w:tcBorders>
              <w:top w:val="nil"/>
            </w:tcBorders>
          </w:tcPr>
          <w:p>
            <w:pPr>
              <w:pageBreakBefore/>
              <w:widowControl/>
              <w:suppressAutoHyphens/>
              <w:spacing w:before="60" w:after="60" w:line="240" w:lineRule="auto"/>
              <w:ind w:left="1723"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valută;</w:t>
            </w:r>
          </w:p>
          <w:p>
            <w:pPr>
              <w:widowControl/>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instrumente care au la bază cursul de schimb și rata dobânzilor, inclusiv produse cum ar fi swap-urile și contractele forward pe rata dobânzii;</w:t>
            </w:r>
          </w:p>
          <w:p>
            <w:pPr>
              <w:widowControl/>
              <w:suppressAutoHyphens/>
              <w:spacing w:before="60" w:after="60" w:line="240" w:lineRule="auto"/>
              <w:ind w:left="1723"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valori mobiliare emise pe piața monetară;</w:t>
            </w:r>
          </w:p>
          <w:p>
            <w:pPr>
              <w:suppressAutoHyphens/>
              <w:spacing w:before="60" w:after="60" w:line="240" w:lineRule="auto"/>
              <w:ind w:left="1134" w:hanging="567"/>
              <w:rPr>
                <w:noProof/>
              </w:rPr>
            </w:pPr>
            <w:r>
              <w:rPr>
                <w:rFonts w:ascii="Times New Roman" w:hAnsi="Times New Roman"/>
                <w:noProof/>
              </w:rPr>
              <w:t>(vi)</w:t>
            </w:r>
            <w:r>
              <w:rPr>
                <w:noProof/>
              </w:rPr>
              <w:tab/>
            </w:r>
            <w:r>
              <w:rPr>
                <w:rFonts w:ascii="Times New Roman" w:hAnsi="Times New Roman"/>
                <w:noProof/>
              </w:rPr>
              <w:t>servicii de gestionare a numerarului, de custodie și de depozitare.</w:t>
            </w:r>
          </w:p>
        </w:tc>
        <w:tc>
          <w:tcPr>
            <w:tcW w:w="3249" w:type="pct"/>
            <w:gridSpan w:val="3"/>
            <w:tcBorders>
              <w:top w:val="nil"/>
            </w:tcBorders>
          </w:tcPr>
          <w:p>
            <w:pPr>
              <w:suppressAutoHyphens/>
              <w:spacing w:before="60" w:after="60" w:line="240" w:lineRule="auto"/>
              <w:rPr>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8. SERVICII DE SĂNĂTATE ȘI SERVICII SOCIALE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spitalicești numai pentru servicii medicale specializate și subspecializate în spitale din clasele A și B</w:t>
            </w:r>
          </w:p>
          <w:p>
            <w:pPr>
              <w:widowControl/>
              <w:suppressAutoHyphens/>
              <w:spacing w:before="60" w:after="60" w:line="240" w:lineRule="auto"/>
              <w:rPr>
                <w:rFonts w:ascii="Times New Roman" w:hAnsi="Times New Roman"/>
                <w:noProof/>
              </w:rPr>
            </w:pPr>
            <w:r>
              <w:rPr>
                <w:rFonts w:ascii="Times New Roman" w:hAnsi="Times New Roman"/>
                <w:noProof/>
              </w:rPr>
              <w:t>(CPC 9311)</w:t>
            </w:r>
          </w:p>
        </w:tc>
        <w:tc>
          <w:tcPr>
            <w:tcW w:w="389"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60" w:type="pct"/>
            <w:gridSpan w:val="2"/>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Alte servicii de îngrijire a sănătății umane (CPC 9319) numai pentru: Servicii de ambulanță (CPC 93192)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asistență socială acordate persoanelor în vârstă și persoanelor cu handicap prin instituții de tip rezidențial (CPC 93311)</w:t>
            </w:r>
          </w:p>
          <w:p>
            <w:pPr>
              <w:widowControl/>
              <w:suppressAutoHyphens/>
              <w:spacing w:before="60" w:after="60" w:line="240" w:lineRule="auto"/>
              <w:rPr>
                <w:rFonts w:ascii="Times New Roman" w:hAnsi="Times New Roman"/>
                <w:noProof/>
              </w:rPr>
            </w:pPr>
            <w:r>
              <w:rPr>
                <w:rFonts w:ascii="Times New Roman" w:hAnsi="Times New Roman"/>
                <w:noProof/>
              </w:rPr>
              <w:t xml:space="preserve">Servicii de asistență socială neacordate prin instituții de tip rezidențial (CPC 93323) </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9. SERVICII TURISTICE ȘI SERVICII LEGATE DE CĂLĂTORII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Hoteluri</w:t>
            </w:r>
            <w:r>
              <w:rPr>
                <w:rStyle w:val="FootnoteReference"/>
                <w:rFonts w:ascii="Times New Roman" w:hAnsi="Times New Roman"/>
                <w:b/>
                <w:noProof/>
              </w:rPr>
              <w:footnoteReference w:id="98"/>
            </w:r>
            <w:r>
              <w:rPr>
                <w:rFonts w:ascii="Times New Roman" w:hAnsi="Times New Roman"/>
                <w:noProof/>
              </w:rPr>
              <w:t xml:space="preserve"> (numai pentru hotelurile de 3, 4 și 5 stele)</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Hoteluri (CPC 64110)</w:t>
            </w:r>
          </w:p>
          <w:p>
            <w:pPr>
              <w:widowControl/>
              <w:suppressAutoHyphens/>
              <w:spacing w:before="60" w:after="60" w:line="240" w:lineRule="auto"/>
              <w:rPr>
                <w:rFonts w:ascii="Times New Roman" w:hAnsi="Times New Roman"/>
                <w:noProof/>
              </w:rPr>
            </w:pPr>
            <w:r>
              <w:rPr>
                <w:rFonts w:ascii="Times New Roman" w:hAnsi="Times New Roman"/>
                <w:noProof/>
              </w:rPr>
              <w:t>(hoteluri de 1 sau 2 stele)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complete de alimentație publică, de tipul celor oferite în restaurante</w:t>
            </w:r>
          </w:p>
          <w:p>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servire a băuturilor fără servicii de divertisment (CPC 64310)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servire a băuturilor cu servicii de divertisment (CPC 6432/64320)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B. Servicii ale agențiilor de voiaj și ale operatorilor de turism</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ale operatorilor de turism (CPC 74710</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Altele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Inclusiv stațiunile turistice</w:t>
            </w:r>
            <w:r>
              <w:rPr>
                <w:rStyle w:val="FootnoteReference"/>
                <w:rFonts w:ascii="Times New Roman" w:hAnsi="Times New Roman"/>
                <w:b/>
                <w:noProof/>
              </w:rPr>
              <w:footnoteReference w:id="99"/>
            </w:r>
          </w:p>
          <w:p>
            <w:pPr>
              <w:widowControl/>
              <w:suppressAutoHyphens/>
              <w:spacing w:before="60" w:after="60" w:line="240" w:lineRule="auto"/>
              <w:ind w:left="589" w:hanging="567"/>
              <w:rPr>
                <w:rFonts w:ascii="Times New Roman" w:hAnsi="Times New Roman"/>
                <w:noProof/>
              </w:rPr>
            </w:pPr>
            <w:r>
              <w:rPr>
                <w:rFonts w:ascii="Times New Roman" w:hAnsi="Times New Roman"/>
                <w:noProof/>
              </w:rPr>
              <w:t>–</w:t>
            </w:r>
            <w:r>
              <w:rPr>
                <w:noProof/>
              </w:rPr>
              <w:tab/>
            </w:r>
            <w:r>
              <w:rPr>
                <w:rFonts w:ascii="Times New Roman" w:hAnsi="Times New Roman"/>
                <w:noProof/>
              </w:rPr>
              <w:t>Hoteluri (3, 4 și 5 stele)</w:t>
            </w:r>
          </w:p>
          <w:p>
            <w:pPr>
              <w:widowControl/>
              <w:suppressAutoHyphens/>
              <w:spacing w:before="60" w:after="60" w:line="240" w:lineRule="auto"/>
              <w:ind w:left="589" w:hanging="567"/>
              <w:rPr>
                <w:rFonts w:ascii="Times New Roman" w:hAnsi="Times New Roman"/>
                <w:noProof/>
              </w:rPr>
            </w:pPr>
            <w:r>
              <w:rPr>
                <w:rFonts w:ascii="Times New Roman" w:hAnsi="Times New Roman"/>
                <w:noProof/>
              </w:rPr>
              <w:t>–</w:t>
            </w:r>
            <w:r>
              <w:rPr>
                <w:noProof/>
              </w:rPr>
              <w:tab/>
            </w:r>
            <w:r>
              <w:rPr>
                <w:rFonts w:ascii="Times New Roman" w:hAnsi="Times New Roman"/>
                <w:noProof/>
              </w:rPr>
              <w:t>(Nu sunt incluse unitățile pentru porturile de agrement și administrarea hotelurilor)</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Operatori hotelieri internaționali (CPC 91135)</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10. SERVICII RECREATIVE, CULTURALE ȘI SPORTIVE (ALTELE DECÂT SERVICIILE DIN DOMENIUL AUDIOVIZUALULUI)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 Servicii de divertisment (inclusiv servicii privind piesele de teatru, formațiile muzicale cu prezentare publică în direct și spectacolele de circ)</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Teatru și operă (CPC 96193)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Alte servicii recreative n.c.a. – jocuri online</w:t>
            </w:r>
          </w:p>
          <w:p>
            <w:pPr>
              <w:widowControl/>
              <w:suppressAutoHyphens/>
              <w:spacing w:before="60" w:after="60" w:line="240" w:lineRule="auto"/>
              <w:ind w:left="589" w:hanging="589"/>
              <w:rPr>
                <w:rFonts w:ascii="Times New Roman" w:hAnsi="Times New Roman"/>
                <w:noProof/>
              </w:rPr>
            </w:pPr>
            <w:r>
              <w:rPr>
                <w:rFonts w:ascii="Times New Roman" w:hAnsi="Times New Roman"/>
                <w:noProof/>
              </w:rPr>
              <w:t>–</w:t>
            </w:r>
            <w:r>
              <w:rPr>
                <w:noProof/>
              </w:rPr>
              <w:tab/>
            </w:r>
            <w:r>
              <w:rPr>
                <w:rFonts w:ascii="Times New Roman" w:hAnsi="Times New Roman"/>
                <w:noProof/>
              </w:rPr>
              <w:t>KBLI 5820 – editarea de software – numai pentru editarea de jocuri video pentru toate platformele de sisteme de operare</w:t>
            </w:r>
          </w:p>
          <w:p>
            <w:pPr>
              <w:widowControl/>
              <w:suppressAutoHyphens/>
              <w:spacing w:before="60" w:after="60" w:line="240" w:lineRule="auto"/>
              <w:ind w:left="589" w:hanging="589"/>
              <w:rPr>
                <w:rFonts w:ascii="Times New Roman" w:hAnsi="Times New Roman"/>
                <w:noProof/>
              </w:rPr>
            </w:pPr>
            <w:r>
              <w:rPr>
                <w:rFonts w:ascii="Times New Roman" w:hAnsi="Times New Roman"/>
                <w:noProof/>
              </w:rPr>
              <w:t>–</w:t>
            </w:r>
            <w:r>
              <w:rPr>
                <w:noProof/>
              </w:rPr>
              <w:tab/>
            </w:r>
            <w:r>
              <w:rPr>
                <w:rFonts w:ascii="Times New Roman" w:hAnsi="Times New Roman"/>
                <w:noProof/>
              </w:rPr>
              <w:t>KBLI 62011 – numai pentru dezvoltarea de software pentru jocuri video</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niciuna, cu excepția cerinței prevăzute în actele cu putere de lege și normele administrative interne.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D. Servicii sportive și alte servicii recreative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Terenuri de golf și alte unități</w:t>
            </w:r>
          </w:p>
          <w:p>
            <w:pPr>
              <w:widowControl/>
              <w:suppressAutoHyphens/>
              <w:spacing w:before="60" w:after="60" w:line="240" w:lineRule="auto"/>
              <w:rPr>
                <w:rFonts w:ascii="Times New Roman" w:hAnsi="Times New Roman"/>
                <w:noProof/>
              </w:rPr>
            </w:pPr>
            <w:r>
              <w:rPr>
                <w:rFonts w:ascii="Times New Roman" w:hAnsi="Times New Roman"/>
                <w:noProof/>
              </w:rPr>
              <w:t>Numai în cadrul stațiunilor turistice</w:t>
            </w:r>
          </w:p>
          <w:p>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413" w:type="pct"/>
            <w:gridSpan w:val="2"/>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E. Altele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Unități ale porturilor de agrement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administrare a hotelurilor</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11. SERVICII DE TRANSPORT</w:t>
            </w:r>
          </w:p>
        </w:tc>
        <w:tc>
          <w:tcPr>
            <w:tcW w:w="3249" w:type="pct"/>
            <w:gridSpan w:val="3"/>
          </w:tcPr>
          <w:p>
            <w:pPr>
              <w:widowControl/>
              <w:suppressAutoHyphens/>
              <w:spacing w:before="60" w:after="60" w:line="240" w:lineRule="auto"/>
              <w:rPr>
                <w:rFonts w:ascii="Times New Roman" w:hAnsi="Times New Roman"/>
                <w:noProof/>
              </w:rPr>
            </w:pPr>
          </w:p>
        </w:tc>
      </w:tr>
      <w:tr>
        <w:tc>
          <w:tcPr>
            <w:tcW w:w="5000" w:type="pct"/>
            <w:gridSpan w:val="4"/>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 Servicii de transport maritim</w:t>
            </w:r>
          </w:p>
          <w:p>
            <w:pPr>
              <w:widowControl/>
              <w:suppressAutoHyphens/>
              <w:spacing w:before="60" w:after="60" w:line="240" w:lineRule="auto"/>
              <w:rPr>
                <w:rFonts w:ascii="Times New Roman" w:hAnsi="Times New Roman"/>
                <w:noProof/>
              </w:rPr>
            </w:pPr>
            <w:r>
              <w:rPr>
                <w:rFonts w:ascii="Times New Roman" w:hAnsi="Times New Roman"/>
                <w:noProof/>
              </w:rPr>
              <w:t>Transportul de călători și de mărfuri, cu excepția cabotajului și a serviciilor auxiliare</w:t>
            </w:r>
          </w:p>
        </w:tc>
      </w:tr>
      <w:tr>
        <w:trPr>
          <w:trHeight w:val="4680"/>
        </w:trPr>
        <w:tc>
          <w:tcPr>
            <w:tcW w:w="1751"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 internațional de călători (CPC 7211)</w:t>
            </w:r>
          </w:p>
        </w:tc>
        <w:tc>
          <w:tcPr>
            <w:tcW w:w="3249" w:type="pct"/>
            <w:gridSpan w:val="3"/>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O companie de transport maritim din UE este obligată să desemneze o companie de transport maritim sau o întreprindere comună de transport maritim din Indonezia drept agent general.</w:t>
            </w:r>
          </w:p>
          <w:p>
            <w:pPr>
              <w:widowControl/>
              <w:suppressAutoHyphens/>
              <w:spacing w:before="60" w:after="60" w:line="240" w:lineRule="auto"/>
              <w:rPr>
                <w:rFonts w:ascii="Times New Roman" w:hAnsi="Times New Roman"/>
                <w:noProof/>
              </w:rPr>
            </w:pPr>
            <w:r>
              <w:rPr>
                <w:rFonts w:ascii="Times New Roman" w:hAnsi="Times New Roman"/>
                <w:noProof/>
              </w:rPr>
              <w:t>Atribuțiile agenților generali din Indonezia sunt, printre altele, următoarele:</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w:t>
            </w:r>
            <w:r>
              <w:rPr>
                <w:noProof/>
              </w:rPr>
              <w:tab/>
            </w:r>
            <w:r>
              <w:rPr>
                <w:rFonts w:ascii="Times New Roman" w:hAnsi="Times New Roman"/>
                <w:noProof/>
              </w:rPr>
              <w:t>să ia măsurile necesare pentru a obține toate serviciile portuare necesare solicitate de nava UE în cauză în timpul șederii sale în porturile indoneziene;</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(ii)</w:t>
            </w:r>
            <w:r>
              <w:rPr>
                <w:noProof/>
              </w:rPr>
              <w:tab/>
            </w:r>
            <w:r>
              <w:rPr>
                <w:rFonts w:ascii="Times New Roman" w:hAnsi="Times New Roman"/>
                <w:noProof/>
              </w:rPr>
              <w:t>să desemneze un operator portuar pentru încărcarea și descărcarea încărcăturilor în numele comitentului;</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(iii)</w:t>
            </w:r>
            <w:r>
              <w:rPr>
                <w:noProof/>
              </w:rPr>
              <w:tab/>
            </w:r>
            <w:r>
              <w:rPr>
                <w:rFonts w:ascii="Times New Roman" w:hAnsi="Times New Roman"/>
                <w:noProof/>
              </w:rPr>
              <w:t>să organizeze rezervarea spațiului pentru încărcături și prospectarea clientelei;</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(iv)</w:t>
            </w:r>
            <w:r>
              <w:rPr>
                <w:noProof/>
              </w:rPr>
              <w:tab/>
            </w:r>
            <w:r>
              <w:rPr>
                <w:rFonts w:ascii="Times New Roman" w:hAnsi="Times New Roman"/>
                <w:noProof/>
              </w:rPr>
              <w:t>să colecteze marfa în numele comitentului;</w:t>
            </w:r>
          </w:p>
          <w:p>
            <w:pPr>
              <w:suppressAutoHyphens/>
              <w:spacing w:before="60" w:after="60" w:line="240" w:lineRule="auto"/>
              <w:ind w:left="593" w:hanging="593"/>
              <w:rPr>
                <w:rFonts w:ascii="Times New Roman" w:hAnsi="Times New Roman"/>
                <w:noProof/>
              </w:rPr>
            </w:pPr>
            <w:r>
              <w:rPr>
                <w:rFonts w:ascii="Times New Roman" w:hAnsi="Times New Roman"/>
                <w:noProof/>
              </w:rPr>
              <w:t>(v)</w:t>
            </w:r>
            <w:r>
              <w:rPr>
                <w:noProof/>
              </w:rPr>
              <w:tab/>
            </w:r>
            <w:r>
              <w:rPr>
                <w:rFonts w:ascii="Times New Roman" w:hAnsi="Times New Roman"/>
                <w:noProof/>
              </w:rPr>
              <w:t>să emită conosamentul în numele comitentului;</w:t>
            </w:r>
          </w:p>
        </w:tc>
      </w:tr>
      <w:tr>
        <w:tc>
          <w:tcPr>
            <w:tcW w:w="1751" w:type="pct"/>
            <w:tcBorders>
              <w:top w:val="nil"/>
              <w:bottom w:val="single" w:sz="4" w:space="0" w:color="auto"/>
            </w:tcBorders>
          </w:tcPr>
          <w:p>
            <w:pPr>
              <w:pageBreakBefore/>
              <w:suppressAutoHyphens/>
              <w:spacing w:before="60" w:after="60" w:line="240" w:lineRule="auto"/>
              <w:ind w:left="567" w:hanging="567"/>
              <w:rPr>
                <w:noProof/>
              </w:rPr>
            </w:pPr>
          </w:p>
        </w:tc>
        <w:tc>
          <w:tcPr>
            <w:tcW w:w="3249" w:type="pct"/>
            <w:gridSpan w:val="3"/>
            <w:tcBorders>
              <w:top w:val="nil"/>
              <w:bottom w:val="single" w:sz="4" w:space="0" w:color="auto"/>
            </w:tcBorders>
          </w:tcPr>
          <w:p>
            <w:pPr>
              <w:widowControl/>
              <w:suppressAutoHyphens/>
              <w:spacing w:before="60" w:after="60" w:line="240" w:lineRule="auto"/>
              <w:ind w:left="593" w:hanging="593"/>
              <w:rPr>
                <w:rFonts w:ascii="Times New Roman" w:hAnsi="Times New Roman"/>
                <w:noProof/>
              </w:rPr>
            </w:pPr>
            <w:r>
              <w:rPr>
                <w:rFonts w:ascii="Times New Roman" w:hAnsi="Times New Roman"/>
                <w:noProof/>
              </w:rPr>
              <w:t>(vi)</w:t>
            </w:r>
            <w:r>
              <w:rPr>
                <w:noProof/>
              </w:rPr>
              <w:tab/>
            </w:r>
            <w:r>
              <w:rPr>
                <w:rFonts w:ascii="Times New Roman" w:hAnsi="Times New Roman"/>
                <w:noProof/>
              </w:rPr>
              <w:t>să achite cheltuielile de escală și să soluționeze cererile de despăgubire (dacă este cazul);</w:t>
            </w:r>
          </w:p>
          <w:p>
            <w:pPr>
              <w:widowControl/>
              <w:suppressAutoHyphens/>
              <w:spacing w:before="60" w:after="60" w:line="240" w:lineRule="auto"/>
              <w:ind w:left="593" w:hanging="593"/>
              <w:rPr>
                <w:rFonts w:ascii="Times New Roman" w:hAnsi="Times New Roman"/>
                <w:noProof/>
              </w:rPr>
            </w:pPr>
            <w:r>
              <w:rPr>
                <w:rFonts w:ascii="Times New Roman" w:hAnsi="Times New Roman"/>
                <w:noProof/>
              </w:rPr>
              <w:t>(vii)</w:t>
            </w:r>
            <w:r>
              <w:rPr>
                <w:noProof/>
              </w:rPr>
              <w:tab/>
            </w:r>
            <w:r>
              <w:rPr>
                <w:rFonts w:ascii="Times New Roman" w:hAnsi="Times New Roman"/>
                <w:noProof/>
              </w:rPr>
              <w:t>să furnizeze informațiile solicitate de comitent.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suppressAutoHyphens/>
              <w:spacing w:before="60" w:after="60" w:line="240" w:lineRule="auto"/>
              <w:rPr>
                <w:noProof/>
              </w:rPr>
            </w:pPr>
            <w:r>
              <w:rPr>
                <w:rFonts w:ascii="Times New Roman" w:hAnsi="Times New Roman"/>
                <w:noProof/>
              </w:rPr>
              <w:t>niciuna.</w:t>
            </w:r>
          </w:p>
        </w:tc>
      </w:tr>
      <w:tr>
        <w:trPr>
          <w:trHeight w:val="5055"/>
        </w:trPr>
        <w:tc>
          <w:tcPr>
            <w:tcW w:w="1751"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Transport internațional de mărfuri (CPC 7212) </w:t>
            </w:r>
          </w:p>
        </w:tc>
        <w:tc>
          <w:tcPr>
            <w:tcW w:w="41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3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niciuna</w:t>
            </w: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ind w:left="527" w:hanging="527"/>
              <w:rPr>
                <w:rFonts w:ascii="Times New Roman" w:hAnsi="Times New Roman"/>
                <w:noProof/>
              </w:rPr>
            </w:pPr>
            <w:r>
              <w:rPr>
                <w:rFonts w:ascii="Times New Roman" w:hAnsi="Times New Roman"/>
                <w:noProof/>
              </w:rPr>
              <w:t>(a)</w:t>
            </w:r>
            <w:r>
              <w:rPr>
                <w:noProof/>
              </w:rPr>
              <w:tab/>
            </w:r>
            <w:r>
              <w:rPr>
                <w:rFonts w:ascii="Times New Roman" w:hAnsi="Times New Roman"/>
                <w:noProof/>
              </w:rPr>
              <w:t>O companie de transport maritim din UE este obligată să desemneze o companie de transport maritim sau o întreprindere comună de transport maritim din Indonezia drept agent general.</w:t>
            </w:r>
          </w:p>
          <w:p>
            <w:pPr>
              <w:widowControl/>
              <w:suppressAutoHyphens/>
              <w:spacing w:before="60" w:after="60" w:line="240" w:lineRule="auto"/>
              <w:ind w:left="527"/>
              <w:rPr>
                <w:rFonts w:ascii="Times New Roman" w:hAnsi="Times New Roman"/>
                <w:noProof/>
              </w:rPr>
            </w:pPr>
            <w:r>
              <w:rPr>
                <w:rFonts w:ascii="Times New Roman" w:hAnsi="Times New Roman"/>
                <w:noProof/>
              </w:rPr>
              <w:t>Atribuțiile agenților generali din Indonezia sunt, printre altele, următoarele:</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w:t>
            </w:r>
            <w:r>
              <w:rPr>
                <w:noProof/>
              </w:rPr>
              <w:tab/>
            </w:r>
            <w:r>
              <w:rPr>
                <w:rFonts w:ascii="Times New Roman" w:hAnsi="Times New Roman"/>
                <w:noProof/>
              </w:rPr>
              <w:t>să ia măsurile necesare pentru a obține toate serviciile portuare necesare solicitate de nava UE în cauză în timpul șederii sale în porturile indoneziene;</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(ii)</w:t>
            </w:r>
            <w:r>
              <w:rPr>
                <w:noProof/>
              </w:rPr>
              <w:tab/>
            </w:r>
            <w:r>
              <w:rPr>
                <w:rFonts w:ascii="Times New Roman" w:hAnsi="Times New Roman"/>
                <w:noProof/>
              </w:rPr>
              <w:t>să desemneze un operator portuar pentru încărcarea și descărcarea încărcăturilor în numele comitentului;</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(iii)</w:t>
            </w:r>
            <w:r>
              <w:rPr>
                <w:noProof/>
              </w:rPr>
              <w:tab/>
            </w:r>
            <w:r>
              <w:rPr>
                <w:rFonts w:ascii="Times New Roman" w:hAnsi="Times New Roman"/>
                <w:noProof/>
              </w:rPr>
              <w:t>să organizeze rezervarea spațiului pentru încărcături și prospectarea clientelei;</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(iv)</w:t>
            </w:r>
            <w:r>
              <w:rPr>
                <w:noProof/>
              </w:rPr>
              <w:tab/>
            </w:r>
            <w:r>
              <w:rPr>
                <w:rFonts w:ascii="Times New Roman" w:hAnsi="Times New Roman"/>
                <w:noProof/>
              </w:rPr>
              <w:t>să colecteze marfa în numele comitentului;</w:t>
            </w:r>
          </w:p>
          <w:p>
            <w:pPr>
              <w:suppressAutoHyphens/>
              <w:spacing w:before="60" w:after="60" w:line="240" w:lineRule="auto"/>
              <w:ind w:left="1094" w:hanging="527"/>
              <w:rPr>
                <w:rFonts w:ascii="Times New Roman" w:hAnsi="Times New Roman"/>
                <w:noProof/>
              </w:rPr>
            </w:pPr>
            <w:r>
              <w:rPr>
                <w:rFonts w:ascii="Times New Roman" w:hAnsi="Times New Roman"/>
                <w:noProof/>
              </w:rPr>
              <w:t>(v)</w:t>
            </w:r>
            <w:r>
              <w:rPr>
                <w:noProof/>
              </w:rPr>
              <w:tab/>
            </w:r>
            <w:r>
              <w:rPr>
                <w:rFonts w:ascii="Times New Roman" w:hAnsi="Times New Roman"/>
                <w:noProof/>
              </w:rPr>
              <w:t>să emită conosamentul în numele comitentului;</w:t>
            </w:r>
          </w:p>
        </w:tc>
      </w:tr>
      <w:tr>
        <w:trPr>
          <w:trHeight w:val="2130"/>
        </w:trPr>
        <w:tc>
          <w:tcPr>
            <w:tcW w:w="1751" w:type="pct"/>
            <w:tcBorders>
              <w:top w:val="nil"/>
            </w:tcBorders>
          </w:tcPr>
          <w:p>
            <w:pPr>
              <w:pageBreakBefore/>
              <w:suppressAutoHyphens/>
              <w:spacing w:before="60" w:after="60" w:line="240" w:lineRule="auto"/>
              <w:ind w:left="567" w:hanging="567"/>
              <w:rPr>
                <w:noProof/>
              </w:rPr>
            </w:pPr>
          </w:p>
        </w:tc>
        <w:tc>
          <w:tcPr>
            <w:tcW w:w="413" w:type="pct"/>
            <w:gridSpan w:val="2"/>
            <w:tcBorders>
              <w:top w:val="nil"/>
            </w:tcBorders>
          </w:tcPr>
          <w:p>
            <w:pPr>
              <w:suppressAutoHyphens/>
              <w:spacing w:before="60" w:after="60" w:line="240" w:lineRule="auto"/>
              <w:rPr>
                <w:noProof/>
              </w:rPr>
            </w:pPr>
          </w:p>
        </w:tc>
        <w:tc>
          <w:tcPr>
            <w:tcW w:w="2836" w:type="pct"/>
            <w:tcBorders>
              <w:top w:val="nil"/>
            </w:tcBorders>
          </w:tcPr>
          <w:p>
            <w:pPr>
              <w:widowControl/>
              <w:suppressAutoHyphens/>
              <w:spacing w:before="60" w:after="60" w:line="240" w:lineRule="auto"/>
              <w:ind w:left="1094" w:hanging="527"/>
              <w:rPr>
                <w:rFonts w:ascii="Times New Roman" w:hAnsi="Times New Roman"/>
                <w:noProof/>
              </w:rPr>
            </w:pPr>
            <w:r>
              <w:rPr>
                <w:rFonts w:ascii="Times New Roman" w:hAnsi="Times New Roman"/>
                <w:noProof/>
              </w:rPr>
              <w:t>(vi)</w:t>
            </w:r>
            <w:r>
              <w:rPr>
                <w:noProof/>
              </w:rPr>
              <w:tab/>
            </w:r>
            <w:r>
              <w:rPr>
                <w:rFonts w:ascii="Times New Roman" w:hAnsi="Times New Roman"/>
                <w:noProof/>
              </w:rPr>
              <w:t>să achite cheltuielile de escală și să soluționeze cererile de despăgubire (dacă este cazul);</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(vii)</w:t>
            </w:r>
            <w:r>
              <w:rPr>
                <w:noProof/>
              </w:rPr>
              <w:tab/>
            </w:r>
            <w:r>
              <w:rPr>
                <w:rFonts w:ascii="Times New Roman" w:hAnsi="Times New Roman"/>
                <w:noProof/>
              </w:rPr>
              <w:t>să furnizeze informațiile solicitate de comitent.</w:t>
            </w:r>
          </w:p>
          <w:p>
            <w:pPr>
              <w:widowControl/>
              <w:suppressAutoHyphens/>
              <w:spacing w:before="60" w:after="60" w:line="240" w:lineRule="auto"/>
              <w:ind w:left="527" w:hanging="527"/>
              <w:rPr>
                <w:rFonts w:ascii="Times New Roman" w:hAnsi="Times New Roman"/>
                <w:noProof/>
              </w:rPr>
            </w:pPr>
            <w:r>
              <w:rPr>
                <w:rFonts w:ascii="Times New Roman" w:hAnsi="Times New Roman"/>
                <w:noProof/>
              </w:rPr>
              <w:t>(b)</w:t>
            </w:r>
            <w:r>
              <w:rPr>
                <w:noProof/>
              </w:rPr>
              <w:tab/>
            </w:r>
            <w:r>
              <w:rPr>
                <w:rFonts w:ascii="Times New Roman" w:hAnsi="Times New Roman"/>
                <w:noProof/>
              </w:rPr>
              <w:t>Încărcături guvernamentale.</w:t>
            </w:r>
          </w:p>
          <w:p>
            <w:pPr>
              <w:widowControl/>
              <w:suppressAutoHyphens/>
              <w:spacing w:before="60" w:after="60" w:line="240" w:lineRule="auto"/>
              <w:ind w:left="527"/>
              <w:rPr>
                <w:rFonts w:ascii="Times New Roman" w:hAnsi="Times New Roman"/>
                <w:noProof/>
              </w:rPr>
            </w:pPr>
            <w:r>
              <w:rPr>
                <w:rFonts w:ascii="Times New Roman" w:hAnsi="Times New Roman"/>
                <w:noProof/>
              </w:rPr>
              <w:t>Încărcăturile guvernamentale sunt încărcături care provin din alte țări (încărcături de import) achiziționate de agențiile guvernamentale sau pe baza unui acord de împrumut/credit cu celelalte țări.</w:t>
            </w:r>
          </w:p>
          <w:p>
            <w:pPr>
              <w:widowControl/>
              <w:suppressAutoHyphens/>
              <w:spacing w:before="60" w:after="60" w:line="240" w:lineRule="auto"/>
              <w:ind w:left="527" w:hanging="527"/>
              <w:rPr>
                <w:rFonts w:ascii="Times New Roman" w:hAnsi="Times New Roman"/>
                <w:noProof/>
              </w:rPr>
            </w:pPr>
            <w:r>
              <w:rPr>
                <w:rFonts w:ascii="Times New Roman" w:hAnsi="Times New Roman"/>
                <w:noProof/>
              </w:rPr>
              <w:t>(c)</w:t>
            </w:r>
            <w:r>
              <w:rPr>
                <w:noProof/>
              </w:rPr>
              <w:tab/>
            </w:r>
            <w:r>
              <w:rPr>
                <w:rFonts w:ascii="Times New Roman" w:hAnsi="Times New Roman"/>
                <w:noProof/>
              </w:rPr>
              <w:t>Nava deținută sau închiriată de compania maritimă indoneziană se utilizează în cazul:</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w:t>
            </w:r>
            <w:r>
              <w:rPr>
                <w:noProof/>
              </w:rPr>
              <w:tab/>
            </w:r>
            <w:r>
              <w:rPr>
                <w:rFonts w:ascii="Times New Roman" w:hAnsi="Times New Roman"/>
                <w:noProof/>
              </w:rPr>
              <w:t>exportului de cărbune sau de ulei de palmier brut (UPB), cu o capacitate de până la 10 000 TDW (tonaj deadweight) sau</w:t>
            </w:r>
          </w:p>
          <w:p>
            <w:pPr>
              <w:widowControl/>
              <w:suppressAutoHyphens/>
              <w:spacing w:before="60" w:after="60" w:line="240" w:lineRule="auto"/>
              <w:ind w:left="1094" w:hanging="527"/>
              <w:rPr>
                <w:rFonts w:ascii="Times New Roman" w:hAnsi="Times New Roman"/>
                <w:noProof/>
              </w:rPr>
            </w:pPr>
            <w:r>
              <w:rPr>
                <w:rFonts w:ascii="Times New Roman" w:hAnsi="Times New Roman"/>
                <w:noProof/>
              </w:rPr>
              <w:t>(ii)</w:t>
            </w:r>
            <w:r>
              <w:rPr>
                <w:noProof/>
              </w:rPr>
              <w:tab/>
            </w:r>
            <w:r>
              <w:rPr>
                <w:rFonts w:ascii="Times New Roman" w:hAnsi="Times New Roman"/>
                <w:noProof/>
              </w:rPr>
              <w:t>importului de orez sau de bunuri care fac obiectul achizițiilor publice, cu o capacitate de până la 10 000 TDW (tonaj deadweight).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suppressAutoHyphens/>
              <w:spacing w:before="60" w:after="60" w:line="240" w:lineRule="auto"/>
              <w:rPr>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navelor</w:t>
            </w:r>
          </w:p>
          <w:p>
            <w:pPr>
              <w:widowControl/>
              <w:suppressAutoHyphens/>
              <w:spacing w:before="60" w:after="60" w:line="240" w:lineRule="auto"/>
              <w:ind w:left="567" w:hanging="567"/>
              <w:rPr>
                <w:noProof/>
              </w:rPr>
            </w:pPr>
            <w:r>
              <w:rPr>
                <w:rFonts w:ascii="Times New Roman" w:hAnsi="Times New Roman"/>
                <w:noProof/>
              </w:rPr>
              <w:t>(CPC 8868</w:t>
            </w:r>
            <w:r>
              <w:rPr>
                <w:rFonts w:ascii="Times New Roman" w:hAnsi="Times New Roman"/>
                <w:b/>
                <w:noProof/>
                <w:vertAlign w:val="superscript"/>
              </w:rPr>
              <w:t>**</w:t>
            </w:r>
            <w:r>
              <w:rPr>
                <w:rFonts w:ascii="Times New Roman" w:hAnsi="Times New Roman"/>
                <w:noProof/>
              </w:rPr>
              <w:t>)</w:t>
            </w:r>
          </w:p>
        </w:tc>
        <w:tc>
          <w:tcPr>
            <w:tcW w:w="413" w:type="pct"/>
            <w:gridSpan w:val="2"/>
          </w:tcPr>
          <w:p>
            <w:pPr>
              <w:widowControl/>
              <w:suppressAutoHyphens/>
              <w:spacing w:before="60" w:after="60" w:line="240" w:lineRule="auto"/>
              <w:rPr>
                <w:noProof/>
              </w:rPr>
            </w:pPr>
            <w:r>
              <w:rPr>
                <w:rFonts w:ascii="Times New Roman" w:hAnsi="Times New Roman"/>
                <w:noProof/>
              </w:rPr>
              <w:t>CNF</w:t>
            </w:r>
          </w:p>
        </w:tc>
        <w:tc>
          <w:tcPr>
            <w:tcW w:w="2836" w:type="pct"/>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highlight w:val="yellow"/>
              </w:rPr>
            </w:pPr>
            <w:r>
              <w:rPr>
                <w:rFonts w:ascii="Times New Roman" w:hAnsi="Times New Roman"/>
                <w:noProof/>
              </w:rPr>
              <w:lastRenderedPageBreak/>
              <w:t>Servicii de închiriere de nave cu echipaj (CPC 7213), cu excepția cabotajului</w:t>
            </w:r>
          </w:p>
        </w:tc>
        <w:tc>
          <w:tcPr>
            <w:tcW w:w="3249" w:type="pct"/>
            <w:gridSpan w:val="3"/>
          </w:tcPr>
          <w:p>
            <w:pPr>
              <w:widowControl/>
              <w:suppressAutoHyphens/>
              <w:spacing w:before="60" w:after="60" w:line="240" w:lineRule="auto"/>
              <w:rPr>
                <w:rFonts w:ascii="Times New Roman" w:hAnsi="Times New Roman"/>
                <w:noProof/>
                <w:highlight w:val="yellow"/>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împingere și remorcare pentru transportul maritim (CPC 7214) (cu excepția cabotajului)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transportul maritim, numai pentru serviciile de exploatare portuară (CPC 7451</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recuperare și ranfluare a navelor</w:t>
            </w:r>
          </w:p>
          <w:p>
            <w:pPr>
              <w:widowControl/>
              <w:suppressAutoHyphens/>
              <w:spacing w:before="60" w:after="60" w:line="240" w:lineRule="auto"/>
              <w:rPr>
                <w:rFonts w:ascii="Times New Roman" w:hAnsi="Times New Roman"/>
                <w:noProof/>
              </w:rPr>
            </w:pPr>
            <w:r>
              <w:rPr>
                <w:rFonts w:ascii="Times New Roman" w:hAnsi="Times New Roman"/>
                <w:noProof/>
              </w:rPr>
              <w:t>(CPC 7454)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Servicii de închiriere de nave fără echipaj (CPC 83103)</w:t>
            </w:r>
          </w:p>
        </w:tc>
        <w:tc>
          <w:tcPr>
            <w:tcW w:w="3249" w:type="pct"/>
            <w:gridSpan w:val="3"/>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rPr>
          <w:trHeight w:val="2085"/>
        </w:trPr>
        <w:tc>
          <w:tcPr>
            <w:tcW w:w="1751"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Activități offshore care necesită utilizarea unei nave, altele decât transportul de călători sau de mărfuri, cum ar fi: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lucrări de recuperare și subacvatice;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lucrări de construcții offshore;</w:t>
            </w:r>
          </w:p>
          <w:p>
            <w:pPr>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foraj;</w:t>
            </w:r>
          </w:p>
        </w:tc>
        <w:tc>
          <w:tcPr>
            <w:tcW w:w="38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60"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Întreprinderile din UE pot utiliza nave sub pavilionul Uniunii pentru a desfășura aceste activități dacă navele sub pavilion indonezian nu sunt suficiente sau disponibile.</w:t>
            </w:r>
          </w:p>
        </w:tc>
      </w:tr>
      <w:tr>
        <w:trPr>
          <w:trHeight w:val="1230"/>
        </w:trPr>
        <w:tc>
          <w:tcPr>
            <w:tcW w:w="1751"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dragare, inclusiv instalarea de cabluri;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construcția de terminale;</w:t>
            </w:r>
          </w:p>
          <w:p>
            <w:pPr>
              <w:suppressAutoHyphens/>
              <w:spacing w:before="60" w:after="60" w:line="240" w:lineRule="auto"/>
              <w:ind w:left="567" w:hanging="567"/>
              <w:rPr>
                <w:noProof/>
              </w:rPr>
            </w:pPr>
            <w:r>
              <w:rPr>
                <w:rFonts w:ascii="Times New Roman" w:hAnsi="Times New Roman"/>
                <w:noProof/>
              </w:rPr>
              <w:t>–</w:t>
            </w:r>
            <w:r>
              <w:rPr>
                <w:noProof/>
              </w:rPr>
              <w:tab/>
            </w:r>
            <w:r>
              <w:rPr>
                <w:rFonts w:ascii="Times New Roman" w:hAnsi="Times New Roman"/>
                <w:noProof/>
              </w:rPr>
              <w:t>sprijin operațional offshore.</w:t>
            </w:r>
          </w:p>
        </w:tc>
        <w:tc>
          <w:tcPr>
            <w:tcW w:w="389" w:type="pct"/>
            <w:tcBorders>
              <w:top w:val="nil"/>
            </w:tcBorders>
          </w:tcPr>
          <w:p>
            <w:pPr>
              <w:suppressAutoHyphens/>
              <w:spacing w:before="60" w:after="60" w:line="240" w:lineRule="auto"/>
              <w:rPr>
                <w:noProof/>
              </w:rPr>
            </w:pPr>
          </w:p>
        </w:tc>
        <w:tc>
          <w:tcPr>
            <w:tcW w:w="2860" w:type="pct"/>
            <w:gridSpan w:val="2"/>
            <w:tcBorders>
              <w:top w:val="nil"/>
            </w:tcBorders>
          </w:tcPr>
          <w:p>
            <w:pPr>
              <w:suppressAutoHyphens/>
              <w:spacing w:before="60" w:after="60" w:line="240" w:lineRule="auto"/>
              <w:rPr>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 pe căile navigabile interioare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7221)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7222), cu excepția cabotajului și a produselor miniere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împingere și remorcare pentru transportul maritim (CPC 7224) (cu excepția cabotajului)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transportul pe căile navigabile interioare (CPC 745</w:t>
            </w:r>
            <w:r>
              <w:rPr>
                <w:b/>
                <w:noProof/>
                <w:vertAlign w:val="superscript"/>
              </w:rPr>
              <w:t>*</w:t>
            </w:r>
            <w:r>
              <w:rPr>
                <w:rFonts w:ascii="Times New Roman" w:hAnsi="Times New Roman"/>
                <w:noProof/>
              </w:rPr>
              <w:t>), cu excepția cabotajului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Întreținerea și repararea navelor (căi navigabile interioare) (CPC 8868</w:t>
            </w:r>
            <w:r>
              <w:rPr>
                <w:rFonts w:ascii="Times New Roman" w:hAnsi="Times New Roman"/>
                <w:b/>
                <w:noProof/>
                <w:vertAlign w:val="superscript"/>
              </w:rPr>
              <w:t>**</w:t>
            </w:r>
            <w:r>
              <w:rPr>
                <w:rFonts w:ascii="Times New Roman" w:hAnsi="Times New Roman"/>
                <w:noProof/>
              </w:rPr>
              <w:t>)</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maritime auxiliare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manipulare a încărcăturilor maritime</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r>
              <w:rPr>
                <w:rStyle w:val="FootnoteReference"/>
                <w:rFonts w:ascii="Times New Roman" w:hAnsi="Times New Roman"/>
                <w:b/>
                <w:noProof/>
              </w:rPr>
              <w:footnoteReference w:id="100"/>
            </w:r>
            <w:r>
              <w:rPr>
                <w:rFonts w:ascii="Times New Roman" w:hAnsi="Times New Roman"/>
                <w:noProof/>
              </w:rPr>
              <w:t>, cu excepția – nicio limitare privind transbordarea (de la bord la bord sau prin intermediul cheiului) și/sau privind utilizarea echipamentelor de manipulare a încărcăturilor la bord.</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aerian</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Servicii de reparare și întreținere a aeronavelor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Vânzarea și comercializarea serviciilor de transport aerian</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Sistemele informatizate de rezervare (SIR)</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catering, limitate la servicii de catering pentru aeronave (KBLI 56290)</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exploatare aeroportuară și servicii privind activitatea aeroportuară (KBLI 52231)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rutier</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echipamentelor de transport rutier (CPC 8867, cu excepția motocicletelor)</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 xml:space="preserve">Transport de mărfuri (CPC 7123) </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Alte servicii de transport terestru (CPC 712), numai pentru serviciile de închiriere de autobuze și autocare cu operator (KBLI 49211)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transport feroviar</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7111)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7111)</w:t>
            </w:r>
          </w:p>
          <w:p>
            <w:pPr>
              <w:widowControl/>
              <w:suppressAutoHyphens/>
              <w:spacing w:before="60" w:after="60" w:line="240" w:lineRule="auto"/>
              <w:rPr>
                <w:rFonts w:ascii="Times New Roman" w:hAnsi="Times New Roman"/>
                <w:noProof/>
              </w:rPr>
            </w:pPr>
            <w:r>
              <w:rPr>
                <w:rFonts w:ascii="Times New Roman" w:hAnsi="Times New Roman"/>
                <w:noProof/>
              </w:rPr>
              <w:t>limitat la transportul interurban de călători (CPC 71111)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7112)</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7112)</w:t>
            </w:r>
          </w:p>
          <w:p>
            <w:pPr>
              <w:widowControl/>
              <w:suppressAutoHyphens/>
              <w:spacing w:before="60" w:after="60" w:line="240" w:lineRule="auto"/>
              <w:rPr>
                <w:rFonts w:ascii="Times New Roman" w:hAnsi="Times New Roman"/>
                <w:noProof/>
              </w:rPr>
            </w:pPr>
            <w:r>
              <w:rPr>
                <w:rFonts w:ascii="Times New Roman" w:hAnsi="Times New Roman"/>
                <w:noProof/>
              </w:rPr>
              <w:t>limitat la transportul de produse congelate sau refrigerate (CPC 71121)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împingere și remorcare (CPC 7113)</w:t>
            </w:r>
          </w:p>
          <w:p>
            <w:pPr>
              <w:widowControl/>
              <w:suppressAutoHyphens/>
              <w:spacing w:before="60" w:after="60" w:line="240" w:lineRule="auto"/>
              <w:rPr>
                <w:rFonts w:ascii="Times New Roman" w:hAnsi="Times New Roman"/>
                <w:noProof/>
              </w:rPr>
            </w:pPr>
            <w:r>
              <w:rPr>
                <w:rFonts w:ascii="Times New Roman" w:hAnsi="Times New Roman"/>
                <w:noProof/>
              </w:rPr>
              <w:t>Servicii de sprijin pentru serviciile de transport feroviar (CPC 743)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echipamentelor de transport feroviar (CPC 8868)</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prin conducte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Transportul petrolului și al gazelor naturale (CPC 7131)</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transport de sprijin și auxiliare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maritime de expediere de mărfuri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 xml:space="preserve">servicii de autogări, inclusiv servicii de parcare, planificarea transportului public, inspecții la rampă, activități pentru călători (KBLI 52211) </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sprijin pentru transportul rutier, numai pentru serviciile de inspecție periodică (KBLI 71203)</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rPr>
                <w:rFonts w:ascii="Times New Roman" w:hAnsi="Times New Roman"/>
                <w:noProof/>
              </w:rPr>
            </w:pPr>
            <w:r>
              <w:rPr>
                <w:rFonts w:ascii="Times New Roman" w:hAnsi="Times New Roman"/>
                <w:noProof/>
              </w:rPr>
              <w:t>Servicii ale operatorilor de autostrăzi, poduri și tuneluri (CPC 77420), limitate la serviciile de autostrăzi</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neconsolidat</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stocare și depozitare în afara zonei portuare și a zonei 1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depozitare a produselor congelate și refrigerate (CPC 7421)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depozitare sau antrepozitare (CPC 7429)</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Pentru modul 1:</w:t>
            </w:r>
          </w:p>
          <w:p>
            <w:pPr>
              <w:widowControl/>
              <w:suppressAutoHyphens/>
              <w:spacing w:before="60" w:after="60" w:line="240" w:lineRule="auto"/>
              <w:rPr>
                <w:rFonts w:ascii="Times New Roman" w:hAnsi="Times New Roman"/>
                <w:noProof/>
              </w:rPr>
            </w:pPr>
            <w:r>
              <w:rPr>
                <w:rFonts w:ascii="Times New Roman" w:hAnsi="Times New Roman"/>
                <w:noProof/>
              </w:rPr>
              <w:t>Acces pe piață: neconsolidat</w:t>
            </w:r>
          </w:p>
          <w:p>
            <w:pPr>
              <w:widowControl/>
              <w:suppressAutoHyphens/>
              <w:spacing w:before="60" w:after="60" w:line="240" w:lineRule="auto"/>
              <w:rPr>
                <w:rFonts w:ascii="Times New Roman" w:hAnsi="Times New Roman"/>
                <w:noProof/>
              </w:rPr>
            </w:pPr>
            <w:r>
              <w:rPr>
                <w:rFonts w:ascii="Times New Roman" w:hAnsi="Times New Roman"/>
                <w:noProof/>
              </w:rPr>
              <w:t>Tratament național: 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modul 2:</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12. ALTE SERVICII</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energetice</w:t>
            </w:r>
          </w:p>
        </w:tc>
        <w:tc>
          <w:tcPr>
            <w:tcW w:w="3249" w:type="pct"/>
            <w:gridSpan w:val="3"/>
          </w:tcPr>
          <w:p>
            <w:pPr>
              <w:widowControl/>
              <w:suppressAutoHyphens/>
              <w:spacing w:before="60" w:after="60" w:line="240" w:lineRule="auto"/>
              <w:rPr>
                <w:rFonts w:ascii="Times New Roman" w:hAnsi="Times New Roman"/>
                <w:noProof/>
              </w:rPr>
            </w:pP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Lichefierea și gazeificarea numai pentru cărbune</w:t>
            </w:r>
          </w:p>
          <w:p>
            <w:pPr>
              <w:widowControl/>
              <w:suppressAutoHyphens/>
              <w:spacing w:before="60" w:after="60" w:line="240" w:lineRule="auto"/>
              <w:rPr>
                <w:rFonts w:ascii="Times New Roman" w:hAnsi="Times New Roman"/>
                <w:noProof/>
              </w:rPr>
            </w:pPr>
            <w:r>
              <w:rPr>
                <w:rFonts w:ascii="Times New Roman" w:hAnsi="Times New Roman"/>
                <w:noProof/>
              </w:rPr>
              <w:t>Potrivit propunerii Indoneziei de clasificare a serviciilor energetice, serviciile respective se încadrează la:</w:t>
            </w:r>
          </w:p>
          <w:p>
            <w:pPr>
              <w:widowControl/>
              <w:suppressAutoHyphens/>
              <w:spacing w:before="60" w:after="60" w:line="240" w:lineRule="auto"/>
              <w:rPr>
                <w:rFonts w:ascii="Times New Roman" w:hAnsi="Times New Roman"/>
                <w:noProof/>
              </w:rPr>
            </w:pPr>
            <w:r>
              <w:rPr>
                <w:rFonts w:ascii="Times New Roman" w:hAnsi="Times New Roman"/>
                <w:noProof/>
              </w:rPr>
              <w:t>Lichefierea cărbunelui (2.4.4.4)</w:t>
            </w:r>
          </w:p>
          <w:p>
            <w:pPr>
              <w:widowControl/>
              <w:suppressAutoHyphens/>
              <w:spacing w:before="60" w:after="60" w:line="240" w:lineRule="auto"/>
              <w:rPr>
                <w:rFonts w:ascii="Times New Roman" w:hAnsi="Times New Roman"/>
                <w:noProof/>
              </w:rPr>
            </w:pPr>
            <w:r>
              <w:rPr>
                <w:rFonts w:ascii="Times New Roman" w:hAnsi="Times New Roman"/>
                <w:noProof/>
              </w:rPr>
              <w:t>Gazeificarea cărbunelui (2.4.4.5)</w:t>
            </w:r>
          </w:p>
          <w:p>
            <w:pPr>
              <w:widowControl/>
              <w:suppressAutoHyphens/>
              <w:spacing w:before="60" w:after="60" w:line="240" w:lineRule="auto"/>
              <w:rPr>
                <w:rFonts w:ascii="Times New Roman" w:hAnsi="Times New Roman"/>
                <w:noProof/>
              </w:rPr>
            </w:pPr>
            <w:r>
              <w:rPr>
                <w:rFonts w:ascii="Times New Roman" w:hAnsi="Times New Roman"/>
                <w:noProof/>
              </w:rPr>
              <w:t>Potrivit W/120, serviciile respective se încadrează la servicii conexe industriei prelucrătoare (CPC 884).</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Producerea de energie geotermală cu o capacitate ≤ 10 MW</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51" w:type="pct"/>
          </w:tcPr>
          <w:p>
            <w:pPr>
              <w:widowControl/>
              <w:suppressAutoHyphens/>
              <w:spacing w:before="60" w:after="60" w:line="240" w:lineRule="auto"/>
              <w:rPr>
                <w:rFonts w:ascii="Times New Roman" w:hAnsi="Times New Roman"/>
                <w:noProof/>
              </w:rPr>
            </w:pPr>
            <w:r>
              <w:rPr>
                <w:rFonts w:ascii="Times New Roman" w:hAnsi="Times New Roman"/>
                <w:noProof/>
              </w:rPr>
              <w:t>Servicii de prospectare geotermală</w:t>
            </w:r>
          </w:p>
        </w:tc>
        <w:tc>
          <w:tcPr>
            <w:tcW w:w="3249" w:type="pct"/>
            <w:gridSpan w:val="3"/>
          </w:tcPr>
          <w:p>
            <w:pPr>
              <w:widowControl/>
              <w:suppressAutoHyphens/>
              <w:spacing w:before="60" w:after="60" w:line="240" w:lineRule="auto"/>
              <w:rPr>
                <w:rFonts w:ascii="Times New Roman" w:hAnsi="Times New Roman"/>
                <w:noProof/>
              </w:rPr>
            </w:pPr>
            <w:r>
              <w:rPr>
                <w:rFonts w:ascii="Times New Roman" w:hAnsi="Times New Roman"/>
                <w:noProof/>
              </w:rPr>
              <w:t>Niciuna</w:t>
            </w:r>
          </w:p>
        </w:tc>
      </w:tr>
    </w:tbl>
    <w:p>
      <w:pPr>
        <w:rPr>
          <w:noProof/>
        </w:rPr>
      </w:pPr>
    </w:p>
    <w:p>
      <w:pPr>
        <w:rPr>
          <w:noProof/>
        </w:rPr>
      </w:pPr>
    </w:p>
    <w:p>
      <w:pPr>
        <w:jc w:val="center"/>
        <w:rPr>
          <w:noProof/>
        </w:rPr>
      </w:pPr>
      <w:r>
        <w:rPr>
          <w:noProof/>
        </w:rPr>
        <w:t>________________</w:t>
      </w:r>
    </w:p>
    <w:p>
      <w:pPr>
        <w:rPr>
          <w:noProof/>
        </w:rPr>
        <w:sectPr>
          <w:headerReference w:type="default" r:id="rId54"/>
          <w:footerReference w:type="default" r:id="rId55"/>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ANEXA 8-F</w:t>
      </w:r>
    </w:p>
    <w:p>
      <w:pPr>
        <w:rPr>
          <w:noProof/>
        </w:rPr>
      </w:pPr>
    </w:p>
    <w:p>
      <w:pPr>
        <w:rPr>
          <w:noProof/>
        </w:rPr>
      </w:pPr>
    </w:p>
    <w:p>
      <w:pPr>
        <w:jc w:val="center"/>
        <w:rPr>
          <w:noProof/>
        </w:rPr>
      </w:pPr>
      <w:r>
        <w:rPr>
          <w:noProof/>
        </w:rPr>
        <w:t xml:space="preserve">LISTA ANGAJAMENTELOR SPECIFICE </w:t>
      </w:r>
      <w:r>
        <w:rPr>
          <w:noProof/>
        </w:rPr>
        <w:br/>
        <w:t>PRIVIND LIBERALIZAREA INVESTIȚIILOR</w:t>
      </w:r>
    </w:p>
    <w:p>
      <w:pPr>
        <w:jc w:val="center"/>
        <w:rPr>
          <w:noProof/>
        </w:rPr>
      </w:pPr>
    </w:p>
    <w:p>
      <w:pPr>
        <w:jc w:val="center"/>
        <w:rPr>
          <w:noProof/>
        </w:rPr>
      </w:pPr>
      <w:r>
        <w:rPr>
          <w:noProof/>
        </w:rPr>
        <w:t>INDONEZIA</w:t>
      </w:r>
    </w:p>
    <w:p>
      <w:pPr>
        <w:rPr>
          <w:noProof/>
        </w:rPr>
      </w:pPr>
    </w:p>
    <w:p>
      <w:pPr>
        <w:rPr>
          <w:noProof/>
        </w:rPr>
      </w:pPr>
    </w:p>
    <w:p>
      <w:pPr>
        <w:rPr>
          <w:noProof/>
        </w:rPr>
      </w:pPr>
      <w:r>
        <w:rPr>
          <w:noProof/>
        </w:rPr>
        <w:t>1.</w:t>
      </w:r>
      <w:r>
        <w:rPr>
          <w:noProof/>
        </w:rPr>
        <w:tab/>
      </w:r>
      <w:bookmarkStart w:id="40" w:name="_Hlk228306017"/>
      <w:r>
        <w:rPr>
          <w:noProof/>
        </w:rPr>
        <w:t>Lista angajamentelor care figurează în prezenta anexă indică activitățile economice liberalizate în temeiul articolului 8.10 și, prin intermediul rezervelor, limitările care se aplică stabilirii sau întreprinderilor din Uniune în legătură cu activitățile respective</w:t>
      </w:r>
      <w:bookmarkEnd w:id="40"/>
      <w:r>
        <w:rPr>
          <w:noProof/>
        </w:rPr>
        <w:t>. Lista respectivă cuprinde următoarele elemente:</w:t>
      </w:r>
    </w:p>
    <w:p>
      <w:pPr>
        <w:rPr>
          <w:noProof/>
        </w:rPr>
      </w:pPr>
    </w:p>
    <w:p>
      <w:pPr>
        <w:ind w:left="567" w:hanging="567"/>
        <w:rPr>
          <w:noProof/>
        </w:rPr>
      </w:pPr>
      <w:r>
        <w:rPr>
          <w:noProof/>
        </w:rPr>
        <w:t>(a)</w:t>
      </w:r>
      <w:r>
        <w:rPr>
          <w:noProof/>
        </w:rPr>
        <w:tab/>
        <w:t>prima coloană indică activitățile economice în care angajamentul este asumat de către Indonezia și domeniul de aplicare al liberalizării în care se aplică rezerve și</w:t>
      </w:r>
    </w:p>
    <w:p>
      <w:pPr>
        <w:rPr>
          <w:noProof/>
        </w:rPr>
      </w:pPr>
    </w:p>
    <w:p>
      <w:pPr>
        <w:ind w:left="567" w:hanging="567"/>
        <w:rPr>
          <w:noProof/>
        </w:rPr>
      </w:pPr>
      <w:r>
        <w:rPr>
          <w:noProof/>
        </w:rPr>
        <w:t>(b)</w:t>
      </w:r>
      <w:r>
        <w:rPr>
          <w:noProof/>
        </w:rPr>
        <w:tab/>
        <w:t>a doua coloană descrie rezervele aplicabile cu privire la articolele 8.7, 8.8, 8.9 și 8.11.</w:t>
      </w:r>
    </w:p>
    <w:p>
      <w:pPr>
        <w:rPr>
          <w:noProof/>
        </w:rPr>
      </w:pPr>
    </w:p>
    <w:p>
      <w:pPr>
        <w:rPr>
          <w:noProof/>
        </w:rPr>
      </w:pPr>
      <w:r>
        <w:rPr>
          <w:noProof/>
        </w:rPr>
        <w:t>2.</w:t>
      </w:r>
      <w:r>
        <w:rPr>
          <w:noProof/>
        </w:rPr>
        <w:tab/>
        <w:t>Nu se asumă angajamente în ceea ce privește stabilirea în sectoarele sau subsectoarele reglementate de prezentul acord care sunt excluse sau nu sunt enumerate în coloana sectorială de mai jos.</w:t>
      </w:r>
    </w:p>
    <w:p>
      <w:pPr>
        <w:rPr>
          <w:noProof/>
        </w:rPr>
      </w:pPr>
    </w:p>
    <w:p>
      <w:pPr>
        <w:rPr>
          <w:noProof/>
        </w:rPr>
      </w:pPr>
      <w:r>
        <w:rPr>
          <w:noProof/>
        </w:rPr>
        <w:t>3.</w:t>
      </w:r>
      <w:r>
        <w:rPr>
          <w:noProof/>
        </w:rPr>
        <w:tab/>
        <w:t>La identificarea sectoarelor și subsectoarelor individuale:</w:t>
      </w:r>
    </w:p>
    <w:p>
      <w:pPr>
        <w:rPr>
          <w:noProof/>
        </w:rPr>
      </w:pPr>
    </w:p>
    <w:p>
      <w:pPr>
        <w:ind w:left="567" w:hanging="567"/>
        <w:rPr>
          <w:noProof/>
        </w:rPr>
      </w:pPr>
      <w:r>
        <w:rPr>
          <w:noProof/>
        </w:rPr>
        <w:t>(a)</w:t>
      </w:r>
      <w:r>
        <w:rPr>
          <w:noProof/>
        </w:rPr>
        <w:tab/>
        <w:t>„CPC” înseamnă Clasificarea centrală provizorie a produselor (Statistical Papers, seria M, nr. 77, Departamentul Afaceri Sociale și Economice Internaționale, Oficiul de Statistică al Organizației Națiunilor Unite, New York, 1991);</w:t>
      </w:r>
    </w:p>
    <w:p>
      <w:pPr>
        <w:rPr>
          <w:noProof/>
        </w:rPr>
      </w:pPr>
    </w:p>
    <w:p>
      <w:pPr>
        <w:rPr>
          <w:noProof/>
        </w:rPr>
      </w:pPr>
      <w:r>
        <w:rPr>
          <w:noProof/>
        </w:rPr>
        <w:br w:type="page"/>
      </w:r>
    </w:p>
    <w:p>
      <w:pPr>
        <w:ind w:left="567" w:hanging="567"/>
        <w:rPr>
          <w:noProof/>
        </w:rPr>
      </w:pPr>
      <w:r>
        <w:rPr>
          <w:noProof/>
        </w:rPr>
        <w:lastRenderedPageBreak/>
        <w:t>(b)</w:t>
      </w:r>
      <w:r>
        <w:rPr>
          <w:noProof/>
        </w:rPr>
        <w:tab/>
        <w:t>„ISIC” înseamnă standardul indonezian de clasificare industrială (Klasifikasi Baku Lapangan Usaha Indonesia/KBLI) 2020 și</w:t>
      </w:r>
    </w:p>
    <w:p>
      <w:pPr>
        <w:rPr>
          <w:noProof/>
        </w:rPr>
      </w:pPr>
    </w:p>
    <w:p>
      <w:pPr>
        <w:ind w:left="567" w:hanging="567"/>
        <w:rPr>
          <w:noProof/>
        </w:rPr>
      </w:pPr>
      <w:r>
        <w:rPr>
          <w:noProof/>
        </w:rPr>
        <w:t>(c)</w:t>
      </w:r>
      <w:r>
        <w:rPr>
          <w:noProof/>
        </w:rPr>
        <w:tab/>
        <w:t>„ISIC rev 4” înseamnă Clasificarea industrială internațională standard pentru toate activitățile economice, astfel cum este stabilită de Oficiul Statistic al Organizației Națiunilor Unite, Statistical Papers, seria M, nr. 4, ISIC REV 4, 2008.</w:t>
      </w:r>
    </w:p>
    <w:p>
      <w:pPr>
        <w:rPr>
          <w:noProof/>
        </w:rPr>
      </w:pPr>
    </w:p>
    <w:p>
      <w:pPr>
        <w:rPr>
          <w:noProof/>
        </w:rPr>
      </w:pPr>
      <w:r>
        <w:rPr>
          <w:noProof/>
        </w:rPr>
        <w:t>4.</w:t>
      </w:r>
      <w:r>
        <w:rPr>
          <w:noProof/>
        </w:rPr>
        <w:tab/>
        <w:t>În absența unei trimiteri specifice la un număr ISIC sau CPC, domeniul de aplicare al subsectoarelor sau al activităților economice vizate de rubrica respectivă va face obiectul trimiterilor relevante și aplicabile, inclusiv:</w:t>
      </w:r>
    </w:p>
    <w:p>
      <w:pPr>
        <w:rPr>
          <w:noProof/>
        </w:rPr>
      </w:pPr>
    </w:p>
    <w:p>
      <w:pPr>
        <w:ind w:left="567" w:hanging="567"/>
        <w:rPr>
          <w:noProof/>
        </w:rPr>
      </w:pPr>
      <w:r>
        <w:rPr>
          <w:noProof/>
        </w:rPr>
        <w:t>(a)</w:t>
      </w:r>
      <w:r>
        <w:rPr>
          <w:noProof/>
        </w:rPr>
        <w:tab/>
        <w:t>în cazul serviciilor financiare, se va face trimitere la anexa GATS privind serviciile financiare; sau</w:t>
      </w:r>
    </w:p>
    <w:p>
      <w:pPr>
        <w:rPr>
          <w:noProof/>
        </w:rPr>
      </w:pPr>
    </w:p>
    <w:p>
      <w:pPr>
        <w:ind w:left="567" w:hanging="567"/>
        <w:rPr>
          <w:noProof/>
        </w:rPr>
      </w:pPr>
      <w:r>
        <w:rPr>
          <w:noProof/>
        </w:rPr>
        <w:t>(b)</w:t>
      </w:r>
      <w:r>
        <w:rPr>
          <w:noProof/>
        </w:rPr>
        <w:tab/>
        <w:t>în cazul transportului aerian, domeniul de aplicare al activităților va fi în conformitate cu articolul 8.6, cu excepția cazului în care este calificat prin trimitere la ISIC.</w:t>
      </w:r>
    </w:p>
    <w:p>
      <w:pPr>
        <w:rPr>
          <w:noProof/>
        </w:rPr>
      </w:pPr>
    </w:p>
    <w:p>
      <w:pPr>
        <w:rPr>
          <w:noProof/>
        </w:rPr>
      </w:pPr>
      <w:r>
        <w:rPr>
          <w:noProof/>
        </w:rPr>
        <w:t>5.</w:t>
      </w:r>
      <w:r>
        <w:rPr>
          <w:noProof/>
        </w:rPr>
        <w:tab/>
        <w:t>Asteriscul dublu (</w:t>
      </w:r>
      <w:r>
        <w:rPr>
          <w:b/>
          <w:noProof/>
          <w:vertAlign w:val="superscript"/>
        </w:rPr>
        <w:t>**</w:t>
      </w:r>
      <w:r>
        <w:rPr>
          <w:noProof/>
        </w:rPr>
        <w:t>) după numărul CPC indică faptul că domeniul de aplicare al serviciilor specificate constituie doar o parte din gama totală de activități încadrate la codul corespondent din CPC.</w:t>
      </w:r>
    </w:p>
    <w:p>
      <w:pPr>
        <w:rPr>
          <w:noProof/>
        </w:rPr>
      </w:pPr>
    </w:p>
    <w:p>
      <w:pPr>
        <w:rPr>
          <w:noProof/>
        </w:rPr>
      </w:pPr>
      <w:bookmarkStart w:id="41" w:name="_Hlk201146955"/>
      <w:r>
        <w:rPr>
          <w:noProof/>
        </w:rPr>
        <w:t>6.</w:t>
      </w:r>
      <w:r>
        <w:rPr>
          <w:noProof/>
        </w:rPr>
        <w:tab/>
        <w:t>Sectoarele sau subsectoarele fac obiectul articolului 8.10 alineatele (2) și (3) în ceea ce privește măsurile indicate în coloana „Descrierea rezervelor”, dacă sunt marcate cu:</w:t>
      </w:r>
    </w:p>
    <w:p>
      <w:pPr>
        <w:rPr>
          <w:noProof/>
        </w:rPr>
      </w:pPr>
    </w:p>
    <w:p>
      <w:pPr>
        <w:ind w:left="567" w:hanging="567"/>
        <w:rPr>
          <w:noProof/>
        </w:rPr>
      </w:pPr>
      <w:r>
        <w:rPr>
          <w:noProof/>
        </w:rPr>
        <w:t>(a)</w:t>
      </w:r>
      <w:r>
        <w:rPr>
          <w:noProof/>
        </w:rPr>
        <w:tab/>
        <w:t>„LV” – se aplică măsurilor privind accesul pe piață și tratamentul național;</w:t>
      </w:r>
    </w:p>
    <w:p>
      <w:pPr>
        <w:rPr>
          <w:noProof/>
        </w:rPr>
      </w:pPr>
    </w:p>
    <w:p>
      <w:pPr>
        <w:widowControl/>
        <w:spacing w:line="240" w:lineRule="auto"/>
        <w:rPr>
          <w:noProof/>
        </w:rPr>
      </w:pPr>
      <w:r>
        <w:rPr>
          <w:noProof/>
        </w:rPr>
        <w:br w:type="page"/>
      </w:r>
    </w:p>
    <w:p>
      <w:pPr>
        <w:ind w:left="567" w:hanging="567"/>
        <w:rPr>
          <w:noProof/>
        </w:rPr>
      </w:pPr>
      <w:r>
        <w:rPr>
          <w:noProof/>
        </w:rPr>
        <w:lastRenderedPageBreak/>
        <w:t>(b)</w:t>
      </w:r>
      <w:r>
        <w:rPr>
          <w:noProof/>
        </w:rPr>
        <w:tab/>
        <w:t>„LV AP” – se aplică măsurilor privind accesul pe piață; sau</w:t>
      </w:r>
    </w:p>
    <w:p>
      <w:pPr>
        <w:rPr>
          <w:noProof/>
        </w:rPr>
      </w:pPr>
    </w:p>
    <w:p>
      <w:pPr>
        <w:ind w:left="567" w:hanging="567"/>
        <w:rPr>
          <w:noProof/>
        </w:rPr>
      </w:pPr>
      <w:r>
        <w:rPr>
          <w:noProof/>
        </w:rPr>
        <w:t>(c)</w:t>
      </w:r>
      <w:r>
        <w:rPr>
          <w:noProof/>
        </w:rPr>
        <w:tab/>
        <w:t>„LV TN” – se aplică măsurilor de tratament național.</w:t>
      </w:r>
      <w:bookmarkEnd w:id="41"/>
    </w:p>
    <w:p>
      <w:pPr>
        <w:rPr>
          <w:noProof/>
        </w:rPr>
      </w:pPr>
    </w:p>
    <w:p>
      <w:pPr>
        <w:rPr>
          <w:noProof/>
        </w:rPr>
      </w:pPr>
      <w:r>
        <w:rPr>
          <w:noProof/>
        </w:rPr>
        <w:t>7.</w:t>
      </w:r>
      <w:r>
        <w:rPr>
          <w:noProof/>
        </w:rPr>
        <w:tab/>
        <w:t>Sectoarele sau subsectoarele marcate cu „CNF” fac obiectul articolului 8.9 pentru măsurile care intră atât sub incidența accesului pe piață, cât și a tratamentului național, astfel cum se indică în coloana „Descrierea rezervelor”.</w:t>
      </w:r>
    </w:p>
    <w:p>
      <w:pPr>
        <w:rPr>
          <w:noProof/>
        </w:rPr>
      </w:pPr>
    </w:p>
    <w:p>
      <w:pPr>
        <w:rPr>
          <w:noProof/>
        </w:rPr>
      </w:pPr>
      <w:r>
        <w:rPr>
          <w:noProof/>
        </w:rPr>
        <w:t>8.</w:t>
      </w:r>
      <w:r>
        <w:rPr>
          <w:noProof/>
        </w:rPr>
        <w:tab/>
        <w:t>Sectoarele sau subsectoarele marcate cu „LCR” fac obiectul unor condiții stabilite pe baza cerințelor prevăzute în rezervele privind cerințele de performanță din secțiunea orizontală.</w:t>
      </w:r>
    </w:p>
    <w:p>
      <w:pPr>
        <w:rPr>
          <w:noProof/>
        </w:rPr>
      </w:pPr>
    </w:p>
    <w:p>
      <w:pPr>
        <w:rPr>
          <w:noProof/>
        </w:rPr>
      </w:pPr>
      <w:r>
        <w:rPr>
          <w:noProof/>
        </w:rPr>
        <w:t>9.</w:t>
      </w:r>
      <w:r>
        <w:rPr>
          <w:noProof/>
        </w:rPr>
        <w:tab/>
        <w:t>Lista angajamentelor care figurează în prezenta anexă nu include măsuri cu privire la cerințele și procedurile de calificare, la standardele tehnice și la cerințele și procedurile de acordare a licențelor atunci când acestea nu reprezintă o limitare a accesului pe piață sau a tratamentului național în sensul articolului 8.7 sau al articolului 8.8. Măsurile respective (de exemplu, obligativitatea obținerii unei licențe, obligațiile de serviciu universal, necesitatea recunoașterii calificărilor în sectoarele reglementate, necesitatea promovării unor examene specifice, inclusiv a unor examene de limbă și cerințele nediscriminatorii conform cărora anumite activități nu se pot desfășura în zone protejate din punct de vedere al mediului sau în zone de interes istoric și artistic deosebit), chiar dacă nu sunt menționate, se aplică în orice caz societăților stabilite în Uniune și investitorilor din Uniune.</w:t>
      </w:r>
    </w:p>
    <w:p>
      <w:pPr>
        <w:rPr>
          <w:noProof/>
        </w:rPr>
      </w:pPr>
    </w:p>
    <w:p>
      <w:pPr>
        <w:rPr>
          <w:noProof/>
        </w:rPr>
      </w:pPr>
      <w:r>
        <w:rPr>
          <w:noProof/>
        </w:rPr>
        <w:t>10.</w:t>
      </w:r>
      <w:r>
        <w:rPr>
          <w:noProof/>
        </w:rPr>
        <w:tab/>
        <w:t>În sectoarele în care se aplică teste privind necesitățile economice, criteriul principal al acestora va fi evaluarea situației pieței relevante pe teritoriul Indoneziei sau în regiunea în care urmează să fie furnizat serviciul, inclusiv în ceea ce privește numărul furnizorilor de servicii existenți și impactul asupra acestora.</w:t>
      </w:r>
    </w:p>
    <w:p>
      <w:pPr>
        <w:rPr>
          <w:noProof/>
        </w:rPr>
      </w:pPr>
    </w:p>
    <w:p>
      <w:pPr>
        <w:widowControl/>
        <w:spacing w:line="240" w:lineRule="auto"/>
        <w:rPr>
          <w:noProof/>
        </w:rPr>
      </w:pPr>
      <w:r>
        <w:rPr>
          <w:noProof/>
        </w:rPr>
        <w:br w:type="page"/>
      </w:r>
    </w:p>
    <w:p>
      <w:pPr>
        <w:rPr>
          <w:noProof/>
        </w:rPr>
      </w:pPr>
      <w:r>
        <w:rPr>
          <w:noProof/>
        </w:rPr>
        <w:lastRenderedPageBreak/>
        <w:t>11.</w:t>
      </w:r>
      <w:r>
        <w:rPr>
          <w:noProof/>
        </w:rPr>
        <w:tab/>
        <w:t>Restricțiile, condițiile și limitările din secțiunea orizontală se aplică „tuturor sectoarelor”, astfel cum se specifică în coloana sectorială, cu excepția cazului în care se prevede altfel în condițiile generale sau în secțiunea sectorială. Acestea fie reflectă o măsură care constituie o limitare a accesului pe piață sau a tratamentului național ori cerințe de performanță, fie consolidează o situație în care nu există astfel de limitări.</w:t>
      </w:r>
    </w:p>
    <w:p>
      <w:pPr>
        <w:rPr>
          <w:noProof/>
        </w:rPr>
      </w:pPr>
    </w:p>
    <w:p>
      <w:pPr>
        <w:rPr>
          <w:noProof/>
        </w:rPr>
      </w:pPr>
      <w:r>
        <w:rPr>
          <w:noProof/>
        </w:rPr>
        <w:t>12.</w:t>
      </w:r>
      <w:r>
        <w:rPr>
          <w:noProof/>
        </w:rPr>
        <w:tab/>
        <w:t>Prin mențiunea „neconsolidat pentru” trebuie să se înțeleagă că nu există niciun angajament în sectoarele specifice în ceea ce privește obligațiile specifice.</w:t>
      </w:r>
    </w:p>
    <w:p>
      <w:pPr>
        <w:rPr>
          <w:noProof/>
        </w:rPr>
      </w:pPr>
    </w:p>
    <w:p>
      <w:pPr>
        <w:rPr>
          <w:noProof/>
        </w:rPr>
      </w:pPr>
      <w:r>
        <w:rPr>
          <w:noProof/>
        </w:rPr>
        <w:t>13.</w:t>
      </w:r>
      <w:r>
        <w:rPr>
          <w:noProof/>
        </w:rPr>
        <w:tab/>
        <w:t>Mențiunea „niciuna” în secțiunea sectorială trebuie interpretată în sensul că nu se aplică restricții sau condiții în sectorul specific. Cu toate acestea, orice limitare relevantă prevăzută în secțiunea orizontală și condițiile generale din listă, după caz, se va aplica în continuare.</w:t>
      </w:r>
    </w:p>
    <w:p>
      <w:pPr>
        <w:rPr>
          <w:noProof/>
        </w:rPr>
      </w:pPr>
    </w:p>
    <w:p>
      <w:pPr>
        <w:rPr>
          <w:noProof/>
        </w:rPr>
      </w:pPr>
      <w:r>
        <w:rPr>
          <w:noProof/>
        </w:rPr>
        <w:t>14.</w:t>
      </w:r>
      <w:r>
        <w:rPr>
          <w:noProof/>
        </w:rPr>
        <w:tab/>
        <w:t>Mențiunea „niciuna, cu excepția” din secțiunea sectorială trebuie interpretată ca o combinație între restricțiile orizontale și condițiile prevăzute în secțiunea orizontală și restricțiile sectoriale, cu excepția cazului în care se prevede altfel în mod explicit la rubrica respectivă.</w:t>
      </w:r>
    </w:p>
    <w:p>
      <w:pPr>
        <w:rPr>
          <w:noProof/>
        </w:rPr>
      </w:pPr>
    </w:p>
    <w:p>
      <w:pPr>
        <w:rPr>
          <w:noProof/>
        </w:rPr>
      </w:pPr>
      <w:r>
        <w:rPr>
          <w:noProof/>
        </w:rPr>
        <w:t>15.</w:t>
      </w:r>
      <w:r>
        <w:rPr>
          <w:noProof/>
        </w:rPr>
        <w:tab/>
      </w:r>
      <w:bookmarkStart w:id="42" w:name="_Hlk228368092"/>
      <w:bookmarkStart w:id="43" w:name="_Hlk228308527"/>
      <w:r>
        <w:rPr>
          <w:noProof/>
        </w:rPr>
        <w:t>O rezervă care îi impune unui furnizor de servicii să fie resortisant indonezian sau rezident pe teritoriul Indoneziei ca o condiție pentru furnizarea unui serviciu pe teritoriul său sau o rezervă enumerată în lista angajamentelor din anexa 8-G (Lista angajamentelor privind prezența temporară a persoanelor fizice în scopuri de afaceri – Indonezia) funcționează ca o rezervă referitoare la angajamentele privind stabilirea asumate în prezenta anexă în conformitate cu articolul 8.10, în măsura aplicabilă.</w:t>
      </w:r>
      <w:bookmarkEnd w:id="42"/>
    </w:p>
    <w:bookmarkEnd w:id="43"/>
    <w:p>
      <w:pPr>
        <w:rPr>
          <w:noProof/>
        </w:rPr>
      </w:pPr>
    </w:p>
    <w:p>
      <w:pPr>
        <w:widowControl/>
        <w:spacing w:line="240" w:lineRule="auto"/>
        <w:rPr>
          <w:noProof/>
        </w:rPr>
      </w:pPr>
      <w:r>
        <w:rPr>
          <w:noProof/>
        </w:rPr>
        <w:br w:type="page"/>
      </w:r>
    </w:p>
    <w:p>
      <w:pPr>
        <w:rPr>
          <w:noProof/>
        </w:rPr>
      </w:pPr>
      <w:r>
        <w:rPr>
          <w:noProof/>
        </w:rPr>
        <w:lastRenderedPageBreak/>
        <w:t>16.</w:t>
      </w:r>
      <w:r>
        <w:rPr>
          <w:noProof/>
        </w:rPr>
        <w:tab/>
        <w:t>Drepturile și obligațiile care derivă din lista de mai jos nu au efect direct aplicabil și, astfel, nu conferă în mod direct drepturi persoanelor fizice sau juridice.</w:t>
      </w:r>
    </w:p>
    <w:p>
      <w:pPr>
        <w:rPr>
          <w:noProof/>
        </w:rPr>
      </w:pPr>
    </w:p>
    <w:p>
      <w:pPr>
        <w:rPr>
          <w:noProof/>
        </w:rPr>
      </w:pPr>
      <w:r>
        <w:rPr>
          <w:noProof/>
        </w:rPr>
        <w:t>17.</w:t>
      </w:r>
      <w:r>
        <w:rPr>
          <w:noProof/>
        </w:rPr>
        <w:tab/>
        <w:t>În interpretarea unei rezerve, se iau în considerare toate elementele unei rezerve. Descrierea rezervelor prevalează asupra tuturor celorlalte elemente.</w:t>
      </w:r>
    </w:p>
    <w:p>
      <w:pPr>
        <w:rPr>
          <w:noProof/>
        </w:rPr>
      </w:pPr>
    </w:p>
    <w:p>
      <w:pPr>
        <w:rPr>
          <w:noProof/>
        </w:rPr>
      </w:pPr>
      <w:r>
        <w:rPr>
          <w:noProof/>
        </w:rPr>
        <w:t>18.</w:t>
      </w:r>
      <w:r>
        <w:rPr>
          <w:noProof/>
        </w:rPr>
        <w:tab/>
      </w:r>
      <w:bookmarkStart w:id="44" w:name="_Hlk228308828"/>
      <w:r>
        <w:rPr>
          <w:noProof/>
        </w:rPr>
        <w:t>Punctele 1-17 fac parte din rezervele Indoneziei.</w:t>
      </w:r>
      <w:bookmarkEnd w:id="44"/>
    </w:p>
    <w:p>
      <w:pPr>
        <w:rPr>
          <w:noProof/>
        </w:rPr>
      </w:pPr>
    </w:p>
    <w:p>
      <w:pPr>
        <w:rPr>
          <w:noProof/>
        </w:rPr>
      </w:pPr>
    </w:p>
    <w:p>
      <w:pPr>
        <w:rPr>
          <w:noProof/>
        </w:rPr>
        <w:sectPr>
          <w:headerReference w:type="even" r:id="rId56"/>
          <w:headerReference w:type="default" r:id="rId57"/>
          <w:footerReference w:type="even" r:id="rId58"/>
          <w:footerReference w:type="default" r:id="rId59"/>
          <w:headerReference w:type="first" r:id="rId60"/>
          <w:footerReference w:type="first" r:id="rId61"/>
          <w:footnotePr>
            <w:numRestart w:val="eachSect"/>
          </w:footnotePr>
          <w:endnotePr>
            <w:numFmt w:val="decimal"/>
          </w:endnotePr>
          <w:pgSz w:w="11907" w:h="16840" w:code="9"/>
          <w:pgMar w:top="1134" w:right="1134" w:bottom="1134" w:left="1134" w:header="567" w:footer="567" w:gutter="0"/>
          <w:pgNumType w:start="1"/>
          <w:cols w:space="708"/>
          <w:docGrid w:linePitch="360"/>
        </w:sectPr>
      </w:pPr>
    </w:p>
    <w:tbl>
      <w:tblPr>
        <w:tblStyle w:val="TableGrid"/>
        <w:tblW w:w="5000" w:type="pct"/>
        <w:tblLayout w:type="fixed"/>
        <w:tblLook w:val="04A0" w:firstRow="1" w:lastRow="0" w:firstColumn="1" w:lastColumn="0" w:noHBand="0" w:noVBand="1"/>
      </w:tblPr>
      <w:tblGrid>
        <w:gridCol w:w="5146"/>
        <w:gridCol w:w="1031"/>
        <w:gridCol w:w="8385"/>
      </w:tblGrid>
      <w:tr>
        <w:trPr>
          <w:tblHeader/>
        </w:trPr>
        <w:tc>
          <w:tcPr>
            <w:tcW w:w="1767" w:type="pct"/>
          </w:tcPr>
          <w:p>
            <w:pPr>
              <w:widowControl/>
              <w:suppressAutoHyphens/>
              <w:spacing w:before="60" w:after="60" w:line="240" w:lineRule="auto"/>
              <w:jc w:val="center"/>
              <w:rPr>
                <w:rFonts w:ascii="Times New Roman" w:hAnsi="Times New Roman"/>
                <w:noProof/>
              </w:rPr>
            </w:pPr>
            <w:r>
              <w:rPr>
                <w:rFonts w:ascii="Times New Roman" w:hAnsi="Times New Roman"/>
                <w:noProof/>
              </w:rPr>
              <w:lastRenderedPageBreak/>
              <w:t>Sectorul sau subsectorul</w:t>
            </w:r>
          </w:p>
        </w:tc>
        <w:tc>
          <w:tcPr>
            <w:tcW w:w="3233" w:type="pct"/>
            <w:gridSpan w:val="2"/>
          </w:tcPr>
          <w:p>
            <w:pPr>
              <w:widowControl/>
              <w:suppressAutoHyphens/>
              <w:spacing w:before="60" w:after="60" w:line="240" w:lineRule="auto"/>
              <w:jc w:val="center"/>
              <w:rPr>
                <w:rFonts w:ascii="Times New Roman" w:hAnsi="Times New Roman"/>
                <w:noProof/>
              </w:rPr>
            </w:pPr>
            <w:r>
              <w:rPr>
                <w:rFonts w:ascii="Times New Roman" w:hAnsi="Times New Roman"/>
                <w:noProof/>
              </w:rPr>
              <w:t>Descrierea rezervelor</w:t>
            </w: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I. SECȚIUNE ORIZONTALĂ</w:t>
            </w:r>
          </w:p>
        </w:tc>
      </w:tr>
      <w:tr>
        <w:tc>
          <w:tcPr>
            <w:tcW w:w="1767" w:type="pct"/>
            <w:vMerge w:val="restar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Toate sectoarele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Forma de stabilire</w:t>
            </w:r>
          </w:p>
          <w:p>
            <w:pPr>
              <w:widowControl/>
              <w:suppressAutoHyphens/>
              <w:spacing w:before="60" w:after="60" w:line="240" w:lineRule="auto"/>
              <w:rPr>
                <w:rFonts w:ascii="Times New Roman" w:hAnsi="Times New Roman"/>
                <w:noProof/>
              </w:rPr>
            </w:pPr>
            <w:r>
              <w:rPr>
                <w:rFonts w:ascii="Times New Roman" w:hAnsi="Times New Roman"/>
                <w:noProof/>
              </w:rPr>
              <w:t xml:space="preserve">Stabilirea întreprinderilor din Uniune se face sub forma unei societăți cu răspundere limitată, cu excepția cazului în care se prevede altfel, în conformitate cu actele cu putere de lege și normele administrative ale Indoneziei. </w:t>
            </w:r>
          </w:p>
        </w:tc>
      </w:tr>
      <w:tr>
        <w:tc>
          <w:tcPr>
            <w:tcW w:w="1767" w:type="pct"/>
            <w:vMerge/>
            <w:tcBorders>
              <w:bottom w:val="nil"/>
            </w:tcBorders>
          </w:tcPr>
          <w:p>
            <w:pPr>
              <w:widowControl/>
              <w:suppressAutoHyphens/>
              <w:spacing w:before="60" w:after="60" w:line="240" w:lineRule="auto"/>
              <w:rPr>
                <w:rFonts w:ascii="Times New Roman" w:hAnsi="Times New Roman"/>
                <w:noProof/>
              </w:rPr>
            </w:pP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Cerința minimă de investiții</w:t>
            </w:r>
          </w:p>
          <w:p>
            <w:pPr>
              <w:widowControl/>
              <w:suppressAutoHyphens/>
              <w:spacing w:before="60" w:after="60" w:line="240" w:lineRule="auto"/>
              <w:rPr>
                <w:rFonts w:ascii="Times New Roman" w:hAnsi="Times New Roman"/>
                <w:noProof/>
              </w:rPr>
            </w:pPr>
            <w:r>
              <w:rPr>
                <w:rFonts w:ascii="Times New Roman" w:hAnsi="Times New Roman"/>
                <w:noProof/>
              </w:rPr>
              <w:t>Investițiile străine trebuie să aibă o valoare totală a investițiilor de peste 10 miliarde IDR (excluzând terenurile și clădirile) și de cel puțin 10 miliarde IDR pentru capitalul emis sau vărsat, cu excepția cazului în care se prevede altfel în conformitate cu actele cu putere de lege și normele administrative relevante. Această cerință exclude sectoarele și subsectoarele în care Indonezia și-a asumat angajamente în temeiul GATS.</w:t>
            </w:r>
          </w:p>
        </w:tc>
      </w:tr>
      <w:tr>
        <w:tc>
          <w:tcPr>
            <w:tcW w:w="1767" w:type="pct"/>
            <w:vMerge/>
            <w:tcBorders>
              <w:bottom w:val="nil"/>
            </w:tcBorders>
          </w:tcPr>
          <w:p>
            <w:pPr>
              <w:widowControl/>
              <w:suppressAutoHyphens/>
              <w:spacing w:before="60" w:after="60" w:line="240" w:lineRule="auto"/>
              <w:rPr>
                <w:rFonts w:ascii="Times New Roman" w:hAnsi="Times New Roman"/>
                <w:noProof/>
              </w:rPr>
            </w:pP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Achiziționarea sau închirierea de terenuri</w:t>
            </w:r>
          </w:p>
          <w:p>
            <w:pPr>
              <w:widowControl/>
              <w:suppressAutoHyphens/>
              <w:spacing w:before="60" w:after="60" w:line="240" w:lineRule="auto"/>
              <w:rPr>
                <w:rFonts w:ascii="Times New Roman" w:hAnsi="Times New Roman"/>
                <w:noProof/>
              </w:rPr>
            </w:pPr>
            <w:r>
              <w:rPr>
                <w:rFonts w:ascii="Times New Roman" w:hAnsi="Times New Roman"/>
                <w:noProof/>
              </w:rPr>
              <w:t>Dreptul de proprietate asupra terenurilor este limitat doar la resortisanții indonezieni. Persoanele fizice și juridice străine pot achiziționa terenuri, clădiri sau bunuri imobiliare cu un titlu specific, sub rezerva aprobării de către autoritățile relevante în conformitate cu actele cu putere de lege și normele administrative ale Indoneziei, pe baza următoarelor drepturi: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dreptul de emfiteoză (</w:t>
            </w:r>
            <w:r>
              <w:rPr>
                <w:rFonts w:ascii="Times New Roman" w:hAnsi="Times New Roman"/>
                <w:i/>
                <w:noProof/>
              </w:rPr>
              <w:t>hak guna usaha</w:t>
            </w:r>
            <w:r>
              <w:rPr>
                <w:rFonts w:ascii="Times New Roman" w:hAnsi="Times New Roman"/>
                <w:noProof/>
              </w:rPr>
              <w:t>), acordat unei societăți străine pentru o perioadă maximă de 35 de ani, care poate fi prelungită cu o perioadă suplimentară de 25 de ani;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drepturi de construcție (</w:t>
            </w:r>
            <w:r>
              <w:rPr>
                <w:rFonts w:ascii="Times New Roman" w:hAnsi="Times New Roman"/>
                <w:i/>
                <w:noProof/>
              </w:rPr>
              <w:t>hak guna bangunan</w:t>
            </w:r>
            <w:r>
              <w:rPr>
                <w:rFonts w:ascii="Times New Roman" w:hAnsi="Times New Roman"/>
                <w:noProof/>
              </w:rPr>
              <w:t>), acordate unei societăți străine pentru o perioadă maximă de 30 de ani, care poate fi prelungită cu o perioadă suplimentară de 20 de ani;</w:t>
            </w:r>
          </w:p>
        </w:tc>
      </w:tr>
      <w:tr>
        <w:trPr>
          <w:trHeight w:val="1935"/>
        </w:trPr>
        <w:tc>
          <w:tcPr>
            <w:tcW w:w="1767" w:type="pct"/>
            <w:vMerge w:val="restart"/>
            <w:tcBorders>
              <w:top w:val="nil"/>
              <w:bottom w:val="nil"/>
            </w:tcBorders>
          </w:tcPr>
          <w:p>
            <w:pPr>
              <w:pageBreakBefore/>
              <w:suppressAutoHyphens/>
              <w:spacing w:before="60" w:after="60" w:line="240" w:lineRule="auto"/>
              <w:rPr>
                <w:noProof/>
              </w:rPr>
            </w:pPr>
          </w:p>
        </w:tc>
        <w:tc>
          <w:tcPr>
            <w:tcW w:w="3233" w:type="pct"/>
            <w:gridSpan w:val="2"/>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dreptul de utilizare (</w:t>
            </w:r>
            <w:r>
              <w:rPr>
                <w:rFonts w:ascii="Times New Roman" w:hAnsi="Times New Roman"/>
                <w:i/>
                <w:noProof/>
              </w:rPr>
              <w:t>hak pakai</w:t>
            </w:r>
            <w:r>
              <w:rPr>
                <w:rFonts w:ascii="Times New Roman" w:hAnsi="Times New Roman"/>
                <w:noProof/>
              </w:rPr>
              <w:t>), acordat unui resortisant străin care este investitor străin sau unei societăți străine pentru o perioadă maximă de 30 de ani, care poate fi prelungită cu o perioadă suplimentară de 20 de ani;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dreptul de închiriere (</w:t>
            </w:r>
            <w:r>
              <w:rPr>
                <w:rFonts w:ascii="Times New Roman" w:hAnsi="Times New Roman"/>
                <w:i/>
                <w:noProof/>
              </w:rPr>
              <w:t>hak sewa</w:t>
            </w:r>
            <w:r>
              <w:rPr>
                <w:rFonts w:ascii="Times New Roman" w:hAnsi="Times New Roman"/>
                <w:noProof/>
              </w:rPr>
              <w:t>), acordat unui resortisant străin sau unei societăți străine pentru o perioadă determinată convenită de părți.</w:t>
            </w:r>
          </w:p>
          <w:p>
            <w:pPr>
              <w:suppressAutoHyphens/>
              <w:spacing w:before="60" w:after="60" w:line="240" w:lineRule="auto"/>
              <w:rPr>
                <w:rFonts w:ascii="Times New Roman" w:hAnsi="Times New Roman"/>
                <w:noProof/>
              </w:rPr>
            </w:pPr>
            <w:r>
              <w:rPr>
                <w:rFonts w:ascii="Times New Roman" w:hAnsi="Times New Roman"/>
                <w:noProof/>
              </w:rPr>
              <w:t>Se aplică norme specifice în ceea ce privește dreptul de proprietate asupra clădirilor și drepturile de proprietate limitate în regiunile geografice specifice desemnate pentru comunitățile locale. Cerința minimă de investiții</w:t>
            </w:r>
          </w:p>
          <w:p>
            <w:pPr>
              <w:widowControl/>
              <w:suppressAutoHyphens/>
              <w:spacing w:before="60" w:after="60" w:line="240" w:lineRule="auto"/>
              <w:rPr>
                <w:noProof/>
              </w:rPr>
            </w:pPr>
            <w:r>
              <w:rPr>
                <w:rFonts w:ascii="Times New Roman" w:hAnsi="Times New Roman"/>
                <w:noProof/>
              </w:rPr>
              <w:t>Investițiile străine trebuie să aibă o valoare totală a investițiilor de peste 10 miliarde IDR (excluzând terenurile și clădirile) și de cel puțin 10 miliarde IDR pentru capitalul emis sau vărsat, cu excepția cazului în care se prevede altfel în conformitate cu actele cu putere de lege și normele administrative relevante. Această cerință exclude sectoarele și subsectoarele în care Indonezia și-a asumat angajamente în temeiul GATS.</w:t>
            </w:r>
          </w:p>
        </w:tc>
      </w:tr>
      <w:tr>
        <w:tc>
          <w:tcPr>
            <w:tcW w:w="1767" w:type="pct"/>
            <w:vMerge/>
            <w:tcBorders>
              <w:bottom w:val="nil"/>
            </w:tcBorders>
          </w:tcPr>
          <w:p>
            <w:pPr>
              <w:widowControl/>
              <w:suppressAutoHyphens/>
              <w:spacing w:before="60" w:after="60" w:line="240" w:lineRule="auto"/>
              <w:rPr>
                <w:rFonts w:ascii="Times New Roman" w:hAnsi="Times New Roman"/>
                <w:noProof/>
              </w:rPr>
            </w:pP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Impozit pe venit</w:t>
            </w:r>
          </w:p>
          <w:p>
            <w:pPr>
              <w:widowControl/>
              <w:suppressAutoHyphens/>
              <w:spacing w:before="60" w:after="60" w:line="240" w:lineRule="auto"/>
              <w:rPr>
                <w:rFonts w:ascii="Times New Roman" w:hAnsi="Times New Roman"/>
                <w:noProof/>
              </w:rPr>
            </w:pPr>
            <w:r>
              <w:rPr>
                <w:rFonts w:ascii="Times New Roman" w:hAnsi="Times New Roman"/>
                <w:noProof/>
              </w:rPr>
              <w:t>Contribuabilii nerezidenți vor face obiectul unui impozit reținut la sursă de 20 % dacă obțin următoarele venituri dintr-o sursă indoneziană, printre altele: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dobânzi;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redevențe;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dividende;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onorarii din servicii furnizate în Indonezia.</w:t>
            </w:r>
          </w:p>
        </w:tc>
      </w:tr>
      <w:tr>
        <w:trPr>
          <w:trHeight w:val="6405"/>
        </w:trPr>
        <w:tc>
          <w:tcPr>
            <w:tcW w:w="1767" w:type="pct"/>
            <w:tcBorders>
              <w:top w:val="nil"/>
              <w:bottom w:val="nil"/>
            </w:tcBorders>
          </w:tcPr>
          <w:p>
            <w:pPr>
              <w:pageBreakBefore/>
              <w:widowControl/>
              <w:suppressAutoHyphens/>
              <w:spacing w:before="60" w:after="60" w:line="240" w:lineRule="auto"/>
              <w:rPr>
                <w:rFonts w:ascii="Times New Roman" w:hAnsi="Times New Roman"/>
                <w:noProof/>
              </w:rPr>
            </w:pPr>
          </w:p>
        </w:tc>
        <w:tc>
          <w:tcPr>
            <w:tcW w:w="3233" w:type="pct"/>
            <w:gridSpan w:val="2"/>
            <w:vMerge w:val="restart"/>
            <w:tcBorders>
              <w:top w:val="single" w:sz="4" w:space="0" w:color="auto"/>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t>Clauza națiunii celei mai favorizate</w:t>
            </w:r>
          </w:p>
          <w:p>
            <w:pPr>
              <w:widowControl/>
              <w:suppressAutoHyphens/>
              <w:spacing w:before="60" w:after="60" w:line="240" w:lineRule="auto"/>
              <w:rPr>
                <w:rFonts w:ascii="Times New Roman" w:hAnsi="Times New Roman"/>
                <w:noProof/>
              </w:rPr>
            </w:pPr>
            <w:r>
              <w:rPr>
                <w:rFonts w:ascii="Times New Roman" w:hAnsi="Times New Roman"/>
                <w:noProof/>
              </w:rPr>
              <w:t>Indonezia își rezervă dreptul de a adopta sau de a menține orice măsură care acordă un tratament mai favorabil investițiilor sau investitorilor în temeiul oricărui acord internațional bilateral sau multilateral în vigoare sau semnat înainte de data intrării în vigoare a prezentului acord.</w:t>
            </w:r>
          </w:p>
          <w:p>
            <w:pPr>
              <w:widowControl/>
              <w:suppressAutoHyphens/>
              <w:spacing w:before="60" w:after="60" w:line="240" w:lineRule="auto"/>
              <w:rPr>
                <w:rFonts w:ascii="Times New Roman" w:hAnsi="Times New Roman"/>
                <w:noProof/>
              </w:rPr>
            </w:pPr>
            <w:r>
              <w:rPr>
                <w:rFonts w:ascii="Times New Roman" w:hAnsi="Times New Roman"/>
                <w:noProof/>
              </w:rPr>
              <w:t>Indonezia își rezervă dreptul de a adopta sau de a menține orice măsură care acordă un tratament mai favorabil oricărei investiții sau oricărui investitor în temeiul oricărui acord internațional semnat după data intrării în vigoare a prezentului acord, cu excepția tratamentelor pentru sectoarele sau subsectoarele marcate cu „CNF” în secțiunea sectorială.</w:t>
            </w:r>
          </w:p>
          <w:p>
            <w:pPr>
              <w:widowControl/>
              <w:suppressAutoHyphens/>
              <w:spacing w:before="60" w:after="60" w:line="240" w:lineRule="auto"/>
              <w:rPr>
                <w:rFonts w:ascii="Times New Roman" w:hAnsi="Times New Roman"/>
                <w:noProof/>
              </w:rPr>
            </w:pPr>
            <w:r>
              <w:rPr>
                <w:rFonts w:ascii="Times New Roman" w:hAnsi="Times New Roman"/>
                <w:noProof/>
              </w:rPr>
              <w:t>În ceea ce privește sectoarele sau subsectoarele nemarcate drept „CNF”, dacă, după data intrării în vigoare a prezentului acord, Indonezia încheie ulterior orice acord cu o parte terță în care acordă investițiilor sau investitorilor respectivei părți terțe un tratament mai favorabil decât cel pe care îl acordă investițiilor similare sau investitorilor similari din Uniune, Uniunea poate solicita consultări pentru a discuta posibilitatea de a extinde un astfel de tratament. La cererea Uniunii, Indonezia va lua în considerare posibilitatea de a negocia încorporarea unui tratament nu mai puțin favorabil decât cel prevăzut în temeiul acordului în cauză. O astfel de încorporare ține seama de echilibrul general al beneficiilor.</w:t>
            </w:r>
          </w:p>
          <w:p>
            <w:pPr>
              <w:widowControl/>
              <w:suppressAutoHyphens/>
              <w:spacing w:before="60" w:after="60" w:line="240" w:lineRule="auto"/>
              <w:rPr>
                <w:rFonts w:ascii="Times New Roman" w:hAnsi="Times New Roman"/>
                <w:noProof/>
              </w:rPr>
            </w:pPr>
            <w:r>
              <w:rPr>
                <w:rFonts w:ascii="Times New Roman" w:hAnsi="Times New Roman"/>
                <w:noProof/>
              </w:rPr>
              <w:t>Indonezia își rezervă dreptul de a adopta sau de a menține orice măsură referitoare la un tratament mai favorabil acordat investitorilor unei părți terțe și investițiilor acestora care rezultă din: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(a)</w:t>
            </w:r>
            <w:r>
              <w:rPr>
                <w:noProof/>
              </w:rPr>
              <w:tab/>
            </w:r>
            <w:r>
              <w:rPr>
                <w:rFonts w:ascii="Times New Roman" w:hAnsi="Times New Roman"/>
                <w:noProof/>
              </w:rPr>
              <w:t>orice acord sau aranjament preferențial existent sau viitor între statele membre ale ASEAN;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ceea ce privește avantajele acordate țărilor limitrofe în măsura prevăzută la articolul II alineatul (3) din GATS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orice acord internațional în vigoare sau semnat după data intrării în vigoare a prezentului acord, care implică: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aviație;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pescuit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aspecte maritime, inclusiv operațiuni de recuperare.</w:t>
            </w:r>
          </w:p>
        </w:tc>
      </w:tr>
      <w:tr>
        <w:trPr>
          <w:trHeight w:val="2355"/>
        </w:trPr>
        <w:tc>
          <w:tcPr>
            <w:tcW w:w="1767" w:type="pct"/>
            <w:vMerge w:val="restart"/>
            <w:tcBorders>
              <w:top w:val="nil"/>
            </w:tcBorders>
          </w:tcPr>
          <w:p>
            <w:pPr>
              <w:pageBreakBefore/>
              <w:widowControl/>
              <w:suppressAutoHyphens/>
              <w:spacing w:before="60" w:after="60" w:line="240" w:lineRule="auto"/>
              <w:rPr>
                <w:noProof/>
              </w:rPr>
            </w:pPr>
          </w:p>
        </w:tc>
        <w:tc>
          <w:tcPr>
            <w:tcW w:w="3233" w:type="pct"/>
            <w:gridSpan w:val="2"/>
            <w:vMerge/>
            <w:tcBorders>
              <w:bottom w:val="single" w:sz="4" w:space="0" w:color="auto"/>
            </w:tcBorders>
          </w:tcPr>
          <w:p>
            <w:pPr>
              <w:pageBreakBefore/>
              <w:widowControl/>
              <w:suppressAutoHyphens/>
              <w:spacing w:before="60" w:after="60" w:line="240" w:lineRule="auto"/>
              <w:rPr>
                <w:noProof/>
              </w:rPr>
            </w:pPr>
          </w:p>
        </w:tc>
      </w:tr>
      <w:tr>
        <w:tc>
          <w:tcPr>
            <w:tcW w:w="1767" w:type="pct"/>
            <w:vMerge/>
            <w:tcBorders>
              <w:bottom w:val="nil"/>
            </w:tcBorders>
          </w:tcPr>
          <w:p>
            <w:pPr>
              <w:widowControl/>
              <w:suppressAutoHyphens/>
              <w:spacing w:before="60" w:after="60" w:line="240" w:lineRule="auto"/>
              <w:rPr>
                <w:noProof/>
              </w:rPr>
            </w:pPr>
          </w:p>
        </w:tc>
        <w:tc>
          <w:tcPr>
            <w:tcW w:w="3233" w:type="pct"/>
            <w:gridSpan w:val="2"/>
            <w:tcBorders>
              <w:top w:val="single" w:sz="4" w:space="0" w:color="auto"/>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Cerința de performanță</w:t>
            </w:r>
          </w:p>
          <w:p>
            <w:pPr>
              <w:widowControl/>
              <w:suppressAutoHyphens/>
              <w:spacing w:before="60" w:after="60" w:line="240" w:lineRule="auto"/>
              <w:rPr>
                <w:rFonts w:ascii="Times New Roman" w:hAnsi="Times New Roman"/>
                <w:noProof/>
              </w:rPr>
            </w:pPr>
            <w:r>
              <w:rPr>
                <w:rFonts w:ascii="Times New Roman" w:hAnsi="Times New Roman"/>
                <w:noProof/>
              </w:rPr>
              <w:t>Obligația prevăzută la articolul 8.11 nu se aplică tuturor măsurilor existente care nu sunt conforme cu această obligație.</w:t>
            </w:r>
          </w:p>
        </w:tc>
      </w:tr>
      <w:tr>
        <w:tc>
          <w:tcPr>
            <w:tcW w:w="1767" w:type="pct"/>
            <w:vMerge w:val="restart"/>
            <w:tcBorders>
              <w:top w:val="nil"/>
              <w:bottom w:val="nil"/>
            </w:tcBorders>
          </w:tcPr>
          <w:p>
            <w:pPr>
              <w:pageBreakBefore/>
              <w:widowControl/>
              <w:suppressAutoHyphens/>
              <w:spacing w:before="60" w:after="60" w:line="240" w:lineRule="auto"/>
              <w:rPr>
                <w:rFonts w:ascii="Times New Roman" w:hAnsi="Times New Roman"/>
                <w:noProof/>
              </w:rPr>
            </w:pPr>
          </w:p>
        </w:tc>
        <w:tc>
          <w:tcPr>
            <w:tcW w:w="3233" w:type="pct"/>
            <w:gridSpan w:val="2"/>
            <w:tcBorders>
              <w:top w:val="nil"/>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Sub rezerva termenilor și condițiilor stabilite în angajamentele sectoriale, această rezervă nu se aplică măsurilor care le impun investitorilor din Uniune să atingă un anumit nivel sau procent de conținut intern în ceea ce privește sectoarele marcate cu </w:t>
            </w:r>
            <w:r>
              <w:rPr>
                <w:rFonts w:ascii="Times New Roman" w:hAnsi="Times New Roman"/>
                <w:b/>
                <w:noProof/>
                <w:vertAlign w:val="superscript"/>
              </w:rPr>
              <w:t>*</w:t>
            </w:r>
            <w:r>
              <w:rPr>
                <w:rFonts w:ascii="Times New Roman" w:hAnsi="Times New Roman"/>
                <w:noProof/>
              </w:rPr>
              <w:t>LCR, care fac obiectul reexaminării în conformitate cu articolul 25.4 în absența utilizării acestui angajament de către investitorii din Uniune. Investitorii din Uniune respectă cerința aplicabilă în materie de guvernanță socială și de mediu</w:t>
            </w:r>
            <w:r>
              <w:rPr>
                <w:rStyle w:val="FootnoteReference"/>
                <w:rFonts w:ascii="Times New Roman" w:hAnsi="Times New Roman"/>
                <w:b/>
                <w:noProof/>
              </w:rPr>
              <w:footnoteReference w:id="101"/>
            </w:r>
            <w:r>
              <w:rPr>
                <w:rFonts w:ascii="Times New Roman" w:hAnsi="Times New Roman"/>
                <w:noProof/>
              </w:rPr>
              <w:t>.</w:t>
            </w:r>
          </w:p>
        </w:tc>
      </w:tr>
      <w:tr>
        <w:tc>
          <w:tcPr>
            <w:tcW w:w="1767" w:type="pct"/>
            <w:vMerge/>
            <w:tcBorders>
              <w:bottom w:val="nil"/>
            </w:tcBorders>
          </w:tcPr>
          <w:p>
            <w:pPr>
              <w:widowControl/>
              <w:suppressAutoHyphens/>
              <w:spacing w:before="60" w:after="60" w:line="240" w:lineRule="auto"/>
              <w:rPr>
                <w:rFonts w:ascii="Times New Roman" w:hAnsi="Times New Roman"/>
                <w:noProof/>
              </w:rPr>
            </w:pP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Tratamentul național</w:t>
            </w:r>
          </w:p>
          <w:p>
            <w:pPr>
              <w:widowControl/>
              <w:suppressAutoHyphens/>
              <w:spacing w:before="60" w:after="60" w:line="240" w:lineRule="auto"/>
              <w:rPr>
                <w:rFonts w:ascii="Times New Roman" w:hAnsi="Times New Roman"/>
                <w:noProof/>
              </w:rPr>
            </w:pPr>
            <w:r>
              <w:rPr>
                <w:rFonts w:ascii="Times New Roman" w:hAnsi="Times New Roman"/>
                <w:noProof/>
              </w:rPr>
              <w:t>Tratamentul național nu se aplică în cazul în care activitățile limitate la întreprinderile desemnate sunt liberalizate pentru alte întreprinderi decât entitățile desemnate sau în cazul în care astfel de întreprinderi desemnate nu mai funcționează în scopuri necomerciale.</w:t>
            </w:r>
          </w:p>
          <w:p>
            <w:pPr>
              <w:widowControl/>
              <w:suppressAutoHyphens/>
              <w:spacing w:before="60" w:after="60" w:line="240" w:lineRule="auto"/>
              <w:rPr>
                <w:rFonts w:ascii="Times New Roman" w:hAnsi="Times New Roman"/>
                <w:noProof/>
              </w:rPr>
            </w:pPr>
            <w:r>
              <w:rPr>
                <w:rFonts w:ascii="Times New Roman" w:hAnsi="Times New Roman"/>
                <w:noProof/>
              </w:rPr>
              <w:t>În scop ilustrativ, entitățile desemnate pot include întreprinderea publică de stat în domeniul forestier denumită Perum PERHUTANI și întreprinderea publică națională de imprimare a monedei denumită Perum PERURI.</w:t>
            </w:r>
          </w:p>
        </w:tc>
      </w:tr>
      <w:tr>
        <w:tc>
          <w:tcPr>
            <w:tcW w:w="1767" w:type="pct"/>
            <w:tcBorders>
              <w:top w:val="nil"/>
            </w:tcBorders>
          </w:tcPr>
          <w:p>
            <w:pPr>
              <w:pageBreakBefore/>
              <w:widowControl/>
              <w:suppressAutoHyphens/>
              <w:spacing w:before="60" w:after="60" w:line="240" w:lineRule="auto"/>
              <w:rPr>
                <w:rFonts w:ascii="Times New Roman" w:hAnsi="Times New Roman"/>
                <w:noProof/>
              </w:rPr>
            </w:pP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Angajarea resortisanților indonezieni</w:t>
            </w:r>
          </w:p>
          <w:p>
            <w:pPr>
              <w:widowControl/>
              <w:suppressAutoHyphens/>
              <w:spacing w:before="60" w:after="60" w:line="240" w:lineRule="auto"/>
              <w:rPr>
                <w:rFonts w:ascii="Times New Roman" w:hAnsi="Times New Roman"/>
                <w:noProof/>
              </w:rPr>
            </w:pPr>
            <w:r>
              <w:rPr>
                <w:rFonts w:ascii="Times New Roman" w:hAnsi="Times New Roman"/>
                <w:noProof/>
              </w:rPr>
              <w:t>Investițiile străine constituite în temeiul legislației indoneziene privind societățile comerciale trebuie să prevadă ca posturile legate de gestionarea personalului să fie ocupate de resortisanți indonezieni.</w:t>
            </w:r>
          </w:p>
        </w:tc>
      </w:tr>
      <w:tr>
        <w:tc>
          <w:tcPr>
            <w:tcW w:w="1767" w:type="pct"/>
          </w:tcPr>
          <w:p>
            <w:pPr>
              <w:widowControl/>
              <w:suppressAutoHyphens/>
              <w:spacing w:before="60" w:after="60" w:line="240" w:lineRule="auto"/>
              <w:rPr>
                <w:rFonts w:ascii="Times New Roman" w:hAnsi="Times New Roman"/>
                <w:noProof/>
              </w:rPr>
            </w:pP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Modificarea condițiilor unei aprobări prealabile</w:t>
            </w:r>
          </w:p>
          <w:p>
            <w:pPr>
              <w:widowControl/>
              <w:suppressAutoHyphens/>
              <w:spacing w:before="60" w:after="60" w:line="240" w:lineRule="auto"/>
              <w:rPr>
                <w:rFonts w:ascii="Times New Roman" w:hAnsi="Times New Roman"/>
                <w:noProof/>
              </w:rPr>
            </w:pPr>
            <w:r>
              <w:rPr>
                <w:rFonts w:ascii="Times New Roman" w:hAnsi="Times New Roman"/>
                <w:noProof/>
              </w:rPr>
              <w:t>Orice condiții impuse în aprobarea licențelor sau a autorizațiilor care există înainte de data intrării în vigoare a prezentului acord continuă să se aplice și orice modificare a acestor condiții face obiectul unei noi aprobări.</w:t>
            </w: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Definiții:</w:t>
            </w:r>
          </w:p>
          <w:p>
            <w:pPr>
              <w:widowControl/>
              <w:suppressAutoHyphens/>
              <w:spacing w:before="60" w:after="60" w:line="240" w:lineRule="auto"/>
              <w:rPr>
                <w:rFonts w:ascii="Times New Roman" w:hAnsi="Times New Roman"/>
                <w:noProof/>
              </w:rPr>
            </w:pPr>
            <w:r>
              <w:rPr>
                <w:rFonts w:ascii="Times New Roman" w:hAnsi="Times New Roman"/>
                <w:noProof/>
              </w:rPr>
              <w:t>„Operațiune comună”: o operațiune comună este o colaborare de natură temporară între una sau mai multe întreprinderi din Uniune și din Indonezia, având ca scop derularea unuia/uneia sau mai multor proiecte/activități, fără înființarea unui nou organism juridic în conformitate cu actele cu putere de lege și normele administrative din Indonezia.</w:t>
            </w:r>
          </w:p>
          <w:p>
            <w:pPr>
              <w:widowControl/>
              <w:suppressAutoHyphens/>
              <w:spacing w:before="60" w:after="60" w:line="240" w:lineRule="auto"/>
              <w:rPr>
                <w:rFonts w:ascii="Times New Roman" w:hAnsi="Times New Roman"/>
                <w:noProof/>
              </w:rPr>
            </w:pPr>
            <w:r>
              <w:rPr>
                <w:rFonts w:ascii="Times New Roman" w:hAnsi="Times New Roman"/>
                <w:noProof/>
              </w:rPr>
              <w:t>„Întreprindere comună”: o întreprindere comună este o entitate juridică organizată în temeiul actelor cu putere de lege și al normelor administrative din Indonezia, cu sediul în Indonezia, sub forma cooperării dintre capitalul Uniunii și capitalul indonezian (național).</w:t>
            </w:r>
          </w:p>
          <w:p>
            <w:pPr>
              <w:widowControl/>
              <w:suppressAutoHyphens/>
              <w:spacing w:before="60" w:after="60" w:line="240" w:lineRule="auto"/>
              <w:rPr>
                <w:rFonts w:ascii="Times New Roman" w:hAnsi="Times New Roman"/>
                <w:noProof/>
              </w:rPr>
            </w:pPr>
            <w:r>
              <w:rPr>
                <w:rFonts w:ascii="Times New Roman" w:hAnsi="Times New Roman"/>
                <w:noProof/>
              </w:rPr>
              <w:t>„Gestionarea contractelor”: gestionarea contractelor este un contract organizat în temeiul actelor cu putere de lege și al normelor administrative din Indonezia, sub forma unei colaborări în materie de gestionare temporară între capitalul indonezian (național) și capitalul Uniunii.</w:t>
            </w:r>
          </w:p>
          <w:p>
            <w:pPr>
              <w:widowControl/>
              <w:suppressAutoHyphens/>
              <w:spacing w:before="60" w:after="60" w:line="240" w:lineRule="auto"/>
              <w:rPr>
                <w:rFonts w:ascii="Times New Roman" w:hAnsi="Times New Roman"/>
                <w:noProof/>
              </w:rPr>
            </w:pPr>
            <w:r>
              <w:rPr>
                <w:rFonts w:ascii="Times New Roman" w:hAnsi="Times New Roman"/>
                <w:noProof/>
              </w:rPr>
              <w:t>„Reprezentanță”: o reprezentanță este un birou condus de unul sau mai mulți cetățeni ai Uniunii sau ai Indoneziei desemnați de întreprinderea din Uniune sau de întreprinderea comună, situată în afara Indoneziei ca reprezentant al său, cu scopul 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 răspunde de activitatea întreprinderii sau a întreprinderilor afiliate acesteia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 pregăti înființarea și extinderea întreprinderilor de investiții cu capital din Uniune, situate fie în Indonezia, fie în alte țări.</w:t>
            </w:r>
          </w:p>
        </w:tc>
      </w:tr>
      <w:tr>
        <w:tc>
          <w:tcPr>
            <w:tcW w:w="5000" w:type="pct"/>
            <w:gridSpan w:val="3"/>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II. SECȚIUNE SECTORIALĂ</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1. SERVICII PENTRU ÎNTREPRINDERI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Servicii profesionale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juridice (CPC 861)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Servicii de contabilitate, de audit și de evidență contabilă</w:t>
            </w:r>
          </w:p>
          <w:p>
            <w:pPr>
              <w:widowControl/>
              <w:suppressAutoHyphens/>
              <w:spacing w:before="60" w:after="60" w:line="240" w:lineRule="auto"/>
              <w:rPr>
                <w:rFonts w:ascii="Times New Roman" w:hAnsi="Times New Roman"/>
                <w:noProof/>
              </w:rPr>
            </w:pPr>
            <w:r>
              <w:rPr>
                <w:rFonts w:ascii="Times New Roman" w:hAnsi="Times New Roman"/>
                <w:noProof/>
              </w:rPr>
              <w:t>(CPC 86220 – Servicii de evidență contabilă, cu excepția declarațiilor fiscale)</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51 %.</w:t>
            </w:r>
          </w:p>
        </w:tc>
      </w:tr>
      <w:tr>
        <w:trPr>
          <w:trHeight w:val="2475"/>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arhitectură (CPC 8671)</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tc>
      </w:tr>
      <w:tr>
        <w:trPr>
          <w:trHeight w:val="2175"/>
        </w:trPr>
        <w:tc>
          <w:tcPr>
            <w:tcW w:w="1767" w:type="pct"/>
            <w:tcBorders>
              <w:top w:val="nil"/>
              <w:bottom w:val="single" w:sz="4" w:space="0" w:color="auto"/>
            </w:tcBorders>
          </w:tcPr>
          <w:p>
            <w:pPr>
              <w:pageBreakBefore/>
              <w:suppressAutoHyphens/>
              <w:spacing w:before="60" w:after="60" w:line="240" w:lineRule="auto"/>
              <w:rPr>
                <w:noProof/>
              </w:rPr>
            </w:pPr>
          </w:p>
        </w:tc>
        <w:tc>
          <w:tcPr>
            <w:tcW w:w="354" w:type="pct"/>
            <w:tcBorders>
              <w:top w:val="nil"/>
              <w:bottom w:val="single" w:sz="4" w:space="0" w:color="auto"/>
            </w:tcBorders>
          </w:tcPr>
          <w:p>
            <w:pPr>
              <w:suppressAutoHyphens/>
              <w:spacing w:before="60" w:after="60" w:line="240" w:lineRule="auto"/>
              <w:rPr>
                <w:noProof/>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suppressAutoHyphens/>
              <w:spacing w:before="60" w:after="60" w:line="240" w:lineRule="auto"/>
              <w:rPr>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2"/>
            </w:r>
            <w:r>
              <w:rPr>
                <w:rFonts w:ascii="Times New Roman" w:hAnsi="Times New Roman"/>
                <w:noProof/>
              </w:rPr>
              <w:t xml:space="preserve">. Articolul 8.10 alineatul (3) se aplică modificărilor oricărora dintre măsurile menționate mai sus. </w:t>
            </w:r>
          </w:p>
        </w:tc>
      </w:tr>
      <w:tr>
        <w:trPr>
          <w:trHeight w:val="2505"/>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inginerie (CPC 8672 – cu excepția CPC 86721, 86725, 86726)</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tc>
      </w:tr>
      <w:tr>
        <w:trPr>
          <w:trHeight w:val="2160"/>
        </w:trPr>
        <w:tc>
          <w:tcPr>
            <w:tcW w:w="1767" w:type="pct"/>
            <w:tcBorders>
              <w:top w:val="nil"/>
            </w:tcBorders>
          </w:tcPr>
          <w:p>
            <w:pPr>
              <w:pageBreakBefore/>
              <w:suppressAutoHyphens/>
              <w:spacing w:before="60" w:after="60" w:line="240" w:lineRule="auto"/>
              <w:rPr>
                <w:noProof/>
              </w:rPr>
            </w:pPr>
          </w:p>
        </w:tc>
        <w:tc>
          <w:tcPr>
            <w:tcW w:w="354" w:type="pct"/>
            <w:tcBorders>
              <w:top w:val="nil"/>
            </w:tcBorders>
          </w:tcPr>
          <w:p>
            <w:pPr>
              <w:suppressAutoHyphens/>
              <w:spacing w:before="60" w:after="60" w:line="240" w:lineRule="auto"/>
              <w:rPr>
                <w:noProof/>
              </w:rPr>
            </w:pPr>
          </w:p>
        </w:tc>
        <w:tc>
          <w:tcPr>
            <w:tcW w:w="2879"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pageBreakBefore/>
              <w:suppressAutoHyphens/>
              <w:spacing w:before="60" w:after="60" w:line="240" w:lineRule="auto"/>
              <w:rPr>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3"/>
            </w:r>
            <w:r>
              <w:rPr>
                <w:rFonts w:ascii="Times New Roman" w:hAnsi="Times New Roman"/>
                <w:noProof/>
              </w:rPr>
              <w:t>. Articolul 8.10 alineatul (3) se aplică modificărilor oricărora dintre măsurile menționate mai sus.</w:t>
            </w:r>
          </w:p>
        </w:tc>
      </w:tr>
      <w:tr>
        <w:tc>
          <w:tcPr>
            <w:tcW w:w="1767" w:type="pct"/>
          </w:tcPr>
          <w:p>
            <w:pPr>
              <w:widowControl/>
              <w:suppressAutoHyphens/>
              <w:spacing w:before="60" w:after="60" w:line="240" w:lineRule="auto"/>
              <w:rPr>
                <w:rFonts w:ascii="Times New Roman" w:hAnsi="Times New Roman"/>
                <w:noProof/>
                <w:highlight w:val="cyan"/>
              </w:rPr>
            </w:pPr>
            <w:r>
              <w:rPr>
                <w:rFonts w:ascii="Times New Roman" w:hAnsi="Times New Roman"/>
                <w:noProof/>
              </w:rPr>
              <w:t>Servicii de consiliere și de consultanță în domeniul ingineriei (CPC 86721)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numai sub forma unei operațiuni comune prin intermediul unei reprezentanțe în Indonezia, cu condiția ca partenerul local indonezian să fie membru al Asociației consultanților indonezieni.</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Servicii de proiectare tehnologică pentru producție și procese industriale (CPC 86725)</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numai sub forma unei operațiuni comune prin intermediul unei reprezentanțe în Indonezia, cu condiția ca partenerul local indonezian să fie membru al Asociației consultanților indonezieni.</w:t>
            </w:r>
          </w:p>
        </w:tc>
      </w:tr>
      <w:tr>
        <w:trPr>
          <w:trHeight w:val="177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integrate de inginerie (CPC 8673)</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tc>
      </w:tr>
      <w:tr>
        <w:trPr>
          <w:trHeight w:val="1935"/>
        </w:trPr>
        <w:tc>
          <w:tcPr>
            <w:tcW w:w="1767" w:type="pct"/>
            <w:tcBorders>
              <w:top w:val="nil"/>
              <w:bottom w:val="single" w:sz="4" w:space="0" w:color="auto"/>
            </w:tcBorders>
          </w:tcPr>
          <w:p>
            <w:pPr>
              <w:pageBreakBefore/>
              <w:suppressAutoHyphens/>
              <w:spacing w:before="60" w:after="60" w:line="240" w:lineRule="auto"/>
              <w:rPr>
                <w:noProof/>
              </w:rPr>
            </w:pPr>
          </w:p>
        </w:tc>
        <w:tc>
          <w:tcPr>
            <w:tcW w:w="354" w:type="pct"/>
            <w:tcBorders>
              <w:top w:val="nil"/>
              <w:bottom w:val="single" w:sz="4" w:space="0" w:color="auto"/>
            </w:tcBorders>
          </w:tcPr>
          <w:p>
            <w:pPr>
              <w:suppressAutoHyphens/>
              <w:spacing w:before="60" w:after="60" w:line="240" w:lineRule="auto"/>
              <w:rPr>
                <w:noProof/>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suppressAutoHyphens/>
              <w:spacing w:before="60" w:after="60" w:line="240" w:lineRule="auto"/>
              <w:rPr>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4"/>
            </w:r>
            <w:r>
              <w:rPr>
                <w:rFonts w:ascii="Times New Roman" w:hAnsi="Times New Roman"/>
                <w:noProof/>
              </w:rPr>
              <w:t>. Articolul 8.10 alineatul (3) se aplică modificărilor oricărora dintre măsurile menționate mai sus.</w:t>
            </w:r>
          </w:p>
        </w:tc>
      </w:tr>
      <w:tr>
        <w:trPr>
          <w:trHeight w:val="243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urbanism (CPC 86741)</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tc>
      </w:tr>
      <w:tr>
        <w:trPr>
          <w:trHeight w:val="2235"/>
        </w:trPr>
        <w:tc>
          <w:tcPr>
            <w:tcW w:w="1767" w:type="pct"/>
            <w:tcBorders>
              <w:top w:val="nil"/>
              <w:bottom w:val="single" w:sz="4" w:space="0" w:color="auto"/>
            </w:tcBorders>
          </w:tcPr>
          <w:p>
            <w:pPr>
              <w:pageBreakBefore/>
              <w:suppressAutoHyphens/>
              <w:spacing w:before="60" w:after="60" w:line="240" w:lineRule="auto"/>
              <w:rPr>
                <w:noProof/>
              </w:rPr>
            </w:pPr>
          </w:p>
        </w:tc>
        <w:tc>
          <w:tcPr>
            <w:tcW w:w="354" w:type="pct"/>
            <w:tcBorders>
              <w:top w:val="nil"/>
              <w:bottom w:val="single" w:sz="4" w:space="0" w:color="auto"/>
            </w:tcBorders>
          </w:tcPr>
          <w:p>
            <w:pPr>
              <w:suppressAutoHyphens/>
              <w:spacing w:before="60" w:after="60" w:line="240" w:lineRule="auto"/>
              <w:rPr>
                <w:noProof/>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suppressAutoHyphens/>
              <w:spacing w:before="60" w:after="60" w:line="240" w:lineRule="auto"/>
              <w:rPr>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5"/>
            </w:r>
            <w:r>
              <w:rPr>
                <w:rFonts w:ascii="Times New Roman" w:hAnsi="Times New Roman"/>
                <w:noProof/>
              </w:rPr>
              <w:t xml:space="preserve">. Articolul 8.10 alineatul (3) se aplică modificărilor oricărora dintre măsurile menționate mai sus. </w:t>
            </w:r>
          </w:p>
        </w:tc>
      </w:tr>
      <w:tr>
        <w:trPr>
          <w:trHeight w:val="234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arhitectură peisagistică (CPC 86742)</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tc>
      </w:tr>
      <w:tr>
        <w:tc>
          <w:tcPr>
            <w:tcW w:w="1767" w:type="pct"/>
            <w:tcBorders>
              <w:top w:val="nil"/>
              <w:bottom w:val="single" w:sz="4" w:space="0" w:color="auto"/>
            </w:tcBorders>
          </w:tcPr>
          <w:p>
            <w:pPr>
              <w:pageBreakBefore/>
              <w:suppressAutoHyphens/>
              <w:spacing w:before="60" w:after="60" w:line="240" w:lineRule="auto"/>
              <w:rPr>
                <w:noProof/>
              </w:rPr>
            </w:pPr>
          </w:p>
        </w:tc>
        <w:tc>
          <w:tcPr>
            <w:tcW w:w="354" w:type="pct"/>
            <w:tcBorders>
              <w:top w:val="nil"/>
              <w:bottom w:val="single" w:sz="4" w:space="0" w:color="auto"/>
            </w:tcBorders>
          </w:tcPr>
          <w:p>
            <w:pPr>
              <w:suppressAutoHyphens/>
              <w:spacing w:before="60" w:after="60" w:line="240" w:lineRule="auto"/>
              <w:rPr>
                <w:noProof/>
              </w:rPr>
            </w:pPr>
          </w:p>
        </w:tc>
        <w:tc>
          <w:tcPr>
            <w:tcW w:w="2879" w:type="pct"/>
            <w:tcBorders>
              <w:top w:val="nil"/>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suppressAutoHyphens/>
              <w:spacing w:before="60" w:after="60" w:line="240" w:lineRule="auto"/>
              <w:rPr>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6"/>
            </w:r>
            <w:r>
              <w:rPr>
                <w:rFonts w:ascii="Times New Roman" w:hAnsi="Times New Roman"/>
                <w:noProof/>
              </w:rPr>
              <w:t>. Articolul 8.10 alineatul (3) se aplică modificărilor oricărora dintre măsurile menționate mai sus.</w:t>
            </w:r>
          </w:p>
        </w:tc>
      </w:tr>
      <w:tr>
        <w:trPr>
          <w:trHeight w:val="300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Clinică de servicii medicale specializate pentru o instituție de sănătate înregistrată (KBLI 86105)</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sub rezerva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Uniunea nu poate deține mai mult de 67 % din capitalul social al unei întreprinderi comune;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pot fi angajați profesioniști din domeniul sănătății din Uniune numai în măsura în care nu există astfel de profesioniști suficient de calificați care să fie cetățeni indonezieni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pentru lucrătorii străini din domeniul sănătății și lucrătorii străini din domeniul medical:</w:t>
            </w:r>
          </w:p>
          <w:p>
            <w:pPr>
              <w:widowControl/>
              <w:suppressAutoHyphens/>
              <w:spacing w:before="60" w:after="60" w:line="240" w:lineRule="auto"/>
              <w:ind w:left="1115"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dețină un certificat de competență recunoscut eliberat de o autoritate indoneziană;</w:t>
            </w:r>
          </w:p>
          <w:p>
            <w:pPr>
              <w:suppressAutoHyphens/>
              <w:spacing w:before="60" w:after="60" w:line="240" w:lineRule="auto"/>
              <w:ind w:left="1115"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obțină o scrisoare de înregistrare temporară (Surat Tanda Registrasi Sementara/STRS) și o scrisoare de autorizare a exercitării profesiei (Surat Izin Praktik/SIP);</w:t>
            </w:r>
          </w:p>
        </w:tc>
      </w:tr>
      <w:tr>
        <w:trPr>
          <w:trHeight w:val="1380"/>
        </w:trPr>
        <w:tc>
          <w:tcPr>
            <w:tcW w:w="1767" w:type="pct"/>
            <w:tcBorders>
              <w:top w:val="nil"/>
            </w:tcBorders>
          </w:tcPr>
          <w:p>
            <w:pPr>
              <w:pageBreakBefore/>
              <w:suppressAutoHyphens/>
              <w:spacing w:before="60" w:after="60" w:line="240" w:lineRule="auto"/>
              <w:rPr>
                <w:noProof/>
              </w:rPr>
            </w:pPr>
          </w:p>
        </w:tc>
        <w:tc>
          <w:tcPr>
            <w:tcW w:w="3233" w:type="pct"/>
            <w:gridSpan w:val="2"/>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funcția de șef de clinică este supusă cerinței privind deținerea cetățeniei;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lucrătorii străini din domeniul sănătății trebuie să dețină cel puțin o diplomă universitară;</w:t>
            </w:r>
          </w:p>
          <w:p>
            <w:pPr>
              <w:suppressAutoHyphens/>
              <w:spacing w:before="60" w:after="60" w:line="240" w:lineRule="auto"/>
              <w:ind w:left="567" w:hanging="567"/>
              <w:rPr>
                <w:noProof/>
              </w:rPr>
            </w:pPr>
            <w:r>
              <w:rPr>
                <w:rFonts w:ascii="Times New Roman" w:hAnsi="Times New Roman"/>
                <w:noProof/>
              </w:rPr>
              <w:t>(f)</w:t>
            </w:r>
            <w:r>
              <w:rPr>
                <w:noProof/>
              </w:rPr>
              <w:tab/>
            </w:r>
            <w:r>
              <w:rPr>
                <w:rFonts w:ascii="Times New Roman" w:hAnsi="Times New Roman"/>
                <w:noProof/>
              </w:rPr>
              <w:t>lucrătorii străini din domeniul medical trebuie să fie cel puțin medici specialiști.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Clinică de servicii stomatologice specializate (KBLI 86105)</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sub rezerva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Uniunea nu poate deține mai mult de 67 % din capitalul social al unei întreprinderi comune;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pot fi angajați profesioniști din domeniul sănătății din Uniune numai în măsura în care nu există astfel de profesioniști suficient de calificați care să fie cetățeni indonezieni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pentru lucrătorii străini din domeniul sănătății și lucrătorii străini din domeniul medical: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dețină un certificat de competență recunoscut;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obțină o scrisoare de înregistrare temporară (Surat Tanda Registrasi Sementara/STRS) și o scrisoare de autorizare a exercitării profesiei (Surat Izin Praktik/SIP);</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funcția de șef de clinică este supusă cerinței privind deținerea cetățeniei;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lucrătorii străini din domeniul sănătății trebuie să dețină cel puțin o diplomă universitară;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lucrătorii străini din domeniul medical trebuie să fie cel puțin medici stomatologi specialiști.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informatice și conexe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privind instalarea componentelor fizice ale calculatoarelor (hardware) (CPC 841)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implementare a programelor de calculator (software) (CPC</w:t>
            </w:r>
            <w:r>
              <w:rPr>
                <w:rFonts w:ascii="Times New Roman" w:hAnsi="Times New Roman"/>
                <w:noProof/>
              </w:rPr>
              <w:noBreakHyphen/>
              <w:t>842)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pregătire a datelor de intrare (CPC 84310)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analiză a sistemelor (CPC 84320)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partajare a timpului (CPC 84330)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prelucrare a datelor (CPC 84390)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baze de date (CPC 84400</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Serviciile de întreținere și reparare a mașinilor și echipamentelor de birou, inclusiv a calculatoarelor (CPC 845)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informatice (CPC 849)</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până la 100 %.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cercetare și dezvoltare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C&amp;D în domeniul științelor naturale (CPC 851), numai în domeniul științelor fizice, al științelor medicale și al farmaciei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C&amp;D în domeniul științelor sociale și umaniste, cu excepția serviciilor furnizate de psihologi (CPC 852)</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operațiuni comune sub rezerva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o instituție de cercetare a Uniunii trebuie să obțină avizul etic și autorizația de cercetare pentru fiecare proiect. Cererea de obținere a avizului și a autorizației respective se depune la Badan Riset dan Inovasi Nasional (BRIN)/Agenția Națională pentru Cercetare și Inovare;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o instituție de cercetare a Uniunii are obligația de a angaja o instituție de cercetare sau o instituție de învățământ superior din Indonezia;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sub rezerva cerinței privind transferul de tehnologie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transferul de materiale în afara teritoriului Indoneziei poate fi efectuat numai în măsura în care testarea materialelor nu poate fi realizată în Indonezia și prin intermediul unui acord de transfer.</w:t>
            </w:r>
          </w:p>
        </w:tc>
      </w:tr>
      <w:tr>
        <w:trPr>
          <w:trHeight w:val="2175"/>
        </w:trPr>
        <w:tc>
          <w:tcPr>
            <w:tcW w:w="1767"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C&amp;D interdisciplinară (CPC 853, limitată la activități industriale)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cercetare și dezvoltare experimentală în domeniul lingvistic și al limbilor (CPC 85204), limitate doar la limbile străine</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operațiuni comune sub rezerva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o instituție de cercetare a Uniunii trebuie să obțină avizul etic și autorizația de cercetare pentru fiecare proiect. Cererea de obținere a avizului și a autorizației respective se depune la Badan Riset dan Inovasi Nasional (BRIN)/Agenția Națională pentru Cercetare și Inovare;</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o instituție de cercetare a Uniunii are obligația de a angaja o instituție de cercetare sau o instituție de învățământ superior din Indonezia;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sub rezerva cerinței privind transferul de tehnologie și</w:t>
            </w:r>
          </w:p>
        </w:tc>
      </w:tr>
      <w:tr>
        <w:tc>
          <w:tcPr>
            <w:tcW w:w="1767" w:type="pct"/>
            <w:tcBorders>
              <w:top w:val="nil"/>
            </w:tcBorders>
          </w:tcPr>
          <w:p>
            <w:pPr>
              <w:pageBreakBefore/>
              <w:suppressAutoHyphens/>
              <w:spacing w:before="60" w:after="60" w:line="240" w:lineRule="auto"/>
              <w:ind w:left="567" w:hanging="567"/>
              <w:rPr>
                <w:noProof/>
              </w:rPr>
            </w:pPr>
          </w:p>
        </w:tc>
        <w:tc>
          <w:tcPr>
            <w:tcW w:w="3233" w:type="pct"/>
            <w:gridSpan w:val="2"/>
            <w:tcBorders>
              <w:top w:val="nil"/>
            </w:tcBorders>
          </w:tcPr>
          <w:p>
            <w:pPr>
              <w:suppressAutoHyphens/>
              <w:spacing w:before="60" w:after="60" w:line="240" w:lineRule="auto"/>
              <w:ind w:left="567" w:hanging="567"/>
              <w:rPr>
                <w:noProof/>
              </w:rPr>
            </w:pPr>
            <w:r>
              <w:rPr>
                <w:rFonts w:ascii="Times New Roman" w:hAnsi="Times New Roman"/>
                <w:noProof/>
              </w:rPr>
              <w:t>(d)</w:t>
            </w:r>
            <w:r>
              <w:rPr>
                <w:noProof/>
              </w:rPr>
              <w:tab/>
            </w:r>
            <w:r>
              <w:rPr>
                <w:rFonts w:ascii="Times New Roman" w:hAnsi="Times New Roman"/>
                <w:noProof/>
              </w:rPr>
              <w:t>acordarea licenței pentru furnizorii de servicii din Uniune va face obiectul unei evaluări privind obiectul, domeniul și perioada de cercetare în conformitate cu actele cu putere de lege și normele administrative aplicabile la momentul depunerii cererii.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 Servicii imobiliare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Activități imobiliare cu proprietăți proprii sau închiriate numai pentru clădiri înalte (utilizare rezidențială și mixtă) (KBLI 68111)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numai sub forma unei întreprinderi comune, cu o participare străină la capital de maximum 51 %.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Activități imobiliare pe bază de tarif sau contract (KBLI 68200)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operațiuni comune prin intermediul unui birou de franciză în Indonezia.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 Alte servicii pentru întreprinderi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în management (CPC 865)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 general (CPC 86501)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 de marketing (CPC 86503)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managementul resurselor umane (CPC 86504)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Neconsolidat pentru tratamentul național.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gestionare a proiectelor, altele decât pentru lucrările de construcție (CPC 86601)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Partenerul local indonezian trebuie să fie membru al Asociației consultanților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prospectare geologică și geofizică (CPC 86751)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testări și analize tehnice (CPC 8676)</w:t>
            </w:r>
          </w:p>
          <w:p>
            <w:pPr>
              <w:widowControl/>
              <w:suppressAutoHyphens/>
              <w:spacing w:before="60" w:after="60" w:line="240" w:lineRule="auto"/>
              <w:rPr>
                <w:rFonts w:ascii="Times New Roman" w:hAnsi="Times New Roman"/>
                <w:noProof/>
              </w:rPr>
            </w:pPr>
            <w:r>
              <w:rPr>
                <w:rFonts w:ascii="Times New Roman" w:hAnsi="Times New Roman"/>
                <w:noProof/>
              </w:rPr>
              <w:t>Limitat doar la serviciile de inspecție tehnică (CPC 86764)</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pentru organizarea de conferințe și seminare (MICE)</w:t>
            </w:r>
          </w:p>
          <w:p>
            <w:pPr>
              <w:widowControl/>
              <w:suppressAutoHyphens/>
              <w:spacing w:before="60" w:after="60" w:line="240" w:lineRule="auto"/>
              <w:rPr>
                <w:rFonts w:ascii="Times New Roman" w:hAnsi="Times New Roman"/>
                <w:noProof/>
              </w:rPr>
            </w:pPr>
            <w:r>
              <w:rPr>
                <w:rFonts w:ascii="Times New Roman" w:hAnsi="Times New Roman"/>
                <w:noProof/>
              </w:rPr>
              <w:t>CPC 87909</w:t>
            </w:r>
            <w:r>
              <w:rPr>
                <w:rFonts w:ascii="Times New Roman" w:hAnsi="Times New Roman"/>
                <w:b/>
                <w:noProof/>
                <w:vertAlign w:val="superscript"/>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Neconsolidat pentru tratamentul național.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fotografie (KBLI 74201, cu excepția aerofotografiei și a fotografiei în scopuri individuale)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conexe industriei prelucrătoare (CPC 884, cu excepția CPC 88411, 88412, 88421, 88422, 88423, 88430, 88442, 88460, 88491, 88492).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Partenerul local indonezian trebuie să fie membru al Asociației consultanților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conexe fabricării produselor din metal, a mașinilor și a echipamentelor (CPC 885)</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ia forma unei operațiuni comune prin intermediul unei reprezentanțe în Indonezia.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Participantul indonezian la operațiunea comună trebuie să fie membru al Asociației consultanților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conexe mineritului (CPC 883)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Servicii de foraj pentru proiecte petroliere și gaziere offshore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Servicii de foraj pentru proiecte geotermale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sub rezerva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Uniunea nu poate deține mai mult de 51 % din capitalul social al unei întreprinderi comune;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străini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consiliere și consultanță conexe agriculturii, vânătorii și silviculturii (parte din CPC 881)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Pentru serviciile legate de exploatarea forestieră, furnizorul de servicii din Uniune trebuie să se înregistreze la Ministerul Silviculturii.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consiliere și consultanță conexe pescuitului (parte din CPC 882)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străini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Selectarea și plasarea personalului, limitată la plasarea pe teritoriul Indoneziei (KBLI 78101), cu excepția echipajului de navă</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operațiuni comune, cu înființarea unei reprezentanțe sau a unei întreprinderi comune.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 prevede obligația de a raporta cu privire la activitatea de plasare a personalului o dată la trei luni.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Cu excepția comisarului și a directorului, cerința privind deținerea cetățeniei este obligatorie.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Cerințele în materie de acordare a licențelor pentru furnizorii de servicii străini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Plasarea online a personalului (portalul locurilor de muncă) (KBLI 78104)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 prevede obligația înregistrării la Ministerul Comunicațiilor și Informaticii înainte inițierea procesului de autorizare a investițiilor străine.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Prezența comercială este permisă sub forma unei operațiuni comune, cu înființarea unei reprezentanțe sau a unei întreprinderi comune.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Portalul locurilor de muncă trebuie să fie integrat cu sistemul de informații privind ocuparea forței de muncă al Ministerului Muncii.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Se prevede obligația de a raporta cu privire la activitatea de plasare a personalului o dată la trei luni.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Cu excepția comisarului și a directorului, cerința privind deținerea cetățeniei este obligatorie.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Cerințele în materie de acordare a licențelor pentru furnizorii de servicii străini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întreținere și reparare a echipamentelor (neincluzând navele maritime, aeronavele sau alte echipamente de transport) (CPC 8861 + 8866)</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Participantul indonezian trebuie să fie membru al Asociației consultanților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ambalare (CPC 876)</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sub rezerva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Uniunea nu poate deține mai mult de 70 % din capitalul social al unei întreprinderi comune.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 prevede o limitare geografică, sub rezerva testului privind necesitățile economice.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cercetare de piață (CPC 86401)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operațiuni comune prin intermediul unei reprezentanțe în Indonezia.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Partenerul local indonezian trebuie să fie membru al Asociației consultanților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în domeniul petrolului și gazelor: instalarea de conducte offshore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exploatare și întreținere a instalațiilor geotermale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51 %.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în domeniul petrolului și gazelor: platforme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2. SERVICII DE COMUNICAȚII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Servicii poștale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poștale (CPC 7511)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B. Servicii de curierat</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curierat (CPC 7512)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Furnizorii de servicii din Uniune nu sunt autorizați să stabilească o prezență comercială în Indonezia pentru a furniza servicii de curierat decât prin intermediul unei întreprinderi comune cu un singur furnizor indonezian de servicii poștale și cu o participare străină la capital care nu depășește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Întreprinderea comună poate funcționa numai într-o capitală de provincie, fiindu-i interzisă furnizarea de servicii de curierat între orașe din Indonezia, cu excepția cooperării operaționale cu furnizorul indonezian de servicii poștale.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 Servicii de telecomunicații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la distanță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internaționale: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rețele publice de date cu comutare de circuite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internațional</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rețele publice de date cu comutare de circuite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la distanță</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rețele publice de date cu comutare de pachete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 releu de cadre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distanță locală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internațional</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circuite private închiriate (CPC 7522</w:t>
            </w:r>
            <w:r>
              <w:rPr>
                <w:rFonts w:ascii="Times New Roman" w:hAnsi="Times New Roman"/>
                <w:b/>
                <w:noProof/>
                <w:vertAlign w:val="superscript"/>
              </w:rPr>
              <w:t>** </w:t>
            </w:r>
            <w:r>
              <w:rPr>
                <w:rFonts w:ascii="Times New Roman" w:hAnsi="Times New Roman"/>
                <w:noProof/>
              </w:rPr>
              <w:t>+ 7523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highlight w:val="cyan"/>
              </w:rPr>
            </w:pPr>
            <w:r>
              <w:rPr>
                <w:rFonts w:ascii="Times New Roman" w:hAnsi="Times New Roman"/>
                <w:noProof/>
              </w:rPr>
              <w:t>Servicii de telex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telegrafie (7522)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fax (CPC 7521</w:t>
            </w:r>
            <w:r>
              <w:rPr>
                <w:rFonts w:ascii="Times New Roman" w:hAnsi="Times New Roman"/>
                <w:b/>
                <w:noProof/>
                <w:vertAlign w:val="superscript"/>
              </w:rPr>
              <w:t>** </w:t>
            </w:r>
            <w:r>
              <w:rPr>
                <w:rFonts w:ascii="Times New Roman" w:hAnsi="Times New Roman"/>
                <w:noProof/>
              </w:rPr>
              <w:t>+ 7529</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Schimb electronic de date (EDI)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fax îmbunătățite/cu valoare adăugată, inclusiv stocarea și transmiterea, stocarea și recuperarea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Informații online și recuperare de baze de date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Informații online și/sau prelucrarea datelor (inclusiv prelucrarea tranzacțiilor) (CPC 843)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rețea dedicate (CPC 7523</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naționale:</w:t>
            </w:r>
          </w:p>
          <w:p>
            <w:pPr>
              <w:widowControl/>
              <w:suppressAutoHyphens/>
              <w:spacing w:before="60" w:after="60" w:line="240" w:lineRule="auto"/>
              <w:rPr>
                <w:rFonts w:ascii="Times New Roman" w:hAnsi="Times New Roman"/>
                <w:noProof/>
              </w:rPr>
            </w:pPr>
            <w:r>
              <w:rPr>
                <w:rFonts w:ascii="Times New Roman" w:hAnsi="Times New Roman"/>
                <w:noProof/>
              </w:rPr>
              <w:t>servicii de telefonie mobilă celulară (CPC 75213)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Licența poate fi eliberată în cazul în care ministrul emite Notificarea oportunităților de afaceri, urmată de procesul de selecție.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naționale:</w:t>
            </w:r>
          </w:p>
          <w:p>
            <w:pPr>
              <w:widowControl/>
              <w:suppressAutoHyphens/>
              <w:spacing w:before="60" w:after="60" w:line="240" w:lineRule="auto"/>
              <w:rPr>
                <w:rFonts w:ascii="Times New Roman" w:hAnsi="Times New Roman"/>
                <w:noProof/>
              </w:rPr>
            </w:pPr>
            <w:r>
              <w:rPr>
                <w:rFonts w:ascii="Times New Roman" w:hAnsi="Times New Roman"/>
                <w:noProof/>
              </w:rPr>
              <w:t>servicii de acces la internet și servicii regionale și naționale de radiomesagerie</w:t>
            </w:r>
          </w:p>
          <w:p>
            <w:pPr>
              <w:widowControl/>
              <w:suppressAutoHyphens/>
              <w:spacing w:before="60" w:after="60" w:line="240" w:lineRule="auto"/>
              <w:rPr>
                <w:rFonts w:ascii="Times New Roman" w:hAnsi="Times New Roman"/>
                <w:noProof/>
              </w:rPr>
            </w:pPr>
            <w:r>
              <w:rPr>
                <w:rFonts w:ascii="Times New Roman" w:hAnsi="Times New Roman"/>
                <w:noProof/>
              </w:rPr>
              <w:t>(CPC 75291)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naționale:</w:t>
            </w:r>
          </w:p>
          <w:p>
            <w:pPr>
              <w:widowControl/>
              <w:suppressAutoHyphens/>
              <w:spacing w:before="60" w:after="60" w:line="240" w:lineRule="auto"/>
              <w:rPr>
                <w:rFonts w:ascii="Times New Roman" w:hAnsi="Times New Roman"/>
                <w:noProof/>
              </w:rPr>
            </w:pPr>
            <w:r>
              <w:rPr>
                <w:rFonts w:ascii="Times New Roman" w:hAnsi="Times New Roman"/>
                <w:noProof/>
              </w:rPr>
              <w:t>servicii publice de telefonie cu plată și servicii de mesagerie vocală (CPC 7523)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mesagerie vocală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Servicii de poștă electronică (CPC 75232)</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partajare a timpului de utilizare a calculatorului (CPC 84330)</w:t>
            </w:r>
          </w:p>
          <w:p>
            <w:pPr>
              <w:widowControl/>
              <w:suppressAutoHyphens/>
              <w:spacing w:before="60" w:after="60" w:line="240" w:lineRule="auto"/>
              <w:rPr>
                <w:rFonts w:ascii="Times New Roman" w:hAnsi="Times New Roman"/>
                <w:noProof/>
              </w:rPr>
            </w:pPr>
            <w:r>
              <w:rPr>
                <w:rFonts w:ascii="Times New Roman" w:hAnsi="Times New Roman"/>
                <w:noProof/>
              </w:rPr>
              <w:t>Servicii videotext (CPC 75299)</w:t>
            </w:r>
          </w:p>
          <w:p>
            <w:pPr>
              <w:widowControl/>
              <w:suppressAutoHyphens/>
              <w:spacing w:before="60" w:after="60" w:line="240" w:lineRule="auto"/>
              <w:rPr>
                <w:rFonts w:ascii="Times New Roman" w:hAnsi="Times New Roman"/>
                <w:noProof/>
              </w:rPr>
            </w:pPr>
            <w:r>
              <w:rPr>
                <w:rFonts w:ascii="Times New Roman" w:hAnsi="Times New Roman"/>
                <w:noProof/>
              </w:rPr>
              <w:t>Poștă electronică (CPC 75232)</w:t>
            </w:r>
          </w:p>
          <w:p>
            <w:pPr>
              <w:widowControl/>
              <w:suppressAutoHyphens/>
              <w:spacing w:before="60" w:after="60" w:line="240" w:lineRule="auto"/>
              <w:rPr>
                <w:rFonts w:ascii="Times New Roman" w:hAnsi="Times New Roman"/>
                <w:noProof/>
              </w:rPr>
            </w:pPr>
            <w:r>
              <w:rPr>
                <w:rFonts w:ascii="Times New Roman" w:hAnsi="Times New Roman"/>
                <w:noProof/>
              </w:rPr>
              <w:t>Servicii de transfer de fișiere (CPC 75299)</w:t>
            </w:r>
          </w:p>
          <w:p>
            <w:pPr>
              <w:widowControl/>
              <w:suppressAutoHyphens/>
              <w:spacing w:before="60" w:after="60" w:line="240" w:lineRule="auto"/>
              <w:rPr>
                <w:rFonts w:ascii="Times New Roman" w:hAnsi="Times New Roman"/>
                <w:noProof/>
              </w:rPr>
            </w:pPr>
            <w:r>
              <w:rPr>
                <w:rFonts w:ascii="Times New Roman" w:hAnsi="Times New Roman"/>
                <w:noProof/>
              </w:rPr>
              <w:t>Servicii de alarmă telemetrică la domiciliu (CPC-75299)</w:t>
            </w:r>
          </w:p>
          <w:p>
            <w:pPr>
              <w:widowControl/>
              <w:suppressAutoHyphens/>
              <w:spacing w:before="60" w:after="60" w:line="240" w:lineRule="auto"/>
              <w:rPr>
                <w:rFonts w:ascii="Times New Roman" w:hAnsi="Times New Roman"/>
                <w:noProof/>
              </w:rPr>
            </w:pPr>
            <w:r>
              <w:rPr>
                <w:rFonts w:ascii="Times New Roman" w:hAnsi="Times New Roman"/>
                <w:noProof/>
              </w:rPr>
              <w:t>Servicii de divertisment (CPC-75299)</w:t>
            </w:r>
          </w:p>
          <w:p>
            <w:pPr>
              <w:widowControl/>
              <w:suppressAutoHyphens/>
              <w:spacing w:before="60" w:after="60" w:line="240" w:lineRule="auto"/>
              <w:rPr>
                <w:rFonts w:ascii="Times New Roman" w:hAnsi="Times New Roman"/>
                <w:noProof/>
              </w:rPr>
            </w:pPr>
            <w:r>
              <w:rPr>
                <w:rFonts w:ascii="Times New Roman" w:hAnsi="Times New Roman"/>
                <w:noProof/>
              </w:rPr>
              <w:t>Servicii de gestionare a informațiilor (CPC 75299)</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participare străină la capital de până la 100 % din capitalul social.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 SERVICII DE CONSTRUCȚII ȘI SERVICII DE INGINERIE CONEXE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Lucrări de preconstrucție pe șantiere (CPC 511), cu excepția serviciilor de investigare a terenurilor de construcție (CPC 51110) și a lucrărilor de organizare și de degajare a șantierului (CPC 51113)</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7"/>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construcții pentru clădiri (CPC 512), cu excepția clădirilor cu una și două locuințe (CPC 51210)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8"/>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construcții de inginerie civilă (CPC 513)</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09"/>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Asamblarea și montarea de construcții prefabricate (CPC 514 – 5140)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10"/>
            </w:r>
            <w:r>
              <w:rPr>
                <w:rFonts w:ascii="Times New Roman" w:hAnsi="Times New Roman"/>
                <w:noProof/>
              </w:rPr>
              <w:t xml:space="preserve">. Articolul 8.10 alineatul (3) se aplică modificărilor oricărora dintre măsurile menționate mai sus.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construcții ale unor întreprinderi specializate (CPC 515)</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11"/>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instalații (CPC 516)</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12"/>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finalizare și finisare a clădirilor (CPC 517)</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13"/>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închiriere a echipamentelor pentru construcții sau pentru demolarea clădirilor sau construcții de geniu civil, cu operator (CPC 518)</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prezenței comerciale permise numai sub forma:</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unei operațiuni comune prin înființarea unei reprezentanțe în Indonezia sau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unei întreprinderi comune înființate în conformitate cu actele cu putere de lege și normele administrative aplicabile privind prezența comercială străină;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 comună prin îndeplinirea cerințelor specificate în secțiunea orizontală,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conducerea superioară a unei reprezentanțe trebuie să formată din cetățeni indonezieni.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existente la data intrării în vigoare a prezentului acord</w:t>
            </w:r>
            <w:r>
              <w:rPr>
                <w:rStyle w:val="FootnoteReference"/>
                <w:rFonts w:ascii="Times New Roman" w:hAnsi="Times New Roman"/>
                <w:b/>
                <w:noProof/>
              </w:rPr>
              <w:footnoteReference w:id="114"/>
            </w:r>
            <w:r>
              <w:rPr>
                <w:rFonts w:ascii="Times New Roman" w:hAnsi="Times New Roman"/>
                <w:noProof/>
              </w:rPr>
              <w:t>. Articolul 8.10 alineatul (3) se aplică modificărilor oricărora dintre măsurile menționate mai sus.</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4. SERVICII DE DISTRIBUȚIE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comerț angro cu diverse bunuri de consum, limitate la piața modernă, cu un spațiu minim de peste 5 000 m² (KBLI 46900)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 prevede obligația de a furniza produse interne ca mărfuri comercializate și de a coopera cu IMM-urile indoneziene, în calitate de furnizor și comerciant cu amănuntul.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Furnizorilor de servicii din Uniune li se permite să dețină numai maximum 150 de magazine; în caz contrar, furnizorii de servicii din Uniune sunt obligați să exploateze orice magazine suplimentare în regim de franciză sau să înființeze o întreprindere comună cu un partener local sau un parteneriat cu IMM-uri, în conformitate cu actele cu putere de lege și normele administrative în vigoare.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Distribuție indirectă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Agenți (KBLI 46100)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Distribuitori (KBLI 46900)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Furnizorii de servicii (distribuitorii) din Uniune au obligația de a desemna întreprinderi comerciale naționale în calitate de agent, agent unic, distribuitor sau distribuitor unic.</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Vânzarea directă (comercializare pe mai multe niveluri și comercializare pe un singur nivel) (KBLI 47999)</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80 %.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 preconizează înscrierea în Asociația indoneziană de vânzări directe.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Comerțul cu amănuntul</w:t>
            </w:r>
          </w:p>
          <w:p>
            <w:pPr>
              <w:widowControl/>
              <w:suppressAutoHyphens/>
              <w:spacing w:before="60" w:after="60" w:line="240" w:lineRule="auto"/>
              <w:rPr>
                <w:rFonts w:ascii="Times New Roman" w:hAnsi="Times New Roman"/>
                <w:noProof/>
              </w:rPr>
            </w:pPr>
            <w:r>
              <w:rPr>
                <w:rFonts w:ascii="Times New Roman" w:hAnsi="Times New Roman"/>
                <w:noProof/>
              </w:rPr>
              <w:t>Hypermarketuri (cu spațiu minim de peste 5 000 m²)</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 prevede obligația de a furniza produse interne ca mărfuri comercializate și de a coopera cu întreprinderile mici și mijlocii indoneziene, în calitate de furnizor și comerciant cu amănuntul.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Furnizorilor de servicii din Uniune li se permite să dețină numai maximum 150 de magazine; în caz contrar, furnizorii de servicii din Uniune sunt obligați să exploateze orice magazine suplimentare în regim de franciză sau să înființeze o întreprindere comună cu un partener local sau un parteneriat cu IMM-uri, în conformitate cu actele cu putere de lege și normele administrative în vigoare.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Comerțul cu amănuntul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Supermarketuri, cu spațiu minim de peste 1 200 m²</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Magazine universale, cu spațiu minim de peste 2 000 m²</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 prevede obligația de a furniza produse interne ca mărfuri comercializate și de a coopera cu întreprinderile mici și mijlocii indoneziene, în calitate de furnizor și comerciant cu amănuntul.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Furnizorilor de servicii din Uniune li se permite să dețină numai maximum 150 de magazine; în caz contrar, furnizorii de servicii din Uniune sunt obligați să exploateze magazinele suplimentare în regim de franciză sau să înființeze o întreprindere comună cu un partener local sau un parteneriat cu IMM-uri, în conformitate cu actele cu putere de lege și normele administrative în vigoare.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Magazinele universale au obligația de a fi integrate într-un centru comercial sau complex comercial care a obținut autorizațiile necesare.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Franciză (CPC 89290)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în funcție de sectorul/subsectorul de activitate care este francizat.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Drepturile de proprietate intelectuală trebuie să fie înregistrate.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 prevede obligația desfășurării activității care urmează să fie francizată timp de cel puțin trei ani.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SERVICII DE ÎNVĂȚĂMÂNT</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Prezența comercială a furnizorului de servicii din Uniune este permisă numai prin intermediul unei instituții de învățământ care este înregistrată în Indonezia și trebuie să îndeplinească următoarele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Este necesar un acord privind recunoașterea reciprocă între instituțiile relevante cu privire la credite, programe și certificări.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Instituția de învățământ din Uniune care furnizează servicii trebuie să stabilească un parteneriat cu un partener local. Profesorii de limbi din Uniune trebuie să fie vorbitori nativi ai limbii respective și vorbitori de limba indoneziană.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Instituția de învățământ din Uniune trebuie să figureze pe lista instituțiilor de învățământ străine acreditate întocmită de Ministerul Educației, Culturii, Cercetării și Tehnologiei, iar partenerul său local trebuie să fie acreditat.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4.</w:t>
            </w:r>
            <w:r>
              <w:rPr>
                <w:noProof/>
              </w:rPr>
              <w:tab/>
            </w:r>
            <w:r>
              <w:rPr>
                <w:rFonts w:ascii="Times New Roman" w:hAnsi="Times New Roman"/>
                <w:noProof/>
              </w:rPr>
              <w:t>Fără a aduce atingere secțiunii orizontale, prezența comercială se stabilește sub forma unei fundații (yayasan).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5.</w:t>
            </w:r>
            <w:r>
              <w:rPr>
                <w:noProof/>
              </w:rPr>
              <w:tab/>
            </w:r>
            <w:r>
              <w:rPr>
                <w:rFonts w:ascii="Times New Roman" w:hAnsi="Times New Roman"/>
                <w:noProof/>
              </w:rPr>
              <w:t>Instituția de învățământ din Uniune, în cooperare cu partenerul local, poate deschide o instituție de învățământ în orașele din afara Jakartei.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6.</w:t>
            </w:r>
            <w:r>
              <w:rPr>
                <w:noProof/>
              </w:rPr>
              <w:tab/>
            </w:r>
            <w:r>
              <w:rPr>
                <w:rFonts w:ascii="Times New Roman" w:hAnsi="Times New Roman"/>
                <w:noProof/>
              </w:rPr>
              <w:t>Numărul de cadre didactice trebuie să includă cadre didactice indoneziene în proporție de cel puțin 30 % (treizeci la sută).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7.</w:t>
            </w:r>
            <w:r>
              <w:rPr>
                <w:noProof/>
              </w:rPr>
              <w:tab/>
            </w:r>
            <w:r>
              <w:rPr>
                <w:rFonts w:ascii="Times New Roman" w:hAnsi="Times New Roman"/>
                <w:noProof/>
              </w:rPr>
              <w:t>Numărul de angajați, alții decât cadrele didactice și conducătorul instituției, trebuie să includă personal indonezian în proporție de cel puțin 80 % (optzeci la sută).</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învățământ secundar</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învățământ secundar tehnic și profesional (în domeniul electronicii, auto, al modei, culinar, al forajului petrolier și gazier și al tehnologiei de sprijin IT, al limbajelor de programare, al inteligenței artificiale, al roboticii avansate, al criptomonedelor, al realității virtuale, al utilajelor și construcțiilor, al economiei creative, al ospitalității și al serviciilor de îngrijire) (CPC 92230)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În conformitate cu specificațiile din secțiunea orizontală și condițiile generale.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Neconsolidat pentru tratamentul național.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 Învățământul superior</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Alte servicii de învățământ superior (CPC 9239): prioritate pentru programele în domeniul științei, al tehnologiei, al ingineriei, al matematicii și al afacerilor moderne</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 cu următoarele excepții: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100 % din capitalul social poate fi deținut de cetățeni străini;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instituțiile de învățământ străine trebuie să fie acreditate în Uniune și să figureze pe lista Ministerului Educației, Culturii, Cercetării și Tehnologiei;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serviciile fac obiectul unui test privind necesitățile economice oriunde în Indonezia; cerințele în materie de acordare a licențelor pentru furnizorii de servicii străini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patru materii obligatorii (Religia, Pancasila, Educația civică/Kewarganegaraan și Bahasa Indonesia) trebuie integrate în programa de învățământ și predate de cadrele didactice indoneziene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se încurajează stabilirea instituției de învățământ superior din Uniune în zonele economice speciale (KEK) din Indonezia.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de învățământ pentru adulți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Cursuri și formare profesională în domeniul lingvistic, al turismului, al electronicii, al artei culinare și al autovehiculelor, al limbajelor de programare, al inteligenței artificiale, al roboticii avansate, al criptomonedelor, al realității virtuale, al utilajelor și construcțiilor, al economiei creative, al ospitalității și al serviciilor de îngrijire (CPC 924)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În conformitate cu specificațiile din secțiunea orizontală și condițiile generale.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Neconsolidat pentru tratamentul național.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 Alte servicii de învățământ</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Educație sportivă și recreativă (KBLI 8541)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În conformitate cu specificațiile din secțiunea orizontală și condițiile generale.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Neconsolidat pentru tratamentul național.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6. SERVICII DE MEDIU</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Servicii de canalizare (CPC 9401) Gestionarea apelor uzate/Pengelolaan dan pembuangan air limbah berbahaya (KBLI 37022)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de acordare a licențelor pentru furnizorii de servicii din Uniune pot fi diferite de cele aplicabile furnizorilor de servicii indonezieni, cum ar fi avizul tehnic și scrisoarea de fezabilitate operațională [Surat Kelayakan Operasional (SLO)].</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eliminare a deșeurilor (CPC 9402)/Pengelolaan dan pembuangan sampah berbahaya (KBLI 38220)</w:t>
            </w:r>
          </w:p>
          <w:p>
            <w:pPr>
              <w:widowControl/>
              <w:suppressAutoHyphens/>
              <w:spacing w:before="60" w:after="60" w:line="240" w:lineRule="auto"/>
              <w:rPr>
                <w:rFonts w:ascii="Times New Roman" w:hAnsi="Times New Roman"/>
                <w:noProof/>
              </w:rPr>
            </w:pPr>
            <w:r>
              <w:rPr>
                <w:rFonts w:ascii="Times New Roman" w:hAnsi="Times New Roman"/>
                <w:noProof/>
              </w:rPr>
              <w:t>Servicii de eliminare a deșeurilor solide, numai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integrate de instalații de tratare a deșeurilor periculoase pentru tratarea nămolurilor de petrol și a deșeurilor de mercur într-o anumită zonă. Furnizorul de servicii trebuie să fie dotat cu tehnologie modernă și sofisticată și să garanteze siguranța mediului. Produsul va fi utilizat ca material nou sau ca sursă de energie nouă;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instalații de tratare</w:t>
            </w:r>
            <w:r>
              <w:rPr>
                <w:rFonts w:ascii="Times New Roman" w:hAnsi="Times New Roman"/>
                <w:i/>
                <w:iCs/>
                <w:noProof/>
              </w:rPr>
              <w:t xml:space="preserve"> in situ</w:t>
            </w:r>
            <w:r>
              <w:rPr>
                <w:rFonts w:ascii="Times New Roman" w:hAnsi="Times New Roman"/>
                <w:noProof/>
              </w:rPr>
              <w:t xml:space="preserve"> a deșeurilor periculoase pentru tratarea deșeurilor de produse miniere și a deșeurilor de cenușă zburătoare și cenușă de vatră de produse din cărbune.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de acordare a licențelor pentru furnizorii de servicii din Uniune pot fi diferite de cele aplicabile furnizorilor de servicii indonezieni, cum ar fi avizul tehnic și scrisoarea de fezabilitate operațională [Surat Kelayakan Operasional (SLO)].</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eliminare a deșeurilor (CPC 94020), limitate la gunoi, reziduuri, deșeuri și resturi nepericuloase/Pengelolaan dan pembuangan sampah tidak berbahaya (KBLI 38211)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 cum ar fi avizul tehnic.</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salubrizare și servicii similare (CPC 9403), limitate numai la instalațiile de salubritate publică</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 cum ar fi avizul tehnic.</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salubrizare și servicii similare (CPC 9403), limitate numai la substanțe periculoase și toxice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de acordare a licențelor pentru furnizorii de servicii din Uniune pot fi diferite de cele aplicabile furnizorilor de servicii indonezieni, cum ar fi avizul tehnic și scrisoarea de fezabilitate operațională [Surat Kelayakan Operasional (SLO)].</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C. Servicii de purificare a gazelor de evacuare (CPC 9404)</w:t>
            </w:r>
          </w:p>
          <w:p>
            <w:pPr>
              <w:widowControl/>
              <w:suppressAutoHyphens/>
              <w:spacing w:before="60" w:after="60" w:line="240" w:lineRule="auto"/>
              <w:rPr>
                <w:rFonts w:ascii="Times New Roman" w:hAnsi="Times New Roman"/>
                <w:noProof/>
              </w:rPr>
            </w:pPr>
            <w:r>
              <w:rPr>
                <w:rFonts w:ascii="Times New Roman" w:hAnsi="Times New Roman"/>
                <w:noProof/>
              </w:rPr>
              <w:t>Controlul poluării aerului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de acordare a licențelor pentru furnizorii de servicii din Uniune pot fi diferite de cele aplicabile furnizorilor de servicii indonezieni, cum ar fi avizul tehnic și scrisoarea de fezabilitate operațională [Surat Kelayakan Operasional (SLO)].</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Altele</w:t>
            </w:r>
          </w:p>
          <w:p>
            <w:pPr>
              <w:widowControl/>
              <w:suppressAutoHyphens/>
              <w:spacing w:before="60" w:after="60" w:line="240" w:lineRule="auto"/>
              <w:rPr>
                <w:rFonts w:ascii="Times New Roman" w:hAnsi="Times New Roman"/>
                <w:noProof/>
              </w:rPr>
            </w:pPr>
            <w:r>
              <w:rPr>
                <w:rFonts w:ascii="Times New Roman" w:hAnsi="Times New Roman"/>
                <w:noProof/>
              </w:rPr>
              <w:t>Servicii de protecție a naturii și a peisajelor, limitate la instalațiile de servicii de mediu din zonele de conservare în scopuri recreative (KBLI 02209)</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 Alte servicii de protecție a mediului (CPC 9409)</w:t>
            </w:r>
          </w:p>
          <w:p>
            <w:pPr>
              <w:widowControl/>
              <w:suppressAutoHyphens/>
              <w:spacing w:before="60" w:after="60" w:line="240" w:lineRule="auto"/>
              <w:rPr>
                <w:rFonts w:ascii="Times New Roman" w:hAnsi="Times New Roman"/>
                <w:noProof/>
              </w:rPr>
            </w:pPr>
            <w:r>
              <w:rPr>
                <w:rFonts w:ascii="Times New Roman" w:hAnsi="Times New Roman"/>
                <w:noProof/>
              </w:rPr>
              <w:t>Limitate la serviciile de laborator pentru mediu</w:t>
            </w:r>
          </w:p>
          <w:p>
            <w:pPr>
              <w:widowControl/>
              <w:suppressAutoHyphens/>
              <w:spacing w:before="60" w:after="60" w:line="240" w:lineRule="auto"/>
              <w:rPr>
                <w:rFonts w:ascii="Times New Roman" w:hAnsi="Times New Roman"/>
                <w:noProof/>
              </w:rPr>
            </w:pPr>
            <w:r>
              <w:rPr>
                <w:rFonts w:ascii="Times New Roman" w:hAnsi="Times New Roman"/>
                <w:noProof/>
              </w:rPr>
              <w:t>(laborator care are capacitatea și autoritatea de a testa și examina parametrul de calitate a mediului în conformitate cu actele cu putere de lege și normele administrative în vigoare în domeniul mediului)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Furnizorii de servicii din Uniune trebuie să fie înregistrați de Ministerul Mediului și acreditați de organismul național de acreditare (KAN) în conformitate cu actele cu putere de lege și normele administrative în vigoare.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Gestionarea apei</w:t>
            </w:r>
            <w:r>
              <w:rPr>
                <w:rStyle w:val="FootnoteReference"/>
                <w:rFonts w:ascii="Times New Roman" w:hAnsi="Times New Roman"/>
                <w:b/>
                <w:noProof/>
              </w:rPr>
              <w:footnoteReference w:id="115"/>
            </w:r>
            <w:r>
              <w:rPr>
                <w:rFonts w:ascii="Times New Roman" w:hAnsi="Times New Roman"/>
                <w:noProof/>
              </w:rPr>
              <w:t>, limitată la apa potabilă</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de acordare a licențelor pentru furnizorii de servicii din Uniune pot fi diferite de cele aplicabile furnizorilor de servicii indonezieni, cum ar fi avizul tehnic și scrisoarea de fezabilitate operațională [Surat Kelayakan Operasional (SLO)].</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7. SERVICII FINANCIARE</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În pofida dispozițiilor articolului 10.5, Indonezia își rezervă dreptul de a adopta sau de a menține măsuri care îi impun unui furnizor de servicii financiare care are o prezență comercială în Indonezia și care este autorizat să desfășoare activități comerciale și este reglementat sau supravegheat în temeiul actelor cu putere de lege și al normelor administrative indoneziene să își plaseze centrul de date și centrul de recuperare în caz de dezastru (CD/CRD) pe teritoriul Indoneziei</w:t>
            </w:r>
            <w:r>
              <w:rPr>
                <w:rStyle w:val="FootnoteReference"/>
                <w:rFonts w:ascii="Times New Roman" w:hAnsi="Times New Roman"/>
                <w:b/>
                <w:noProof/>
              </w:rPr>
              <w:footnoteReference w:id="116"/>
            </w:r>
            <w:r>
              <w:rPr>
                <w:rFonts w:ascii="Times New Roman" w:hAnsi="Times New Roman"/>
                <w:noProof/>
              </w:rPr>
              <w:t xml:space="preserve">. Indonezia nu interzice transferul de date sau prelucrarea datelor de către astfel de furnizori de servicii financiare din Uniune în afara Indoneziei în cazul în care un astfel de transfer este necesar pentru desfășurarea activității obișnuite a furnizorilor de servicii financiare. Pentru mai multă certitudine, orice astfel de măsură face obiectul </w:t>
            </w:r>
            <w:bookmarkStart w:id="45" w:name="_Hlk228311681"/>
            <w:r>
              <w:rPr>
                <w:rFonts w:ascii="Times New Roman" w:hAnsi="Times New Roman"/>
                <w:noProof/>
              </w:rPr>
              <w:t>articolului 8.8</w:t>
            </w:r>
            <w:bookmarkEnd w:id="45"/>
            <w:r>
              <w:rPr>
                <w:rFonts w:ascii="Times New Roman" w:hAnsi="Times New Roman"/>
                <w:noProof/>
              </w:rPr>
              <w:t xml:space="preserve"> și, în cazul în care Indonezia acordă un tratament mai favorabil furnizorilor de servicii financiare în temeiul oricărui acord internațional care prevede angajamente privind transferurile transfrontaliere de date pentru servicii financiare, semnat după data intrării în vigoare a prezentului acord, altele decât cele dintre statele membre ale ASEAN, un astfel de tratament se acordă furnizorilor de servicii financiare din Uniune</w:t>
            </w:r>
            <w:r>
              <w:rPr>
                <w:noProof/>
              </w:rPr>
              <w: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Subsectorul serviciilor financiare nebancare</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Condiție generală privind subsectorul serviciilor financiare nebancare: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În ceea ce privește asigurările, participația furnizorilor de servicii străini este plafonată la 80 %. Furnizorii existenți cu o participație străină de peste 80 % beneficiază de păstrarea drepturilor dobândite, dar niciun capital suplimentar nu trebuie să conducă la majorarea participației lor străine. Pentru alte servicii financiare nebancare, participația străină este reglementată de actele cu putere de lege și normele administrative în vigoare la data intrării în vigoare a acordului. Se respectă condițiile de proprietate și cota procentuală de participare prevăzute în respectivul acord al acționarilor prin care se înființează întreprinderea comună individuală existentă în domeniul serviciilor financiare nebancare. Nu are loc niciun transfer de participații fără consimțământul tuturor părților din întreprinderea comună în cauză.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Acțiunile societăților financiare nebancare cotate la bursă pot fi deținute în proporție de 100 % de investitori din Uniune.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Toate întreprinderile comune asigură formarea angajaților lor.</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Servicii de asigurare, altele decât cele de viață (CPC 8129) </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reasigurare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asigurare de viață (CPC 81211)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brokeraj de asigurări (CPC 8140)</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brokeraj de reasigurări (CPC 8140)</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leasing financiar (CPC 81120)</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factoring (CPC 8113)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Activități privind cărțile de credit (emitentul și agentul cărților de credit) (CPC-8113)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financiare pentru consumatori (CPC 8113)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Tranzacționare de titluri de valoare în cont propriu sau în contul clienților, pe o piață bursieră sau pe o piață extrabursieră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Acțiuni cotate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Obligațiuni</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Prin înființarea unei societăți de servicii de investiții financiare autorizate de autoritatea competentă ca broker/dealer de valori mobiliare și 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Participarea la emisiunile de orice tipuri de titluri de valoare, inclusiv subscrierea și plasarea (publică sau privată) în calitate de agent și furnizarea de servicii legate de aceste emisiuni</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Prin înființarea unei societăți de servicii de investiții financiare autorizate de autoritatea competentă ca subscriitor de valori mobiliare și astfel cum se specifică în secțiunea orizontală și în condițiile generale.</w:t>
            </w: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portofoliului, toate formele de gestionare a plasamentelor colective</w:t>
            </w:r>
            <w:r>
              <w:rPr>
                <w:rStyle w:val="FootnoteReference"/>
                <w:rFonts w:ascii="Times New Roman" w:hAnsi="Times New Roman"/>
                <w:b/>
                <w:noProof/>
              </w:rPr>
              <w:footnoteReference w:id="117"/>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activelor limitată doar la gestionarea fondurilor de investiții</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Prin înființarea unei societăți de servicii de investiții financiare autorizate de autoritatea competentă ca manager de investiții și astfel cum se specifică în secțiunea orizontală și în condițiile generale.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consultanță în materie de investiții limitate numai la consultanța în materie de investiții pe piața de capital</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Prin înființarea unei societăți de consultanță în materie de investiții, autorizată de autoritatea competentă și astfel cum se specifică în secțiunea orizontală și în condițiile generale.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SUBSECTORUL BANCAR</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Condiții generale privind subsectorul bancar</w:t>
            </w:r>
          </w:p>
        </w:tc>
      </w:tr>
      <w:tr>
        <w:trPr>
          <w:trHeight w:val="3315"/>
        </w:trPr>
        <w:tc>
          <w:tcPr>
            <w:tcW w:w="5000" w:type="pct"/>
            <w:gridSpan w:val="3"/>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Cu excepția sucursalelor existente ale băncilor din Uniune, furnizorul de servicii din Uniune se prezintă sub forma unei bănci comerciale cu capital străin înregistrate la nivel local, cu o participare străină la capital de maximum 51 %, cu respectarea următoarelor cerințe: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(a)</w:t>
            </w:r>
            <w:r>
              <w:rPr>
                <w:noProof/>
              </w:rPr>
              <w:tab/>
            </w:r>
            <w:r>
              <w:rPr>
                <w:rFonts w:ascii="Times New Roman" w:hAnsi="Times New Roman"/>
                <w:noProof/>
              </w:rPr>
              <w:t>neconsolidat pentru licența nouă;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(b)</w:t>
            </w:r>
            <w:r>
              <w:rPr>
                <w:noProof/>
              </w:rPr>
              <w:tab/>
            </w:r>
            <w:r>
              <w:rPr>
                <w:rFonts w:ascii="Times New Roman" w:hAnsi="Times New Roman"/>
                <w:noProof/>
              </w:rPr>
              <w:t>numai instituțiile financiare sunt autorizate să înființeze bănci comerciale cu capital străin înregistrate 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Se respectă condițiile de proprietate și cota procentuală de participare prevăzute în respectivul acord al acționarilor prin care se stabilește înființarea băncii comerciale individuale cu capital străin înregistrate la nivel local ca bază a dreptului de proprietate al furnizorului (furnizorilor) de servicii din Uniune și al partenerului său (partenerilor săi) indonezian (indonezieni). Nu are loc niciun transfer al dreptului de proprietate fără consimțământul tuturor părților din cadrul băncii comerciale cu capital străin înregistrată la nivel local.</w:t>
            </w:r>
          </w:p>
          <w:p>
            <w:pPr>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Achiziționarea băncilor locale existente este permisă prin achiziționarea de acțiuni la bursa de valori în proporție de până la 51 % din acțiunile băncilor înregistrate la nivel local cotate la bursă.</w:t>
            </w:r>
          </w:p>
        </w:tc>
      </w:tr>
      <w:tr>
        <w:trPr>
          <w:trHeight w:val="1770"/>
        </w:trPr>
        <w:tc>
          <w:tcPr>
            <w:tcW w:w="5000" w:type="pct"/>
            <w:gridSpan w:val="3"/>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4.</w:t>
            </w:r>
            <w:r>
              <w:rPr>
                <w:noProof/>
              </w:rPr>
              <w:tab/>
            </w:r>
            <w:r>
              <w:rPr>
                <w:rFonts w:ascii="Times New Roman" w:hAnsi="Times New Roman"/>
                <w:noProof/>
              </w:rPr>
              <w:t>O persoană poate fi „acționar majoritar” într-o singură bancă.</w:t>
            </w:r>
          </w:p>
          <w:p>
            <w:pPr>
              <w:widowControl/>
              <w:suppressAutoHyphens/>
              <w:spacing w:before="60" w:after="60" w:line="240" w:lineRule="auto"/>
              <w:rPr>
                <w:rFonts w:ascii="Times New Roman" w:hAnsi="Times New Roman"/>
                <w:noProof/>
              </w:rPr>
            </w:pPr>
            <w:r>
              <w:rPr>
                <w:rFonts w:ascii="Times New Roman" w:hAnsi="Times New Roman"/>
                <w:noProof/>
              </w:rPr>
              <w:t>Definiție:</w:t>
            </w:r>
          </w:p>
          <w:p>
            <w:pPr>
              <w:suppressAutoHyphens/>
              <w:spacing w:before="60" w:after="60" w:line="240" w:lineRule="auto"/>
              <w:rPr>
                <w:noProof/>
              </w:rPr>
            </w:pPr>
            <w:r>
              <w:rPr>
                <w:rFonts w:ascii="Times New Roman" w:hAnsi="Times New Roman"/>
                <w:noProof/>
              </w:rPr>
              <w:t>Un acționar majoritar înseamnă o persoană care deține în mod real 10 % sau mai mult din capitalul social al unei bănci sau care deține în mod real mai puțin de 10 % din capitalul social al unei bănci, dar care are puterea de a controla banca respectivă. Se consideră că o persoană deține controlul asupra unei bănci în cazul în care persoana respectivă are puterea de a numi directorul și/sau comisarul</w:t>
            </w:r>
            <w:r>
              <w:rPr>
                <w:rStyle w:val="FootnoteReference"/>
                <w:rFonts w:ascii="Times New Roman" w:hAnsi="Times New Roman"/>
                <w:b/>
                <w:noProof/>
              </w:rPr>
              <w:footnoteReference w:id="118"/>
            </w:r>
            <w:r>
              <w:rPr>
                <w:rFonts w:ascii="Times New Roman" w:hAnsi="Times New Roman"/>
                <w:noProof/>
              </w:rPr>
              <w:t xml:space="preserve"> băncii respective și/sau are puterea de a dirija activitatea acesteia.</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Activități bancare comerciale</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p>
        </w:tc>
      </w:tr>
      <w:tr>
        <w:trPr>
          <w:trHeight w:val="2610"/>
        </w:trPr>
        <w:tc>
          <w:tcPr>
            <w:tcW w:w="1767"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Acceptarea depozitelor și a altor fonduri rambursabile de la populație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Împrumuturi de orice natură, inclusiv credite de consum, credite ipotecare, factoring și finanțarea tranzacțiilor comerciale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Toate serviciile de plăți și transferuri monetare, inclusiv cărțile de credit, cărțile de plată și cărțile de debit, cecurile de călătorie și cecurile bancare</w:t>
            </w:r>
          </w:p>
        </w:tc>
        <w:tc>
          <w:tcPr>
            <w:tcW w:w="3233" w:type="pct"/>
            <w:gridSpan w:val="2"/>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Limitare la doar la 2 (două) subsucursale și la 2 (două) birouri auxiliare pentru sucursala băncii străine.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Limitare la doar 2 (două) sucursale și 2 (două) subsucursale pentru băncile comerciale cu capital străin înregistrate 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Pentru sucursala bancară din Uniune, expatriații pot ocupa numai funcții de conducere executivă, cu condiția ca minimum una dintre acestea să fie ocupată de un cetățean indonezian.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Pentru băncile comerciale cu capital străin înregistrate la nivel local, numai funcția de director poate fi ocupată de expatriați, proporțional cu participarea la capital.</w:t>
            </w:r>
          </w:p>
        </w:tc>
      </w:tr>
      <w:tr>
        <w:trPr>
          <w:trHeight w:val="2640"/>
        </w:trPr>
        <w:tc>
          <w:tcPr>
            <w:tcW w:w="1767"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(iv)</w:t>
            </w:r>
            <w:r>
              <w:rPr>
                <w:noProof/>
              </w:rPr>
              <w:tab/>
            </w:r>
            <w:r>
              <w:rPr>
                <w:rFonts w:ascii="Times New Roman" w:hAnsi="Times New Roman"/>
                <w:noProof/>
              </w:rPr>
              <w:t>Garanții și angajamente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(v)</w:t>
            </w:r>
            <w:r>
              <w:rPr>
                <w:noProof/>
              </w:rPr>
              <w:tab/>
            </w:r>
            <w:r>
              <w:rPr>
                <w:rFonts w:ascii="Times New Roman" w:hAnsi="Times New Roman"/>
                <w:noProof/>
              </w:rPr>
              <w:t>Tranzacționarea, în nume propriu sau în numele clienților, pe piața bursieră, pe piața extrabursieră sau pe alte piețe, a următoarelor:</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instrumente ale pieței monetare (inclusiv cecuri, efecte de comerț, certificate de depozit);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valută;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instrumente care au la bază cursul de schimb și rata dobânzilor, inclusiv produse cum ar fi swap-urile și contractele forward pe rata dobânzii;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valori mobiliare emise pe piața monetară;</w:t>
            </w:r>
          </w:p>
          <w:p>
            <w:pPr>
              <w:suppressAutoHyphens/>
              <w:spacing w:before="60" w:after="60" w:line="240" w:lineRule="auto"/>
              <w:ind w:left="567" w:hanging="567"/>
              <w:rPr>
                <w:noProof/>
              </w:rPr>
            </w:pPr>
            <w:r>
              <w:rPr>
                <w:rFonts w:ascii="Times New Roman" w:hAnsi="Times New Roman"/>
                <w:noProof/>
              </w:rPr>
              <w:t>(vi)</w:t>
            </w:r>
            <w:r>
              <w:rPr>
                <w:noProof/>
              </w:rPr>
              <w:tab/>
            </w:r>
            <w:r>
              <w:rPr>
                <w:rFonts w:ascii="Times New Roman" w:hAnsi="Times New Roman"/>
                <w:noProof/>
              </w:rPr>
              <w:t>servicii de gestionare a numerarului, de custodie și de depozitare.</w:t>
            </w:r>
          </w:p>
        </w:tc>
        <w:tc>
          <w:tcPr>
            <w:tcW w:w="3233" w:type="pct"/>
            <w:gridSpan w:val="2"/>
            <w:tcBorders>
              <w:top w:val="nil"/>
            </w:tcBorders>
          </w:tcPr>
          <w:p>
            <w:pPr>
              <w:suppressAutoHyphens/>
              <w:spacing w:before="60" w:after="60" w:line="240" w:lineRule="auto"/>
              <w:ind w:left="567" w:hanging="567"/>
              <w:rPr>
                <w:noProof/>
              </w:rPr>
            </w:pPr>
          </w:p>
        </w:tc>
      </w:tr>
      <w:tr>
        <w:tc>
          <w:tcPr>
            <w:tcW w:w="1767"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8. SERVICII DE SĂNĂTATE ȘI SERVICII SOCIALE</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p>
        </w:tc>
      </w:tr>
      <w:tr>
        <w:trPr>
          <w:trHeight w:val="459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spitalicești numai pentru servicii medicale specializate și subspecializate în spitale din clasele A și B (CPC 9311)</w:t>
            </w:r>
          </w:p>
        </w:tc>
        <w:tc>
          <w:tcPr>
            <w:tcW w:w="35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Pot fi angajați profesioniști din domeniul sănătății din Uniune în măsura în care nu există profesioniști din domeniul sănătății suficienți care să fie cetățeni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Furnizorii de servicii din Uniune pun la dispoziție minimum 200 de paturi sau astfel cum se prevede pentru spitalele generale sau specializate în actele cu putere de lege și normele administrative în vigoare.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Furnizorii de servicii din Uniune se pot stabili numai pentru servicii specializate și servicii subspecializate.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Furnizorii de servicii din Uniune trebuie să aibă 3 (trei) tipuri de servicii subspecializate.</w:t>
            </w:r>
          </w:p>
          <w:p>
            <w:pPr>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Trebuie respectate standardele internaționale în materie de servicii care sunt acreditate de organismul/instituțiile internaționale de acreditare.</w:t>
            </w:r>
          </w:p>
        </w:tc>
      </w:tr>
      <w:tr>
        <w:tc>
          <w:tcPr>
            <w:tcW w:w="1767" w:type="pct"/>
            <w:tcBorders>
              <w:top w:val="nil"/>
            </w:tcBorders>
          </w:tcPr>
          <w:p>
            <w:pPr>
              <w:pageBreakBefore/>
              <w:suppressAutoHyphens/>
              <w:spacing w:before="60" w:after="60" w:line="240" w:lineRule="auto"/>
              <w:rPr>
                <w:noProof/>
              </w:rPr>
            </w:pPr>
          </w:p>
        </w:tc>
        <w:tc>
          <w:tcPr>
            <w:tcW w:w="354" w:type="pct"/>
            <w:tcBorders>
              <w:top w:val="nil"/>
            </w:tcBorders>
          </w:tcPr>
          <w:p>
            <w:pPr>
              <w:suppressAutoHyphens/>
              <w:spacing w:before="60" w:after="60" w:line="240" w:lineRule="auto"/>
              <w:rPr>
                <w:noProof/>
              </w:rPr>
            </w:pPr>
          </w:p>
        </w:tc>
        <w:tc>
          <w:tcPr>
            <w:tcW w:w="2879"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Profesioniștii din domeniul sănătății din Uniune trebuie să dețină un certificat de competență recunoscut eliberat de o autoritate indoneziană.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Lucrătorilor străini din domeniul medical și din domeniul sănătății le este permis să profeseze numai în cadrul spitalelor, fiindu-le interzis să exercite o practică medicală sau sanitară independentă.</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Alte servicii de îngrijire a sănătății umane (CPC 9319) numai pentru:</w:t>
            </w:r>
          </w:p>
          <w:p>
            <w:pPr>
              <w:widowControl/>
              <w:suppressAutoHyphens/>
              <w:spacing w:before="60" w:after="60" w:line="240" w:lineRule="auto"/>
              <w:rPr>
                <w:rFonts w:ascii="Times New Roman" w:hAnsi="Times New Roman"/>
                <w:noProof/>
              </w:rPr>
            </w:pPr>
            <w:r>
              <w:rPr>
                <w:rFonts w:ascii="Times New Roman" w:hAnsi="Times New Roman"/>
                <w:noProof/>
              </w:rPr>
              <w:t>Servicii de ambulanță (CPC 93192)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Pot fi angajați profesioniști din domeniul sănătății din Uniune în măsura în care nu există profesioniști din domeniul sănătății suficienți care să fie cetățeni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Trebuie stabilită în incinta unui spital din clasa A sau B, astfel cum sunt definite acestea în actele cu putere de lege și normele administrative în vigoare.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Conducerea trebuie să fie integrată în structura spitalului.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asistență socială acordate persoanelor în vârstă și persoanelor cu handicap prin instituții de tip rezidențial (CPC 93311)</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 xml:space="preserve">Servicii de asistență socială neacordate prin instituții de tip rezidențial (CPC 93323) </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Pot fi angajați profesioniști din domeniul sănătății și din domeniul social din Uniune numai în măsura în care nu există astfel de profesioniști suficient de calificați care să fie cetățeni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Unitățile de îngrijire a persoanelor în vârstă pot furniza servicii de sănătate pentru îngrijirea persoanelor în vârstă numai prin crearea de rețele cu unitățile de asistență medicală înregistrate localizate în domeniul de activitate responsabil.</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9. SERVICII TURISTICE ȘI SERVICII LEGATE DE CĂLĂTORII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Hoteluri</w:t>
            </w:r>
            <w:r>
              <w:rPr>
                <w:rStyle w:val="FootnoteReference"/>
                <w:rFonts w:ascii="Times New Roman" w:hAnsi="Times New Roman"/>
                <w:b/>
                <w:noProof/>
              </w:rPr>
              <w:footnoteReference w:id="119"/>
            </w:r>
            <w:r>
              <w:rPr>
                <w:rFonts w:ascii="Times New Roman" w:hAnsi="Times New Roman"/>
                <w:noProof/>
              </w:rPr>
              <w:t xml:space="preserve"> (numai pentru hotelurile de 3, 4 și 5 stele)</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este supusă testului privind necesitățile economice și actelor cu putere de lege și normelor administrative în vigoare ale administrației locale.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Hoteluri (CPC 64110)</w:t>
            </w:r>
          </w:p>
          <w:p>
            <w:pPr>
              <w:widowControl/>
              <w:suppressAutoHyphens/>
              <w:spacing w:before="60" w:after="60" w:line="240" w:lineRule="auto"/>
              <w:rPr>
                <w:rFonts w:ascii="Times New Roman" w:hAnsi="Times New Roman"/>
                <w:noProof/>
              </w:rPr>
            </w:pPr>
            <w:r>
              <w:rPr>
                <w:rFonts w:ascii="Times New Roman" w:hAnsi="Times New Roman"/>
                <w:noProof/>
              </w:rPr>
              <w:t>(hoteluri de 1 sau 2 stele)</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complete de alimentație publică, de tipul celor oferite în restaurante</w:t>
            </w:r>
          </w:p>
          <w:p>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servire a băuturilor fără servicii de divertisment</w:t>
            </w:r>
          </w:p>
          <w:p>
            <w:pPr>
              <w:widowControl/>
              <w:suppressAutoHyphens/>
              <w:spacing w:before="60" w:after="60" w:line="240" w:lineRule="auto"/>
              <w:rPr>
                <w:rFonts w:ascii="Times New Roman" w:hAnsi="Times New Roman"/>
                <w:noProof/>
              </w:rPr>
            </w:pPr>
            <w:r>
              <w:rPr>
                <w:rFonts w:ascii="Times New Roman" w:hAnsi="Times New Roman"/>
                <w:noProof/>
              </w:rPr>
              <w:t>(CPC 64310)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servire a băuturilor cu servicii de divertisment (CPC 6432/64320)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B. Servicii ale agențiilor de voiaj și ale operatorilor de turism</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lastRenderedPageBreak/>
              <w:t>Servicii ale operatorilor de turism (CPC 74710</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este supusă testului privind necesitățile economice și actelor cu putere de lege și normelor administrative în vigoare ale administrației locale.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D. Altele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Inclusiv stațiunile turistice</w:t>
            </w:r>
            <w:r>
              <w:rPr>
                <w:rStyle w:val="FootnoteReference"/>
                <w:rFonts w:ascii="Times New Roman" w:hAnsi="Times New Roman"/>
                <w:b/>
                <w:noProof/>
              </w:rPr>
              <w:footnoteReference w:id="120"/>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Hoteluri (3, 4 și 5 stele)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(Nu sunt incluse unitățile pentru porturile de agrement și administrarea hotelurilor)</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este supusă testului privind necesitățile economice și actelor cu putere de lege și normelor administrative în vigoare ale administrației locale.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Operatori hotelieri internaționali (CPC 91135)</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în anumite provincii sau zone face obiectul unui test privind necesitățile economice.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10. SERVICII RECREATIVE, CULTURALE ȘI SPORTIVE (ALTELE DECÂT SERVICIILE DIN DOMENIUL AUDIOVIZUALULUI)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Servicii de divertisment (inclusiv servicii privind piesele de teatru, formațiile muzicale cu prezentare publică în direct și spectacolele de circ)</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Teatru și operă (CPC 96193) </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este supusă testului privind necesitățile economice și actelor cu putere de lege și normelor administrative în vigoare ale administrației locale.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Alte servicii recreative n.c.a. – jocuri online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5820</w:t>
            </w:r>
            <w:r>
              <w:rPr>
                <w:b/>
                <w:noProof/>
                <w:vertAlign w:val="superscript"/>
              </w:rPr>
              <w:t>***</w:t>
            </w:r>
            <w:r>
              <w:rPr>
                <w:rFonts w:ascii="Times New Roman" w:hAnsi="Times New Roman"/>
                <w:noProof/>
              </w:rPr>
              <w:t> – editarea de software – numai pentru editarea de jocuri video pentru toate platformele de sisteme de operare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62011</w:t>
            </w:r>
            <w:r>
              <w:rPr>
                <w:rFonts w:ascii="Times New Roman" w:hAnsi="Times New Roman"/>
                <w:b/>
                <w:noProof/>
                <w:vertAlign w:val="superscript"/>
              </w:rPr>
              <w:t>**</w:t>
            </w:r>
            <w:r>
              <w:rPr>
                <w:rFonts w:ascii="Times New Roman" w:hAnsi="Times New Roman"/>
                <w:noProof/>
              </w:rPr>
              <w:t> – numai pentru dezvoltarea de software pentru jocuri video</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face obiectul testului privind necesitățile economice.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sportive și alte servicii recreative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Terenuri de golf și alte unități</w:t>
            </w:r>
          </w:p>
          <w:p>
            <w:pPr>
              <w:widowControl/>
              <w:suppressAutoHyphens/>
              <w:spacing w:before="60" w:after="60" w:line="240" w:lineRule="auto"/>
              <w:rPr>
                <w:rFonts w:ascii="Times New Roman" w:hAnsi="Times New Roman"/>
                <w:noProof/>
              </w:rPr>
            </w:pPr>
            <w:r>
              <w:rPr>
                <w:rFonts w:ascii="Times New Roman" w:hAnsi="Times New Roman"/>
                <w:noProof/>
              </w:rPr>
              <w:t>Numai în cadrul stațiunilor turistice</w:t>
            </w:r>
          </w:p>
          <w:p>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67 %.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Stabilirea este supusă testului privind necesitățile economice și actelor cu putere de lege și normelor administrative în vigoare ale administrației locale.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 Altele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Unități ale porturilor de agrement</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administrare a hotelurilor</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11. SERVICII DE TRANSPORT</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 Servicii de transport maritim</w:t>
            </w:r>
          </w:p>
          <w:p>
            <w:pPr>
              <w:widowControl/>
              <w:suppressAutoHyphens/>
              <w:spacing w:before="60" w:after="60" w:line="240" w:lineRule="auto"/>
              <w:rPr>
                <w:rFonts w:ascii="Times New Roman" w:hAnsi="Times New Roman"/>
                <w:noProof/>
              </w:rPr>
            </w:pPr>
            <w:r>
              <w:rPr>
                <w:rFonts w:ascii="Times New Roman" w:hAnsi="Times New Roman"/>
                <w:noProof/>
              </w:rPr>
              <w:t>Transportul de călători și de mărfuri, cu excepția cabotajului și a serviciilor auxiliare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 internațional de călători (CPC 7211)</w:t>
            </w:r>
            <w:r>
              <w:rPr>
                <w:rStyle w:val="FootnoteReference"/>
                <w:rFonts w:ascii="Times New Roman" w:hAnsi="Times New Roman"/>
                <w:b/>
                <w:noProof/>
              </w:rPr>
              <w:footnoteReference w:id="121"/>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Întreprinderea comună trebuie să dețină și să exploateze o navă sub pavilion indonezian cu un tonaj brut de cel puțin 50 000 de tone pentru fiecare navă și un echipaj format din resortisanți indonezieni.</w:t>
            </w: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Transport internațional de mărfuri (CPC 7212), altul decât pentru compania de transport maritim cu scop special/Surat Izin Operasi Perusahaan Angkutan Laut Khusus (SIOPSUS) stabilită în Indonezia înainte de octombrie 2025</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Întreprinderea comună trebuie să dețină și să exploateze o navă sub pavilion indonezian cu un tonaj brut de cel puțin 50 000 de tone pentru fiecare navă și un echipaj format din resortisanți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internațional de mărfuri (CPC 7212) pentru entitățile juridice indoneziene din sectorul minier și industrial care exploatează nave în temeiul unei scrisori de autorizare operațională pentru companii de transport maritim special/Surat Izin Operasi Perusahaan Angkutan Laut Khusus (SIOPSUS) pentru a-și sprijini principalele activități comerciale</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Furnizorii de servicii din Uniune care s-au stabilit în Indonezia înainte de octombrie 2025, cu excepția cazului în care societatea respectivă își modifică actul constitutiv, modifică datele societății referitoare la componența acționariatului și structura acționarilor sau achiziționează o navă nouă după intrarea în vigoare a legii, pot face obiectul următoarelor condiții: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întreprinderea comună trebuie să exploateze cel puțin o navă sub pavilion indonezian cu un tonaj brut de cel puțin 5 000 de tone și un echipaj format din resortisanți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navelor (CPC 8868</w:t>
            </w:r>
            <w:r>
              <w:rPr>
                <w:rFonts w:ascii="Times New Roman" w:hAnsi="Times New Roman"/>
                <w:b/>
                <w:noProof/>
                <w:vertAlign w:val="superscript"/>
              </w:rPr>
              <w:t>**</w:t>
            </w:r>
            <w:r>
              <w:rPr>
                <w:rFonts w:ascii="Times New Roman" w:hAnsi="Times New Roman"/>
                <w:noProof/>
              </w:rPr>
              <w:t>)</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 pentru clasificarea navelor cu o capacitate mai mare de 50 000 TDW.</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închiriere de nave cu echipaj (CPC 7213), cu excepția cabotajului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Echipajul trebuie să fie compus din cetățeni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împingere și remorcare pentru transportul maritim (CPC 7214) (cu excepția cabotajului)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transportul maritim, numai pentru serviciile de exploatare portuară (CPC 7451</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străini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recuperare și ranfluare a navelor (CPC 7454)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Fiecare activitate de recuperare desfășurată trebuie să facă obiectul unei autorizații acordate de Direcția Generală pentru Afaceri Maritime.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highlight w:val="yellow"/>
              </w:rPr>
            </w:pPr>
            <w:r>
              <w:rPr>
                <w:rFonts w:ascii="Times New Roman" w:hAnsi="Times New Roman"/>
                <w:noProof/>
              </w:rPr>
              <w:lastRenderedPageBreak/>
              <w:t>Servicii de închiriere de nave fără echipaj (CPC 83103)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Activități offshore care necesită utilizarea unei nave, altele decât transportul de călători sau de mărfuri, cum ar fi: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lucrări de recuperare și subacvatice;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lucrări de construcții offshore;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foraj;</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dragare, inclusiv instalarea de cabluri;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construcția de terminale;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sprijin operațional offshore.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Întreprinderile din Uniune pot utiliza nave sub pavilionul Uniunii pentru a desfășura aceste activități dacă navele sub pavilion indonezian nu sunt suficiente sau disponibile.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 pe căile navigabile interioare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Transportul de călători (CPC 7221)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highlight w:val="yellow"/>
              </w:rPr>
            </w:pPr>
            <w:r>
              <w:rPr>
                <w:rFonts w:ascii="Times New Roman" w:hAnsi="Times New Roman"/>
                <w:noProof/>
              </w:rPr>
              <w:t>Transportul de mărfuri (CPC 7222), cu excepția cabotajului și a produselor miniere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împingere și remorcare pentru transportul maritim (CPC 7224) (cu excepția cabotajului)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transportul pe căile navigabile interioare (CPC 745</w:t>
            </w:r>
            <w:r>
              <w:rPr>
                <w:rFonts w:ascii="Times New Roman" w:hAnsi="Times New Roman"/>
                <w:b/>
                <w:noProof/>
                <w:vertAlign w:val="superscript"/>
              </w:rPr>
              <w:t>*</w:t>
            </w:r>
            <w:r>
              <w:rPr>
                <w:rFonts w:ascii="Times New Roman" w:hAnsi="Times New Roman"/>
                <w:noProof/>
              </w:rPr>
              <w:t>), cu excepția cabotajului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Întreținerea și repararea navelor (căi navigabile interioare) (CPC 8868</w:t>
            </w:r>
            <w:r>
              <w:rPr>
                <w:rFonts w:ascii="Times New Roman" w:hAnsi="Times New Roman"/>
                <w:b/>
                <w:noProof/>
                <w:vertAlign w:val="superscript"/>
              </w:rPr>
              <w:t>**</w:t>
            </w:r>
            <w:r>
              <w:rPr>
                <w:rFonts w:ascii="Times New Roman" w:hAnsi="Times New Roman"/>
                <w:noProof/>
              </w:rPr>
              <w:t>)</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 pentru clasificarea navelor cu o capacitate mai mare de 50 000 TDW.</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maritime auxiliare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manipulare a încărcăturilor maritime</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Operațiunile de încărcare a mărfurilor pe nave și operațiunile de descărcare a mărfurilor de pe nave desfășurate de întreprinderile comune trebuie să se încadreze în activitățile prevăzute de guvernator.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Titularii de licențe comerciale sub formă de întreprinderi comune pot desfășura activități de descărcare a mărfurilor numai în anumite porturi prevăzute de administrația publică.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aerian</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reparare și întreținere a aeronavelor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Vânzarea și comercializarea serviciilor de transport aerian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Sistemele informatizate de rezervare (SIR)</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catering, limitate la servicii de catering pentru aeronave (KBLI 56290)</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exploatare aeroportuară și servicii privind activitatea aeroportuară (KBLI 52231)</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49 %.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rutier</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echipamentelor de transport rutier (CPC 8867, cu excepția motocicletelor)</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35 %.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întreprinderea comună cu partenerul din Uniune implică desfășurarea de activități de producție în Indonezia, inclusiv de către societățile locale din grupul său, legate de întreținerea și repararea automobilelor (cu excepția motocicletelor).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 de mărfuri (CPC 7123)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Sub rezerva obținerii unui certificat standard și a unui autorizații operaționale.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Alte servicii de transport terestru (CPC 712), numai pentru serviciile de închiriere de autobuze și autocare cu operator (KBLI 49211)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Furnizorii de servicii din Uniune fac obiectul cerinței în materie de acordare a licențelor pentru obținerea unei autorizații de stabilire eliberate de Ministerul Transporturilor.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Aceștia trebui să se înscrie în asociația de transport rutier public/Organisasi Angkutan Darat (Organda).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Licența de traseu face obiectul testului privind necesitățile economice și al actelor cu putere de lege și normelor administrative guvernamentale în vigoare.</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feroviar</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7111)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7111)</w:t>
            </w:r>
          </w:p>
          <w:p>
            <w:pPr>
              <w:widowControl/>
              <w:suppressAutoHyphens/>
              <w:spacing w:before="60" w:after="60" w:line="240" w:lineRule="auto"/>
              <w:rPr>
                <w:rFonts w:ascii="Times New Roman" w:hAnsi="Times New Roman"/>
                <w:noProof/>
              </w:rPr>
            </w:pPr>
            <w:r>
              <w:rPr>
                <w:rFonts w:ascii="Times New Roman" w:hAnsi="Times New Roman"/>
                <w:noProof/>
              </w:rPr>
              <w:t>limitat la transportul interurban de călători (CPC 71111)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Furnizorii de servicii de transport de călători din Uniune nu exploatează căile ferate existente.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Transportul de mărfuri (CPC 7112)</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7112)</w:t>
            </w:r>
          </w:p>
          <w:p>
            <w:pPr>
              <w:widowControl/>
              <w:suppressAutoHyphens/>
              <w:spacing w:before="60" w:after="60" w:line="240" w:lineRule="auto"/>
              <w:rPr>
                <w:rFonts w:ascii="Times New Roman" w:hAnsi="Times New Roman"/>
                <w:noProof/>
              </w:rPr>
            </w:pPr>
            <w:r>
              <w:rPr>
                <w:rFonts w:ascii="Times New Roman" w:hAnsi="Times New Roman"/>
                <w:noProof/>
              </w:rPr>
              <w:t>limitat la transportul de produse congelate sau refrigerate (CPC 71121)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împingere și remorcare (CPC 7113)</w:t>
            </w:r>
          </w:p>
          <w:p>
            <w:pPr>
              <w:widowControl/>
              <w:suppressAutoHyphens/>
              <w:spacing w:before="60" w:after="60" w:line="240" w:lineRule="auto"/>
              <w:rPr>
                <w:rFonts w:ascii="Times New Roman" w:hAnsi="Times New Roman"/>
                <w:noProof/>
              </w:rPr>
            </w:pPr>
            <w:r>
              <w:rPr>
                <w:rFonts w:ascii="Times New Roman" w:hAnsi="Times New Roman"/>
                <w:noProof/>
              </w:rPr>
              <w:t>Servicii de sprijin pentru serviciile de transport feroviar (CPC 743)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echipamentelor de transport feroviar (CPC 8868)</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 Cota maximă de participare străină la capital permisă este de până la 51 % în cazul în care întreprinderea comună este înființată cu PT. INKA (societate deținută de stat).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transport prin conducte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Transportul petrolului și al gazelor naturale (CPC 7131)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 prevede obligația de a obține o licență de transport de petrol și gaze în aval.</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de sprijin și auxiliare</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maritime de expediere de mărfuri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70 %.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autogări, inclusiv servicii de parcare, planificarea transportului public, inspecții la rampă, activități pentru călători (KBLI 52211);</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Serviciile furnizate de furnizorii din Uniune se limitează la servicii de sprijin în autogări.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în materie de acordare a licențelor pentru furnizorii de servicii din Uniune pot fi diferite de cele aplicabile furnizorilor de servicii indonezieni. Licența este emisă de Ministerul Transporturilor.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30 % din suprafața unei autogări se alocă întreprinderilor mici și mijlocii.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alte servicii de sprijin pentru transportul rutier, numai pentru serviciile de inspecție periodică (KBLI 71203)</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până la 100 %.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Accesul, echipamentele de testare și instalațiile sunt acreditate de Ministerul Transporturilor.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în materie de acordare a licențelor pentru furnizorii de servicii din Uniune pot fi diferite de cele aplicabile furnizorilor de servicii indonezieni. Licența este emisă de Ministerul Transporturilor.</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rPr>
                <w:rFonts w:ascii="Times New Roman" w:hAnsi="Times New Roman"/>
                <w:noProof/>
              </w:rPr>
            </w:pPr>
            <w:r>
              <w:rPr>
                <w:rFonts w:ascii="Times New Roman" w:hAnsi="Times New Roman"/>
                <w:noProof/>
              </w:rPr>
              <w:t>servicii ale operatorilor de autostrăzi, poduri și tuneluri (CPC 74420), limitate la serviciile de autostrăzi</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49 %.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widowControl/>
              <w:suppressAutoHyphens/>
              <w:spacing w:before="60" w:after="60" w:line="240" w:lineRule="auto"/>
              <w:rPr>
                <w:rFonts w:ascii="Times New Roman" w:hAnsi="Times New Roman"/>
                <w:noProof/>
              </w:rPr>
            </w:pP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stocare și depozitare în afara zonei portuare și a zonei 1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depozitare a produselor congelate și refrigerate (CPC 7421)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depozitare sau antrepozitare (CPC 7429)</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Prezența comercială este permisă sub forma unei întreprinderi comune, cu o participare străină la capital de maximum 30 %.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Cerințele în materie de acordare a licențelor pentru furnizorii de servicii din Uniune pot fi diferite de cele aplicabile furnizorilor de servicii indonezieni.</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12. ALTE SERVICII</w:t>
            </w:r>
          </w:p>
        </w:tc>
        <w:tc>
          <w:tcPr>
            <w:tcW w:w="3233" w:type="pct"/>
            <w:gridSpan w:val="2"/>
          </w:tcPr>
          <w:p>
            <w:pPr>
              <w:widowControl/>
              <w:suppressAutoHyphens/>
              <w:spacing w:before="60" w:after="60" w:line="240" w:lineRule="auto"/>
              <w:rPr>
                <w:rFonts w:ascii="Times New Roman" w:hAnsi="Times New Roman"/>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energetice</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 privind serviciile energetice:</w:t>
            </w:r>
          </w:p>
          <w:p>
            <w:pPr>
              <w:widowControl/>
              <w:suppressAutoHyphens/>
              <w:spacing w:before="60" w:after="60" w:line="240" w:lineRule="auto"/>
              <w:rPr>
                <w:rFonts w:ascii="Times New Roman" w:hAnsi="Times New Roman"/>
                <w:noProof/>
              </w:rPr>
            </w:pPr>
            <w:r>
              <w:rPr>
                <w:rFonts w:ascii="Times New Roman" w:hAnsi="Times New Roman"/>
                <w:noProof/>
              </w:rPr>
              <w:t>Furnizorii de servicii din Uniune fac obiectul oricărei măsuri legate de privatizarea, transformarea în societate comercială sau comercializarea activelor, entităților sau agențiilor guvernamentale, care includ:</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limitări privind dreptul de proprietate asupra activelor;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transferul sau cedarea participațiilor în capitalurile proprii sau a activelor acestora;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dreptul investitorilor din Uniune sau al investițiilor acestora de a-și controla activele și cetățenia personalului de conducere de nivel superior sau a membrilor consiliului de administrație.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Pentru mai multă certitudine: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în cazul în care Indonezia transferă o participație într-o întreprindere de stat existentă către o altă întreprindere de stat, un astfel de transfer nu se consideră a fi un transfer inițial sau o cedare inițială a participației în sensul prezentei rubrici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cazul în care Indonezia transferă sau cedează o participație într-o întreprindere de stat existentă în mai multe etape, litera (a) se aplică separat fiecărei etape de acest tip.</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Lichefierea și gazeificarea numai pentru cărbune</w:t>
            </w:r>
          </w:p>
          <w:p>
            <w:pPr>
              <w:widowControl/>
              <w:suppressAutoHyphens/>
              <w:spacing w:before="60" w:after="60" w:line="240" w:lineRule="auto"/>
              <w:rPr>
                <w:rFonts w:ascii="Times New Roman" w:hAnsi="Times New Roman"/>
                <w:noProof/>
              </w:rPr>
            </w:pPr>
            <w:r>
              <w:rPr>
                <w:rFonts w:ascii="Times New Roman" w:hAnsi="Times New Roman"/>
                <w:noProof/>
              </w:rPr>
              <w:t>Potrivit propunerii Indoneziei de clasificare a serviciilor energetice, serviciile respective se încadrează la:</w:t>
            </w:r>
          </w:p>
          <w:p>
            <w:pPr>
              <w:widowControl/>
              <w:suppressAutoHyphens/>
              <w:spacing w:before="60" w:after="60" w:line="240" w:lineRule="auto"/>
              <w:rPr>
                <w:rFonts w:ascii="Times New Roman" w:hAnsi="Times New Roman"/>
                <w:noProof/>
              </w:rPr>
            </w:pPr>
            <w:r>
              <w:rPr>
                <w:rFonts w:ascii="Times New Roman" w:hAnsi="Times New Roman"/>
                <w:noProof/>
              </w:rPr>
              <w:t>Lichefierea cărbunelui (2.4.4.4)</w:t>
            </w:r>
          </w:p>
          <w:p>
            <w:pPr>
              <w:widowControl/>
              <w:suppressAutoHyphens/>
              <w:spacing w:before="60" w:after="60" w:line="240" w:lineRule="auto"/>
              <w:rPr>
                <w:rFonts w:ascii="Times New Roman" w:hAnsi="Times New Roman"/>
                <w:noProof/>
              </w:rPr>
            </w:pPr>
            <w:r>
              <w:rPr>
                <w:rFonts w:ascii="Times New Roman" w:hAnsi="Times New Roman"/>
                <w:noProof/>
              </w:rPr>
              <w:t>Gazeificarea cărbunelui (2.4.4.5)</w:t>
            </w:r>
          </w:p>
          <w:p>
            <w:pPr>
              <w:widowControl/>
              <w:suppressAutoHyphens/>
              <w:spacing w:before="60" w:after="60" w:line="240" w:lineRule="auto"/>
              <w:rPr>
                <w:rFonts w:ascii="Times New Roman" w:hAnsi="Times New Roman"/>
                <w:noProof/>
              </w:rPr>
            </w:pPr>
            <w:r>
              <w:rPr>
                <w:rFonts w:ascii="Times New Roman" w:hAnsi="Times New Roman"/>
                <w:noProof/>
              </w:rPr>
              <w:t>Potrivit W/120, serviciile respective se încadrează la servicii conexe industriei prelucrătoare (CPC 884).</w:t>
            </w:r>
          </w:p>
        </w:tc>
        <w:tc>
          <w:tcPr>
            <w:tcW w:w="3233" w:type="pct"/>
            <w:gridSpan w:val="2"/>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Lichefierea și gazeificarea cărbunelui cu licență de servicii miniere (Izin Usaha Jasa Pertambangan) prin intermediul întreprinderii comune și al reprezentanței din Indonezia, cu o participare străină la capital de maximum 51 %.</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în materie de acordare a licențelor și procedura autorizată de administrația publică centrală sau de administrația publică a provinciei.</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Producerea de energie geotermală cu o capacitate ≤ 10 MW</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51 %.</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Servicii de prospectare geotermală</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Prezența comercială este permisă sub forma unei întreprinderi comune, cu o participare străină la capital de maximum 51 %.</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13. AGRICULTURĂ, VÂNĂTOARE ȘI PESCUIT</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Următoarele domenii de activitate sunt interzise pentru investiții: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cultivarea plantelor narcotice;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capturarea speciilor de pești enumerate în apendicele I la Convenția privind comerțul internațional cu specii ale faunei și florei sălbatice pe cale de dispariție („CITES”) (KBLI 03151, 03152, 03153, 03154, 03155, 03156, 03157, 03158, 03159);</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utilizarea (colectarea) coralului din natură pentru materiale de construcție/var/calciu, în acvarii și pentru suveniruri/bijuterii, precum și a coralului viu sau a coralului mort (recent mort) din natură (KBLI 03117).</w:t>
            </w:r>
          </w:p>
        </w:tc>
      </w:tr>
      <w:tr>
        <w:tc>
          <w:tcPr>
            <w:tcW w:w="1767"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Producție vegetală și animalieră, vânătoare </w:t>
            </w:r>
          </w:p>
        </w:tc>
        <w:tc>
          <w:tcPr>
            <w:tcW w:w="3233" w:type="pct"/>
            <w:gridSpan w:val="2"/>
            <w:tcBorders>
              <w:bottom w:val="single" w:sz="4" w:space="0" w:color="auto"/>
            </w:tcBorders>
          </w:tcPr>
          <w:p>
            <w:pPr>
              <w:widowControl/>
              <w:suppressAutoHyphens/>
              <w:spacing w:before="60" w:after="60" w:line="240" w:lineRule="auto"/>
              <w:rPr>
                <w:rFonts w:ascii="Times New Roman" w:hAnsi="Times New Roman"/>
                <w:noProof/>
              </w:rPr>
            </w:pPr>
          </w:p>
        </w:tc>
      </w:tr>
      <w:tr>
        <w:trPr>
          <w:trHeight w:val="1995"/>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Producție vegetală și animalieră, vânătoare (ISIC rev 4: 0111, 0112, 0113, 0114, 0115, 0116, 0119, 0121, 0122, 0123, 0124, 0125, 0126, 0127, 0128, 0129, 0130, 0141, 0142, 0143, 0144, 0145, 0146, 0149, 0150)</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creșterea puilor de carne (KBLI 01461) trebuie să facă obiectul unui parteneriat cu cooperativele și IMM-urile locale; și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în ceea ce privește culturile agricole sezoniere (KBLI 011), culturile agricole anuale (KBLI 012) și culturile de plante ornamentale (KBLI 013), persoanele fizice sau juridice străine nu pot deține direct mai mult de 49 % din acțiuni.</w:t>
            </w:r>
          </w:p>
        </w:tc>
      </w:tr>
      <w:tr>
        <w:trPr>
          <w:trHeight w:val="3045"/>
        </w:trPr>
        <w:tc>
          <w:tcPr>
            <w:tcW w:w="1767" w:type="pct"/>
            <w:tcBorders>
              <w:top w:val="nil"/>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Cu excepția:</w:t>
            </w:r>
          </w:p>
          <w:p>
            <w:pPr>
              <w:widowControl/>
              <w:suppressAutoHyphens/>
              <w:spacing w:before="60" w:after="60" w:line="240" w:lineRule="auto"/>
              <w:rPr>
                <w:rFonts w:ascii="Times New Roman" w:hAnsi="Times New Roman"/>
                <w:noProof/>
              </w:rPr>
            </w:pPr>
            <w:r>
              <w:rPr>
                <w:rFonts w:ascii="Times New Roman" w:hAnsi="Times New Roman"/>
                <w:noProof/>
              </w:rPr>
              <w:t>culturilor agricole alimentare cu o suprafață mai mică de 25 ha 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porumb (KBLI 01111);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soia (KBLI 01113);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fasole (KBLI 01114);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fasole mung (KBLI 01115);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orez hibrid (KBLI 01121);</w:t>
            </w:r>
          </w:p>
          <w:p>
            <w:pPr>
              <w:suppressAutoHyphens/>
              <w:spacing w:before="60" w:after="60" w:line="240" w:lineRule="auto"/>
              <w:ind w:left="567" w:hanging="567"/>
              <w:rPr>
                <w:noProof/>
              </w:rPr>
            </w:pPr>
            <w:r>
              <w:rPr>
                <w:rFonts w:ascii="Times New Roman" w:hAnsi="Times New Roman"/>
                <w:noProof/>
              </w:rPr>
              <w:t>(f)</w:t>
            </w:r>
            <w:r>
              <w:rPr>
                <w:noProof/>
              </w:rPr>
              <w:tab/>
            </w:r>
            <w:r>
              <w:rPr>
                <w:rFonts w:ascii="Times New Roman" w:hAnsi="Times New Roman"/>
                <w:noProof/>
              </w:rPr>
              <w:t>orez convențional (KBLI 01122).</w:t>
            </w:r>
          </w:p>
        </w:tc>
        <w:tc>
          <w:tcPr>
            <w:tcW w:w="3233" w:type="pct"/>
            <w:gridSpan w:val="2"/>
            <w:tcBorders>
              <w:top w:val="nil"/>
              <w:bottom w:val="single" w:sz="4" w:space="0" w:color="auto"/>
            </w:tcBorders>
          </w:tcPr>
          <w:p>
            <w:pPr>
              <w:suppressAutoHyphens/>
              <w:spacing w:before="60" w:after="60" w:line="240" w:lineRule="auto"/>
              <w:ind w:left="567" w:hanging="567"/>
              <w:rPr>
                <w:noProof/>
              </w:rPr>
            </w:pPr>
          </w:p>
        </w:tc>
      </w:tr>
      <w:tr>
        <w:trPr>
          <w:trHeight w:val="2670"/>
        </w:trPr>
        <w:tc>
          <w:tcPr>
            <w:tcW w:w="1767"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Silvicultură și exploatare forestieră (ISIC rev 4: 0210, 0220, 0230)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colectării produselor forestiere: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rășină de pin (KBLI 02303);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bambus (KBLI 02308);</w:t>
            </w:r>
          </w:p>
          <w:p>
            <w:pPr>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șelac, lemn de agar, zahăr de palmier, tămâie, scoarță de masohi, scorțișoară lawang, scorțișoară, alte rășini, stupi, cuiburi de salangane din natură și alte albine (KBLI 02309);</w:t>
            </w:r>
          </w:p>
        </w:tc>
        <w:tc>
          <w:tcPr>
            <w:tcW w:w="3233" w:type="pct"/>
            <w:gridSpan w:val="2"/>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(d)</w:t>
            </w:r>
            <w:r>
              <w:rPr>
                <w:noProof/>
              </w:rPr>
              <w:tab/>
            </w:r>
            <w:r>
              <w:rPr>
                <w:rFonts w:ascii="Times New Roman" w:hAnsi="Times New Roman"/>
                <w:noProof/>
              </w:rPr>
              <w:t>ratan (KBLI 02302);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frunze de eucalipt (KBLI 02304);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rășină (KBLI 02306);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miere (KBLI 02307);</w:t>
            </w:r>
          </w:p>
          <w:p>
            <w:pPr>
              <w:suppressAutoHyphens/>
              <w:spacing w:before="60" w:after="60" w:line="240" w:lineRule="auto"/>
              <w:ind w:left="567" w:hanging="567"/>
              <w:rPr>
                <w:noProof/>
              </w:rPr>
            </w:pPr>
            <w:r>
              <w:rPr>
                <w:rFonts w:ascii="Times New Roman" w:hAnsi="Times New Roman"/>
                <w:noProof/>
              </w:rPr>
              <w:t>(h)</w:t>
            </w:r>
            <w:r>
              <w:rPr>
                <w:noProof/>
              </w:rPr>
              <w:tab/>
            </w:r>
            <w:r>
              <w:rPr>
                <w:rFonts w:ascii="Times New Roman" w:hAnsi="Times New Roman"/>
                <w:noProof/>
              </w:rPr>
              <w:t>gogoși de viermi de mătase (KBLI 02305).</w:t>
            </w:r>
          </w:p>
        </w:tc>
        <w:tc>
          <w:tcPr>
            <w:tcW w:w="3233" w:type="pct"/>
            <w:gridSpan w:val="2"/>
            <w:tcBorders>
              <w:top w:val="nil"/>
            </w:tcBorders>
          </w:tcPr>
          <w:p>
            <w:pPr>
              <w:suppressAutoHyphens/>
              <w:spacing w:before="60" w:after="60" w:line="240" w:lineRule="auto"/>
              <w:rPr>
                <w:noProof/>
              </w:rPr>
            </w:pP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Pescuit și acvacultură (ISIC rev. 4: 0321, 0322)</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pescuitului maritim de pești cu înotătoare (KBLI 03111);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pescuitului maritim de crustacee (KBLI 03112);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pescuitului maritim de moluște (KBLI 03113).</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Niciuna, cu excepția incubatoarelor și a pisciculturii aferente: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1.</w:t>
            </w:r>
            <w:r>
              <w:rPr>
                <w:noProof/>
              </w:rPr>
              <w:tab/>
            </w:r>
            <w:r>
              <w:rPr>
                <w:rFonts w:ascii="Times New Roman" w:hAnsi="Times New Roman"/>
                <w:noProof/>
              </w:rPr>
              <w:t>incubatoarelor pentru pești marini (KBLI 03212);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2.</w:t>
            </w:r>
            <w:r>
              <w:rPr>
                <w:noProof/>
              </w:rPr>
              <w:tab/>
            </w:r>
            <w:r>
              <w:rPr>
                <w:rFonts w:ascii="Times New Roman" w:hAnsi="Times New Roman"/>
                <w:noProof/>
              </w:rPr>
              <w:t>incubatoarelor pentru pești de apă salmastră (KBLI 03252);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3.</w:t>
            </w:r>
            <w:r>
              <w:rPr>
                <w:noProof/>
              </w:rPr>
              <w:tab/>
            </w:r>
            <w:r>
              <w:rPr>
                <w:rFonts w:ascii="Times New Roman" w:hAnsi="Times New Roman"/>
                <w:noProof/>
              </w:rPr>
              <w:t>incubatoarelor pentru pești de apă dulce (KBLI 03226);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4.</w:t>
            </w:r>
            <w:r>
              <w:rPr>
                <w:noProof/>
              </w:rPr>
              <w:tab/>
            </w:r>
            <w:r>
              <w:rPr>
                <w:rFonts w:ascii="Times New Roman" w:hAnsi="Times New Roman"/>
                <w:noProof/>
              </w:rPr>
              <w:t>creșterii și îngrășării peștilor marini (KBLI 03211);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5.</w:t>
            </w:r>
            <w:r>
              <w:rPr>
                <w:noProof/>
              </w:rPr>
              <w:tab/>
            </w:r>
            <w:r>
              <w:rPr>
                <w:rFonts w:ascii="Times New Roman" w:hAnsi="Times New Roman"/>
                <w:noProof/>
              </w:rPr>
              <w:t>creșterii și îngrășării peștilor de apă salmastră (KBLI 03251);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6.</w:t>
            </w:r>
            <w:r>
              <w:rPr>
                <w:noProof/>
              </w:rPr>
              <w:tab/>
            </w:r>
            <w:r>
              <w:rPr>
                <w:rFonts w:ascii="Times New Roman" w:hAnsi="Times New Roman"/>
                <w:noProof/>
              </w:rPr>
              <w:t>creșterii și îngrășării peștilor de apă dulce (KBLI 03221),</w:t>
            </w:r>
          </w:p>
          <w:p>
            <w:pPr>
              <w:widowControl/>
              <w:suppressAutoHyphens/>
              <w:spacing w:before="60" w:after="60" w:line="240" w:lineRule="auto"/>
              <w:rPr>
                <w:rFonts w:ascii="Times New Roman" w:hAnsi="Times New Roman"/>
                <w:noProof/>
              </w:rPr>
            </w:pPr>
            <w:bookmarkStart w:id="46" w:name="_Hlk232608996"/>
            <w:r>
              <w:rPr>
                <w:rFonts w:ascii="Times New Roman" w:hAnsi="Times New Roman"/>
                <w:noProof/>
              </w:rPr>
              <w:t>care fac obiectul unui parteneriat cu cooperativele și cu IMM-urile locale.</w:t>
            </w:r>
            <w:bookmarkEnd w:id="46"/>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14.</w:t>
            </w:r>
            <w:r>
              <w:rPr>
                <w:noProof/>
              </w:rPr>
              <w:tab/>
            </w:r>
            <w:r>
              <w:rPr>
                <w:rFonts w:ascii="Times New Roman" w:hAnsi="Times New Roman"/>
                <w:noProof/>
              </w:rPr>
              <w:t>INDUSTRIA EXTRACTIVĂ</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Investitorii din Uniune au dreptul de a participa la licitații pentru un WIUP de minerale metalice sau de cărbune numai într-o zonă de peste 500 de hectare.</w:t>
            </w:r>
          </w:p>
          <w:p>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În conformitate cu cerințele autorităților de reglementare relevante, o societate în care investitorii străini dețin participații la capital face obiectul unei notificări prealabile în acest sens înainte de acordarea licenței, urmând ca, după o anumită perioadă de la începerea producției comerciale, investitorii străini respectivi să vândă treptat 51 % din acțiunile societății către guvernul Indoneziei, administrația locală, întreprinderile deținute de stat, întreprinderile deținute de administrația publică regională și/sau entitățile comerciale private naționale.</w:t>
            </w:r>
          </w:p>
          <w:p>
            <w:pPr>
              <w:widowControl/>
              <w:suppressAutoHyphens/>
              <w:spacing w:before="60" w:after="60" w:line="240" w:lineRule="auto"/>
              <w:rPr>
                <w:rFonts w:ascii="Times New Roman" w:hAnsi="Times New Roman"/>
                <w:noProof/>
              </w:rPr>
            </w:pPr>
            <w:r>
              <w:rPr>
                <w:rFonts w:ascii="Times New Roman" w:hAnsi="Times New Roman"/>
                <w:noProof/>
              </w:rPr>
              <w:t>3.</w:t>
            </w:r>
            <w:r>
              <w:rPr>
                <w:noProof/>
              </w:rPr>
              <w:tab/>
            </w:r>
            <w:r>
              <w:rPr>
                <w:rFonts w:ascii="Times New Roman" w:hAnsi="Times New Roman"/>
                <w:noProof/>
              </w:rPr>
              <w:t>Scrisoarea de autorizare pentru exploatarea rocilor (Surat Izin Penambangan Batuan/SIPB) se acordă numai: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unei întreprinderi regionale/locale;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unei întreprinderi private (investiții interne);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unei cooperative sau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unei întreprinderi individuale.</w:t>
            </w:r>
          </w:p>
          <w:p>
            <w:pPr>
              <w:widowControl/>
              <w:suppressAutoHyphens/>
              <w:spacing w:before="60" w:after="60" w:line="240" w:lineRule="auto"/>
              <w:rPr>
                <w:rFonts w:ascii="Times New Roman" w:hAnsi="Times New Roman"/>
                <w:noProof/>
              </w:rPr>
            </w:pPr>
            <w:r>
              <w:rPr>
                <w:rFonts w:ascii="Times New Roman" w:hAnsi="Times New Roman"/>
                <w:noProof/>
              </w:rPr>
              <w:t>4.</w:t>
            </w:r>
            <w:r>
              <w:rPr>
                <w:noProof/>
              </w:rPr>
              <w:tab/>
            </w:r>
            <w:r>
              <w:rPr>
                <w:rFonts w:ascii="Times New Roman" w:hAnsi="Times New Roman"/>
                <w:noProof/>
              </w:rPr>
              <w:t>Cu excepția extracției țițeiului și a gazelor naturale, investitorii din Uniune pot fi obligați să își cesioneze investițiile în temeiul Regulamentului nr. 96 din 2021 al Guvernului și în conformitate cu acesta.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Extracția cărbunelui și a lignitului (ISIC rev 4: 0510, 0520)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din condițiile generale existente la data intrării în vigoare a prezentului acord</w:t>
            </w:r>
            <w:r>
              <w:rPr>
                <w:rStyle w:val="FootnoteReference"/>
                <w:rFonts w:ascii="Times New Roman" w:hAnsi="Times New Roman"/>
                <w:b/>
                <w:noProof/>
              </w:rPr>
              <w:footnoteReference w:id="122"/>
            </w:r>
            <w:r>
              <w:rPr>
                <w:rFonts w:ascii="Times New Roman" w:hAnsi="Times New Roman"/>
                <w:noProof/>
              </w:rPr>
              <w:t>.</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Extracția țițeiului și a gazelor naturale (ISIC rev 4: 0610, 0620)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Extracția minereurilor metalifere (ISIC rev 4: 0710, 0721, 0729)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pageBreakBefore/>
              <w:widowControl/>
              <w:suppressAutoHyphens/>
              <w:spacing w:before="60" w:after="60" w:line="240" w:lineRule="auto"/>
              <w:rPr>
                <w:rFonts w:ascii="Times New Roman" w:hAnsi="Times New Roman"/>
                <w:noProof/>
              </w:rPr>
            </w:pPr>
            <w:r>
              <w:rPr>
                <w:rFonts w:ascii="Times New Roman" w:hAnsi="Times New Roman"/>
                <w:noProof/>
              </w:rPr>
              <w:t>niciuna, cu excepția tuturor condițiilor și limitărilor bazate pe măsurile din condițiile generale existente la data intrării în vigoare a prezentului acord</w:t>
            </w:r>
            <w:r>
              <w:rPr>
                <w:rStyle w:val="FootnoteReference"/>
                <w:rFonts w:ascii="Times New Roman" w:hAnsi="Times New Roman"/>
                <w:b/>
                <w:noProof/>
              </w:rPr>
              <w:footnoteReference w:id="123"/>
            </w:r>
            <w:r>
              <w:rPr>
                <w:rFonts w:ascii="Times New Roman" w:hAnsi="Times New Roman"/>
                <w:noProof/>
              </w:rPr>
              <w:t>.</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Alte activități extractive (ISIC rev 4: 0891, 0892, 0893)</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extracției pietrelor decorative și a pietrelor de construcție (KBLI 08101);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extracției calcarului (KBLI 08102);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extracției pietrișului (KBLI 08103);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extracției nisipului (KBLI 08104);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extracției pământului și a argilei (KBLI 08105);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extracției ghipsului (KBLI 08106);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extracției tufului vulcanic (KBLI 08107);</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extracția pietrei ponce (KBLI 08108)</w:t>
            </w:r>
          </w:p>
          <w:p>
            <w:pPr>
              <w:widowControl/>
              <w:suppressAutoHyphens/>
              <w:spacing w:before="60" w:after="60" w:line="240" w:lineRule="auto"/>
              <w:ind w:left="589" w:hanging="567"/>
              <w:rPr>
                <w:rFonts w:ascii="Times New Roman" w:hAnsi="Times New Roman"/>
                <w:noProof/>
              </w:rPr>
            </w:pPr>
            <w:r>
              <w:rPr>
                <w:rFonts w:ascii="Times New Roman" w:hAnsi="Times New Roman"/>
                <w:noProof/>
              </w:rPr>
              <w:t>(i)</w:t>
            </w:r>
            <w:r>
              <w:rPr>
                <w:noProof/>
              </w:rPr>
              <w:tab/>
            </w:r>
            <w:r>
              <w:rPr>
                <w:rFonts w:ascii="Times New Roman" w:hAnsi="Times New Roman"/>
                <w:noProof/>
              </w:rPr>
              <w:t>extracției altor pietre, nisipuri și argile (KBLI 08109);</w:t>
            </w:r>
          </w:p>
          <w:p>
            <w:pPr>
              <w:widowControl/>
              <w:suppressAutoHyphens/>
              <w:spacing w:before="60" w:after="60" w:line="240" w:lineRule="auto"/>
              <w:rPr>
                <w:rFonts w:ascii="Times New Roman" w:hAnsi="Times New Roman"/>
                <w:noProof/>
              </w:rPr>
            </w:pPr>
            <w:r>
              <w:rPr>
                <w:rFonts w:ascii="Times New Roman" w:hAnsi="Times New Roman"/>
                <w:noProof/>
              </w:rPr>
              <w:t>altor activități extractive (KBLI 08999)</w:t>
            </w:r>
          </w:p>
        </w:tc>
        <w:tc>
          <w:tcPr>
            <w:tcW w:w="3233" w:type="pct"/>
            <w:gridSpan w:val="2"/>
          </w:tcPr>
          <w:p>
            <w:pPr>
              <w:widowControl/>
              <w:suppressAutoHyphens/>
              <w:spacing w:before="60" w:after="60" w:line="240" w:lineRule="auto"/>
              <w:rPr>
                <w:rFonts w:ascii="Times New Roman" w:hAnsi="Times New Roman"/>
                <w:noProof/>
              </w:rPr>
            </w:pPr>
            <w:r>
              <w:rPr>
                <w:rFonts w:ascii="Times New Roman" w:hAnsi="Times New Roman"/>
                <w:noProof/>
              </w:rPr>
              <w:t>Niciuna, cu excepția faptului că producția/extracția sării (KBLI 08930) face obiectul unor parteneriate cu cooperative și IMM-uri locale.</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15.</w:t>
            </w:r>
            <w:r>
              <w:rPr>
                <w:noProof/>
              </w:rPr>
              <w:tab/>
            </w:r>
            <w:r>
              <w:rPr>
                <w:rFonts w:ascii="Times New Roman" w:hAnsi="Times New Roman"/>
                <w:noProof/>
              </w:rPr>
              <w:t>INDUSTRIA PRELUCRĂTOARE</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Următoarele domenii de activitate sunt interzise pentru investiții: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industria chimică și substanțele care diminuează stratul de ozon (BPO): bifenil policlorurat (PCB), hexaclorbenzen și tetraclorură de carbon (CTC), cloroform metil, bromură de metil, triclorfluormetan (CFC-11), diclortrifluoretan (CFC-12), triclortrifluoretan (CFC-113), diclortetrafluoretan (CFC-114), clorpentafluoretan (CFC-115), clortrifluormetan (CFC-13), tetraclordifluoretan (CFC-112), pentaclorfluoretan (CFC-111), clorheptafluorpropan (CFC-217), diclorhexafluorpropan (CFC-216), triclorpentafluorpropan (CFC-215), tetraclortetrafluorpropan (CFC-214), pentaclortrifluorpropan (CFC-213), hexaclordifluorpropan (CFC-211), bromclordifluormetan (halon 1211), bromtrifluormetan (halon 1301), dibromtetrafluoretan (halon 2402), R500, R-502;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fabricarea substanțelor chimice enumerate în tabelul I din Convenția privind armele chimice, astfel cum sunt încorporate în apendicele I la Legea nr. 9 din 2008 privind utilizarea substanțelor chimice ca arme chimice;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fabricarea de stupefiante;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fabricarea băuturilor alcoolice (KBLI 11010, 11020);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fabricarea băuturilor din malț (KBLI 11031).</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produselor alimentare (ISIC rev 4: 1010, 1020, 1030, 1040, 1050, 1061, 1062, 1071, 1072, 1073, 1074, 1075, 1079, 1080)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industriei de prelucrare a peștelui prin sărare și fierbere (KBLI 10214);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producției de tofu și tempeh (KBLI 10391 și 10392);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producției de zahăr brun (KBLI 10722);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producției de rendang (KBLI 10750);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prelucrării sării protejate prin indicație geografică (KBLI 10774);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prelucrării cafelei protejate prin indicație geografică (KBLI 10761);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fabricării produselor de tip biscuiți și copturi uscate (KBLI 10794).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industriei de prelucrare și de conservare a peștelui și a biotei acvatice (KBLI 10211, 10212, 10215, 10216);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prelucrării și punerii în conserve a produselor pescărești (KBLI 10211, 10212, 10215, 10216, 10221);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industriei fructelor și legumelor sărate (KBLI 10311);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industriei coprei (KBLI 10421);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industriei de prelucrare a laptelui praf și a laptelui condensat (KBLI 10520);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industriei zahărului (KBLI 10721);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industriei sosului de soia (KBLI 10771);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produselor alimentare fabricate din soia și fructe cu coajă lemnoasă, altele decât tofu, tempeh și sosul de soia (KBLI 10793),</w:t>
            </w:r>
          </w:p>
          <w:p>
            <w:pPr>
              <w:widowControl/>
              <w:suppressAutoHyphens/>
              <w:spacing w:before="60" w:after="60" w:line="240" w:lineRule="auto"/>
              <w:rPr>
                <w:rFonts w:ascii="Times New Roman" w:hAnsi="Times New Roman"/>
                <w:noProof/>
              </w:rPr>
            </w:pPr>
            <w:r>
              <w:rPr>
                <w:rFonts w:ascii="Times New Roman" w:hAnsi="Times New Roman"/>
                <w:noProof/>
              </w:rPr>
              <w:t>care fac obiectul unui parteneriat cu cooperativele și cu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băuturilor (1104)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din tutun (ISIC rev 4: 1200)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 cu excepția cazului în care fac obiectul unui parteneriat cu cooperative și IMM-uri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textile (ISIC rev 4: 1311, 1312, 1313, 1391, 1392, 1393, 1394, 1399)</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industriei țesătoriei (KBLI 13121) și a industriei țesăturilor (KBLI 13122);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industriei de fabricare a batik-ului prin tehnici de scriere manuală și de ștanțare (KBLI 13134);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industriei țesăturilor brodate (KBLI 13912).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articolelor de îmbrăcăminte (ISIC rev 4: 1410, 1420, 1430)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articolelor de îmbrăcăminte tradiționale (KBLI 14111 și 14131)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articolelor din piele și a produselor conexe (ISIC rev 4: 1511, 1512, 1520)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LV TN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lemnului și a produselor din lemn și plută, cu excepția mobilei; fabricarea articolelor din nuiele și împletituri (ISIC rev 4: 1610, 1621, 1622, 1623, 1629)</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produselor din lemn destinate a fi utilizate în principal în industria construcțiilor (KBLI 16221);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împletiturilor (KBLI 16291, 16292);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statuetelor și a ornamentelor din lemn, a marchetăriei și a lemnului încrustat (KBLI 16293);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fabricării ustensilelor de menaj și a articolelor de bucătărie din lemn (KBLI 16294);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fabricării mosoarelor, a bobinelor pentru filatură și țesătorie și pentru fir de cusut și a articolelor similare din lemn strunjit (KBLI 16299).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produselor prin tăierea și rindeluirea lemnului, cu o capacitate de producție de până la 2 000 m³ pe an, dar nu mai mică de această valoare (KBLI 16101);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uscării ratanului, a bambusului sau a materialelor similare (KBLI 16103);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fabricării produselor din ratan (KBLI 16104),</w:t>
            </w:r>
          </w:p>
          <w:p>
            <w:pPr>
              <w:widowControl/>
              <w:suppressAutoHyphens/>
              <w:spacing w:before="60" w:after="60" w:line="240" w:lineRule="auto"/>
              <w:rPr>
                <w:rFonts w:ascii="Times New Roman" w:hAnsi="Times New Roman"/>
                <w:noProof/>
              </w:rPr>
            </w:pPr>
            <w:r>
              <w:rPr>
                <w:rFonts w:ascii="Times New Roman" w:hAnsi="Times New Roman"/>
                <w:noProof/>
              </w:rPr>
              <w:t>care fac obiectul unui parteneriat cu cooperativele și cu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hârtiei și a produselor din hârtie (ISIC rev 4: 1701, 1702, 1709)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LV TN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Tipărirea și reproducerea înregistrărilor (ISIC rev. 4: 1811, 1820)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LV TN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de cocserie și a produselor obținute prin rafinarea petrolului (ISIC rev 4: 1910, 1920)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LV TN </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substanțelor și a produselor chimice (ISIC rev 4: 2011, 2012, 2013, 2021, 2022, 2023, 2029, 2030)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produselor cosmetice tradiționale (KBLI 20232).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substanțelor chimice organice de bază din cărbune de cocos (KBLI 20115);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uleiurilor esențiale (KBLI 20294), care fac obiectul unui parteneriat cu cooperativele și cu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farmaceutice, a produselor chimice medicinale și a produselor botanice (ISIC rev 4: 2100)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materiilor prime pentru medicina tradițională pentru uz uman (KBLI 21021);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produselor medicinale tradiționale pentru uz uman (KBLI 21022).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 cu excepția faptului că fabricarea proprietăților farmaceutice (KBLI 21015) face obiectul unui parteneriat cu cooperativele și cu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produselor din cauciuc și mase plastice (ISIC rev 4: 2211, 2219, 2220)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produselor din cauciuc pentru fumat (KBLI 22121)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altor produse minerale nemetalice (ISIC rev 4: 2310, 2391, 2392, 2393, 2394, 2395, 2396, 2399)</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articolelor de uz casnic din argilă/ceramică (KBLI 23932);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cimentului (KBLI 23941).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argilei/ceramicii și a cărămizilor (KBLI 23921);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altor produse din argilă/ceramică (KBLI 23921);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fabricării varului (KBLI 23942);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fabricării produselor din ciment, var și ambele (KBLI 23951, 23952 și 23959),</w:t>
            </w:r>
          </w:p>
          <w:p>
            <w:pPr>
              <w:widowControl/>
              <w:suppressAutoHyphens/>
              <w:spacing w:before="60" w:after="60" w:line="240" w:lineRule="auto"/>
              <w:rPr>
                <w:rFonts w:ascii="Times New Roman" w:hAnsi="Times New Roman"/>
                <w:noProof/>
              </w:rPr>
            </w:pPr>
            <w:r>
              <w:rPr>
                <w:rFonts w:ascii="Times New Roman" w:hAnsi="Times New Roman"/>
                <w:noProof/>
              </w:rPr>
              <w:t>care fac obiectul unui parteneriat cu cooperativele și cu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metalelor comune (ISIC rev 4: 2410, 2420, 2431, 2432)</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prefabricate din metal, cu excepția mașinilor și echipamentelor (ISIC rev 4: 2511, 2512, 2513, 2520, 2591, 2592, 2593, 2599)</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tacâmurilor, a uneltelor manuale și a articolelor de feronerie (KBLI 25931, 25932 și 25934)</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armelor și munițiilor (25200), care este permisă numai în cazul în care participarea străină la capital nu depășește 49 %, sub rezerva aprobării de către ministrul apărării;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cuielor, șuruburilor și piulițelor (KBLI 25952), care face obiectul unui parteneriat cu cooperativele sau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calculatoarelor și a produselor electronice și optice (ISIC rev 4: 2610, 2620, 2630, 2640, 2651, 2652, 2660, 2670, 2680)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În cazul sistemelor de radare pentru apărare (KBLI 26513), se permite o participare străină la capital care nu depășește 49 %, sub rezerva aprobării de către ministrul apărării.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Fabricarea echipamentelor electrice (ISIC rev 4: 2710, 2720, 2731, 2732, 2733, 2740, 2750, 2790), cu excepția fabricării bateriilor și acumulatorilor (KBLI 27200/ISIC 2720). </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 xml:space="preserve">Fabricarea echipamentelor electrice (ISIC rev 4: 2710, 2720, 2731, 2732, 2733, 2740, 2750, 2790), numai pentru fabricarea bateriilor și acumulatorilor (KBLI 27200/ISIC 2720) </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mașinilor și aparatelor electrice n.c.a. (ISIC rev 4: 2811, 2812, 2813, 2814, 2815, 2816, 2817, 2818, 2819, 2821, 2822, 2823, 2824, 2825, 2826, 2829)</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altor pompe, compresoare, robinete și valve (KBLI 28130);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de părți și componente pentru motoare și turbine (KBLI 28113), care fac obiectul unui parteneriat cu cooperativele și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autovehiculelor, remorcilor și semiremorcilor. (ISIC rev 4: 2910, 2920, 2930)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p>
            <w:pPr>
              <w:widowControl/>
              <w:suppressAutoHyphens/>
              <w:spacing w:before="60" w:after="60" w:line="240" w:lineRule="auto"/>
              <w:rPr>
                <w:rFonts w:ascii="Times New Roman" w:hAnsi="Times New Roman"/>
                <w:noProof/>
              </w:rPr>
            </w:pPr>
            <w:r>
              <w:rPr>
                <w:rFonts w:ascii="Times New Roman" w:hAnsi="Times New Roman"/>
                <w:noProof/>
              </w:rPr>
              <w:t>LCR</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faptului că fabricarea de părți și accesorii pentru autovehicule cu patru sau mai multe roți (KBLI 29300) face obiectul unor parteneriate cu cooperativele și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altor echipamente de transport (ISIC rev 4 3011, 3012, 3020, 3091, 3092, 3099)</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de bărci Pinisi, pirogi cu stabilizator lateral și alte ambarcațiuni din lemn cu design tradițional (3011)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de echipamente pentru nave din lemn și materiale pentru turismul și pescuitul maritim (KBLI 30113) și a fabricării de componente și echipamente pentru autovehicule cu două și trei roți (KBLI 30912), care fac obiectul unor parteneriate cu cooperativele și IMM-urile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navelor militare de război (KBLI 30111), a fabricării vehiculelor militare de luptă (KBLI 30400) și a fabricării aeronavelor, a navelor spațiale și a utilajelor conexe (KBLI 30300), care sunt permise numai în cazul în care participarea străină la capital nu depășește 49 %, sub rezerva aprobării de către ministrul apărării.</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Fabricarea mobilei (ISIC rev 4: 3100)</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Acces pe piață:</w:t>
            </w:r>
          </w:p>
          <w:p>
            <w:pPr>
              <w:widowControl/>
              <w:suppressAutoHyphens/>
              <w:spacing w:before="60" w:after="60" w:line="240" w:lineRule="auto"/>
              <w:rPr>
                <w:rFonts w:ascii="Times New Roman" w:hAnsi="Times New Roman"/>
                <w:noProof/>
              </w:rPr>
            </w:pPr>
            <w:r>
              <w:rPr>
                <w:rFonts w:ascii="Times New Roman" w:hAnsi="Times New Roman"/>
                <w:noProof/>
              </w:rPr>
              <w:t>niciuna.</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Alte industrii prelucrătoare (ISIC rev 4: 3211, 3212, 3220, 3230, 3240, 3250, 3290)</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instrumentelor muzicale (32201)</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LV TN</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pietrelor prețioase (KBLI 32111);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bijuteriilor de valoare din metale prețioase, pentru uz personal (KBLI 32112);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fabricării bijuteriilor de valoare din metale prețioase, fără caracter personal (KBLI 32113);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fabricării imitațiilor de bijuterii și a produselor similare (KBLI 32120);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industriei meșteșugărești neclasificate (KBLI 32903);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fabricării fibrelor din coajă de nucă de cocos (KBLI 32905),</w:t>
            </w:r>
          </w:p>
          <w:p>
            <w:pPr>
              <w:widowControl/>
              <w:suppressAutoHyphens/>
              <w:spacing w:before="60" w:after="60" w:line="240" w:lineRule="auto"/>
              <w:rPr>
                <w:rFonts w:ascii="Times New Roman" w:hAnsi="Times New Roman"/>
                <w:noProof/>
              </w:rPr>
            </w:pPr>
            <w:r>
              <w:rPr>
                <w:rFonts w:ascii="Times New Roman" w:hAnsi="Times New Roman"/>
                <w:noProof/>
              </w:rPr>
              <w:t>care fac obiectul unui parteneriat cu cooperativele și cu IMM-urile locale.</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Tratament național:</w:t>
            </w:r>
          </w:p>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67"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ENERGIE ELECTRICĂ</w:t>
            </w:r>
          </w:p>
        </w:tc>
        <w:tc>
          <w:tcPr>
            <w:tcW w:w="3233" w:type="pct"/>
            <w:gridSpan w:val="2"/>
          </w:tcPr>
          <w:p>
            <w:pPr>
              <w:widowControl/>
              <w:suppressAutoHyphens/>
              <w:spacing w:before="60" w:after="60" w:line="240" w:lineRule="auto"/>
              <w:rPr>
                <w:rFonts w:ascii="Times New Roman" w:hAnsi="Times New Roman"/>
                <w:noProof/>
              </w:rPr>
            </w:pPr>
          </w:p>
        </w:tc>
      </w:tr>
      <w:tr>
        <w:tc>
          <w:tcPr>
            <w:tcW w:w="5000" w:type="pct"/>
            <w:gridSpan w:val="3"/>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Următorul domeniu de activitate se limitează la alte sectoare decât sectorul serviciilor.</w:t>
            </w:r>
          </w:p>
        </w:tc>
      </w:tr>
      <w:tr>
        <w:tc>
          <w:tcPr>
            <w:tcW w:w="1767" w:type="pct"/>
          </w:tcPr>
          <w:p>
            <w:pPr>
              <w:widowControl/>
              <w:suppressAutoHyphens/>
              <w:spacing w:before="60" w:after="60" w:line="240" w:lineRule="auto"/>
              <w:rPr>
                <w:rFonts w:ascii="Times New Roman" w:hAnsi="Times New Roman"/>
                <w:noProof/>
              </w:rPr>
            </w:pPr>
            <w:r>
              <w:rPr>
                <w:rFonts w:ascii="Times New Roman" w:hAnsi="Times New Roman"/>
                <w:noProof/>
              </w:rPr>
              <w:t>Exploatarea instalațiilor de producție care produc energie electrică din resurse curate și regenerabile KBLI 35111</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activităților legate de transportul, distribuția și vânzarea energiei electrice;</w:t>
            </w:r>
          </w:p>
          <w:p>
            <w:pPr>
              <w:widowControl/>
              <w:suppressAutoHyphens/>
              <w:spacing w:before="60" w:after="60" w:line="240" w:lineRule="auto"/>
              <w:rPr>
                <w:rFonts w:ascii="Times New Roman" w:hAnsi="Times New Roman"/>
                <w:noProof/>
              </w:rPr>
            </w:pPr>
            <w:r>
              <w:rPr>
                <w:rFonts w:ascii="Times New Roman" w:hAnsi="Times New Roman"/>
                <w:noProof/>
              </w:rPr>
              <w:t>furnizării de energie electrică pentru centrale electrice &lt; 1 MW.</w:t>
            </w:r>
          </w:p>
        </w:tc>
        <w:tc>
          <w:tcPr>
            <w:tcW w:w="354" w:type="pct"/>
          </w:tcPr>
          <w:p>
            <w:pPr>
              <w:widowControl/>
              <w:suppressAutoHyphens/>
              <w:spacing w:before="60" w:after="60" w:line="240" w:lineRule="auto"/>
              <w:rPr>
                <w:rFonts w:ascii="Times New Roman" w:hAnsi="Times New Roman"/>
                <w:noProof/>
              </w:rPr>
            </w:pPr>
            <w:r>
              <w:rPr>
                <w:rFonts w:ascii="Times New Roman" w:hAnsi="Times New Roman"/>
                <w:noProof/>
              </w:rPr>
              <w:t>LCR</w:t>
            </w:r>
          </w:p>
          <w:p>
            <w:pPr>
              <w:widowControl/>
              <w:suppressAutoHyphens/>
              <w:spacing w:before="60" w:after="60" w:line="240" w:lineRule="auto"/>
              <w:rPr>
                <w:rFonts w:ascii="Times New Roman" w:hAnsi="Times New Roman"/>
                <w:noProof/>
              </w:rPr>
            </w:pPr>
            <w:r>
              <w:rPr>
                <w:rFonts w:ascii="Times New Roman" w:hAnsi="Times New Roman"/>
                <w:noProof/>
              </w:rPr>
              <w:t>CNF</w:t>
            </w:r>
          </w:p>
        </w:tc>
        <w:tc>
          <w:tcPr>
            <w:tcW w:w="2879" w:type="pct"/>
          </w:tcPr>
          <w:p>
            <w:pPr>
              <w:widowControl/>
              <w:suppressAutoHyphens/>
              <w:spacing w:before="60" w:after="60" w:line="240" w:lineRule="auto"/>
              <w:rPr>
                <w:rFonts w:ascii="Times New Roman" w:hAnsi="Times New Roman"/>
                <w:noProof/>
              </w:rPr>
            </w:pPr>
            <w:r>
              <w:rPr>
                <w:rFonts w:ascii="Times New Roman" w:hAnsi="Times New Roman"/>
                <w:noProof/>
              </w:rPr>
              <w:t>Niciuna</w:t>
            </w:r>
            <w:r>
              <w:rPr>
                <w:rStyle w:val="FootnoteReference"/>
                <w:rFonts w:ascii="Times New Roman" w:hAnsi="Times New Roman"/>
                <w:b/>
                <w:noProof/>
              </w:rPr>
              <w:footnoteReference w:id="124"/>
            </w:r>
            <w:r>
              <w:rPr>
                <w:rFonts w:ascii="Times New Roman" w:hAnsi="Times New Roman"/>
                <w:noProof/>
              </w:rPr>
              <w:t>.</w:t>
            </w:r>
          </w:p>
        </w:tc>
      </w:tr>
    </w:tbl>
    <w:p>
      <w:pPr>
        <w:rPr>
          <w:noProof/>
        </w:rPr>
      </w:pPr>
    </w:p>
    <w:p>
      <w:pPr>
        <w:rPr>
          <w:noProof/>
        </w:rPr>
      </w:pPr>
    </w:p>
    <w:p>
      <w:pPr>
        <w:jc w:val="center"/>
        <w:rPr>
          <w:noProof/>
        </w:rPr>
      </w:pPr>
      <w:r>
        <w:rPr>
          <w:noProof/>
        </w:rPr>
        <w:t>________________</w:t>
      </w:r>
    </w:p>
    <w:p>
      <w:pPr>
        <w:rPr>
          <w:noProof/>
        </w:rPr>
        <w:sectPr>
          <w:headerReference w:type="default" r:id="rId62"/>
          <w:footerReference w:type="default" r:id="rId63"/>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ANEXA 8-G</w:t>
      </w:r>
    </w:p>
    <w:p>
      <w:pPr>
        <w:rPr>
          <w:noProof/>
        </w:rPr>
      </w:pPr>
    </w:p>
    <w:p>
      <w:pPr>
        <w:rPr>
          <w:noProof/>
        </w:rPr>
      </w:pPr>
      <w:bookmarkStart w:id="47" w:name="_Hlk228349886"/>
    </w:p>
    <w:p>
      <w:pPr>
        <w:jc w:val="center"/>
        <w:rPr>
          <w:noProof/>
        </w:rPr>
      </w:pPr>
      <w:r>
        <w:rPr>
          <w:noProof/>
        </w:rPr>
        <w:t xml:space="preserve">LISTA ANGAJAMENTELOR </w:t>
      </w:r>
      <w:r>
        <w:rPr>
          <w:noProof/>
        </w:rPr>
        <w:br/>
        <w:t xml:space="preserve">PRIVIND PREZENȚA TEMPORARĂ A PERSOANELOR FIZICE </w:t>
      </w:r>
      <w:r>
        <w:rPr>
          <w:noProof/>
        </w:rPr>
        <w:br/>
        <w:t>ÎN SCOPURI DE AFACERI</w:t>
      </w:r>
    </w:p>
    <w:p>
      <w:pPr>
        <w:jc w:val="center"/>
        <w:rPr>
          <w:noProof/>
        </w:rPr>
      </w:pPr>
    </w:p>
    <w:p>
      <w:pPr>
        <w:jc w:val="center"/>
        <w:rPr>
          <w:noProof/>
        </w:rPr>
      </w:pPr>
      <w:r>
        <w:rPr>
          <w:noProof/>
        </w:rPr>
        <w:t>INDONEZIA</w:t>
      </w:r>
    </w:p>
    <w:bookmarkEnd w:id="47"/>
    <w:p>
      <w:pPr>
        <w:rPr>
          <w:noProof/>
        </w:rPr>
      </w:pPr>
    </w:p>
    <w:p>
      <w:pPr>
        <w:rPr>
          <w:noProof/>
        </w:rPr>
      </w:pPr>
    </w:p>
    <w:p>
      <w:pPr>
        <w:rPr>
          <w:noProof/>
        </w:rPr>
      </w:pPr>
    </w:p>
    <w:p>
      <w:pPr>
        <w:rPr>
          <w:noProof/>
        </w:rPr>
      </w:pPr>
      <w:r>
        <w:rPr>
          <w:noProof/>
        </w:rPr>
        <w:t>1.</w:t>
      </w:r>
      <w:r>
        <w:rPr>
          <w:noProof/>
        </w:rPr>
        <w:tab/>
        <w:t>Lista angajamentelor care figurează în prezenta anexă indică sectoarele liberalizate în temeiul articolului 8.10 și al articolului 8.16 pentru care se aplică limitări în ceea ce privește persoanele aflate în vizită de afaceri în scopul stabilirii, persoanele transferate în cadrul aceleiași companii, persoanele aflate în vizită de afaceri pe termen scurt, instalatorii și personalul responsabil cu întreținerea, furnizorii de servicii pe bază de contract și profesioniștii independenți în conformitate cu articolele 8.18, 8.19, 8.20 și 8.21. Lista respectivă cuprinde următoarele elemente:</w:t>
      </w:r>
    </w:p>
    <w:p>
      <w:pPr>
        <w:rPr>
          <w:noProof/>
        </w:rPr>
      </w:pPr>
    </w:p>
    <w:p>
      <w:pPr>
        <w:ind w:left="567" w:hanging="567"/>
        <w:rPr>
          <w:noProof/>
        </w:rPr>
      </w:pPr>
      <w:r>
        <w:rPr>
          <w:noProof/>
        </w:rPr>
        <w:t>(a)</w:t>
      </w:r>
      <w:r>
        <w:rPr>
          <w:noProof/>
        </w:rPr>
        <w:tab/>
        <w:t>prima coloană indică sectorul sau subsectorul în care angajamentul este asumat de către Indonezia și domeniul de aplicare al liberalizării în care se aplică limitări și</w:t>
      </w:r>
    </w:p>
    <w:p>
      <w:pPr>
        <w:rPr>
          <w:noProof/>
        </w:rPr>
      </w:pPr>
    </w:p>
    <w:p>
      <w:pPr>
        <w:ind w:left="567" w:hanging="567"/>
        <w:rPr>
          <w:noProof/>
        </w:rPr>
      </w:pPr>
      <w:r>
        <w:rPr>
          <w:noProof/>
        </w:rPr>
        <w:t>(b)</w:t>
      </w:r>
      <w:r>
        <w:rPr>
          <w:noProof/>
        </w:rPr>
        <w:tab/>
        <w:t>a doua coloană descrie limitările aplicabile.</w:t>
      </w:r>
    </w:p>
    <w:p>
      <w:pPr>
        <w:rPr>
          <w:noProof/>
        </w:rPr>
      </w:pPr>
    </w:p>
    <w:p>
      <w:pPr>
        <w:rPr>
          <w:noProof/>
        </w:rPr>
      </w:pPr>
      <w:r>
        <w:rPr>
          <w:noProof/>
        </w:rPr>
        <w:t>2.</w:t>
      </w:r>
      <w:r>
        <w:rPr>
          <w:noProof/>
        </w:rPr>
        <w:tab/>
        <w:t>Nu se asumă angajamente în ceea ce privește prezența temporară a persoanelor fizice aflate în vizită de afaceri în scopul stabilirii în sectoarele sau subsectoarele reglementate de prezentul acord care nu sunt enumerate în coloana sectorială de mai jos.</w:t>
      </w:r>
    </w:p>
    <w:p>
      <w:pPr>
        <w:rPr>
          <w:noProof/>
        </w:rPr>
      </w:pPr>
    </w:p>
    <w:p>
      <w:pPr>
        <w:widowControl/>
        <w:spacing w:line="240" w:lineRule="auto"/>
        <w:rPr>
          <w:noProof/>
        </w:rPr>
      </w:pPr>
      <w:r>
        <w:rPr>
          <w:noProof/>
        </w:rPr>
        <w:br w:type="page"/>
      </w:r>
    </w:p>
    <w:p>
      <w:pPr>
        <w:rPr>
          <w:noProof/>
        </w:rPr>
      </w:pPr>
      <w:r>
        <w:rPr>
          <w:noProof/>
        </w:rPr>
        <w:lastRenderedPageBreak/>
        <w:t>3.</w:t>
      </w:r>
      <w:r>
        <w:rPr>
          <w:noProof/>
        </w:rPr>
        <w:tab/>
        <w:t>La identificarea sectoarelor și subsectoarelor individuale:</w:t>
      </w:r>
    </w:p>
    <w:p>
      <w:pPr>
        <w:rPr>
          <w:noProof/>
        </w:rPr>
      </w:pPr>
    </w:p>
    <w:p>
      <w:pPr>
        <w:ind w:left="567" w:hanging="567"/>
        <w:rPr>
          <w:noProof/>
        </w:rPr>
      </w:pPr>
      <w:r>
        <w:rPr>
          <w:noProof/>
        </w:rPr>
        <w:t>(a)</w:t>
      </w:r>
      <w:r>
        <w:rPr>
          <w:noProof/>
        </w:rPr>
        <w:tab/>
        <w:t>„CPC” înseamnă Clasificarea centrală provizorie a produselor (Statistical Papers, seria M, nr. 77, Departamentul Afaceri Sociale și Economice Internaționale, Oficiul de Statistică al Organizației Națiunilor Unite, New York, 1991);</w:t>
      </w:r>
    </w:p>
    <w:p>
      <w:pPr>
        <w:rPr>
          <w:noProof/>
        </w:rPr>
      </w:pPr>
    </w:p>
    <w:p>
      <w:pPr>
        <w:ind w:left="567" w:hanging="567"/>
        <w:rPr>
          <w:noProof/>
        </w:rPr>
      </w:pPr>
      <w:r>
        <w:rPr>
          <w:noProof/>
        </w:rPr>
        <w:t>(b)</w:t>
      </w:r>
      <w:r>
        <w:rPr>
          <w:noProof/>
        </w:rPr>
        <w:tab/>
        <w:t>„ISIC” înseamnă standardul indonezian de clasificare industrială (Klasifikasi Baku Lapangan Usaha Indonesia/KBLI) 2020 și</w:t>
      </w:r>
    </w:p>
    <w:p>
      <w:pPr>
        <w:rPr>
          <w:noProof/>
        </w:rPr>
      </w:pPr>
    </w:p>
    <w:p>
      <w:pPr>
        <w:ind w:left="567" w:hanging="567"/>
        <w:rPr>
          <w:noProof/>
        </w:rPr>
      </w:pPr>
      <w:r>
        <w:rPr>
          <w:noProof/>
        </w:rPr>
        <w:t>(c)</w:t>
      </w:r>
      <w:r>
        <w:rPr>
          <w:noProof/>
        </w:rPr>
        <w:tab/>
        <w:t>„ISIC rev 4” înseamnă Clasificarea industrială internațională standard pentru toate activitățile economice, astfel cum este stabilită de Oficiul Statistic al Organizației Națiunilor Unite, Statistical Papers, seria M, nr. 4, ISIC REV 4, 2008.</w:t>
      </w:r>
    </w:p>
    <w:p>
      <w:pPr>
        <w:rPr>
          <w:noProof/>
        </w:rPr>
      </w:pPr>
    </w:p>
    <w:p>
      <w:pPr>
        <w:rPr>
          <w:noProof/>
        </w:rPr>
      </w:pPr>
      <w:r>
        <w:rPr>
          <w:noProof/>
        </w:rPr>
        <w:t>4.</w:t>
      </w:r>
      <w:r>
        <w:rPr>
          <w:noProof/>
        </w:rPr>
        <w:tab/>
        <w:t>În absența unor trimiteri specifice, domeniul de aplicare al subsectoarelor sau al activităților economice vizate de rubrica respectivă va face obiectul trimiterilor relevante și aplicabile, inclusiv:</w:t>
      </w:r>
    </w:p>
    <w:p>
      <w:pPr>
        <w:rPr>
          <w:noProof/>
        </w:rPr>
      </w:pPr>
    </w:p>
    <w:p>
      <w:pPr>
        <w:ind w:left="567" w:hanging="567"/>
        <w:rPr>
          <w:noProof/>
        </w:rPr>
      </w:pPr>
      <w:r>
        <w:rPr>
          <w:noProof/>
        </w:rPr>
        <w:t>(a)</w:t>
      </w:r>
      <w:r>
        <w:rPr>
          <w:noProof/>
        </w:rPr>
        <w:tab/>
        <w:t>în cazul serviciilor financiare, se va face trimitere la anexa GATS privind serviciile financiare; sau</w:t>
      </w:r>
    </w:p>
    <w:p>
      <w:pPr>
        <w:rPr>
          <w:noProof/>
        </w:rPr>
      </w:pPr>
    </w:p>
    <w:p>
      <w:pPr>
        <w:ind w:left="567" w:hanging="567"/>
        <w:rPr>
          <w:noProof/>
        </w:rPr>
      </w:pPr>
      <w:r>
        <w:rPr>
          <w:noProof/>
        </w:rPr>
        <w:t>(b)</w:t>
      </w:r>
      <w:r>
        <w:rPr>
          <w:noProof/>
        </w:rPr>
        <w:tab/>
        <w:t>în cazul transportului aerian, domeniul de aplicare al activităților va fi în conformitate cu articolul 8.6, cu excepția cazului în care este calificat prin trimitere la ISIC.</w:t>
      </w:r>
    </w:p>
    <w:p>
      <w:pPr>
        <w:rPr>
          <w:noProof/>
        </w:rPr>
      </w:pPr>
    </w:p>
    <w:p>
      <w:pPr>
        <w:rPr>
          <w:noProof/>
        </w:rPr>
      </w:pPr>
      <w:r>
        <w:rPr>
          <w:noProof/>
        </w:rPr>
        <w:t>5.</w:t>
      </w:r>
      <w:r>
        <w:rPr>
          <w:noProof/>
        </w:rPr>
        <w:tab/>
        <w:t>Asteriscul dublu (</w:t>
      </w:r>
      <w:r>
        <w:rPr>
          <w:b/>
          <w:noProof/>
          <w:vertAlign w:val="superscript"/>
        </w:rPr>
        <w:t>**</w:t>
      </w:r>
      <w:r>
        <w:rPr>
          <w:noProof/>
        </w:rPr>
        <w:t>) după numărul CPC indică faptul că domeniul de aplicare al serviciilor specificate constituie doar o parte din gama totală de activități încadrate la codul corespondent din CPC.</w:t>
      </w:r>
    </w:p>
    <w:p>
      <w:pPr>
        <w:rPr>
          <w:noProof/>
        </w:rPr>
      </w:pPr>
    </w:p>
    <w:p>
      <w:pPr>
        <w:widowControl/>
        <w:spacing w:line="240" w:lineRule="auto"/>
        <w:rPr>
          <w:noProof/>
        </w:rPr>
      </w:pPr>
      <w:r>
        <w:rPr>
          <w:noProof/>
        </w:rPr>
        <w:br w:type="page"/>
      </w:r>
    </w:p>
    <w:p>
      <w:pPr>
        <w:rPr>
          <w:noProof/>
        </w:rPr>
      </w:pPr>
      <w:r>
        <w:rPr>
          <w:noProof/>
        </w:rPr>
        <w:lastRenderedPageBreak/>
        <w:t>6.</w:t>
      </w:r>
      <w:r>
        <w:rPr>
          <w:noProof/>
        </w:rPr>
        <w:tab/>
        <w:t>Angajamentele privind categoriile referitoare la circulația persoanelor fizice nu se aplică în cazurile în care intenția sau efectul prezenței temporare a acestora este de a interveni cu privire la rezultatul unui litigiu sau al unei negocieri în materie de muncă sau de management sau de a afecta în alt mod acest rezultat sau angajarea oricărei persoane fizice implicate în litigiul respectiv.</w:t>
      </w:r>
    </w:p>
    <w:p>
      <w:pPr>
        <w:rPr>
          <w:noProof/>
        </w:rPr>
      </w:pPr>
    </w:p>
    <w:p>
      <w:pPr>
        <w:rPr>
          <w:noProof/>
        </w:rPr>
      </w:pPr>
      <w:r>
        <w:rPr>
          <w:noProof/>
        </w:rPr>
        <w:t>7.</w:t>
      </w:r>
      <w:r>
        <w:rPr>
          <w:noProof/>
        </w:rPr>
        <w:tab/>
        <w:t>Lista angajamentelor care figurează în prezenta anexă nu include măsuri cu privire la cerințele și procedurile de calificare, la standardele tehnice și la cerințele și procedurile de acordare a licențelor atunci când acestea nu reprezintă o limitare în sensul articolului 8.18, 8.19, 8.20 sau 8.21. Măsurile respective (de exemplu, obligativitatea obținerii unei licențe, necesitatea recunoașterii calificărilor în sectoarele reglementate, necesitatea promovării unor examene specifice, inclusiv a unor examene de limbă sau obligația de a avea domiciliul legal pe teritoriul în care se desfășoară activitatea economică), chiar dacă nu sunt enumerate, se aplică în orice caz categoriilor respective.</w:t>
      </w:r>
    </w:p>
    <w:p>
      <w:pPr>
        <w:rPr>
          <w:noProof/>
        </w:rPr>
      </w:pPr>
    </w:p>
    <w:p>
      <w:pPr>
        <w:rPr>
          <w:noProof/>
        </w:rPr>
      </w:pPr>
      <w:r>
        <w:rPr>
          <w:noProof/>
        </w:rPr>
        <w:t>8.</w:t>
      </w:r>
      <w:r>
        <w:rPr>
          <w:noProof/>
        </w:rPr>
        <w:tab/>
        <w:t>În sectoarele în care se aplică teste privind necesitățile economice, criteriul principal al acestora va fi evaluarea situației pieței relevante pe teritoriul Indoneziei sau în regiunea în care urmează să fie furnizat serviciul, inclusiv în ceea ce privește numărul furnizorilor de servicii existenți și impactul asupra acestora.</w:t>
      </w:r>
    </w:p>
    <w:p>
      <w:pPr>
        <w:rPr>
          <w:noProof/>
        </w:rPr>
      </w:pPr>
    </w:p>
    <w:p>
      <w:pPr>
        <w:rPr>
          <w:noProof/>
        </w:rPr>
      </w:pPr>
      <w:r>
        <w:rPr>
          <w:noProof/>
        </w:rPr>
        <w:t>9.</w:t>
      </w:r>
      <w:r>
        <w:rPr>
          <w:noProof/>
        </w:rPr>
        <w:tab/>
        <w:t>Restricțiile, condițiile și limitările din secțiunea orizontală se aplică „tuturor sectoarelor”, astfel cum se specifică în coloana sectorială, cu excepția cazului în care se prevede altfel în condițiile generale sau în secțiunea sectorială. Acestea fie reflectă o măsură care constituie o limitare a prezenței temporare a persoanelor naturale, fie consolidează o situație în care nu există astfel de limitări.</w:t>
      </w:r>
    </w:p>
    <w:p>
      <w:pPr>
        <w:rPr>
          <w:noProof/>
        </w:rPr>
      </w:pPr>
    </w:p>
    <w:p>
      <w:pPr>
        <w:widowControl/>
        <w:spacing w:line="240" w:lineRule="auto"/>
        <w:rPr>
          <w:noProof/>
        </w:rPr>
      </w:pPr>
      <w:r>
        <w:rPr>
          <w:noProof/>
        </w:rPr>
        <w:br w:type="page"/>
      </w:r>
    </w:p>
    <w:p>
      <w:pPr>
        <w:rPr>
          <w:noProof/>
        </w:rPr>
      </w:pPr>
      <w:r>
        <w:rPr>
          <w:noProof/>
        </w:rPr>
        <w:lastRenderedPageBreak/>
        <w:t>10.</w:t>
      </w:r>
      <w:r>
        <w:rPr>
          <w:noProof/>
        </w:rPr>
        <w:tab/>
        <w:t>Mențiunea „neconsolidat, cu excepția” trebuie interpretată în sensul că angajamentul se aplică numai în măsura în care este acoperit de categoriile sau condițiile specificate după cuvântul „cu excepția” și, în acest caz, se aplică limitările specificate în secțiunea orizontală.</w:t>
      </w:r>
    </w:p>
    <w:p>
      <w:pPr>
        <w:rPr>
          <w:noProof/>
        </w:rPr>
      </w:pPr>
    </w:p>
    <w:p>
      <w:pPr>
        <w:rPr>
          <w:noProof/>
        </w:rPr>
      </w:pPr>
      <w:r>
        <w:rPr>
          <w:noProof/>
        </w:rPr>
        <w:t>11.</w:t>
      </w:r>
      <w:r>
        <w:rPr>
          <w:noProof/>
        </w:rPr>
        <w:tab/>
        <w:t>Mențiunea „niciuna” în secțiunea sectorială trebuie interpretată în sensul că nu există restricții sau condiții în sectorul specific. Cu toate acestea, orice limitare relevantă prevăzută în secțiunea orizontală și condițiile generale din listă, după caz, se va aplica în continuare.</w:t>
      </w:r>
    </w:p>
    <w:p>
      <w:pPr>
        <w:rPr>
          <w:noProof/>
        </w:rPr>
      </w:pPr>
    </w:p>
    <w:p>
      <w:pPr>
        <w:rPr>
          <w:noProof/>
        </w:rPr>
      </w:pPr>
      <w:r>
        <w:rPr>
          <w:noProof/>
        </w:rPr>
        <w:t>12.</w:t>
      </w:r>
      <w:r>
        <w:rPr>
          <w:noProof/>
        </w:rPr>
        <w:tab/>
        <w:t>Mențiunea „niciuna, cu excepția” din secțiunea sectorială trebuie interpretată ca o combinație între restricțiile orizontale și condițiile prevăzute în secțiunea orizontală și restricțiile sectoriale, cu excepția cazului în care se prevede altfel în mod explicit la rubrica respectivă.</w:t>
      </w:r>
    </w:p>
    <w:p>
      <w:pPr>
        <w:rPr>
          <w:noProof/>
        </w:rPr>
      </w:pPr>
    </w:p>
    <w:p>
      <w:pPr>
        <w:rPr>
          <w:noProof/>
        </w:rPr>
      </w:pPr>
      <w:r>
        <w:rPr>
          <w:noProof/>
        </w:rPr>
        <w:t>13.</w:t>
      </w:r>
      <w:r>
        <w:rPr>
          <w:noProof/>
        </w:rPr>
        <w:tab/>
        <w:t>Drepturile și obligațiile care derivă prezentul acord, inclusiv din lista angajamentelor care figurează în prezenta anexă, nu au efect direct aplicabil și, astfel, nu conferă drepturi directe persoanelor fizice sau juridice.</w:t>
      </w:r>
    </w:p>
    <w:p>
      <w:pPr>
        <w:rPr>
          <w:noProof/>
        </w:rPr>
      </w:pPr>
    </w:p>
    <w:p>
      <w:pPr>
        <w:rPr>
          <w:noProof/>
        </w:rPr>
      </w:pPr>
    </w:p>
    <w:p>
      <w:pPr>
        <w:rPr>
          <w:noProof/>
        </w:rPr>
        <w:sectPr>
          <w:headerReference w:type="even" r:id="rId64"/>
          <w:headerReference w:type="default" r:id="rId65"/>
          <w:footerReference w:type="even" r:id="rId66"/>
          <w:footerReference w:type="default" r:id="rId67"/>
          <w:headerReference w:type="first" r:id="rId68"/>
          <w:footerReference w:type="first" r:id="rId69"/>
          <w:footnotePr>
            <w:numRestart w:val="eachSect"/>
          </w:footnotePr>
          <w:endnotePr>
            <w:numFmt w:val="decimal"/>
          </w:endnotePr>
          <w:pgSz w:w="11907" w:h="16840" w:code="9"/>
          <w:pgMar w:top="1134" w:right="1134" w:bottom="1134" w:left="1134" w:header="567" w:footer="567" w:gutter="0"/>
          <w:pgNumType w:start="1"/>
          <w:cols w:space="708"/>
          <w:docGrid w:linePitch="360"/>
        </w:sectPr>
      </w:pPr>
    </w:p>
    <w:p>
      <w:pPr>
        <w:rPr>
          <w:noProof/>
        </w:rPr>
      </w:pPr>
    </w:p>
    <w:tbl>
      <w:tblPr>
        <w:tblStyle w:val="TableGrid"/>
        <w:tblW w:w="5000" w:type="pct"/>
        <w:tblLayout w:type="fixed"/>
        <w:tblLook w:val="04A0" w:firstRow="1" w:lastRow="0" w:firstColumn="1" w:lastColumn="0" w:noHBand="0" w:noVBand="1"/>
      </w:tblPr>
      <w:tblGrid>
        <w:gridCol w:w="5117"/>
        <w:gridCol w:w="9445"/>
      </w:tblGrid>
      <w:tr>
        <w:trPr>
          <w:cantSplit/>
          <w:tblHeader/>
        </w:trPr>
        <w:tc>
          <w:tcPr>
            <w:tcW w:w="1757"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SECȚIUNE ORIZONTALĂ</w:t>
            </w:r>
          </w:p>
        </w:tc>
        <w:tc>
          <w:tcPr>
            <w:tcW w:w="3243"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Descrierea rezervelor</w:t>
            </w:r>
          </w:p>
        </w:tc>
      </w:tr>
      <w:tr>
        <w:tc>
          <w:tcPr>
            <w:tcW w:w="1757" w:type="pct"/>
          </w:tcPr>
          <w:p>
            <w:pPr>
              <w:widowControl/>
              <w:suppressAutoHyphens/>
              <w:spacing w:before="60" w:after="60" w:line="240" w:lineRule="auto"/>
              <w:rPr>
                <w:rFonts w:ascii="Times New Roman" w:hAnsi="Times New Roman"/>
                <w:noProof/>
              </w:rPr>
            </w:pPr>
            <w:r>
              <w:rPr>
                <w:rFonts w:ascii="Times New Roman" w:hAnsi="Times New Roman"/>
                <w:noProof/>
              </w:rPr>
              <w:t>Toate categoriile și sectoarele pentru care se asumă angajamente</w:t>
            </w:r>
          </w:p>
        </w:tc>
        <w:tc>
          <w:tcPr>
            <w:tcW w:w="3243"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Sub rezerva legislației și a reglementărilor indoneziene în domeniul muncii sau al imigrației.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Lucrătorii din Uniune sunt autorizați numai pentru ocupații în conformitate cu actele cu putere de lege și normele administrative interne.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Funcțiile de resurse umane sau de personal trebuie să fie deținute de cetățeni indonezieni.</w:t>
            </w:r>
          </w:p>
        </w:tc>
      </w:tr>
    </w:tbl>
    <w:p>
      <w:pPr>
        <w:rPr>
          <w:noProof/>
        </w:rPr>
      </w:pPr>
    </w:p>
    <w:p>
      <w:pPr>
        <w:rPr>
          <w:noProof/>
        </w:rPr>
      </w:pPr>
      <w:r>
        <w:rPr>
          <w:noProof/>
        </w:rPr>
        <w:t>Persoane aflate în vizită de afaceri în scopul stabilirii</w:t>
      </w:r>
    </w:p>
    <w:p>
      <w:pPr>
        <w:rPr>
          <w:noProof/>
        </w:rPr>
      </w:pPr>
    </w:p>
    <w:tbl>
      <w:tblPr>
        <w:tblStyle w:val="TableGrid"/>
        <w:tblW w:w="5000" w:type="pct"/>
        <w:tblLayout w:type="fixed"/>
        <w:tblLook w:val="04A0" w:firstRow="1" w:lastRow="0" w:firstColumn="1" w:lastColumn="0" w:noHBand="0" w:noVBand="1"/>
      </w:tblPr>
      <w:tblGrid>
        <w:gridCol w:w="5015"/>
        <w:gridCol w:w="9547"/>
      </w:tblGrid>
      <w:tr>
        <w:trPr>
          <w:cantSplit/>
          <w:tblHeader/>
        </w:trPr>
        <w:tc>
          <w:tcPr>
            <w:tcW w:w="172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Toate sectoarele</w:t>
            </w:r>
          </w:p>
        </w:tc>
        <w:tc>
          <w:tcPr>
            <w:tcW w:w="327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Niciuna</w:t>
            </w:r>
          </w:p>
        </w:tc>
      </w:tr>
    </w:tbl>
    <w:p>
      <w:pPr>
        <w:rPr>
          <w:noProof/>
        </w:rPr>
      </w:pPr>
    </w:p>
    <w:p>
      <w:pPr>
        <w:widowControl/>
        <w:spacing w:line="240" w:lineRule="auto"/>
        <w:rPr>
          <w:noProof/>
        </w:rPr>
      </w:pPr>
      <w:r>
        <w:rPr>
          <w:noProof/>
        </w:rPr>
        <w:br w:type="page"/>
      </w:r>
    </w:p>
    <w:p>
      <w:pPr>
        <w:rPr>
          <w:noProof/>
        </w:rPr>
      </w:pPr>
      <w:r>
        <w:rPr>
          <w:noProof/>
        </w:rPr>
        <w:lastRenderedPageBreak/>
        <w:t>Persoane transferate în cadrul aceleiași companii</w:t>
      </w:r>
    </w:p>
    <w:tbl>
      <w:tblPr>
        <w:tblStyle w:val="TableGrid"/>
        <w:tblW w:w="5000" w:type="pct"/>
        <w:tblLayout w:type="fixed"/>
        <w:tblLook w:val="04A0" w:firstRow="1" w:lastRow="0" w:firstColumn="1" w:lastColumn="0" w:noHBand="0" w:noVBand="1"/>
      </w:tblPr>
      <w:tblGrid>
        <w:gridCol w:w="4963"/>
        <w:gridCol w:w="9599"/>
      </w:tblGrid>
      <w:tr>
        <w:trPr>
          <w:tblHeader/>
        </w:trPr>
        <w:tc>
          <w:tcPr>
            <w:tcW w:w="1704" w:type="pct"/>
          </w:tcPr>
          <w:p>
            <w:pPr>
              <w:widowControl/>
              <w:suppressAutoHyphens/>
              <w:spacing w:before="60" w:after="60" w:line="240" w:lineRule="auto"/>
              <w:jc w:val="center"/>
              <w:rPr>
                <w:rFonts w:ascii="Times New Roman" w:hAnsi="Times New Roman"/>
                <w:noProof/>
              </w:rPr>
            </w:pPr>
            <w:r>
              <w:rPr>
                <w:rFonts w:ascii="Times New Roman" w:hAnsi="Times New Roman"/>
                <w:noProof/>
              </w:rPr>
              <w:t>Sectorul sau subsectorul</w:t>
            </w:r>
          </w:p>
        </w:tc>
        <w:tc>
          <w:tcPr>
            <w:tcW w:w="3296" w:type="pct"/>
          </w:tcPr>
          <w:p>
            <w:pPr>
              <w:widowControl/>
              <w:suppressAutoHyphens/>
              <w:spacing w:before="60" w:after="60" w:line="240" w:lineRule="auto"/>
              <w:jc w:val="center"/>
              <w:rPr>
                <w:rFonts w:ascii="Times New Roman" w:hAnsi="Times New Roman"/>
                <w:noProof/>
              </w:rPr>
            </w:pPr>
            <w:r>
              <w:rPr>
                <w:rFonts w:ascii="Times New Roman" w:hAnsi="Times New Roman"/>
                <w:noProof/>
              </w:rPr>
              <w:t>Descrierea rezervelor</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SECȚIUNE ORIZONTALĂ</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Cerințe de lucru</w:t>
            </w:r>
          </w:p>
          <w:p>
            <w:pPr>
              <w:widowControl/>
              <w:suppressAutoHyphens/>
              <w:spacing w:before="60" w:after="60" w:line="240" w:lineRule="auto"/>
              <w:rPr>
                <w:rFonts w:ascii="Times New Roman" w:hAnsi="Times New Roman"/>
                <w:noProof/>
              </w:rPr>
            </w:pPr>
          </w:p>
          <w:p>
            <w:pPr>
              <w:widowControl/>
              <w:suppressAutoHyphens/>
              <w:spacing w:before="60" w:after="60" w:line="240" w:lineRule="auto"/>
              <w:rPr>
                <w:rFonts w:ascii="Times New Roman" w:hAnsi="Times New Roman"/>
                <w:noProof/>
              </w:rPr>
            </w:pPr>
            <w:r>
              <w:rPr>
                <w:rFonts w:ascii="Times New Roman" w:hAnsi="Times New Roman"/>
                <w:noProof/>
              </w:rPr>
              <w:t>Angajatorii lucrătorilor din Uniune trebuie să aibă un plan de utilizare a forței de muncă străine (RPTKA) aprobat de Ministerul Forței de Muncă.</w:t>
            </w:r>
          </w:p>
          <w:p>
            <w:pPr>
              <w:widowControl/>
              <w:suppressAutoHyphens/>
              <w:spacing w:before="60" w:after="60" w:line="240" w:lineRule="auto"/>
              <w:rPr>
                <w:rFonts w:ascii="Times New Roman" w:hAnsi="Times New Roman"/>
                <w:noProof/>
              </w:rPr>
            </w:pPr>
            <w:r>
              <w:rPr>
                <w:rFonts w:ascii="Times New Roman" w:hAnsi="Times New Roman"/>
                <w:noProof/>
              </w:rPr>
              <w:t>Toți lucrătorii din Uniune fac obiectul impozitelor percepute de administrația publică în conformitate cu actele cu putere de lege și normele administrative interne.</w:t>
            </w: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II.</w:t>
            </w:r>
            <w:r>
              <w:rPr>
                <w:noProof/>
              </w:rPr>
              <w:tab/>
            </w:r>
            <w:r>
              <w:rPr>
                <w:rFonts w:ascii="Times New Roman" w:hAnsi="Times New Roman"/>
                <w:noProof/>
              </w:rPr>
              <w:t>SECȚIUNE SECTORIALĂ</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 SERVICII PENTRU ÎNTREPRINDERI</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 Servicii profesionale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Servicii juridice (CPC 861)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contabilitate, de audit și de evidență contabilă</w:t>
            </w:r>
          </w:p>
          <w:p>
            <w:pPr>
              <w:widowControl/>
              <w:suppressAutoHyphens/>
              <w:spacing w:before="60" w:after="60" w:line="240" w:lineRule="auto"/>
              <w:rPr>
                <w:rFonts w:ascii="Times New Roman" w:hAnsi="Times New Roman"/>
                <w:noProof/>
              </w:rPr>
            </w:pPr>
            <w:r>
              <w:rPr>
                <w:rFonts w:ascii="Times New Roman" w:hAnsi="Times New Roman"/>
                <w:noProof/>
              </w:rPr>
              <w:t>(CPC 86220 – Servicii de evidență contabilă, cu excepția declarațiilor fiscale)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sub rezerva testului privind necesitățile economice.</w:t>
            </w:r>
          </w:p>
        </w:tc>
      </w:tr>
      <w:tr>
        <w:tc>
          <w:tcPr>
            <w:tcW w:w="1704"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arhitectură (CPC 8671)</w:t>
            </w:r>
          </w:p>
        </w:tc>
        <w:tc>
          <w:tcPr>
            <w:tcW w:w="3296"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Persoanele fizice din Uniune trebuie să încheie un parteneriat cu un arhitect indonezian.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cazul în care o persoană fizică din Uniune este arhitect, se aplică următoarele cerințe: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arhitecții din Uniune trebuie să fie înregistrați în țara de origine;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planul arhitectural trebuie să fie aprobat de un arhitect indonezian autorizat;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arhitecții din Uniune trebuie să fie înregistrați în Indonezia, valabilitatea înregistrării fiind de un an, cu posibilitate de prelungire;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arhitecții din Uniune au obligația de a asigura transferul de competențe de specialitate și cunoștințe prin:</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dezvoltarea și îmbunătățirea practicii arhitecturale la locul de muncă;</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transferul de competențe de specialitate și cunoștințe către arhitecții indonezieni;</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furnizarea de educație și/sau formare instituțiilor de învățământ, cercetare și/sau dezvoltare în domeniul arhitecturii.</w:t>
            </w:r>
          </w:p>
        </w:tc>
      </w:tr>
      <w:tr>
        <w:trPr>
          <w:trHeight w:val="169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inginerie (CPC 8672 – cu excepția CPC 86721, 86725, 86726)</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Persoana fizică din Uniune face obiectul cerințelor privind transferul de competențe și cunoștințe. Pentru persoana fizică din Uniune care este inginer, transferul de cunoștințe și tehnologie este asigurat prin:</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dezvoltarea și îmbunătățirea serviciilor de inginerie la locul de muncă;</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transferul de competențe și cunoștințe către un inginer indonezian;</w:t>
            </w:r>
          </w:p>
        </w:tc>
      </w:tr>
      <w:tr>
        <w:trPr>
          <w:trHeight w:val="2295"/>
        </w:trPr>
        <w:tc>
          <w:tcPr>
            <w:tcW w:w="1704" w:type="pct"/>
            <w:tcBorders>
              <w:top w:val="nil"/>
            </w:tcBorders>
          </w:tcPr>
          <w:p>
            <w:pPr>
              <w:pageBreakBefore/>
              <w:suppressAutoHyphens/>
              <w:spacing w:before="60" w:after="60" w:line="240" w:lineRule="auto"/>
              <w:rPr>
                <w:noProof/>
              </w:rPr>
            </w:pPr>
          </w:p>
        </w:tc>
        <w:tc>
          <w:tcPr>
            <w:tcW w:w="3296" w:type="pct"/>
            <w:tcBorders>
              <w:top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furnizarea de educație și/sau formare instituțiilor de învățământ, cercetare și/sau dezvoltare în domeniul ingineriei.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cazul în care o persoană fizică din Uniune este inginer, se aplică următoarele cerințe: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inginerii din Uniune trebuie să fie înregistrați în țara de origine;</w:t>
            </w:r>
          </w:p>
          <w:p>
            <w:pPr>
              <w:suppressAutoHyphens/>
              <w:spacing w:before="60" w:after="60" w:line="240" w:lineRule="auto"/>
              <w:ind w:left="1134" w:hanging="567"/>
              <w:rPr>
                <w:noProof/>
              </w:rPr>
            </w:pPr>
            <w:r>
              <w:rPr>
                <w:rFonts w:ascii="Times New Roman" w:hAnsi="Times New Roman"/>
                <w:noProof/>
              </w:rPr>
              <w:t>–</w:t>
            </w:r>
            <w:r>
              <w:rPr>
                <w:noProof/>
              </w:rPr>
              <w:tab/>
            </w:r>
            <w:r>
              <w:rPr>
                <w:rFonts w:ascii="Times New Roman" w:hAnsi="Times New Roman"/>
                <w:noProof/>
              </w:rPr>
              <w:t>inginerii din Uniune trebuie să fie înregistrați și autorizați în Indonezia.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consiliere și de consultanță în domeniul ingineriei (CPC 86721)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 xml:space="preserve">Servicii de proiectare tehnologică pentru producție și procese industriale (CPC 86725) </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și specialiștilor, sub rezerva testului privind necesitățile economice.</w:t>
            </w:r>
          </w:p>
        </w:tc>
      </w:tr>
      <w:tr>
        <w:trPr>
          <w:trHeight w:val="166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integrate de inginerie (CPC 8673)</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Persoana fizică din Uniune face obiectul cerințelor privind transferul de competențe și cunoștințe. Pentru persoana fizică din Uniune care este inginer, transferul de cunoștințe și tehnologie este asigurat prin:</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dezvoltarea și îmbunătățirea serviciilor de inginerie la locul de muncă;</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transferul de competențe și cunoștințe către un inginer indonezian;</w:t>
            </w:r>
          </w:p>
        </w:tc>
      </w:tr>
      <w:tr>
        <w:trPr>
          <w:trHeight w:val="1935"/>
        </w:trPr>
        <w:tc>
          <w:tcPr>
            <w:tcW w:w="1704" w:type="pct"/>
            <w:tcBorders>
              <w:top w:val="nil"/>
            </w:tcBorders>
          </w:tcPr>
          <w:p>
            <w:pPr>
              <w:pageBreakBefore/>
              <w:suppressAutoHyphens/>
              <w:spacing w:before="60" w:after="60" w:line="240" w:lineRule="auto"/>
              <w:rPr>
                <w:noProof/>
              </w:rPr>
            </w:pPr>
          </w:p>
        </w:tc>
        <w:tc>
          <w:tcPr>
            <w:tcW w:w="3296" w:type="pct"/>
            <w:tcBorders>
              <w:top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furnizarea de educație și/sau formare instituțiilor de învățământ, cercetare și/sau dezvoltare în domeniul ingineriei.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cazul în care o persoană fizică din Uniune este inginer, se aplică următoarele cerințe: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inginerii din Uniune trebuie să fie înregistrați în țara de origine;</w:t>
            </w:r>
          </w:p>
          <w:p>
            <w:pPr>
              <w:suppressAutoHyphens/>
              <w:spacing w:before="60" w:after="60" w:line="240" w:lineRule="auto"/>
              <w:ind w:left="1134" w:hanging="567"/>
              <w:rPr>
                <w:noProof/>
              </w:rPr>
            </w:pPr>
            <w:r>
              <w:rPr>
                <w:rFonts w:ascii="Times New Roman" w:hAnsi="Times New Roman"/>
                <w:noProof/>
              </w:rPr>
              <w:t>–</w:t>
            </w:r>
            <w:r>
              <w:rPr>
                <w:noProof/>
              </w:rPr>
              <w:tab/>
            </w:r>
            <w:r>
              <w:rPr>
                <w:rFonts w:ascii="Times New Roman" w:hAnsi="Times New Roman"/>
                <w:noProof/>
              </w:rPr>
              <w:t>inginerii din Uniune trebuie să fie înregistrați și autorizați în Indonezia.</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Servicii de urbanism (CPC 86741)</w:t>
            </w:r>
          </w:p>
        </w:tc>
        <w:tc>
          <w:tcPr>
            <w:tcW w:w="3296"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Persoana fizică din Uniune face obiectul cerințelor privind transferul de competențe și cunoștințe.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cazul în care o persoană fizică din Uniune este urbanist, se aplică următoarele cerințe: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urbaniștii din Uniune trebuie să dețină un certificat de competență valabil în țara de origine;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urbaniștii din Uniune trebuie să fie înregistrați în Indonezia. Înregistrarea trebuie efectuată prin intermediul unui mecanism de competență pentru a asigura standardul comparat al urbaniștilor din Uniune;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urbaniștii din Uniune asigură respectarea cerințelor privind transferul de competențe și cunoștințe prin numirea unui urbanist indonezian ca asociat.</w:t>
            </w:r>
          </w:p>
        </w:tc>
      </w:tr>
      <w:tr>
        <w:trPr>
          <w:trHeight w:val="169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arhitectură peisagistică (CPC 86742)</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Persoana fizică din Uniune trebuie să încheie un parteneriat cu un arhitect peisagistic indonezian.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În cazul în care o persoană fizică din Uniune este arhitect peisagist, se aplică următoarele cerințe: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arhitecții peisagiști din Uniune trebuie să fie înregistrați în țara de origine;</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planul de arhitectură peisagistică trebuie să fie aprobat de un arhitect peisagist indonezian autorizat;</w:t>
            </w:r>
          </w:p>
        </w:tc>
      </w:tr>
      <w:tr>
        <w:tc>
          <w:tcPr>
            <w:tcW w:w="1704" w:type="pct"/>
            <w:tcBorders>
              <w:top w:val="nil"/>
              <w:bottom w:val="single" w:sz="4" w:space="0" w:color="auto"/>
            </w:tcBorders>
          </w:tcPr>
          <w:p>
            <w:pPr>
              <w:pageBreakBefore/>
              <w:suppressAutoHyphens/>
              <w:spacing w:before="60" w:after="60" w:line="240" w:lineRule="auto"/>
              <w:rPr>
                <w:noProof/>
              </w:rPr>
            </w:pPr>
          </w:p>
        </w:tc>
        <w:tc>
          <w:tcPr>
            <w:tcW w:w="3296" w:type="pct"/>
            <w:tcBorders>
              <w:top w:val="nil"/>
              <w:bottom w:val="single" w:sz="4" w:space="0" w:color="auto"/>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arhitecții peisagiști din Uniune trebuie să fie înregistrați în Indonezia, valabilitatea înregistrării fiind de un an, cu posibilitate de prelungire;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arhitecții peisagiști din Uniune au obligația de a asigura transferul de competențe de specialitate și cunoștințe prin:</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dezvoltarea și îmbunătățirea practicii arhitecturale la locul de muncă;</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transferul de competențe de specialitate și cunoștințe către arhitecții indonezieni;</w:t>
            </w:r>
          </w:p>
          <w:p>
            <w:pPr>
              <w:suppressAutoHyphens/>
              <w:spacing w:before="60" w:after="60" w:line="240" w:lineRule="auto"/>
              <w:ind w:left="1701" w:hanging="567"/>
              <w:rPr>
                <w:noProof/>
              </w:rPr>
            </w:pPr>
            <w:r>
              <w:rPr>
                <w:rFonts w:ascii="Times New Roman" w:hAnsi="Times New Roman"/>
                <w:noProof/>
              </w:rPr>
              <w:t>(iii)</w:t>
            </w:r>
            <w:r>
              <w:rPr>
                <w:noProof/>
              </w:rPr>
              <w:tab/>
            </w:r>
            <w:r>
              <w:rPr>
                <w:rFonts w:ascii="Times New Roman" w:hAnsi="Times New Roman"/>
                <w:noProof/>
              </w:rPr>
              <w:t>furnizarea de educație și/sau formare instituțiilor de învățământ, cercetare și/sau dezvoltare în domeniul arhitecturii.</w:t>
            </w:r>
          </w:p>
        </w:tc>
      </w:tr>
      <w:tr>
        <w:trPr>
          <w:trHeight w:val="331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Clinică de servicii medicale specializate pentru o instituție de sănătate înregistrată (KBLI 86105)</w:t>
            </w:r>
          </w:p>
        </w:tc>
        <w:tc>
          <w:tcPr>
            <w:tcW w:w="329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persoanele fizice din Uniune fac obiectul cerințelor privind transferul de competențe, cunoștințe și tehnologie;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faptului că pot fi angajați profesioniști din domeniul sănătății din Uniune numai în măsura în care nu există astfel de profesioniști suficient de calificați care să fie cetățeni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faptului că lucrătorii străini din domeniul sănătății și lucrătorii străini din domeniul medical: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dețină un certificat de competență recunoscut eliberat de autoritatea indoneziană;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obțină o scrisoare de înregistrare temporară (Surat Tanda Registrasi Sementara/STRS) și o scrisoare de autorizare a exercitării profesiei (Surat Izin Praktik/SIP);</w:t>
            </w:r>
          </w:p>
        </w:tc>
      </w:tr>
      <w:tr>
        <w:trPr>
          <w:trHeight w:val="1470"/>
        </w:trPr>
        <w:tc>
          <w:tcPr>
            <w:tcW w:w="1704" w:type="pct"/>
            <w:tcBorders>
              <w:top w:val="nil"/>
            </w:tcBorders>
          </w:tcPr>
          <w:p>
            <w:pPr>
              <w:pageBreakBefore/>
              <w:suppressAutoHyphens/>
              <w:spacing w:before="60" w:after="60" w:line="240" w:lineRule="auto"/>
              <w:rPr>
                <w:noProof/>
              </w:rPr>
            </w:pPr>
          </w:p>
        </w:tc>
        <w:tc>
          <w:tcPr>
            <w:tcW w:w="3296"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faptului că funcția de șef de clinică este supusă cerinței privind deținerea cetățeniei;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faptului că lucrătorii străini din domeniul sănătății trebuie să dețină cel puțin o diplomă universitară;</w:t>
            </w:r>
          </w:p>
          <w:p>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faptului că lucrătorii străini din domeniul medical trebuie să fie cel puțin medici specialiști.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Clinică de servicii stomatologice specializate (KBLI 86105)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persoanele fizice din Uniune fac obiectul cerințelor privind transferul de competențe, cunoștințe și tehnologie;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faptului că pot fi angajați profesioniști din domeniul sănătății din Uniune numai în măsura în care nu există astfel de profesioniști suficient de calificați care să fie cetățeni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faptului că lucrătorii străini din domeniul sănătății și lucrătorii străini din domeniul medical: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dețină un certificat de competență recunoscut eliberat de autoritatea indoneziană;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obțină o scrisoare de înregistrare temporară (Surat Tanda Registrasi Sementara/STRS) și o scrisoare de autorizare a exercitării profesiei (Surat Tanda Praktik/STP);</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faptului că funcția de șef de clinică este supusă cerinței privind deținerea cetățeniei;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faptului că lucrătorii străini din domeniul sănătății trebuie să dețină cel puțin o diplomă universitară;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faptului că lucrătorii străini din domeniul medical trebuie să fie cel puțin medici stomatologi specialiști.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informatice și conexe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privind instalarea componentelor fizice ale calculatoarelor (hardware) (CPC 841)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implementare a programelor de calculator (software) (CPC 842)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pregătire a datelor de intrare (CPC 84310)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analiză a sistemelor (CPC 84320)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partajare a timpului (CPC 84330)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prelucrare a datelor (CPC 84390)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baze de date (CPC 84400</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Serviciile de întreținere și reparare a mașinilor și echipamentelor de birou, inclusiv a calculatoarelor (CPC 845)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informatice (CPC 849)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managerilor</w:t>
            </w:r>
          </w:p>
        </w:tc>
      </w:tr>
      <w:tr>
        <w:tc>
          <w:tcPr>
            <w:tcW w:w="5000" w:type="pct"/>
            <w:gridSpan w:val="2"/>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cercetare și dezvoltare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Servicii de C&amp;D în domeniul științelor naturale (CPC 851), numai în domeniul științelor fizice, al științelor medicale și al farmaciei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specialiștilor, care trebuie să obțină o autorizație de cercetare de la Badan Riset dan Inovasi Nasional (BRIN)/Agenția Națională pentru Cercetare și Inovare.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Servicii de C&amp;D în domeniul științelor sociale și umaniste, cu excepția serviciilor furnizate de psihologi (CPC 852)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specialiștilor, care trebuie să obțină o autorizație de cercetare de la Badan Riset dan Inovasi Nasional (BRIN)/Agenția Națională pentru Cercetare și Inovare.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C&amp;D interdisciplinară (CPC 853, limitată la activități industriale)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specialiștilor, care trebuie să obțină o autorizație de cercetare de la Badan Riset dan Inovasi Nasional (BRIN)/Agenția Națională pentru Cercetare și Inovare.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Servicii de cercetare și dezvoltare experimentală în domeniul lingvistic și al limbilor (CPC 85204), limitate doar la limbile străine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specialiștilor, care trebuie să obțină o autorizație de cercetare de la Badan Riset dan Inovasi Nasional (BRIN)/Agenția Națională pentru Cercetare și Inovare.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D. Servicii imobiliare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Activități imobiliare cu proprietăți proprii sau închiriate numai pentru clădiri înalte (utilizare rezidențială și mixtă) (KBLI 68111)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Activități imobiliare pe bază de tarif sau contract (KBLI 68200)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 Alte servicii pentru întreprinderi</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în management (CPC 865)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 general (CPC 86501)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 de marketing (CPC 86503)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consultanță în managementul resurselor umane (CPC 86504)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neconsolidat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angajații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serviciile de consultanță în managementul resurselor umane.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gestionare a proiectelor, altele decât pentru lucrările de construcție (CPC 86601)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și specialiștilor, sub rezerva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prospectare geologică și geofizică (CPC 86751)</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testări și analize tehnice (CPC 8676)</w:t>
            </w:r>
          </w:p>
          <w:p>
            <w:pPr>
              <w:widowControl/>
              <w:suppressAutoHyphens/>
              <w:spacing w:before="60" w:after="60" w:line="240" w:lineRule="auto"/>
              <w:rPr>
                <w:rFonts w:ascii="Times New Roman" w:hAnsi="Times New Roman"/>
                <w:noProof/>
              </w:rPr>
            </w:pPr>
            <w:r>
              <w:rPr>
                <w:rFonts w:ascii="Times New Roman" w:hAnsi="Times New Roman"/>
                <w:noProof/>
              </w:rPr>
              <w:t>Limitat la serviciile de inspecție tehnică (CPC 86764)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pentru organizarea de conferințe și seminare (MICE)</w:t>
            </w:r>
          </w:p>
          <w:p>
            <w:pPr>
              <w:widowControl/>
              <w:suppressAutoHyphens/>
              <w:spacing w:before="60" w:after="60" w:line="240" w:lineRule="auto"/>
              <w:rPr>
                <w:rFonts w:ascii="Times New Roman" w:hAnsi="Times New Roman"/>
                <w:noProof/>
              </w:rPr>
            </w:pPr>
            <w:r>
              <w:rPr>
                <w:rFonts w:ascii="Times New Roman" w:hAnsi="Times New Roman"/>
                <w:noProof/>
              </w:rPr>
              <w:t>CPC 87909</w:t>
            </w:r>
            <w:r>
              <w:rPr>
                <w:rFonts w:ascii="Times New Roman" w:hAnsi="Times New Roman"/>
                <w:b/>
                <w:noProof/>
                <w:vertAlign w:val="superscript"/>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fotografie (KBLI 74201, cu excepția aerofotografiei și a fotografiei în scopuri individuale)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și specialiștilor,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conexe industriei prelucrătoare (CPC 884, cu excepția CPC 88411, 88412, 88421, 88422, 88423, 88430, 88442, 88460, 88491, 88492)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conexe fabricării produselor din metal, a mașinilor și a echipamentelor (CPC 885)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conexe mineritului (CPC 883)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Servicii de foraj pentru proiecte petroliere și gaziere offshore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Servicii de foraj pentru proiecte geotermale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consiliere și consultanță conexe agriculturii, vânătorii și silviculturii (parte din CPC 881)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consiliere și consultanță conexe pescuitului (parte din CPC 882)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directorilor și 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Selectarea și plasarea personalului, limitată la plasarea pe teritoriul Indoneziei (KBLI 78101), cu excepția echipajului de navă</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Managerii și specialiștii fac obiectul cerințelor privind deținerea cetățeniei.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Plasarea online a personalului (portalul locurilor de muncă) (KBLI 78104)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Managerii și specialiștii fac obiectul cerințelor privind deținerea cetățeniei.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întreținere și reparare a echipamentelor (neincluzând navele maritime, aeronavele sau alte echipamente de transport) (CPC 8861 + 8866)</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 și specialiști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ambalare (CPC 876)</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Servicii de cercetare de piață (CPC 86401)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 și specialiști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în domeniul petrolului și gazelor: instalarea de conducte offshore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exploatare și întreținere a instalațiilor geotermale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construcții în domeniul petrolului și gazelor: platforme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2. SERVICII DE COMUNICAȚII</w:t>
            </w:r>
          </w:p>
        </w:tc>
        <w:tc>
          <w:tcPr>
            <w:tcW w:w="3296" w:type="pct"/>
          </w:tcPr>
          <w:p>
            <w:pPr>
              <w:widowControl/>
              <w:suppressAutoHyphens/>
              <w:spacing w:before="60" w:after="60" w:line="240" w:lineRule="auto"/>
              <w:rPr>
                <w:rFonts w:ascii="Times New Roman" w:hAnsi="Times New Roman"/>
                <w:noProof/>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A. Servicii poștale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poștale (CPC 7511)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B. Servicii de curierat</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Servicii de curierat (CPC 7512)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telecomunicații</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locale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la distanță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internaționale: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publice de telefonie comutată (CPC 7521)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teleconferință (CPC 75292)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rețele publice de date cu comutare de circuite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internațional</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rețele publice de date cu comutare de circuite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la distanță</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rețele publice de date cu comutare de pachete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X. 25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De releu de cadre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local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distanță locală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La nivel internațional</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circuite private închiriate (CPC 7522</w:t>
            </w:r>
            <w:r>
              <w:rPr>
                <w:rFonts w:ascii="Times New Roman" w:hAnsi="Times New Roman"/>
                <w:b/>
                <w:noProof/>
                <w:vertAlign w:val="superscript"/>
              </w:rPr>
              <w:t>** </w:t>
            </w:r>
            <w:r>
              <w:rPr>
                <w:rFonts w:ascii="Times New Roman" w:hAnsi="Times New Roman"/>
                <w:noProof/>
              </w:rPr>
              <w:t>+ 7523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telex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telegrafie (7522)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fax (CPC 7521</w:t>
            </w:r>
            <w:r>
              <w:rPr>
                <w:rFonts w:ascii="Times New Roman" w:hAnsi="Times New Roman"/>
                <w:b/>
                <w:noProof/>
                <w:vertAlign w:val="superscript"/>
              </w:rPr>
              <w:t>** </w:t>
            </w:r>
            <w:r>
              <w:rPr>
                <w:rFonts w:ascii="Times New Roman" w:hAnsi="Times New Roman"/>
                <w:noProof/>
              </w:rPr>
              <w:t>+ 7529</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Schimb electronic de date (EDI)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fax îmbunătățite/cu valoare adăugată, inclusiv stocarea și transmiterea, stocarea și recuperarea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Informații online și recuperare de baze de date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Informații online și/sau prelucrarea datelor (inclusiv prelucrarea tranzacțiilor) (CPC 843)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rețea dedicate (CPC 7523</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naționale:</w:t>
            </w:r>
          </w:p>
          <w:p>
            <w:pPr>
              <w:widowControl/>
              <w:suppressAutoHyphens/>
              <w:spacing w:before="60" w:after="60" w:line="240" w:lineRule="auto"/>
              <w:rPr>
                <w:rFonts w:ascii="Times New Roman" w:hAnsi="Times New Roman"/>
                <w:noProof/>
              </w:rPr>
            </w:pPr>
            <w:r>
              <w:rPr>
                <w:rFonts w:ascii="Times New Roman" w:hAnsi="Times New Roman"/>
                <w:noProof/>
              </w:rPr>
              <w:t>Servicii de telefonie mobilă celulară (CPC 75213)</w:t>
            </w:r>
          </w:p>
          <w:p>
            <w:pPr>
              <w:widowControl/>
              <w:suppressAutoHyphens/>
              <w:spacing w:before="60" w:after="60" w:line="240" w:lineRule="auto"/>
              <w:rPr>
                <w:rFonts w:ascii="Times New Roman" w:hAnsi="Times New Roman"/>
                <w:noProof/>
              </w:rPr>
            </w:pPr>
            <w:r>
              <w:rPr>
                <w:rFonts w:ascii="Times New Roman" w:hAnsi="Times New Roman"/>
                <w:noProof/>
              </w:rPr>
              <w:t>Servicii de acces la internet și servicii regionale și naționale de radiomesagerie (paging) (CPC 75291)</w:t>
            </w:r>
          </w:p>
          <w:p>
            <w:pPr>
              <w:widowControl/>
              <w:suppressAutoHyphens/>
              <w:spacing w:before="60" w:after="60" w:line="240" w:lineRule="auto"/>
              <w:rPr>
                <w:rFonts w:ascii="Times New Roman" w:hAnsi="Times New Roman"/>
                <w:noProof/>
              </w:rPr>
            </w:pPr>
            <w:r>
              <w:rPr>
                <w:rFonts w:ascii="Times New Roman" w:hAnsi="Times New Roman"/>
                <w:noProof/>
              </w:rPr>
              <w:t>Servicii publice de telefonie cu plată și servicii de mesagerie vocală (CPC 7523)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mesagerie vocală (CPC 7523</w:t>
            </w:r>
            <w:r>
              <w:rPr>
                <w:rFonts w:ascii="Times New Roman" w:hAnsi="Times New Roman"/>
                <w:b/>
                <w:noProof/>
                <w:vertAlign w:val="superscript"/>
              </w:rPr>
              <w:t>**</w:t>
            </w:r>
            <w:r>
              <w:rPr>
                <w:rFonts w:ascii="Times New Roman" w:hAnsi="Times New Roman"/>
                <w:noProof/>
              </w:rPr>
              <w:t>)</w:t>
            </w:r>
          </w:p>
          <w:p>
            <w:pPr>
              <w:widowControl/>
              <w:suppressAutoHyphens/>
              <w:spacing w:before="60" w:after="60" w:line="240" w:lineRule="auto"/>
              <w:rPr>
                <w:rFonts w:ascii="Times New Roman" w:hAnsi="Times New Roman"/>
                <w:noProof/>
              </w:rPr>
            </w:pPr>
            <w:r>
              <w:rPr>
                <w:rFonts w:ascii="Times New Roman" w:hAnsi="Times New Roman"/>
                <w:noProof/>
              </w:rPr>
              <w:t>Servicii de poștă electronică (CPC 75232)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partajare a timpului de utilizare a calculatorului (CPC 84330)</w:t>
            </w:r>
          </w:p>
          <w:p>
            <w:pPr>
              <w:widowControl/>
              <w:suppressAutoHyphens/>
              <w:spacing w:before="60" w:after="60" w:line="240" w:lineRule="auto"/>
              <w:rPr>
                <w:rFonts w:ascii="Times New Roman" w:hAnsi="Times New Roman"/>
                <w:noProof/>
              </w:rPr>
            </w:pPr>
            <w:r>
              <w:rPr>
                <w:rFonts w:ascii="Times New Roman" w:hAnsi="Times New Roman"/>
                <w:noProof/>
              </w:rPr>
              <w:t>Servicii videotext (CPC 75229)</w:t>
            </w:r>
          </w:p>
          <w:p>
            <w:pPr>
              <w:widowControl/>
              <w:suppressAutoHyphens/>
              <w:spacing w:before="60" w:after="60" w:line="240" w:lineRule="auto"/>
              <w:rPr>
                <w:rFonts w:ascii="Times New Roman" w:hAnsi="Times New Roman"/>
                <w:noProof/>
              </w:rPr>
            </w:pPr>
            <w:r>
              <w:rPr>
                <w:rFonts w:ascii="Times New Roman" w:hAnsi="Times New Roman"/>
                <w:noProof/>
              </w:rPr>
              <w:t>Poștă electronică (CPC 75232)</w:t>
            </w:r>
          </w:p>
          <w:p>
            <w:pPr>
              <w:widowControl/>
              <w:suppressAutoHyphens/>
              <w:spacing w:before="60" w:after="60" w:line="240" w:lineRule="auto"/>
              <w:rPr>
                <w:rFonts w:ascii="Times New Roman" w:hAnsi="Times New Roman"/>
                <w:noProof/>
              </w:rPr>
            </w:pPr>
            <w:r>
              <w:rPr>
                <w:rFonts w:ascii="Times New Roman" w:hAnsi="Times New Roman"/>
                <w:noProof/>
              </w:rPr>
              <w:t>Servicii de transfer de fișiere (CPC 75299)</w:t>
            </w:r>
          </w:p>
          <w:p>
            <w:pPr>
              <w:widowControl/>
              <w:suppressAutoHyphens/>
              <w:spacing w:before="60" w:after="60" w:line="240" w:lineRule="auto"/>
              <w:rPr>
                <w:rFonts w:ascii="Times New Roman" w:hAnsi="Times New Roman"/>
                <w:noProof/>
              </w:rPr>
            </w:pPr>
            <w:r>
              <w:rPr>
                <w:rFonts w:ascii="Times New Roman" w:hAnsi="Times New Roman"/>
                <w:noProof/>
              </w:rPr>
              <w:t>Servicii de alarmă telemetrică la domiciliu (CPC-75299)</w:t>
            </w:r>
          </w:p>
          <w:p>
            <w:pPr>
              <w:widowControl/>
              <w:suppressAutoHyphens/>
              <w:spacing w:before="60" w:after="60" w:line="240" w:lineRule="auto"/>
              <w:rPr>
                <w:rFonts w:ascii="Times New Roman" w:hAnsi="Times New Roman"/>
                <w:noProof/>
              </w:rPr>
            </w:pPr>
            <w:r>
              <w:rPr>
                <w:rFonts w:ascii="Times New Roman" w:hAnsi="Times New Roman"/>
                <w:noProof/>
              </w:rPr>
              <w:t>Servicii de divertisment (CPC-75299)</w:t>
            </w:r>
          </w:p>
          <w:p>
            <w:pPr>
              <w:widowControl/>
              <w:suppressAutoHyphens/>
              <w:spacing w:before="60" w:after="60" w:line="240" w:lineRule="auto"/>
              <w:rPr>
                <w:rFonts w:ascii="Times New Roman" w:hAnsi="Times New Roman"/>
                <w:noProof/>
              </w:rPr>
            </w:pPr>
            <w:r>
              <w:rPr>
                <w:rFonts w:ascii="Times New Roman" w:hAnsi="Times New Roman"/>
                <w:noProof/>
              </w:rPr>
              <w:t>Servicii de gestionare a informațiilor (CPC 75299)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3. SERVICII DE CONSTRUCȚII ȘI SERVICII DE INGINERIE CONEXE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Lucrări de preconstrucție pe șantiere (CPC 511), cu excepția serviciilor de investigare a terenurilor de construcție (CPC 51110) și a lucrărilor de organizare și de degajare a șantierului (CPC 51113)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Lucrări de construcții pentru clădiri (CPC 512), cu excepția clădirilor cu una și două locuințe (CPC 51210)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Lucrări de construcții de inginerie civilă (CPC 513)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Asamblarea și montarea de construcții prefabricate (CPC 514 – 5140)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Lucrări de construcții ale unor întreprinderi specializate (CPC 515)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Lucrări de instalații (CPC 516)</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Lucrări de finalizare și finisare a clădirilor (CPC 517)</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închiriere a echipamentelor pentru construcții sau pentru demolarea clădirilor sau construcții de geniu civil, cu operator (CPC 518)</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Persoana fizică din Uniune face obiectul cerințelor privind transferul de competențe și cunoștințe.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4. SERVICII DE DISTRIBUȚIE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comerț angro cu diverse bunuri de consum, limitate la piața modernă, cu un spațiu minim de peste 5 000 m² (KBLI 46900)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Distribuție indirectă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Agenți (KBLI 46100)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Distribuitori (KBLI 46900)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Vânzarea directă (comercializare pe mai multe niveluri și comercializare pe un singur nivel) (KBLI 47999)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sub rezerva cerinței de a avea cel puțin un director indonezian și un comisar indonezian.</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Comerțul cu amănuntul</w:t>
            </w:r>
          </w:p>
          <w:p>
            <w:pPr>
              <w:widowControl/>
              <w:suppressAutoHyphens/>
              <w:spacing w:before="60" w:after="60" w:line="240" w:lineRule="auto"/>
              <w:rPr>
                <w:rFonts w:ascii="Times New Roman" w:hAnsi="Times New Roman"/>
                <w:noProof/>
              </w:rPr>
            </w:pPr>
            <w:r>
              <w:rPr>
                <w:rFonts w:ascii="Times New Roman" w:hAnsi="Times New Roman"/>
                <w:noProof/>
              </w:rPr>
              <w:t>Hypermarketuri (cu spațiu minim de peste 5 000 m²)</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sub rezerva obligației de a deține un certificat de competență în Indonezia în ceea ce privește posturile.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Comerțul cu amănuntul</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Supermarketuri, cu spațiu minim de peste 1 200 m²</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Magazine universale, cu spațiu minim de peste 2 000 m²</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sub rezerva obligației de a deține un certificat de competență în Indonezia în ceea ce privește posturile.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Franciză (CPC 89290)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sub rezerva testului privind necesitățile economice, în funcție de sectorul/subsectorul de activitate care este francizat.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5. SERVICII DE ÎNVĂȚĂMÂNT</w:t>
            </w:r>
          </w:p>
        </w:tc>
        <w:tc>
          <w:tcPr>
            <w:tcW w:w="3296" w:type="pct"/>
          </w:tcPr>
          <w:p>
            <w:pPr>
              <w:widowControl/>
              <w:suppressAutoHyphens/>
              <w:spacing w:before="60" w:after="60" w:line="240" w:lineRule="auto"/>
              <w:rPr>
                <w:rFonts w:ascii="Times New Roman" w:hAnsi="Times New Roman"/>
                <w:noProof/>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Condiții generale</w:t>
            </w:r>
          </w:p>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Intrarea temporară a persoanelor fizice care desfășoară activități educaționale în Indonezia este condiționată de aprobarea Ministerului Educației și Culturii. Aprobarea se acordă de la caz la caz.</w:t>
            </w:r>
          </w:p>
          <w:p>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Numărul de cadre didactice trebuie să includă cadre didactice indoneziene în proporție de cel puțin 30 % (treizeci la sută).</w:t>
            </w:r>
          </w:p>
          <w:p>
            <w:pPr>
              <w:widowControl/>
              <w:suppressAutoHyphens/>
              <w:spacing w:before="60" w:after="60" w:line="240" w:lineRule="auto"/>
              <w:rPr>
                <w:rFonts w:ascii="Times New Roman" w:hAnsi="Times New Roman"/>
                <w:noProof/>
              </w:rPr>
            </w:pPr>
            <w:r>
              <w:rPr>
                <w:rFonts w:ascii="Times New Roman" w:hAnsi="Times New Roman"/>
                <w:noProof/>
              </w:rPr>
              <w:t>3.</w:t>
            </w:r>
            <w:r>
              <w:rPr>
                <w:noProof/>
              </w:rPr>
              <w:tab/>
            </w:r>
            <w:r>
              <w:rPr>
                <w:rFonts w:ascii="Times New Roman" w:hAnsi="Times New Roman"/>
                <w:noProof/>
              </w:rPr>
              <w:t>Numărul de angajați, alții decât cadrele didactice și conducătorul instituției, trebuie să includă personal indonezian în proporție de cel puțin 80 % (optzeci la sută).</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B. Servicii de învățământ secundar</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învățământ secundar tehnic și profesional (în domeniul electronicii, auto, al modei, culinar, al forajului petrolier și gazier și al tehnologiei de sprijin IT, al limbajelor de programare, al inteligenței artificiale, al roboticii avansate, al criptomonedelor, al realității virtuale, al utilajelor și construcțiilor, al economiei creative, al ospitalității și al serviciilor de îngrijire) (CPC 92230)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C. Servicii de învățământ superior</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Alte servicii de învățământ superior (CPC 9239): prioritate pentru programele în domeniul științei, al tehnologiei, al ingineriei, al matematicii și al afacerilor moderne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cerinței privind deținerea cetățeniei pentru conducătorul unei instituții de învățământ.</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D. Servicii de învățământ pentru adulți</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Cursuri și formare profesională în domeniul lingvistic, al turismului, al electronicii, al artei culinare și al autovehiculelor, al limbajelor de programare, al inteligenței artificiale, al roboticii avansate, al criptomonedelor, al realității virtuale, al utilajelor și construcțiilor, al economiei creative, al ospitalității și al serviciilor de îngrijire (CPC 924)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 Alte servicii de învățământ</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Educație sportivă și recreativă (KBLI 8541)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6. SERVICII DE MEDIU</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 Servicii de canalizare (CPC 9401) Gestionarea apelor uzate/Pengelolaan dan pembuangan air limbah berbahaya (KBLI 37022)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B. Servicii de eliminare a deșeurilor (CPC 9402)/Pengelolaan dan pembuangan sampah berbahaya (KBLI 38220)</w:t>
            </w:r>
          </w:p>
          <w:p>
            <w:pPr>
              <w:widowControl/>
              <w:suppressAutoHyphens/>
              <w:spacing w:before="60" w:after="60" w:line="240" w:lineRule="auto"/>
              <w:rPr>
                <w:rFonts w:ascii="Times New Roman" w:hAnsi="Times New Roman"/>
                <w:noProof/>
              </w:rPr>
            </w:pPr>
            <w:r>
              <w:rPr>
                <w:rFonts w:ascii="Times New Roman" w:hAnsi="Times New Roman"/>
                <w:noProof/>
              </w:rPr>
              <w:t>Servicii de eliminare a deșeurilor solide, numai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integrate de instalații de tratare a deșeurilor periculoase pentru tratarea nămolurilor de petrol și a deșeurilor de mercur într-o anumită zonă. Furnizorul de servicii trebuie să fie dotat cu tehnologie modernă și sofisticată și să garanteze siguranța mediului. Produsul va fi utilizat ca material nou sau ca sursă de energie nouă;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 xml:space="preserve">servicii de instalații de tratare </w:t>
            </w:r>
            <w:r>
              <w:rPr>
                <w:rFonts w:ascii="Times New Roman" w:hAnsi="Times New Roman"/>
                <w:i/>
                <w:iCs/>
                <w:noProof/>
              </w:rPr>
              <w:t>in situ</w:t>
            </w:r>
            <w:r>
              <w:rPr>
                <w:rFonts w:ascii="Times New Roman" w:hAnsi="Times New Roman"/>
                <w:noProof/>
              </w:rPr>
              <w:t xml:space="preserve"> a deșeurilor periculoase pentru tratarea deșeurilor de produse miniere și a deșeurilor de cenușă zburătoare și cenușă de vatră de produse din cărbune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eliminare a deșeurilor (CPC 94020), limitate la gunoi, reziduuri, deșeuri și resturi nepericuloase/Pengelolaan dan pembuangan sampah tidak berbahaya (KBLI 38211)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salubrizare și servicii similare (CPC 9403), limitate numai la instalațiile de salubritate publică</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salubrizare și servicii similare (CPC 9403), limitate numai la substanțe periculoase și toxice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C. Servicii de purificare a gazelor de evacuare (CPC 9404)</w:t>
            </w:r>
          </w:p>
          <w:p>
            <w:pPr>
              <w:widowControl/>
              <w:suppressAutoHyphens/>
              <w:spacing w:before="60" w:after="60" w:line="240" w:lineRule="auto"/>
              <w:rPr>
                <w:rFonts w:ascii="Times New Roman" w:hAnsi="Times New Roman"/>
                <w:noProof/>
              </w:rPr>
            </w:pPr>
            <w:r>
              <w:rPr>
                <w:rFonts w:ascii="Times New Roman" w:hAnsi="Times New Roman"/>
                <w:noProof/>
              </w:rPr>
              <w:t>Controlul poluării aerului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 Altele</w:t>
            </w:r>
          </w:p>
          <w:p>
            <w:pPr>
              <w:widowControl/>
              <w:suppressAutoHyphens/>
              <w:spacing w:before="60" w:after="60" w:line="240" w:lineRule="auto"/>
              <w:rPr>
                <w:rFonts w:ascii="Times New Roman" w:hAnsi="Times New Roman"/>
                <w:noProof/>
              </w:rPr>
            </w:pPr>
            <w:r>
              <w:rPr>
                <w:rFonts w:ascii="Times New Roman" w:hAnsi="Times New Roman"/>
                <w:noProof/>
              </w:rPr>
              <w:t>Servicii de protecție a naturii și a peisajelor, limitate la instalațiile de servicii de mediu din zonele de conservare în scopuri recreative (KBLI 02209)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Alte servicii de protecție a mediului (CPC 9409)</w:t>
            </w:r>
          </w:p>
          <w:p>
            <w:pPr>
              <w:widowControl/>
              <w:suppressAutoHyphens/>
              <w:spacing w:before="60" w:after="60" w:line="240" w:lineRule="auto"/>
              <w:rPr>
                <w:rFonts w:ascii="Times New Roman" w:hAnsi="Times New Roman"/>
                <w:noProof/>
              </w:rPr>
            </w:pPr>
            <w:r>
              <w:rPr>
                <w:rFonts w:ascii="Times New Roman" w:hAnsi="Times New Roman"/>
                <w:noProof/>
              </w:rPr>
              <w:t>Limitate la serviciile de laborator pentru mediu</w:t>
            </w:r>
          </w:p>
          <w:p>
            <w:pPr>
              <w:widowControl/>
              <w:suppressAutoHyphens/>
              <w:spacing w:before="60" w:after="60" w:line="240" w:lineRule="auto"/>
              <w:rPr>
                <w:rFonts w:ascii="Times New Roman" w:hAnsi="Times New Roman"/>
                <w:noProof/>
              </w:rPr>
            </w:pPr>
            <w:r>
              <w:rPr>
                <w:rFonts w:ascii="Times New Roman" w:hAnsi="Times New Roman"/>
                <w:noProof/>
              </w:rPr>
              <w:t>(laborator care are capacitatea și autoritatea de a testa și examina parametrul de calitate a mediului în conformitate cu actele cu putere de lege și normele administrative în vigoare în domeniul mediului)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Gestionarea apei</w:t>
            </w:r>
            <w:r>
              <w:rPr>
                <w:rStyle w:val="FootnoteReference"/>
                <w:rFonts w:ascii="Times New Roman" w:hAnsi="Times New Roman"/>
                <w:b/>
                <w:noProof/>
              </w:rPr>
              <w:footnoteReference w:id="125"/>
            </w:r>
            <w:r>
              <w:rPr>
                <w:rFonts w:ascii="Times New Roman" w:hAnsi="Times New Roman"/>
                <w:noProof/>
              </w:rPr>
              <w:t>, limitată la apa potabilă</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7. SERVICII FINANCIARE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 xml:space="preserve"> </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Subsectorul serviciilor financiare nebancare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asigurare, altele decât cele de viață (CPC 8129)</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Neconsolidat, cu excepția directorilor și specialiștilor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 xml:space="preserve">Pentru specialiști, sub rezerva testului privind necesitățile economice </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reasigurare</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Neconsolidat, cu excepția directorilor și specialiștilor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Pentru specialiști,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asigurare de viață (CPC 81211)</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Neconsolidat, cu excepția directorilor și specialiștilor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Pentru specialiști,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brokeraj de asigurări (CPC 8140)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Neconsolidat, cu excepția directorilor și specialiștilor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Pentru specialiști,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brokeraj de reasigurări (CPC 8140)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Neconsolidat, cu excepția directorilor și specialiștilor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Pentru specialiști,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leasing financiar (CPC 81120)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Numai pentru directori, manageri și specialiști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Pentru manageri și specialiști,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factoring (CPC 8113)</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Numai pentru directori, manageri și specialiști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Pentru manageri și specialiști, sub rezerva testului privind necesitățile economice</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Activități privind cărțile de credit (emitentul și agentul cărților de credit) (CPC-8113)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financiare pentru consumatori (CPC 8113)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 manageri și specialiști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Tranzacționare de titluri de valoare în cont propriu sau în contul clienților, pe o piață bursieră sau pe o piață extrabursieră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Acțiuni cotate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Obligațiuni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 manageri și specialiști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Participarea la emisiunile de orice tipuri de titluri de valoare, inclusiv subscrierea și plasarea (publică sau privată) în calitate de agent și furnizarea de servicii legate de aceste emisiuni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 manageri și specialiști</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portofoliului, toate formele de gestionare a plasamentelor colective</w:t>
            </w:r>
            <w:r>
              <w:rPr>
                <w:rStyle w:val="FootnoteReference"/>
                <w:rFonts w:ascii="Times New Roman" w:hAnsi="Times New Roman"/>
                <w:b/>
                <w:noProof/>
              </w:rPr>
              <w:footnoteReference w:id="126"/>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activelor limitată doar la gestionarea fondurilor de investiții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consultanță în materie de investiții limitate numai la consultanța în materie de investiții pe piața de capital</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SUBSECTORUL BANCAR </w:t>
            </w:r>
          </w:p>
        </w:tc>
        <w:tc>
          <w:tcPr>
            <w:tcW w:w="3296" w:type="pct"/>
          </w:tcPr>
          <w:p>
            <w:pPr>
              <w:widowControl/>
              <w:suppressAutoHyphens/>
              <w:spacing w:before="60" w:after="60" w:line="240" w:lineRule="auto"/>
              <w:rPr>
                <w:rFonts w:ascii="Times New Roman" w:hAnsi="Times New Roman"/>
                <w:noProof/>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Condiții generale privind subsectorul bancar</w:t>
            </w: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O persoană care nu este cetățean indonezian angajată ca manager sau expert tehnic trebuie să aibă cel puțin doi stagiari indonezieni pe durata mandatului său.</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Activități bancare comerciale</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4935"/>
        </w:trPr>
        <w:tc>
          <w:tcPr>
            <w:tcW w:w="1704"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Acceptarea depozitelor și a altor fonduri rambursabile de la populație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w:t>
            </w:r>
            <w:r>
              <w:rPr>
                <w:noProof/>
              </w:rPr>
              <w:tab/>
            </w:r>
            <w:r>
              <w:rPr>
                <w:rFonts w:ascii="Times New Roman" w:hAnsi="Times New Roman"/>
                <w:noProof/>
              </w:rPr>
              <w:t>Împrumuturi de orice natură, inclusiv credite de consum, credite ipotecare, factoring și finanțarea tranzacțiilor comerciale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Toate serviciile de plăți și transferuri monetare, inclusiv cărțile de credit, cărțile de plată și cărțile de debit, cecurile de călătorie și cecurile bancare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(iv)</w:t>
            </w:r>
            <w:r>
              <w:rPr>
                <w:noProof/>
              </w:rPr>
              <w:tab/>
            </w:r>
            <w:r>
              <w:rPr>
                <w:rFonts w:ascii="Times New Roman" w:hAnsi="Times New Roman"/>
                <w:noProof/>
              </w:rPr>
              <w:t>Garanții și angajamente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(v)</w:t>
            </w:r>
            <w:r>
              <w:rPr>
                <w:noProof/>
              </w:rPr>
              <w:tab/>
            </w:r>
            <w:r>
              <w:rPr>
                <w:rFonts w:ascii="Times New Roman" w:hAnsi="Times New Roman"/>
                <w:noProof/>
              </w:rPr>
              <w:t>Tranzacționarea, în nume propriu sau în numele clienților, pe piața bursieră, pe piața extrabursieră sau pe alte piețe, a următoarelor:</w:t>
            </w:r>
          </w:p>
          <w:p>
            <w:pPr>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instrumente ale pieței monetare (inclusiv cecuri, efecte de comerț, certificate de depozit);</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Numai pentru directori, manageri și specialiști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Sub rezerva testului de necesități economice, însă: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w:t>
            </w:r>
            <w:r>
              <w:rPr>
                <w:noProof/>
              </w:rPr>
              <w:tab/>
            </w:r>
            <w:r>
              <w:rPr>
                <w:rFonts w:ascii="Times New Roman" w:hAnsi="Times New Roman"/>
                <w:noProof/>
              </w:rPr>
              <w:t>în cazul în care măsura care prevede această condiție este înlocuită sau modificată după intrarea în vigoare a prezentului acord, într-un mod nu mai puțin coerent cu articolul 8.18 decât înainte de modificarea sa, noua măsură este considerată un angajament în temeiul prezentei anexe și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(ii)</w:t>
            </w:r>
            <w:r>
              <w:rPr>
                <w:noProof/>
              </w:rPr>
              <w:tab/>
            </w:r>
            <w:r>
              <w:rPr>
                <w:rFonts w:ascii="Times New Roman" w:hAnsi="Times New Roman"/>
                <w:noProof/>
              </w:rPr>
              <w:t>această limitare nu se aplică circulației temporare a persoanelor fizice din Uniune în cazul în care Indonezia acordă un tratament mai favorabil în ceea ce privește cerința referitoare la testul privind necesitățile economice pentru persoanele fizice în temeiul oricărui acord internațional semnat după data intrării în vigoare a prezentului acord, altele decât cele dintre statele membre ale ASEAN.</w:t>
            </w:r>
          </w:p>
        </w:tc>
      </w:tr>
      <w:tr>
        <w:trPr>
          <w:trHeight w:val="2205"/>
        </w:trPr>
        <w:tc>
          <w:tcPr>
            <w:tcW w:w="1704" w:type="pct"/>
            <w:tcBorders>
              <w:top w:val="nil"/>
            </w:tcBorders>
          </w:tcPr>
          <w:p>
            <w:pPr>
              <w:pageBreakBefore/>
              <w:widowControl/>
              <w:suppressAutoHyphens/>
              <w:spacing w:before="60" w:after="60" w:line="240" w:lineRule="auto"/>
              <w:ind w:left="1134" w:hanging="567"/>
              <w:rPr>
                <w:rFonts w:ascii="Times New Roman" w:hAnsi="Times New Roman"/>
                <w:noProof/>
              </w:rPr>
            </w:pPr>
            <w:r>
              <w:rPr>
                <w:rFonts w:ascii="Times New Roman" w:hAnsi="Times New Roman"/>
                <w:noProof/>
              </w:rPr>
              <w:lastRenderedPageBreak/>
              <w:t>–</w:t>
            </w:r>
            <w:r>
              <w:rPr>
                <w:noProof/>
              </w:rPr>
              <w:tab/>
            </w:r>
            <w:r>
              <w:rPr>
                <w:rFonts w:ascii="Times New Roman" w:hAnsi="Times New Roman"/>
                <w:noProof/>
              </w:rPr>
              <w:t>valută;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instrumente care au la bază cursul de schimb și rata dobânzilor, inclusiv produse cum ar fi swap-urile și contractele forward pe rata dobânzii;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valori mobiliare emise pe piața monetară;</w:t>
            </w:r>
          </w:p>
          <w:p>
            <w:pPr>
              <w:widowControl/>
              <w:suppressAutoHyphens/>
              <w:spacing w:before="60" w:after="60" w:line="240" w:lineRule="auto"/>
              <w:ind w:left="567" w:hanging="567"/>
              <w:rPr>
                <w:noProof/>
                <w:highlight w:val="yellow"/>
              </w:rPr>
            </w:pPr>
            <w:r>
              <w:rPr>
                <w:rFonts w:ascii="Times New Roman" w:hAnsi="Times New Roman"/>
                <w:noProof/>
              </w:rPr>
              <w:t>(vi)</w:t>
            </w:r>
            <w:r>
              <w:rPr>
                <w:noProof/>
              </w:rPr>
              <w:tab/>
            </w:r>
            <w:r>
              <w:rPr>
                <w:rFonts w:ascii="Times New Roman" w:hAnsi="Times New Roman"/>
                <w:noProof/>
              </w:rPr>
              <w:t>servicii de gestionare a numerarului, de custodie și de depozitare.</w:t>
            </w:r>
          </w:p>
        </w:tc>
        <w:tc>
          <w:tcPr>
            <w:tcW w:w="3296" w:type="pct"/>
            <w:tcBorders>
              <w:top w:val="nil"/>
            </w:tcBorders>
          </w:tcPr>
          <w:p>
            <w:pPr>
              <w:suppressAutoHyphens/>
              <w:spacing w:before="60" w:after="60" w:line="240" w:lineRule="auto"/>
              <w:ind w:left="1134" w:hanging="567"/>
              <w:rPr>
                <w:noProof/>
              </w:rPr>
            </w:pP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8. SERVICII DE SĂNĂTATE ȘI SERVICII SOCIALE</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232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spitalicești numai pentru servicii medicale specializate și subspecializate în spitale din clasele A și B</w:t>
            </w:r>
          </w:p>
          <w:p>
            <w:pPr>
              <w:widowControl/>
              <w:suppressAutoHyphens/>
              <w:spacing w:before="60" w:after="60" w:line="240" w:lineRule="auto"/>
              <w:rPr>
                <w:rFonts w:ascii="Times New Roman" w:hAnsi="Times New Roman"/>
                <w:noProof/>
              </w:rPr>
            </w:pPr>
            <w:r>
              <w:rPr>
                <w:rFonts w:ascii="Times New Roman" w:hAnsi="Times New Roman"/>
                <w:noProof/>
              </w:rPr>
              <w:t>(CPC 9311)</w:t>
            </w:r>
          </w:p>
        </w:tc>
        <w:tc>
          <w:tcPr>
            <w:tcW w:w="329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Numai pentru consultanții înregistrați în domeniul managementului de marketing, consultanții înregistrați în domeniul gestionării planificării, consultanții înregistrați în domeniul gestionării asigurării calității în spitale, consultanții înregistrați în domeniul gestionării serviciilor de sănătate spitalicești și consultanții înregistrați în domeniul gestionării evacuărilor medicale, sub rezerva următoarelor aspecte: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pot fi angajați profesioniști din domeniul sănătății din Uniune în măsura în care nu există profesioniști din domeniul sănătății suficienți care să fie cetățeni indonezieni;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cerințele tehnice fac obiectul actelor cu putere de lege și al normelor administrative relevante în vigoare;</w:t>
            </w:r>
          </w:p>
          <w:p>
            <w:pPr>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testul privind necesitățile economice;</w:t>
            </w:r>
          </w:p>
        </w:tc>
      </w:tr>
      <w:tr>
        <w:tc>
          <w:tcPr>
            <w:tcW w:w="1704" w:type="pct"/>
            <w:tcBorders>
              <w:top w:val="nil"/>
            </w:tcBorders>
          </w:tcPr>
          <w:p>
            <w:pPr>
              <w:pageBreakBefore/>
              <w:suppressAutoHyphens/>
              <w:spacing w:before="60" w:after="60" w:line="240" w:lineRule="auto"/>
              <w:rPr>
                <w:noProof/>
              </w:rPr>
            </w:pPr>
          </w:p>
        </w:tc>
        <w:tc>
          <w:tcPr>
            <w:tcW w:w="3296" w:type="pct"/>
            <w:tcBorders>
              <w:top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pentru lucrătorii străini din domeniul sănătății și lucrătorii străini din domeniul medical: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dețină un certificat de competență recunoscut eliberat de autoritatea indoneziană;</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trebuie să obțină o scrisoare de înregistrare temporară (Surat Tanda Registrasi Sementara/STRS) și o scrisoare de autorizare a exercitării profesiei (Surat Izin Praktik/SIP);</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lucrătorii străini din domeniul sănătății trebuie să dețină cel puțin o diplomă universitară;</w:t>
            </w:r>
          </w:p>
          <w:p>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lucrătorii străini din domeniul medical trebuie să fie cel puțin medici specialiști.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Alte servicii de îngrijire a sănătății umane (CPC 9319) numai pentru:</w:t>
            </w:r>
          </w:p>
          <w:p>
            <w:pPr>
              <w:widowControl/>
              <w:suppressAutoHyphens/>
              <w:spacing w:before="60" w:after="60" w:line="240" w:lineRule="auto"/>
              <w:rPr>
                <w:rFonts w:ascii="Times New Roman" w:hAnsi="Times New Roman"/>
                <w:noProof/>
              </w:rPr>
            </w:pPr>
            <w:r>
              <w:rPr>
                <w:rFonts w:ascii="Times New Roman" w:hAnsi="Times New Roman"/>
                <w:noProof/>
              </w:rPr>
              <w:t>Servicii de ambulanță (CPC 93192)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directori și specialiști, după cum se specifică mai jos:</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directorul general, directorul medical și de asistență medicală și directorul de resurse umane trebuie să fie cetățean indonezian (fac obiectul cerinței privind deținerea cetățeniei);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pentru specialiști, numai în cazul următoarelor ocupații: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consultant în domeniul managementul de marketing;</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consultant în domeniul gestionării planificării;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consultant în domeniul gestionării asigurării calității în spitale;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consultant în domeniul gestionării serviciilor de sănătate spitalicești;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consultant în domeniul gestionării evacuărilor medicale;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specialiștii fac obiectul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asistență socială acordate persoanelor în vârstă și persoanelor cu handicap prin instituții de tip rezidențial (CPC 93311)</w:t>
            </w:r>
          </w:p>
          <w:p>
            <w:pPr>
              <w:widowControl/>
              <w:suppressAutoHyphens/>
              <w:spacing w:before="60" w:after="60" w:line="240" w:lineRule="auto"/>
              <w:rPr>
                <w:rFonts w:ascii="Times New Roman" w:hAnsi="Times New Roman"/>
                <w:noProof/>
              </w:rPr>
            </w:pPr>
            <w:r>
              <w:rPr>
                <w:rFonts w:ascii="Times New Roman" w:hAnsi="Times New Roman"/>
                <w:noProof/>
              </w:rPr>
              <w:t>Servicii de asistență socială neacordate prin instituții de tip rezidențial (CPC 93323)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9. SERVICII TURISTICE ȘI SERVICII LEGATE DE CĂLĂTORII</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250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Hoteluri</w:t>
            </w:r>
            <w:r>
              <w:rPr>
                <w:rStyle w:val="FootnoteReference"/>
                <w:rFonts w:ascii="Times New Roman" w:hAnsi="Times New Roman"/>
                <w:b/>
                <w:noProof/>
              </w:rPr>
              <w:footnoteReference w:id="127"/>
            </w:r>
            <w:r>
              <w:rPr>
                <w:rFonts w:ascii="Times New Roman" w:hAnsi="Times New Roman"/>
                <w:noProof/>
              </w:rPr>
              <w:t xml:space="preserve"> (numai pentru hotelurile de 3, 4 și 5 stele)</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Doar pentru: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Personalul de conducere de cel mai înalt nivel în domeniul hotelier, format din:</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directorul general;</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managerul pentru produse alimentare și băuturi;</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directorul adjunct;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(iv)</w:t>
            </w:r>
            <w:r>
              <w:rPr>
                <w:noProof/>
              </w:rPr>
              <w:tab/>
            </w:r>
            <w:r>
              <w:rPr>
                <w:rFonts w:ascii="Times New Roman" w:hAnsi="Times New Roman"/>
                <w:noProof/>
              </w:rPr>
              <w:t>directorul financiar (numai pentru hotelurile de 4 și 5 stele);</w:t>
            </w:r>
          </w:p>
          <w:p>
            <w:pPr>
              <w:suppressAutoHyphens/>
              <w:spacing w:before="60" w:after="60" w:line="240" w:lineRule="auto"/>
              <w:ind w:left="1701" w:hanging="567"/>
              <w:rPr>
                <w:rFonts w:ascii="Times New Roman" w:hAnsi="Times New Roman"/>
                <w:noProof/>
              </w:rPr>
            </w:pPr>
            <w:r>
              <w:rPr>
                <w:rFonts w:ascii="Times New Roman" w:hAnsi="Times New Roman"/>
                <w:noProof/>
              </w:rPr>
              <w:t>(v)</w:t>
            </w:r>
            <w:r>
              <w:rPr>
                <w:noProof/>
              </w:rPr>
              <w:tab/>
            </w:r>
            <w:r>
              <w:rPr>
                <w:rFonts w:ascii="Times New Roman" w:hAnsi="Times New Roman"/>
                <w:noProof/>
              </w:rPr>
              <w:t>directorul de marketing (numai pentru hotelurile de 4 și 5 stele).</w:t>
            </w:r>
          </w:p>
        </w:tc>
      </w:tr>
      <w:tr>
        <w:trPr>
          <w:trHeight w:val="2235"/>
        </w:trPr>
        <w:tc>
          <w:tcPr>
            <w:tcW w:w="1704" w:type="pct"/>
            <w:tcBorders>
              <w:top w:val="nil"/>
            </w:tcBorders>
          </w:tcPr>
          <w:p>
            <w:pPr>
              <w:pageBreakBefore/>
              <w:suppressAutoHyphens/>
              <w:spacing w:before="60" w:after="60" w:line="240" w:lineRule="auto"/>
              <w:rPr>
                <w:noProof/>
              </w:rPr>
            </w:pPr>
          </w:p>
        </w:tc>
        <w:tc>
          <w:tcPr>
            <w:tcW w:w="3296" w:type="pct"/>
            <w:tcBorders>
              <w:top w:val="nil"/>
            </w:tcBorders>
          </w:tcPr>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Profesioniștii cu un nivel înalt de calificare, respectiv:</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bucătarul-șef;</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bucătarul-șef adjunct (numai pentru hotelurile de 4 și 5 stele);</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bucătarul specialist.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Angajații stagiari.</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Specialiștii trebuie să obțină un certificat de competență.</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Hoteluri (CPC 64110)</w:t>
            </w:r>
          </w:p>
          <w:p>
            <w:pPr>
              <w:widowControl/>
              <w:suppressAutoHyphens/>
              <w:spacing w:before="60" w:after="60" w:line="240" w:lineRule="auto"/>
              <w:rPr>
                <w:rFonts w:ascii="Times New Roman" w:hAnsi="Times New Roman"/>
                <w:noProof/>
              </w:rPr>
            </w:pPr>
            <w:r>
              <w:rPr>
                <w:rFonts w:ascii="Times New Roman" w:hAnsi="Times New Roman"/>
                <w:noProof/>
              </w:rPr>
              <w:t>(hoteluri de 1 sau 2 stele)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complete de alimentație publică, de tipul celor oferite în restaurante</w:t>
            </w:r>
          </w:p>
          <w:p>
            <w:pPr>
              <w:widowControl/>
              <w:suppressAutoHyphens/>
              <w:spacing w:before="60" w:after="60" w:line="240" w:lineRule="auto"/>
              <w:rPr>
                <w:rFonts w:ascii="Times New Roman" w:hAnsi="Times New Roman"/>
                <w:noProof/>
              </w:rPr>
            </w:pPr>
            <w:r>
              <w:rPr>
                <w:rFonts w:ascii="Times New Roman" w:hAnsi="Times New Roman"/>
                <w:noProof/>
              </w:rPr>
              <w:t>(CPC 64210)</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Doar pentru: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Personalul de conducere de cel mai înalt nivel în domeniul hotelier, format din:</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managerul pentru produse alimentare și băuturi.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Profesioniștii cu un nivel înalt de calificare, respectiv:</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w:t>
            </w:r>
            <w:r>
              <w:rPr>
                <w:noProof/>
              </w:rPr>
              <w:tab/>
            </w:r>
            <w:r>
              <w:rPr>
                <w:rFonts w:ascii="Times New Roman" w:hAnsi="Times New Roman"/>
                <w:noProof/>
              </w:rPr>
              <w:t>bucătarul-șef;</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w:t>
            </w:r>
            <w:r>
              <w:rPr>
                <w:noProof/>
              </w:rPr>
              <w:tab/>
            </w:r>
            <w:r>
              <w:rPr>
                <w:rFonts w:ascii="Times New Roman" w:hAnsi="Times New Roman"/>
                <w:noProof/>
              </w:rPr>
              <w:t>bucătarul-șef adjunct;</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(iii)</w:t>
            </w:r>
            <w:r>
              <w:rPr>
                <w:noProof/>
              </w:rPr>
              <w:tab/>
            </w:r>
            <w:r>
              <w:rPr>
                <w:rFonts w:ascii="Times New Roman" w:hAnsi="Times New Roman"/>
                <w:noProof/>
              </w:rPr>
              <w:t>bucătarul specialist.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Angajații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Specialiștii trebuie să obțină un certificat de competență.</w:t>
            </w:r>
          </w:p>
        </w:tc>
      </w:tr>
      <w:tr>
        <w:tc>
          <w:tcPr>
            <w:tcW w:w="1704" w:type="pct"/>
            <w:tcBorders>
              <w:bottom w:val="single" w:sz="4" w:space="0" w:color="auto"/>
            </w:tcBorders>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servire a băuturilor fără servicii de divertisment</w:t>
            </w:r>
          </w:p>
          <w:p>
            <w:pPr>
              <w:widowControl/>
              <w:suppressAutoHyphens/>
              <w:spacing w:before="60" w:after="60" w:line="240" w:lineRule="auto"/>
              <w:rPr>
                <w:rFonts w:ascii="Times New Roman" w:hAnsi="Times New Roman"/>
                <w:noProof/>
              </w:rPr>
            </w:pPr>
            <w:r>
              <w:rPr>
                <w:rFonts w:ascii="Times New Roman" w:hAnsi="Times New Roman"/>
                <w:noProof/>
              </w:rPr>
              <w:t>(CPC 64310)</w:t>
            </w:r>
          </w:p>
        </w:tc>
        <w:tc>
          <w:tcPr>
            <w:tcW w:w="3296" w:type="pct"/>
            <w:tcBorders>
              <w:bottom w:val="single" w:sz="4" w:space="0" w:color="auto"/>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Doar pentru: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Directorul general principal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Directorul de restaurant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Directorul general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Specialiști, doar pentru:</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departamentul de produse alimentare și băuturi</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administrarea restaurantelor</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controlul calității</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bucătarul-șef</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Angajații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Specialiștii trebuie să obțină un certificat de competență.</w:t>
            </w:r>
          </w:p>
        </w:tc>
      </w:tr>
      <w:tr>
        <w:trPr>
          <w:trHeight w:val="232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Servicii de servire a băuturilor cu servicii de divertisment</w:t>
            </w:r>
          </w:p>
          <w:p>
            <w:pPr>
              <w:widowControl/>
              <w:suppressAutoHyphens/>
              <w:spacing w:before="60" w:after="60" w:line="240" w:lineRule="auto"/>
              <w:rPr>
                <w:rFonts w:ascii="Times New Roman" w:hAnsi="Times New Roman"/>
                <w:noProof/>
              </w:rPr>
            </w:pPr>
            <w:r>
              <w:rPr>
                <w:rFonts w:ascii="Times New Roman" w:hAnsi="Times New Roman"/>
                <w:noProof/>
              </w:rPr>
              <w:t>(CPC 6432/64320)</w:t>
            </w:r>
          </w:p>
        </w:tc>
        <w:tc>
          <w:tcPr>
            <w:tcW w:w="3296" w:type="pct"/>
            <w:tcBorders>
              <w:bottom w:val="nil"/>
            </w:tcBorders>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Doar pentru:</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1.</w:t>
            </w:r>
            <w:r>
              <w:rPr>
                <w:noProof/>
              </w:rPr>
              <w:tab/>
            </w:r>
            <w:r>
              <w:rPr>
                <w:rFonts w:ascii="Times New Roman" w:hAnsi="Times New Roman"/>
                <w:noProof/>
              </w:rPr>
              <w:t>Directorul general principal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2.</w:t>
            </w:r>
            <w:r>
              <w:rPr>
                <w:noProof/>
              </w:rPr>
              <w:tab/>
            </w:r>
            <w:r>
              <w:rPr>
                <w:rFonts w:ascii="Times New Roman" w:hAnsi="Times New Roman"/>
                <w:noProof/>
              </w:rPr>
              <w:t>Directorul de restaurant</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3.</w:t>
            </w:r>
            <w:r>
              <w:rPr>
                <w:noProof/>
              </w:rPr>
              <w:tab/>
            </w:r>
            <w:r>
              <w:rPr>
                <w:rFonts w:ascii="Times New Roman" w:hAnsi="Times New Roman"/>
                <w:noProof/>
              </w:rPr>
              <w:t>Directorul general</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4.</w:t>
            </w:r>
            <w:r>
              <w:rPr>
                <w:noProof/>
              </w:rPr>
              <w:tab/>
            </w:r>
            <w:r>
              <w:rPr>
                <w:rFonts w:ascii="Times New Roman" w:hAnsi="Times New Roman"/>
                <w:noProof/>
              </w:rPr>
              <w:t>Specialiști, doar pentru:</w:t>
            </w:r>
          </w:p>
          <w:p>
            <w:pPr>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departamentul de produse alimentare și băuturi</w:t>
            </w:r>
          </w:p>
        </w:tc>
      </w:tr>
      <w:tr>
        <w:trPr>
          <w:trHeight w:val="1635"/>
        </w:trPr>
        <w:tc>
          <w:tcPr>
            <w:tcW w:w="1704" w:type="pct"/>
            <w:tcBorders>
              <w:top w:val="nil"/>
            </w:tcBorders>
          </w:tcPr>
          <w:p>
            <w:pPr>
              <w:pageBreakBefore/>
              <w:suppressAutoHyphens/>
              <w:spacing w:before="60" w:after="60" w:line="240" w:lineRule="auto"/>
              <w:rPr>
                <w:noProof/>
              </w:rPr>
            </w:pPr>
          </w:p>
        </w:tc>
        <w:tc>
          <w:tcPr>
            <w:tcW w:w="3296" w:type="pct"/>
            <w:tcBorders>
              <w:top w:val="nil"/>
            </w:tcBorders>
          </w:tcPr>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administrarea restaurantelor</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controlul calității</w:t>
            </w:r>
          </w:p>
          <w:p>
            <w:pPr>
              <w:widowControl/>
              <w:suppressAutoHyphens/>
              <w:spacing w:before="60" w:after="60" w:line="240" w:lineRule="auto"/>
              <w:ind w:left="1701" w:hanging="567"/>
              <w:rPr>
                <w:rFonts w:ascii="Times New Roman" w:hAnsi="Times New Roman"/>
                <w:noProof/>
              </w:rPr>
            </w:pPr>
            <w:r>
              <w:rPr>
                <w:rFonts w:ascii="Times New Roman" w:hAnsi="Times New Roman"/>
                <w:noProof/>
              </w:rPr>
              <w:t>–</w:t>
            </w:r>
            <w:r>
              <w:rPr>
                <w:noProof/>
              </w:rPr>
              <w:tab/>
            </w:r>
            <w:r>
              <w:rPr>
                <w:rFonts w:ascii="Times New Roman" w:hAnsi="Times New Roman"/>
                <w:noProof/>
              </w:rPr>
              <w:t>bucătarul-șef</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5.</w:t>
            </w:r>
            <w:r>
              <w:rPr>
                <w:noProof/>
              </w:rPr>
              <w:tab/>
            </w:r>
            <w:r>
              <w:rPr>
                <w:rFonts w:ascii="Times New Roman" w:hAnsi="Times New Roman"/>
                <w:noProof/>
              </w:rPr>
              <w:t>Angajații stagiari</w:t>
            </w:r>
          </w:p>
          <w:p>
            <w:pPr>
              <w:suppressAutoHyphens/>
              <w:spacing w:before="60" w:after="60" w:line="240" w:lineRule="auto"/>
              <w:ind w:left="567" w:hanging="567"/>
              <w:rPr>
                <w:noProof/>
              </w:rPr>
            </w:pPr>
            <w:r>
              <w:rPr>
                <w:rFonts w:ascii="Times New Roman" w:hAnsi="Times New Roman"/>
                <w:noProof/>
              </w:rPr>
              <w:t>(b)</w:t>
            </w:r>
            <w:r>
              <w:rPr>
                <w:noProof/>
              </w:rPr>
              <w:tab/>
            </w:r>
            <w:r>
              <w:rPr>
                <w:rFonts w:ascii="Times New Roman" w:hAnsi="Times New Roman"/>
                <w:noProof/>
              </w:rPr>
              <w:t>Specialiștii trebuie să obțină un certificat de competență.</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B. Servicii ale agențiilor de voiaj și ale operatorilor de turism</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ale operatorilor de turism (CPC 74710</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Specialiștii fac obiectul testului privind necesitățile economice.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Persoanele fizice din Uniune trebuie să obțină un certificat de competență.</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 Altele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Inclusiv stațiunile turistice</w:t>
            </w:r>
            <w:r>
              <w:rPr>
                <w:rStyle w:val="FootnoteReference"/>
                <w:rFonts w:ascii="Times New Roman" w:hAnsi="Times New Roman"/>
                <w:b/>
                <w:noProof/>
              </w:rPr>
              <w:footnoteReference w:id="128"/>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Hoteluri (3, 4 și 5 stele)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(Nu sunt incluse unitățile pentru porturile de agrement și administrarea hotelurilor)</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Numai pentru șeful stațiunii și angajații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Operatori hotelieri internaționali (CPC 91135)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10. SERVICII RECREATIVE, CULTURALE ȘI SPORTIVE (ALTELE DECÂT SERVICIILE DIN DOMENIUL AUDIOVIZUALULUI)</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 Servicii de divertisment (inclusiv servicii privind piesele de teatru, formațiile muzicale cu prezentare publică în direct și spectacolele de circ)</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Teatru și operă (CPC 96193)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Alte servicii recreative n.c.a. – jocuri online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5820</w:t>
            </w:r>
            <w:r>
              <w:rPr>
                <w:rFonts w:ascii="Times New Roman" w:hAnsi="Times New Roman"/>
                <w:b/>
                <w:noProof/>
                <w:vertAlign w:val="superscript"/>
              </w:rPr>
              <w:t>***</w:t>
            </w:r>
            <w:r>
              <w:rPr>
                <w:rFonts w:ascii="Times New Roman" w:hAnsi="Times New Roman"/>
                <w:noProof/>
              </w:rPr>
              <w:t> – editarea de software – numai pentru editarea de jocuri video pentru toate platformele de sisteme de operare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KBLI 62011</w:t>
            </w:r>
            <w:r>
              <w:rPr>
                <w:rFonts w:ascii="Times New Roman" w:hAnsi="Times New Roman"/>
                <w:b/>
                <w:noProof/>
                <w:vertAlign w:val="superscript"/>
              </w:rPr>
              <w:t>**</w:t>
            </w:r>
            <w:r>
              <w:rPr>
                <w:rFonts w:ascii="Times New Roman" w:hAnsi="Times New Roman"/>
                <w:noProof/>
              </w:rPr>
              <w:t> – numai pentru dezvoltarea de software pentru jocuri video</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și specialiștilor,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D. Servicii sportive și alte servicii recreative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Terenuri de golf și alte unități</w:t>
            </w:r>
          </w:p>
          <w:p>
            <w:pPr>
              <w:widowControl/>
              <w:suppressAutoHyphens/>
              <w:spacing w:before="60" w:after="60" w:line="240" w:lineRule="auto"/>
              <w:rPr>
                <w:rFonts w:ascii="Times New Roman" w:hAnsi="Times New Roman"/>
                <w:noProof/>
              </w:rPr>
            </w:pPr>
            <w:r>
              <w:rPr>
                <w:rFonts w:ascii="Times New Roman" w:hAnsi="Times New Roman"/>
                <w:noProof/>
              </w:rPr>
              <w:t>Numai în cadrul stațiunilor turistice</w:t>
            </w:r>
          </w:p>
          <w:p>
            <w:pPr>
              <w:widowControl/>
              <w:suppressAutoHyphens/>
              <w:spacing w:before="60" w:after="60" w:line="240" w:lineRule="auto"/>
              <w:rPr>
                <w:rFonts w:ascii="Times New Roman" w:hAnsi="Times New Roman"/>
                <w:noProof/>
              </w:rPr>
            </w:pPr>
            <w:r>
              <w:rPr>
                <w:rFonts w:ascii="Times New Roman" w:hAnsi="Times New Roman"/>
                <w:noProof/>
              </w:rPr>
              <w:t>(CPC 96413)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specialiștilor, care: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fac obiectul testului privind necesitățile economice;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trebuie să obțină un certificat de competență.</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E. Altele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Unități ale porturilor de agrement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administrare a hotelurilor</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11. SERVICII DE TRANSPORT</w:t>
            </w:r>
          </w:p>
        </w:tc>
        <w:tc>
          <w:tcPr>
            <w:tcW w:w="3296" w:type="pct"/>
          </w:tcPr>
          <w:p>
            <w:pPr>
              <w:widowControl/>
              <w:suppressAutoHyphens/>
              <w:spacing w:before="60" w:after="60" w:line="240" w:lineRule="auto"/>
              <w:rPr>
                <w:rFonts w:ascii="Times New Roman" w:hAnsi="Times New Roman"/>
                <w:noProof/>
              </w:rPr>
            </w:pPr>
          </w:p>
        </w:tc>
      </w:tr>
      <w:tr>
        <w:tc>
          <w:tcPr>
            <w:tcW w:w="5000" w:type="pct"/>
            <w:gridSpan w:val="2"/>
          </w:tcPr>
          <w:p>
            <w:pPr>
              <w:widowControl/>
              <w:suppressAutoHyphens/>
              <w:spacing w:before="60" w:after="60" w:line="240" w:lineRule="auto"/>
              <w:rPr>
                <w:rFonts w:ascii="Times New Roman" w:hAnsi="Times New Roman"/>
                <w:noProof/>
              </w:rPr>
            </w:pPr>
            <w:r>
              <w:rPr>
                <w:rFonts w:ascii="Times New Roman" w:hAnsi="Times New Roman"/>
                <w:noProof/>
              </w:rPr>
              <w:t>A. Servicii de transport maritim</w:t>
            </w:r>
          </w:p>
          <w:p>
            <w:pPr>
              <w:widowControl/>
              <w:suppressAutoHyphens/>
              <w:spacing w:before="60" w:after="60" w:line="240" w:lineRule="auto"/>
              <w:rPr>
                <w:rFonts w:ascii="Times New Roman" w:hAnsi="Times New Roman"/>
                <w:noProof/>
              </w:rPr>
            </w:pPr>
            <w:r>
              <w:rPr>
                <w:rFonts w:ascii="Times New Roman" w:hAnsi="Times New Roman"/>
                <w:noProof/>
              </w:rPr>
              <w:t>Transportul de călători și de mărfuri, cu excepția cabotajului și a serviciilor auxiliare</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Transport internațional de călători (CPC 7211)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Transport internațional de mărfuri (CPC 7212)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Entitățile juridice indoneziene din sectorul minier și industrial care exploatează nave în temeiul unei scrisori de autorizare operațională pentru companii de transport maritim special/Surat Izin Operasi Perusahaan Angkutan Laut Khusus (SIOPSUS) pentru a-și sprijini principalele activități comerciale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Întreținerea și repararea navelor</w:t>
            </w:r>
          </w:p>
          <w:p>
            <w:pPr>
              <w:widowControl/>
              <w:suppressAutoHyphens/>
              <w:spacing w:before="60" w:after="60" w:line="240" w:lineRule="auto"/>
              <w:rPr>
                <w:rFonts w:ascii="Times New Roman" w:hAnsi="Times New Roman"/>
                <w:noProof/>
              </w:rPr>
            </w:pPr>
            <w:r>
              <w:rPr>
                <w:rFonts w:ascii="Times New Roman" w:hAnsi="Times New Roman"/>
                <w:noProof/>
              </w:rPr>
              <w:t>(CPC 8868</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închiriere de nave cu echipaj (CPC 7223)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împingere și remorcare pentru transportul maritim (CPC 7214) (cu excepția cabotajului)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transportul maritim, numai pentru serviciile de exploatare portuară (CPC 7451</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recuperare și ranfluare a navelor</w:t>
            </w:r>
          </w:p>
          <w:p>
            <w:pPr>
              <w:widowControl/>
              <w:suppressAutoHyphens/>
              <w:spacing w:before="60" w:after="60" w:line="240" w:lineRule="auto"/>
              <w:rPr>
                <w:rFonts w:ascii="Times New Roman" w:hAnsi="Times New Roman"/>
                <w:noProof/>
              </w:rPr>
            </w:pPr>
            <w:r>
              <w:rPr>
                <w:rFonts w:ascii="Times New Roman" w:hAnsi="Times New Roman"/>
                <w:noProof/>
              </w:rPr>
              <w:t>(CPC 7454)</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închiriere de nave fără echipaj (CPC 83103)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Activități offshore care necesită utilizarea unei nave, altele decât transportul de călători sau de mărfuri, cum ar fi: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lucrări de recuperare și subacvatice;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lucrări de construcții offshore;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foraj;</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dragare, inclusiv instalarea de cabluri;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construcția de terminale;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sprijin operațional offshore.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 pe căile navigabile interioare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 xml:space="preserve">Transportul de călători (CPC 7221) </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7222), cu excepția cabotajului și a produselor miniere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împingere și remorcare pentru transportul maritim (CPC 7224) (cu excepția cabotajului)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transportul pe căile navigabile interioare (CPC 745</w:t>
            </w:r>
            <w:r>
              <w:rPr>
                <w:rFonts w:ascii="Times New Roman" w:hAnsi="Times New Roman"/>
                <w:b/>
                <w:noProof/>
                <w:vertAlign w:val="superscript"/>
              </w:rPr>
              <w:t>*</w:t>
            </w:r>
            <w:r>
              <w:rPr>
                <w:rFonts w:ascii="Times New Roman" w:hAnsi="Times New Roman"/>
                <w:noProof/>
              </w:rPr>
              <w:t>), cu excepția cabotajului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navelor (căi navigabile interioare) (CPC 8868</w:t>
            </w:r>
            <w:r>
              <w:rPr>
                <w:rFonts w:ascii="Times New Roman" w:hAnsi="Times New Roman"/>
                <w:b/>
                <w:noProof/>
                <w:vertAlign w:val="superscript"/>
              </w:rPr>
              <w:t>**</w:t>
            </w:r>
            <w:r>
              <w:rPr>
                <w:rFonts w:ascii="Times New Roman" w:hAnsi="Times New Roman"/>
                <w:noProof/>
              </w:rPr>
              <w:t>)</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maritime auxiliare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manipulare a încărcăturilor maritime</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transport aerian</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reparare și întreținere a aeronavelor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Vânzarea și comercializarea serviciilor de transport aerian</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Sistemele informatizate de rezervare (SIR)</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catering, limitate la servicii de catering pentru aeronave (KBLI 56290)</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exploatare aeroportuară și servicii privind activitatea aeroportuară (KBLI 52231)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rutier</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echipamentelor de transport rutier (CPC 8867, cu excepția motocicletelor)</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7123)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și specialiștilor,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Alte servicii de transport terestru (CPC 712), numai pentru serviciile de închiriere de autobuze și autocare cu operator (KBLI 49211)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transport feroviar</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competență;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de călători (CPC 7111)</w:t>
            </w:r>
          </w:p>
          <w:p>
            <w:pPr>
              <w:widowControl/>
              <w:suppressAutoHyphens/>
              <w:spacing w:before="60" w:after="60" w:line="240" w:lineRule="auto"/>
              <w:rPr>
                <w:rFonts w:ascii="Times New Roman" w:hAnsi="Times New Roman"/>
                <w:noProof/>
              </w:rPr>
            </w:pPr>
            <w:r>
              <w:rPr>
                <w:rFonts w:ascii="Times New Roman" w:hAnsi="Times New Roman"/>
                <w:noProof/>
              </w:rPr>
              <w:t>limitat la transportul interurban de călători (CPC 71111)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competență;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7112)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competență;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de mărfuri (CPC 7112)</w:t>
            </w:r>
          </w:p>
          <w:p>
            <w:pPr>
              <w:widowControl/>
              <w:suppressAutoHyphens/>
              <w:spacing w:before="60" w:after="60" w:line="240" w:lineRule="auto"/>
              <w:rPr>
                <w:rFonts w:ascii="Times New Roman" w:hAnsi="Times New Roman"/>
                <w:noProof/>
              </w:rPr>
            </w:pPr>
            <w:r>
              <w:rPr>
                <w:rFonts w:ascii="Times New Roman" w:hAnsi="Times New Roman"/>
                <w:noProof/>
              </w:rPr>
              <w:t>limitat la transportul de produse congelate sau refrigerate (CPC 71121)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competență;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sub rezerva testului privind necesitățile economice.</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împingere și remorcare (CPC 7113)</w:t>
            </w:r>
          </w:p>
          <w:p>
            <w:pPr>
              <w:widowControl/>
              <w:suppressAutoHyphens/>
              <w:spacing w:before="60" w:after="60" w:line="240" w:lineRule="auto"/>
              <w:rPr>
                <w:rFonts w:ascii="Times New Roman" w:hAnsi="Times New Roman"/>
                <w:noProof/>
              </w:rPr>
            </w:pPr>
            <w:r>
              <w:rPr>
                <w:rFonts w:ascii="Times New Roman" w:hAnsi="Times New Roman"/>
                <w:noProof/>
              </w:rPr>
              <w:t>Servicii de sprijin pentru serviciile de transport feroviar (CPC 743)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competență;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Întreținerea și repararea echipamentelor de transport feroviar (CPC 8868)</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competență;</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transport prin conducte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Transportul petrolului și al gazelor naturale (CPC 7131)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managerilor și specialiștilor, sub rezerva testului privind necesitățile economice;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faptului că pot fi angajați profesioniști din Uniune numai în măsura în care nu există astfel de profesioniști suficient de calificați care să fie cetățeni indonezieni.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 xml:space="preserve">Servicii de transport de sprijin și auxiliare </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maritime de expediere de mărfuri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fac obiectul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autogări, inclusiv servicii de parcare, planificarea transportului public, inspecții la rampă, activități pentru călători (KBLI 52211);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sprijin pentru transportul rutier, numai pentru serviciile de inspecție periodică (KBLI 71203)</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angajaților stagiari, în situațiile în care se aplică „neconsolidat”;</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faptului că specialiștii trebuie să dețină un certificat de evaluare eliberat de Ministerul Transporturilor.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managerilor și specialiștilor, sub rezerva testului privind necesitățile economice.</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sprijin pentru transport rutier:</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ale operatorilor de autostrăzi, poduri și tuneluri (CPC 77420), limitate la serviciile de autostrăzi</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Neconsolidat</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Servicii de stocare și depozitare în afara zonei portuare și a zonei 1 pentru:</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servicii de depozitare a produselor congelate și refrigerate (CPC 7421);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alte servicii de depozitare sau antrepozitare (CPC 7429)</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12. ALTE SERVICII</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energetice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Lichefierea și gazeificarea numai pentru cărbune</w:t>
            </w:r>
          </w:p>
          <w:p>
            <w:pPr>
              <w:widowControl/>
              <w:suppressAutoHyphens/>
              <w:spacing w:before="60" w:after="60" w:line="240" w:lineRule="auto"/>
              <w:rPr>
                <w:rFonts w:ascii="Times New Roman" w:hAnsi="Times New Roman"/>
                <w:noProof/>
              </w:rPr>
            </w:pPr>
            <w:r>
              <w:rPr>
                <w:rFonts w:ascii="Times New Roman" w:hAnsi="Times New Roman"/>
                <w:noProof/>
              </w:rPr>
              <w:t>Potrivit propunerii Indoneziei de clasificare a serviciilor energetice, serviciile respective se încadrează la:</w:t>
            </w:r>
          </w:p>
          <w:p>
            <w:pPr>
              <w:widowControl/>
              <w:suppressAutoHyphens/>
              <w:spacing w:before="60" w:after="60" w:line="240" w:lineRule="auto"/>
              <w:rPr>
                <w:rFonts w:ascii="Times New Roman" w:hAnsi="Times New Roman"/>
                <w:noProof/>
              </w:rPr>
            </w:pPr>
            <w:r>
              <w:rPr>
                <w:rFonts w:ascii="Times New Roman" w:hAnsi="Times New Roman"/>
                <w:noProof/>
              </w:rPr>
              <w:t>Lichefierea cărbunelui (2.4.4.4)</w:t>
            </w:r>
          </w:p>
          <w:p>
            <w:pPr>
              <w:widowControl/>
              <w:suppressAutoHyphens/>
              <w:spacing w:before="60" w:after="60" w:line="240" w:lineRule="auto"/>
              <w:rPr>
                <w:rFonts w:ascii="Times New Roman" w:hAnsi="Times New Roman"/>
                <w:noProof/>
              </w:rPr>
            </w:pPr>
            <w:r>
              <w:rPr>
                <w:rFonts w:ascii="Times New Roman" w:hAnsi="Times New Roman"/>
                <w:noProof/>
              </w:rPr>
              <w:t>Gazeificarea cărbunelui (2.4.4.5)</w:t>
            </w:r>
          </w:p>
          <w:p>
            <w:pPr>
              <w:widowControl/>
              <w:suppressAutoHyphens/>
              <w:spacing w:before="60" w:after="60" w:line="240" w:lineRule="auto"/>
              <w:rPr>
                <w:rFonts w:ascii="Times New Roman" w:hAnsi="Times New Roman"/>
                <w:noProof/>
              </w:rPr>
            </w:pPr>
            <w:r>
              <w:rPr>
                <w:rFonts w:ascii="Times New Roman" w:hAnsi="Times New Roman"/>
                <w:noProof/>
              </w:rPr>
              <w:t>Potrivit W/120, serviciile respective se încadrează la servicii conexe industriei prelucrătoare (CPC 884).</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Producerea de energie geotermală cu o capacitate ≤ 10 MW</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Numai pentru directori și specialiști, cu excepția următoarelor domenii: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mediu, securitate și sănătate (HSE);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lanțului de aprovizionare, care acoperă achizițiile publice, materialele și logistica și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controlul calității, inclusiv a activității de inspecție.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Servicii de prospectare geotermală</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Numai pentru directori și specialiști, cu excepția următoarelor domenii: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mediu, securitate și sănătate (HSE);</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gestionarea lanțului de aprovizionare, care acoperă achizițiile publice, materialele și logistica și</w:t>
            </w:r>
          </w:p>
          <w:p>
            <w:pPr>
              <w:widowControl/>
              <w:suppressAutoHyphens/>
              <w:spacing w:before="60" w:after="60" w:line="240" w:lineRule="auto"/>
              <w:ind w:left="1134" w:hanging="567"/>
              <w:rPr>
                <w:rFonts w:ascii="Times New Roman" w:hAnsi="Times New Roman"/>
                <w:noProof/>
              </w:rPr>
            </w:pPr>
            <w:r>
              <w:rPr>
                <w:rFonts w:ascii="Times New Roman" w:hAnsi="Times New Roman"/>
                <w:noProof/>
              </w:rPr>
              <w:t>–</w:t>
            </w:r>
            <w:r>
              <w:rPr>
                <w:noProof/>
              </w:rPr>
              <w:tab/>
            </w:r>
            <w:r>
              <w:rPr>
                <w:rFonts w:ascii="Times New Roman" w:hAnsi="Times New Roman"/>
                <w:noProof/>
              </w:rPr>
              <w:t>controlul calității, inclusiv a activității de inspecție.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13. AGRICULTURĂ, VÂNĂTOARE ȘI PESCUIT</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Producția vegetală și animalieră, vânătoare și activități de servicii conexe</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Producție vegetală și animalieră, vânătoare (ISIC rev 4: 0111, 0112, 0113, 0114, 0115, 0116, 0119, 0121, 0122, 0123, 0124, 0125, 0126, 0127, 0128, 0129, 0130, 0141, 0142, 0143, 0144, 0145, 0146, 0149, 0150)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culturilor agricole alimentare cu o suprafață mai mică de 25 ha de: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porumb (KBLI 01111);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soia (KBLI 01113);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fasole (KBLI 01114);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fasole mung (KBLI 01115);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orez hibrid (KBLI 01121);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orez convențional (KBLI 01122).</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Silvicultură și exploatare forestieră (ISIC rev 4: 0210, 0220, 0230)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colectării produselor forestiere: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rășină de pin (KBLI 02303);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bambus (KBLI 02308);</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șelac, lemn de agar, zahăr de palmier, tămâie, scoarță de masohi, scoarță de lawing, scorțișoară, alte rășini, stupi, cuiburi de salangane din natură și alte albine (KBLI 02309);</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ratan (KBLI 02302);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frunze de eucalipt (KBLI 02304);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rășină (KBLI 02306);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miere (KBLI 02307);</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gogoși de viermi de mătase (KBLI 02305).</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Pescuit și acvacultură (ISIC rev. 4: 03)</w:t>
            </w:r>
          </w:p>
          <w:p>
            <w:pPr>
              <w:pageBreakBefore/>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pescuitului maritim de pești cu înotătoare (KBLI 03111);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pescuitului maritim de crustacee (KBLI 03112);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pescuitului maritim de moluște (KBLI 03113).</w:t>
            </w:r>
          </w:p>
        </w:tc>
        <w:tc>
          <w:tcPr>
            <w:tcW w:w="3296" w:type="pc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Echipajele navelor de pescuit fac obiectul cerințelor privind deținerea cetățeniei.</w:t>
            </w: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1.</w:t>
            </w:r>
            <w:r>
              <w:rPr>
                <w:noProof/>
              </w:rPr>
              <w:tab/>
            </w:r>
            <w:r>
              <w:rPr>
                <w:rFonts w:ascii="Times New Roman" w:hAnsi="Times New Roman"/>
                <w:noProof/>
              </w:rPr>
              <w:t>INDUSTRIA EXTRACTIVĂ</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Extracția cărbunelui și a lignitului (ISIC rev 4: 0510, 0520)</w:t>
            </w:r>
          </w:p>
        </w:tc>
        <w:tc>
          <w:tcPr>
            <w:tcW w:w="3296" w:type="pct"/>
            <w:vMerge w:val="restart"/>
          </w:tcPr>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Niciuna, cu excepția angajaților stagiari.</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Extracția țițeiului și a gazelor naturale (ISIC rev 4: 0610, 0620)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Extracția minereurilor metalifere (ISIC rev 4: 0710, 0721, 0729)</w:t>
            </w:r>
          </w:p>
        </w:tc>
        <w:tc>
          <w:tcPr>
            <w:tcW w:w="3296" w:type="pct"/>
            <w:vMerge/>
          </w:tcPr>
          <w:p>
            <w:pPr>
              <w:widowControl/>
              <w:suppressAutoHyphens/>
              <w:spacing w:before="60" w:after="60" w:line="240" w:lineRule="auto"/>
              <w:rPr>
                <w:rFonts w:ascii="Times New Roman" w:hAnsi="Times New Roman"/>
                <w:noProof/>
              </w:rPr>
            </w:pPr>
          </w:p>
        </w:tc>
      </w:tr>
      <w:tr>
        <w:trPr>
          <w:trHeight w:val="2115"/>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Alte activități extractive (ISIC rev 4: 0891, 0892, 0893)</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extracției pietrelor decorative și a pietrelor de construcție (KBLI 08101);</w:t>
            </w:r>
          </w:p>
          <w:p>
            <w:pPr>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extracției calcarului (KBLI 08102);</w:t>
            </w:r>
          </w:p>
        </w:tc>
        <w:tc>
          <w:tcPr>
            <w:tcW w:w="3296" w:type="pct"/>
            <w:vMerge/>
            <w:tcBorders>
              <w:bottom w:val="nil"/>
            </w:tcBorders>
          </w:tcPr>
          <w:p>
            <w:pPr>
              <w:widowControl/>
              <w:suppressAutoHyphens/>
              <w:spacing w:before="60" w:after="60" w:line="240" w:lineRule="auto"/>
              <w:rPr>
                <w:rFonts w:ascii="Times New Roman" w:hAnsi="Times New Roman"/>
                <w:noProof/>
              </w:rPr>
            </w:pPr>
          </w:p>
        </w:tc>
      </w:tr>
      <w:tr>
        <w:trPr>
          <w:trHeight w:val="1995"/>
        </w:trPr>
        <w:tc>
          <w:tcPr>
            <w:tcW w:w="1704"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(c)</w:t>
            </w:r>
            <w:r>
              <w:rPr>
                <w:noProof/>
              </w:rPr>
              <w:tab/>
            </w:r>
            <w:r>
              <w:rPr>
                <w:rFonts w:ascii="Times New Roman" w:hAnsi="Times New Roman"/>
                <w:noProof/>
              </w:rPr>
              <w:t>extracției pietrișului (KBLI 08103);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extracției nisipului (KBLI 08104);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extracției pământului și a argilei (KBLI 08105);</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extracției ghipsului (KBLI 08106);</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(g)</w:t>
            </w:r>
            <w:r>
              <w:rPr>
                <w:noProof/>
              </w:rPr>
              <w:tab/>
            </w:r>
            <w:r>
              <w:rPr>
                <w:rFonts w:ascii="Times New Roman" w:hAnsi="Times New Roman"/>
                <w:noProof/>
              </w:rPr>
              <w:t>extracției tufului vulcanic (KBLI 08107);</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(h)</w:t>
            </w:r>
            <w:r>
              <w:rPr>
                <w:noProof/>
              </w:rPr>
              <w:tab/>
            </w:r>
            <w:r>
              <w:rPr>
                <w:rFonts w:ascii="Times New Roman" w:hAnsi="Times New Roman"/>
                <w:noProof/>
              </w:rPr>
              <w:t>extracția pietrei ponce (KBLI 08108)</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(i)</w:t>
            </w:r>
            <w:r>
              <w:rPr>
                <w:noProof/>
              </w:rPr>
              <w:tab/>
            </w:r>
            <w:r>
              <w:rPr>
                <w:rFonts w:ascii="Times New Roman" w:hAnsi="Times New Roman"/>
                <w:noProof/>
              </w:rPr>
              <w:t>extracției altor pietre, nisipuri și argile (KBLI 08109).</w:t>
            </w:r>
          </w:p>
          <w:p>
            <w:pPr>
              <w:suppressAutoHyphens/>
              <w:spacing w:before="60" w:after="60" w:line="240" w:lineRule="auto"/>
              <w:ind w:left="567" w:hanging="567"/>
              <w:rPr>
                <w:noProof/>
              </w:rPr>
            </w:pPr>
            <w:r>
              <w:rPr>
                <w:rFonts w:ascii="Times New Roman" w:hAnsi="Times New Roman"/>
                <w:noProof/>
              </w:rPr>
              <w:t>(j)</w:t>
            </w:r>
            <w:r>
              <w:rPr>
                <w:noProof/>
              </w:rPr>
              <w:tab/>
            </w:r>
            <w:r>
              <w:rPr>
                <w:rFonts w:ascii="Times New Roman" w:hAnsi="Times New Roman"/>
                <w:noProof/>
              </w:rPr>
              <w:t>altor activități extractive (KBLI 08999).</w:t>
            </w:r>
          </w:p>
        </w:tc>
        <w:tc>
          <w:tcPr>
            <w:tcW w:w="3296" w:type="pct"/>
            <w:tcBorders>
              <w:top w:val="nil"/>
            </w:tcBorders>
          </w:tcPr>
          <w:p>
            <w:pPr>
              <w:suppressAutoHyphens/>
              <w:spacing w:before="60" w:after="60" w:line="240" w:lineRule="auto"/>
              <w:rPr>
                <w:noProof/>
              </w:rPr>
            </w:pPr>
          </w:p>
        </w:tc>
      </w:tr>
      <w:tr>
        <w:tc>
          <w:tcPr>
            <w:tcW w:w="1704" w:type="pct"/>
            <w:tcBorders>
              <w:bottom w:val="single" w:sz="4" w:space="0" w:color="auto"/>
            </w:tcBorders>
          </w:tcPr>
          <w:p>
            <w:pPr>
              <w:widowControl/>
              <w:suppressAutoHyphens/>
              <w:spacing w:before="60" w:after="60" w:line="240" w:lineRule="auto"/>
              <w:rPr>
                <w:rFonts w:ascii="Times New Roman" w:hAnsi="Times New Roman"/>
                <w:noProof/>
              </w:rPr>
            </w:pPr>
            <w:r>
              <w:rPr>
                <w:rFonts w:ascii="Times New Roman" w:hAnsi="Times New Roman"/>
                <w:noProof/>
              </w:rPr>
              <w:t>2.</w:t>
            </w:r>
            <w:r>
              <w:rPr>
                <w:noProof/>
              </w:rPr>
              <w:tab/>
            </w:r>
            <w:r>
              <w:rPr>
                <w:rFonts w:ascii="Times New Roman" w:hAnsi="Times New Roman"/>
                <w:noProof/>
              </w:rPr>
              <w:t>INDUSTRIA PRELUCRĂTOARE</w:t>
            </w:r>
          </w:p>
        </w:tc>
        <w:tc>
          <w:tcPr>
            <w:tcW w:w="3296" w:type="pct"/>
            <w:tcBorders>
              <w:bottom w:val="single" w:sz="4" w:space="0" w:color="auto"/>
            </w:tcBorders>
          </w:tcPr>
          <w:p>
            <w:pPr>
              <w:widowControl/>
              <w:suppressAutoHyphens/>
              <w:spacing w:before="60" w:after="60" w:line="240" w:lineRule="auto"/>
              <w:rPr>
                <w:rFonts w:ascii="Times New Roman" w:hAnsi="Times New Roman"/>
                <w:noProof/>
              </w:rPr>
            </w:pPr>
          </w:p>
        </w:tc>
      </w:tr>
      <w:tr>
        <w:trPr>
          <w:trHeight w:val="2220"/>
        </w:trPr>
        <w:tc>
          <w:tcPr>
            <w:tcW w:w="1704"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Fabricarea de produse alimentare și băuturi (ISIC rev 4: 1010, 1020, 1030, 1040, 1050, 1061, 1062, 1071, 1072, 1073, 1074, 1075, 1079, 1080)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industriei de prelucrare a peștelui prin sărare și fierbere (KBLI 10214);</w:t>
            </w:r>
          </w:p>
        </w:tc>
        <w:tc>
          <w:tcPr>
            <w:tcW w:w="3296" w:type="pct"/>
            <w:tcBorders>
              <w:bottom w:val="nil"/>
            </w:tcBorders>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r>
        <w:trPr>
          <w:trHeight w:val="2205"/>
        </w:trPr>
        <w:tc>
          <w:tcPr>
            <w:tcW w:w="1704" w:type="pct"/>
            <w:tcBorders>
              <w:top w:val="nil"/>
            </w:tcBorders>
          </w:tcPr>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lastRenderedPageBreak/>
              <w:t>(b)</w:t>
            </w:r>
            <w:r>
              <w:rPr>
                <w:noProof/>
              </w:rPr>
              <w:tab/>
            </w:r>
            <w:r>
              <w:rPr>
                <w:rFonts w:ascii="Times New Roman" w:hAnsi="Times New Roman"/>
                <w:noProof/>
              </w:rPr>
              <w:t>producției de tofu și tempeh (KBLI 10391 și 10392);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producției de zahăr brun (KBLI 10722);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producției de rendang (KBLI 10750);</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prelucrării sării protejate prin indicație geografică (KBLI 10774);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(f)</w:t>
            </w:r>
            <w:r>
              <w:rPr>
                <w:noProof/>
              </w:rPr>
              <w:tab/>
            </w:r>
            <w:r>
              <w:rPr>
                <w:rFonts w:ascii="Times New Roman" w:hAnsi="Times New Roman"/>
                <w:noProof/>
              </w:rPr>
              <w:t>prelucrării cafelei protejate prin indicație geografică (KBLI 10761);</w:t>
            </w:r>
          </w:p>
          <w:p>
            <w:pPr>
              <w:suppressAutoHyphens/>
              <w:spacing w:before="60" w:after="60" w:line="240" w:lineRule="auto"/>
              <w:ind w:left="567" w:hanging="567"/>
              <w:rPr>
                <w:noProof/>
              </w:rPr>
            </w:pPr>
            <w:r>
              <w:rPr>
                <w:rFonts w:ascii="Times New Roman" w:hAnsi="Times New Roman"/>
                <w:noProof/>
              </w:rPr>
              <w:t>(g)</w:t>
            </w:r>
            <w:r>
              <w:rPr>
                <w:noProof/>
              </w:rPr>
              <w:tab/>
            </w:r>
            <w:r>
              <w:rPr>
                <w:rFonts w:ascii="Times New Roman" w:hAnsi="Times New Roman"/>
                <w:noProof/>
              </w:rPr>
              <w:t>fabricării produselor de tip biscuiți și copturi uscate (KBLI 10794).</w:t>
            </w:r>
          </w:p>
        </w:tc>
        <w:tc>
          <w:tcPr>
            <w:tcW w:w="3296" w:type="pct"/>
            <w:vMerge w:val="restart"/>
            <w:tcBorders>
              <w:top w:val="nil"/>
            </w:tcBorders>
          </w:tcPr>
          <w:p>
            <w:pPr>
              <w:suppressAutoHyphens/>
              <w:spacing w:before="60" w:after="60" w:line="240" w:lineRule="auto"/>
              <w:rPr>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băuturilor (ISIC rev 4: 1101, 1102, 1103, 1104)</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industriei băuturilor alcoolice (KBLI 11010, 11020, 11031, 11032)</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din tutun (ISIC rev 4: 1200)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produselor textile (ISIC rev 4: 1311, 1312, 1313, 1391, 1392, 1393, 1394, 1399)</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industriei țesătoriei (KBLI 13121) și a industriei țesăturilor (KBLI 13122);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industriei de fabricare a batik-ului prin tehnici de scriere manuală și de ștanțare (KBLI 13134);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industriei țesăturilor brodate (KBLI 13912).</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articolelor de îmbrăcăminte (ISIC rev 4: 1410, 1420, 1430)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articolelor de îmbrăcăminte tradiționale (KBLI 14111 și 14131)</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articolelor din piele și a produselor conexe (ISIC rev 4: 1511, 1512, 1520)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lemnului și a produselor din lemn și plută, cu excepția mobilei; fabricarea articolelor din nuiele și împletituri (ISIC rev 4: 1610, 1621, 1622, 1623, 1629)</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produselor din lemn destinate a fi utilizate în principal în industria construcțiilor (KBLI 16221);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împletiturilor (KBLI 16291, 16292);</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(c)</w:t>
            </w:r>
            <w:r>
              <w:rPr>
                <w:noProof/>
              </w:rPr>
              <w:tab/>
            </w:r>
            <w:r>
              <w:rPr>
                <w:rFonts w:ascii="Times New Roman" w:hAnsi="Times New Roman"/>
                <w:noProof/>
              </w:rPr>
              <w:t>statuetelor și a ornamentelor din lemn, a marchetăriei și a lemnului încrustat (KBLI 16293);</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(d)</w:t>
            </w:r>
            <w:r>
              <w:rPr>
                <w:noProof/>
              </w:rPr>
              <w:tab/>
            </w:r>
            <w:r>
              <w:rPr>
                <w:rFonts w:ascii="Times New Roman" w:hAnsi="Times New Roman"/>
                <w:noProof/>
              </w:rPr>
              <w:t>fabricării ustensilelor de menaj și a articolelor de bucătărie din lemn (KBLI 16294);</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(e)</w:t>
            </w:r>
            <w:r>
              <w:rPr>
                <w:noProof/>
              </w:rPr>
              <w:tab/>
            </w:r>
            <w:r>
              <w:rPr>
                <w:rFonts w:ascii="Times New Roman" w:hAnsi="Times New Roman"/>
                <w:noProof/>
              </w:rPr>
              <w:t>fabricării mosoarelor, a bobinelor pentru filatură și țesătorie și pentru fir de cusut și a articolelor similare din lemn strunjit (KBLI 16299).</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hârtiei și a produselor din hârtie (ISIC rev 4: 1701, 1702, 1709)</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Tipărirea și reproducerea înregistrărilor (ISIC rev. 4: 1811, 1820)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de cocserie și a produselor obținute prin rafinarea petrolului (ISIC rev 4: 1910, 1920)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substanțelor și a produselor chimice (ISIC rev 4: 2011, 2012, 2013, 2021, 2022, 2023, 2029, 2030)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produselor cosmetice tradiționale (KBLI 20232).</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farmaceutice, a produselor chimice medicinale și a produselor botanice (ISIC rev 4: 2100)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materiilor prime pentru medicina tradițională pentru uz uman (KBLI 21021);</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produselor medicinale tradiționale pentru uz uman (KBLI 21022).</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produselor din cauciuc și mase plastice (ISIC rev 4 2211, 2219, 2220)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produselor din cauciuc pentru fumat (KBLI 22121)</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altor produse minerale nemetalice (ISIC rev 4: 2310, 2391, 2392, 2393, 2394, 2395, 2396, 2399)</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(a)</w:t>
            </w:r>
            <w:r>
              <w:rPr>
                <w:noProof/>
              </w:rPr>
              <w:tab/>
            </w:r>
            <w:r>
              <w:rPr>
                <w:rFonts w:ascii="Times New Roman" w:hAnsi="Times New Roman"/>
                <w:noProof/>
              </w:rPr>
              <w:t>fabricării articolelor de uz casnic din argilă/ceramică (KBLI 23932);</w:t>
            </w:r>
          </w:p>
          <w:p>
            <w:pPr>
              <w:pageBreakBefore/>
              <w:widowControl/>
              <w:suppressAutoHyphens/>
              <w:spacing w:before="60" w:after="60" w:line="240" w:lineRule="auto"/>
              <w:ind w:left="567" w:hanging="567"/>
              <w:rPr>
                <w:rFonts w:ascii="Times New Roman" w:hAnsi="Times New Roman"/>
                <w:noProof/>
              </w:rPr>
            </w:pPr>
            <w:r>
              <w:rPr>
                <w:rFonts w:ascii="Times New Roman" w:hAnsi="Times New Roman"/>
                <w:noProof/>
              </w:rPr>
              <w:t>(b)</w:t>
            </w:r>
            <w:r>
              <w:rPr>
                <w:noProof/>
              </w:rPr>
              <w:tab/>
            </w:r>
            <w:r>
              <w:rPr>
                <w:rFonts w:ascii="Times New Roman" w:hAnsi="Times New Roman"/>
                <w:noProof/>
              </w:rPr>
              <w:t>fabricării cimentului (KBLI 23941).</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metalelor comune (ISIC rev 4: 2410, 2420, 2431, 2432)</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produselor prefabricate din metal, cu excepția mașinilor și echipamentelor (ISIC rev 4: 2511, 2512, 2513, 2520, 2591, 2592, 2593, 2599)</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rPr>
                <w:rFonts w:ascii="Times New Roman" w:hAnsi="Times New Roman"/>
                <w:noProof/>
              </w:rPr>
            </w:pPr>
            <w:r>
              <w:rPr>
                <w:rFonts w:ascii="Times New Roman" w:hAnsi="Times New Roman"/>
                <w:noProof/>
              </w:rPr>
              <w:t>fabricării tacâmurilor, a uneltelor manuale și a articolelor de feronerie (KBLI 25931, 25932 și 25934)</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Fabricarea calculatoarelor și a produselor electronice și optice (ISIC rev 4: 2610, 2620, 2630, 2640, 2651, 2652, 2660, 2670, 2680)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echipamentelor electrice (ISIC rev 4: 2710, 2720, 2731, 2732, 2733, 2740, 2750, 2790)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mașinilor și aparatelor electrice n.c.a. (ISIC rev 4: 2811, 2812, 2813, 2814, 2815, 2816, 2817, 2818, 2819, 2821, 2822, 2823, 2824, 2825, 2826, 2829)</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autovehiculelor, remorcilor și semiremorcilor (ISIC rev 4: 2910, 2920, 2930)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altor echipamente de transport (ISIC rev 4 3011, 3012, 3020, 3091, 3092, 3099)</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Fabricarea mobilei (ISIC rev 4: 3100)</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Alte industrii prelucrătoare (ISIC rev 4: 3211, 3212, 3220, 3230, 3240, 3250, 3290)</w:t>
            </w:r>
          </w:p>
          <w:p>
            <w:pPr>
              <w:widowControl/>
              <w:suppressAutoHyphens/>
              <w:spacing w:before="60" w:after="60" w:line="240" w:lineRule="auto"/>
              <w:rPr>
                <w:rFonts w:ascii="Times New Roman" w:hAnsi="Times New Roman"/>
                <w:noProof/>
              </w:rPr>
            </w:pPr>
            <w:r>
              <w:rPr>
                <w:rFonts w:ascii="Times New Roman" w:hAnsi="Times New Roman"/>
                <w:noProof/>
              </w:rPr>
              <w:t>Cu excepția: fabricării instrumentelor muzicale (32201)</w:t>
            </w:r>
          </w:p>
        </w:tc>
        <w:tc>
          <w:tcPr>
            <w:tcW w:w="3296" w:type="pct"/>
            <w:vMerge/>
          </w:tcPr>
          <w:p>
            <w:pPr>
              <w:widowControl/>
              <w:suppressAutoHyphens/>
              <w:spacing w:before="60" w:after="60" w:line="240" w:lineRule="auto"/>
              <w:rPr>
                <w:rFonts w:ascii="Times New Roman" w:hAnsi="Times New Roman"/>
                <w:noProof/>
              </w:rPr>
            </w:pPr>
          </w:p>
        </w:tc>
      </w:tr>
      <w:tr>
        <w:tc>
          <w:tcPr>
            <w:tcW w:w="1704" w:type="pct"/>
          </w:tcPr>
          <w:p>
            <w:pPr>
              <w:pageBreakBefore/>
              <w:widowControl/>
              <w:suppressAutoHyphens/>
              <w:spacing w:before="60" w:after="60" w:line="240" w:lineRule="auto"/>
              <w:rPr>
                <w:rFonts w:ascii="Times New Roman" w:hAnsi="Times New Roman"/>
                <w:noProof/>
              </w:rPr>
            </w:pPr>
            <w:r>
              <w:rPr>
                <w:rFonts w:ascii="Times New Roman" w:hAnsi="Times New Roman"/>
                <w:noProof/>
              </w:rPr>
              <w:lastRenderedPageBreak/>
              <w:t>3.</w:t>
            </w:r>
            <w:r>
              <w:rPr>
                <w:noProof/>
              </w:rPr>
              <w:tab/>
            </w:r>
            <w:r>
              <w:rPr>
                <w:rFonts w:ascii="Times New Roman" w:hAnsi="Times New Roman"/>
                <w:noProof/>
              </w:rPr>
              <w:t>ENERGIE ELECTRICĂ</w:t>
            </w:r>
          </w:p>
        </w:tc>
        <w:tc>
          <w:tcPr>
            <w:tcW w:w="3296" w:type="pct"/>
          </w:tcPr>
          <w:p>
            <w:pPr>
              <w:widowControl/>
              <w:suppressAutoHyphens/>
              <w:spacing w:before="60" w:after="60" w:line="240" w:lineRule="auto"/>
              <w:rPr>
                <w:rFonts w:ascii="Times New Roman" w:hAnsi="Times New Roman"/>
                <w:noProof/>
              </w:rPr>
            </w:pPr>
          </w:p>
        </w:tc>
      </w:tr>
      <w:tr>
        <w:tc>
          <w:tcPr>
            <w:tcW w:w="1704" w:type="pct"/>
          </w:tcPr>
          <w:p>
            <w:pPr>
              <w:widowControl/>
              <w:suppressAutoHyphens/>
              <w:spacing w:before="60" w:after="60" w:line="240" w:lineRule="auto"/>
              <w:rPr>
                <w:rFonts w:ascii="Times New Roman" w:hAnsi="Times New Roman"/>
                <w:noProof/>
              </w:rPr>
            </w:pPr>
            <w:r>
              <w:rPr>
                <w:rFonts w:ascii="Times New Roman" w:hAnsi="Times New Roman"/>
                <w:noProof/>
              </w:rPr>
              <w:t>Exploatarea instalațiilor de producție care produc energie electrică din resurse noi și regenerabile (ISIC rev. 4: 3510)</w:t>
            </w:r>
          </w:p>
          <w:p>
            <w:pPr>
              <w:widowControl/>
              <w:suppressAutoHyphens/>
              <w:spacing w:before="60" w:after="60" w:line="240" w:lineRule="auto"/>
              <w:rPr>
                <w:rFonts w:ascii="Times New Roman" w:hAnsi="Times New Roman"/>
                <w:noProof/>
              </w:rPr>
            </w:pPr>
            <w:r>
              <w:rPr>
                <w:rFonts w:ascii="Times New Roman" w:hAnsi="Times New Roman"/>
                <w:noProof/>
              </w:rPr>
              <w:t>Cu excepția:</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activităților legate de transportul, distribuția și vânzarea energiei electrice;</w:t>
            </w:r>
          </w:p>
          <w:p>
            <w:pPr>
              <w:widowControl/>
              <w:suppressAutoHyphens/>
              <w:spacing w:before="60" w:after="60" w:line="240" w:lineRule="auto"/>
              <w:ind w:left="567" w:hanging="567"/>
              <w:rPr>
                <w:rFonts w:ascii="Times New Roman" w:hAnsi="Times New Roman"/>
                <w:noProof/>
              </w:rPr>
            </w:pPr>
            <w:r>
              <w:rPr>
                <w:rFonts w:ascii="Times New Roman" w:hAnsi="Times New Roman"/>
                <w:noProof/>
              </w:rPr>
              <w:t>–</w:t>
            </w:r>
            <w:r>
              <w:rPr>
                <w:noProof/>
              </w:rPr>
              <w:tab/>
            </w:r>
            <w:r>
              <w:rPr>
                <w:rFonts w:ascii="Times New Roman" w:hAnsi="Times New Roman"/>
                <w:noProof/>
              </w:rPr>
              <w:t>furnizării de energie electrică pentru centrale electrice &lt; 1 MW (KBLI 35111).</w:t>
            </w:r>
          </w:p>
        </w:tc>
        <w:tc>
          <w:tcPr>
            <w:tcW w:w="3296" w:type="pct"/>
          </w:tcPr>
          <w:p>
            <w:pPr>
              <w:widowControl/>
              <w:suppressAutoHyphens/>
              <w:spacing w:before="60" w:after="60" w:line="240" w:lineRule="auto"/>
              <w:rPr>
                <w:rFonts w:ascii="Times New Roman" w:hAnsi="Times New Roman"/>
                <w:noProof/>
              </w:rPr>
            </w:pPr>
            <w:r>
              <w:rPr>
                <w:rFonts w:ascii="Times New Roman" w:hAnsi="Times New Roman"/>
                <w:noProof/>
              </w:rPr>
              <w:t>Niciuna, cu excepția angajaților stagiari</w:t>
            </w:r>
          </w:p>
        </w:tc>
      </w:tr>
    </w:tbl>
    <w:p>
      <w:pPr>
        <w:rPr>
          <w:noProof/>
        </w:rPr>
      </w:pPr>
    </w:p>
    <w:p>
      <w:pPr>
        <w:rPr>
          <w:noProof/>
        </w:rPr>
      </w:pPr>
      <w:r>
        <w:rPr>
          <w:noProof/>
        </w:rPr>
        <w:t>Persoane aflate în vizită de afaceri pe termen scurt</w:t>
      </w:r>
    </w:p>
    <w:p>
      <w:pPr>
        <w:rPr>
          <w:noProof/>
        </w:rPr>
      </w:pPr>
    </w:p>
    <w:tbl>
      <w:tblPr>
        <w:tblStyle w:val="TableGrid"/>
        <w:tblW w:w="5000" w:type="pct"/>
        <w:tblLayout w:type="fixed"/>
        <w:tblLook w:val="04A0" w:firstRow="1" w:lastRow="0" w:firstColumn="1" w:lastColumn="0" w:noHBand="0" w:noVBand="1"/>
      </w:tblPr>
      <w:tblGrid>
        <w:gridCol w:w="5015"/>
        <w:gridCol w:w="9547"/>
      </w:tblGrid>
      <w:tr>
        <w:trPr>
          <w:cantSplit/>
          <w:tblHeader/>
        </w:trPr>
        <w:tc>
          <w:tcPr>
            <w:tcW w:w="172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Toate sectoarele</w:t>
            </w:r>
          </w:p>
        </w:tc>
        <w:tc>
          <w:tcPr>
            <w:tcW w:w="327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Niciuna</w:t>
            </w:r>
          </w:p>
        </w:tc>
      </w:tr>
    </w:tbl>
    <w:p>
      <w:pPr>
        <w:rPr>
          <w:noProof/>
        </w:rPr>
      </w:pPr>
    </w:p>
    <w:p>
      <w:pPr>
        <w:rPr>
          <w:noProof/>
        </w:rPr>
      </w:pPr>
      <w:r>
        <w:rPr>
          <w:noProof/>
        </w:rPr>
        <w:t>Instalatori și personal responsabil cu întreținerea</w:t>
      </w:r>
    </w:p>
    <w:p>
      <w:pPr>
        <w:rPr>
          <w:noProof/>
        </w:rPr>
      </w:pPr>
    </w:p>
    <w:tbl>
      <w:tblPr>
        <w:tblStyle w:val="TableGrid"/>
        <w:tblW w:w="5000" w:type="pct"/>
        <w:tblLayout w:type="fixed"/>
        <w:tblLook w:val="04A0" w:firstRow="1" w:lastRow="0" w:firstColumn="1" w:lastColumn="0" w:noHBand="0" w:noVBand="1"/>
      </w:tblPr>
      <w:tblGrid>
        <w:gridCol w:w="5015"/>
        <w:gridCol w:w="9547"/>
      </w:tblGrid>
      <w:tr>
        <w:trPr>
          <w:cantSplit/>
          <w:tblHeader/>
        </w:trPr>
        <w:tc>
          <w:tcPr>
            <w:tcW w:w="1722"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Toate sectoarele</w:t>
            </w:r>
          </w:p>
        </w:tc>
        <w:tc>
          <w:tcPr>
            <w:tcW w:w="3278" w:type="pct"/>
            <w:vAlign w:val="center"/>
          </w:tcPr>
          <w:p>
            <w:pPr>
              <w:widowControl/>
              <w:suppressAutoHyphens/>
              <w:spacing w:before="60" w:after="60" w:line="240" w:lineRule="auto"/>
              <w:jc w:val="center"/>
              <w:rPr>
                <w:rFonts w:ascii="Times New Roman" w:hAnsi="Times New Roman"/>
                <w:noProof/>
              </w:rPr>
            </w:pPr>
            <w:r>
              <w:rPr>
                <w:rFonts w:ascii="Times New Roman" w:hAnsi="Times New Roman"/>
                <w:noProof/>
              </w:rPr>
              <w:t>Niciuna</w:t>
            </w:r>
          </w:p>
        </w:tc>
      </w:tr>
    </w:tbl>
    <w:p>
      <w:pPr>
        <w:rPr>
          <w:noProof/>
        </w:rPr>
      </w:pPr>
    </w:p>
    <w:p>
      <w:pPr>
        <w:widowControl/>
        <w:spacing w:line="240" w:lineRule="auto"/>
        <w:rPr>
          <w:noProof/>
        </w:rPr>
      </w:pPr>
      <w:r>
        <w:rPr>
          <w:noProof/>
        </w:rPr>
        <w:br w:type="page"/>
      </w:r>
    </w:p>
    <w:p>
      <w:pPr>
        <w:rPr>
          <w:noProof/>
        </w:rPr>
      </w:pPr>
      <w:r>
        <w:rPr>
          <w:noProof/>
        </w:rPr>
        <w:lastRenderedPageBreak/>
        <w:t>Furnizori de servicii pe bază de contract și profesioniști independenți</w:t>
      </w:r>
    </w:p>
    <w:tbl>
      <w:tblPr>
        <w:tblStyle w:val="TableGrid"/>
        <w:tblW w:w="5000" w:type="pct"/>
        <w:tblLayout w:type="fixed"/>
        <w:tblLook w:val="04A0" w:firstRow="1" w:lastRow="0" w:firstColumn="1" w:lastColumn="0" w:noHBand="0" w:noVBand="1"/>
      </w:tblPr>
      <w:tblGrid>
        <w:gridCol w:w="5015"/>
        <w:gridCol w:w="9547"/>
      </w:tblGrid>
      <w:tr>
        <w:tc>
          <w:tcPr>
            <w:tcW w:w="1722" w:type="pct"/>
          </w:tcPr>
          <w:p>
            <w:pPr>
              <w:spacing w:before="60" w:after="60" w:line="240" w:lineRule="auto"/>
              <w:rPr>
                <w:rFonts w:ascii="Times New Roman" w:hAnsi="Times New Roman"/>
                <w:noProof/>
                <w:szCs w:val="24"/>
              </w:rPr>
            </w:pPr>
            <w:bookmarkStart w:id="48" w:name="_Hlk172018227"/>
            <w:r>
              <w:rPr>
                <w:rFonts w:ascii="Times New Roman" w:hAnsi="Times New Roman"/>
                <w:noProof/>
              </w:rPr>
              <w:t>I.</w:t>
            </w:r>
            <w:r>
              <w:rPr>
                <w:noProof/>
              </w:rPr>
              <w:tab/>
            </w:r>
            <w:r>
              <w:rPr>
                <w:rFonts w:ascii="Times New Roman" w:hAnsi="Times New Roman"/>
                <w:noProof/>
              </w:rPr>
              <w:t>SECȚIUNE ORIZONTALĂ</w:t>
            </w:r>
          </w:p>
        </w:tc>
        <w:tc>
          <w:tcPr>
            <w:tcW w:w="3278" w:type="pct"/>
          </w:tcPr>
          <w:p>
            <w:pPr>
              <w:spacing w:before="60" w:after="60" w:line="240" w:lineRule="auto"/>
              <w:rPr>
                <w:rFonts w:ascii="Times New Roman" w:hAnsi="Times New Roman"/>
                <w:noProof/>
                <w:szCs w:val="24"/>
              </w:rPr>
            </w:pPr>
            <w:r>
              <w:rPr>
                <w:rFonts w:ascii="Times New Roman" w:hAnsi="Times New Roman"/>
                <w:noProof/>
              </w:rPr>
              <w:t>Cerințe de lucru</w:t>
            </w:r>
          </w:p>
          <w:p>
            <w:pPr>
              <w:spacing w:before="60" w:after="60" w:line="240" w:lineRule="auto"/>
              <w:rPr>
                <w:rFonts w:ascii="Times New Roman" w:hAnsi="Times New Roman"/>
                <w:noProof/>
                <w:szCs w:val="24"/>
              </w:rPr>
            </w:pPr>
            <w:r>
              <w:rPr>
                <w:rFonts w:ascii="Times New Roman" w:hAnsi="Times New Roman"/>
                <w:noProof/>
              </w:rPr>
              <w:t>Angajatorii lucrătorilor din Uniune trebuie să aibă un plan de utilizare a forței de muncă străine (RPTKA) aprobat de Ministerul Forței de Muncă.</w:t>
            </w:r>
          </w:p>
          <w:p>
            <w:pPr>
              <w:spacing w:before="60" w:after="60" w:line="240" w:lineRule="auto"/>
              <w:rPr>
                <w:rFonts w:ascii="Times New Roman" w:hAnsi="Times New Roman"/>
                <w:noProof/>
                <w:szCs w:val="24"/>
              </w:rPr>
            </w:pPr>
            <w:r>
              <w:rPr>
                <w:rFonts w:ascii="Times New Roman" w:hAnsi="Times New Roman"/>
                <w:noProof/>
              </w:rPr>
              <w:t>Toți lucrătorii din Uniune care furnizează servicii fac obiectul impozitelor percepute de administrația publică în conformitate cu actele cu putere de lege și normele administrative interne.</w:t>
            </w:r>
          </w:p>
          <w:p>
            <w:pPr>
              <w:spacing w:before="60" w:after="60" w:line="240" w:lineRule="auto"/>
              <w:rPr>
                <w:rFonts w:ascii="Times New Roman" w:hAnsi="Times New Roman"/>
                <w:noProof/>
                <w:szCs w:val="24"/>
              </w:rPr>
            </w:pPr>
            <w:r>
              <w:rPr>
                <w:rFonts w:ascii="Times New Roman" w:hAnsi="Times New Roman"/>
                <w:noProof/>
              </w:rPr>
              <w:t>Persoanele fizice care intră pe teritoriul celeilalte părți trebuie să dețină o diplomă universitară sau o calificare care să demonstreze cunoștințe de un nivel echivalent</w:t>
            </w:r>
            <w:r>
              <w:rPr>
                <w:rStyle w:val="FootnoteReference"/>
                <w:rFonts w:ascii="Times New Roman" w:hAnsi="Times New Roman"/>
                <w:b/>
                <w:bCs/>
                <w:noProof/>
                <w:szCs w:val="24"/>
              </w:rPr>
              <w:footnoteReference w:id="129"/>
            </w:r>
            <w:r>
              <w:rPr>
                <w:rFonts w:ascii="Times New Roman" w:hAnsi="Times New Roman"/>
                <w:noProof/>
              </w:rPr>
              <w:t>.</w:t>
            </w:r>
          </w:p>
        </w:tc>
      </w:tr>
      <w:tr>
        <w:tc>
          <w:tcPr>
            <w:tcW w:w="1722" w:type="pct"/>
          </w:tcPr>
          <w:p>
            <w:pPr>
              <w:pageBreakBefore/>
              <w:spacing w:before="60" w:after="60" w:line="240" w:lineRule="auto"/>
              <w:rPr>
                <w:rFonts w:ascii="Times New Roman" w:hAnsi="Times New Roman"/>
                <w:noProof/>
                <w:szCs w:val="24"/>
              </w:rPr>
            </w:pPr>
            <w:r>
              <w:rPr>
                <w:rFonts w:ascii="Times New Roman" w:hAnsi="Times New Roman"/>
                <w:noProof/>
              </w:rPr>
              <w:lastRenderedPageBreak/>
              <w:t>II.</w:t>
            </w:r>
            <w:r>
              <w:rPr>
                <w:noProof/>
              </w:rPr>
              <w:tab/>
            </w:r>
            <w:r>
              <w:rPr>
                <w:rFonts w:ascii="Times New Roman" w:hAnsi="Times New Roman"/>
                <w:noProof/>
              </w:rPr>
              <w:t>SECȚIUNE SECTORIALĂ</w:t>
            </w:r>
          </w:p>
        </w:tc>
        <w:tc>
          <w:tcPr>
            <w:tcW w:w="3278" w:type="pct"/>
          </w:tcPr>
          <w:p>
            <w:pPr>
              <w:spacing w:before="60" w:after="60" w:line="240" w:lineRule="auto"/>
              <w:rPr>
                <w:rFonts w:ascii="Times New Roman" w:hAnsi="Times New Roman"/>
                <w:noProof/>
                <w:szCs w:val="24"/>
              </w:rPr>
            </w:pPr>
          </w:p>
        </w:tc>
      </w:tr>
      <w:tr>
        <w:tc>
          <w:tcPr>
            <w:tcW w:w="1722" w:type="pct"/>
            <w:tcBorders>
              <w:bottom w:val="single" w:sz="4" w:space="0" w:color="auto"/>
            </w:tcBorders>
          </w:tcPr>
          <w:p>
            <w:pPr>
              <w:spacing w:before="60" w:after="60" w:line="240" w:lineRule="auto"/>
              <w:rPr>
                <w:rFonts w:ascii="Times New Roman" w:hAnsi="Times New Roman"/>
                <w:noProof/>
                <w:szCs w:val="24"/>
              </w:rPr>
            </w:pPr>
            <w:r>
              <w:rPr>
                <w:rFonts w:ascii="Times New Roman" w:hAnsi="Times New Roman"/>
                <w:noProof/>
              </w:rPr>
              <w:t>Servicii juridice (CPC 861)</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Numai în ceea ce privește serviciile de consultanță – drept străin (dreptul țării de origine și/sau dreptul internațional privind afacerile și arbitrajul).</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Serviciile de consultanță nu includ:</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reprezentarea juridică în fața unei instanțe indoneziene și/sau inițierea de proceduri judiciare în orice circumstanțe;</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activități notariale.</w:t>
            </w:r>
          </w:p>
        </w:tc>
        <w:tc>
          <w:tcPr>
            <w:tcW w:w="3278" w:type="pct"/>
            <w:tcBorders>
              <w:bottom w:val="single" w:sz="4" w:space="0" w:color="auto"/>
            </w:tcBorders>
          </w:tcPr>
          <w:p>
            <w:pPr>
              <w:spacing w:before="60" w:after="60" w:line="240" w:lineRule="auto"/>
              <w:rPr>
                <w:rFonts w:ascii="Times New Roman" w:hAnsi="Times New Roman"/>
                <w:noProof/>
                <w:szCs w:val="24"/>
              </w:rPr>
            </w:pPr>
            <w:r>
              <w:rPr>
                <w:rFonts w:ascii="Times New Roman" w:hAnsi="Times New Roman"/>
                <w:noProof/>
              </w:rPr>
              <w:t>Furnizorii de servicii pe bază de contract și profesioniștii independenți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Avocații străini:</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pot să lucreze într-o firmă de avocatură indoneziană sau să facă parte din aceasta numai în calitate de angajați sau de experți;</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fac obiectul unei recomandări din partea Asociației Avocaților și a Ministerului Justiției;</w:t>
            </w:r>
          </w:p>
          <w:p>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sunt obligați să asigure transferul de cunoștințe juridice și capacități profesionale avocaților indonezieni;</w:t>
            </w:r>
          </w:p>
          <w:p>
            <w:pPr>
              <w:spacing w:before="60" w:after="60" w:line="240" w:lineRule="auto"/>
              <w:ind w:left="1134" w:hanging="567"/>
              <w:rPr>
                <w:rFonts w:ascii="Times New Roman" w:hAnsi="Times New Roman"/>
                <w:noProof/>
                <w:szCs w:val="24"/>
              </w:rPr>
            </w:pPr>
            <w:r>
              <w:rPr>
                <w:rFonts w:ascii="Times New Roman" w:hAnsi="Times New Roman"/>
                <w:noProof/>
              </w:rPr>
              <w:t>(iv)</w:t>
            </w:r>
            <w:r>
              <w:rPr>
                <w:noProof/>
              </w:rPr>
              <w:tab/>
            </w:r>
            <w:r>
              <w:rPr>
                <w:rFonts w:ascii="Times New Roman" w:hAnsi="Times New Roman"/>
                <w:noProof/>
              </w:rPr>
              <w:t>un avocat străin (avocat profesionist străin) este obligat să transfere gratuit cel puțin 100 de ore de cunoștințe în fiecare an către instituții de învățământ, cercetare juridică sau instituții guvernamentale.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Proporția de avocați străini (avocați) în cadrul unei firme de avocatură indoneziene nu trebuie să depășească 20 % și se limitează la cinci avocați străini (avocați) pentru fiecare firmă.</w:t>
            </w:r>
          </w:p>
        </w:tc>
      </w:tr>
      <w:tr>
        <w:trPr>
          <w:trHeight w:val="2220"/>
        </w:trPr>
        <w:tc>
          <w:tcPr>
            <w:tcW w:w="1722" w:type="pct"/>
            <w:tcBorders>
              <w:bottom w:val="nil"/>
            </w:tcBorders>
          </w:tcPr>
          <w:p>
            <w:pPr>
              <w:pageBreakBefore/>
              <w:spacing w:before="60" w:after="60" w:line="240" w:lineRule="auto"/>
              <w:rPr>
                <w:rFonts w:ascii="Times New Roman" w:hAnsi="Times New Roman"/>
                <w:noProof/>
                <w:szCs w:val="24"/>
              </w:rPr>
            </w:pPr>
            <w:r>
              <w:rPr>
                <w:rFonts w:ascii="Times New Roman" w:hAnsi="Times New Roman"/>
                <w:noProof/>
              </w:rPr>
              <w:lastRenderedPageBreak/>
              <w:t>Servicii de arhitectură (CPC 8671)</w:t>
            </w:r>
          </w:p>
        </w:tc>
        <w:tc>
          <w:tcPr>
            <w:tcW w:w="3278" w:type="pct"/>
            <w:tcBorders>
              <w:bottom w:val="nil"/>
            </w:tcBorders>
          </w:tcPr>
          <w:p>
            <w:pPr>
              <w:spacing w:before="60" w:after="60" w:line="240" w:lineRule="auto"/>
              <w:rPr>
                <w:rFonts w:ascii="Times New Roman" w:hAnsi="Times New Roman"/>
                <w:noProof/>
                <w:szCs w:val="24"/>
              </w:rPr>
            </w:pPr>
            <w:r>
              <w:rPr>
                <w:rFonts w:ascii="Times New Roman" w:hAnsi="Times New Roman"/>
                <w:noProof/>
              </w:rPr>
              <w:t>Furnizorii de servicii pe bază de contract și profesioniștii independenți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Arhitecții din Uniune trebuie să fie înregistrați în țara de 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Planul arhitectural trebuie să fie aprobat de un arhitect indonezian autorizat.</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Arhitecții din Uniune trebuie să fie înregistrați în Indonezia, valabilitatea înregistrării fiind de un an, cu posibilitate de prelungire.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Arhitecții înregistrați din Uniune trebuie să încheie un parteneriat cu un arhitect indonezian.</w:t>
            </w:r>
          </w:p>
        </w:tc>
      </w:tr>
      <w:tr>
        <w:trPr>
          <w:trHeight w:val="1890"/>
        </w:trPr>
        <w:tc>
          <w:tcPr>
            <w:tcW w:w="1722" w:type="pct"/>
            <w:tcBorders>
              <w:top w:val="nil"/>
            </w:tcBorders>
          </w:tcPr>
          <w:p>
            <w:pPr>
              <w:spacing w:before="60" w:after="60" w:line="240" w:lineRule="auto"/>
              <w:rPr>
                <w:noProof/>
                <w:szCs w:val="24"/>
              </w:rPr>
            </w:pPr>
          </w:p>
        </w:tc>
        <w:tc>
          <w:tcPr>
            <w:tcW w:w="3278" w:type="pct"/>
            <w:tcBorders>
              <w:top w:val="nil"/>
            </w:tcBorders>
          </w:tcPr>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Arhitecții din Uniune au obligația de a asigura transferul de competențe de specialitate și cunoștințe prin:</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dezvoltarea și îmbunătățirea practicii arhitecturale la locul de muncă;</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transferul de competențe de specialitate și cunoștințe către arhitecții indonezieni;</w:t>
            </w:r>
          </w:p>
          <w:p>
            <w:pPr>
              <w:spacing w:before="60" w:after="60" w:line="240" w:lineRule="auto"/>
              <w:ind w:left="1134" w:hanging="567"/>
              <w:rPr>
                <w:noProof/>
                <w:szCs w:val="24"/>
              </w:rPr>
            </w:pPr>
            <w:r>
              <w:rPr>
                <w:rFonts w:ascii="Times New Roman" w:hAnsi="Times New Roman"/>
                <w:noProof/>
              </w:rPr>
              <w:t>(iii)</w:t>
            </w:r>
            <w:r>
              <w:rPr>
                <w:noProof/>
              </w:rPr>
              <w:tab/>
            </w:r>
            <w:r>
              <w:rPr>
                <w:rFonts w:ascii="Times New Roman" w:hAnsi="Times New Roman"/>
                <w:noProof/>
              </w:rPr>
              <w:t>furnizarea de educație și/sau formare instituțiilor de învățământ, cercetare și/sau dezvoltare în domeniul arhitecturii.</w:t>
            </w:r>
          </w:p>
        </w:tc>
      </w:tr>
      <w:tr>
        <w:tc>
          <w:tcPr>
            <w:tcW w:w="1722" w:type="pct"/>
          </w:tcPr>
          <w:p>
            <w:pPr>
              <w:pageBreakBefore/>
              <w:spacing w:before="60" w:after="60" w:line="240" w:lineRule="auto"/>
              <w:rPr>
                <w:rFonts w:ascii="Times New Roman" w:hAnsi="Times New Roman"/>
                <w:noProof/>
                <w:szCs w:val="24"/>
              </w:rPr>
            </w:pPr>
            <w:r>
              <w:rPr>
                <w:rFonts w:ascii="Times New Roman" w:hAnsi="Times New Roman"/>
                <w:noProof/>
              </w:rPr>
              <w:lastRenderedPageBreak/>
              <w:t>Servicii de urbanism (CPC 86741)</w:t>
            </w:r>
          </w:p>
        </w:tc>
        <w:tc>
          <w:tcPr>
            <w:tcW w:w="3278" w:type="pct"/>
          </w:tcPr>
          <w:p>
            <w:pPr>
              <w:spacing w:before="60" w:after="60" w:line="240" w:lineRule="auto"/>
              <w:rPr>
                <w:rFonts w:ascii="Times New Roman" w:hAnsi="Times New Roman"/>
                <w:noProof/>
                <w:szCs w:val="24"/>
              </w:rPr>
            </w:pPr>
            <w:r>
              <w:rPr>
                <w:rFonts w:ascii="Times New Roman" w:hAnsi="Times New Roman"/>
                <w:noProof/>
              </w:rPr>
              <w:t>Furnizorii de servicii pe bază de contract și profesioniștii independenți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Urbaniștii din Uniune trebuie să dețină un certificat de competență valabil în țara de 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Urbaniștii din Uniune trebuie să fie înregistrați în Indonezia. Înregistrarea trebuie efectuată prin intermediul unui mecanism de competență pentru a asigura standardul comparat al urbaniștilor din Uniune.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Urbaniștii din Uniune asigură respectarea cerințelor privind transferul de competențe și cunoștințe prin numirea unui urbanist indonezian ca asociat.</w:t>
            </w:r>
          </w:p>
        </w:tc>
      </w:tr>
      <w:tr>
        <w:tc>
          <w:tcPr>
            <w:tcW w:w="1722" w:type="pct"/>
          </w:tcPr>
          <w:p>
            <w:pPr>
              <w:spacing w:before="60" w:after="60" w:line="240" w:lineRule="auto"/>
              <w:rPr>
                <w:rFonts w:ascii="Times New Roman" w:hAnsi="Times New Roman"/>
                <w:noProof/>
                <w:szCs w:val="24"/>
              </w:rPr>
            </w:pPr>
            <w:r>
              <w:rPr>
                <w:rFonts w:ascii="Times New Roman" w:hAnsi="Times New Roman"/>
                <w:noProof/>
              </w:rPr>
              <w:t>Servicii de inginerie (CPC 8672 – cu excepția CPC 86721, 86725, 86726)</w:t>
            </w:r>
          </w:p>
        </w:tc>
        <w:tc>
          <w:tcPr>
            <w:tcW w:w="3278" w:type="pct"/>
          </w:tcPr>
          <w:p>
            <w:pPr>
              <w:spacing w:before="60" w:after="60" w:line="240" w:lineRule="auto"/>
              <w:rPr>
                <w:rFonts w:ascii="Times New Roman" w:hAnsi="Times New Roman"/>
                <w:noProof/>
                <w:szCs w:val="24"/>
              </w:rPr>
            </w:pPr>
            <w:r>
              <w:rPr>
                <w:rFonts w:ascii="Times New Roman" w:hAnsi="Times New Roman"/>
                <w:noProof/>
              </w:rPr>
              <w:t>Furnizorii de servicii pe bază de contract și profesioniștii independenți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Inginerii din Uniune trebuie să fie înregistrați în țara de 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Inginerii din Uniune trebuie să fie înregistrați și autorizați în Indonezia.</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Inginerii din Uniune asigură transferul de cunoștințe și tehnologie prin:</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dezvoltarea și îmbunătățirea serviciilor de inginerie la locul de muncă;</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transferul de competențe și cunoștințe către un inginer indonezian;</w:t>
            </w:r>
          </w:p>
          <w:p>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furnizarea de educație și/sau formare instituțiilor de învățământ, cercetare și/sau dezvoltare în domeniul ingineriei.</w:t>
            </w:r>
          </w:p>
        </w:tc>
      </w:tr>
      <w:tr>
        <w:tc>
          <w:tcPr>
            <w:tcW w:w="1722" w:type="pct"/>
          </w:tcPr>
          <w:p>
            <w:pPr>
              <w:pageBreakBefore/>
              <w:spacing w:before="60" w:after="60" w:line="240" w:lineRule="auto"/>
              <w:rPr>
                <w:rFonts w:ascii="Times New Roman" w:hAnsi="Times New Roman"/>
                <w:noProof/>
                <w:szCs w:val="24"/>
              </w:rPr>
            </w:pPr>
            <w:r>
              <w:rPr>
                <w:rFonts w:ascii="Times New Roman" w:hAnsi="Times New Roman"/>
                <w:noProof/>
              </w:rPr>
              <w:lastRenderedPageBreak/>
              <w:t>Servicii integrate de inginerie (CPC 8673)</w:t>
            </w:r>
          </w:p>
        </w:tc>
        <w:tc>
          <w:tcPr>
            <w:tcW w:w="3278" w:type="pct"/>
          </w:tcPr>
          <w:p>
            <w:pPr>
              <w:spacing w:before="60" w:after="60" w:line="240" w:lineRule="auto"/>
              <w:rPr>
                <w:rFonts w:ascii="Times New Roman" w:hAnsi="Times New Roman"/>
                <w:noProof/>
                <w:szCs w:val="24"/>
              </w:rPr>
            </w:pPr>
            <w:r>
              <w:rPr>
                <w:rFonts w:ascii="Times New Roman" w:hAnsi="Times New Roman"/>
                <w:noProof/>
              </w:rPr>
              <w:t>Furnizorii de servicii pe bază de contract și profesioniștii independenți</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Inginerii din Uniune trebuie să fie înregistrați în țara lor de origine.</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Inginerii din Uniune trebuie să fie înregistrați și autorizați în Indonezia.</w:t>
            </w:r>
          </w:p>
          <w:p>
            <w:pPr>
              <w:spacing w:before="60" w:after="60" w:line="240" w:lineRule="auto"/>
              <w:ind w:left="567" w:hanging="567"/>
              <w:rPr>
                <w:rFonts w:ascii="Times New Roman" w:hAnsi="Times New Roman"/>
                <w:noProof/>
                <w:szCs w:val="24"/>
              </w:rPr>
            </w:pPr>
            <w:r>
              <w:rPr>
                <w:rFonts w:ascii="Times New Roman" w:hAnsi="Times New Roman"/>
                <w:noProof/>
              </w:rPr>
              <w:t>–</w:t>
            </w:r>
            <w:r>
              <w:rPr>
                <w:noProof/>
              </w:rPr>
              <w:tab/>
            </w:r>
            <w:r>
              <w:rPr>
                <w:rFonts w:ascii="Times New Roman" w:hAnsi="Times New Roman"/>
                <w:noProof/>
              </w:rPr>
              <w:t>Inginerii din Uniune asigură transferul de cunoștințe și tehnologie prin:</w:t>
            </w:r>
          </w:p>
          <w:p>
            <w:pPr>
              <w:spacing w:before="60" w:after="60" w:line="240" w:lineRule="auto"/>
              <w:ind w:left="1134" w:hanging="567"/>
              <w:rPr>
                <w:rFonts w:ascii="Times New Roman" w:hAnsi="Times New Roman"/>
                <w:noProof/>
                <w:szCs w:val="24"/>
              </w:rPr>
            </w:pPr>
            <w:r>
              <w:rPr>
                <w:rFonts w:ascii="Times New Roman" w:hAnsi="Times New Roman"/>
                <w:noProof/>
              </w:rPr>
              <w:t>(i)</w:t>
            </w:r>
            <w:r>
              <w:rPr>
                <w:noProof/>
              </w:rPr>
              <w:tab/>
            </w:r>
            <w:r>
              <w:rPr>
                <w:rFonts w:ascii="Times New Roman" w:hAnsi="Times New Roman"/>
                <w:noProof/>
              </w:rPr>
              <w:t>dezvoltarea și îmbunătățirea serviciilor de inginerie la locul de muncă;</w:t>
            </w:r>
          </w:p>
          <w:p>
            <w:pPr>
              <w:spacing w:before="60" w:after="60" w:line="240" w:lineRule="auto"/>
              <w:ind w:left="1134" w:hanging="567"/>
              <w:rPr>
                <w:rFonts w:ascii="Times New Roman" w:hAnsi="Times New Roman"/>
                <w:noProof/>
                <w:szCs w:val="24"/>
              </w:rPr>
            </w:pPr>
            <w:r>
              <w:rPr>
                <w:rFonts w:ascii="Times New Roman" w:hAnsi="Times New Roman"/>
                <w:noProof/>
              </w:rPr>
              <w:t>(ii)</w:t>
            </w:r>
            <w:r>
              <w:rPr>
                <w:noProof/>
              </w:rPr>
              <w:tab/>
            </w:r>
            <w:r>
              <w:rPr>
                <w:rFonts w:ascii="Times New Roman" w:hAnsi="Times New Roman"/>
                <w:noProof/>
              </w:rPr>
              <w:t>transferul de competențe și cunoștințe către un inginer indonezian;</w:t>
            </w:r>
          </w:p>
          <w:p>
            <w:pPr>
              <w:spacing w:before="60" w:after="60" w:line="240" w:lineRule="auto"/>
              <w:ind w:left="1134" w:hanging="567"/>
              <w:rPr>
                <w:rFonts w:ascii="Times New Roman" w:hAnsi="Times New Roman"/>
                <w:noProof/>
                <w:szCs w:val="24"/>
              </w:rPr>
            </w:pPr>
            <w:r>
              <w:rPr>
                <w:rFonts w:ascii="Times New Roman" w:hAnsi="Times New Roman"/>
                <w:noProof/>
              </w:rPr>
              <w:t>(iii)</w:t>
            </w:r>
            <w:r>
              <w:rPr>
                <w:noProof/>
              </w:rPr>
              <w:tab/>
            </w:r>
            <w:r>
              <w:rPr>
                <w:rFonts w:ascii="Times New Roman" w:hAnsi="Times New Roman"/>
                <w:noProof/>
              </w:rPr>
              <w:t>furnizarea de educație și/sau formare instituțiilor de învățământ, cercetare și/sau dezvoltare în domeniul ingineriei.</w:t>
            </w:r>
          </w:p>
        </w:tc>
      </w:tr>
      <w:tr>
        <w:tc>
          <w:tcPr>
            <w:tcW w:w="1722" w:type="pct"/>
          </w:tcPr>
          <w:p>
            <w:pPr>
              <w:spacing w:before="60" w:after="60" w:line="240" w:lineRule="auto"/>
              <w:rPr>
                <w:rFonts w:ascii="Times New Roman" w:hAnsi="Times New Roman"/>
                <w:noProof/>
                <w:szCs w:val="24"/>
              </w:rPr>
            </w:pPr>
            <w:r>
              <w:rPr>
                <w:rFonts w:ascii="Times New Roman" w:hAnsi="Times New Roman"/>
                <w:noProof/>
              </w:rPr>
              <w:t>Servicii de prospectare geologică și geofizică (CPC 86751)</w:t>
            </w:r>
          </w:p>
        </w:tc>
        <w:tc>
          <w:tcPr>
            <w:tcW w:w="3278" w:type="pct"/>
          </w:tcPr>
          <w:p>
            <w:pPr>
              <w:spacing w:before="60" w:after="60" w:line="240" w:lineRule="auto"/>
              <w:rPr>
                <w:rFonts w:ascii="Times New Roman" w:hAnsi="Times New Roman"/>
                <w:noProof/>
                <w:szCs w:val="24"/>
              </w:rPr>
            </w:pPr>
            <w:r>
              <w:rPr>
                <w:rFonts w:ascii="Times New Roman" w:hAnsi="Times New Roman"/>
                <w:noProof/>
              </w:rPr>
              <w:t>Furnizorii de servicii pe bază de contract</w:t>
            </w:r>
          </w:p>
          <w:p>
            <w:pPr>
              <w:spacing w:before="60" w:after="60" w:line="240" w:lineRule="auto"/>
              <w:ind w:left="567" w:hanging="567"/>
              <w:rPr>
                <w:rFonts w:ascii="Times New Roman" w:hAnsi="Times New Roman"/>
                <w:noProof/>
                <w:szCs w:val="24"/>
              </w:rPr>
            </w:pPr>
            <w:r>
              <w:rPr>
                <w:rFonts w:ascii="Times New Roman" w:hAnsi="Times New Roman"/>
                <w:noProof/>
              </w:rPr>
              <w:t>(a)</w:t>
            </w:r>
            <w:r>
              <w:rPr>
                <w:noProof/>
              </w:rPr>
              <w:tab/>
            </w:r>
            <w:r>
              <w:rPr>
                <w:rFonts w:ascii="Times New Roman" w:hAnsi="Times New Roman"/>
                <w:noProof/>
              </w:rPr>
              <w:t>Sub rezerva testului privind necesitățile economice.</w:t>
            </w:r>
          </w:p>
          <w:p>
            <w:pPr>
              <w:spacing w:before="60" w:after="60" w:line="240" w:lineRule="auto"/>
              <w:ind w:left="567" w:hanging="567"/>
              <w:rPr>
                <w:rFonts w:ascii="Times New Roman" w:hAnsi="Times New Roman"/>
                <w:noProof/>
                <w:szCs w:val="24"/>
              </w:rPr>
            </w:pPr>
            <w:r>
              <w:rPr>
                <w:rFonts w:ascii="Times New Roman" w:hAnsi="Times New Roman"/>
                <w:noProof/>
              </w:rPr>
              <w:t>(b)</w:t>
            </w:r>
            <w:r>
              <w:rPr>
                <w:noProof/>
              </w:rPr>
              <w:tab/>
            </w:r>
            <w:r>
              <w:rPr>
                <w:rFonts w:ascii="Times New Roman" w:hAnsi="Times New Roman"/>
                <w:noProof/>
              </w:rPr>
              <w:t>Cerința privind experiența profesională poate varia pentru fiecare ocupație din acest sector/subsector.</w:t>
            </w:r>
          </w:p>
          <w:p>
            <w:pPr>
              <w:spacing w:before="60" w:after="60" w:line="240" w:lineRule="auto"/>
              <w:ind w:left="567" w:hanging="567"/>
              <w:rPr>
                <w:rFonts w:ascii="Times New Roman" w:hAnsi="Times New Roman"/>
                <w:noProof/>
                <w:szCs w:val="24"/>
              </w:rPr>
            </w:pPr>
            <w:r>
              <w:rPr>
                <w:rFonts w:ascii="Times New Roman" w:hAnsi="Times New Roman"/>
                <w:noProof/>
              </w:rPr>
              <w:t>(c)</w:t>
            </w:r>
            <w:r>
              <w:rPr>
                <w:noProof/>
              </w:rPr>
              <w:tab/>
            </w:r>
            <w:r>
              <w:rPr>
                <w:rFonts w:ascii="Times New Roman" w:hAnsi="Times New Roman"/>
                <w:noProof/>
              </w:rPr>
              <w:t>Inspectorul din Uniune trebuie să fie înregistrat în țara de origine și în Indonezia.</w:t>
            </w:r>
          </w:p>
          <w:p>
            <w:pPr>
              <w:spacing w:before="60" w:after="60" w:line="240" w:lineRule="auto"/>
              <w:rPr>
                <w:rFonts w:ascii="Times New Roman" w:hAnsi="Times New Roman"/>
                <w:noProof/>
                <w:szCs w:val="24"/>
              </w:rPr>
            </w:pPr>
          </w:p>
          <w:p>
            <w:pPr>
              <w:spacing w:before="60" w:after="60" w:line="240" w:lineRule="auto"/>
              <w:rPr>
                <w:rFonts w:ascii="Times New Roman" w:hAnsi="Times New Roman"/>
                <w:noProof/>
                <w:szCs w:val="24"/>
              </w:rPr>
            </w:pPr>
            <w:r>
              <w:rPr>
                <w:rFonts w:ascii="Times New Roman" w:hAnsi="Times New Roman"/>
                <w:noProof/>
              </w:rPr>
              <w:t>Profesioniștii independenți</w:t>
            </w:r>
          </w:p>
          <w:p>
            <w:pPr>
              <w:spacing w:before="60" w:after="60" w:line="240" w:lineRule="auto"/>
              <w:rPr>
                <w:rFonts w:ascii="Times New Roman" w:hAnsi="Times New Roman"/>
                <w:noProof/>
                <w:szCs w:val="24"/>
              </w:rPr>
            </w:pPr>
            <w:r>
              <w:rPr>
                <w:rFonts w:ascii="Times New Roman" w:hAnsi="Times New Roman"/>
                <w:noProof/>
              </w:rPr>
              <w:t>Neconsolidat.</w:t>
            </w:r>
          </w:p>
        </w:tc>
      </w:tr>
      <w:tr>
        <w:tc>
          <w:tcPr>
            <w:tcW w:w="1722" w:type="pct"/>
          </w:tcPr>
          <w:p>
            <w:pPr>
              <w:spacing w:before="60" w:after="60" w:line="240" w:lineRule="auto"/>
              <w:rPr>
                <w:rFonts w:ascii="Times New Roman" w:hAnsi="Times New Roman"/>
                <w:noProof/>
                <w:szCs w:val="24"/>
              </w:rPr>
            </w:pPr>
            <w:r>
              <w:rPr>
                <w:rFonts w:ascii="Times New Roman" w:hAnsi="Times New Roman"/>
                <w:noProof/>
              </w:rPr>
              <w:t>Servicii de servire a mesei, limitate la serviciile bucătarului-șef</w:t>
            </w:r>
          </w:p>
        </w:tc>
        <w:tc>
          <w:tcPr>
            <w:tcW w:w="3278" w:type="pct"/>
          </w:tcPr>
          <w:p>
            <w:pPr>
              <w:spacing w:before="60" w:after="60" w:line="240" w:lineRule="auto"/>
              <w:rPr>
                <w:rFonts w:ascii="Times New Roman" w:hAnsi="Times New Roman"/>
                <w:noProof/>
                <w:szCs w:val="24"/>
              </w:rPr>
            </w:pPr>
            <w:r>
              <w:rPr>
                <w:rFonts w:ascii="Times New Roman" w:hAnsi="Times New Roman"/>
                <w:noProof/>
              </w:rPr>
              <w:t>Furnizorii de servicii pe bază de contract și profesioniștii independenți</w:t>
            </w:r>
          </w:p>
          <w:p>
            <w:pPr>
              <w:spacing w:before="60" w:after="60" w:line="240" w:lineRule="auto"/>
              <w:rPr>
                <w:rFonts w:ascii="Times New Roman" w:hAnsi="Times New Roman"/>
                <w:noProof/>
                <w:szCs w:val="24"/>
              </w:rPr>
            </w:pPr>
            <w:r>
              <w:rPr>
                <w:rFonts w:ascii="Times New Roman" w:hAnsi="Times New Roman"/>
                <w:noProof/>
              </w:rPr>
              <w:t>Trebuie să obțină un certificat de competență.</w:t>
            </w:r>
          </w:p>
        </w:tc>
      </w:tr>
      <w:bookmarkEnd w:id="48"/>
    </w:tbl>
    <w:p>
      <w:pPr>
        <w:rPr>
          <w:noProof/>
        </w:rPr>
      </w:pPr>
    </w:p>
    <w:p>
      <w:pPr>
        <w:rPr>
          <w:noProof/>
        </w:rPr>
      </w:pPr>
    </w:p>
    <w:p>
      <w:pPr>
        <w:jc w:val="center"/>
        <w:rPr>
          <w:noProof/>
        </w:rPr>
      </w:pPr>
      <w:r>
        <w:rPr>
          <w:noProof/>
        </w:rPr>
        <w:t>________________</w:t>
      </w:r>
    </w:p>
    <w:p>
      <w:pPr>
        <w:rPr>
          <w:noProof/>
        </w:rPr>
        <w:sectPr>
          <w:headerReference w:type="default" r:id="rId70"/>
          <w:footerReference w:type="default" r:id="rId71"/>
          <w:footnotePr>
            <w:numRestart w:val="eachSect"/>
          </w:footnotePr>
          <w:endnotePr>
            <w:numFmt w:val="decimal"/>
          </w:endnotePr>
          <w:pgSz w:w="16840" w:h="11907" w:code="9"/>
          <w:pgMar w:top="1134" w:right="1134" w:bottom="1134" w:left="1134" w:header="567" w:footer="567" w:gutter="0"/>
          <w:cols w:space="720"/>
          <w:docGrid w:linePitch="326"/>
        </w:sectPr>
      </w:pPr>
    </w:p>
    <w:p>
      <w:pPr>
        <w:jc w:val="right"/>
        <w:rPr>
          <w:b/>
          <w:bCs/>
          <w:noProof/>
          <w:u w:val="single"/>
        </w:rPr>
      </w:pPr>
      <w:r>
        <w:rPr>
          <w:b/>
          <w:noProof/>
          <w:u w:val="single"/>
        </w:rPr>
        <w:lastRenderedPageBreak/>
        <w:t>ANEXA 8-H</w:t>
      </w:r>
    </w:p>
    <w:p>
      <w:pPr>
        <w:rPr>
          <w:noProof/>
        </w:rPr>
      </w:pPr>
    </w:p>
    <w:p>
      <w:pPr>
        <w:rPr>
          <w:noProof/>
        </w:rPr>
      </w:pPr>
    </w:p>
    <w:p>
      <w:pPr>
        <w:jc w:val="center"/>
        <w:rPr>
          <w:noProof/>
        </w:rPr>
      </w:pPr>
      <w:bookmarkStart w:id="49" w:name="_Hlk140070499"/>
      <w:r>
        <w:rPr>
          <w:noProof/>
        </w:rPr>
        <w:t xml:space="preserve">ORIENTĂRI REFERITOARE LA ACORDURILE </w:t>
      </w:r>
      <w:r>
        <w:rPr>
          <w:noProof/>
        </w:rPr>
        <w:br/>
        <w:t xml:space="preserve">PRIVIND RECUNOAȘTEREA RECIPROCĂ </w:t>
      </w:r>
      <w:r>
        <w:rPr>
          <w:noProof/>
        </w:rPr>
        <w:br/>
        <w:t>A CALIFICĂRILOR PROFESIONALE</w:t>
      </w:r>
      <w:bookmarkEnd w:id="49"/>
    </w:p>
    <w:p>
      <w:pPr>
        <w:rPr>
          <w:noProof/>
        </w:rPr>
      </w:pPr>
    </w:p>
    <w:p>
      <w:pPr>
        <w:rPr>
          <w:noProof/>
        </w:rPr>
      </w:pPr>
    </w:p>
    <w:p>
      <w:pPr>
        <w:jc w:val="center"/>
        <w:rPr>
          <w:noProof/>
        </w:rPr>
      </w:pPr>
      <w:r>
        <w:rPr>
          <w:noProof/>
        </w:rPr>
        <w:t>SECȚIUNEA A</w:t>
      </w:r>
    </w:p>
    <w:p>
      <w:pPr>
        <w:jc w:val="center"/>
        <w:rPr>
          <w:noProof/>
        </w:rPr>
      </w:pPr>
    </w:p>
    <w:p>
      <w:pPr>
        <w:jc w:val="center"/>
        <w:rPr>
          <w:noProof/>
        </w:rPr>
      </w:pPr>
      <w:r>
        <w:rPr>
          <w:noProof/>
        </w:rPr>
        <w:t>Dispoziții generale</w:t>
      </w:r>
    </w:p>
    <w:p>
      <w:pPr>
        <w:rPr>
          <w:noProof/>
        </w:rPr>
      </w:pPr>
    </w:p>
    <w:p>
      <w:pPr>
        <w:rPr>
          <w:noProof/>
        </w:rPr>
      </w:pPr>
      <w:r>
        <w:rPr>
          <w:noProof/>
        </w:rPr>
        <w:t>1.</w:t>
      </w:r>
      <w:r>
        <w:rPr>
          <w:noProof/>
        </w:rPr>
        <w:tab/>
        <w:t>Prezenta anexă conține orientări pentru acordurile privind condițiile de recunoaștere a calificărilor profesionale (denumite în continuare „acorduri” în sensul prezentei anexe), astfel cum se prevede la articolul 8.27.</w:t>
      </w:r>
    </w:p>
    <w:p>
      <w:pPr>
        <w:rPr>
          <w:noProof/>
        </w:rPr>
      </w:pPr>
    </w:p>
    <w:p>
      <w:pPr>
        <w:rPr>
          <w:noProof/>
        </w:rPr>
      </w:pPr>
      <w:r>
        <w:rPr>
          <w:noProof/>
        </w:rPr>
        <w:t>2.</w:t>
      </w:r>
      <w:r>
        <w:rPr>
          <w:noProof/>
        </w:rPr>
        <w:tab/>
        <w:t>În temeiul articolului 8.27, aceste orientări sunt luate în considerare la elaborarea recomandărilor comune de către organismele profesionale sau autoritățile părților (denumite în continuare „recomandări comune” în sensul prezentei anexe).</w:t>
      </w:r>
    </w:p>
    <w:p>
      <w:pPr>
        <w:rPr>
          <w:noProof/>
        </w:rPr>
      </w:pPr>
    </w:p>
    <w:p>
      <w:pPr>
        <w:rPr>
          <w:noProof/>
        </w:rPr>
      </w:pPr>
      <w:r>
        <w:rPr>
          <w:noProof/>
        </w:rPr>
        <w:t>3.</w:t>
      </w:r>
      <w:r>
        <w:rPr>
          <w:noProof/>
        </w:rPr>
        <w:tab/>
        <w:t>Aceste orientări sunt neobligatorii, neexhaustive și nu modifică sau afectează drepturile și obligațiile părților în temeiul prezentului acord. Ele stabilesc conținutul tipic al acordurilor și oferă indicații generale cu privire la valoarea economică a unui acord și la compatibilitatea regimurilor respective de calificări profesionale ale Părților.</w:t>
      </w:r>
    </w:p>
    <w:p>
      <w:pPr>
        <w:rPr>
          <w:noProof/>
        </w:rPr>
      </w:pPr>
    </w:p>
    <w:p>
      <w:pPr>
        <w:widowControl/>
        <w:spacing w:line="240" w:lineRule="auto"/>
        <w:rPr>
          <w:noProof/>
        </w:rPr>
      </w:pPr>
      <w:r>
        <w:rPr>
          <w:noProof/>
        </w:rPr>
        <w:br w:type="page"/>
      </w:r>
    </w:p>
    <w:p>
      <w:pPr>
        <w:rPr>
          <w:noProof/>
        </w:rPr>
      </w:pPr>
      <w:r>
        <w:rPr>
          <w:noProof/>
        </w:rPr>
        <w:lastRenderedPageBreak/>
        <w:t>4.</w:t>
      </w:r>
      <w:r>
        <w:rPr>
          <w:noProof/>
        </w:rPr>
        <w:tab/>
        <w:t>Nu toate elementele din prezentele orientări sunt relevante în toate cazurile, iar organismele și autoritățile profesionale sunt libere să includă în recomandările lor comune orice alt element pe care îl consideră relevant pentru acordurile privind profesia și activitățile profesionale în cauză, în conformitate cu prezentul acord.</w:t>
      </w:r>
    </w:p>
    <w:p>
      <w:pPr>
        <w:rPr>
          <w:noProof/>
        </w:rPr>
      </w:pPr>
    </w:p>
    <w:p>
      <w:pPr>
        <w:rPr>
          <w:noProof/>
        </w:rPr>
      </w:pPr>
      <w:r>
        <w:rPr>
          <w:noProof/>
        </w:rPr>
        <w:t>5.</w:t>
      </w:r>
      <w:r>
        <w:rPr>
          <w:noProof/>
        </w:rPr>
        <w:tab/>
        <w:t>Comitetul pentru comerț ține seama de orientări atunci când decide dacă să elaboreze și să adopte un acord privind recunoașterea reciprocă în temeiul articolului 8.27. Orientările nu aduc atingere reexaminării de către Comitetul pentru comerț a coerenței recomandărilor comune cu capitolul 8 (Liberalizarea investițiilor și a comerțului cu servicii) și nici marjei de apreciere a acestuia de a lua în considerare elementele pe care le consideră relevante, inclusiv pe cele cuprinse în recomandările comune.</w:t>
      </w:r>
    </w:p>
    <w:p>
      <w:pPr>
        <w:rPr>
          <w:noProof/>
        </w:rPr>
      </w:pPr>
    </w:p>
    <w:p>
      <w:pPr>
        <w:rPr>
          <w:noProof/>
        </w:rPr>
      </w:pPr>
    </w:p>
    <w:p>
      <w:pPr>
        <w:jc w:val="center"/>
        <w:rPr>
          <w:noProof/>
        </w:rPr>
      </w:pPr>
      <w:r>
        <w:rPr>
          <w:noProof/>
        </w:rPr>
        <w:t>SECȚIUNEA B</w:t>
      </w:r>
    </w:p>
    <w:p>
      <w:pPr>
        <w:jc w:val="center"/>
        <w:rPr>
          <w:noProof/>
        </w:rPr>
      </w:pPr>
    </w:p>
    <w:p>
      <w:pPr>
        <w:jc w:val="center"/>
        <w:rPr>
          <w:noProof/>
        </w:rPr>
      </w:pPr>
      <w:r>
        <w:rPr>
          <w:noProof/>
        </w:rPr>
        <w:t>Forma și conținutul unui acord</w:t>
      </w:r>
    </w:p>
    <w:p>
      <w:pPr>
        <w:rPr>
          <w:noProof/>
        </w:rPr>
      </w:pPr>
    </w:p>
    <w:p>
      <w:pPr>
        <w:rPr>
          <w:noProof/>
        </w:rPr>
      </w:pPr>
      <w:r>
        <w:rPr>
          <w:noProof/>
        </w:rPr>
        <w:t>6.</w:t>
      </w:r>
      <w:r>
        <w:rPr>
          <w:noProof/>
        </w:rPr>
        <w:tab/>
        <w:t>Prezenta secțiune prezintă conținutul tipic al unui acord, din care o parte nu ține de competența organismelor sau a autorităților profesionale care elaborează recomandări comune. Aceste aspecte constituie, cu toate acestea, informații utile care trebuie luate în considerare la elaborarea recomandărilor comune, astfel încât să fie mai bine adaptate la posibilul domeniu de aplicare al unui acord.</w:t>
      </w:r>
    </w:p>
    <w:p>
      <w:pPr>
        <w:rPr>
          <w:noProof/>
        </w:rPr>
      </w:pPr>
    </w:p>
    <w:p>
      <w:pPr>
        <w:rPr>
          <w:noProof/>
        </w:rPr>
      </w:pPr>
      <w:r>
        <w:rPr>
          <w:noProof/>
        </w:rPr>
        <w:t>7.</w:t>
      </w:r>
      <w:r>
        <w:rPr>
          <w:noProof/>
        </w:rPr>
        <w:tab/>
        <w:t>Chestiunile vizate în mod specific în prezentul acord care se aplică acordurilor, cum ar fi domeniul geografic de aplicare al unui acord, interacțiunea acestuia cu măsurile neconforme avute în vedere, sistemul de soluționare a litigiilor, căile de atac, mecanismele de monitorizare și de revizuire a acordului, nu ar trebui abordate prin recomandări comune.</w:t>
      </w:r>
    </w:p>
    <w:p>
      <w:pPr>
        <w:rPr>
          <w:noProof/>
        </w:rPr>
      </w:pPr>
    </w:p>
    <w:p>
      <w:pPr>
        <w:widowControl/>
        <w:spacing w:line="240" w:lineRule="auto"/>
        <w:rPr>
          <w:noProof/>
        </w:rPr>
      </w:pPr>
      <w:r>
        <w:rPr>
          <w:noProof/>
        </w:rPr>
        <w:br w:type="page"/>
      </w:r>
    </w:p>
    <w:p>
      <w:pPr>
        <w:rPr>
          <w:noProof/>
        </w:rPr>
      </w:pPr>
      <w:r>
        <w:rPr>
          <w:noProof/>
        </w:rPr>
        <w:lastRenderedPageBreak/>
        <w:t>8.</w:t>
      </w:r>
      <w:r>
        <w:rPr>
          <w:noProof/>
        </w:rPr>
        <w:tab/>
        <w:t>Un acord poate specifica diferite mecanisme de recunoaștere a calificările profesionale în cadrul unei părți. De asemenea, acesta se poate limita la stabilirea domeniului de aplicare al acordului, a dispozițiilor procedurale, a efectelor recunoașterii și a cerințelor suplimentare, precum și a dispozițiilor administrative.</w:t>
      </w:r>
    </w:p>
    <w:p>
      <w:pPr>
        <w:rPr>
          <w:noProof/>
        </w:rPr>
      </w:pPr>
    </w:p>
    <w:p>
      <w:pPr>
        <w:rPr>
          <w:noProof/>
        </w:rPr>
      </w:pPr>
      <w:r>
        <w:rPr>
          <w:noProof/>
        </w:rPr>
        <w:t>9.</w:t>
      </w:r>
      <w:r>
        <w:rPr>
          <w:noProof/>
        </w:rPr>
        <w:tab/>
        <w:t>Un acord adoptat de Comitetul pentru comerț ar trebui să reflecte marja de apreciere care se dorește a fi menținută pentru autoritățile competente care decid cu privire la recunoașterea calificărilor profesionale.</w:t>
      </w:r>
    </w:p>
    <w:p>
      <w:pPr>
        <w:rPr>
          <w:noProof/>
        </w:rPr>
      </w:pPr>
    </w:p>
    <w:p>
      <w:pPr>
        <w:jc w:val="center"/>
        <w:rPr>
          <w:noProof/>
        </w:rPr>
      </w:pPr>
      <w:r>
        <w:rPr>
          <w:noProof/>
        </w:rPr>
        <w:t>Domeniul de aplicare al unui acord</w:t>
      </w:r>
    </w:p>
    <w:p>
      <w:pPr>
        <w:rPr>
          <w:noProof/>
        </w:rPr>
      </w:pPr>
    </w:p>
    <w:p>
      <w:pPr>
        <w:rPr>
          <w:noProof/>
        </w:rPr>
      </w:pPr>
      <w:r>
        <w:rPr>
          <w:noProof/>
        </w:rPr>
        <w:t>10.</w:t>
      </w:r>
      <w:r>
        <w:rPr>
          <w:noProof/>
        </w:rPr>
        <w:tab/>
        <w:t>Acordul ar trebui să prevadă:</w:t>
      </w:r>
    </w:p>
    <w:p>
      <w:pPr>
        <w:rPr>
          <w:noProof/>
        </w:rPr>
      </w:pPr>
    </w:p>
    <w:p>
      <w:pPr>
        <w:ind w:left="567" w:hanging="567"/>
        <w:rPr>
          <w:noProof/>
        </w:rPr>
      </w:pPr>
      <w:r>
        <w:rPr>
          <w:noProof/>
        </w:rPr>
        <w:t>(a)</w:t>
      </w:r>
      <w:r>
        <w:rPr>
          <w:noProof/>
        </w:rPr>
        <w:tab/>
        <w:t>profesia sau profesiile reglementate specifice, titlul sau titlurile profesionale relevante și activitatea sau grupul de activități care intră în domeniul de aplicare al practicii aferent profesiei reglementate pe teritoriul părților („domeniul de aplicare al practicii”) și</w:t>
      </w:r>
    </w:p>
    <w:p>
      <w:pPr>
        <w:rPr>
          <w:noProof/>
        </w:rPr>
      </w:pPr>
    </w:p>
    <w:p>
      <w:pPr>
        <w:ind w:left="567" w:hanging="567"/>
        <w:rPr>
          <w:noProof/>
        </w:rPr>
      </w:pPr>
      <w:r>
        <w:rPr>
          <w:noProof/>
        </w:rPr>
        <w:t>(b)</w:t>
      </w:r>
      <w:r>
        <w:rPr>
          <w:noProof/>
        </w:rPr>
        <w:tab/>
        <w:t>dacă se referă la recunoașterea calificărilor profesionale în scopul accesului la activități profesionale pe durată limitată sau nedeterminată.</w:t>
      </w:r>
    </w:p>
    <w:p>
      <w:pPr>
        <w:rPr>
          <w:noProof/>
        </w:rPr>
      </w:pPr>
    </w:p>
    <w:p>
      <w:pPr>
        <w:widowControl/>
        <w:spacing w:line="240" w:lineRule="auto"/>
        <w:rPr>
          <w:noProof/>
        </w:rPr>
      </w:pPr>
      <w:r>
        <w:rPr>
          <w:noProof/>
        </w:rPr>
        <w:br w:type="page"/>
      </w:r>
    </w:p>
    <w:p>
      <w:pPr>
        <w:jc w:val="center"/>
        <w:rPr>
          <w:noProof/>
        </w:rPr>
      </w:pPr>
      <w:r>
        <w:rPr>
          <w:noProof/>
        </w:rPr>
        <w:lastRenderedPageBreak/>
        <w:t>Condiții de recunoaștere</w:t>
      </w:r>
    </w:p>
    <w:p>
      <w:pPr>
        <w:rPr>
          <w:noProof/>
        </w:rPr>
      </w:pPr>
    </w:p>
    <w:p>
      <w:pPr>
        <w:rPr>
          <w:noProof/>
        </w:rPr>
      </w:pPr>
      <w:r>
        <w:rPr>
          <w:noProof/>
        </w:rPr>
        <w:t>11.</w:t>
      </w:r>
      <w:r>
        <w:rPr>
          <w:noProof/>
        </w:rPr>
        <w:tab/>
        <w:t>Acordul poate preciza, în special:</w:t>
      </w:r>
    </w:p>
    <w:p>
      <w:pPr>
        <w:rPr>
          <w:noProof/>
        </w:rPr>
      </w:pPr>
    </w:p>
    <w:p>
      <w:pPr>
        <w:ind w:left="567" w:hanging="567"/>
        <w:rPr>
          <w:noProof/>
        </w:rPr>
      </w:pPr>
      <w:r>
        <w:rPr>
          <w:noProof/>
        </w:rPr>
        <w:t>(a)</w:t>
      </w:r>
      <w:r>
        <w:rPr>
          <w:noProof/>
        </w:rPr>
        <w:tab/>
        <w:t>calificările profesionale necesare pentru recunoaștere în temeiul acordului, cum ar fi titlurile de calificare, experiența profesională sau alte atestate de competență;</w:t>
      </w:r>
    </w:p>
    <w:p>
      <w:pPr>
        <w:rPr>
          <w:noProof/>
        </w:rPr>
      </w:pPr>
    </w:p>
    <w:p>
      <w:pPr>
        <w:ind w:left="567" w:hanging="567"/>
        <w:rPr>
          <w:noProof/>
        </w:rPr>
      </w:pPr>
      <w:r>
        <w:rPr>
          <w:noProof/>
        </w:rPr>
        <w:t>(b)</w:t>
      </w:r>
      <w:r>
        <w:rPr>
          <w:noProof/>
        </w:rPr>
        <w:tab/>
        <w:t>marja de apreciere păstrată de autoritățile care decid asupra recunoașterii calificărilor profesionale atunci când examinează cererile de recunoaștere a calificărilor în cauză și</w:t>
      </w:r>
    </w:p>
    <w:p>
      <w:pPr>
        <w:rPr>
          <w:noProof/>
        </w:rPr>
      </w:pPr>
    </w:p>
    <w:p>
      <w:pPr>
        <w:ind w:left="567" w:hanging="567"/>
        <w:rPr>
          <w:noProof/>
        </w:rPr>
      </w:pPr>
      <w:r>
        <w:rPr>
          <w:noProof/>
        </w:rPr>
        <w:t>(c)</w:t>
      </w:r>
      <w:r>
        <w:rPr>
          <w:noProof/>
        </w:rPr>
        <w:tab/>
        <w:t>procedurile de abordare a diferențelor și a decalajelor dintre calificările profesionale și mijloacele de eliminare a diferențelor, inclusiv posibilitatea de a impune măsuri compensatorii sau alte condiții și limitări relevante.</w:t>
      </w:r>
    </w:p>
    <w:p>
      <w:pPr>
        <w:rPr>
          <w:noProof/>
        </w:rPr>
      </w:pPr>
    </w:p>
    <w:p>
      <w:pPr>
        <w:jc w:val="center"/>
        <w:rPr>
          <w:noProof/>
        </w:rPr>
      </w:pPr>
      <w:r>
        <w:rPr>
          <w:noProof/>
        </w:rPr>
        <w:t>Dispoziții procedurale</w:t>
      </w:r>
    </w:p>
    <w:p>
      <w:pPr>
        <w:rPr>
          <w:noProof/>
        </w:rPr>
      </w:pPr>
    </w:p>
    <w:p>
      <w:pPr>
        <w:rPr>
          <w:noProof/>
        </w:rPr>
      </w:pPr>
      <w:r>
        <w:rPr>
          <w:noProof/>
        </w:rPr>
        <w:t>12.</w:t>
      </w:r>
      <w:r>
        <w:rPr>
          <w:noProof/>
        </w:rPr>
        <w:tab/>
        <w:t>Acordul poate prevedea:</w:t>
      </w:r>
    </w:p>
    <w:p>
      <w:pPr>
        <w:rPr>
          <w:noProof/>
        </w:rPr>
      </w:pPr>
    </w:p>
    <w:p>
      <w:pPr>
        <w:ind w:left="567" w:hanging="567"/>
        <w:rPr>
          <w:noProof/>
        </w:rPr>
      </w:pPr>
      <w:r>
        <w:rPr>
          <w:noProof/>
        </w:rPr>
        <w:t>(a)</w:t>
      </w:r>
      <w:r>
        <w:rPr>
          <w:noProof/>
        </w:rPr>
        <w:tab/>
        <w:t>documentele necesare și forma în care trebuie prezentate, de exemplu, prin mijloace electronice sau prin alte mijloace, dacă ar trebui să fie însoțite de traduceri sau certificări ale autenticității;</w:t>
      </w:r>
    </w:p>
    <w:p>
      <w:pPr>
        <w:rPr>
          <w:noProof/>
        </w:rPr>
      </w:pPr>
    </w:p>
    <w:p>
      <w:pPr>
        <w:ind w:left="567" w:hanging="567"/>
        <w:rPr>
          <w:noProof/>
        </w:rPr>
      </w:pPr>
      <w:r>
        <w:rPr>
          <w:noProof/>
        </w:rPr>
        <w:t>(b)</w:t>
      </w:r>
      <w:r>
        <w:rPr>
          <w:noProof/>
        </w:rPr>
        <w:tab/>
        <w:t>etapele și procedurile din procesul de recunoaștere, inclusiv cele referitoare la eventuale măsuri compensatorii și obligațiile și termenele corespunzătoare și</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disponibilitatea informațiilor relevante pentru toate aspectele aferente proceselor și cerințelor de recunoaștere, cum ar fi o listă a autorităților competente și datele de contact ale acestora.</w:t>
      </w:r>
    </w:p>
    <w:p>
      <w:pPr>
        <w:rPr>
          <w:noProof/>
        </w:rPr>
      </w:pPr>
    </w:p>
    <w:p>
      <w:pPr>
        <w:jc w:val="center"/>
        <w:rPr>
          <w:noProof/>
        </w:rPr>
      </w:pPr>
      <w:r>
        <w:rPr>
          <w:noProof/>
        </w:rPr>
        <w:t>Efectele recunoașterii și cerințe suplimentare</w:t>
      </w:r>
    </w:p>
    <w:p>
      <w:pPr>
        <w:rPr>
          <w:noProof/>
        </w:rPr>
      </w:pPr>
    </w:p>
    <w:p>
      <w:pPr>
        <w:rPr>
          <w:noProof/>
        </w:rPr>
      </w:pPr>
      <w:r>
        <w:rPr>
          <w:noProof/>
        </w:rPr>
        <w:t>13.</w:t>
      </w:r>
      <w:r>
        <w:rPr>
          <w:noProof/>
        </w:rPr>
        <w:tab/>
        <w:t>Acordul poate aborda efectele recunoașterii calificărilor profesionale ale părților.</w:t>
      </w:r>
    </w:p>
    <w:p>
      <w:pPr>
        <w:rPr>
          <w:noProof/>
        </w:rPr>
      </w:pPr>
    </w:p>
    <w:p>
      <w:pPr>
        <w:rPr>
          <w:noProof/>
        </w:rPr>
      </w:pPr>
      <w:r>
        <w:rPr>
          <w:noProof/>
        </w:rPr>
        <w:t>14.</w:t>
      </w:r>
      <w:r>
        <w:rPr>
          <w:noProof/>
        </w:rPr>
        <w:tab/>
        <w:t>Acordul poate descrie orice cerințe suplimentare pentru exercitarea efectivă a profesiei reglementate în partea gazdă. Astfel de cerințe pot include:</w:t>
      </w:r>
    </w:p>
    <w:p>
      <w:pPr>
        <w:rPr>
          <w:noProof/>
        </w:rPr>
      </w:pPr>
    </w:p>
    <w:p>
      <w:pPr>
        <w:ind w:left="567" w:hanging="567"/>
        <w:rPr>
          <w:noProof/>
        </w:rPr>
      </w:pPr>
      <w:r>
        <w:rPr>
          <w:noProof/>
        </w:rPr>
        <w:t>(a)</w:t>
      </w:r>
      <w:r>
        <w:rPr>
          <w:noProof/>
        </w:rPr>
        <w:tab/>
        <w:t>cerințe de înregistrare la autoritățile locale;</w:t>
      </w:r>
    </w:p>
    <w:p>
      <w:pPr>
        <w:rPr>
          <w:noProof/>
        </w:rPr>
      </w:pPr>
    </w:p>
    <w:p>
      <w:pPr>
        <w:ind w:left="567" w:hanging="567"/>
        <w:rPr>
          <w:noProof/>
        </w:rPr>
      </w:pPr>
      <w:r>
        <w:rPr>
          <w:noProof/>
        </w:rPr>
        <w:t>(b)</w:t>
      </w:r>
      <w:r>
        <w:rPr>
          <w:noProof/>
        </w:rPr>
        <w:tab/>
        <w:t>dovada competențelor lingvistice corespunzătoare;</w:t>
      </w:r>
    </w:p>
    <w:p>
      <w:pPr>
        <w:rPr>
          <w:noProof/>
        </w:rPr>
      </w:pPr>
    </w:p>
    <w:p>
      <w:pPr>
        <w:ind w:left="567" w:hanging="567"/>
        <w:rPr>
          <w:noProof/>
        </w:rPr>
      </w:pPr>
      <w:r>
        <w:rPr>
          <w:noProof/>
        </w:rPr>
        <w:t>(c)</w:t>
      </w:r>
      <w:r>
        <w:rPr>
          <w:noProof/>
        </w:rPr>
        <w:tab/>
        <w:t>dovada bunei reputații;</w:t>
      </w:r>
    </w:p>
    <w:p>
      <w:pPr>
        <w:rPr>
          <w:noProof/>
        </w:rPr>
      </w:pPr>
    </w:p>
    <w:p>
      <w:pPr>
        <w:ind w:left="567" w:hanging="567"/>
        <w:rPr>
          <w:noProof/>
        </w:rPr>
      </w:pPr>
      <w:r>
        <w:rPr>
          <w:noProof/>
        </w:rPr>
        <w:t>(d)</w:t>
      </w:r>
      <w:r>
        <w:rPr>
          <w:noProof/>
        </w:rPr>
        <w:tab/>
        <w:t>respectarea cerințelor părții gazdă privind utilizarea denumirilor comerciale sau a denumirilor firmelor;</w:t>
      </w:r>
    </w:p>
    <w:p>
      <w:pPr>
        <w:rPr>
          <w:noProof/>
        </w:rPr>
      </w:pPr>
    </w:p>
    <w:p>
      <w:pPr>
        <w:ind w:left="567" w:hanging="567"/>
        <w:rPr>
          <w:noProof/>
        </w:rPr>
      </w:pPr>
      <w:r>
        <w:rPr>
          <w:noProof/>
        </w:rPr>
        <w:t>(e)</w:t>
      </w:r>
      <w:r>
        <w:rPr>
          <w:noProof/>
        </w:rPr>
        <w:tab/>
        <w:t>respectarea normelor de etică, independență și conduită profesională ale părții gazdă;</w:t>
      </w:r>
    </w:p>
    <w:p>
      <w:pPr>
        <w:rPr>
          <w:noProof/>
        </w:rPr>
      </w:pPr>
    </w:p>
    <w:p>
      <w:pPr>
        <w:ind w:left="567" w:hanging="567"/>
        <w:rPr>
          <w:noProof/>
        </w:rPr>
      </w:pPr>
      <w:r>
        <w:rPr>
          <w:noProof/>
        </w:rPr>
        <w:t>(f)</w:t>
      </w:r>
      <w:r>
        <w:rPr>
          <w:noProof/>
        </w:rPr>
        <w:tab/>
        <w:t>necesitatea de a obține o asigurare de răspundere civilă profesională;</w:t>
      </w:r>
    </w:p>
    <w:p>
      <w:pPr>
        <w:rPr>
          <w:noProof/>
        </w:rPr>
      </w:pPr>
    </w:p>
    <w:p>
      <w:pPr>
        <w:ind w:left="567" w:hanging="567"/>
        <w:rPr>
          <w:noProof/>
        </w:rPr>
      </w:pPr>
      <w:r>
        <w:rPr>
          <w:noProof/>
        </w:rPr>
        <w:t>(g)</w:t>
      </w:r>
      <w:r>
        <w:rPr>
          <w:noProof/>
        </w:rPr>
        <w:tab/>
        <w:t>norme privind măsurile disciplinare, responsabilitatea financiară și răspunderea profesională și</w:t>
      </w:r>
    </w:p>
    <w:p>
      <w:pPr>
        <w:rPr>
          <w:noProof/>
        </w:rPr>
      </w:pPr>
    </w:p>
    <w:p>
      <w:pPr>
        <w:widowControl/>
        <w:spacing w:line="240" w:lineRule="auto"/>
        <w:rPr>
          <w:noProof/>
        </w:rPr>
      </w:pPr>
      <w:r>
        <w:rPr>
          <w:noProof/>
        </w:rPr>
        <w:br w:type="page"/>
      </w:r>
    </w:p>
    <w:p>
      <w:pPr>
        <w:ind w:left="567" w:hanging="567"/>
        <w:rPr>
          <w:noProof/>
        </w:rPr>
      </w:pPr>
      <w:r>
        <w:rPr>
          <w:noProof/>
        </w:rPr>
        <w:lastRenderedPageBreak/>
        <w:t>(h)</w:t>
      </w:r>
      <w:r>
        <w:rPr>
          <w:noProof/>
        </w:rPr>
        <w:tab/>
        <w:t>cerințele de dezvoltare profesională continuă.</w:t>
      </w:r>
    </w:p>
    <w:p>
      <w:pPr>
        <w:rPr>
          <w:noProof/>
        </w:rPr>
      </w:pPr>
    </w:p>
    <w:p>
      <w:pPr>
        <w:jc w:val="center"/>
        <w:rPr>
          <w:noProof/>
        </w:rPr>
      </w:pPr>
      <w:r>
        <w:rPr>
          <w:noProof/>
        </w:rPr>
        <w:t>Administrarea acordului</w:t>
      </w:r>
    </w:p>
    <w:p>
      <w:pPr>
        <w:rPr>
          <w:noProof/>
        </w:rPr>
      </w:pPr>
    </w:p>
    <w:p>
      <w:pPr>
        <w:rPr>
          <w:noProof/>
        </w:rPr>
      </w:pPr>
      <w:r>
        <w:rPr>
          <w:noProof/>
        </w:rPr>
        <w:t>15.</w:t>
      </w:r>
      <w:r>
        <w:rPr>
          <w:noProof/>
        </w:rPr>
        <w:tab/>
        <w:t>Acordul ar trebui să stabilească respectivele condiții în care poate fi revizuit sau denunțat, precum și efectele oricărei revizuiri sau denunțări. Ar trebui să se ia în considerare și includerea unor dispoziții privind efectele oricărei recunoașteri a calificărilor profesionale acordate anterior.</w:t>
      </w:r>
    </w:p>
    <w:p>
      <w:pPr>
        <w:rPr>
          <w:noProof/>
        </w:rPr>
      </w:pPr>
    </w:p>
    <w:p>
      <w:pPr>
        <w:rPr>
          <w:noProof/>
        </w:rPr>
      </w:pPr>
    </w:p>
    <w:p>
      <w:pPr>
        <w:jc w:val="center"/>
        <w:rPr>
          <w:noProof/>
        </w:rPr>
      </w:pPr>
      <w:r>
        <w:rPr>
          <w:noProof/>
        </w:rPr>
        <w:t>SECȚIUNEA C</w:t>
      </w:r>
    </w:p>
    <w:p>
      <w:pPr>
        <w:jc w:val="center"/>
        <w:rPr>
          <w:noProof/>
        </w:rPr>
      </w:pPr>
    </w:p>
    <w:p>
      <w:pPr>
        <w:jc w:val="center"/>
        <w:rPr>
          <w:noProof/>
        </w:rPr>
      </w:pPr>
      <w:r>
        <w:rPr>
          <w:noProof/>
        </w:rPr>
        <w:t>Valoarea economică a unui acord preconizat</w:t>
      </w:r>
    </w:p>
    <w:p>
      <w:pPr>
        <w:rPr>
          <w:noProof/>
        </w:rPr>
      </w:pPr>
    </w:p>
    <w:p>
      <w:pPr>
        <w:rPr>
          <w:noProof/>
        </w:rPr>
      </w:pPr>
      <w:r>
        <w:rPr>
          <w:noProof/>
        </w:rPr>
        <w:t>16.</w:t>
      </w:r>
      <w:r>
        <w:rPr>
          <w:noProof/>
        </w:rPr>
        <w:tab/>
        <w:t>În temeiul articolului 8.27, recomandările comune trebuie să fie susținute de o evaluare bazată pe dovezi a valorii economice a unui acord preconizat. Aceasta poate consta într-o evaluare a beneficiilor economice pe care un acord se așteaptă să le aducă economiilor ambelor părți. O astfel de evaluare îi poate fi utilă Comitetului pentru comerț atunci când elaborează și adoptă un acord.</w:t>
      </w:r>
    </w:p>
    <w:p>
      <w:pPr>
        <w:rPr>
          <w:noProof/>
        </w:rPr>
      </w:pPr>
    </w:p>
    <w:p>
      <w:pPr>
        <w:rPr>
          <w:noProof/>
        </w:rPr>
      </w:pPr>
      <w:r>
        <w:rPr>
          <w:noProof/>
        </w:rPr>
        <w:t>17.</w:t>
      </w:r>
      <w:r>
        <w:rPr>
          <w:noProof/>
        </w:rPr>
        <w:tab/>
        <w:t>Aspecte precum nivelul actual de deschidere a pieței, nevoile industriei, tendințele și evoluțiile pieței, așteptările și cerințele clienților și oportunitățile de afaceri ar constitui elemente utile ale evaluării menționate la punctul 16.</w:t>
      </w:r>
    </w:p>
    <w:p>
      <w:pPr>
        <w:rPr>
          <w:noProof/>
        </w:rPr>
      </w:pPr>
    </w:p>
    <w:p>
      <w:pPr>
        <w:widowControl/>
        <w:spacing w:line="240" w:lineRule="auto"/>
        <w:rPr>
          <w:noProof/>
        </w:rPr>
      </w:pPr>
      <w:r>
        <w:rPr>
          <w:noProof/>
        </w:rPr>
        <w:br w:type="page"/>
      </w:r>
    </w:p>
    <w:p>
      <w:pPr>
        <w:rPr>
          <w:noProof/>
        </w:rPr>
      </w:pPr>
      <w:r>
        <w:rPr>
          <w:noProof/>
        </w:rPr>
        <w:lastRenderedPageBreak/>
        <w:t>18.</w:t>
      </w:r>
      <w:r>
        <w:rPr>
          <w:noProof/>
        </w:rPr>
        <w:tab/>
        <w:t>Evaluarea menționată la punctul 16 nu trebuie să fie o analiză economică detaliată și completă. Ea ar trebui să ofere o explicație privind interesul profesiei în cauză și beneficiile preconizate pentru părți care decurg din adoptarea unui acord.</w:t>
      </w:r>
    </w:p>
    <w:p>
      <w:pPr>
        <w:rPr>
          <w:noProof/>
        </w:rPr>
      </w:pPr>
    </w:p>
    <w:p>
      <w:pPr>
        <w:rPr>
          <w:noProof/>
        </w:rPr>
      </w:pPr>
    </w:p>
    <w:p>
      <w:pPr>
        <w:jc w:val="center"/>
        <w:rPr>
          <w:noProof/>
        </w:rPr>
      </w:pPr>
      <w:r>
        <w:rPr>
          <w:noProof/>
        </w:rPr>
        <w:t>SECȚIUNEA D</w:t>
      </w:r>
    </w:p>
    <w:p>
      <w:pPr>
        <w:jc w:val="center"/>
        <w:rPr>
          <w:noProof/>
        </w:rPr>
      </w:pPr>
    </w:p>
    <w:p>
      <w:pPr>
        <w:jc w:val="center"/>
        <w:rPr>
          <w:noProof/>
        </w:rPr>
      </w:pPr>
      <w:r>
        <w:rPr>
          <w:noProof/>
        </w:rPr>
        <w:t>Compatibilitatea regimurilor respective de calificare profesională</w:t>
      </w:r>
    </w:p>
    <w:p>
      <w:pPr>
        <w:rPr>
          <w:noProof/>
        </w:rPr>
      </w:pPr>
    </w:p>
    <w:p>
      <w:pPr>
        <w:rPr>
          <w:noProof/>
        </w:rPr>
      </w:pPr>
      <w:r>
        <w:rPr>
          <w:noProof/>
        </w:rPr>
        <w:t>19.</w:t>
      </w:r>
      <w:r>
        <w:rPr>
          <w:noProof/>
        </w:rPr>
        <w:tab/>
        <w:t>În temeiul articolului 8.27, recomandările comune trebuie să fie susținute de o evaluare bazată pe dovezi a compatibilității regimurilor respective de calificare profesională. O astfel de evaluare îi poate fi utilă Comitetului pentru comerț atunci când elaborează și adoptă un acord.</w:t>
      </w:r>
    </w:p>
    <w:p>
      <w:pPr>
        <w:rPr>
          <w:noProof/>
        </w:rPr>
      </w:pPr>
    </w:p>
    <w:p>
      <w:pPr>
        <w:rPr>
          <w:noProof/>
        </w:rPr>
      </w:pPr>
      <w:r>
        <w:rPr>
          <w:noProof/>
        </w:rPr>
        <w:t>20.</w:t>
      </w:r>
      <w:r>
        <w:rPr>
          <w:noProof/>
        </w:rPr>
        <w:tab/>
        <w:t>Următorul proces urmărește să orienteze organismele și autoritățile profesionale atunci când evaluează compatibilitatea calificărilor și a activităților profesionale respective în scopul facilitării recunoașterii calificărilor profesionale.</w:t>
      </w:r>
    </w:p>
    <w:p>
      <w:pPr>
        <w:rPr>
          <w:noProof/>
        </w:rPr>
      </w:pPr>
    </w:p>
    <w:p>
      <w:pPr>
        <w:rPr>
          <w:noProof/>
        </w:rPr>
      </w:pPr>
      <w:r>
        <w:rPr>
          <w:noProof/>
        </w:rPr>
        <w:t>Etapa 1: Evaluarea domeniului de aplicare al practicii și a calificărilor profesionale necesare pentru exercitarea profesiei reglementate în fiecare parte.</w:t>
      </w:r>
    </w:p>
    <w:p>
      <w:pPr>
        <w:rPr>
          <w:noProof/>
        </w:rPr>
      </w:pPr>
    </w:p>
    <w:p>
      <w:pPr>
        <w:rPr>
          <w:noProof/>
        </w:rPr>
      </w:pPr>
      <w:r>
        <w:rPr>
          <w:noProof/>
        </w:rPr>
        <w:t>21.</w:t>
      </w:r>
      <w:r>
        <w:rPr>
          <w:noProof/>
        </w:rPr>
        <w:tab/>
        <w:t>Evaluarea domeniului de aplicare al practicii și a calificărilor profesionale necesare pentru exercitarea profesiei reglementate în fiecare dintre părți ar trebui să se bazeze pe toate informațiile relevante.</w:t>
      </w:r>
    </w:p>
    <w:p>
      <w:pPr>
        <w:rPr>
          <w:noProof/>
        </w:rPr>
      </w:pPr>
    </w:p>
    <w:p>
      <w:pPr>
        <w:widowControl/>
        <w:spacing w:line="240" w:lineRule="auto"/>
        <w:rPr>
          <w:noProof/>
        </w:rPr>
      </w:pPr>
      <w:r>
        <w:rPr>
          <w:noProof/>
        </w:rPr>
        <w:br w:type="page"/>
      </w:r>
    </w:p>
    <w:p>
      <w:pPr>
        <w:rPr>
          <w:noProof/>
        </w:rPr>
      </w:pPr>
      <w:r>
        <w:rPr>
          <w:noProof/>
        </w:rPr>
        <w:lastRenderedPageBreak/>
        <w:t>22.</w:t>
      </w:r>
      <w:r>
        <w:rPr>
          <w:noProof/>
        </w:rPr>
        <w:tab/>
        <w:t>Următoarele elemente ar trebui să fie identificate:</w:t>
      </w:r>
    </w:p>
    <w:p>
      <w:pPr>
        <w:rPr>
          <w:noProof/>
        </w:rPr>
      </w:pPr>
    </w:p>
    <w:p>
      <w:pPr>
        <w:ind w:left="567" w:hanging="567"/>
        <w:rPr>
          <w:noProof/>
        </w:rPr>
      </w:pPr>
      <w:r>
        <w:rPr>
          <w:noProof/>
        </w:rPr>
        <w:t>(a)</w:t>
      </w:r>
      <w:r>
        <w:rPr>
          <w:noProof/>
        </w:rPr>
        <w:tab/>
        <w:t>activitățile sau grupurile de activități pe care le vizează domeniul de aplicare al practicii aferent profesiei reglementate în fiecare parte și</w:t>
      </w:r>
    </w:p>
    <w:p>
      <w:pPr>
        <w:rPr>
          <w:noProof/>
        </w:rPr>
      </w:pPr>
    </w:p>
    <w:p>
      <w:pPr>
        <w:ind w:left="567" w:hanging="567"/>
        <w:rPr>
          <w:noProof/>
        </w:rPr>
      </w:pPr>
      <w:r>
        <w:rPr>
          <w:noProof/>
        </w:rPr>
        <w:t>(b)</w:t>
      </w:r>
      <w:r>
        <w:rPr>
          <w:noProof/>
        </w:rPr>
        <w:tab/>
        <w:t>calificările profesionale necesare în fiecare parte pentru a exercita profesia reglementată, care pot include oricare dintre următoarele elemente:</w:t>
      </w:r>
    </w:p>
    <w:p>
      <w:pPr>
        <w:rPr>
          <w:noProof/>
        </w:rPr>
      </w:pPr>
    </w:p>
    <w:p>
      <w:pPr>
        <w:ind w:left="1134" w:hanging="567"/>
        <w:rPr>
          <w:noProof/>
        </w:rPr>
      </w:pPr>
      <w:r>
        <w:rPr>
          <w:noProof/>
        </w:rPr>
        <w:t>(i)</w:t>
      </w:r>
      <w:r>
        <w:rPr>
          <w:noProof/>
        </w:rPr>
        <w:tab/>
        <w:t>educația minimă necesară, de exemplu cerințele de admitere, nivelul de educație, durata studiilor și conținutul acestora;</w:t>
      </w:r>
    </w:p>
    <w:p>
      <w:pPr>
        <w:rPr>
          <w:noProof/>
        </w:rPr>
      </w:pPr>
    </w:p>
    <w:p>
      <w:pPr>
        <w:ind w:left="1134" w:hanging="567"/>
        <w:rPr>
          <w:noProof/>
        </w:rPr>
      </w:pPr>
      <w:r>
        <w:rPr>
          <w:noProof/>
        </w:rPr>
        <w:t>(ii)</w:t>
      </w:r>
      <w:r>
        <w:rPr>
          <w:noProof/>
        </w:rPr>
        <w:tab/>
        <w:t>experiența profesională minimă necesară, de exemplu, locația, durata și condițiile de formare practică sau de practică profesională supravegheată înainte de înregistrare, autorizare sau echivalent;</w:t>
      </w:r>
    </w:p>
    <w:p>
      <w:pPr>
        <w:rPr>
          <w:noProof/>
        </w:rPr>
      </w:pPr>
    </w:p>
    <w:p>
      <w:pPr>
        <w:ind w:left="1134" w:hanging="567"/>
        <w:rPr>
          <w:noProof/>
        </w:rPr>
      </w:pPr>
      <w:r>
        <w:rPr>
          <w:noProof/>
        </w:rPr>
        <w:t>(iii)</w:t>
      </w:r>
      <w:r>
        <w:rPr>
          <w:noProof/>
        </w:rPr>
        <w:tab/>
        <w:t>examenele promovate, în special examenele de competență profesională; și</w:t>
      </w:r>
    </w:p>
    <w:p>
      <w:pPr>
        <w:rPr>
          <w:noProof/>
        </w:rPr>
      </w:pPr>
    </w:p>
    <w:p>
      <w:pPr>
        <w:ind w:left="1134" w:hanging="567"/>
        <w:rPr>
          <w:noProof/>
        </w:rPr>
      </w:pPr>
      <w:r>
        <w:rPr>
          <w:noProof/>
        </w:rPr>
        <w:t>(iv)</w:t>
      </w:r>
      <w:r>
        <w:rPr>
          <w:noProof/>
        </w:rPr>
        <w:tab/>
        <w:t>obținerea unei licențe sau a unui document echivalent care să ateste, între altele, îndeplinirea cerințelor de calificare profesională necesare pentru exercitarea profesiei.</w:t>
      </w:r>
    </w:p>
    <w:p>
      <w:pPr>
        <w:rPr>
          <w:noProof/>
        </w:rPr>
      </w:pPr>
    </w:p>
    <w:p>
      <w:pPr>
        <w:rPr>
          <w:noProof/>
        </w:rPr>
      </w:pPr>
      <w:r>
        <w:rPr>
          <w:noProof/>
        </w:rPr>
        <w:t>Etapa 2: Evaluarea divergenței dintre domeniile de aplicare ale practicii sau dintre calificările profesionale necesare pentru exercitarea profesiei reglementate în fiecare parte.</w:t>
      </w:r>
    </w:p>
    <w:p>
      <w:pPr>
        <w:rPr>
          <w:noProof/>
        </w:rPr>
      </w:pPr>
    </w:p>
    <w:p>
      <w:pPr>
        <w:rPr>
          <w:noProof/>
        </w:rPr>
      </w:pPr>
      <w:r>
        <w:rPr>
          <w:noProof/>
        </w:rPr>
        <w:t>23.</w:t>
      </w:r>
      <w:r>
        <w:rPr>
          <w:noProof/>
        </w:rPr>
        <w:tab/>
        <w:t>Evaluarea divergențelor în ceea ce privește domeniul de aplicare al practicii sau calificările profesionale necesare pentru exercitarea profesiei reglementate în fiecare parte ar trebui în special să identifice divergențele care sunt substanțiale.</w:t>
      </w:r>
    </w:p>
    <w:p>
      <w:pPr>
        <w:rPr>
          <w:noProof/>
        </w:rPr>
      </w:pPr>
    </w:p>
    <w:p>
      <w:pPr>
        <w:widowControl/>
        <w:spacing w:line="240" w:lineRule="auto"/>
        <w:rPr>
          <w:noProof/>
        </w:rPr>
      </w:pPr>
      <w:r>
        <w:rPr>
          <w:noProof/>
        </w:rPr>
        <w:br w:type="page"/>
      </w:r>
    </w:p>
    <w:p>
      <w:pPr>
        <w:rPr>
          <w:noProof/>
        </w:rPr>
      </w:pPr>
      <w:r>
        <w:rPr>
          <w:noProof/>
        </w:rPr>
        <w:lastRenderedPageBreak/>
        <w:t>24.</w:t>
      </w:r>
      <w:r>
        <w:rPr>
          <w:noProof/>
        </w:rPr>
        <w:tab/>
        <w:t>Pot exista divergențe substanțiale în ceea ce privește domeniul de aplicare al practicii dacă sunt îndeplinite toate următoarele condiții:</w:t>
      </w:r>
    </w:p>
    <w:p>
      <w:pPr>
        <w:rPr>
          <w:noProof/>
        </w:rPr>
      </w:pPr>
    </w:p>
    <w:p>
      <w:pPr>
        <w:ind w:left="567" w:hanging="567"/>
        <w:rPr>
          <w:noProof/>
        </w:rPr>
      </w:pPr>
      <w:r>
        <w:rPr>
          <w:noProof/>
        </w:rPr>
        <w:t>(a)</w:t>
      </w:r>
      <w:r>
        <w:rPr>
          <w:noProof/>
        </w:rPr>
        <w:tab/>
        <w:t>una sau mai multe activități acoperite de o profesie în partea gazdă nu sunt acoperite de profesia corespunzătoare în partea de origine;</w:t>
      </w:r>
    </w:p>
    <w:p>
      <w:pPr>
        <w:rPr>
          <w:noProof/>
        </w:rPr>
      </w:pPr>
    </w:p>
    <w:p>
      <w:pPr>
        <w:ind w:left="567" w:hanging="567"/>
        <w:rPr>
          <w:noProof/>
        </w:rPr>
      </w:pPr>
      <w:r>
        <w:rPr>
          <w:noProof/>
        </w:rPr>
        <w:t>(b)</w:t>
      </w:r>
      <w:r>
        <w:rPr>
          <w:noProof/>
        </w:rPr>
        <w:tab/>
        <w:t>astfel de activități fac obiectul unei formări specifice în partea gazdă; și</w:t>
      </w:r>
    </w:p>
    <w:p>
      <w:pPr>
        <w:rPr>
          <w:noProof/>
        </w:rPr>
      </w:pPr>
    </w:p>
    <w:p>
      <w:pPr>
        <w:ind w:left="567" w:hanging="567"/>
        <w:rPr>
          <w:noProof/>
        </w:rPr>
      </w:pPr>
      <w:r>
        <w:rPr>
          <w:noProof/>
        </w:rPr>
        <w:t>(c)</w:t>
      </w:r>
      <w:r>
        <w:rPr>
          <w:noProof/>
        </w:rPr>
        <w:tab/>
        <w:t>formarea pentru astfel de activități în partea gazdă acoperă aspecte care diferă substanțial de cele acoperite de calificarea solicitantului.</w:t>
      </w:r>
    </w:p>
    <w:p>
      <w:pPr>
        <w:rPr>
          <w:noProof/>
        </w:rPr>
      </w:pPr>
    </w:p>
    <w:p>
      <w:pPr>
        <w:rPr>
          <w:noProof/>
        </w:rPr>
      </w:pPr>
      <w:r>
        <w:rPr>
          <w:noProof/>
        </w:rPr>
        <w:t>Pentru mai multă certitudine, termenul „formare” se referă la dobândirea de cunoștințe și competențe specifice necesare pentru exercitarea profesiei, demonstrate prin diplome, certificate și alte dovezi eliberate de organismele sau autoritățile profesionale ale părții gazdă, care certifică finalizarea cu succes a formării respective, după caz.</w:t>
      </w:r>
    </w:p>
    <w:p>
      <w:pPr>
        <w:rPr>
          <w:noProof/>
        </w:rPr>
      </w:pPr>
    </w:p>
    <w:p>
      <w:pPr>
        <w:rPr>
          <w:noProof/>
        </w:rPr>
      </w:pPr>
      <w:r>
        <w:rPr>
          <w:noProof/>
        </w:rPr>
        <w:t>25.</w:t>
      </w:r>
      <w:r>
        <w:rPr>
          <w:noProof/>
        </w:rPr>
        <w:tab/>
        <w:t>Pot exista divergențe substanțiale în ceea ce privește calificările profesionale necesare pentru exercitarea profesiei reglementate în cazul în care există divergențe între cerințele părților în ceea ce privește nivelul, durata sau conținutul formării necesare pentru desfășurarea activităților acoperite de profesia reglementată.</w:t>
      </w:r>
    </w:p>
    <w:p>
      <w:pPr>
        <w:rPr>
          <w:noProof/>
        </w:rPr>
      </w:pPr>
    </w:p>
    <w:p>
      <w:pPr>
        <w:rPr>
          <w:noProof/>
        </w:rPr>
      </w:pPr>
      <w:r>
        <w:rPr>
          <w:noProof/>
        </w:rPr>
        <w:t>Etapa 3: Mecanisme de recunoaștere</w:t>
      </w:r>
    </w:p>
    <w:p>
      <w:pPr>
        <w:rPr>
          <w:noProof/>
        </w:rPr>
      </w:pPr>
    </w:p>
    <w:p>
      <w:pPr>
        <w:rPr>
          <w:noProof/>
        </w:rPr>
      </w:pPr>
      <w:r>
        <w:rPr>
          <w:noProof/>
        </w:rPr>
        <w:t>26.</w:t>
      </w:r>
      <w:r>
        <w:rPr>
          <w:noProof/>
        </w:rPr>
        <w:tab/>
        <w:t>Pot exista diferite mecanisme de recunoaștere a calificărilor profesionale, în funcție de circumstanțe, inclusiv posibilitatea existenței unor mecanisme diferite în cadrul unei părți.</w:t>
      </w:r>
    </w:p>
    <w:p>
      <w:pPr>
        <w:rPr>
          <w:noProof/>
        </w:rPr>
      </w:pPr>
    </w:p>
    <w:p>
      <w:pPr>
        <w:widowControl/>
        <w:spacing w:line="240" w:lineRule="auto"/>
        <w:rPr>
          <w:noProof/>
        </w:rPr>
      </w:pPr>
      <w:r>
        <w:rPr>
          <w:noProof/>
        </w:rPr>
        <w:br w:type="page"/>
      </w:r>
    </w:p>
    <w:p>
      <w:pPr>
        <w:rPr>
          <w:noProof/>
        </w:rPr>
      </w:pPr>
      <w:r>
        <w:rPr>
          <w:noProof/>
        </w:rPr>
        <w:lastRenderedPageBreak/>
        <w:t>27.</w:t>
      </w:r>
      <w:r>
        <w:rPr>
          <w:noProof/>
        </w:rPr>
        <w:tab/>
        <w:t>În cazul în care nu există divergențe substanțiale în ceea ce privește domeniul de aplicare al practicii și calificările profesionale necesare pentru exercitarea unei profesii reglementate, un acord poate prevedea un proces de recunoaștere mai simplu și mai raționalizat decât în cazul în care există divergențe substanțiale.</w:t>
      </w:r>
    </w:p>
    <w:p>
      <w:pPr>
        <w:rPr>
          <w:noProof/>
        </w:rPr>
      </w:pPr>
    </w:p>
    <w:p>
      <w:pPr>
        <w:rPr>
          <w:noProof/>
        </w:rPr>
      </w:pPr>
      <w:r>
        <w:rPr>
          <w:noProof/>
        </w:rPr>
        <w:t>28.</w:t>
      </w:r>
      <w:r>
        <w:rPr>
          <w:noProof/>
        </w:rPr>
        <w:tab/>
        <w:t>Dacă există divergențe substanțiale, acordul poate prevedea măsuri compensatorii suficiente pentru a remedia astfel de divergențe.</w:t>
      </w:r>
    </w:p>
    <w:p>
      <w:pPr>
        <w:rPr>
          <w:noProof/>
        </w:rPr>
      </w:pPr>
    </w:p>
    <w:p>
      <w:pPr>
        <w:rPr>
          <w:noProof/>
        </w:rPr>
      </w:pPr>
      <w:r>
        <w:rPr>
          <w:noProof/>
        </w:rPr>
        <w:t>29.</w:t>
      </w:r>
      <w:r>
        <w:rPr>
          <w:noProof/>
        </w:rPr>
        <w:tab/>
        <w:t>În cazul în care se instituie măsuri compensatorii pentru a reduce divergențele substanțiale, acestea ar trebui să fie proporționale cu divergențele pe care urmăresc să le remedieze. Orice experiență profesională practică sau formare validată oficial poate fi luată în considerare pentru a evalua amploarea măsurilor compensatorii necesare. Astfel de măsuri compensatorii ar trebui să ia forma cea mai puțin împovărătoare pentru solicitant.</w:t>
      </w:r>
    </w:p>
    <w:p>
      <w:pPr>
        <w:rPr>
          <w:noProof/>
        </w:rPr>
      </w:pPr>
    </w:p>
    <w:p>
      <w:pPr>
        <w:rPr>
          <w:noProof/>
        </w:rPr>
      </w:pPr>
      <w:r>
        <w:rPr>
          <w:noProof/>
        </w:rPr>
        <w:t>30.</w:t>
      </w:r>
      <w:r>
        <w:rPr>
          <w:noProof/>
        </w:rPr>
        <w:tab/>
        <w:t>Indiferent dacă divergențele sunt substanțiale, acordul poate lua în considerare marja de apreciere care se dorește a fi menținută pentru autoritățile competente care decid cu privire la cererile de recunoaștere.</w:t>
      </w:r>
    </w:p>
    <w:p>
      <w:pPr>
        <w:rPr>
          <w:noProof/>
        </w:rPr>
      </w:pPr>
    </w:p>
    <w:p>
      <w:pPr>
        <w:rPr>
          <w:noProof/>
        </w:rPr>
      </w:pPr>
      <w:r>
        <w:rPr>
          <w:noProof/>
        </w:rPr>
        <w:t>31.</w:t>
      </w:r>
      <w:r>
        <w:rPr>
          <w:noProof/>
        </w:rPr>
        <w:tab/>
        <w:t>Măsurile compensatorii pot lua diferite forme, între care:</w:t>
      </w:r>
    </w:p>
    <w:p>
      <w:pPr>
        <w:rPr>
          <w:noProof/>
        </w:rPr>
      </w:pPr>
    </w:p>
    <w:p>
      <w:pPr>
        <w:ind w:left="567" w:hanging="567"/>
        <w:rPr>
          <w:noProof/>
        </w:rPr>
      </w:pPr>
      <w:r>
        <w:rPr>
          <w:noProof/>
        </w:rPr>
        <w:t>(a)</w:t>
      </w:r>
      <w:r>
        <w:rPr>
          <w:noProof/>
        </w:rPr>
        <w:tab/>
        <w:t>o perioadă de practică supervizată a unei profesii reglementate în partea gazdă, însoțită eventual de formare suplimentară, sub responsabilitatea unei persoane calificate și care face obiectul unei evaluări reglementate;</w:t>
      </w:r>
    </w:p>
    <w:p>
      <w:pPr>
        <w:rPr>
          <w:noProof/>
        </w:rPr>
      </w:pPr>
    </w:p>
    <w:p>
      <w:pPr>
        <w:ind w:left="567" w:hanging="567"/>
        <w:rPr>
          <w:noProof/>
        </w:rPr>
      </w:pPr>
      <w:r>
        <w:rPr>
          <w:noProof/>
        </w:rPr>
        <w:t>(b)</w:t>
      </w:r>
      <w:r>
        <w:rPr>
          <w:noProof/>
        </w:rPr>
        <w:tab/>
        <w:t>un test efectuat sau recunoscut de autoritățile relevante ale părții gazdă pentru a evalua capacitatea solicitantului de a exercita o profesie reglementată în partea respectivă;</w:t>
      </w:r>
    </w:p>
    <w:p>
      <w:pPr>
        <w:rPr>
          <w:noProof/>
        </w:rPr>
      </w:pPr>
    </w:p>
    <w:p>
      <w:pPr>
        <w:widowControl/>
        <w:spacing w:line="240" w:lineRule="auto"/>
        <w:rPr>
          <w:noProof/>
        </w:rPr>
      </w:pPr>
      <w:r>
        <w:rPr>
          <w:noProof/>
        </w:rPr>
        <w:br w:type="page"/>
      </w:r>
    </w:p>
    <w:p>
      <w:pPr>
        <w:ind w:left="567" w:hanging="567"/>
        <w:rPr>
          <w:noProof/>
        </w:rPr>
      </w:pPr>
      <w:r>
        <w:rPr>
          <w:noProof/>
        </w:rPr>
        <w:lastRenderedPageBreak/>
        <w:t>(c)</w:t>
      </w:r>
      <w:r>
        <w:rPr>
          <w:noProof/>
        </w:rPr>
        <w:tab/>
        <w:t>o limitare temporară a domeniului de aplicare al practicii aferent exercitării unei profesii reglementate sau al solicitanților individuali sau</w:t>
      </w:r>
    </w:p>
    <w:p>
      <w:pPr>
        <w:rPr>
          <w:noProof/>
        </w:rPr>
      </w:pPr>
    </w:p>
    <w:p>
      <w:pPr>
        <w:ind w:left="567" w:hanging="567"/>
        <w:rPr>
          <w:noProof/>
        </w:rPr>
      </w:pPr>
      <w:r>
        <w:rPr>
          <w:noProof/>
        </w:rPr>
        <w:t>(d)</w:t>
      </w:r>
      <w:r>
        <w:rPr>
          <w:noProof/>
        </w:rPr>
        <w:tab/>
        <w:t>o combinație între măsurile prevăzute la literele (a)-(c).</w:t>
      </w:r>
    </w:p>
    <w:p>
      <w:pPr>
        <w:rPr>
          <w:noProof/>
        </w:rPr>
      </w:pPr>
    </w:p>
    <w:p>
      <w:pPr>
        <w:rPr>
          <w:noProof/>
        </w:rPr>
      </w:pPr>
      <w:r>
        <w:rPr>
          <w:noProof/>
        </w:rPr>
        <w:t>32.</w:t>
      </w:r>
      <w:r>
        <w:rPr>
          <w:noProof/>
        </w:rPr>
        <w:tab/>
        <w:t>Acordul poate prevedea ca solicitanților să li se ofere posibilitatea de a alege între diferite măsuri compensatorii, dacă acest lucru poate limita sarcina administrativă pentru solicitanți și dacă măsurile respective sunt echivalente.</w:t>
      </w:r>
    </w:p>
    <w:p>
      <w:pPr>
        <w:rPr>
          <w:noProof/>
        </w:rPr>
      </w:pPr>
    </w:p>
    <w:p>
      <w:pPr>
        <w:rPr>
          <w:noProof/>
        </w:rPr>
      </w:pPr>
    </w:p>
    <w:p>
      <w:pPr>
        <w:jc w:val="center"/>
        <w:rPr>
          <w:noProof/>
        </w:rPr>
      </w:pPr>
      <w:r>
        <w:rPr>
          <w:noProof/>
        </w:rPr>
        <w:t>________________</w:t>
      </w:r>
    </w:p>
    <w:sectPr>
      <w:headerReference w:type="default" r:id="rId72"/>
      <w:footerReference w:type="default" r:id="rId73"/>
      <w:footnotePr>
        <w:numRestart w:val="eachSect"/>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Malgun Gothic">
    <w:altName w:val="맑은 고딕"/>
    <w:panose1 w:val="020B0503020000020004"/>
    <w:charset w:val="81"/>
    <w:family w:val="swiss"/>
    <w:pitch w:val="variable"/>
    <w:sig w:usb0="9000002F" w:usb1="29D77CFB" w:usb2="00000012" w:usb3="00000000" w:csb0="00080001" w:csb1="00000000"/>
  </w:font>
  <w:font w:name="Book Antiqua">
    <w:panose1 w:val="02040602050305030304"/>
    <w:charset w:val="00"/>
    <w:family w:val="roman"/>
    <w:pitch w:val="variable"/>
    <w:sig w:usb0="00000287" w:usb1="00000000"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Bookman">
    <w:altName w:val="Bookman Old Style"/>
    <w:charset w:val="00"/>
    <w:family w:val="auto"/>
    <w:pitch w:val="default"/>
    <w:sig w:usb0="00000000" w:usb1="00000000" w:usb2="00000000" w:usb3="00000000" w:csb0="0000009F" w:csb1="00000000"/>
  </w:font>
  <w:font w:name="Angsana New">
    <w:panose1 w:val="02020603050405020304"/>
    <w:charset w:val="DE"/>
    <w:family w:val="roman"/>
    <w:pitch w:val="variable"/>
    <w:sig w:usb0="81000003" w:usb1="00000000" w:usb2="00000000" w:usb3="00000000" w:csb0="00010001" w:csb1="00000000"/>
  </w:font>
  <w:font w:name="Arial-BoldMT">
    <w:altName w:val="Segoe Print"/>
    <w:charset w:val="00"/>
    <w:family w:val="roman"/>
    <w:pitch w:val="default"/>
  </w:font>
  <w:font w:name="ArialMT">
    <w:altName w:val="Arial"/>
    <w:charset w:val="00"/>
    <w:family w:val="auto"/>
    <w:pitch w:val="default"/>
    <w:sig w:usb0="00000000" w:usb1="00000000" w:usb2="00000009" w:usb3="00000000" w:csb0="000001FF"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tab/>
    </w:r>
    <w:r>
      <w:rPr>
        <w:rFonts w:ascii="Arial" w:hAnsi="Arial" w:cs="Arial"/>
        <w:b/>
        <w:sz w:val="48"/>
      </w:rPr>
      <w:t>RO</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CoverPage"/>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p>
    <w:pPr>
      <w:pStyle w:val="Footer"/>
    </w:pPr>
  </w:p>
  <w:p>
    <w:pPr>
      <w:pStyle w:val="Footer"/>
      <w:jc w:val="center"/>
    </w:pPr>
    <w:r>
      <w:fldChar w:fldCharType="begin"/>
    </w:r>
    <w:r>
      <w:instrText xml:space="preserve"> MACROBUTTON Nomacro &amp; </w:instrText>
    </w:r>
    <w:r>
      <w:fldChar w:fldCharType="end"/>
    </w:r>
    <w:r>
      <w:t xml:space="preserve">/ro </w:t>
    </w:r>
    <w:r>
      <w:fldChar w:fldCharType="begin"/>
    </w:r>
    <w:r>
      <w:instrText xml:space="preserve"> PAGE  \* MERGEFORMAT </w:instrText>
    </w:r>
    <w:r>
      <w:fldChar w:fldCharType="separate"/>
    </w:r>
    <w: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separator/>
      </w:r>
    </w:p>
  </w:footnote>
  <w:footnote w:id="1">
    <w:p>
      <w:pPr>
        <w:pStyle w:val="FootnoteText"/>
        <w:ind w:left="567" w:hanging="567"/>
        <w:rPr>
          <w:sz w:val="24"/>
          <w:szCs w:val="24"/>
        </w:rPr>
      </w:pPr>
      <w:r>
        <w:rPr>
          <w:rStyle w:val="FootnoteReference"/>
          <w:b/>
          <w:sz w:val="24"/>
          <w:szCs w:val="24"/>
        </w:rPr>
        <w:footnoteRef/>
      </w:r>
      <w:r>
        <w:tab/>
      </w:r>
      <w:r>
        <w:rPr>
          <w:sz w:val="24"/>
        </w:rPr>
        <w:t>Legislația bulgară privind proprietatea recunoaște următoarele drepturi de proprietate limitate</w:t>
      </w:r>
      <w:r>
        <w:t>:</w:t>
      </w:r>
      <w:r>
        <w:rPr>
          <w:sz w:val="24"/>
        </w:rPr>
        <w:t xml:space="preserve"> dreptul de folosință, dreptul de a construi, dreptul de a ridica o suprastructură și servituți.</w:t>
      </w:r>
    </w:p>
  </w:footnote>
  <w:footnote w:id="2">
    <w:p>
      <w:pPr>
        <w:pStyle w:val="FootnoteText"/>
        <w:ind w:left="567" w:hanging="567"/>
        <w:rPr>
          <w:sz w:val="24"/>
          <w:szCs w:val="24"/>
        </w:rPr>
      </w:pPr>
      <w:r>
        <w:rPr>
          <w:rStyle w:val="FootnoteReference"/>
          <w:b/>
          <w:sz w:val="24"/>
          <w:szCs w:val="24"/>
        </w:rPr>
        <w:footnoteRef/>
      </w:r>
      <w:r>
        <w:tab/>
      </w:r>
      <w:r>
        <w:rPr>
          <w:sz w:val="24"/>
        </w:rPr>
        <w:t>Trimiterile la persoanele „juridice” din liste ar trebui înțelese în conformitate cu legislația statelor membre în cauză</w:t>
      </w:r>
      <w:r>
        <w:t>.</w:t>
      </w:r>
    </w:p>
  </w:footnote>
  <w:footnote w:id="3">
    <w:p>
      <w:pPr>
        <w:pStyle w:val="FootnoteText"/>
        <w:ind w:left="567" w:hanging="567"/>
        <w:rPr>
          <w:sz w:val="24"/>
          <w:szCs w:val="24"/>
        </w:rPr>
      </w:pPr>
      <w:r>
        <w:rPr>
          <w:rStyle w:val="FootnoteReference"/>
          <w:b/>
          <w:sz w:val="24"/>
          <w:szCs w:val="24"/>
        </w:rPr>
        <w:footnoteRef/>
      </w:r>
      <w:r>
        <w:tab/>
      </w:r>
      <w:r>
        <w:rPr>
          <w:sz w:val="24"/>
        </w:rPr>
        <w:t>În ceea ce privește sectoarele de servicii, aceste limitări nu le depășesc pe cele reflectate în angajamentele GATS existente</w:t>
      </w:r>
      <w:r>
        <w:t>.</w:t>
      </w:r>
    </w:p>
  </w:footnote>
  <w:footnote w:id="4">
    <w:p>
      <w:pPr>
        <w:pStyle w:val="FootnoteText"/>
        <w:ind w:left="567" w:hanging="567"/>
        <w:rPr>
          <w:sz w:val="24"/>
          <w:szCs w:val="24"/>
        </w:rPr>
      </w:pPr>
      <w:r>
        <w:rPr>
          <w:rStyle w:val="FootnoteReference"/>
          <w:b/>
          <w:sz w:val="24"/>
          <w:szCs w:val="24"/>
        </w:rPr>
        <w:footnoteRef/>
      </w:r>
      <w:r>
        <w:tab/>
      </w:r>
      <w:r>
        <w:rPr>
          <w:sz w:val="24"/>
        </w:rPr>
        <w:t>În ceea ce privește sectoarele de servicii, aceste limitări nu le depășesc pe cele reflectate în angajamentele GATS existente</w:t>
      </w:r>
      <w:r>
        <w:t>.</w:t>
      </w:r>
    </w:p>
  </w:footnote>
  <w:footnote w:id="5">
    <w:p>
      <w:pPr>
        <w:pStyle w:val="FootnoteText"/>
        <w:ind w:left="567" w:hanging="567"/>
        <w:rPr>
          <w:sz w:val="24"/>
          <w:szCs w:val="24"/>
        </w:rPr>
      </w:pPr>
      <w:r>
        <w:rPr>
          <w:rStyle w:val="FootnoteReference"/>
          <w:b/>
          <w:sz w:val="24"/>
          <w:szCs w:val="24"/>
        </w:rPr>
        <w:footnoteRef/>
      </w:r>
      <w:r>
        <w:tab/>
      </w:r>
      <w:r>
        <w:rPr>
          <w:sz w:val="24"/>
        </w:rPr>
        <w:t>În ceea ce privește sectoarele de servicii, aceste limitări nu le depășesc pe cele reflectate în angajamentele GATS existente</w:t>
      </w:r>
      <w:r>
        <w:t>.</w:t>
      </w:r>
    </w:p>
  </w:footnote>
  <w:footnote w:id="6">
    <w:p>
      <w:pPr>
        <w:pStyle w:val="FootnoteText"/>
        <w:ind w:left="567" w:hanging="567"/>
        <w:rPr>
          <w:sz w:val="24"/>
          <w:szCs w:val="24"/>
        </w:rPr>
      </w:pPr>
      <w:r>
        <w:rPr>
          <w:rStyle w:val="FootnoteReference"/>
          <w:b/>
          <w:sz w:val="24"/>
          <w:szCs w:val="24"/>
        </w:rPr>
        <w:footnoteRef/>
      </w:r>
      <w:r>
        <w:tab/>
      </w:r>
      <w:r>
        <w:rPr>
          <w:sz w:val="24"/>
        </w:rPr>
        <w:t>În conformitate cu Legea societăților comerciale, o sucursală înființată în Slovenia nu este considerată persoană juridică, dar, în ceea ce privește funcționarea acesteia, tratamentul care i se aplică este echivalent cu tratamentul care i se aplică unei filiale, în conformitate cu articolul XXVIII litera (g) din GATS</w:t>
      </w:r>
      <w:r>
        <w:t>.</w:t>
      </w:r>
    </w:p>
  </w:footnote>
  <w:footnote w:id="7">
    <w:p>
      <w:pPr>
        <w:pStyle w:val="FootnoteText"/>
        <w:ind w:left="567" w:hanging="567"/>
        <w:rPr>
          <w:sz w:val="24"/>
          <w:szCs w:val="24"/>
        </w:rPr>
      </w:pPr>
      <w:r>
        <w:rPr>
          <w:rStyle w:val="FootnoteReference"/>
          <w:b/>
          <w:sz w:val="24"/>
          <w:szCs w:val="24"/>
        </w:rPr>
        <w:footnoteRef/>
      </w:r>
      <w:r>
        <w:tab/>
      </w:r>
      <w:r>
        <w:rPr>
          <w:sz w:val="24"/>
        </w:rPr>
        <w:t>Pentru ca resortisanții țărilor din afara Uniunii să obțină recunoașterea calificărilor lor la nivelul Uniunii, este necesară negocierea unui acord privind recunoașterea reciprocă în cadrul definit la articolul 8.27</w:t>
      </w:r>
      <w:r>
        <w:t>.</w:t>
      </w:r>
    </w:p>
  </w:footnote>
  <w:footnote w:id="8">
    <w:p>
      <w:pPr>
        <w:pStyle w:val="FootnoteText"/>
        <w:ind w:left="567" w:hanging="567"/>
        <w:rPr>
          <w:sz w:val="24"/>
          <w:szCs w:val="24"/>
        </w:rPr>
      </w:pPr>
      <w:r>
        <w:rPr>
          <w:rStyle w:val="FootnoteReference"/>
          <w:b/>
          <w:sz w:val="24"/>
          <w:szCs w:val="24"/>
        </w:rPr>
        <w:footnoteRef/>
      </w:r>
      <w:r>
        <w:tab/>
      </w:r>
      <w:r>
        <w:rPr>
          <w:sz w:val="24"/>
        </w:rPr>
        <w:t>Sunt incluse serviciile de consiliere juridică, de reprezentare juridică, de arbitraj și conciliere sau mediere juridică și serviciile de documentare și certificare juridică</w:t>
      </w:r>
      <w:r>
        <w:t>.</w:t>
      </w:r>
      <w:r>
        <w:rPr>
          <w:sz w:val="24"/>
        </w:rPr>
        <w:t xml:space="preserve"> Furnizarea de servicii juridice este autorizată numai în ceea ce privește dreptul internațional public, dreptul Uniunii și dreptul oricărei jurisdicții în cadrul căreia furnizorul de servicii sau personalul acestuia este calificat să practice profesia de avocat și, la fel ca în cazul furnizării altor servicii, este condiționată de îndeplinirea cerințelor în materie de acordare a licențelor și a procedurilor de acordare a licențelor aplicabile în statele membre ale Uniunii. În cazul avocaților care furnizează servicii juridice ce țin de dreptul internațional public și dreptul străin, aceste cerințe în materie de acordare a licențelor și proceduri de acordare a licențelor pot lua, între altele, forma respectării codurilor de etică locale, a utilizării titlului obținut în țara de origine (cu excepția cazului în care a fost obținută echivalența cu titlul atribuit în țara gazdă), a cerințelor în materie de asigurare, a simplei înregistrări pe lângă baroul țării gazdă sau a admiterii simplificate în baroul țării gazdă printr-un test de aptitudini și un domiciliu legal sau profesional în țara gazdă. Serviciile juridice care țin de dreptul Uniunii sunt furnizate, în principiu, de către un avocat sau prin intermediul unui avocat care deține toate calificările, admis în baroul unui stat membru al Uniunii, care acționează personal, iar serviciile juridice care țin de dreptul unui stat membru al Uniunii sunt furnizate, în principiu, de către un avocat sau prin intermediul unui avocat care deține toate calificările, admis în baroul statului membru în cauză, care acționează personal. Prin urmare, pentru reprezentarea în fața instanțelor și a altor autorități competente din Uniune, ar putea fi necesară admiterea deplină în baroul statului membru al Uniunii în cauză, din moment ce implică exercitarea profesiei în domeniul dreptului Uniunii și al dreptului procesual intern. Cu toate acestea, în unele state membre ale Uniunii, avocaților străini care nu sunt admiși deplin în barou li se permite să reprezinte în proceduri civile o parte care este resortisantă a statului în care avocatul are dreptul să profeseze sau care aparține de statul respectiv.</w:t>
      </w:r>
    </w:p>
  </w:footnote>
  <w:footnote w:id="9">
    <w:p>
      <w:pPr>
        <w:pStyle w:val="FootnoteText"/>
        <w:ind w:left="567" w:hanging="567"/>
        <w:rPr>
          <w:sz w:val="24"/>
          <w:szCs w:val="24"/>
        </w:rPr>
      </w:pPr>
      <w:r>
        <w:rPr>
          <w:rStyle w:val="FootnoteReference"/>
          <w:b/>
          <w:sz w:val="24"/>
          <w:szCs w:val="24"/>
        </w:rPr>
        <w:footnoteRef/>
      </w:r>
      <w:r>
        <w:tab/>
      </w:r>
      <w:r>
        <w:rPr>
          <w:sz w:val="24"/>
        </w:rPr>
        <w:t>Nu sunt incluse serviciile de consultanță juridică și de reprezentare juridică în domeniul fiscal, care se regăsesc la punctul 1.A.(a) Servicii juridice</w:t>
      </w:r>
      <w:r>
        <w:t>.</w:t>
      </w:r>
    </w:p>
  </w:footnote>
  <w:footnote w:id="10">
    <w:p>
      <w:pPr>
        <w:pStyle w:val="FootnoteText"/>
        <w:ind w:left="567" w:hanging="567"/>
        <w:rPr>
          <w:sz w:val="24"/>
          <w:szCs w:val="24"/>
        </w:rPr>
      </w:pPr>
      <w:r>
        <w:rPr>
          <w:rStyle w:val="FootnoteReference"/>
          <w:b/>
          <w:sz w:val="24"/>
          <w:szCs w:val="24"/>
        </w:rPr>
        <w:footnoteRef/>
      </w:r>
      <w:r>
        <w:tab/>
      </w:r>
      <w:r>
        <w:rPr>
          <w:sz w:val="24"/>
        </w:rPr>
        <w:t>Furnizarea de produse farmaceutice publicului larg, precum și furnizarea altor servicii sunt condiționate de îndeplinirea cerințelor în materie de acordare a licențelor și a procedurilor de acordare a licențelor, precum și a cerințelor și a procedurilor de calificare aplicabile în statele membre ale Uniunii</w:t>
      </w:r>
      <w:r>
        <w:t>.</w:t>
      </w:r>
      <w:r>
        <w:rPr>
          <w:sz w:val="24"/>
        </w:rPr>
        <w:t xml:space="preserve"> De regulă, această activitate este rezervată farmaciștilor. În unele state membre ale Uniunii, numai furnizarea medicamentelor eliberate pe bază de rețetă este rezervată farmaciștilor.</w:t>
      </w:r>
    </w:p>
  </w:footnote>
  <w:footnote w:id="11">
    <w:p>
      <w:pPr>
        <w:pStyle w:val="FootnoteText"/>
        <w:ind w:left="567" w:hanging="567"/>
        <w:rPr>
          <w:sz w:val="24"/>
          <w:szCs w:val="24"/>
        </w:rPr>
      </w:pPr>
      <w:r>
        <w:rPr>
          <w:rStyle w:val="FootnoteReference"/>
          <w:b/>
          <w:bCs/>
          <w:sz w:val="24"/>
          <w:szCs w:val="24"/>
        </w:rPr>
        <w:footnoteRef/>
      </w:r>
      <w:r>
        <w:tab/>
      </w:r>
      <w:r>
        <w:rPr>
          <w:sz w:val="24"/>
        </w:rPr>
        <w:t>Parte din CPC 85201, care se regăsește la punctul 1.A.(h) Servicii medicale și stomatologice</w:t>
      </w:r>
      <w:r>
        <w:t>.</w:t>
      </w:r>
    </w:p>
  </w:footnote>
  <w:footnote w:id="12">
    <w:p>
      <w:pPr>
        <w:pStyle w:val="FootnoteText"/>
        <w:ind w:left="567" w:hanging="567"/>
        <w:rPr>
          <w:sz w:val="24"/>
          <w:szCs w:val="24"/>
        </w:rPr>
      </w:pPr>
      <w:r>
        <w:rPr>
          <w:rStyle w:val="FootnoteReference"/>
          <w:b/>
          <w:bCs/>
          <w:sz w:val="24"/>
          <w:szCs w:val="24"/>
        </w:rPr>
        <w:footnoteRef/>
      </w:r>
      <w:r>
        <w:tab/>
      </w:r>
      <w:r>
        <w:rPr>
          <w:sz w:val="24"/>
        </w:rPr>
        <w:t>Aceste servicii se referă la profesia de agent imobiliar și nu aduc atingere niciunor drepturi sau restricții privind persoanele fizice și juridice care achiziționează bunuri imobile</w:t>
      </w:r>
      <w:r>
        <w:t>.</w:t>
      </w:r>
    </w:p>
  </w:footnote>
  <w:footnote w:id="13">
    <w:p>
      <w:pPr>
        <w:pStyle w:val="FootnoteText"/>
        <w:ind w:left="567" w:hanging="567"/>
        <w:rPr>
          <w:sz w:val="24"/>
          <w:szCs w:val="24"/>
        </w:rPr>
      </w:pPr>
      <w:r>
        <w:rPr>
          <w:rStyle w:val="FootnoteReference"/>
          <w:b/>
          <w:sz w:val="24"/>
          <w:szCs w:val="24"/>
        </w:rPr>
        <w:footnoteRef/>
      </w:r>
      <w:r>
        <w:tab/>
      </w:r>
      <w:r>
        <w:rPr>
          <w:sz w:val="24"/>
        </w:rPr>
        <w:t>Serviciile de întreținere și reparare a echipamentelor de transport (CPC 6112, 6122, 8867 și 8868) se regăsesc la punctele l. F. (l) 1. – 1. F. (l) 4.</w:t>
      </w:r>
    </w:p>
    <w:p>
      <w:pPr>
        <w:pStyle w:val="FootnoteText"/>
        <w:ind w:left="567"/>
        <w:rPr>
          <w:sz w:val="24"/>
          <w:szCs w:val="24"/>
        </w:rPr>
      </w:pPr>
      <w:r>
        <w:rPr>
          <w:sz w:val="24"/>
        </w:rPr>
        <w:t>Serviciile de întreținere și reparare a mașinilor și echipamentelor de birou, inclusiv a calculatoarelor (CPC 845), se regăsesc la punctul 1.B. Servicii informatice și servicii conexe.</w:t>
      </w:r>
    </w:p>
  </w:footnote>
  <w:footnote w:id="14">
    <w:p>
      <w:pPr>
        <w:pStyle w:val="FootnoteText"/>
        <w:ind w:left="567" w:hanging="567"/>
        <w:rPr>
          <w:sz w:val="24"/>
          <w:szCs w:val="24"/>
        </w:rPr>
      </w:pPr>
      <w:r>
        <w:rPr>
          <w:rStyle w:val="FootnoteReference"/>
          <w:b/>
          <w:sz w:val="24"/>
          <w:szCs w:val="24"/>
        </w:rPr>
        <w:footnoteRef/>
      </w:r>
      <w:r>
        <w:tab/>
      </w:r>
      <w:r>
        <w:rPr>
          <w:sz w:val="24"/>
        </w:rPr>
        <w:t>Nu sunt incluse serviciile de tipărire, care intră sub incidența CPC 88442 și se regăsesc la punctul 1.F (p)</w:t>
      </w:r>
      <w:r>
        <w:t>.</w:t>
      </w:r>
    </w:p>
  </w:footnote>
  <w:footnote w:id="15">
    <w:p>
      <w:pPr>
        <w:pStyle w:val="FootnoteText"/>
        <w:ind w:left="567" w:hanging="567"/>
        <w:rPr>
          <w:sz w:val="24"/>
          <w:szCs w:val="24"/>
        </w:rPr>
      </w:pPr>
      <w:r>
        <w:rPr>
          <w:rStyle w:val="FootnoteReference"/>
          <w:b/>
          <w:sz w:val="24"/>
          <w:szCs w:val="24"/>
        </w:rPr>
        <w:footnoteRef/>
      </w:r>
      <w:r>
        <w:tab/>
      </w:r>
      <w:r>
        <w:rPr>
          <w:sz w:val="24"/>
        </w:rPr>
        <w:t>Aceste servicii nu includ informațiile online sau prelucrarea datelor (inclusiv prelucrarea tranzacțiilor) (parte din CPC 843) care se regăsesc la punctul 1.B. Servicii informatice și servicii conexe.</w:t>
      </w:r>
    </w:p>
  </w:footnote>
  <w:footnote w:id="16">
    <w:p>
      <w:pPr>
        <w:pStyle w:val="FootnoteText"/>
        <w:ind w:left="567" w:hanging="567"/>
        <w:rPr>
          <w:sz w:val="24"/>
          <w:szCs w:val="24"/>
        </w:rPr>
      </w:pPr>
      <w:r>
        <w:rPr>
          <w:rStyle w:val="FootnoteReference"/>
          <w:b/>
          <w:sz w:val="24"/>
          <w:szCs w:val="24"/>
        </w:rPr>
        <w:footnoteRef/>
      </w:r>
      <w:r>
        <w:tab/>
      </w:r>
      <w:r>
        <w:rPr>
          <w:sz w:val="24"/>
        </w:rPr>
        <w:t>Radiodifuziunea înseamnă comunicațiile radio în care transmisiile sunt destinate recepționării directe de către publicul larg și pot include transmisia sunetului și transmisia de televiziune</w:t>
      </w:r>
      <w:r>
        <w:t>.</w:t>
      </w:r>
    </w:p>
  </w:footnote>
  <w:footnote w:id="17">
    <w:p>
      <w:pPr>
        <w:pStyle w:val="FootnoteText"/>
        <w:ind w:left="567" w:hanging="567"/>
        <w:rPr>
          <w:sz w:val="24"/>
          <w:szCs w:val="24"/>
        </w:rPr>
      </w:pPr>
      <w:r>
        <w:rPr>
          <w:rStyle w:val="FootnoteReference"/>
          <w:b/>
          <w:sz w:val="24"/>
          <w:szCs w:val="24"/>
        </w:rPr>
        <w:footnoteRef/>
      </w:r>
      <w:r>
        <w:tab/>
      </w:r>
      <w:r>
        <w:rPr>
          <w:sz w:val="24"/>
        </w:rPr>
        <w:t>Aceste servicii, care includ CPC 62271, se regăsesc la SERVICII ENERGETICE, la punctul 14.D.</w:t>
      </w:r>
    </w:p>
  </w:footnote>
  <w:footnote w:id="18">
    <w:p>
      <w:pPr>
        <w:pStyle w:val="FootnoteText"/>
        <w:ind w:left="567" w:hanging="567"/>
        <w:rPr>
          <w:sz w:val="24"/>
          <w:szCs w:val="24"/>
        </w:rPr>
      </w:pPr>
      <w:r>
        <w:rPr>
          <w:rStyle w:val="FootnoteReference"/>
          <w:b/>
          <w:sz w:val="24"/>
          <w:szCs w:val="24"/>
        </w:rPr>
        <w:footnoteRef/>
      </w:r>
      <w:r>
        <w:tab/>
      </w:r>
      <w:r>
        <w:rPr>
          <w:sz w:val="24"/>
        </w:rPr>
        <w:t>Nu sunt incluse serviciile de întreținere și reparare, care se regăsesc la SERVICII PENTRU ÎNTREPRINDERI, la punctele 1.B. și 1.F.(l).</w:t>
      </w:r>
    </w:p>
    <w:p>
      <w:pPr>
        <w:pStyle w:val="FootnoteText"/>
        <w:ind w:left="567"/>
        <w:rPr>
          <w:sz w:val="24"/>
          <w:szCs w:val="24"/>
        </w:rPr>
      </w:pPr>
      <w:r>
        <w:rPr>
          <w:sz w:val="24"/>
        </w:rPr>
        <w:t>Nu sunt incluse serviciile de comerț cu amănuntul cu produse energetice care se regăsesc la SERVICII ENERGETICE, la punctele 14.E și 14.F.</w:t>
      </w:r>
    </w:p>
  </w:footnote>
  <w:footnote w:id="19">
    <w:p>
      <w:pPr>
        <w:pStyle w:val="FootnoteText"/>
        <w:ind w:left="567" w:hanging="567"/>
        <w:rPr>
          <w:sz w:val="24"/>
          <w:szCs w:val="24"/>
        </w:rPr>
      </w:pPr>
      <w:r>
        <w:rPr>
          <w:rStyle w:val="FootnoteReference"/>
          <w:b/>
          <w:sz w:val="24"/>
          <w:szCs w:val="24"/>
        </w:rPr>
        <w:footnoteRef/>
      </w:r>
      <w:r>
        <w:tab/>
      </w:r>
      <w:r>
        <w:rPr>
          <w:sz w:val="24"/>
        </w:rPr>
        <w:t>Vânzarea cu amănuntul de produse farmaceutice, medicale și ortopedice se regăsește în SERVICII PROFESIONALE, la punctul 1A.(k)</w:t>
      </w:r>
      <w:r>
        <w:t>.</w:t>
      </w:r>
    </w:p>
  </w:footnote>
  <w:footnote w:id="20">
    <w:p>
      <w:pPr>
        <w:pStyle w:val="FootnoteText"/>
        <w:ind w:left="567" w:hanging="567"/>
        <w:rPr>
          <w:sz w:val="24"/>
          <w:szCs w:val="24"/>
        </w:rPr>
      </w:pPr>
      <w:r>
        <w:rPr>
          <w:rStyle w:val="FootnoteReference"/>
          <w:b/>
          <w:sz w:val="24"/>
          <w:szCs w:val="24"/>
        </w:rPr>
        <w:footnoteRef/>
      </w:r>
      <w:r>
        <w:tab/>
      </w:r>
      <w:r>
        <w:rPr>
          <w:sz w:val="24"/>
        </w:rPr>
        <w:t>Corespund serviciilor de canalizare</w:t>
      </w:r>
      <w:r>
        <w:t>.</w:t>
      </w:r>
    </w:p>
  </w:footnote>
  <w:footnote w:id="21">
    <w:p>
      <w:pPr>
        <w:pStyle w:val="FootnoteText"/>
        <w:ind w:left="567" w:hanging="567"/>
        <w:rPr>
          <w:sz w:val="24"/>
          <w:szCs w:val="24"/>
        </w:rPr>
      </w:pPr>
      <w:r>
        <w:rPr>
          <w:rStyle w:val="FootnoteReference"/>
          <w:b/>
          <w:sz w:val="24"/>
          <w:szCs w:val="24"/>
        </w:rPr>
        <w:footnoteRef/>
      </w:r>
      <w:r>
        <w:tab/>
      </w:r>
      <w:r>
        <w:rPr>
          <w:sz w:val="24"/>
        </w:rPr>
        <w:t>Corespunde serviciilor de purificare a gazelor de evacuare</w:t>
      </w:r>
      <w:r>
        <w:t>.</w:t>
      </w:r>
    </w:p>
  </w:footnote>
  <w:footnote w:id="22">
    <w:p>
      <w:pPr>
        <w:pStyle w:val="FootnoteText"/>
        <w:ind w:left="567" w:hanging="567"/>
        <w:rPr>
          <w:sz w:val="24"/>
          <w:szCs w:val="24"/>
        </w:rPr>
      </w:pPr>
      <w:r>
        <w:rPr>
          <w:rStyle w:val="FootnoteReference"/>
          <w:b/>
          <w:sz w:val="24"/>
          <w:szCs w:val="24"/>
        </w:rPr>
        <w:footnoteRef/>
      </w:r>
      <w:r>
        <w:tab/>
      </w:r>
      <w:r>
        <w:rPr>
          <w:sz w:val="24"/>
        </w:rPr>
        <w:t>Corespund unor părți din serviciile de protecție a naturii și peisajelor</w:t>
      </w:r>
      <w:r>
        <w:t>.</w:t>
      </w:r>
    </w:p>
  </w:footnote>
  <w:footnote w:id="23">
    <w:p>
      <w:pPr>
        <w:pStyle w:val="FootnoteText"/>
        <w:ind w:left="567" w:hanging="567"/>
        <w:rPr>
          <w:sz w:val="24"/>
          <w:szCs w:val="24"/>
        </w:rPr>
      </w:pPr>
      <w:r>
        <w:rPr>
          <w:rStyle w:val="FootnoteReference"/>
          <w:b/>
          <w:sz w:val="24"/>
          <w:szCs w:val="24"/>
        </w:rPr>
        <w:footnoteRef/>
      </w:r>
      <w:r>
        <w:tab/>
      </w:r>
      <w:r>
        <w:rPr>
          <w:sz w:val="24"/>
        </w:rPr>
        <w:t>Fără a aduce atingere domeniului de activități care poate fi considerat drept cabotaj în temeiul legislației naționale relevante, lista angajamentelor care figurează în prezenta anexă nu include transportul intern de cabotaj, care se presupune că include transportul de călători sau de mărfuri între un port sau un punct situat într-un stat membru al Uniunii și un alt port sau punct situat în același stat membru, inclusiv pe platforma sa continentală, astfel cum prevede Convenția Națiunilor Unite asupra dreptului mării, și nici traficul care începe și se termină în același port sau punct situat într-un stat membru al Uniunii</w:t>
      </w:r>
      <w:r>
        <w:t>.</w:t>
      </w:r>
    </w:p>
  </w:footnote>
  <w:footnote w:id="24">
    <w:p>
      <w:pPr>
        <w:pStyle w:val="FootnoteText"/>
        <w:ind w:left="567" w:hanging="567"/>
        <w:rPr>
          <w:bCs/>
          <w:sz w:val="24"/>
          <w:szCs w:val="24"/>
        </w:rPr>
      </w:pPr>
      <w:r>
        <w:rPr>
          <w:rStyle w:val="FootnoteReference"/>
          <w:b/>
          <w:sz w:val="24"/>
          <w:szCs w:val="24"/>
        </w:rPr>
        <w:footnoteRef/>
      </w:r>
      <w:r>
        <w:tab/>
      </w:r>
      <w:r>
        <w:rPr>
          <w:sz w:val="24"/>
        </w:rPr>
        <w:t>Fără a aduce atingere domeniului de activități care poate fi considerat drept cabotaj în temeiul legislației naționale relevante, lista angajamentelor care figurează în prezenta anexă nu include transportul intern de cabotaj, care se presupune că include transportul de călători sau de mărfuri între un port sau un punct situat într-un stat membru al Uniunii și un alt port sau punct situat în același stat membru, inclusiv pe platforma sa continentală, astfel cum prevede Convenția Națiunilor Unite asupra dreptului mării, și nici traficul care începe și se termină în același port sau punct situat într-un stat membru al Uniunii</w:t>
      </w:r>
      <w:r>
        <w:t>.</w:t>
      </w:r>
    </w:p>
  </w:footnote>
  <w:footnote w:id="25">
    <w:p>
      <w:pPr>
        <w:pStyle w:val="FootnoteText"/>
        <w:ind w:left="567" w:hanging="567"/>
        <w:rPr>
          <w:sz w:val="24"/>
          <w:szCs w:val="24"/>
        </w:rPr>
      </w:pPr>
      <w:r>
        <w:rPr>
          <w:rStyle w:val="FootnoteReference"/>
          <w:b/>
          <w:sz w:val="24"/>
          <w:szCs w:val="24"/>
        </w:rPr>
        <w:footnoteRef/>
      </w:r>
      <w:r>
        <w:tab/>
      </w:r>
      <w:r>
        <w:rPr>
          <w:sz w:val="24"/>
        </w:rPr>
        <w:t>Parte din CPC 71235, care se regăsește la SERVICII DE COMUNICAȚII, la punctul 2.A. Servicii poștale și de curierat.</w:t>
      </w:r>
    </w:p>
  </w:footnote>
  <w:footnote w:id="26">
    <w:p>
      <w:pPr>
        <w:pStyle w:val="FootnoteText"/>
        <w:ind w:left="567" w:hanging="567"/>
        <w:rPr>
          <w:sz w:val="24"/>
          <w:szCs w:val="24"/>
        </w:rPr>
      </w:pPr>
      <w:r>
        <w:rPr>
          <w:rStyle w:val="FootnoteReference"/>
          <w:b/>
          <w:sz w:val="24"/>
          <w:szCs w:val="24"/>
        </w:rPr>
        <w:footnoteRef/>
      </w:r>
      <w:r>
        <w:tab/>
      </w:r>
      <w:r>
        <w:rPr>
          <w:sz w:val="24"/>
        </w:rPr>
        <w:t>Transportul prin conducte al combustibililor se regăsește la SERVICII ENERGETICE, la punctul 14.B.</w:t>
      </w:r>
    </w:p>
  </w:footnote>
  <w:footnote w:id="27">
    <w:p>
      <w:pPr>
        <w:pStyle w:val="FootnoteText"/>
        <w:pageBreakBefore/>
        <w:ind w:left="567" w:hanging="567"/>
        <w:rPr>
          <w:sz w:val="24"/>
          <w:szCs w:val="24"/>
        </w:rPr>
      </w:pPr>
      <w:r>
        <w:rPr>
          <w:rStyle w:val="FootnoteReference"/>
          <w:b/>
          <w:sz w:val="24"/>
          <w:szCs w:val="24"/>
        </w:rPr>
        <w:footnoteRef/>
      </w:r>
      <w:r>
        <w:tab/>
      </w:r>
      <w:r>
        <w:rPr>
          <w:sz w:val="24"/>
        </w:rPr>
        <w:t>Nu sunt incluse serviciile de întreținere și reparare a echipamentelor de transport, care se regăsesc în SERVICII PENTRU ÎNTREPRINDERI, la punctele 1.F.(l) 1 – 1.F.(l) 4</w:t>
      </w:r>
      <w:r>
        <w:t>.</w:t>
      </w:r>
    </w:p>
  </w:footnote>
  <w:footnote w:id="28">
    <w:p>
      <w:pPr>
        <w:pStyle w:val="FootnoteText"/>
        <w:ind w:left="567" w:hanging="567"/>
        <w:rPr>
          <w:sz w:val="24"/>
          <w:szCs w:val="24"/>
        </w:rPr>
      </w:pPr>
      <w:r>
        <w:rPr>
          <w:rStyle w:val="FootnoteReference"/>
          <w:b/>
          <w:sz w:val="24"/>
          <w:szCs w:val="24"/>
        </w:rPr>
        <w:footnoteRef/>
      </w:r>
      <w:r>
        <w:tab/>
      </w:r>
      <w:r>
        <w:rPr>
          <w:sz w:val="24"/>
        </w:rPr>
        <w:t>Serviciile auxiliare transportului prin conducte al combustibililor se regăsesc la SERVICII ENERGETICE, la punctul 14.C</w:t>
      </w:r>
      <w:r>
        <w:t>.</w:t>
      </w:r>
    </w:p>
  </w:footnote>
  <w:footnote w:id="29">
    <w:p>
      <w:pPr>
        <w:pStyle w:val="FootnoteText"/>
        <w:ind w:left="567" w:hanging="567"/>
        <w:rPr>
          <w:sz w:val="24"/>
          <w:szCs w:val="24"/>
        </w:rPr>
      </w:pPr>
      <w:r>
        <w:rPr>
          <w:rStyle w:val="FootnoteReference"/>
          <w:b/>
          <w:sz w:val="24"/>
          <w:szCs w:val="24"/>
        </w:rPr>
        <w:footnoteRef/>
      </w:r>
      <w:r>
        <w:tab/>
      </w:r>
      <w:r>
        <w:rPr>
          <w:sz w:val="24"/>
        </w:rPr>
        <w:t>Sunt incluse următoarele servicii furnizate pe bază de tarif sau contract</w:t>
      </w:r>
      <w:r>
        <w:t>:</w:t>
      </w:r>
      <w:r>
        <w:rPr>
          <w:sz w:val="24"/>
        </w:rPr>
        <w:t xml:space="preserve"> servicii de consiliere și consultanță referitoare la minerit, pregătirea șantierului, instalarea platformei, foraj, servicii legate de sapa de foraj, servicii de încasetare și de întubare, furnizarea și ingineria nămolurilor, controlul solidelor, recuperare și operațiuni speciale în puțuri, geologia amplasării puțurilor și controlul forării, carotaj, încercarea puțurilor, servicii privind cablurile, furnizarea și utilizarea fluidelor de completare (a saramurii), furnizarea și instalarea dispozitivelor de completare, cimentare (pomparea de refulare), servicii de stimulare (fracturare, acidificare și pompare de refulare), recondiționare și servicii de reparare, obturare și abandonare de puțuri.</w:t>
      </w:r>
    </w:p>
    <w:p>
      <w:pPr>
        <w:pStyle w:val="FootnoteText"/>
        <w:ind w:left="567"/>
        <w:rPr>
          <w:sz w:val="24"/>
          <w:szCs w:val="24"/>
        </w:rPr>
      </w:pPr>
      <w:r>
        <w:rPr>
          <w:sz w:val="24"/>
        </w:rPr>
        <w:t>Nu este inclus accesul direct la resurse naturale și nici exploatarea acestora.</w:t>
      </w:r>
    </w:p>
    <w:p>
      <w:pPr>
        <w:pStyle w:val="FootnoteText"/>
        <w:ind w:left="567"/>
        <w:rPr>
          <w:sz w:val="24"/>
          <w:szCs w:val="24"/>
        </w:rPr>
      </w:pPr>
      <w:r>
        <w:rPr>
          <w:sz w:val="24"/>
        </w:rPr>
        <w:t>Nu este inclusă pregătirea sitului pentru extracția altor resurse decât petrolul și gazele (CPC 5115), care se regăsește la punctul 3. SERVICII DE CONSTRUCȚII ȘI SERVICII DE INGINERIE CONEXE.</w:t>
      </w:r>
    </w:p>
  </w:footnote>
  <w:footnote w:id="30">
    <w:p>
      <w:pPr>
        <w:pStyle w:val="FootnoteText"/>
        <w:ind w:left="567" w:hanging="567"/>
        <w:rPr>
          <w:sz w:val="24"/>
          <w:szCs w:val="24"/>
        </w:rPr>
      </w:pPr>
      <w:r>
        <w:rPr>
          <w:rStyle w:val="FootnoteReference"/>
          <w:b/>
          <w:sz w:val="24"/>
          <w:szCs w:val="24"/>
        </w:rPr>
        <w:footnoteRef/>
      </w:r>
      <w:r>
        <w:tab/>
      </w:r>
      <w:r>
        <w:rPr>
          <w:sz w:val="24"/>
        </w:rPr>
        <w:t>Serviciile de masaje terapeutice și de cure termale se regăsesc la punctele 1.A.(h) Servicii medicale și stomatologice și 1.A.(j) 2</w:t>
      </w:r>
      <w:r>
        <w:t>.</w:t>
      </w:r>
      <w:r>
        <w:rPr>
          <w:sz w:val="24"/>
        </w:rPr>
        <w:t xml:space="preserve"> Servicii furnizate de asistenți medicali, fizioterapeuți și personal paramedical și servicii de sănătate (8.A și 8.C).</w:t>
      </w:r>
    </w:p>
  </w:footnote>
  <w:footnote w:id="31">
    <w:p>
      <w:pPr>
        <w:pStyle w:val="FootnoteText"/>
        <w:ind w:left="567" w:hanging="567"/>
        <w:rPr>
          <w:sz w:val="24"/>
          <w:szCs w:val="24"/>
        </w:rPr>
      </w:pPr>
      <w:r>
        <w:rPr>
          <w:rStyle w:val="FootnoteReference"/>
          <w:b/>
          <w:sz w:val="24"/>
          <w:szCs w:val="24"/>
        </w:rPr>
        <w:footnoteRef/>
      </w:r>
      <w:r>
        <w:tab/>
      </w:r>
      <w:r>
        <w:rPr>
          <w:sz w:val="24"/>
        </w:rPr>
        <w:t>Legislația bulgară privind proprietatea recunoaște următoarele drepturi de proprietate limitate</w:t>
      </w:r>
      <w:r>
        <w:t>:</w:t>
      </w:r>
      <w:r>
        <w:rPr>
          <w:sz w:val="24"/>
        </w:rPr>
        <w:t xml:space="preserve"> dreptul de folosință, dreptul de a construi, dreptul de a ridica o suprastructură și servituți.</w:t>
      </w:r>
    </w:p>
  </w:footnote>
  <w:footnote w:id="32">
    <w:p>
      <w:pPr>
        <w:pStyle w:val="FootnoteText"/>
        <w:ind w:left="567" w:hanging="567"/>
        <w:rPr>
          <w:sz w:val="24"/>
          <w:szCs w:val="24"/>
        </w:rPr>
      </w:pPr>
      <w:r>
        <w:rPr>
          <w:rStyle w:val="FootnoteReference"/>
          <w:b/>
          <w:sz w:val="24"/>
          <w:szCs w:val="24"/>
        </w:rPr>
        <w:footnoteRef/>
      </w:r>
      <w:r>
        <w:tab/>
      </w:r>
      <w:r>
        <w:rPr>
          <w:sz w:val="24"/>
        </w:rPr>
        <w:t>Trimiterile la persoanele „juridice” din liste ar trebui înțelese în conformitate cu legislația statelor membre în cauză</w:t>
      </w:r>
      <w:r>
        <w:t>.</w:t>
      </w:r>
    </w:p>
  </w:footnote>
  <w:footnote w:id="33">
    <w:p>
      <w:pPr>
        <w:pStyle w:val="FootnoteText"/>
        <w:ind w:left="567" w:hanging="567"/>
        <w:rPr>
          <w:sz w:val="24"/>
          <w:szCs w:val="24"/>
        </w:rPr>
      </w:pPr>
      <w:r>
        <w:rPr>
          <w:rStyle w:val="FootnoteReference"/>
          <w:b/>
          <w:sz w:val="24"/>
          <w:szCs w:val="24"/>
        </w:rPr>
        <w:footnoteRef/>
      </w:r>
      <w:r>
        <w:tab/>
      </w:r>
      <w:r>
        <w:rPr>
          <w:sz w:val="24"/>
        </w:rPr>
        <w:t>În ceea ce privește sectoarele de servicii, aceste limitări nu le depășesc pe cele reflectate în angajamentele GATS existente</w:t>
      </w:r>
      <w:r>
        <w:t>.</w:t>
      </w:r>
    </w:p>
  </w:footnote>
  <w:footnote w:id="34">
    <w:p>
      <w:pPr>
        <w:pStyle w:val="FootnoteText"/>
        <w:ind w:left="567" w:hanging="567"/>
        <w:rPr>
          <w:sz w:val="24"/>
          <w:szCs w:val="24"/>
        </w:rPr>
      </w:pPr>
      <w:r>
        <w:rPr>
          <w:rStyle w:val="FootnoteReference"/>
          <w:b/>
          <w:sz w:val="24"/>
          <w:szCs w:val="24"/>
        </w:rPr>
        <w:footnoteRef/>
      </w:r>
      <w:r>
        <w:tab/>
      </w:r>
      <w:r>
        <w:rPr>
          <w:sz w:val="24"/>
        </w:rPr>
        <w:t>În ceea ce privește sectoarele de servicii, aceste limitări nu le depășesc pe cele reflectate în angajamentele GATS existente</w:t>
      </w:r>
      <w:r>
        <w:t>.</w:t>
      </w:r>
    </w:p>
  </w:footnote>
  <w:footnote w:id="35">
    <w:p>
      <w:pPr>
        <w:pStyle w:val="FootnoteText"/>
        <w:ind w:left="567" w:hanging="567"/>
        <w:rPr>
          <w:sz w:val="24"/>
          <w:szCs w:val="24"/>
        </w:rPr>
      </w:pPr>
      <w:r>
        <w:rPr>
          <w:rStyle w:val="FootnoteReference"/>
          <w:b/>
          <w:sz w:val="24"/>
          <w:szCs w:val="24"/>
        </w:rPr>
        <w:footnoteRef/>
      </w:r>
      <w:r>
        <w:tab/>
      </w:r>
      <w:r>
        <w:rPr>
          <w:sz w:val="24"/>
        </w:rPr>
        <w:t>În ceea ce privește sectoarele de servicii, aceste limitări nu le depășesc pe cele reflectate în angajamentele GATS existente</w:t>
      </w:r>
      <w:r>
        <w:t>.</w:t>
      </w:r>
    </w:p>
  </w:footnote>
  <w:footnote w:id="36">
    <w:p>
      <w:pPr>
        <w:pStyle w:val="FootnoteText"/>
        <w:ind w:left="567" w:hanging="567"/>
        <w:rPr>
          <w:sz w:val="24"/>
          <w:szCs w:val="24"/>
        </w:rPr>
      </w:pPr>
      <w:r>
        <w:rPr>
          <w:rStyle w:val="FootnoteReference"/>
          <w:b/>
          <w:sz w:val="24"/>
          <w:szCs w:val="24"/>
        </w:rPr>
        <w:footnoteRef/>
      </w:r>
      <w:r>
        <w:tab/>
      </w:r>
      <w:r>
        <w:rPr>
          <w:sz w:val="24"/>
        </w:rPr>
        <w:t>În conformitate cu Legea societăților comerciale, o sucursală înființată în Slovenia nu este considerată persoană juridică, dar, în ceea ce privește funcționarea acesteia, tratamentul care i se aplică este echivalent cu tratamentul care i se aplică unei filiale, în conformitate cu articolul XXVIII litera (g) din GATS</w:t>
      </w:r>
      <w:r>
        <w:t>.</w:t>
      </w:r>
    </w:p>
  </w:footnote>
  <w:footnote w:id="37">
    <w:p>
      <w:pPr>
        <w:pStyle w:val="FootnoteText"/>
        <w:ind w:left="567" w:hanging="567"/>
        <w:rPr>
          <w:sz w:val="24"/>
          <w:szCs w:val="24"/>
        </w:rPr>
      </w:pPr>
      <w:r>
        <w:rPr>
          <w:rStyle w:val="FootnoteReference"/>
          <w:b/>
          <w:sz w:val="24"/>
          <w:szCs w:val="24"/>
        </w:rPr>
        <w:footnoteRef/>
      </w:r>
      <w:r>
        <w:tab/>
      </w:r>
      <w:r>
        <w:rPr>
          <w:sz w:val="24"/>
        </w:rPr>
        <w:t>Există servicii de utilități publice în sectoare precum serviciile conexe de consultanță științifică și tehnică, serviciile de C&amp;D în domeniul științelor sociale și al științelor umaniste, serviciile de testări și analize tehnice, serviciile de mediu, serviciile de sănătate, serviciile de transport și serviciile auxiliare tuturor modurilor de transport</w:t>
      </w:r>
      <w:r>
        <w:t>.</w:t>
      </w:r>
      <w:r>
        <w:rPr>
          <w:sz w:val="24"/>
        </w:rPr>
        <w:t xml:space="preserve"> Deseori, pentru aceste servicii se acordă drepturi exclusive unor operatori privați, de exemplu operatorilor care beneficiază de concesiuni din partea autorităților publice, sub rezerva anumitor obligații specifice referitoare la servicii. Întrucât serviciile de utilități publice există adesea și la nivel regional și subcentral, nu este posibilă o enumerare detaliată și exhaustivă pe sectoare.</w:t>
      </w:r>
    </w:p>
  </w:footnote>
  <w:footnote w:id="38">
    <w:p>
      <w:pPr>
        <w:pStyle w:val="FootnoteText"/>
        <w:ind w:left="567" w:hanging="567"/>
        <w:rPr>
          <w:sz w:val="24"/>
          <w:szCs w:val="24"/>
        </w:rPr>
      </w:pPr>
      <w:r>
        <w:rPr>
          <w:rStyle w:val="FootnoteReference"/>
          <w:b/>
          <w:sz w:val="24"/>
          <w:szCs w:val="24"/>
        </w:rPr>
        <w:footnoteRef/>
      </w:r>
      <w:r>
        <w:tab/>
      </w:r>
      <w:r>
        <w:rPr>
          <w:sz w:val="24"/>
        </w:rPr>
        <w:t>Această limitare nu se aplică în cazul serviciilor de telecomunicații și al serviciilor informatice și conexe</w:t>
      </w:r>
      <w:r>
        <w:t>.</w:t>
      </w:r>
    </w:p>
  </w:footnote>
  <w:footnote w:id="39">
    <w:p>
      <w:pPr>
        <w:pStyle w:val="FootnoteText"/>
        <w:ind w:left="567" w:hanging="567"/>
        <w:rPr>
          <w:sz w:val="24"/>
          <w:szCs w:val="24"/>
        </w:rPr>
      </w:pPr>
      <w:r>
        <w:rPr>
          <w:rStyle w:val="FootnoteReference"/>
          <w:b/>
          <w:sz w:val="24"/>
          <w:szCs w:val="24"/>
        </w:rPr>
        <w:footnoteRef/>
      </w:r>
      <w:r>
        <w:tab/>
      </w:r>
      <w:r>
        <w:rPr>
          <w:sz w:val="24"/>
        </w:rPr>
        <w:t>În conformitate cu articolul 54 din Tratatul privind funcționarea Uniunii Europene, respectivele filiale sunt considerate persoane juridice ale Uniunii</w:t>
      </w:r>
      <w:r>
        <w:t>.</w:t>
      </w:r>
      <w:r>
        <w:rPr>
          <w:sz w:val="24"/>
        </w:rPr>
        <w:t xml:space="preserve"> În măsura în care au o legătură efectivă și continuă cu economia Uniunii, ele beneficiază de piața internă a Uniunii, ceea ce implică, printre altele, libertatea de a se stabili și de a furniza servicii în toate statele membre ale Uniunii.</w:t>
      </w:r>
    </w:p>
  </w:footnote>
  <w:footnote w:id="40">
    <w:p>
      <w:pPr>
        <w:pStyle w:val="FootnoteText"/>
        <w:ind w:left="567" w:hanging="567"/>
        <w:rPr>
          <w:sz w:val="24"/>
          <w:szCs w:val="24"/>
        </w:rPr>
      </w:pPr>
      <w:r>
        <w:rPr>
          <w:rStyle w:val="FootnoteReference"/>
          <w:b/>
          <w:sz w:val="24"/>
          <w:szCs w:val="24"/>
        </w:rPr>
        <w:footnoteRef/>
      </w:r>
      <w:r>
        <w:tab/>
      </w:r>
      <w:r>
        <w:rPr>
          <w:sz w:val="24"/>
        </w:rPr>
        <w:t>Suma totală de active sau suma totală de creanțe plus capitalul</w:t>
      </w:r>
      <w:r>
        <w:t>.</w:t>
      </w:r>
    </w:p>
  </w:footnote>
  <w:footnote w:id="41">
    <w:p>
      <w:pPr>
        <w:pStyle w:val="FootnoteText"/>
        <w:ind w:left="567" w:hanging="567"/>
        <w:rPr>
          <w:sz w:val="24"/>
          <w:szCs w:val="24"/>
        </w:rPr>
      </w:pPr>
      <w:r>
        <w:rPr>
          <w:rStyle w:val="FootnoteReference"/>
          <w:b/>
          <w:sz w:val="24"/>
          <w:szCs w:val="24"/>
        </w:rPr>
        <w:footnoteRef/>
      </w:r>
      <w:r>
        <w:tab/>
      </w:r>
      <w:r>
        <w:rPr>
          <w:sz w:val="24"/>
        </w:rPr>
        <w:t>Pentru ca resortisanții țărilor din afara UE să obțină recunoașterea calificărilor lor la nivelul Uniunii, este necesară negocierea unui acord privind recunoașterea reciprocă în cadrul definit la articolul 8.27</w:t>
      </w:r>
      <w:r>
        <w:t>.</w:t>
      </w:r>
    </w:p>
  </w:footnote>
  <w:footnote w:id="42">
    <w:p>
      <w:pPr>
        <w:pStyle w:val="FootnoteText"/>
        <w:ind w:left="567" w:hanging="567"/>
        <w:rPr>
          <w:sz w:val="24"/>
          <w:szCs w:val="24"/>
        </w:rPr>
      </w:pPr>
      <w:r>
        <w:rPr>
          <w:rStyle w:val="FootnoteReference"/>
          <w:b/>
          <w:sz w:val="24"/>
          <w:szCs w:val="24"/>
        </w:rPr>
        <w:footnoteRef/>
      </w:r>
      <w:r>
        <w:tab/>
      </w:r>
      <w:r>
        <w:rPr>
          <w:sz w:val="24"/>
        </w:rPr>
        <w:t>Serviciile de consiliere și de consultanță privind agricultura, vânătoarea, silvicultura și pescuitul se regăsesc la SERVICII PENTRU ÎNTREPRINDERI, la punctele 6.F.(f) și 6.F.(g)</w:t>
      </w:r>
      <w:r>
        <w:t>.</w:t>
      </w:r>
    </w:p>
  </w:footnote>
  <w:footnote w:id="43">
    <w:p>
      <w:pPr>
        <w:pStyle w:val="FootnoteText"/>
        <w:rPr>
          <w:sz w:val="24"/>
          <w:szCs w:val="24"/>
        </w:rPr>
      </w:pPr>
    </w:p>
  </w:footnote>
  <w:footnote w:id="44">
    <w:p>
      <w:pPr>
        <w:pStyle w:val="FootnoteText"/>
        <w:rPr>
          <w:sz w:val="24"/>
          <w:szCs w:val="24"/>
        </w:rPr>
      </w:pPr>
    </w:p>
  </w:footnote>
  <w:footnote w:id="45">
    <w:p>
      <w:pPr>
        <w:pStyle w:val="FootnoteText"/>
        <w:ind w:left="567" w:hanging="567"/>
        <w:rPr>
          <w:sz w:val="24"/>
          <w:szCs w:val="24"/>
        </w:rPr>
      </w:pPr>
      <w:r>
        <w:rPr>
          <w:rStyle w:val="FootnoteReference"/>
          <w:b/>
          <w:sz w:val="24"/>
          <w:szCs w:val="24"/>
        </w:rPr>
        <w:footnoteRef/>
      </w:r>
      <w:r>
        <w:tab/>
      </w:r>
      <w:r>
        <w:rPr>
          <w:sz w:val="24"/>
        </w:rPr>
        <w:t>Se aplică limitarea orizontală privind serviciile de utilități publice</w:t>
      </w:r>
      <w:r>
        <w:t>.</w:t>
      </w:r>
    </w:p>
  </w:footnote>
  <w:footnote w:id="46">
    <w:p>
      <w:pPr>
        <w:pStyle w:val="FootnoteText"/>
        <w:ind w:left="567" w:hanging="567"/>
        <w:rPr>
          <w:sz w:val="24"/>
          <w:szCs w:val="24"/>
        </w:rPr>
      </w:pPr>
      <w:r>
        <w:rPr>
          <w:rStyle w:val="FootnoteReference"/>
          <w:b/>
          <w:sz w:val="24"/>
          <w:szCs w:val="24"/>
        </w:rPr>
        <w:footnoteRef/>
      </w:r>
      <w:r>
        <w:tab/>
      </w:r>
      <w:r>
        <w:rPr>
          <w:sz w:val="24"/>
        </w:rPr>
        <w:t>O persoană juridică este controlată de o altă persoană fizică sau juridică/alte persoane fizice sau juridice dacă aceasta/acestea din urmă are/au competența să desemneze majoritatea directorilor săi sau să dirijeze în alt mod legal activitățile acesteia</w:t>
      </w:r>
      <w:r>
        <w:t>.</w:t>
      </w:r>
      <w:r>
        <w:rPr>
          <w:sz w:val="24"/>
        </w:rPr>
        <w:t xml:space="preserve"> În special, deținerea unui volum de peste 50 % din participațiile în capitalurile proprii ale unei persoane juridice se consideră a fi deținerea controlului.</w:t>
      </w:r>
    </w:p>
  </w:footnote>
  <w:footnote w:id="47">
    <w:p>
      <w:pPr>
        <w:pStyle w:val="FootnoteText"/>
        <w:ind w:left="567" w:hanging="567"/>
        <w:rPr>
          <w:sz w:val="24"/>
          <w:szCs w:val="24"/>
        </w:rPr>
      </w:pPr>
      <w:r>
        <w:rPr>
          <w:rStyle w:val="FootnoteReference"/>
          <w:b/>
          <w:sz w:val="24"/>
          <w:szCs w:val="24"/>
        </w:rPr>
        <w:footnoteRef/>
      </w:r>
      <w:r>
        <w:tab/>
      </w:r>
      <w:r>
        <w:rPr>
          <w:sz w:val="24"/>
        </w:rPr>
        <w:t>Nu sunt incluse serviciile conexe mineritului furnizate pe bază de tarif sau contract la câmpurile petrolifere și gazeifere care se găsesc la SERVICII ENERGETICE, punctul 19.A</w:t>
      </w:r>
      <w:r>
        <w:t>.</w:t>
      </w:r>
    </w:p>
  </w:footnote>
  <w:footnote w:id="48">
    <w:p>
      <w:pPr>
        <w:pStyle w:val="FootnoteText"/>
        <w:ind w:left="567" w:hanging="567"/>
        <w:rPr>
          <w:sz w:val="24"/>
          <w:szCs w:val="24"/>
        </w:rPr>
      </w:pPr>
      <w:r>
        <w:rPr>
          <w:rStyle w:val="FootnoteReference"/>
          <w:b/>
          <w:sz w:val="24"/>
          <w:szCs w:val="24"/>
        </w:rPr>
        <w:footnoteRef/>
      </w:r>
      <w:r>
        <w:tab/>
      </w:r>
      <w:r>
        <w:rPr>
          <w:sz w:val="24"/>
        </w:rPr>
        <w:t>Acest sector nu include serviciile de consiliere conexe industriei prelucrătoare, care se regăsesc la SERVICII PENTRU ÎNTREPRINDERI, la punctul 6.F.(h)</w:t>
      </w:r>
      <w:r>
        <w:t>.</w:t>
      </w:r>
    </w:p>
  </w:footnote>
  <w:footnote w:id="49">
    <w:p>
      <w:pPr>
        <w:pStyle w:val="FootnoteText"/>
        <w:ind w:left="567" w:hanging="567"/>
        <w:rPr>
          <w:sz w:val="24"/>
          <w:szCs w:val="24"/>
        </w:rPr>
      </w:pPr>
      <w:r>
        <w:rPr>
          <w:rStyle w:val="FootnoteReference"/>
          <w:b/>
          <w:sz w:val="24"/>
          <w:szCs w:val="24"/>
        </w:rPr>
        <w:footnoteRef/>
      </w:r>
      <w:r>
        <w:tab/>
      </w:r>
      <w:r>
        <w:rPr>
          <w:sz w:val="24"/>
        </w:rPr>
        <w:t>Producția sau comerțul cu arme, muniții și materiale de război sunt excluse</w:t>
      </w:r>
      <w:r>
        <w:t>.</w:t>
      </w:r>
      <w:r>
        <w:rPr>
          <w:sz w:val="24"/>
        </w:rPr>
        <w:t xml:space="preserve"> Prin materiale de război se înțeleg numai produsele destinate și fabricate exclusiv pentru uz militar în contextul unui război sau al unor operațiuni de apărare.</w:t>
      </w:r>
    </w:p>
  </w:footnote>
  <w:footnote w:id="50">
    <w:p>
      <w:pPr>
        <w:pStyle w:val="FootnoteText"/>
        <w:ind w:left="567" w:hanging="567"/>
        <w:rPr>
          <w:sz w:val="24"/>
          <w:szCs w:val="24"/>
        </w:rPr>
      </w:pPr>
      <w:r>
        <w:rPr>
          <w:rStyle w:val="FootnoteReference"/>
          <w:b/>
          <w:sz w:val="24"/>
          <w:szCs w:val="24"/>
        </w:rPr>
        <w:footnoteRef/>
      </w:r>
      <w:r>
        <w:tab/>
      </w:r>
      <w:r>
        <w:rPr>
          <w:sz w:val="24"/>
        </w:rPr>
        <w:t>Acest sector este limitat la activitățile de fabricare</w:t>
      </w:r>
      <w:r>
        <w:t>.</w:t>
      </w:r>
      <w:r>
        <w:rPr>
          <w:sz w:val="24"/>
        </w:rPr>
        <w:t xml:space="preserve"> Nu include activitățile care sunt legate de sectorul audiovizual sau care prezintă un conținut cultural.</w:t>
      </w:r>
    </w:p>
  </w:footnote>
  <w:footnote w:id="51">
    <w:p>
      <w:pPr>
        <w:pStyle w:val="FootnoteText"/>
        <w:ind w:left="567" w:hanging="567"/>
        <w:rPr>
          <w:sz w:val="24"/>
          <w:szCs w:val="24"/>
        </w:rPr>
      </w:pPr>
      <w:r>
        <w:rPr>
          <w:rStyle w:val="FootnoteReference"/>
          <w:b/>
          <w:sz w:val="24"/>
          <w:szCs w:val="24"/>
        </w:rPr>
        <w:footnoteRef/>
      </w:r>
      <w:r>
        <w:tab/>
      </w:r>
      <w:r>
        <w:rPr>
          <w:sz w:val="24"/>
        </w:rPr>
        <w:t>Editarea și tipărirea pe bază de tarif sau contract se regăsesc la SERVICII PENTRU ÎNTREPRINDERI, la punctul 6.F.(p)</w:t>
      </w:r>
      <w:r>
        <w:t>.</w:t>
      </w:r>
    </w:p>
  </w:footnote>
  <w:footnote w:id="52">
    <w:p>
      <w:pPr>
        <w:pStyle w:val="FootnoteText"/>
        <w:ind w:left="567" w:hanging="567"/>
        <w:rPr>
          <w:sz w:val="24"/>
          <w:szCs w:val="24"/>
        </w:rPr>
      </w:pPr>
      <w:r>
        <w:rPr>
          <w:rStyle w:val="FootnoteReference"/>
          <w:b/>
          <w:sz w:val="24"/>
          <w:szCs w:val="24"/>
        </w:rPr>
        <w:footnoteRef/>
      </w:r>
      <w:r>
        <w:tab/>
      </w:r>
      <w:r>
        <w:rPr>
          <w:rStyle w:val="footnoteChar"/>
        </w:rPr>
        <w:t>Se aplică limitarea orizontală privind serviciile de utilități publice.</w:t>
      </w:r>
    </w:p>
  </w:footnote>
  <w:footnote w:id="53">
    <w:p>
      <w:pPr>
        <w:pStyle w:val="FootnoteText"/>
        <w:ind w:left="567" w:hanging="567"/>
        <w:rPr>
          <w:sz w:val="24"/>
          <w:szCs w:val="24"/>
        </w:rPr>
      </w:pPr>
      <w:r>
        <w:rPr>
          <w:rStyle w:val="FootnoteReference"/>
          <w:b/>
          <w:sz w:val="24"/>
          <w:szCs w:val="24"/>
        </w:rPr>
        <w:footnoteRef/>
      </w:r>
      <w:r>
        <w:tab/>
      </w:r>
      <w:r>
        <w:rPr>
          <w:sz w:val="24"/>
        </w:rPr>
        <w:t>Se aplică limitarea orizontală privind serviciile de utilități publice</w:t>
      </w:r>
      <w:r>
        <w:t>.</w:t>
      </w:r>
    </w:p>
  </w:footnote>
  <w:footnote w:id="54">
    <w:p>
      <w:pPr>
        <w:pStyle w:val="FootnoteText"/>
        <w:ind w:left="567" w:hanging="567"/>
        <w:rPr>
          <w:sz w:val="24"/>
          <w:szCs w:val="24"/>
        </w:rPr>
      </w:pPr>
      <w:r>
        <w:rPr>
          <w:rStyle w:val="FootnoteReference"/>
          <w:b/>
          <w:sz w:val="24"/>
          <w:szCs w:val="24"/>
        </w:rPr>
        <w:footnoteRef/>
      </w:r>
      <w:r>
        <w:tab/>
      </w:r>
      <w:r>
        <w:rPr>
          <w:sz w:val="24"/>
        </w:rPr>
        <w:t>Nu sunt incluse transportul gazelor naturale și al combustibililor gazoși prin conducte, transportul și distribuția gazelor pe bază de tarif sau contract și vânzarea de gaze naturale și combustibili gazoși, care se regăsesc la SERVICII ENERGETICE</w:t>
      </w:r>
      <w:r>
        <w:t>.</w:t>
      </w:r>
    </w:p>
  </w:footnote>
  <w:footnote w:id="55">
    <w:p>
      <w:pPr>
        <w:pStyle w:val="FootnoteText"/>
        <w:ind w:left="567" w:hanging="567"/>
        <w:rPr>
          <w:sz w:val="24"/>
          <w:szCs w:val="24"/>
        </w:rPr>
      </w:pPr>
      <w:r>
        <w:rPr>
          <w:rStyle w:val="FootnoteReference"/>
          <w:b/>
          <w:sz w:val="24"/>
          <w:szCs w:val="24"/>
        </w:rPr>
        <w:footnoteRef/>
      </w:r>
      <w:r>
        <w:tab/>
      </w:r>
      <w:r>
        <w:rPr>
          <w:sz w:val="24"/>
        </w:rPr>
        <w:t>Nu sunt incluse transportul și distribuția aburului și a apei calde pe bază de tarif sau contract și vânzarea de abur și apă caldă, care se regăsesc la SERVICII ENERGETICE</w:t>
      </w:r>
      <w:r>
        <w:t>.</w:t>
      </w:r>
    </w:p>
  </w:footnote>
  <w:footnote w:id="56">
    <w:p>
      <w:pPr>
        <w:pStyle w:val="FootnoteText"/>
        <w:ind w:left="567" w:hanging="567"/>
        <w:rPr>
          <w:sz w:val="24"/>
          <w:szCs w:val="24"/>
        </w:rPr>
      </w:pPr>
      <w:r>
        <w:rPr>
          <w:rStyle w:val="FootnoteReference"/>
          <w:b/>
          <w:sz w:val="24"/>
          <w:szCs w:val="24"/>
        </w:rPr>
        <w:footnoteRef/>
      </w:r>
      <w:r>
        <w:tab/>
      </w:r>
      <w:r>
        <w:rPr>
          <w:sz w:val="24"/>
        </w:rPr>
        <w:t>O persoană juridică este controlată de o altă persoană fizică sau juridică/alte persoane fizice sau juridice dacă aceasta/acestea din urmă are/au competența să desemneze majoritatea directorilor săi sau să dirijeze în alt mod legal activitățile acesteia</w:t>
      </w:r>
      <w:r>
        <w:t>.</w:t>
      </w:r>
      <w:r>
        <w:rPr>
          <w:sz w:val="24"/>
        </w:rPr>
        <w:t xml:space="preserve"> În special, deținerea unui volum de peste 50 % din participațiile în capitalurile proprii ale unei persoane juridice se consideră a fi deținerea controlului.</w:t>
      </w:r>
    </w:p>
  </w:footnote>
  <w:footnote w:id="57">
    <w:p>
      <w:pPr>
        <w:pStyle w:val="FootnoteText"/>
        <w:ind w:left="567" w:hanging="567"/>
      </w:pPr>
      <w:r>
        <w:rPr>
          <w:rStyle w:val="FootnoteReference"/>
          <w:b/>
        </w:rPr>
        <w:footnoteRef/>
      </w:r>
      <w:r>
        <w:tab/>
        <w:t>Sunt incluse serviciile de consultanță juridică, de reprezentare juridică, de arbitraj și conciliere/mediere juridică și servicii de documentare și certificare juridică.</w:t>
      </w:r>
    </w:p>
    <w:p>
      <w:pPr>
        <w:pStyle w:val="FootnoteText"/>
        <w:ind w:left="567"/>
      </w:pPr>
      <w:r>
        <w:t>Furnizarea de servicii juridice este autorizată numai în ceea ce privește dreptul internațional public, dreptul Uniunii și dreptul oricărei jurisdicții în cadrul căreia furnizorul de servicii sau personalul acestuia este calificat să exercite profesia de avocat și, la fel ca în cazul furnizării altor servicii, este condiționată de îndeplinirea cerințelor în materie de acordare a licențelor și a procedurilor de acordare a licențelor aplicabile în statele membre ale Uniunii. În cazul avocaților care furnizează servicii juridice ce țin de dreptul internațional public și dreptul străin, aceste cerințe în materie de acordare a licențelor și proceduri de acordare a licențelor pot lua, între altele, forma respectării codurilor de etică locale, a utilizării titlului obținut în țara de origine (cu excepția cazului în care a fost obținută echivalența cu titlul atribuit în țara gazdă), a cerințelor în materie de asigurare, a simplei înregistrări pe lângă baroul țării gazdă sau a admiterii simplificate în baroul țării gazdă printr-un test de aptitudini și un domiciliu legal sau profesional în țara gazdă. Serviciile juridice care țin de dreptul Uniunii sunt furnizate, în principiu, de către un avocat sau prin intermediul unui avocat care deține toate calificările, admis în baroul unui stat membru al Uniunii, care acționează personal, iar serviciile juridice care țin de dreptul unui stat membru al Uniunii sunt furnizate, în principiu, de către un avocat sau prin intermediul unui avocat care deține toate calificările, admis în baroul statului membru în cauză, care acționează personal. Prin urmare, pentru reprezentarea în fața instanțelor și a altor autorități competente în Uniune, ar putea fi necesară admiterea deplină în baroul statului membru al Uniunii în cauză, din moment ce implică exercitarea profesiei în domeniul dreptului Uniunii și al dreptului procesual intern. Cu toate acestea, în unele state membre, avocaților străini care nu sunt admiși pe deplin în barou li se permite să reprezinte în proceduri civile o parte care este resortisant al statului în care avocatul are dreptul să profeseze sau care aparține de acest stat.</w:t>
      </w:r>
    </w:p>
  </w:footnote>
  <w:footnote w:id="58">
    <w:p>
      <w:pPr>
        <w:pStyle w:val="FootnoteText"/>
        <w:ind w:left="567" w:hanging="567"/>
        <w:rPr>
          <w:sz w:val="24"/>
          <w:szCs w:val="24"/>
        </w:rPr>
      </w:pPr>
      <w:r>
        <w:rPr>
          <w:rStyle w:val="FootnoteReference"/>
          <w:b/>
          <w:sz w:val="24"/>
          <w:szCs w:val="24"/>
        </w:rPr>
        <w:footnoteRef/>
      </w:r>
      <w:r>
        <w:tab/>
      </w:r>
      <w:r>
        <w:rPr>
          <w:sz w:val="24"/>
        </w:rPr>
        <w:t>Nu sunt incluse serviciile de consultanță juridică și de reprezentare juridică în domeniul fiscal, care se regăsesc la punctul 1.A.(a) Servicii juridice</w:t>
      </w:r>
      <w:r>
        <w:t>.</w:t>
      </w:r>
    </w:p>
  </w:footnote>
  <w:footnote w:id="59">
    <w:p>
      <w:pPr>
        <w:pStyle w:val="FootnoteText"/>
        <w:ind w:left="567" w:hanging="567"/>
        <w:rPr>
          <w:sz w:val="24"/>
          <w:szCs w:val="24"/>
        </w:rPr>
      </w:pPr>
      <w:r>
        <w:rPr>
          <w:rStyle w:val="FootnoteReference"/>
          <w:b/>
          <w:sz w:val="24"/>
          <w:szCs w:val="24"/>
        </w:rPr>
        <w:footnoteRef/>
      </w:r>
      <w:r>
        <w:tab/>
      </w:r>
      <w:r>
        <w:rPr>
          <w:sz w:val="24"/>
        </w:rPr>
        <w:t>Furnizarea de produse farmaceutice publicului larg, precum și furnizarea altor servicii sunt condiționate de îndeplinirea cerințelor în materie de acordare a licențelor și a procedurilor de acordare a licențelor, precum și a cerințelor și a procedurilor de calificare aplicabile în statele membre</w:t>
      </w:r>
      <w:r>
        <w:t>.</w:t>
      </w:r>
      <w:r>
        <w:rPr>
          <w:sz w:val="24"/>
        </w:rPr>
        <w:t xml:space="preserve"> De regulă, această activitate este rezervată farmaciștilor. În unele state membre, numai furnizarea medicamentelor eliberate cu prescripție medicală este rezervată farmaciștilor.</w:t>
      </w:r>
    </w:p>
  </w:footnote>
  <w:footnote w:id="60">
    <w:p>
      <w:pPr>
        <w:pStyle w:val="FootnoteText"/>
        <w:ind w:left="567" w:hanging="567"/>
        <w:rPr>
          <w:sz w:val="24"/>
          <w:szCs w:val="24"/>
        </w:rPr>
      </w:pPr>
      <w:r>
        <w:rPr>
          <w:rStyle w:val="FootnoteReference"/>
          <w:b/>
          <w:sz w:val="24"/>
          <w:szCs w:val="24"/>
        </w:rPr>
        <w:footnoteRef/>
      </w:r>
      <w:r>
        <w:tab/>
      </w:r>
      <w:r>
        <w:rPr>
          <w:sz w:val="24"/>
        </w:rPr>
        <w:t>Parte din CPC 85201, care se regăsește la punctul 6.A.(h)</w:t>
      </w:r>
      <w:r>
        <w:t>.</w:t>
      </w:r>
      <w:r>
        <w:rPr>
          <w:sz w:val="24"/>
        </w:rPr>
        <w:t xml:space="preserve"> Servicii medicale și stomatologice.</w:t>
      </w:r>
    </w:p>
  </w:footnote>
  <w:footnote w:id="61">
    <w:p>
      <w:pPr>
        <w:pStyle w:val="FootnoteText"/>
        <w:ind w:left="567" w:hanging="567"/>
        <w:rPr>
          <w:sz w:val="24"/>
          <w:szCs w:val="24"/>
        </w:rPr>
      </w:pPr>
      <w:r>
        <w:rPr>
          <w:rStyle w:val="FootnoteReference"/>
          <w:b/>
          <w:sz w:val="24"/>
          <w:szCs w:val="24"/>
        </w:rPr>
        <w:footnoteRef/>
      </w:r>
      <w:r>
        <w:tab/>
      </w:r>
      <w:r>
        <w:rPr>
          <w:sz w:val="24"/>
        </w:rPr>
        <w:t>Aceste servicii se referă la profesia de agent imobiliar și nu aduc atingere niciunor drepturi și/sau restricții privind persoanele fizice și juridice care achiziționează bunuri imobile</w:t>
      </w:r>
      <w:r>
        <w:t>.</w:t>
      </w:r>
    </w:p>
  </w:footnote>
  <w:footnote w:id="62">
    <w:p>
      <w:pPr>
        <w:pStyle w:val="FootnoteText"/>
        <w:ind w:left="567" w:hanging="567"/>
        <w:rPr>
          <w:sz w:val="24"/>
          <w:szCs w:val="24"/>
        </w:rPr>
      </w:pPr>
      <w:r>
        <w:rPr>
          <w:rStyle w:val="FootnoteReference"/>
          <w:b/>
          <w:sz w:val="24"/>
          <w:szCs w:val="24"/>
        </w:rPr>
        <w:footnoteRef/>
      </w:r>
      <w:r>
        <w:tab/>
      </w:r>
      <w:r>
        <w:rPr>
          <w:sz w:val="24"/>
        </w:rPr>
        <w:t>Serviciile de întreținere și reparare a echipamentelor de transport (CPC 6112, 6122, 8867 și CPC 8868) se regăsesc la punctele 6.F.(l)1 – 6.F.(l)4</w:t>
      </w:r>
      <w:r>
        <w:t>.</w:t>
      </w:r>
    </w:p>
    <w:p>
      <w:pPr>
        <w:pStyle w:val="FootnoteText"/>
        <w:ind w:left="567"/>
        <w:rPr>
          <w:sz w:val="24"/>
          <w:szCs w:val="24"/>
        </w:rPr>
      </w:pPr>
      <w:r>
        <w:rPr>
          <w:sz w:val="24"/>
        </w:rPr>
        <w:t>Serviciile de întreținere și reparare a mașinilor și echipamentelor de birou, inclusiv a calculatoarelor (CPC 845), se regăsesc la punctul 6.B. Servicii informatice și servicii conexe.</w:t>
      </w:r>
    </w:p>
  </w:footnote>
  <w:footnote w:id="63">
    <w:p>
      <w:pPr>
        <w:pStyle w:val="FootnoteText"/>
        <w:ind w:left="567" w:hanging="567"/>
        <w:rPr>
          <w:sz w:val="24"/>
          <w:szCs w:val="24"/>
        </w:rPr>
      </w:pPr>
      <w:r>
        <w:rPr>
          <w:rStyle w:val="FootnoteReference"/>
          <w:b/>
          <w:sz w:val="24"/>
          <w:szCs w:val="24"/>
        </w:rPr>
        <w:footnoteRef/>
      </w:r>
      <w:r>
        <w:tab/>
      </w:r>
      <w:r>
        <w:rPr>
          <w:sz w:val="24"/>
        </w:rPr>
        <w:t>Nu sunt incluse serviciile de tipărire, care intră sub incidența CPC 88442 și se regăsesc la punctul 6.F.(p)</w:t>
      </w:r>
      <w:r>
        <w:t>.</w:t>
      </w:r>
    </w:p>
  </w:footnote>
  <w:footnote w:id="64">
    <w:p>
      <w:pPr>
        <w:pStyle w:val="FootnoteText"/>
        <w:ind w:left="567" w:hanging="567"/>
        <w:rPr>
          <w:sz w:val="24"/>
          <w:szCs w:val="24"/>
        </w:rPr>
      </w:pPr>
      <w:r>
        <w:rPr>
          <w:rStyle w:val="FootnoteReference"/>
          <w:b/>
          <w:sz w:val="24"/>
          <w:szCs w:val="24"/>
        </w:rPr>
        <w:footnoteRef/>
      </w:r>
      <w:r>
        <w:tab/>
      </w:r>
      <w:r>
        <w:rPr>
          <w:sz w:val="24"/>
        </w:rPr>
        <w:t>„Tratamentul echivalent” implică un tratament nediscriminatoriu al transportatorilor aerieni din Uniune și al furnizorilor de servicii SIR din Uniune</w:t>
      </w:r>
      <w:r>
        <w:t>.</w:t>
      </w:r>
    </w:p>
  </w:footnote>
  <w:footnote w:id="65">
    <w:p>
      <w:pPr>
        <w:pStyle w:val="FootnoteText"/>
        <w:ind w:left="567" w:hanging="567"/>
        <w:rPr>
          <w:sz w:val="24"/>
          <w:szCs w:val="24"/>
        </w:rPr>
      </w:pPr>
      <w:r>
        <w:rPr>
          <w:rStyle w:val="FootnoteReference"/>
          <w:b/>
          <w:sz w:val="24"/>
          <w:szCs w:val="24"/>
        </w:rPr>
        <w:footnoteRef/>
      </w:r>
      <w:r>
        <w:tab/>
      </w:r>
      <w:r>
        <w:rPr>
          <w:sz w:val="24"/>
        </w:rPr>
        <w:t>Aceste servicii nu includ informațiile online sau prelucrarea datelor (inclusiv prelucrarea tranzacțiilor) (parte din CPC 843) care se regăsesc la punctul 6.B</w:t>
      </w:r>
      <w:r>
        <w:t>.</w:t>
      </w:r>
      <w:r>
        <w:rPr>
          <w:sz w:val="24"/>
        </w:rPr>
        <w:t xml:space="preserve"> Servicii informatice și servicii conexe.</w:t>
      </w:r>
    </w:p>
  </w:footnote>
  <w:footnote w:id="66">
    <w:p>
      <w:pPr>
        <w:pStyle w:val="FootnoteText"/>
        <w:ind w:left="567" w:hanging="567"/>
        <w:rPr>
          <w:sz w:val="24"/>
          <w:szCs w:val="24"/>
        </w:rPr>
      </w:pPr>
      <w:r>
        <w:rPr>
          <w:rStyle w:val="FootnoteReference"/>
          <w:b/>
          <w:sz w:val="24"/>
          <w:szCs w:val="24"/>
        </w:rPr>
        <w:footnoteRef/>
      </w:r>
      <w:r>
        <w:tab/>
      </w:r>
      <w:r>
        <w:rPr>
          <w:sz w:val="24"/>
        </w:rPr>
        <w:t>Radiodifuziunea înseamnă lanțul neîntrerupt de transmisie prin fir sau fără fir (indiferent de localizarea transmisiei de origine) necesar pentru recepția sau afișarea semnalelor programelor sonore sau vizuale pentru întregul public sau orice parte a acestuia, însă nu include legăturile de contribuție între operatori</w:t>
      </w:r>
      <w:r>
        <w:t>.</w:t>
      </w:r>
    </w:p>
  </w:footnote>
  <w:footnote w:id="67">
    <w:p>
      <w:pPr>
        <w:pStyle w:val="FootnoteText"/>
        <w:ind w:left="567" w:hanging="567"/>
        <w:rPr>
          <w:sz w:val="24"/>
          <w:szCs w:val="24"/>
        </w:rPr>
      </w:pPr>
      <w:r>
        <w:rPr>
          <w:rStyle w:val="FootnoteReference"/>
          <w:b/>
          <w:sz w:val="24"/>
          <w:szCs w:val="24"/>
        </w:rPr>
        <w:footnoteRef/>
      </w:r>
      <w:r>
        <w:tab/>
      </w:r>
      <w:r>
        <w:rPr>
          <w:sz w:val="24"/>
        </w:rPr>
        <w:t>Aceste servicii, care includ CPC 62271, se regăsesc la SERVICII ENERGETICE, la punctul 19.D.</w:t>
      </w:r>
    </w:p>
  </w:footnote>
  <w:footnote w:id="68">
    <w:p>
      <w:pPr>
        <w:pStyle w:val="FootnoteText"/>
        <w:ind w:left="567" w:hanging="567"/>
        <w:rPr>
          <w:sz w:val="24"/>
          <w:szCs w:val="24"/>
        </w:rPr>
      </w:pPr>
      <w:r>
        <w:rPr>
          <w:rStyle w:val="FootnoteReference"/>
          <w:b/>
          <w:sz w:val="24"/>
          <w:szCs w:val="24"/>
        </w:rPr>
        <w:footnoteRef/>
      </w:r>
      <w:r>
        <w:tab/>
      </w:r>
      <w:r>
        <w:rPr>
          <w:sz w:val="24"/>
        </w:rPr>
        <w:t>Nu sunt incluse serviciile de întreținere și reparare, care se regăsesc la SERVICII PENTRU ÎNTREPRINDERI, la punctele 6.B. și 6.F.(l)</w:t>
      </w:r>
      <w:r>
        <w:t>.</w:t>
      </w:r>
    </w:p>
    <w:p>
      <w:pPr>
        <w:pStyle w:val="FootnoteText"/>
        <w:ind w:left="567"/>
        <w:rPr>
          <w:sz w:val="24"/>
          <w:szCs w:val="24"/>
        </w:rPr>
      </w:pPr>
      <w:r>
        <w:rPr>
          <w:sz w:val="24"/>
        </w:rPr>
        <w:t>Nu sunt incluse serviciile de comerț cu amănuntul cu produse energetice care se regăsesc la SERVICII ENERGETICE, la punctele 19.E și 19.F.</w:t>
      </w:r>
    </w:p>
  </w:footnote>
  <w:footnote w:id="69">
    <w:p>
      <w:pPr>
        <w:pStyle w:val="FootnoteText"/>
        <w:ind w:left="567" w:hanging="567"/>
        <w:rPr>
          <w:sz w:val="24"/>
          <w:szCs w:val="24"/>
        </w:rPr>
      </w:pPr>
      <w:r>
        <w:rPr>
          <w:rStyle w:val="FootnoteReference"/>
          <w:b/>
          <w:sz w:val="24"/>
          <w:szCs w:val="24"/>
        </w:rPr>
        <w:footnoteRef/>
      </w:r>
      <w:r>
        <w:tab/>
      </w:r>
      <w:r>
        <w:rPr>
          <w:sz w:val="24"/>
        </w:rPr>
        <w:t>Vânzarea cu amănuntul de bunuri farmaceutice, medicale și ortopedice se regăsește la SERVICII PROFESIONALE, la punctul 6.A.(k)</w:t>
      </w:r>
      <w:r>
        <w:t>.</w:t>
      </w:r>
    </w:p>
  </w:footnote>
  <w:footnote w:id="70">
    <w:p>
      <w:pPr>
        <w:pStyle w:val="FootnoteText"/>
        <w:ind w:left="567" w:hanging="567"/>
        <w:rPr>
          <w:sz w:val="24"/>
          <w:szCs w:val="24"/>
        </w:rPr>
      </w:pPr>
      <w:r>
        <w:rPr>
          <w:rStyle w:val="FootnoteReference"/>
          <w:b/>
          <w:sz w:val="24"/>
          <w:szCs w:val="24"/>
        </w:rPr>
        <w:footnoteRef/>
      </w:r>
      <w:r>
        <w:tab/>
      </w:r>
      <w:r>
        <w:rPr>
          <w:sz w:val="24"/>
        </w:rPr>
        <w:t>Corespund serviciilor de canalizare</w:t>
      </w:r>
      <w:r>
        <w:t>.</w:t>
      </w:r>
    </w:p>
  </w:footnote>
  <w:footnote w:id="71">
    <w:p>
      <w:pPr>
        <w:pStyle w:val="FootnoteText"/>
        <w:ind w:left="567" w:hanging="567"/>
        <w:rPr>
          <w:bCs/>
          <w:sz w:val="24"/>
          <w:szCs w:val="24"/>
        </w:rPr>
      </w:pPr>
      <w:r>
        <w:rPr>
          <w:rStyle w:val="FootnoteReference"/>
          <w:b/>
          <w:sz w:val="24"/>
          <w:szCs w:val="24"/>
        </w:rPr>
        <w:footnoteRef/>
      </w:r>
      <w:r>
        <w:tab/>
      </w:r>
      <w:r>
        <w:rPr>
          <w:sz w:val="24"/>
        </w:rPr>
        <w:t>Corespunde serviciilor de purificare a gazelor de evacuare</w:t>
      </w:r>
      <w:r>
        <w:t>.</w:t>
      </w:r>
    </w:p>
  </w:footnote>
  <w:footnote w:id="72">
    <w:p>
      <w:pPr>
        <w:pStyle w:val="FootnoteText"/>
        <w:ind w:left="567" w:hanging="567"/>
        <w:rPr>
          <w:bCs/>
          <w:sz w:val="24"/>
          <w:szCs w:val="24"/>
        </w:rPr>
      </w:pPr>
      <w:r>
        <w:rPr>
          <w:rStyle w:val="FootnoteReference"/>
          <w:b/>
          <w:sz w:val="24"/>
          <w:szCs w:val="24"/>
        </w:rPr>
        <w:footnoteRef/>
      </w:r>
      <w:r>
        <w:tab/>
      </w:r>
      <w:r>
        <w:rPr>
          <w:sz w:val="24"/>
        </w:rPr>
        <w:t>Corespund unor părți din serviciile de protecție a naturii și peisajelor</w:t>
      </w:r>
      <w:r>
        <w:t>.</w:t>
      </w:r>
    </w:p>
  </w:footnote>
  <w:footnote w:id="73">
    <w:p>
      <w:pPr>
        <w:pStyle w:val="FootnoteText"/>
        <w:ind w:left="567" w:hanging="567"/>
        <w:rPr>
          <w:sz w:val="24"/>
          <w:szCs w:val="24"/>
        </w:rPr>
      </w:pPr>
      <w:r>
        <w:rPr>
          <w:rStyle w:val="FootnoteReference"/>
          <w:b/>
          <w:sz w:val="24"/>
          <w:szCs w:val="24"/>
        </w:rPr>
        <w:footnoteRef/>
      </w:r>
      <w:r>
        <w:tab/>
      </w:r>
      <w:r>
        <w:rPr>
          <w:sz w:val="24"/>
        </w:rPr>
        <w:t>Fără a aduce atingere domeniului de activități care poate fi considerat drept cabotaj în temeiul legislației naționale relevante, prezenta listă nu include transportul intern de cabotaj, care se presupune că include transportul de călători sau de mărfuri între un port sau un punct situat într-un stat membru al Uniunii și un alt port sau punct situat în același stat membru, inclusiv pe platforma sa continentală, astfel cum prevede Convenția Națiunilor Unite asupra dreptului mării, și nici traficul care începe și se termină în același port sau punct situat într-un stat membru al Uniunii</w:t>
      </w:r>
      <w:r>
        <w:t>.</w:t>
      </w:r>
    </w:p>
  </w:footnote>
  <w:footnote w:id="74">
    <w:p>
      <w:pPr>
        <w:pStyle w:val="FootnoteText"/>
        <w:ind w:left="567" w:hanging="567"/>
        <w:rPr>
          <w:sz w:val="24"/>
          <w:szCs w:val="24"/>
        </w:rPr>
      </w:pPr>
      <w:r>
        <w:rPr>
          <w:rStyle w:val="FootnoteReference"/>
          <w:b/>
          <w:sz w:val="24"/>
          <w:szCs w:val="24"/>
        </w:rPr>
        <w:footnoteRef/>
      </w:r>
      <w:r>
        <w:tab/>
      </w:r>
      <w:r>
        <w:rPr>
          <w:sz w:val="24"/>
        </w:rPr>
        <w:t>Fără a aduce atingere domeniului de activități care poate fi considerat drept cabotaj în temeiul legislației naționale relevante, prezenta listă nu include transportul intern de cabotaj, care se presupune că include transportul de călători sau de mărfuri între un port sau un punct situat într-un stat membru al Uniunii și un alt port sau punct situat în același stat membru, inclusiv pe platforma sa continentală, astfel cum prevede Convenția Națiunilor Unite asupra dreptului mării, și nici traficul care începe și se termină în același port sau punct situat într-un stat membru al Uniunii</w:t>
      </w:r>
      <w:r>
        <w:t>.</w:t>
      </w:r>
    </w:p>
  </w:footnote>
  <w:footnote w:id="75">
    <w:p>
      <w:pPr>
        <w:pStyle w:val="FootnoteText"/>
        <w:ind w:left="567" w:hanging="567"/>
        <w:rPr>
          <w:sz w:val="24"/>
          <w:szCs w:val="24"/>
        </w:rPr>
      </w:pPr>
      <w:r>
        <w:rPr>
          <w:rStyle w:val="FootnoteReference"/>
          <w:b/>
          <w:sz w:val="24"/>
          <w:szCs w:val="24"/>
        </w:rPr>
        <w:footnoteRef/>
      </w:r>
      <w:r>
        <w:tab/>
      </w:r>
      <w:r>
        <w:rPr>
          <w:sz w:val="24"/>
        </w:rPr>
        <w:t>Parte din CPC 71235, care se regăsește la SERVICII DE COMUNICAȚII, la Servicii poștale și de curierat</w:t>
      </w:r>
      <w:r>
        <w:t>.</w:t>
      </w:r>
    </w:p>
  </w:footnote>
  <w:footnote w:id="76">
    <w:p>
      <w:pPr>
        <w:pStyle w:val="FootnoteText"/>
        <w:ind w:left="567" w:hanging="567"/>
        <w:rPr>
          <w:sz w:val="24"/>
          <w:szCs w:val="24"/>
        </w:rPr>
      </w:pPr>
      <w:r>
        <w:rPr>
          <w:rStyle w:val="FootnoteReference"/>
          <w:b/>
          <w:sz w:val="24"/>
          <w:szCs w:val="24"/>
        </w:rPr>
        <w:footnoteRef/>
      </w:r>
      <w:r>
        <w:tab/>
      </w:r>
      <w:r>
        <w:rPr>
          <w:sz w:val="24"/>
        </w:rPr>
        <w:t>Transportul prin conducte al combustibililor se regăsește la SERVICII ENERGETICE, la punctul 19.B.</w:t>
      </w:r>
    </w:p>
  </w:footnote>
  <w:footnote w:id="77">
    <w:p>
      <w:pPr>
        <w:pStyle w:val="FootnoteText"/>
        <w:ind w:left="567" w:hanging="567"/>
        <w:rPr>
          <w:sz w:val="24"/>
          <w:szCs w:val="24"/>
        </w:rPr>
      </w:pPr>
      <w:r>
        <w:rPr>
          <w:rStyle w:val="FootnoteReference"/>
          <w:b/>
          <w:sz w:val="24"/>
          <w:szCs w:val="24"/>
        </w:rPr>
        <w:footnoteRef/>
      </w:r>
      <w:r>
        <w:tab/>
      </w:r>
      <w:r>
        <w:rPr>
          <w:sz w:val="24"/>
        </w:rPr>
        <w:t>Nu sunt incluse serviciile de întreținere și reparare a echipamentelor de transport, care se regăsesc la SERVICII PENTRU ÎNTREPRINDERI, la punctele 6.F.(l)1. – 6.F.(l).4</w:t>
      </w:r>
      <w:r>
        <w:t>.</w:t>
      </w:r>
    </w:p>
  </w:footnote>
  <w:footnote w:id="78">
    <w:p>
      <w:pPr>
        <w:pStyle w:val="FootnoteText"/>
        <w:ind w:left="567" w:hanging="567"/>
        <w:rPr>
          <w:sz w:val="24"/>
          <w:szCs w:val="24"/>
        </w:rPr>
      </w:pPr>
      <w:r>
        <w:rPr>
          <w:rStyle w:val="FootnoteReference"/>
          <w:b/>
          <w:sz w:val="24"/>
          <w:szCs w:val="24"/>
        </w:rPr>
        <w:footnoteRef/>
      </w:r>
      <w:r>
        <w:tab/>
      </w:r>
      <w:r>
        <w:rPr>
          <w:sz w:val="24"/>
        </w:rPr>
        <w:t>Prezenta măsură se aplică în mod nediscriminatoriu</w:t>
      </w:r>
      <w:r>
        <w:t>.</w:t>
      </w:r>
    </w:p>
  </w:footnote>
  <w:footnote w:id="79">
    <w:p>
      <w:pPr>
        <w:pStyle w:val="FootnoteText"/>
        <w:ind w:left="567" w:hanging="567"/>
        <w:rPr>
          <w:sz w:val="24"/>
          <w:szCs w:val="24"/>
        </w:rPr>
      </w:pPr>
      <w:r>
        <w:rPr>
          <w:rStyle w:val="FootnoteReference"/>
          <w:b/>
          <w:sz w:val="24"/>
          <w:szCs w:val="24"/>
        </w:rPr>
        <w:footnoteRef/>
      </w:r>
      <w:r>
        <w:tab/>
      </w:r>
      <w:r>
        <w:rPr>
          <w:rStyle w:val="Corpsdutexte"/>
          <w:sz w:val="24"/>
        </w:rPr>
        <w:t>„</w:t>
      </w:r>
      <w:r>
        <w:rPr>
          <w:sz w:val="24"/>
        </w:rPr>
        <w:t>Servicii ale agențiilor maritime</w:t>
      </w:r>
      <w:r>
        <w:rPr>
          <w:rStyle w:val="Corpsdutexte"/>
          <w:sz w:val="24"/>
        </w:rPr>
        <w:t>”</w:t>
      </w:r>
      <w:r>
        <w:rPr>
          <w:sz w:val="24"/>
        </w:rPr>
        <w:t xml:space="preserve"> înseamnă activități care constau în reprezentarea, într-o zonă geografică dată, în calitate de agent, a intereselor comerciale ale uneia sau mai multor companii maritime de linie sau companii de transport maritim, în următoarele scopuri</w:t>
      </w:r>
      <w:r>
        <w:t>:</w:t>
      </w:r>
    </w:p>
    <w:p>
      <w:pPr>
        <w:pStyle w:val="FootnoteText"/>
        <w:ind w:left="1134" w:hanging="567"/>
        <w:rPr>
          <w:sz w:val="24"/>
          <w:szCs w:val="24"/>
        </w:rPr>
      </w:pPr>
      <w:r>
        <w:rPr>
          <w:sz w:val="24"/>
        </w:rPr>
        <w:t>–</w:t>
      </w:r>
      <w:r>
        <w:tab/>
      </w:r>
      <w:r>
        <w:rPr>
          <w:sz w:val="24"/>
        </w:rPr>
        <w:t>comercializarea și vânzarea serviciilor de transport maritim și a serviciilor conexe, de la ofertare până la facturare, precum și emisiunea de conosamente în numele companiilor, achiziționarea și revânzarea serviciilor conexe necesare, întocmirea documentelor și furnizarea de informații comerciale;</w:t>
      </w:r>
    </w:p>
    <w:p>
      <w:pPr>
        <w:pStyle w:val="FootnoteText"/>
        <w:ind w:left="1134" w:hanging="567"/>
        <w:rPr>
          <w:sz w:val="24"/>
          <w:szCs w:val="24"/>
        </w:rPr>
      </w:pPr>
      <w:r>
        <w:rPr>
          <w:sz w:val="24"/>
        </w:rPr>
        <w:t>–</w:t>
      </w:r>
      <w:r>
        <w:tab/>
      </w:r>
      <w:r>
        <w:rPr>
          <w:sz w:val="24"/>
        </w:rPr>
        <w:t>acționarea în numele societăților care organizează escala navei sau preluarea încărcăturilor atunci când este necesar.</w:t>
      </w:r>
    </w:p>
  </w:footnote>
  <w:footnote w:id="80">
    <w:p>
      <w:pPr>
        <w:pStyle w:val="FootnoteText"/>
        <w:ind w:left="567" w:hanging="567"/>
        <w:rPr>
          <w:sz w:val="24"/>
          <w:szCs w:val="24"/>
        </w:rPr>
      </w:pPr>
      <w:r>
        <w:rPr>
          <w:rStyle w:val="FootnoteReference"/>
          <w:b/>
          <w:sz w:val="24"/>
          <w:szCs w:val="24"/>
        </w:rPr>
        <w:footnoteRef/>
      </w:r>
      <w:r>
        <w:tab/>
      </w:r>
      <w:r>
        <w:rPr>
          <w:sz w:val="24"/>
        </w:rPr>
        <w:t>Serviciile auxiliare transportului prin conducte al combustibililor se regăsesc la SERVICII ENERGETICE, la punctul 19.C</w:t>
      </w:r>
      <w:r>
        <w:t>.</w:t>
      </w:r>
    </w:p>
  </w:footnote>
  <w:footnote w:id="81">
    <w:p>
      <w:pPr>
        <w:pStyle w:val="FootnoteText"/>
        <w:ind w:left="567" w:hanging="567"/>
        <w:rPr>
          <w:sz w:val="24"/>
          <w:szCs w:val="24"/>
        </w:rPr>
      </w:pPr>
      <w:r>
        <w:rPr>
          <w:rStyle w:val="FootnoteReference"/>
          <w:b/>
          <w:sz w:val="24"/>
          <w:szCs w:val="24"/>
        </w:rPr>
        <w:footnoteRef/>
      </w:r>
      <w:r>
        <w:tab/>
      </w:r>
      <w:r>
        <w:rPr>
          <w:sz w:val="24"/>
        </w:rPr>
        <w:t>Sunt incluse următoarele servicii furnizate pe bază de tarif sau contract</w:t>
      </w:r>
      <w:r>
        <w:t>:</w:t>
      </w:r>
      <w:r>
        <w:rPr>
          <w:sz w:val="24"/>
        </w:rPr>
        <w:t xml:space="preserve"> servicii de consiliere și consultanță referitoare la minerit, pregătirea șantierului, instalarea platformei, foraj, servicii legate de sapa de foraj, servicii de încasetare și de întubare, furnizarea și ingineria nămolurilor, controlul solidelor, recuperare și operațiuni speciale în puțuri, geologia amplasării puțurilor și controlul forării, carotaj, încercarea puțurilor, servicii privind cablurile, furnizarea și utilizarea fluidelor de completare (a saramurii), furnizarea și instalarea dispozitivelor de completare, cimentare (pomparea de refulare), servicii de stimulare (fracturare, acidificare și pompare de refulare), recondiționare și servicii de reparare, obturare și abandonare de puțuri.</w:t>
      </w:r>
    </w:p>
    <w:p>
      <w:pPr>
        <w:pStyle w:val="FootnoteText"/>
        <w:ind w:left="567"/>
        <w:rPr>
          <w:sz w:val="24"/>
          <w:szCs w:val="24"/>
        </w:rPr>
      </w:pPr>
      <w:r>
        <w:rPr>
          <w:sz w:val="24"/>
        </w:rPr>
        <w:t>Nu este inclus accesul direct la resurse naturale și nici exploatarea acestora.</w:t>
      </w:r>
    </w:p>
    <w:p>
      <w:pPr>
        <w:pStyle w:val="FootnoteText"/>
        <w:ind w:left="567"/>
        <w:rPr>
          <w:sz w:val="24"/>
          <w:szCs w:val="24"/>
        </w:rPr>
      </w:pPr>
      <w:r>
        <w:rPr>
          <w:sz w:val="24"/>
        </w:rPr>
        <w:t>Nu este inclusă pregătirea sitului pentru extracția altor resurse decât petrolul și gazele (CPC 5115), care se regăsește la punctul 8. SERVICII DE CONSTRUCȚII ȘI SERVICII DE INGINERIE CONEXE.</w:t>
      </w:r>
    </w:p>
  </w:footnote>
  <w:footnote w:id="82">
    <w:p>
      <w:pPr>
        <w:pStyle w:val="FootnoteText"/>
        <w:ind w:left="567" w:hanging="567"/>
        <w:rPr>
          <w:sz w:val="24"/>
          <w:szCs w:val="24"/>
        </w:rPr>
      </w:pPr>
      <w:r>
        <w:rPr>
          <w:rStyle w:val="FootnoteReference"/>
          <w:b/>
          <w:sz w:val="24"/>
          <w:szCs w:val="24"/>
        </w:rPr>
        <w:footnoteRef/>
      </w:r>
      <w:r>
        <w:tab/>
      </w:r>
      <w:r>
        <w:rPr>
          <w:sz w:val="24"/>
        </w:rPr>
        <w:t>Serviciile de masaje terapeutice și de cure termale se regăsesc la punctele 6.A.(h) Servicii medicale și stomatologice și 6.A.(j).2</w:t>
      </w:r>
      <w:r>
        <w:t>.</w:t>
      </w:r>
      <w:r>
        <w:rPr>
          <w:sz w:val="24"/>
        </w:rPr>
        <w:t xml:space="preserve"> Servicii furnizate de asistenți medicali, fizioterapeuți și personal paramedical și servicii de sănătate (13.A și 13.C).</w:t>
      </w:r>
    </w:p>
  </w:footnote>
  <w:footnote w:id="83">
    <w:p>
      <w:pPr>
        <w:pStyle w:val="FootnoteText"/>
        <w:ind w:left="567" w:hanging="567"/>
        <w:rPr>
          <w:sz w:val="24"/>
          <w:szCs w:val="24"/>
        </w:rPr>
      </w:pPr>
      <w:r>
        <w:rPr>
          <w:rStyle w:val="FootnoteReference"/>
          <w:b/>
          <w:sz w:val="24"/>
          <w:szCs w:val="24"/>
        </w:rPr>
        <w:footnoteRef/>
      </w:r>
      <w:r>
        <w:tab/>
      </w:r>
      <w:r>
        <w:rPr>
          <w:sz w:val="24"/>
        </w:rPr>
        <w:t>Trimiterile la persoanele „juridice” din liste ar trebui înțelese în conformitate cu legislația statelor membre în cauză</w:t>
      </w:r>
      <w:r>
        <w:t>.</w:t>
      </w:r>
    </w:p>
  </w:footnote>
  <w:footnote w:id="84">
    <w:p>
      <w:pPr>
        <w:pStyle w:val="FootnoteText"/>
        <w:ind w:left="567" w:hanging="567"/>
        <w:rPr>
          <w:sz w:val="24"/>
          <w:szCs w:val="24"/>
        </w:rPr>
      </w:pPr>
      <w:r>
        <w:rPr>
          <w:rStyle w:val="FootnoteReference"/>
          <w:b/>
          <w:sz w:val="24"/>
          <w:szCs w:val="24"/>
        </w:rPr>
        <w:footnoteRef/>
      </w:r>
      <w:r>
        <w:tab/>
      </w:r>
      <w:r>
        <w:rPr>
          <w:sz w:val="24"/>
        </w:rPr>
        <w:t>În cazul în care diploma sau calificarea nu a fost obținută pe teritoriul părții în care este furnizat serviciul, partea respectivă poate să evalueze dacă aceasta este echivalentă cu o diplomă universitară solicitată pe teritoriul său</w:t>
      </w:r>
      <w:r>
        <w:t>.</w:t>
      </w:r>
      <w:r>
        <w:rPr>
          <w:sz w:val="24"/>
        </w:rPr>
        <w:t xml:space="preserve"> La evaluarea calificării, partea respectivă depune eforturi pentru a ține seama de informațiile relevante care pot fi furnizate de autoritatea relevantă a celeilalte părți.</w:t>
      </w:r>
    </w:p>
  </w:footnote>
  <w:footnote w:id="85">
    <w:p>
      <w:pPr>
        <w:pStyle w:val="FootnoteText"/>
        <w:ind w:left="567" w:hanging="567"/>
        <w:rPr>
          <w:sz w:val="24"/>
          <w:szCs w:val="24"/>
        </w:rPr>
      </w:pPr>
      <w:r>
        <w:rPr>
          <w:rStyle w:val="FootnoteReference"/>
          <w:b/>
          <w:sz w:val="24"/>
          <w:szCs w:val="24"/>
        </w:rPr>
        <w:footnoteRef/>
      </w:r>
      <w:r>
        <w:tab/>
      </w:r>
      <w:r>
        <w:rPr>
          <w:sz w:val="24"/>
        </w:rPr>
        <w:t>În sensul prezentei rezerve</w:t>
      </w:r>
      <w:r>
        <w:t>:</w:t>
      </w:r>
    </w:p>
    <w:p>
      <w:pPr>
        <w:pStyle w:val="FootnoteText"/>
        <w:ind w:left="1134" w:hanging="567"/>
        <w:rPr>
          <w:sz w:val="24"/>
          <w:szCs w:val="24"/>
        </w:rPr>
      </w:pPr>
      <w:r>
        <w:rPr>
          <w:sz w:val="24"/>
        </w:rPr>
        <w:t>–</w:t>
      </w:r>
      <w:r>
        <w:tab/>
      </w:r>
      <w:r>
        <w:rPr>
          <w:sz w:val="24"/>
        </w:rPr>
        <w:t>„dreptul jurisdicției-gazdă” înseamnă dreptul statului membru respectiv și dreptul Uniunii; „dreptul jurisdicției de origine” înseamnă dreptul Indoneziei;</w:t>
      </w:r>
    </w:p>
    <w:p>
      <w:pPr>
        <w:pStyle w:val="FootnoteText"/>
        <w:ind w:left="1134" w:hanging="567"/>
        <w:rPr>
          <w:sz w:val="24"/>
          <w:szCs w:val="24"/>
        </w:rPr>
      </w:pPr>
      <w:r>
        <w:rPr>
          <w:sz w:val="24"/>
        </w:rPr>
        <w:t>–</w:t>
      </w:r>
      <w:r>
        <w:tab/>
      </w:r>
      <w:r>
        <w:rPr>
          <w:sz w:val="24"/>
        </w:rPr>
        <w:t>„dreptul internațional” înseamnă dreptul internațional public, cu excepția dreptului Uniunii Europene, și include dreptul instituit prin tratate și convenții internaționale, precum și dreptul cutumiar internațional.</w:t>
      </w:r>
    </w:p>
  </w:footnote>
  <w:footnote w:id="86">
    <w:p>
      <w:pPr>
        <w:pStyle w:val="FootnoteText"/>
        <w:ind w:left="567" w:hanging="567"/>
        <w:rPr>
          <w:sz w:val="24"/>
          <w:szCs w:val="24"/>
        </w:rPr>
      </w:pPr>
      <w:r>
        <w:rPr>
          <w:rStyle w:val="FootnoteReference"/>
          <w:b/>
          <w:sz w:val="24"/>
          <w:szCs w:val="24"/>
        </w:rPr>
        <w:footnoteRef/>
      </w:r>
      <w:r>
        <w:tab/>
      </w:r>
      <w:r>
        <w:rPr>
          <w:sz w:val="24"/>
        </w:rPr>
        <w:t>Nu sunt incluse serviciile de consultanță juridică și de reprezentare juridică în domeniul fiscal, care se regăsesc în cadrul serviciilor de consultanță juridică în dreptul internațional public și dreptul străin</w:t>
      </w:r>
      <w:r>
        <w:t>.</w:t>
      </w:r>
    </w:p>
  </w:footnote>
  <w:footnote w:id="87">
    <w:p>
      <w:pPr>
        <w:pStyle w:val="FootnoteText"/>
        <w:ind w:left="567" w:hanging="567"/>
        <w:rPr>
          <w:sz w:val="24"/>
          <w:szCs w:val="24"/>
        </w:rPr>
      </w:pPr>
      <w:r>
        <w:rPr>
          <w:rStyle w:val="FootnoteReference"/>
          <w:b/>
          <w:sz w:val="24"/>
          <w:szCs w:val="24"/>
        </w:rPr>
        <w:footnoteRef/>
      </w:r>
      <w:r>
        <w:tab/>
      </w:r>
      <w:r>
        <w:rPr>
          <w:sz w:val="24"/>
        </w:rPr>
        <w:t>Parte din CPC 85201, care se regăsește la serviciile medicale și stomatologice</w:t>
      </w:r>
      <w:r>
        <w:t>.</w:t>
      </w:r>
    </w:p>
  </w:footnote>
  <w:footnote w:id="88">
    <w:p>
      <w:pPr>
        <w:pStyle w:val="FootnoteText"/>
        <w:ind w:left="567" w:hanging="567"/>
        <w:rPr>
          <w:sz w:val="24"/>
          <w:szCs w:val="24"/>
        </w:rPr>
      </w:pPr>
      <w:r>
        <w:rPr>
          <w:rStyle w:val="FootnoteReference"/>
          <w:b/>
          <w:sz w:val="24"/>
          <w:szCs w:val="24"/>
        </w:rPr>
        <w:footnoteRef/>
      </w:r>
      <w:r>
        <w:tab/>
      </w:r>
      <w:r>
        <w:rPr>
          <w:sz w:val="24"/>
        </w:rPr>
        <w:t>Pentru toate statele membre ale Uniunii Europene, cu excepția DK, autorizarea organizației de cercetare și acordul de găzduire trebuie să îndeplinească respectivele condiții stabilite în temeiul Directivei (UE) 2016/801 a Parlamentului European și a Consiliului din 11 mai 2016 privind condițiile de intrare și de ședere a resortisanților țărilor terțe pentru cercetare, studii, formare profesională, servicii de voluntariat, programe de schimb de elevi sau proiecte educaționale și muncă au pair (reformare) (JO UE L 132, 21.5.2016, p. 21-57, ELI</w:t>
      </w:r>
      <w:r>
        <w:t>:</w:t>
      </w:r>
      <w:r>
        <w:rPr>
          <w:sz w:val="24"/>
        </w:rPr>
        <w:t> </w:t>
      </w:r>
      <w:hyperlink r:id="rId1" w:tooltip="Oferă acces la acest document prin identificatorul său uniform de resurse ELI." w:history="1">
        <w:r>
          <w:rPr>
            <w:rStyle w:val="Hyperlink"/>
            <w:sz w:val="24"/>
          </w:rPr>
          <w:t>http://data.europa.eu/eli/dir/2016/801/oj</w:t>
        </w:r>
      </w:hyperlink>
      <w:r>
        <w:rPr>
          <w:sz w:val="24"/>
        </w:rPr>
        <w:t>)</w:t>
      </w:r>
      <w:r>
        <w:t>.</w:t>
      </w:r>
    </w:p>
  </w:footnote>
  <w:footnote w:id="89">
    <w:p>
      <w:pPr>
        <w:pStyle w:val="FootnoteText"/>
        <w:ind w:left="567" w:hanging="567"/>
        <w:rPr>
          <w:sz w:val="24"/>
          <w:szCs w:val="24"/>
        </w:rPr>
      </w:pPr>
      <w:r>
        <w:rPr>
          <w:rStyle w:val="FootnoteReference"/>
          <w:b/>
          <w:sz w:val="24"/>
          <w:szCs w:val="24"/>
        </w:rPr>
        <w:footnoteRef/>
      </w:r>
      <w:r>
        <w:tab/>
      </w:r>
      <w:r>
        <w:rPr>
          <w:sz w:val="24"/>
        </w:rPr>
        <w:t>Serviciile de întreținere și reparare a mașinilor și echipamentelor de birou, inclusiv a calculatoarelor (CPC 845), sunt incluse la servicii informatice</w:t>
      </w:r>
      <w:r>
        <w:t>.</w:t>
      </w:r>
    </w:p>
  </w:footnote>
  <w:footnote w:id="90">
    <w:p>
      <w:pPr>
        <w:pStyle w:val="FootnoteText"/>
        <w:ind w:left="567" w:hanging="567"/>
        <w:rPr>
          <w:sz w:val="24"/>
          <w:szCs w:val="24"/>
        </w:rPr>
      </w:pPr>
      <w:r>
        <w:rPr>
          <w:rStyle w:val="FootnoteReference"/>
          <w:b/>
          <w:sz w:val="24"/>
          <w:szCs w:val="24"/>
        </w:rPr>
        <w:footnoteRef/>
      </w:r>
      <w:r>
        <w:tab/>
      </w:r>
      <w:r>
        <w:rPr>
          <w:sz w:val="24"/>
        </w:rPr>
        <w:t>Furnizori de servicii a căror funcție este aceea de a însoți un grup de minimum 10 persoane fizice care efectuează un circuit, fără a acționa în calitate de ghizi în anumite locații</w:t>
      </w:r>
      <w:r>
        <w:t>.</w:t>
      </w:r>
    </w:p>
  </w:footnote>
  <w:footnote w:id="91">
    <w:p>
      <w:pPr>
        <w:pStyle w:val="FootnoteText"/>
        <w:ind w:left="567" w:hanging="567"/>
        <w:rPr>
          <w:sz w:val="24"/>
          <w:szCs w:val="24"/>
        </w:rPr>
      </w:pPr>
      <w:r>
        <w:rPr>
          <w:rStyle w:val="FootnoteReference"/>
          <w:b/>
          <w:sz w:val="24"/>
          <w:szCs w:val="24"/>
        </w:rPr>
        <w:footnoteRef/>
      </w:r>
      <w:r>
        <w:tab/>
      </w:r>
      <w:r>
        <w:rPr>
          <w:sz w:val="24"/>
        </w:rPr>
        <w:t>În privința Austriei, partea aferentă exceptării CNF referitoare la drepturile de circulație acoperă toate țările cu care există sau ar putea fi de dorit să existe acorduri bilaterale sau alte măsuri privind transportul rutier</w:t>
      </w:r>
      <w:r>
        <w:t>.</w:t>
      </w:r>
    </w:p>
  </w:footnote>
  <w:footnote w:id="92">
    <w:p>
      <w:pPr>
        <w:pStyle w:val="FootnoteText"/>
        <w:ind w:left="567" w:hanging="567"/>
        <w:rPr>
          <w:sz w:val="24"/>
          <w:szCs w:val="24"/>
        </w:rPr>
      </w:pPr>
      <w:r>
        <w:rPr>
          <w:rStyle w:val="FootnoteReference"/>
          <w:b/>
          <w:sz w:val="24"/>
          <w:szCs w:val="24"/>
        </w:rPr>
        <w:footnoteRef/>
      </w:r>
      <w:r>
        <w:tab/>
      </w:r>
      <w:r>
        <w:rPr>
          <w:sz w:val="24"/>
        </w:rPr>
        <w:t>Cu condiția ca respectivele țări să fi făcut parte din OCDE și NATO înainte de 20 iunie 1996</w:t>
      </w:r>
      <w:r>
        <w:t>.</w:t>
      </w:r>
    </w:p>
  </w:footnote>
  <w:footnote w:id="93">
    <w:p>
      <w:pPr>
        <w:pStyle w:val="FootnoteText"/>
        <w:ind w:left="567" w:hanging="567"/>
        <w:rPr>
          <w:sz w:val="24"/>
          <w:szCs w:val="24"/>
        </w:rPr>
      </w:pPr>
      <w:r>
        <w:rPr>
          <w:rStyle w:val="FootnoteReference"/>
          <w:b/>
          <w:sz w:val="24"/>
          <w:szCs w:val="24"/>
        </w:rPr>
        <w:footnoteRef/>
      </w:r>
      <w:r>
        <w:tab/>
      </w:r>
      <w:r>
        <w:rPr>
          <w:sz w:val="24"/>
        </w:rPr>
        <w:t>Se aplică societăților est-europene care colaborează cu una sau mai multe societăți nordice</w:t>
      </w:r>
      <w:r>
        <w:t>.</w:t>
      </w:r>
    </w:p>
  </w:footnote>
  <w:footnote w:id="94">
    <w:p>
      <w:pPr>
        <w:pStyle w:val="FootnoteText"/>
        <w:ind w:left="567" w:hanging="567"/>
        <w:rPr>
          <w:sz w:val="24"/>
          <w:szCs w:val="24"/>
        </w:rPr>
      </w:pPr>
      <w:r>
        <w:rPr>
          <w:rStyle w:val="FootnoteReference"/>
          <w:b/>
          <w:sz w:val="24"/>
          <w:szCs w:val="24"/>
        </w:rPr>
        <w:footnoteRef/>
      </w:r>
      <w:r>
        <w:tab/>
      </w:r>
      <w:r>
        <w:rPr>
          <w:sz w:val="24"/>
        </w:rPr>
        <w:t>Sunt vizate următoarele state membre</w:t>
      </w:r>
      <w:r>
        <w:t>:</w:t>
      </w:r>
      <w:r>
        <w:rPr>
          <w:sz w:val="24"/>
        </w:rPr>
        <w:t xml:space="preserve"> Belgia, Danemarca, Franța, Germania, Grecia, Irlanda, Italia, Luxemburg, Țările de Jos, Portugalia și Spania.</w:t>
      </w:r>
    </w:p>
  </w:footnote>
  <w:footnote w:id="95">
    <w:p>
      <w:pPr>
        <w:pStyle w:val="FootnoteText"/>
        <w:rPr>
          <w:sz w:val="24"/>
          <w:szCs w:val="24"/>
        </w:rPr>
      </w:pPr>
      <w:r>
        <w:rPr>
          <w:rStyle w:val="FootnoteReference"/>
          <w:b/>
          <w:sz w:val="24"/>
        </w:rPr>
        <w:t>*</w:t>
      </w:r>
      <w:r>
        <w:tab/>
      </w:r>
      <w:r>
        <w:rPr>
          <w:sz w:val="24"/>
        </w:rPr>
        <w:t>Această exceptare CNF nu se aplică societăților stabilite și înregistrate în Croația ca persoane juridice.</w:t>
      </w:r>
    </w:p>
  </w:footnote>
  <w:footnote w:id="96">
    <w:p>
      <w:pPr>
        <w:pStyle w:val="FootnoteText"/>
        <w:ind w:left="567" w:hanging="567"/>
        <w:rPr>
          <w:sz w:val="24"/>
          <w:szCs w:val="24"/>
        </w:rPr>
      </w:pPr>
      <w:r>
        <w:rPr>
          <w:rStyle w:val="FootnoteReference"/>
          <w:b/>
          <w:sz w:val="24"/>
          <w:szCs w:val="24"/>
        </w:rPr>
        <w:footnoteRef/>
      </w:r>
      <w:r>
        <w:tab/>
      </w:r>
      <w:r>
        <w:rPr>
          <w:sz w:val="24"/>
        </w:rPr>
        <w:t>Gestionarea apei include o serie de activități de furnizare de servicii legate de purificarea apei de suprafață de la sursa de apă, distribuția apei direct de la terminalul de apă, transportul cu cisterne de apă, în scopul vânzării către consumatori</w:t>
      </w:r>
      <w:r>
        <w:t>.</w:t>
      </w:r>
    </w:p>
  </w:footnote>
  <w:footnote w:id="97">
    <w:p>
      <w:pPr>
        <w:pStyle w:val="FootnoteText"/>
        <w:ind w:left="567" w:hanging="567"/>
        <w:rPr>
          <w:sz w:val="24"/>
          <w:szCs w:val="24"/>
        </w:rPr>
      </w:pPr>
      <w:r>
        <w:rPr>
          <w:rStyle w:val="FootnoteReference"/>
          <w:b/>
          <w:sz w:val="24"/>
          <w:szCs w:val="24"/>
        </w:rPr>
        <w:footnoteRef/>
      </w:r>
      <w:r>
        <w:tab/>
      </w:r>
      <w:r>
        <w:rPr>
          <w:sz w:val="24"/>
        </w:rPr>
        <w:t>Gestionarea portofoliului înseamnă, astfel cum se prevede în legislația în vigoare privind piața de capital, toate formele de gestionare a plasamentelor colective</w:t>
      </w:r>
      <w:r>
        <w:t>.</w:t>
      </w:r>
    </w:p>
  </w:footnote>
  <w:footnote w:id="98">
    <w:p>
      <w:pPr>
        <w:pStyle w:val="FootnoteText"/>
        <w:ind w:left="567" w:hanging="567"/>
        <w:rPr>
          <w:sz w:val="24"/>
          <w:szCs w:val="24"/>
        </w:rPr>
      </w:pPr>
      <w:r>
        <w:rPr>
          <w:rStyle w:val="FootnoteReference"/>
          <w:b/>
          <w:sz w:val="24"/>
          <w:szCs w:val="24"/>
        </w:rPr>
        <w:footnoteRef/>
      </w:r>
      <w:r>
        <w:tab/>
      </w:r>
      <w:r>
        <w:rPr>
          <w:sz w:val="24"/>
        </w:rPr>
        <w:t>O stațiune turistică este o zonă construită pentru a găzdui unitățile necesare turismului, cum ar fi hoteluri, porturi de agrement, terenuri de golf, spații culturale deschise și alte unități, cu excepția cazinourilor și a altor activități interzise prin lege din motive de moralitate publică, religie, securitate și ordine publică.</w:t>
      </w:r>
    </w:p>
  </w:footnote>
  <w:footnote w:id="99">
    <w:p>
      <w:pPr>
        <w:pStyle w:val="FootnoteText"/>
        <w:ind w:left="567" w:hanging="567"/>
        <w:rPr>
          <w:sz w:val="24"/>
          <w:szCs w:val="24"/>
        </w:rPr>
      </w:pPr>
      <w:r>
        <w:rPr>
          <w:rStyle w:val="FootnoteReference"/>
          <w:b/>
          <w:sz w:val="24"/>
          <w:szCs w:val="24"/>
        </w:rPr>
        <w:footnoteRef/>
      </w:r>
      <w:r>
        <w:tab/>
      </w:r>
      <w:r>
        <w:rPr>
          <w:sz w:val="24"/>
        </w:rPr>
        <w:t>O stațiune turistică este o zonă construită pentru a găzdui unitățile necesare turismului, cum ar fi hoteluri, porturi de agrement, terenuri de golf, spații culturale deschise și alte unități, cu excepția cazinourilor și a altor activități interzise prin lege din motive de moralitate publică, religie, securitate și ordine publică.</w:t>
      </w:r>
    </w:p>
  </w:footnote>
  <w:footnote w:id="100">
    <w:p>
      <w:pPr>
        <w:pStyle w:val="FootnoteText"/>
        <w:ind w:left="567" w:hanging="567"/>
        <w:rPr>
          <w:sz w:val="24"/>
          <w:szCs w:val="24"/>
        </w:rPr>
      </w:pPr>
      <w:r>
        <w:rPr>
          <w:rStyle w:val="FootnoteReference"/>
          <w:b/>
          <w:sz w:val="24"/>
          <w:szCs w:val="24"/>
        </w:rPr>
        <w:footnoteRef/>
      </w:r>
      <w:r>
        <w:tab/>
      </w:r>
      <w:r>
        <w:rPr>
          <w:sz w:val="24"/>
        </w:rPr>
        <w:t>Un angajament cu privire la acest mod de furnizare nu este fezabil</w:t>
      </w:r>
      <w:r>
        <w:t>.</w:t>
      </w:r>
    </w:p>
  </w:footnote>
  <w:footnote w:id="101">
    <w:p>
      <w:pPr>
        <w:pStyle w:val="FootnoteText"/>
        <w:ind w:left="567" w:hanging="567"/>
        <w:rPr>
          <w:sz w:val="24"/>
          <w:szCs w:val="24"/>
        </w:rPr>
      </w:pPr>
      <w:r>
        <w:rPr>
          <w:rStyle w:val="FootnoteReference"/>
          <w:b/>
          <w:sz w:val="24"/>
          <w:szCs w:val="24"/>
        </w:rPr>
        <w:footnoteRef/>
      </w:r>
      <w:r>
        <w:tab/>
      </w:r>
      <w:r>
        <w:rPr>
          <w:sz w:val="24"/>
        </w:rPr>
        <w:t>Cerința aplicabilă în materie de guvernanță socială și de mediu poate include, după caz</w:t>
      </w:r>
      <w:r>
        <w:t>:</w:t>
      </w:r>
    </w:p>
    <w:p>
      <w:pPr>
        <w:pStyle w:val="FootnoteText"/>
        <w:ind w:left="1134" w:hanging="567"/>
        <w:rPr>
          <w:sz w:val="24"/>
          <w:szCs w:val="24"/>
        </w:rPr>
      </w:pPr>
      <w:r>
        <w:rPr>
          <w:sz w:val="24"/>
        </w:rPr>
        <w:t>(i)</w:t>
      </w:r>
      <w:r>
        <w:tab/>
      </w:r>
      <w:r>
        <w:rPr>
          <w:sz w:val="24"/>
        </w:rPr>
        <w:t>adoptarea și punerea în aplicare efectivă a unui plan de management de mediu care să fie în concordanță cu cele mai bune practici internaționale;</w:t>
      </w:r>
    </w:p>
    <w:p>
      <w:pPr>
        <w:pStyle w:val="FootnoteText"/>
        <w:ind w:left="1134" w:hanging="567"/>
        <w:rPr>
          <w:sz w:val="24"/>
          <w:szCs w:val="24"/>
        </w:rPr>
      </w:pPr>
      <w:r>
        <w:rPr>
          <w:sz w:val="24"/>
        </w:rPr>
        <w:t>(ii)</w:t>
      </w:r>
      <w:r>
        <w:tab/>
      </w:r>
      <w:r>
        <w:rPr>
          <w:sz w:val="24"/>
        </w:rPr>
        <w:t>atenuarea demonstrabilă a daunelor aduse mediului;</w:t>
      </w:r>
    </w:p>
    <w:p>
      <w:pPr>
        <w:pStyle w:val="FootnoteText"/>
        <w:ind w:left="1134" w:hanging="567"/>
        <w:rPr>
          <w:sz w:val="24"/>
          <w:szCs w:val="24"/>
        </w:rPr>
      </w:pPr>
      <w:r>
        <w:rPr>
          <w:sz w:val="24"/>
        </w:rPr>
        <w:t>(iii)</w:t>
      </w:r>
      <w:r>
        <w:tab/>
      </w:r>
      <w:r>
        <w:rPr>
          <w:sz w:val="24"/>
        </w:rPr>
        <w:t>respectarea drepturilor comunităților afectate, inclusiv implicarea semnificativă a părților interesate și compensarea echitabilă pentru utilizarea terenurilor sau strămutare;</w:t>
      </w:r>
    </w:p>
    <w:p>
      <w:pPr>
        <w:pStyle w:val="FootnoteText"/>
        <w:ind w:left="1134" w:hanging="567"/>
        <w:rPr>
          <w:sz w:val="24"/>
          <w:szCs w:val="24"/>
        </w:rPr>
      </w:pPr>
      <w:r>
        <w:rPr>
          <w:sz w:val="24"/>
        </w:rPr>
        <w:t>(iv)</w:t>
      </w:r>
      <w:r>
        <w:tab/>
      </w:r>
      <w:r>
        <w:rPr>
          <w:sz w:val="24"/>
        </w:rPr>
        <w:t>respectarea standardelor de muncă, inclusiv a protocoalelor privind securitatea și sănătatea în muncă, precum și a cerințelor relevante ale părții importatoare și</w:t>
      </w:r>
    </w:p>
    <w:p>
      <w:pPr>
        <w:pStyle w:val="FootnoteText"/>
        <w:ind w:left="1134" w:hanging="567"/>
        <w:rPr>
          <w:sz w:val="24"/>
          <w:szCs w:val="24"/>
        </w:rPr>
      </w:pPr>
      <w:r>
        <w:rPr>
          <w:sz w:val="24"/>
        </w:rPr>
        <w:t>(v)</w:t>
      </w:r>
      <w:r>
        <w:tab/>
      </w:r>
      <w:r>
        <w:rPr>
          <w:sz w:val="24"/>
        </w:rPr>
        <w:t>mecanisme transparente de raportare, inclusiv prin audituri efectuate de părți terțe.</w:t>
      </w:r>
    </w:p>
  </w:footnote>
  <w:footnote w:id="102">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3">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4">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5">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6">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7">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8">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09">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10">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11">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12">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13">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regulamentele de punere în aplicare a acesteia</w:t>
      </w:r>
      <w:r>
        <w:t>.</w:t>
      </w:r>
    </w:p>
  </w:footnote>
  <w:footnote w:id="114">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2017 privind serviciile de construcții sau în regulamentul de punere în aplicare a acesteia</w:t>
      </w:r>
      <w:r>
        <w:t>.</w:t>
      </w:r>
    </w:p>
  </w:footnote>
  <w:footnote w:id="115">
    <w:p>
      <w:pPr>
        <w:pStyle w:val="FootnoteText"/>
        <w:ind w:left="567" w:hanging="567"/>
        <w:rPr>
          <w:sz w:val="24"/>
          <w:szCs w:val="24"/>
        </w:rPr>
      </w:pPr>
      <w:r>
        <w:rPr>
          <w:rStyle w:val="FootnoteReference"/>
          <w:b/>
          <w:sz w:val="24"/>
          <w:szCs w:val="24"/>
        </w:rPr>
        <w:footnoteRef/>
      </w:r>
      <w:r>
        <w:tab/>
      </w:r>
      <w:r>
        <w:rPr>
          <w:sz w:val="24"/>
        </w:rPr>
        <w:t>Gestionarea apei include o serie de activități de furnizare de servicii legate de purificarea apei de suprafață de la sursa de apă, distribuția apei direct de la terminalul de apă, transportul cu cisterne de apă, în scopul vânzării către consumatori</w:t>
      </w:r>
      <w:r>
        <w:t>.</w:t>
      </w:r>
    </w:p>
  </w:footnote>
  <w:footnote w:id="116">
    <w:p>
      <w:pPr>
        <w:pStyle w:val="FootnoteText"/>
        <w:ind w:left="567" w:hanging="567"/>
        <w:rPr>
          <w:sz w:val="24"/>
          <w:szCs w:val="24"/>
        </w:rPr>
      </w:pPr>
      <w:r>
        <w:rPr>
          <w:rStyle w:val="FootnoteReference"/>
          <w:b/>
          <w:sz w:val="24"/>
          <w:szCs w:val="24"/>
        </w:rPr>
        <w:footnoteRef/>
      </w:r>
      <w:r>
        <w:tab/>
      </w:r>
      <w:r>
        <w:rPr>
          <w:sz w:val="24"/>
        </w:rPr>
        <w:t>Un centru de date/CD este o unitate utilizată pentru plasarea sistemelor electronice și a componentelor aferente în scopul plasării, stocării și prelucrării datelor</w:t>
      </w:r>
      <w:r>
        <w:t>.</w:t>
      </w:r>
      <w:r>
        <w:rPr>
          <w:sz w:val="24"/>
        </w:rPr>
        <w:t xml:space="preserve"> Un centru de recuperare în caz de dezastru/CRD este o unitate utilizată pentru refacerea datelor sau a informațiilor, precum și a funcțiilor importante ale sistemelor electronice care sunt perturbate sau deteriorate ca urmare a dezastrelor naturale sau provocate de om.</w:t>
      </w:r>
    </w:p>
  </w:footnote>
  <w:footnote w:id="117">
    <w:p>
      <w:pPr>
        <w:pStyle w:val="FootnoteText"/>
        <w:ind w:left="567" w:hanging="567"/>
        <w:rPr>
          <w:bCs/>
          <w:sz w:val="24"/>
          <w:szCs w:val="24"/>
        </w:rPr>
      </w:pPr>
      <w:r>
        <w:rPr>
          <w:rStyle w:val="FootnoteReference"/>
          <w:b/>
          <w:sz w:val="24"/>
          <w:szCs w:val="24"/>
        </w:rPr>
        <w:footnoteRef/>
      </w:r>
      <w:r>
        <w:tab/>
      </w:r>
      <w:r>
        <w:rPr>
          <w:sz w:val="24"/>
        </w:rPr>
        <w:t>Gestionarea portofoliului înseamnă, astfel cum se prevede în legislația în vigoare privind piața de capital, toate formele de gestionare a plasamentelor colective</w:t>
      </w:r>
      <w:r>
        <w:t>.</w:t>
      </w:r>
    </w:p>
  </w:footnote>
  <w:footnote w:id="118">
    <w:p>
      <w:pPr>
        <w:pStyle w:val="FootnoteText"/>
        <w:ind w:left="567" w:hanging="567"/>
        <w:rPr>
          <w:sz w:val="24"/>
          <w:szCs w:val="24"/>
        </w:rPr>
      </w:pPr>
      <w:r>
        <w:rPr>
          <w:rStyle w:val="FootnoteReference"/>
          <w:b/>
          <w:sz w:val="24"/>
          <w:szCs w:val="24"/>
        </w:rPr>
        <w:footnoteRef/>
      </w:r>
      <w:r>
        <w:tab/>
      </w:r>
      <w:r>
        <w:rPr>
          <w:sz w:val="24"/>
        </w:rPr>
        <w:t>Domeniul de aplicare al capacității și autorității directorului sau comisarului este în conformitate cu actele cu putere de lege și normele administrative naționale aplicabile</w:t>
      </w:r>
      <w:r>
        <w:t>.</w:t>
      </w:r>
    </w:p>
  </w:footnote>
  <w:footnote w:id="119">
    <w:p>
      <w:pPr>
        <w:pStyle w:val="FootnoteText"/>
        <w:ind w:left="567" w:hanging="567"/>
        <w:rPr>
          <w:sz w:val="24"/>
          <w:szCs w:val="24"/>
        </w:rPr>
      </w:pPr>
      <w:r>
        <w:rPr>
          <w:rStyle w:val="FootnoteReference"/>
          <w:b/>
          <w:sz w:val="24"/>
          <w:szCs w:val="24"/>
        </w:rPr>
        <w:footnoteRef/>
      </w:r>
      <w:r>
        <w:tab/>
      </w:r>
      <w:r>
        <w:rPr>
          <w:color w:val="000000"/>
          <w:sz w:val="24"/>
        </w:rPr>
        <w:t>Un hotel clasificat pe stele este o întreprindere de servicii care oferă cazare și unități pentru servirea alimentelor și a băuturilor, precum și alte servicii furnizate în mod obișnuit de hoteluri, cu excepția cazinourilor și a altor activități interzise prin lege din motive de moralitate publică, religie, securitate și ordine publică</w:t>
      </w:r>
      <w:r>
        <w:t>.</w:t>
      </w:r>
    </w:p>
  </w:footnote>
  <w:footnote w:id="120">
    <w:p>
      <w:pPr>
        <w:pStyle w:val="FootnoteText"/>
        <w:ind w:left="567" w:hanging="567"/>
        <w:rPr>
          <w:sz w:val="24"/>
          <w:szCs w:val="24"/>
        </w:rPr>
      </w:pPr>
      <w:r>
        <w:rPr>
          <w:rStyle w:val="FootnoteReference"/>
          <w:b/>
          <w:sz w:val="24"/>
          <w:szCs w:val="24"/>
        </w:rPr>
        <w:footnoteRef/>
      </w:r>
      <w:r>
        <w:tab/>
      </w:r>
      <w:r>
        <w:rPr>
          <w:sz w:val="24"/>
        </w:rPr>
        <w:t>O stațiune turistică este o zonă construită pentru a găzdui unitățile necesare turismului, cum ar fi hoteluri, porturi de agrement, terenuri de golf, spații culturale deschise și alte unități, cu excepția cazinourilor și a altor activități interzise prin lege din motive de moralitate publică, religie, securitate și ordine publică.</w:t>
      </w:r>
    </w:p>
  </w:footnote>
  <w:footnote w:id="121">
    <w:p>
      <w:pPr>
        <w:pStyle w:val="FootnoteText"/>
        <w:ind w:left="567" w:hanging="567"/>
        <w:rPr>
          <w:sz w:val="24"/>
          <w:szCs w:val="24"/>
        </w:rPr>
      </w:pPr>
      <w:r>
        <w:rPr>
          <w:rStyle w:val="FootnoteReference"/>
          <w:b/>
          <w:sz w:val="24"/>
          <w:szCs w:val="24"/>
        </w:rPr>
        <w:footnoteRef/>
      </w:r>
      <w:r>
        <w:tab/>
      </w:r>
      <w:r>
        <w:rPr>
          <w:sz w:val="24"/>
        </w:rPr>
        <w:t>Transportul internațional de călători poate avea acces la instalațiile portuare din portul deschis pentru transportul maritim internațional și le poate utiliza</w:t>
      </w:r>
      <w:r>
        <w:t>.</w:t>
      </w:r>
    </w:p>
  </w:footnote>
  <w:footnote w:id="122">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2 din 2025 și în Regulamentul nr. 7 din 2020 al Ministerului Energiei și Mineralelor</w:t>
      </w:r>
      <w:r>
        <w:t>.</w:t>
      </w:r>
    </w:p>
  </w:footnote>
  <w:footnote w:id="123">
    <w:p>
      <w:pPr>
        <w:pStyle w:val="FootnoteText"/>
        <w:ind w:left="567" w:hanging="567"/>
        <w:rPr>
          <w:sz w:val="24"/>
          <w:szCs w:val="24"/>
        </w:rPr>
      </w:pPr>
      <w:r>
        <w:rPr>
          <w:rStyle w:val="FootnoteReference"/>
          <w:b/>
          <w:sz w:val="24"/>
          <w:szCs w:val="24"/>
        </w:rPr>
        <w:footnoteRef/>
      </w:r>
      <w:r>
        <w:tab/>
      </w:r>
      <w:r>
        <w:rPr>
          <w:sz w:val="24"/>
        </w:rPr>
        <w:t>Pentru mai multă certitudine, măsurile menționate în prezenta listă sunt cele prevăzute în Legea nr. 3 din 2020 și în Regulamentul nr. 96 din 2021 al Guvernului</w:t>
      </w:r>
      <w:r>
        <w:t>.</w:t>
      </w:r>
    </w:p>
  </w:footnote>
  <w:footnote w:id="124">
    <w:p>
      <w:pPr>
        <w:pStyle w:val="FootnoteText"/>
        <w:ind w:left="567" w:hanging="567"/>
        <w:rPr>
          <w:bCs/>
          <w:sz w:val="24"/>
          <w:szCs w:val="24"/>
        </w:rPr>
      </w:pPr>
      <w:r>
        <w:rPr>
          <w:rStyle w:val="FootnoteReference"/>
          <w:b/>
          <w:sz w:val="24"/>
          <w:szCs w:val="24"/>
        </w:rPr>
        <w:footnoteRef/>
      </w:r>
      <w:r>
        <w:tab/>
      </w:r>
      <w:r>
        <w:rPr>
          <w:sz w:val="24"/>
        </w:rPr>
        <w:t>Pentru mai multă certitudine, construirea de centrale electrice noi respectă dispozițiile privind limitările în ceea ce privește o condiție referitoare la capacitatea de aprovizionare cu energie electrică, în conformitate cu planul național de afaceri privind aprovizionarea cu energie electrică (RUPTL) și cu Regulamentul nr. 25 din 2021 al Guvernului, care poate fi actualizat periodic după modificarea condiției relevante</w:t>
      </w:r>
      <w:r>
        <w:t>.</w:t>
      </w:r>
    </w:p>
  </w:footnote>
  <w:footnote w:id="125">
    <w:p>
      <w:pPr>
        <w:pStyle w:val="FootnoteText"/>
        <w:ind w:left="567" w:hanging="567"/>
        <w:rPr>
          <w:sz w:val="24"/>
          <w:szCs w:val="24"/>
        </w:rPr>
      </w:pPr>
      <w:r>
        <w:rPr>
          <w:rStyle w:val="FootnoteReference"/>
          <w:b/>
          <w:sz w:val="24"/>
          <w:szCs w:val="24"/>
        </w:rPr>
        <w:footnoteRef/>
      </w:r>
      <w:r>
        <w:tab/>
      </w:r>
      <w:r>
        <w:rPr>
          <w:sz w:val="24"/>
        </w:rPr>
        <w:t>Gestionarea apei include o serie de activități de furnizare de servicii legate de purificarea apei de suprafață de la sursa de apă, distribuția apei direct de la terminalul de apă, transportul cu cisterne de apă, în scopul vânzării către consumatori</w:t>
      </w:r>
      <w:r>
        <w:t>.</w:t>
      </w:r>
    </w:p>
    <w:p>
      <w:pPr>
        <w:pStyle w:val="FootnoteText"/>
        <w:ind w:left="567" w:hanging="567"/>
        <w:rPr>
          <w:sz w:val="24"/>
          <w:szCs w:val="24"/>
        </w:rPr>
      </w:pPr>
    </w:p>
  </w:footnote>
  <w:footnote w:id="126">
    <w:p>
      <w:pPr>
        <w:pStyle w:val="FootnoteText"/>
        <w:ind w:left="567" w:hanging="567"/>
        <w:rPr>
          <w:bCs/>
          <w:sz w:val="24"/>
          <w:szCs w:val="24"/>
        </w:rPr>
      </w:pPr>
      <w:r>
        <w:rPr>
          <w:rStyle w:val="FootnoteReference"/>
          <w:b/>
          <w:sz w:val="24"/>
          <w:szCs w:val="24"/>
        </w:rPr>
        <w:footnoteRef/>
      </w:r>
      <w:r>
        <w:tab/>
      </w:r>
      <w:r>
        <w:rPr>
          <w:sz w:val="24"/>
        </w:rPr>
        <w:t>Gestionarea portofoliului înseamnă, astfel cum se prevede în legislația în vigoare privind piața de capital, toate formele de gestionare a plasamentelor colective</w:t>
      </w:r>
      <w:r>
        <w:t>.</w:t>
      </w:r>
    </w:p>
  </w:footnote>
  <w:footnote w:id="127">
    <w:p>
      <w:pPr>
        <w:pStyle w:val="FootnoteText"/>
        <w:ind w:left="567" w:hanging="567"/>
        <w:rPr>
          <w:sz w:val="24"/>
          <w:szCs w:val="24"/>
        </w:rPr>
      </w:pPr>
      <w:r>
        <w:rPr>
          <w:rStyle w:val="FootnoteReference"/>
          <w:b/>
          <w:sz w:val="24"/>
          <w:szCs w:val="24"/>
        </w:rPr>
        <w:footnoteRef/>
      </w:r>
      <w:r>
        <w:tab/>
      </w:r>
      <w:r>
        <w:rPr>
          <w:sz w:val="24"/>
        </w:rPr>
        <w:t>O stațiune turistică este o zonă construită pentru a găzdui unitățile necesare turismului, cum ar fi hoteluri, porturi de agrement, terenuri de golf, spații culturale deschise și alte unități, cu excepția cazinourilor și a altor activități interzise prin lege din motive de moralitate publică, religie, securitate și ordine publică.</w:t>
      </w:r>
    </w:p>
  </w:footnote>
  <w:footnote w:id="128">
    <w:p>
      <w:pPr>
        <w:pStyle w:val="FootnoteText"/>
        <w:ind w:left="567" w:hanging="567"/>
        <w:rPr>
          <w:sz w:val="24"/>
          <w:szCs w:val="24"/>
        </w:rPr>
      </w:pPr>
      <w:r>
        <w:rPr>
          <w:rStyle w:val="FootnoteReference"/>
          <w:b/>
          <w:sz w:val="24"/>
          <w:szCs w:val="24"/>
        </w:rPr>
        <w:footnoteRef/>
      </w:r>
      <w:r>
        <w:tab/>
      </w:r>
      <w:r>
        <w:rPr>
          <w:sz w:val="24"/>
        </w:rPr>
        <w:t>O stațiune turistică este o zonă construită pentru a găzdui unitățile necesare turismului, cum ar fi hoteluri, porturi de agrement, terenuri de golf, spații culturale deschise și alte unități, cu excepția cazinourilor și a altor activități interzise prin lege din motive de moralitate publică, religie, securitate și ordine publică.</w:t>
      </w:r>
    </w:p>
  </w:footnote>
  <w:footnote w:id="129">
    <w:p>
      <w:pPr>
        <w:pStyle w:val="FootnoteText"/>
        <w:ind w:left="567" w:hanging="567"/>
        <w:rPr>
          <w:sz w:val="24"/>
          <w:szCs w:val="24"/>
        </w:rPr>
      </w:pPr>
      <w:r>
        <w:rPr>
          <w:rStyle w:val="FootnoteReference"/>
          <w:b/>
          <w:sz w:val="24"/>
          <w:szCs w:val="24"/>
        </w:rPr>
        <w:footnoteRef/>
      </w:r>
      <w:r>
        <w:tab/>
      </w:r>
      <w:r>
        <w:rPr>
          <w:sz w:val="24"/>
        </w:rPr>
        <w:t>În cazul în care diploma sau calificarea nu a fost obținută pe teritoriul părții în care este furnizat serviciul, partea respectivă poate să evalueze dacă aceasta este echivalentă cu o diplomă universitară solicitată pe teritoriul său</w:t>
      </w:r>
      <w:r>
        <w:t>.</w:t>
      </w:r>
      <w:r>
        <w:rPr>
          <w:sz w:val="24"/>
        </w:rPr>
        <w:t xml:space="preserve"> La evaluarea calificării, partea respectivă depune eforturi pentru a ține seama de informațiile relevante care pot fi furnizate de autoritatea relevantă a celeilalte părți.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CoverPag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tabs>
        <w:tab w:val="left" w:pos="5955"/>
      </w:tabs>
      <w:jc w:val="right"/>
      <w:rPr>
        <w:color w:val="000000"/>
      </w:rP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rPr>
        <w:b/>
      </w:rP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rPr>
        <w:b/>
      </w:rP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spacing w:after="120" w:line="276" w:lineRule="auto"/>
      <w:jc w:val="center"/>
      <w:rPr>
        <w: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368029DA"/>
    <w:lvl w:ilvl="0">
      <w:start w:val="1"/>
      <w:numFmt w:val="decimal"/>
      <w:pStyle w:val="ListNumber5"/>
      <w:lvlText w:val="%1."/>
      <w:lvlJc w:val="left"/>
      <w:pPr>
        <w:tabs>
          <w:tab w:val="num" w:pos="1492"/>
        </w:tabs>
        <w:ind w:left="1492"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FFFFFF88"/>
    <w:multiLevelType w:val="singleLevel"/>
    <w:tmpl w:val="6CCE9EFC"/>
    <w:lvl w:ilvl="0">
      <w:start w:val="1"/>
      <w:numFmt w:val="decimal"/>
      <w:pStyle w:val="ListNumber"/>
      <w:lvlText w:val="%1."/>
      <w:lvlJc w:val="left"/>
      <w:pPr>
        <w:tabs>
          <w:tab w:val="num" w:pos="360"/>
        </w:tabs>
        <w:ind w:left="360" w:hanging="360"/>
      </w:pPr>
    </w:lvl>
  </w:abstractNum>
  <w:abstractNum w:abstractNumId="3"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5" w15:restartNumberingAfterBreak="0">
    <w:nsid w:val="1262685D"/>
    <w:multiLevelType w:val="singleLevel"/>
    <w:tmpl w:val="D96C95A2"/>
    <w:name w:val="List Dash"/>
    <w:lvl w:ilvl="0">
      <w:start w:val="1"/>
      <w:numFmt w:val="bullet"/>
      <w:pStyle w:val="ListBullet4"/>
      <w:lvlText w:val=""/>
      <w:lvlJc w:val="left"/>
      <w:pPr>
        <w:tabs>
          <w:tab w:val="num" w:pos="3163"/>
        </w:tabs>
        <w:ind w:left="3163" w:hanging="283"/>
      </w:pPr>
      <w:rPr>
        <w:rFonts w:ascii="Symbol" w:hAnsi="Symbol"/>
      </w:rPr>
    </w:lvl>
  </w:abstractNum>
  <w:abstractNum w:abstractNumId="6"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7" w15:restartNumberingAfterBreak="0">
    <w:nsid w:val="227B0BD1"/>
    <w:multiLevelType w:val="singleLevel"/>
    <w:tmpl w:val="DAC8BAA8"/>
    <w:lvl w:ilvl="0">
      <w:numFmt w:val="bullet"/>
      <w:pStyle w:val="annex2-bullet"/>
      <w:lvlText w:val="-"/>
      <w:lvlJc w:val="left"/>
      <w:pPr>
        <w:tabs>
          <w:tab w:val="num" w:pos="360"/>
        </w:tabs>
        <w:ind w:left="360" w:hanging="360"/>
      </w:pPr>
      <w:rPr>
        <w:rFonts w:hint="default"/>
      </w:rPr>
    </w:lvl>
  </w:abstractNum>
  <w:abstractNum w:abstractNumId="8"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9" w15:restartNumberingAfterBreak="0">
    <w:nsid w:val="22D918D1"/>
    <w:multiLevelType w:val="multilevel"/>
    <w:tmpl w:val="D5047D0E"/>
    <w:lvl w:ilvl="0">
      <w:start w:val="1"/>
      <w:numFmt w:val="decimal"/>
      <w:pStyle w:val="Heading1"/>
      <w:lvlText w:val="%1."/>
      <w:lvlJc w:val="left"/>
      <w:pPr>
        <w:tabs>
          <w:tab w:val="num" w:pos="851"/>
        </w:tabs>
        <w:ind w:left="851" w:hanging="851"/>
      </w:pPr>
    </w:lvl>
    <w:lvl w:ilvl="1">
      <w:start w:val="1"/>
      <w:numFmt w:val="decimal"/>
      <w:pStyle w:val="Heading2"/>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0"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1"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2"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3"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4"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15"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16" w15:restartNumberingAfterBreak="0">
    <w:nsid w:val="3AAF7A4F"/>
    <w:multiLevelType w:val="multilevel"/>
    <w:tmpl w:val="3AAF7A4F"/>
    <w:lvl w:ilvl="0">
      <w:numFmt w:val="bullet"/>
      <w:pStyle w:val="Bullet0"/>
      <w:lvlText w:val="-"/>
      <w:lvlJc w:val="left"/>
      <w:pPr>
        <w:tabs>
          <w:tab w:val="left" w:pos="144"/>
        </w:tabs>
        <w:ind w:left="144" w:hanging="144"/>
      </w:pPr>
      <w:rPr>
        <w:rFonts w:ascii="Arial" w:eastAsia="SimSun" w:hAnsi="Arial" w:hint="default"/>
      </w:rPr>
    </w:lvl>
    <w:lvl w:ilvl="1">
      <w:start w:val="1"/>
      <w:numFmt w:val="bullet"/>
      <w:lvlText w:val="o"/>
      <w:lvlJc w:val="left"/>
      <w:pPr>
        <w:tabs>
          <w:tab w:val="left" w:pos="1440"/>
        </w:tabs>
        <w:ind w:left="1440" w:hanging="360"/>
      </w:pPr>
      <w:rPr>
        <w:rFonts w:ascii="Courier New" w:hAnsi="Courier New" w:cs="Wingdings"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Wingdings"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Wingdings" w:hint="default"/>
      </w:rPr>
    </w:lvl>
    <w:lvl w:ilvl="8">
      <w:start w:val="1"/>
      <w:numFmt w:val="bullet"/>
      <w:lvlText w:val=""/>
      <w:lvlJc w:val="left"/>
      <w:pPr>
        <w:tabs>
          <w:tab w:val="left" w:pos="6480"/>
        </w:tabs>
        <w:ind w:left="6480" w:hanging="360"/>
      </w:pPr>
      <w:rPr>
        <w:rFonts w:ascii="Wingdings" w:hAnsi="Wingdings" w:hint="default"/>
      </w:rPr>
    </w:lvl>
  </w:abstractNum>
  <w:abstractNum w:abstractNumId="17"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18"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19" w15:restartNumberingAfterBreak="0">
    <w:nsid w:val="428415E7"/>
    <w:multiLevelType w:val="multilevel"/>
    <w:tmpl w:val="70AE5268"/>
    <w:lvl w:ilvl="0">
      <w:start w:val="1"/>
      <w:numFmt w:val="lowerRoman"/>
      <w:lvlText w:val="%1."/>
      <w:lvlJc w:val="right"/>
      <w:pPr>
        <w:tabs>
          <w:tab w:val="num" w:pos="360"/>
        </w:tabs>
        <w:ind w:left="360" w:hanging="360"/>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1"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25"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26"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27"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28"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29"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num w:numId="1">
    <w:abstractNumId w:val="13"/>
  </w:num>
  <w:num w:numId="2">
    <w:abstractNumId w:val="17"/>
  </w:num>
  <w:num w:numId="3">
    <w:abstractNumId w:val="30"/>
  </w:num>
  <w:num w:numId="4">
    <w:abstractNumId w:val="8"/>
  </w:num>
  <w:num w:numId="5">
    <w:abstractNumId w:val="20"/>
  </w:num>
  <w:num w:numId="6">
    <w:abstractNumId w:val="14"/>
  </w:num>
  <w:num w:numId="7">
    <w:abstractNumId w:val="18"/>
  </w:num>
  <w:num w:numId="8">
    <w:abstractNumId w:val="28"/>
  </w:num>
  <w:num w:numId="9">
    <w:abstractNumId w:val="12"/>
  </w:num>
  <w:num w:numId="10">
    <w:abstractNumId w:val="4"/>
  </w:num>
  <w:num w:numId="11">
    <w:abstractNumId w:val="9"/>
  </w:num>
  <w:num w:numId="12">
    <w:abstractNumId w:val="1"/>
  </w:num>
  <w:num w:numId="13">
    <w:abstractNumId w:val="0"/>
  </w:num>
  <w:num w:numId="14">
    <w:abstractNumId w:val="15"/>
  </w:num>
  <w:num w:numId="15">
    <w:abstractNumId w:val="11"/>
  </w:num>
  <w:num w:numId="16">
    <w:abstractNumId w:val="6"/>
  </w:num>
  <w:num w:numId="17">
    <w:abstractNumId w:val="5"/>
  </w:num>
  <w:num w:numId="18">
    <w:abstractNumId w:val="25"/>
  </w:num>
  <w:num w:numId="19">
    <w:abstractNumId w:val="27"/>
  </w:num>
  <w:num w:numId="20">
    <w:abstractNumId w:val="26"/>
  </w:num>
  <w:num w:numId="21">
    <w:abstractNumId w:val="29"/>
  </w:num>
  <w:num w:numId="22">
    <w:abstractNumId w:val="10"/>
  </w:num>
  <w:num w:numId="23">
    <w:abstractNumId w:val="19"/>
  </w:num>
  <w:num w:numId="24">
    <w:abstractNumId w:val="22"/>
  </w:num>
  <w:num w:numId="25">
    <w:abstractNumId w:val="21"/>
  </w:num>
  <w:num w:numId="26">
    <w:abstractNumId w:val="3"/>
  </w:num>
  <w:num w:numId="27">
    <w:abstractNumId w:val="23"/>
  </w:num>
  <w:num w:numId="28">
    <w:abstractNumId w:val="24"/>
  </w:num>
  <w:num w:numId="29">
    <w:abstractNumId w:val="7"/>
  </w:num>
  <w:num w:numId="30">
    <w:abstractNumId w:val="2"/>
  </w:num>
  <w:num w:numId="31">
    <w:abstractNumId w:val="16"/>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embedSystemFonts/>
  <w:hideSpellingErrors/>
  <w:hideGrammaticalError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markup="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1"/>
  </w:hdrShapeDefaults>
  <w:footnotePr>
    <w:numRestart w:val="eachSect"/>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ocStatus" w:val="Green"/>
    <w:docVar w:name="DW_DocType" w:val="_GenEn"/>
    <w:docVar w:name="LW_ACCOMPAGNANT.CP" w:val="la"/>
    <w:docVar w:name="LW_ANNEX_NBR_FIRST" w:val="4"/>
    <w:docVar w:name="LW_ANNEX_NBR_LAST" w:val="4"/>
    <w:docVar w:name="LW_ANNEX_UNIQUE" w:val="0"/>
    <w:docVar w:name="LW_CORRIGENDUM" w:val="&lt;UNUSED&gt;"/>
    <w:docVar w:name="LW_COVERPAGE_EXISTS" w:val="True"/>
    <w:docVar w:name="LW_COVERPAGE_GUID" w:val="BA6D442B-4B10-4FDD-895F-EE39368865B4"/>
    <w:docVar w:name="LW_COVERPAGE_TYPE" w:val="1"/>
    <w:docVar w:name="LW_CROSSREFERENCE" w:val="&lt;UNUSED&gt;"/>
    <w:docVar w:name="LW_DocType" w:val="_GENEN"/>
    <w:docVar w:name="LW_EMISSION" w:val="29.6.2026"/>
    <w:docVar w:name="LW_EMISSION_ISODATE" w:val="2026-06-29"/>
    <w:docVar w:name="LW_EMISSION_LOCATION" w:val="BRX"/>
    <w:docVar w:name="LW_EMISSION_PREFIX" w:val="Bruxelles, "/>
    <w:docVar w:name="LW_EMISSION_SUFFIX" w:val=" "/>
    <w:docVar w:name="LW_ID_DOCTYPE_NONLW" w:val="CP-036"/>
    <w:docVar w:name="LW_LANGUE" w:val="RO"/>
    <w:docVar w:name="LW_LEVEL_OF_SENSITIVITY" w:val="Standard treatment"/>
    <w:docVar w:name="LW_NOM.INST" w:val="COMISIA EUROPEAN\u258?"/>
    <w:docVar w:name="LW_NOM.INST_JOINTDOC" w:val="&lt;EMPTY&gt;"/>
    <w:docVar w:name="LW_OBJETACTEPRINCIPAL.CP" w:val="privind semnarea Acordului de parteneriat economic cuprinz\u259?tor dintre Uniunea European\u259? \u537?i Indonezia"/>
    <w:docVar w:name="LW_PART_NBR" w:val="1"/>
    <w:docVar w:name="LW_PART_NBR_TOTAL" w:val="1"/>
    <w:docVar w:name="LW_REF.INST.NEW" w:val="COM"/>
    <w:docVar w:name="LW_REF.INST.NEW_ADOPTED" w:val="final"/>
    <w:docVar w:name="LW_REF.INST.NEW_TEXT" w:val="(2026) 341"/>
    <w:docVar w:name="LW_REF.INTERNE" w:val="&lt;UNUSED&gt;"/>
    <w:docVar w:name="LW_SENSITIVITY" w:val="&lt;?xml version=&quot;1.0&quot; encoding=&quot;utf-8&quot;?&gt;_x000d__x000a_&lt;SensitivityLevel xmlns:xsd=&quot;http://www.w3.org/2001/XMLSchema&quot; xmlns:xsi=&quot;http://www.w3.org/2001/XMLSchema-instance&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UPERTITRE" w:val="&lt;UNUSED&gt;"/>
    <w:docVar w:name="LW_TYPE.DOC.CP" w:val="ANEX\u258?_x000b_"/>
    <w:docVar w:name="LW_TYPEACTEPRINCIPAL.CP" w:val="Propunerea de decizie a Consiliului"/>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1"/>
    <o:shapelayout v:ext="edit">
      <o:idmap v:ext="edit" data="2"/>
    </o:shapelayout>
  </w:shapeDefaults>
  <w:decimalSymbol w:val=","/>
  <w:listSeparator w:val=";"/>
  <w15:docId w15:val="{C866454C-87F9-4B38-A94B-8C9E5E819E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o-RO"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iPriority="0" w:unhideWhenUsed="1"/>
    <w:lsdException w:name="index 2" w:semiHidden="1" w:uiPriority="0"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qFormat="1"/>
    <w:lsdException w:name="annotation text" w:semiHidden="1" w:uiPriority="0" w:unhideWhenUsed="1" w:qFormat="1"/>
    <w:lsdException w:name="header" w:semiHidden="1" w:unhideWhenUsed="1" w:qFormat="1"/>
    <w:lsdException w:name="footer" w:semiHidden="1" w:unhideWhenUsed="1" w:qFormat="1"/>
    <w:lsdException w:name="index heading" w:semiHidden="1" w:uiPriority="0" w:unhideWhenUsed="1"/>
    <w:lsdException w:name="caption" w:semiHidden="1" w:uiPriority="0" w:unhideWhenUsed="1" w:qFormat="1"/>
    <w:lsdException w:name="table of figures" w:semiHidden="1" w:uiPriority="0" w:unhideWhenUsed="1"/>
    <w:lsdException w:name="envelope address" w:semiHidden="1" w:uiPriority="0" w:unhideWhenUsed="1"/>
    <w:lsdException w:name="envelope return" w:semiHidden="1" w:uiPriority="0" w:unhideWhenUsed="1"/>
    <w:lsdException w:name="footnote reference" w:semiHidden="1" w:unhideWhenUsed="1" w:qFormat="1"/>
    <w:lsdException w:name="annotation reference" w:semiHidden="1" w:uiPriority="0" w:unhideWhenUsed="1" w:qFormat="1"/>
    <w:lsdException w:name="line number" w:semiHidden="1" w:unhideWhenUsed="1"/>
    <w:lsdException w:name="page number" w:semiHidden="1" w:unhideWhenUsed="1" w:qFormat="1"/>
    <w:lsdException w:name="endnote reference" w:semiHidden="1" w:unhideWhenUsed="1" w:qFormat="1"/>
    <w:lsdException w:name="endnote text" w:semiHidden="1" w:unhideWhenUsed="1" w:qFormat="1"/>
    <w:lsdException w:name="table of authorities" w:semiHidden="1" w:uiPriority="0" w:unhideWhenUsed="1"/>
    <w:lsdException w:name="macro" w:semiHidden="1" w:uiPriority="0" w:unhideWhenUsed="1"/>
    <w:lsdException w:name="toa heading" w:semiHidden="1" w:uiPriority="0" w:unhideWhenUsed="1"/>
    <w:lsdException w:name="List" w:semiHidden="1" w:uiPriority="0" w:unhideWhenUsed="1"/>
    <w:lsdException w:name="List Bullet" w:semiHidden="1" w:unhideWhenUsed="1"/>
    <w:lsdException w:name="List Number" w:semiHidden="1" w:uiPriority="0" w:unhideWhenUsed="1" w:qFormat="1"/>
    <w:lsdException w:name="List 2" w:semiHidden="1" w:uiPriority="0" w:unhideWhenUsed="1" w:qFormat="1"/>
    <w:lsdException w:name="List 3" w:semiHidden="1" w:unhideWhenUsed="1" w:qFormat="1"/>
    <w:lsdException w:name="List 4" w:semiHidden="1" w:uiPriority="0" w:unhideWhenUsed="1"/>
    <w:lsdException w:name="List 5" w:semiHidden="1" w:uiPriority="0"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iPriority="0" w:unhideWhenUsed="1"/>
    <w:lsdException w:name="Signature" w:semiHidden="1" w:uiPriority="0" w:unhideWhenUsed="1"/>
    <w:lsdException w:name="Default Paragraph Font" w:semiHidden="1" w:uiPriority="1" w:unhideWhenUsed="1"/>
    <w:lsdException w:name="Body Text" w:semiHidden="1" w:uiPriority="0" w:unhideWhenUsed="1" w:qFormat="1"/>
    <w:lsdException w:name="Body Text Indent" w:semiHidden="1" w:unhideWhenUsed="1" w:qFormat="1"/>
    <w:lsdException w:name="List Continue" w:semiHidden="1" w:uiPriority="0" w:unhideWhenUsed="1"/>
    <w:lsdException w:name="List Continue 2" w:semiHidden="1" w:uiPriority="0" w:unhideWhenUsed="1"/>
    <w:lsdException w:name="List Continue 3" w:semiHidden="1" w:uiPriority="0" w:unhideWhenUsed="1"/>
    <w:lsdException w:name="List Continue 4" w:semiHidden="1" w:uiPriority="0" w:unhideWhenUsed="1"/>
    <w:lsdException w:name="List Continue 5" w:semiHidden="1" w:unhideWhenUsed="1" w:qFormat="1"/>
    <w:lsdException w:name="Message Header" w:semiHidden="1" w:uiPriority="0" w:unhideWhenUsed="1"/>
    <w:lsdException w:name="Subtitle" w:uiPriority="0" w:qFormat="1"/>
    <w:lsdException w:name="Salutation" w:semiHidden="1" w:uiPriority="0"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qFormat="1"/>
    <w:lsdException w:name="Body Text 3" w:semiHidden="1" w:uiPriority="0" w:unhideWhenUsed="1"/>
    <w:lsdException w:name="Body Text Indent 2" w:semiHidden="1" w:uiPriority="0" w:unhideWhenUsed="1"/>
    <w:lsdException w:name="Body Text Indent 3" w:semiHidden="1" w:uiPriority="0" w:unhideWhenUsed="1" w:qFormat="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pacing w:line="360" w:lineRule="auto"/>
    </w:pPr>
    <w:rPr>
      <w:sz w:val="24"/>
      <w:lang w:eastAsia="fr-BE"/>
    </w:rPr>
  </w:style>
  <w:style w:type="paragraph" w:styleId="Heading1">
    <w:name w:val="heading 1"/>
    <w:basedOn w:val="Normal"/>
    <w:next w:val="Normal"/>
    <w:link w:val="Heading1Char"/>
    <w:qFormat/>
    <w:pPr>
      <w:keepNext/>
      <w:widowControl/>
      <w:numPr>
        <w:numId w:val="11"/>
      </w:numPr>
      <w:spacing w:before="360" w:after="120" w:line="240" w:lineRule="auto"/>
      <w:jc w:val="both"/>
      <w:outlineLvl w:val="0"/>
    </w:pPr>
    <w:rPr>
      <w:b/>
      <w:smallCaps/>
    </w:rPr>
  </w:style>
  <w:style w:type="paragraph" w:styleId="Heading2">
    <w:name w:val="heading 2"/>
    <w:basedOn w:val="Normal"/>
    <w:next w:val="Normal"/>
    <w:link w:val="Heading2Char"/>
    <w:qFormat/>
    <w:pPr>
      <w:keepNext/>
      <w:widowControl/>
      <w:numPr>
        <w:ilvl w:val="1"/>
        <w:numId w:val="11"/>
      </w:numPr>
      <w:spacing w:before="120" w:after="120" w:line="240" w:lineRule="auto"/>
      <w:jc w:val="both"/>
      <w:outlineLvl w:val="1"/>
    </w:pPr>
    <w:rPr>
      <w:b/>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qFormat/>
    <w:pPr>
      <w:widowControl/>
      <w:spacing w:before="240" w:after="60" w:line="240" w:lineRule="auto"/>
      <w:jc w:val="both"/>
      <w:outlineLvl w:val="7"/>
    </w:pPr>
    <w:rPr>
      <w:rFonts w:ascii="Arial" w:hAnsi="Arial"/>
      <w:i/>
      <w:sz w:val="20"/>
    </w:rPr>
  </w:style>
  <w:style w:type="paragraph" w:styleId="Heading9">
    <w:name w:val="heading 9"/>
    <w:basedOn w:val="Normal"/>
    <w:next w:val="Normal"/>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qFormat/>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basedOn w:val="DefaultParagraphFont"/>
    <w:uiPriority w:val="99"/>
    <w:unhideWhenUsed/>
    <w:qFormat/>
    <w:rPr>
      <w:vertAlign w:val="superscript"/>
    </w:rPr>
  </w:style>
  <w:style w:type="paragraph" w:styleId="FootnoteText">
    <w:name w:val="footnote text"/>
    <w:basedOn w:val="Normal"/>
    <w:link w:val="FootnoteTextChar"/>
    <w:uiPriority w:val="99"/>
    <w:unhideWhenUsed/>
    <w:qFormat/>
    <w:pPr>
      <w:spacing w:line="240" w:lineRule="auto"/>
    </w:pPr>
    <w:rPr>
      <w:sz w:val="20"/>
    </w:rPr>
  </w:style>
  <w:style w:type="paragraph" w:styleId="Header">
    <w:name w:val="header"/>
    <w:aliases w:val="Header1"/>
    <w:basedOn w:val="Normal"/>
    <w:link w:val="HeaderChar"/>
    <w:uiPriority w:val="99"/>
    <w:qFormat/>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qFormat/>
    <w:pPr>
      <w:tabs>
        <w:tab w:val="left" w:pos="567"/>
      </w:tabs>
      <w:spacing w:line="240" w:lineRule="auto"/>
      <w:ind w:left="567" w:hanging="567"/>
    </w:pPr>
  </w:style>
  <w:style w:type="character" w:styleId="EndnoteReference">
    <w:name w:val="endnote reference"/>
    <w:uiPriority w:val="99"/>
    <w:qFormat/>
    <w:rPr>
      <w:b/>
      <w:vertAlign w:val="superscript"/>
    </w:rPr>
  </w:style>
  <w:style w:type="paragraph" w:customStyle="1" w:styleId="AC">
    <w:name w:val="AC"/>
    <w:basedOn w:val="Normal"/>
    <w:next w:val="Normal"/>
    <w:rPr>
      <w:b/>
      <w:sz w:val="40"/>
    </w:rPr>
  </w:style>
  <w:style w:type="character" w:styleId="PageNumber">
    <w:name w:val="page number"/>
    <w:basedOn w:val="DefaultParagraphFont"/>
    <w:qForma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Pr>
      <w:color w:val="auto"/>
    </w:rPr>
  </w:style>
  <w:style w:type="paragraph" w:customStyle="1" w:styleId="AddReference">
    <w:name w:val="Add Reference"/>
    <w:basedOn w:val="Normal"/>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uiPriority w:val="99"/>
    <w:qFormat/>
    <w:rPr>
      <w:rFonts w:ascii="Tahoma" w:hAnsi="Tahoma" w:cs="Tahoma"/>
      <w:sz w:val="16"/>
      <w:szCs w:val="16"/>
    </w:rPr>
  </w:style>
  <w:style w:type="paragraph" w:customStyle="1" w:styleId="Text1">
    <w:name w:val="Text 1"/>
    <w:basedOn w:val="Normal"/>
    <w:link w:val="Text1Char"/>
    <w:pPr>
      <w:widowControl/>
      <w:spacing w:after="240" w:line="240" w:lineRule="auto"/>
      <w:ind w:left="482"/>
      <w:jc w:val="both"/>
    </w:pPr>
    <w:rPr>
      <w:rFonts w:eastAsia="Malgun Gothic"/>
      <w:szCs w:val="24"/>
      <w:lang w:eastAsia="en-GB"/>
    </w:rPr>
  </w:style>
  <w:style w:type="paragraph" w:customStyle="1" w:styleId="Text2">
    <w:name w:val="Text 2"/>
    <w:basedOn w:val="Normal"/>
    <w:pPr>
      <w:widowControl/>
      <w:tabs>
        <w:tab w:val="left" w:pos="2160"/>
      </w:tabs>
      <w:spacing w:after="240" w:line="240" w:lineRule="auto"/>
      <w:ind w:left="1077"/>
      <w:jc w:val="both"/>
    </w:pPr>
    <w:rPr>
      <w:rFonts w:eastAsia="Malgun Gothic"/>
      <w:szCs w:val="24"/>
      <w:lang w:eastAsia="en-GB"/>
    </w:rPr>
  </w:style>
  <w:style w:type="paragraph" w:customStyle="1" w:styleId="Text3">
    <w:name w:val="Text 3"/>
    <w:basedOn w:val="Normal"/>
    <w:pPr>
      <w:widowControl/>
      <w:tabs>
        <w:tab w:val="left" w:pos="2302"/>
      </w:tabs>
      <w:spacing w:after="240" w:line="240" w:lineRule="auto"/>
      <w:ind w:left="1916"/>
      <w:jc w:val="both"/>
    </w:pPr>
    <w:rPr>
      <w:rFonts w:eastAsia="Malgun Gothic"/>
      <w:szCs w:val="24"/>
      <w:lang w:eastAsia="en-GB"/>
    </w:rPr>
  </w:style>
  <w:style w:type="paragraph" w:customStyle="1" w:styleId="Text4">
    <w:name w:val="Text 4"/>
    <w:basedOn w:val="Normal"/>
    <w:pPr>
      <w:widowControl/>
      <w:spacing w:after="240" w:line="240" w:lineRule="auto"/>
      <w:ind w:left="2880"/>
      <w:jc w:val="both"/>
    </w:pPr>
    <w:rPr>
      <w:rFonts w:eastAsia="Malgun Gothic"/>
      <w:szCs w:val="24"/>
      <w:lang w:eastAsia="en-GB"/>
    </w:rPr>
  </w:style>
  <w:style w:type="paragraph" w:customStyle="1" w:styleId="Address">
    <w:name w:val="Address"/>
    <w:basedOn w:val="Normal"/>
    <w:pPr>
      <w:widowControl/>
      <w:spacing w:line="240" w:lineRule="auto"/>
    </w:pPr>
    <w:rPr>
      <w:rFonts w:eastAsia="Malgun Gothic"/>
      <w:szCs w:val="24"/>
      <w:lang w:eastAsia="en-GB"/>
    </w:rPr>
  </w:style>
  <w:style w:type="paragraph" w:customStyle="1" w:styleId="AddressTL">
    <w:name w:val="AddressTL"/>
    <w:basedOn w:val="Normal"/>
    <w:next w:val="Normal"/>
    <w:pPr>
      <w:widowControl/>
      <w:spacing w:after="720" w:line="240" w:lineRule="auto"/>
    </w:pPr>
    <w:rPr>
      <w:rFonts w:eastAsia="Malgun Gothic"/>
      <w:szCs w:val="24"/>
      <w:lang w:eastAsia="en-GB"/>
    </w:rPr>
  </w:style>
  <w:style w:type="paragraph" w:customStyle="1" w:styleId="AddressTR">
    <w:name w:val="AddressTR"/>
    <w:basedOn w:val="Normal"/>
    <w:next w:val="Normal"/>
    <w:pPr>
      <w:widowControl/>
      <w:spacing w:after="720" w:line="240" w:lineRule="auto"/>
      <w:ind w:left="5103"/>
    </w:pPr>
    <w:rPr>
      <w:rFonts w:eastAsia="Malgun Gothic"/>
      <w:szCs w:val="24"/>
      <w:lang w:eastAsia="en-GB"/>
    </w:rPr>
  </w:style>
  <w:style w:type="paragraph" w:styleId="BlockText">
    <w:name w:val="Block Text"/>
    <w:basedOn w:val="Normal"/>
    <w:pPr>
      <w:widowControl/>
      <w:spacing w:after="120" w:line="240" w:lineRule="auto"/>
      <w:ind w:left="1440" w:right="1440"/>
      <w:jc w:val="both"/>
    </w:pPr>
    <w:rPr>
      <w:rFonts w:eastAsia="Malgun Gothic"/>
      <w:szCs w:val="24"/>
      <w:lang w:eastAsia="en-GB"/>
    </w:rPr>
  </w:style>
  <w:style w:type="paragraph" w:styleId="BodyText">
    <w:name w:val="Body Text"/>
    <w:basedOn w:val="Normal"/>
    <w:link w:val="BodyTextChar"/>
    <w:qFormat/>
    <w:pPr>
      <w:widowControl/>
      <w:spacing w:after="120" w:line="240" w:lineRule="auto"/>
      <w:jc w:val="both"/>
    </w:pPr>
    <w:rPr>
      <w:rFonts w:eastAsia="Malgun Gothic"/>
      <w:szCs w:val="24"/>
      <w:lang w:eastAsia="en-GB"/>
    </w:rPr>
  </w:style>
  <w:style w:type="character" w:customStyle="1" w:styleId="BodyTextChar">
    <w:name w:val="Body Text Char"/>
    <w:basedOn w:val="DefaultParagraphFont"/>
    <w:link w:val="BodyText"/>
    <w:qFormat/>
    <w:rPr>
      <w:rFonts w:eastAsia="Malgun Gothic"/>
      <w:sz w:val="24"/>
      <w:szCs w:val="24"/>
    </w:rPr>
  </w:style>
  <w:style w:type="paragraph" w:styleId="BodyText2">
    <w:name w:val="Body Text 2"/>
    <w:basedOn w:val="Normal"/>
    <w:link w:val="BodyText2Char"/>
    <w:qFormat/>
    <w:pPr>
      <w:widowControl/>
      <w:spacing w:after="120" w:line="480" w:lineRule="auto"/>
      <w:jc w:val="both"/>
    </w:pPr>
    <w:rPr>
      <w:rFonts w:eastAsia="Malgun Gothic"/>
      <w:szCs w:val="24"/>
      <w:lang w:eastAsia="en-GB"/>
    </w:rPr>
  </w:style>
  <w:style w:type="character" w:customStyle="1" w:styleId="BodyText2Char">
    <w:name w:val="Body Text 2 Char"/>
    <w:basedOn w:val="DefaultParagraphFont"/>
    <w:link w:val="BodyText2"/>
    <w:qFormat/>
    <w:rPr>
      <w:rFonts w:eastAsia="Malgun Gothic"/>
      <w:sz w:val="24"/>
      <w:szCs w:val="24"/>
    </w:rPr>
  </w:style>
  <w:style w:type="paragraph" w:styleId="BodyText3">
    <w:name w:val="Body Text 3"/>
    <w:basedOn w:val="Normal"/>
    <w:link w:val="BodyText3Char"/>
    <w:pPr>
      <w:widowControl/>
      <w:spacing w:after="120" w:line="240" w:lineRule="auto"/>
      <w:jc w:val="both"/>
    </w:pPr>
    <w:rPr>
      <w:rFonts w:eastAsia="Malgun Gothic"/>
      <w:sz w:val="16"/>
      <w:szCs w:val="24"/>
      <w:lang w:eastAsia="en-GB"/>
    </w:rPr>
  </w:style>
  <w:style w:type="character" w:customStyle="1" w:styleId="BodyText3Char">
    <w:name w:val="Body Text 3 Char"/>
    <w:basedOn w:val="DefaultParagraphFont"/>
    <w:link w:val="BodyText3"/>
    <w:rPr>
      <w:rFonts w:eastAsia="Malgun Gothic"/>
      <w:sz w:val="16"/>
      <w:szCs w:val="24"/>
    </w:rPr>
  </w:style>
  <w:style w:type="paragraph" w:styleId="BodyTextFirstIndent">
    <w:name w:val="Body Text First Indent"/>
    <w:basedOn w:val="BodyText"/>
    <w:link w:val="BodyTextFirstIndentChar"/>
    <w:pPr>
      <w:ind w:firstLine="210"/>
    </w:pPr>
  </w:style>
  <w:style w:type="character" w:customStyle="1" w:styleId="BodyTextFirstIndentChar">
    <w:name w:val="Body Text First Indent Char"/>
    <w:basedOn w:val="BodyTextChar"/>
    <w:link w:val="BodyTextFirstIndent"/>
    <w:rPr>
      <w:rFonts w:eastAsia="Malgun Gothic"/>
      <w:sz w:val="24"/>
      <w:szCs w:val="24"/>
    </w:rPr>
  </w:style>
  <w:style w:type="paragraph" w:styleId="BodyTextIndent">
    <w:name w:val="Body Text Indent"/>
    <w:basedOn w:val="Normal"/>
    <w:link w:val="BodyTextIndentChar"/>
    <w:uiPriority w:val="99"/>
    <w:qFormat/>
    <w:pPr>
      <w:widowControl/>
      <w:spacing w:after="120" w:line="240" w:lineRule="auto"/>
      <w:ind w:left="283"/>
      <w:jc w:val="both"/>
    </w:pPr>
    <w:rPr>
      <w:rFonts w:eastAsia="Malgun Gothic"/>
      <w:szCs w:val="24"/>
      <w:lang w:eastAsia="en-GB"/>
    </w:rPr>
  </w:style>
  <w:style w:type="character" w:customStyle="1" w:styleId="BodyTextIndentChar">
    <w:name w:val="Body Text Indent Char"/>
    <w:basedOn w:val="DefaultParagraphFont"/>
    <w:link w:val="BodyTextIndent"/>
    <w:uiPriority w:val="99"/>
    <w:qFormat/>
    <w:rPr>
      <w:rFonts w:eastAsia="Malgun Gothic"/>
      <w:sz w:val="24"/>
      <w:szCs w:val="24"/>
    </w:rPr>
  </w:style>
  <w:style w:type="paragraph" w:styleId="BodyTextFirstIndent2">
    <w:name w:val="Body Text First Indent 2"/>
    <w:basedOn w:val="BodyTextIndent"/>
    <w:link w:val="BodyTextFirstIndent2Char"/>
    <w:pPr>
      <w:ind w:firstLine="210"/>
    </w:pPr>
  </w:style>
  <w:style w:type="character" w:customStyle="1" w:styleId="BodyTextFirstIndent2Char">
    <w:name w:val="Body Text First Indent 2 Char"/>
    <w:basedOn w:val="BodyTextIndentChar"/>
    <w:link w:val="BodyTextFirstIndent2"/>
    <w:rPr>
      <w:rFonts w:eastAsia="Malgun Gothic"/>
      <w:sz w:val="24"/>
      <w:szCs w:val="24"/>
    </w:rPr>
  </w:style>
  <w:style w:type="paragraph" w:styleId="BodyTextIndent2">
    <w:name w:val="Body Text Indent 2"/>
    <w:basedOn w:val="Normal"/>
    <w:link w:val="BodyTextIndent2Char"/>
    <w:pPr>
      <w:widowControl/>
      <w:spacing w:after="120" w:line="480" w:lineRule="auto"/>
      <w:ind w:left="283"/>
      <w:jc w:val="both"/>
    </w:pPr>
    <w:rPr>
      <w:rFonts w:eastAsia="Malgun Gothic"/>
      <w:szCs w:val="24"/>
      <w:lang w:eastAsia="en-GB"/>
    </w:rPr>
  </w:style>
  <w:style w:type="character" w:customStyle="1" w:styleId="BodyTextIndent2Char">
    <w:name w:val="Body Text Indent 2 Char"/>
    <w:basedOn w:val="DefaultParagraphFont"/>
    <w:link w:val="BodyTextIndent2"/>
    <w:rPr>
      <w:rFonts w:eastAsia="Malgun Gothic"/>
      <w:sz w:val="24"/>
      <w:szCs w:val="24"/>
    </w:rPr>
  </w:style>
  <w:style w:type="paragraph" w:styleId="BodyTextIndent3">
    <w:name w:val="Body Text Indent 3"/>
    <w:basedOn w:val="Normal"/>
    <w:link w:val="BodyTextIndent3Char"/>
    <w:qFormat/>
    <w:pPr>
      <w:widowControl/>
      <w:spacing w:after="120" w:line="240" w:lineRule="auto"/>
      <w:ind w:left="283"/>
      <w:jc w:val="both"/>
    </w:pPr>
    <w:rPr>
      <w:rFonts w:eastAsia="Malgun Gothic"/>
      <w:sz w:val="16"/>
      <w:szCs w:val="24"/>
      <w:lang w:eastAsia="en-GB"/>
    </w:rPr>
  </w:style>
  <w:style w:type="character" w:customStyle="1" w:styleId="BodyTextIndent3Char">
    <w:name w:val="Body Text Indent 3 Char"/>
    <w:basedOn w:val="DefaultParagraphFont"/>
    <w:link w:val="BodyTextIndent3"/>
    <w:qFormat/>
    <w:rPr>
      <w:rFonts w:eastAsia="Malgun Gothic"/>
      <w:sz w:val="16"/>
      <w:szCs w:val="24"/>
    </w:rPr>
  </w:style>
  <w:style w:type="paragraph" w:styleId="Caption">
    <w:name w:val="caption"/>
    <w:basedOn w:val="Normal"/>
    <w:next w:val="Normal"/>
    <w:qFormat/>
    <w:pPr>
      <w:widowControl/>
      <w:spacing w:before="120" w:after="120" w:line="240" w:lineRule="auto"/>
      <w:jc w:val="both"/>
    </w:pPr>
    <w:rPr>
      <w:rFonts w:eastAsia="Malgun Gothic"/>
      <w:b/>
      <w:szCs w:val="24"/>
      <w:lang w:eastAsia="en-GB"/>
    </w:rPr>
  </w:style>
  <w:style w:type="paragraph" w:styleId="Closing">
    <w:name w:val="Closing"/>
    <w:basedOn w:val="Normal"/>
    <w:next w:val="Signature"/>
    <w:link w:val="ClosingChar"/>
    <w:pPr>
      <w:widowControl/>
      <w:tabs>
        <w:tab w:val="left" w:pos="5103"/>
      </w:tabs>
      <w:spacing w:before="240" w:after="240" w:line="240" w:lineRule="auto"/>
      <w:ind w:left="5103"/>
    </w:pPr>
    <w:rPr>
      <w:rFonts w:eastAsia="Malgun Gothic"/>
      <w:szCs w:val="24"/>
      <w:lang w:eastAsia="en-GB"/>
    </w:rPr>
  </w:style>
  <w:style w:type="character" w:customStyle="1" w:styleId="ClosingChar">
    <w:name w:val="Closing Char"/>
    <w:basedOn w:val="DefaultParagraphFont"/>
    <w:link w:val="Closing"/>
    <w:rPr>
      <w:rFonts w:eastAsia="Malgun Gothic"/>
      <w:sz w:val="24"/>
      <w:szCs w:val="24"/>
    </w:rPr>
  </w:style>
  <w:style w:type="paragraph" w:styleId="Signature">
    <w:name w:val="Signature"/>
    <w:basedOn w:val="Normal"/>
    <w:next w:val="Contact"/>
    <w:link w:val="SignatureChar"/>
    <w:pPr>
      <w:widowControl/>
      <w:tabs>
        <w:tab w:val="left" w:pos="5103"/>
      </w:tabs>
      <w:spacing w:before="1200" w:line="240" w:lineRule="auto"/>
      <w:ind w:left="5103"/>
      <w:jc w:val="center"/>
    </w:pPr>
    <w:rPr>
      <w:rFonts w:eastAsia="Malgun Gothic"/>
      <w:szCs w:val="24"/>
      <w:lang w:eastAsia="en-GB"/>
    </w:rPr>
  </w:style>
  <w:style w:type="character" w:customStyle="1" w:styleId="SignatureChar">
    <w:name w:val="Signature Char"/>
    <w:basedOn w:val="DefaultParagraphFont"/>
    <w:link w:val="Signature"/>
    <w:rPr>
      <w:rFonts w:eastAsia="Malgun Gothic"/>
      <w:sz w:val="24"/>
      <w:szCs w:val="24"/>
      <w:lang w:val="ro-RO"/>
    </w:rPr>
  </w:style>
  <w:style w:type="paragraph" w:customStyle="1" w:styleId="Enclosures">
    <w:name w:val="Enclosures"/>
    <w:basedOn w:val="Normal"/>
    <w:next w:val="Participants"/>
    <w:pPr>
      <w:keepNext/>
      <w:keepLines/>
      <w:widowControl/>
      <w:tabs>
        <w:tab w:val="left" w:pos="5642"/>
      </w:tabs>
      <w:spacing w:before="480" w:line="240" w:lineRule="auto"/>
      <w:ind w:left="1792" w:hanging="1792"/>
    </w:pPr>
    <w:rPr>
      <w:rFonts w:eastAsia="Malgun Gothic"/>
      <w:szCs w:val="24"/>
      <w:lang w:eastAsia="en-GB"/>
    </w:rPr>
  </w:style>
  <w:style w:type="paragraph" w:customStyle="1" w:styleId="Participants">
    <w:name w:val="Participants"/>
    <w:basedOn w:val="Normal"/>
    <w:next w:val="Copies"/>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customStyle="1" w:styleId="Copies">
    <w:name w:val="Copies"/>
    <w:basedOn w:val="Normal"/>
    <w:next w:val="Normal"/>
    <w:pPr>
      <w:widowControl/>
      <w:tabs>
        <w:tab w:val="left" w:pos="2512"/>
        <w:tab w:val="left" w:pos="2762"/>
        <w:tab w:val="left" w:pos="5642"/>
        <w:tab w:val="left" w:pos="6362"/>
        <w:tab w:val="left" w:pos="6720"/>
      </w:tabs>
      <w:spacing w:before="480" w:line="240" w:lineRule="auto"/>
      <w:ind w:left="1792" w:hanging="1792"/>
    </w:pPr>
    <w:rPr>
      <w:rFonts w:eastAsia="Malgun Gothic"/>
      <w:szCs w:val="24"/>
      <w:lang w:eastAsia="en-GB"/>
    </w:rPr>
  </w:style>
  <w:style w:type="paragraph" w:styleId="CommentText">
    <w:name w:val="annotation text"/>
    <w:basedOn w:val="Normal"/>
    <w:link w:val="CommentTextChar"/>
    <w:qFormat/>
    <w:pPr>
      <w:widowControl/>
      <w:spacing w:after="240" w:line="240" w:lineRule="auto"/>
      <w:jc w:val="both"/>
    </w:pPr>
    <w:rPr>
      <w:rFonts w:eastAsia="Malgun Gothic"/>
      <w:sz w:val="20"/>
      <w:szCs w:val="24"/>
      <w:lang w:eastAsia="x-none"/>
    </w:rPr>
  </w:style>
  <w:style w:type="character" w:customStyle="1" w:styleId="CommentTextChar">
    <w:name w:val="Comment Text Char"/>
    <w:basedOn w:val="DefaultParagraphFont"/>
    <w:link w:val="CommentText"/>
    <w:qFormat/>
    <w:rPr>
      <w:rFonts w:eastAsia="Malgun Gothic"/>
      <w:szCs w:val="24"/>
      <w:lang w:val="ro-RO" w:eastAsia="x-none"/>
    </w:rPr>
  </w:style>
  <w:style w:type="paragraph" w:styleId="Date">
    <w:name w:val="Date"/>
    <w:basedOn w:val="Normal"/>
    <w:next w:val="References"/>
    <w:link w:val="DateChar"/>
    <w:pPr>
      <w:widowControl/>
      <w:spacing w:line="240" w:lineRule="auto"/>
      <w:ind w:left="5103" w:right="-567"/>
    </w:pPr>
    <w:rPr>
      <w:rFonts w:eastAsia="Malgun Gothic"/>
      <w:szCs w:val="24"/>
      <w:lang w:eastAsia="en-GB"/>
    </w:rPr>
  </w:style>
  <w:style w:type="character" w:customStyle="1" w:styleId="DateChar">
    <w:name w:val="Date Char"/>
    <w:basedOn w:val="DefaultParagraphFont"/>
    <w:link w:val="Date"/>
    <w:rPr>
      <w:rFonts w:eastAsia="Malgun Gothic"/>
      <w:sz w:val="24"/>
      <w:szCs w:val="24"/>
    </w:rPr>
  </w:style>
  <w:style w:type="paragraph" w:customStyle="1" w:styleId="References">
    <w:name w:val="References"/>
    <w:basedOn w:val="Normal"/>
    <w:next w:val="AddressTR"/>
    <w:pPr>
      <w:widowControl/>
      <w:spacing w:after="240" w:line="240" w:lineRule="auto"/>
      <w:ind w:left="5103"/>
    </w:pPr>
    <w:rPr>
      <w:rFonts w:eastAsia="Malgun Gothic"/>
      <w:sz w:val="20"/>
      <w:szCs w:val="24"/>
      <w:lang w:eastAsia="en-GB"/>
    </w:rPr>
  </w:style>
  <w:style w:type="paragraph" w:styleId="DocumentMap">
    <w:name w:val="Document Map"/>
    <w:basedOn w:val="Normal"/>
    <w:link w:val="DocumentMapChar"/>
    <w:semiHidden/>
    <w:pPr>
      <w:widowControl/>
      <w:shd w:val="clear" w:color="auto" w:fill="000080"/>
      <w:spacing w:after="240" w:line="240" w:lineRule="auto"/>
      <w:jc w:val="both"/>
    </w:pPr>
    <w:rPr>
      <w:rFonts w:ascii="Tahoma" w:eastAsia="Malgun Gothic" w:hAnsi="Tahoma"/>
      <w:szCs w:val="24"/>
      <w:lang w:eastAsia="en-GB"/>
    </w:rPr>
  </w:style>
  <w:style w:type="character" w:customStyle="1" w:styleId="DocumentMapChar">
    <w:name w:val="Document Map Char"/>
    <w:basedOn w:val="DefaultParagraphFont"/>
    <w:link w:val="DocumentMap"/>
    <w:semiHidden/>
    <w:rPr>
      <w:rFonts w:ascii="Tahoma" w:eastAsia="Malgun Gothic" w:hAnsi="Tahoma"/>
      <w:sz w:val="24"/>
      <w:szCs w:val="24"/>
      <w:shd w:val="clear" w:color="auto" w:fill="000080"/>
    </w:rPr>
  </w:style>
  <w:style w:type="paragraph" w:customStyle="1" w:styleId="DoubSign">
    <w:name w:val="DoubSign"/>
    <w:basedOn w:val="Normal"/>
    <w:next w:val="Contact"/>
    <w:pPr>
      <w:widowControl/>
      <w:tabs>
        <w:tab w:val="left" w:pos="5103"/>
      </w:tabs>
      <w:spacing w:before="1200" w:line="240" w:lineRule="auto"/>
    </w:pPr>
    <w:rPr>
      <w:rFonts w:eastAsia="Malgun Gothic"/>
      <w:szCs w:val="24"/>
      <w:lang w:eastAsia="en-GB"/>
    </w:rPr>
  </w:style>
  <w:style w:type="paragraph" w:styleId="EnvelopeAddress">
    <w:name w:val="envelope address"/>
    <w:basedOn w:val="Normal"/>
    <w:pPr>
      <w:framePr w:w="7920" w:h="1980" w:hRule="exact" w:hSpace="180" w:wrap="auto" w:hAnchor="page" w:xAlign="center" w:yAlign="bottom"/>
      <w:widowControl/>
      <w:spacing w:line="240" w:lineRule="auto"/>
      <w:jc w:val="both"/>
    </w:pPr>
    <w:rPr>
      <w:rFonts w:eastAsia="Malgun Gothic"/>
      <w:szCs w:val="24"/>
      <w:lang w:eastAsia="en-GB"/>
    </w:rPr>
  </w:style>
  <w:style w:type="paragraph" w:styleId="EnvelopeReturn">
    <w:name w:val="envelope return"/>
    <w:basedOn w:val="Normal"/>
    <w:pPr>
      <w:widowControl/>
      <w:spacing w:line="240" w:lineRule="auto"/>
      <w:jc w:val="both"/>
    </w:pPr>
    <w:rPr>
      <w:rFonts w:eastAsia="Malgun Gothic"/>
      <w:sz w:val="20"/>
      <w:szCs w:val="24"/>
      <w:lang w:eastAsia="en-GB"/>
    </w:rPr>
  </w:style>
  <w:style w:type="paragraph" w:styleId="Index1">
    <w:name w:val="index 1"/>
    <w:basedOn w:val="Normal"/>
    <w:next w:val="Normal"/>
    <w:autoRedefine/>
    <w:semiHidden/>
    <w:pPr>
      <w:widowControl/>
      <w:spacing w:after="240" w:line="240" w:lineRule="auto"/>
      <w:ind w:left="240" w:hanging="240"/>
      <w:jc w:val="both"/>
    </w:pPr>
    <w:rPr>
      <w:rFonts w:eastAsia="Malgun Gothic"/>
      <w:szCs w:val="24"/>
      <w:lang w:eastAsia="en-GB"/>
    </w:rPr>
  </w:style>
  <w:style w:type="paragraph" w:styleId="Index2">
    <w:name w:val="index 2"/>
    <w:basedOn w:val="Normal"/>
    <w:next w:val="Normal"/>
    <w:autoRedefine/>
    <w:semiHidden/>
    <w:pPr>
      <w:widowControl/>
      <w:spacing w:after="240" w:line="240" w:lineRule="auto"/>
      <w:ind w:left="480" w:hanging="240"/>
      <w:jc w:val="both"/>
    </w:pPr>
    <w:rPr>
      <w:rFonts w:eastAsia="Malgun Gothic"/>
      <w:szCs w:val="24"/>
      <w:lang w:eastAsia="en-GB"/>
    </w:rPr>
  </w:style>
  <w:style w:type="paragraph" w:styleId="Index3">
    <w:name w:val="index 3"/>
    <w:basedOn w:val="Normal"/>
    <w:next w:val="Normal"/>
    <w:autoRedefine/>
    <w:semiHidden/>
    <w:pPr>
      <w:widowControl/>
      <w:spacing w:after="240" w:line="240" w:lineRule="auto"/>
      <w:ind w:left="720" w:hanging="240"/>
      <w:jc w:val="both"/>
    </w:pPr>
    <w:rPr>
      <w:rFonts w:eastAsia="Malgun Gothic"/>
      <w:szCs w:val="24"/>
      <w:lang w:eastAsia="en-GB"/>
    </w:rPr>
  </w:style>
  <w:style w:type="paragraph" w:styleId="Index4">
    <w:name w:val="index 4"/>
    <w:basedOn w:val="Normal"/>
    <w:next w:val="Normal"/>
    <w:autoRedefine/>
    <w:semiHidden/>
    <w:pPr>
      <w:widowControl/>
      <w:spacing w:after="240" w:line="240" w:lineRule="auto"/>
      <w:ind w:left="960" w:hanging="240"/>
      <w:jc w:val="both"/>
    </w:pPr>
    <w:rPr>
      <w:rFonts w:eastAsia="Malgun Gothic"/>
      <w:szCs w:val="24"/>
      <w:lang w:eastAsia="en-GB"/>
    </w:rPr>
  </w:style>
  <w:style w:type="paragraph" w:styleId="Index5">
    <w:name w:val="index 5"/>
    <w:basedOn w:val="Normal"/>
    <w:next w:val="Normal"/>
    <w:autoRedefine/>
    <w:semiHidden/>
    <w:pPr>
      <w:widowControl/>
      <w:spacing w:after="240" w:line="240" w:lineRule="auto"/>
      <w:ind w:left="1200" w:hanging="240"/>
      <w:jc w:val="both"/>
    </w:pPr>
    <w:rPr>
      <w:rFonts w:eastAsia="Malgun Gothic"/>
      <w:szCs w:val="24"/>
      <w:lang w:eastAsia="en-GB"/>
    </w:rPr>
  </w:style>
  <w:style w:type="paragraph" w:styleId="Index6">
    <w:name w:val="index 6"/>
    <w:basedOn w:val="Normal"/>
    <w:next w:val="Normal"/>
    <w:autoRedefine/>
    <w:semiHidden/>
    <w:pPr>
      <w:widowControl/>
      <w:spacing w:after="240" w:line="240" w:lineRule="auto"/>
      <w:ind w:left="1440" w:hanging="240"/>
      <w:jc w:val="both"/>
    </w:pPr>
    <w:rPr>
      <w:rFonts w:eastAsia="Malgun Gothic"/>
      <w:szCs w:val="24"/>
      <w:lang w:eastAsia="en-GB"/>
    </w:rPr>
  </w:style>
  <w:style w:type="paragraph" w:styleId="Index7">
    <w:name w:val="index 7"/>
    <w:basedOn w:val="Normal"/>
    <w:next w:val="Normal"/>
    <w:autoRedefine/>
    <w:semiHidden/>
    <w:pPr>
      <w:widowControl/>
      <w:spacing w:after="240" w:line="240" w:lineRule="auto"/>
      <w:ind w:left="1680" w:hanging="240"/>
      <w:jc w:val="both"/>
    </w:pPr>
    <w:rPr>
      <w:rFonts w:eastAsia="Malgun Gothic"/>
      <w:szCs w:val="24"/>
      <w:lang w:eastAsia="en-GB"/>
    </w:rPr>
  </w:style>
  <w:style w:type="paragraph" w:styleId="Index8">
    <w:name w:val="index 8"/>
    <w:basedOn w:val="Normal"/>
    <w:next w:val="Normal"/>
    <w:autoRedefine/>
    <w:semiHidden/>
    <w:pPr>
      <w:widowControl/>
      <w:spacing w:after="240" w:line="240" w:lineRule="auto"/>
      <w:ind w:left="1920" w:hanging="240"/>
      <w:jc w:val="both"/>
    </w:pPr>
    <w:rPr>
      <w:rFonts w:eastAsia="Malgun Gothic"/>
      <w:szCs w:val="24"/>
      <w:lang w:eastAsia="en-GB"/>
    </w:rPr>
  </w:style>
  <w:style w:type="paragraph" w:styleId="Index9">
    <w:name w:val="index 9"/>
    <w:basedOn w:val="Normal"/>
    <w:next w:val="Normal"/>
    <w:autoRedefine/>
    <w:semiHidden/>
    <w:pPr>
      <w:widowControl/>
      <w:spacing w:after="240" w:line="240" w:lineRule="auto"/>
      <w:ind w:left="2160" w:hanging="240"/>
      <w:jc w:val="both"/>
    </w:pPr>
    <w:rPr>
      <w:rFonts w:eastAsia="Malgun Gothic"/>
      <w:szCs w:val="24"/>
      <w:lang w:eastAsia="en-GB"/>
    </w:rPr>
  </w:style>
  <w:style w:type="paragraph" w:styleId="IndexHeading">
    <w:name w:val="index heading"/>
    <w:basedOn w:val="Normal"/>
    <w:next w:val="Index1"/>
    <w:semiHidden/>
    <w:pPr>
      <w:widowControl/>
      <w:spacing w:after="240" w:line="240" w:lineRule="auto"/>
      <w:jc w:val="both"/>
    </w:pPr>
    <w:rPr>
      <w:rFonts w:ascii="Arial" w:eastAsia="Malgun Gothic" w:hAnsi="Arial"/>
      <w:b/>
      <w:szCs w:val="24"/>
      <w:lang w:eastAsia="en-GB"/>
    </w:rPr>
  </w:style>
  <w:style w:type="paragraph" w:styleId="List">
    <w:name w:val="List"/>
    <w:basedOn w:val="Normal"/>
    <w:pPr>
      <w:widowControl/>
      <w:spacing w:after="240" w:line="240" w:lineRule="auto"/>
      <w:ind w:left="283" w:hanging="283"/>
      <w:jc w:val="both"/>
    </w:pPr>
    <w:rPr>
      <w:rFonts w:eastAsia="Malgun Gothic"/>
      <w:szCs w:val="24"/>
      <w:lang w:eastAsia="en-GB"/>
    </w:rPr>
  </w:style>
  <w:style w:type="paragraph" w:styleId="List2">
    <w:name w:val="List 2"/>
    <w:basedOn w:val="Normal"/>
    <w:qFormat/>
    <w:pPr>
      <w:widowControl/>
      <w:spacing w:after="240" w:line="240" w:lineRule="auto"/>
      <w:ind w:left="566" w:hanging="283"/>
      <w:jc w:val="both"/>
    </w:pPr>
    <w:rPr>
      <w:rFonts w:eastAsia="Malgun Gothic"/>
      <w:szCs w:val="24"/>
      <w:lang w:eastAsia="en-GB"/>
    </w:rPr>
  </w:style>
  <w:style w:type="paragraph" w:styleId="List3">
    <w:name w:val="List 3"/>
    <w:basedOn w:val="Normal"/>
    <w:uiPriority w:val="99"/>
    <w:qFormat/>
    <w:pPr>
      <w:widowControl/>
      <w:spacing w:after="240" w:line="240" w:lineRule="auto"/>
      <w:ind w:left="849" w:hanging="283"/>
      <w:jc w:val="both"/>
    </w:pPr>
    <w:rPr>
      <w:rFonts w:eastAsia="Malgun Gothic"/>
      <w:szCs w:val="24"/>
      <w:lang w:eastAsia="en-GB"/>
    </w:rPr>
  </w:style>
  <w:style w:type="paragraph" w:styleId="List4">
    <w:name w:val="List 4"/>
    <w:basedOn w:val="Normal"/>
    <w:pPr>
      <w:widowControl/>
      <w:spacing w:after="240" w:line="240" w:lineRule="auto"/>
      <w:ind w:left="1132" w:hanging="283"/>
      <w:jc w:val="both"/>
    </w:pPr>
    <w:rPr>
      <w:rFonts w:eastAsia="Malgun Gothic"/>
      <w:szCs w:val="24"/>
      <w:lang w:eastAsia="en-GB"/>
    </w:rPr>
  </w:style>
  <w:style w:type="paragraph" w:styleId="List5">
    <w:name w:val="List 5"/>
    <w:basedOn w:val="Normal"/>
    <w:pPr>
      <w:widowControl/>
      <w:spacing w:after="240" w:line="240" w:lineRule="auto"/>
      <w:ind w:left="1415" w:hanging="283"/>
      <w:jc w:val="both"/>
    </w:pPr>
    <w:rPr>
      <w:rFonts w:eastAsia="Malgun Gothic"/>
      <w:szCs w:val="24"/>
      <w:lang w:eastAsia="en-GB"/>
    </w:rPr>
  </w:style>
  <w:style w:type="paragraph" w:styleId="ListBullet">
    <w:name w:val="List Bullet"/>
    <w:basedOn w:val="Normal"/>
    <w:uiPriority w:val="99"/>
    <w:pPr>
      <w:widowControl/>
      <w:numPr>
        <w:numId w:val="28"/>
      </w:numPr>
      <w:tabs>
        <w:tab w:val="clear" w:pos="283"/>
      </w:tabs>
      <w:spacing w:after="240" w:line="240" w:lineRule="auto"/>
      <w:ind w:left="0" w:firstLine="0"/>
      <w:jc w:val="both"/>
    </w:pPr>
    <w:rPr>
      <w:rFonts w:ascii="Book Antiqua" w:eastAsia="Malgun Gothic" w:hAnsi="Book Antiqua"/>
      <w:szCs w:val="24"/>
      <w:lang w:eastAsia="en-GB"/>
    </w:rPr>
  </w:style>
  <w:style w:type="paragraph" w:styleId="ListBullet2">
    <w:name w:val="List Bullet 2"/>
    <w:basedOn w:val="Text2"/>
    <w:pPr>
      <w:numPr>
        <w:numId w:val="15"/>
      </w:numPr>
      <w:tabs>
        <w:tab w:val="clear" w:pos="1360"/>
        <w:tab w:val="clear" w:pos="2160"/>
      </w:tabs>
      <w:ind w:left="0" w:firstLine="0"/>
    </w:pPr>
  </w:style>
  <w:style w:type="paragraph" w:styleId="ListBullet3">
    <w:name w:val="List Bullet 3"/>
    <w:basedOn w:val="Text3"/>
    <w:pPr>
      <w:numPr>
        <w:numId w:val="16"/>
      </w:numPr>
      <w:tabs>
        <w:tab w:val="clear" w:pos="2199"/>
        <w:tab w:val="clear" w:pos="2302"/>
      </w:tabs>
      <w:ind w:left="0" w:firstLine="0"/>
    </w:pPr>
  </w:style>
  <w:style w:type="paragraph" w:styleId="ListBullet4">
    <w:name w:val="List Bullet 4"/>
    <w:basedOn w:val="Text4"/>
    <w:pPr>
      <w:numPr>
        <w:numId w:val="17"/>
      </w:numPr>
      <w:tabs>
        <w:tab w:val="clear" w:pos="3163"/>
      </w:tabs>
      <w:ind w:left="0" w:firstLine="0"/>
    </w:pPr>
  </w:style>
  <w:style w:type="paragraph" w:styleId="ListBullet5">
    <w:name w:val="List Bullet 5"/>
    <w:basedOn w:val="Normal"/>
    <w:autoRedefine/>
    <w:pPr>
      <w:widowControl/>
      <w:numPr>
        <w:numId w:val="12"/>
      </w:numPr>
      <w:tabs>
        <w:tab w:val="clear" w:pos="1492"/>
      </w:tabs>
      <w:spacing w:after="240" w:line="240" w:lineRule="auto"/>
      <w:ind w:left="0" w:firstLine="0"/>
      <w:jc w:val="both"/>
    </w:pPr>
    <w:rPr>
      <w:rFonts w:eastAsia="Malgun Gothic"/>
      <w:szCs w:val="24"/>
      <w:lang w:eastAsia="en-GB"/>
    </w:rPr>
  </w:style>
  <w:style w:type="paragraph" w:styleId="ListContinue">
    <w:name w:val="List Continue"/>
    <w:basedOn w:val="Normal"/>
    <w:pPr>
      <w:widowControl/>
      <w:spacing w:after="120" w:line="240" w:lineRule="auto"/>
      <w:ind w:left="283"/>
      <w:jc w:val="both"/>
    </w:pPr>
    <w:rPr>
      <w:rFonts w:eastAsia="Malgun Gothic"/>
      <w:szCs w:val="24"/>
      <w:lang w:eastAsia="en-GB"/>
    </w:rPr>
  </w:style>
  <w:style w:type="paragraph" w:styleId="ListContinue2">
    <w:name w:val="List Continue 2"/>
    <w:basedOn w:val="Normal"/>
    <w:pPr>
      <w:widowControl/>
      <w:spacing w:after="120" w:line="240" w:lineRule="auto"/>
      <w:ind w:left="566"/>
      <w:jc w:val="both"/>
    </w:pPr>
    <w:rPr>
      <w:rFonts w:eastAsia="Malgun Gothic"/>
      <w:szCs w:val="24"/>
      <w:lang w:eastAsia="en-GB"/>
    </w:rPr>
  </w:style>
  <w:style w:type="paragraph" w:styleId="ListContinue3">
    <w:name w:val="List Continue 3"/>
    <w:basedOn w:val="Normal"/>
    <w:pPr>
      <w:widowControl/>
      <w:spacing w:after="120" w:line="240" w:lineRule="auto"/>
      <w:ind w:left="849"/>
      <w:jc w:val="both"/>
    </w:pPr>
    <w:rPr>
      <w:rFonts w:eastAsia="Malgun Gothic"/>
      <w:szCs w:val="24"/>
      <w:lang w:eastAsia="en-GB"/>
    </w:rPr>
  </w:style>
  <w:style w:type="paragraph" w:styleId="ListContinue4">
    <w:name w:val="List Continue 4"/>
    <w:basedOn w:val="Normal"/>
    <w:pPr>
      <w:widowControl/>
      <w:spacing w:after="120" w:line="240" w:lineRule="auto"/>
      <w:ind w:left="1132"/>
      <w:jc w:val="both"/>
    </w:pPr>
    <w:rPr>
      <w:rFonts w:eastAsia="Malgun Gothic"/>
      <w:szCs w:val="24"/>
      <w:lang w:eastAsia="en-GB"/>
    </w:rPr>
  </w:style>
  <w:style w:type="paragraph" w:styleId="ListContinue5">
    <w:name w:val="List Continue 5"/>
    <w:basedOn w:val="Normal"/>
    <w:uiPriority w:val="99"/>
    <w:qFormat/>
    <w:pPr>
      <w:widowControl/>
      <w:spacing w:after="120" w:line="240" w:lineRule="auto"/>
      <w:ind w:left="1415"/>
      <w:jc w:val="both"/>
    </w:pPr>
    <w:rPr>
      <w:rFonts w:eastAsia="Malgun Gothic"/>
      <w:szCs w:val="24"/>
      <w:lang w:eastAsia="en-GB"/>
    </w:rPr>
  </w:style>
  <w:style w:type="paragraph" w:styleId="ListNumber">
    <w:name w:val="List Number"/>
    <w:basedOn w:val="Normal"/>
    <w:link w:val="ListNumberChar"/>
    <w:qFormat/>
    <w:pPr>
      <w:widowControl/>
      <w:numPr>
        <w:numId w:val="30"/>
      </w:numPr>
      <w:tabs>
        <w:tab w:val="clear" w:pos="360"/>
      </w:tabs>
      <w:spacing w:after="240" w:line="240" w:lineRule="auto"/>
      <w:ind w:left="0" w:firstLine="0"/>
      <w:jc w:val="both"/>
    </w:pPr>
    <w:rPr>
      <w:rFonts w:eastAsia="Malgun Gothic"/>
      <w:szCs w:val="24"/>
      <w:lang w:eastAsia="en-GB"/>
    </w:rPr>
  </w:style>
  <w:style w:type="paragraph" w:styleId="ListNumber2">
    <w:name w:val="List Number 2"/>
    <w:basedOn w:val="Text2"/>
    <w:pPr>
      <w:numPr>
        <w:numId w:val="25"/>
      </w:numPr>
      <w:tabs>
        <w:tab w:val="clear" w:pos="1786"/>
        <w:tab w:val="clear" w:pos="2160"/>
      </w:tabs>
      <w:ind w:left="0" w:firstLine="0"/>
    </w:pPr>
  </w:style>
  <w:style w:type="paragraph" w:styleId="ListNumber3">
    <w:name w:val="List Number 3"/>
    <w:basedOn w:val="Text3"/>
    <w:pPr>
      <w:numPr>
        <w:numId w:val="26"/>
      </w:numPr>
      <w:tabs>
        <w:tab w:val="clear" w:pos="2302"/>
        <w:tab w:val="clear" w:pos="2625"/>
      </w:tabs>
      <w:ind w:left="0" w:firstLine="0"/>
    </w:pPr>
  </w:style>
  <w:style w:type="paragraph" w:styleId="ListNumber4">
    <w:name w:val="List Number 4"/>
    <w:basedOn w:val="Text4"/>
    <w:pPr>
      <w:numPr>
        <w:numId w:val="27"/>
      </w:numPr>
      <w:tabs>
        <w:tab w:val="clear" w:pos="3589"/>
      </w:tabs>
      <w:ind w:left="0" w:firstLine="0"/>
    </w:pPr>
  </w:style>
  <w:style w:type="paragraph" w:styleId="ListNumber5">
    <w:name w:val="List Number 5"/>
    <w:basedOn w:val="Normal"/>
    <w:pPr>
      <w:widowControl/>
      <w:numPr>
        <w:numId w:val="13"/>
      </w:numPr>
      <w:tabs>
        <w:tab w:val="clear" w:pos="1492"/>
      </w:tabs>
      <w:spacing w:after="240" w:line="240" w:lineRule="auto"/>
      <w:ind w:left="0" w:firstLine="0"/>
      <w:jc w:val="both"/>
    </w:pPr>
    <w:rPr>
      <w:rFonts w:eastAsia="Malgun Gothic"/>
      <w:szCs w:val="24"/>
      <w:lang w:eastAsia="en-GB"/>
    </w:rPr>
  </w:style>
  <w:style w:type="paragraph" w:styleId="MacroText">
    <w:name w:val="macro"/>
    <w:link w:val="MacroTextChar"/>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eastAsia="Malgun Gothic" w:hAnsi="Courier New"/>
    </w:rPr>
  </w:style>
  <w:style w:type="character" w:customStyle="1" w:styleId="MacroTextChar">
    <w:name w:val="Macro Text Char"/>
    <w:basedOn w:val="DefaultParagraphFont"/>
    <w:link w:val="MacroText"/>
    <w:semiHidden/>
    <w:rPr>
      <w:rFonts w:ascii="Courier New" w:eastAsia="Malgun Gothic" w:hAnsi="Courier New"/>
    </w:rPr>
  </w:style>
  <w:style w:type="paragraph" w:styleId="MessageHeader">
    <w:name w:val="Message Header"/>
    <w:basedOn w:val="Normal"/>
    <w:link w:val="MessageHeaderChar"/>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eastAsia="Malgun Gothic" w:hAnsi="Arial"/>
      <w:szCs w:val="24"/>
      <w:lang w:eastAsia="en-GB"/>
    </w:rPr>
  </w:style>
  <w:style w:type="character" w:customStyle="1" w:styleId="MessageHeaderChar">
    <w:name w:val="Message Header Char"/>
    <w:basedOn w:val="DefaultParagraphFont"/>
    <w:link w:val="MessageHeader"/>
    <w:rPr>
      <w:rFonts w:ascii="Arial" w:eastAsia="Malgun Gothic" w:hAnsi="Arial"/>
      <w:sz w:val="24"/>
      <w:szCs w:val="24"/>
      <w:shd w:val="pct20" w:color="auto" w:fill="auto"/>
    </w:rPr>
  </w:style>
  <w:style w:type="paragraph" w:styleId="NormalIndent">
    <w:name w:val="Normal Indent"/>
    <w:basedOn w:val="Normal"/>
    <w:pPr>
      <w:widowControl/>
      <w:spacing w:after="240" w:line="240" w:lineRule="auto"/>
      <w:ind w:left="720"/>
      <w:jc w:val="both"/>
    </w:pPr>
    <w:rPr>
      <w:rFonts w:eastAsia="Malgun Gothic"/>
      <w:szCs w:val="24"/>
      <w:lang w:eastAsia="en-GB"/>
    </w:rPr>
  </w:style>
  <w:style w:type="paragraph" w:styleId="NoteHeading">
    <w:name w:val="Note Heading"/>
    <w:basedOn w:val="Normal"/>
    <w:next w:val="Normal"/>
    <w:link w:val="NoteHeadingChar"/>
    <w:pPr>
      <w:widowControl/>
      <w:spacing w:after="240" w:line="240" w:lineRule="auto"/>
      <w:jc w:val="both"/>
    </w:pPr>
    <w:rPr>
      <w:rFonts w:eastAsia="Malgun Gothic"/>
      <w:szCs w:val="24"/>
      <w:lang w:eastAsia="en-GB"/>
    </w:rPr>
  </w:style>
  <w:style w:type="character" w:customStyle="1" w:styleId="NoteHeadingChar">
    <w:name w:val="Note Heading Char"/>
    <w:basedOn w:val="DefaultParagraphFont"/>
    <w:link w:val="NoteHeading"/>
    <w:rPr>
      <w:rFonts w:eastAsia="Malgun Gothic"/>
      <w:sz w:val="24"/>
      <w:szCs w:val="24"/>
    </w:rPr>
  </w:style>
  <w:style w:type="paragraph" w:customStyle="1" w:styleId="NoteHead">
    <w:name w:val="NoteHead"/>
    <w:basedOn w:val="Normal"/>
    <w:next w:val="Subject"/>
    <w:pPr>
      <w:widowControl/>
      <w:spacing w:before="720" w:after="720" w:line="240" w:lineRule="auto"/>
      <w:jc w:val="center"/>
    </w:pPr>
    <w:rPr>
      <w:rFonts w:eastAsia="Malgun Gothic"/>
      <w:b/>
      <w:smallCaps/>
      <w:szCs w:val="24"/>
      <w:lang w:eastAsia="en-GB"/>
    </w:rPr>
  </w:style>
  <w:style w:type="paragraph" w:customStyle="1" w:styleId="Subject">
    <w:name w:val="Subject"/>
    <w:basedOn w:val="Normal"/>
    <w:next w:val="Normal"/>
    <w:pPr>
      <w:widowControl/>
      <w:spacing w:after="480" w:line="240" w:lineRule="auto"/>
      <w:ind w:left="1191" w:hanging="1191"/>
    </w:pPr>
    <w:rPr>
      <w:rFonts w:eastAsia="Malgun Gothic"/>
      <w:b/>
      <w:szCs w:val="24"/>
      <w:lang w:eastAsia="en-GB"/>
    </w:rPr>
  </w:style>
  <w:style w:type="paragraph" w:customStyle="1" w:styleId="NoteList">
    <w:name w:val="NoteList"/>
    <w:basedOn w:val="Normal"/>
    <w:next w:val="Subject"/>
    <w:pPr>
      <w:widowControl/>
      <w:tabs>
        <w:tab w:val="left" w:pos="5823"/>
      </w:tabs>
      <w:spacing w:before="720" w:after="720" w:line="240" w:lineRule="auto"/>
      <w:ind w:left="5104" w:hanging="3119"/>
    </w:pPr>
    <w:rPr>
      <w:rFonts w:eastAsia="Malgun Gothic"/>
      <w:b/>
      <w:smallCaps/>
      <w:szCs w:val="24"/>
      <w:lang w:eastAsia="en-GB"/>
    </w:rPr>
  </w:style>
  <w:style w:type="paragraph" w:customStyle="1" w:styleId="NumPar1">
    <w:name w:val="NumPar 1"/>
    <w:basedOn w:val="Heading1"/>
    <w:next w:val="Text1"/>
    <w:pPr>
      <w:keepNext w:val="0"/>
      <w:numPr>
        <w:numId w:val="0"/>
      </w:numPr>
      <w:spacing w:before="0" w:after="240"/>
      <w:outlineLvl w:val="9"/>
    </w:pPr>
    <w:rPr>
      <w:rFonts w:ascii="Book Antiqua" w:eastAsia="Malgun Gothic" w:hAnsi="Book Antiqua"/>
      <w:b w:val="0"/>
      <w:smallCaps w:val="0"/>
      <w:szCs w:val="24"/>
      <w:lang w:eastAsia="en-GB"/>
    </w:rPr>
  </w:style>
  <w:style w:type="paragraph" w:customStyle="1" w:styleId="NumPar2">
    <w:name w:val="NumPar 2"/>
    <w:basedOn w:val="Heading2"/>
    <w:next w:val="Text2"/>
    <w:pPr>
      <w:keepNext w:val="0"/>
      <w:numPr>
        <w:ilvl w:val="0"/>
        <w:numId w:val="0"/>
      </w:numPr>
      <w:spacing w:before="0" w:after="240"/>
      <w:outlineLvl w:val="9"/>
    </w:pPr>
    <w:rPr>
      <w:rFonts w:eastAsia="Malgun Gothic"/>
      <w:b w:val="0"/>
      <w:szCs w:val="24"/>
      <w:lang w:eastAsia="en-GB"/>
    </w:rPr>
  </w:style>
  <w:style w:type="paragraph" w:customStyle="1" w:styleId="NumPar3">
    <w:name w:val="NumPar 3"/>
    <w:basedOn w:val="Heading3"/>
    <w:next w:val="Text3"/>
    <w:pPr>
      <w:keepNext w:val="0"/>
      <w:numPr>
        <w:ilvl w:val="0"/>
        <w:numId w:val="0"/>
      </w:numPr>
      <w:spacing w:before="0" w:after="240"/>
      <w:outlineLvl w:val="9"/>
    </w:pPr>
    <w:rPr>
      <w:rFonts w:eastAsia="Malgun Gothic"/>
      <w:i w:val="0"/>
      <w:szCs w:val="24"/>
      <w:lang w:eastAsia="en-GB"/>
    </w:rPr>
  </w:style>
  <w:style w:type="paragraph" w:customStyle="1" w:styleId="NumPar4">
    <w:name w:val="NumPar 4"/>
    <w:basedOn w:val="Heading4"/>
    <w:next w:val="Text4"/>
    <w:pPr>
      <w:keepNext w:val="0"/>
      <w:numPr>
        <w:ilvl w:val="0"/>
        <w:numId w:val="0"/>
      </w:numPr>
      <w:spacing w:before="0" w:after="240"/>
      <w:outlineLvl w:val="9"/>
    </w:pPr>
    <w:rPr>
      <w:rFonts w:eastAsia="Malgun Gothic"/>
      <w:szCs w:val="24"/>
      <w:lang w:eastAsia="en-GB"/>
    </w:rPr>
  </w:style>
  <w:style w:type="paragraph" w:styleId="PlainText">
    <w:name w:val="Plain Text"/>
    <w:basedOn w:val="Normal"/>
    <w:link w:val="PlainTextChar"/>
    <w:pPr>
      <w:widowControl/>
      <w:spacing w:after="240" w:line="240" w:lineRule="auto"/>
      <w:jc w:val="both"/>
    </w:pPr>
    <w:rPr>
      <w:rFonts w:ascii="Courier New" w:eastAsia="Malgun Gothic" w:hAnsi="Courier New"/>
      <w:sz w:val="20"/>
      <w:szCs w:val="24"/>
      <w:lang w:eastAsia="en-GB"/>
    </w:rPr>
  </w:style>
  <w:style w:type="character" w:customStyle="1" w:styleId="PlainTextChar">
    <w:name w:val="Plain Text Char"/>
    <w:basedOn w:val="DefaultParagraphFont"/>
    <w:link w:val="PlainText"/>
    <w:rPr>
      <w:rFonts w:ascii="Courier New" w:eastAsia="Malgun Gothic" w:hAnsi="Courier New"/>
      <w:szCs w:val="24"/>
    </w:rPr>
  </w:style>
  <w:style w:type="paragraph" w:styleId="Salutation">
    <w:name w:val="Salutation"/>
    <w:basedOn w:val="Normal"/>
    <w:next w:val="Normal"/>
    <w:link w:val="SalutationChar"/>
    <w:pPr>
      <w:widowControl/>
      <w:spacing w:after="240" w:line="240" w:lineRule="auto"/>
      <w:jc w:val="both"/>
    </w:pPr>
    <w:rPr>
      <w:rFonts w:eastAsia="Malgun Gothic"/>
      <w:szCs w:val="24"/>
      <w:lang w:eastAsia="en-GB"/>
    </w:rPr>
  </w:style>
  <w:style w:type="character" w:customStyle="1" w:styleId="SalutationChar">
    <w:name w:val="Salutation Char"/>
    <w:basedOn w:val="DefaultParagraphFont"/>
    <w:link w:val="Salutation"/>
    <w:rPr>
      <w:rFonts w:eastAsia="Malgun Gothic"/>
      <w:sz w:val="24"/>
      <w:szCs w:val="24"/>
    </w:rPr>
  </w:style>
  <w:style w:type="paragraph" w:styleId="Subtitle">
    <w:name w:val="Subtitle"/>
    <w:basedOn w:val="Normal"/>
    <w:link w:val="SubtitleChar"/>
    <w:qFormat/>
    <w:pPr>
      <w:widowControl/>
      <w:spacing w:after="60" w:line="240" w:lineRule="auto"/>
      <w:jc w:val="center"/>
      <w:outlineLvl w:val="1"/>
    </w:pPr>
    <w:rPr>
      <w:rFonts w:ascii="Arial" w:eastAsia="Malgun Gothic" w:hAnsi="Arial"/>
      <w:szCs w:val="24"/>
      <w:lang w:eastAsia="en-GB"/>
    </w:rPr>
  </w:style>
  <w:style w:type="character" w:customStyle="1" w:styleId="SubtitleChar">
    <w:name w:val="Subtitle Char"/>
    <w:basedOn w:val="DefaultParagraphFont"/>
    <w:link w:val="Subtitle"/>
    <w:qFormat/>
    <w:rPr>
      <w:rFonts w:ascii="Arial" w:eastAsia="Malgun Gothic" w:hAnsi="Arial"/>
      <w:sz w:val="24"/>
      <w:szCs w:val="24"/>
    </w:rPr>
  </w:style>
  <w:style w:type="paragraph" w:styleId="TableofAuthorities">
    <w:name w:val="table of authorities"/>
    <w:basedOn w:val="Normal"/>
    <w:next w:val="Normal"/>
    <w:semiHidden/>
    <w:pPr>
      <w:widowControl/>
      <w:spacing w:after="240" w:line="240" w:lineRule="auto"/>
      <w:ind w:left="240" w:hanging="240"/>
      <w:jc w:val="both"/>
    </w:pPr>
    <w:rPr>
      <w:rFonts w:eastAsia="Malgun Gothic"/>
      <w:szCs w:val="24"/>
      <w:lang w:eastAsia="en-GB"/>
    </w:rPr>
  </w:style>
  <w:style w:type="paragraph" w:styleId="TableofFigures">
    <w:name w:val="table of figures"/>
    <w:basedOn w:val="Normal"/>
    <w:next w:val="Normal"/>
    <w:semiHidden/>
    <w:pPr>
      <w:widowControl/>
      <w:spacing w:after="240" w:line="240" w:lineRule="auto"/>
      <w:ind w:left="480" w:hanging="480"/>
      <w:jc w:val="both"/>
    </w:pPr>
    <w:rPr>
      <w:rFonts w:eastAsia="Malgun Gothic"/>
      <w:szCs w:val="24"/>
      <w:lang w:eastAsia="en-GB"/>
    </w:rPr>
  </w:style>
  <w:style w:type="paragraph" w:styleId="Title">
    <w:name w:val="Title"/>
    <w:basedOn w:val="Normal"/>
    <w:link w:val="TitleChar"/>
    <w:qFormat/>
    <w:pPr>
      <w:widowControl/>
      <w:spacing w:before="240" w:after="60" w:line="240" w:lineRule="auto"/>
      <w:jc w:val="center"/>
      <w:outlineLvl w:val="0"/>
    </w:pPr>
    <w:rPr>
      <w:rFonts w:ascii="Arial" w:eastAsia="Malgun Gothic" w:hAnsi="Arial"/>
      <w:b/>
      <w:kern w:val="28"/>
      <w:sz w:val="32"/>
      <w:szCs w:val="24"/>
      <w:lang w:eastAsia="en-GB"/>
    </w:rPr>
  </w:style>
  <w:style w:type="character" w:customStyle="1" w:styleId="TitleChar">
    <w:name w:val="Title Char"/>
    <w:basedOn w:val="DefaultParagraphFont"/>
    <w:link w:val="Title"/>
    <w:rPr>
      <w:rFonts w:ascii="Arial" w:eastAsia="Malgun Gothic" w:hAnsi="Arial"/>
      <w:b/>
      <w:kern w:val="28"/>
      <w:sz w:val="32"/>
      <w:szCs w:val="24"/>
    </w:rPr>
  </w:style>
  <w:style w:type="paragraph" w:styleId="TOAHeading">
    <w:name w:val="toa heading"/>
    <w:basedOn w:val="Normal"/>
    <w:next w:val="Normal"/>
    <w:semiHidden/>
    <w:pPr>
      <w:widowControl/>
      <w:spacing w:before="120" w:after="240" w:line="240" w:lineRule="auto"/>
      <w:jc w:val="both"/>
    </w:pPr>
    <w:rPr>
      <w:rFonts w:ascii="Arial" w:eastAsia="Malgun Gothic" w:hAnsi="Arial"/>
      <w:b/>
      <w:szCs w:val="24"/>
      <w:lang w:eastAsia="en-GB"/>
    </w:rPr>
  </w:style>
  <w:style w:type="paragraph" w:customStyle="1" w:styleId="YReferences">
    <w:name w:val="YReferences"/>
    <w:basedOn w:val="Normal"/>
    <w:next w:val="Normal"/>
    <w:pPr>
      <w:widowControl/>
      <w:spacing w:after="480" w:line="240" w:lineRule="auto"/>
      <w:ind w:left="1191" w:hanging="1191"/>
      <w:jc w:val="both"/>
    </w:pPr>
    <w:rPr>
      <w:rFonts w:eastAsia="Malgun Gothic"/>
      <w:szCs w:val="24"/>
      <w:lang w:eastAsia="en-GB"/>
    </w:rPr>
  </w:style>
  <w:style w:type="paragraph" w:customStyle="1" w:styleId="ListBullet1">
    <w:name w:val="List Bullet 1"/>
    <w:basedOn w:val="Text1"/>
    <w:pPr>
      <w:numPr>
        <w:numId w:val="14"/>
      </w:numPr>
      <w:tabs>
        <w:tab w:val="clear" w:pos="765"/>
      </w:tabs>
      <w:ind w:left="0" w:firstLine="0"/>
    </w:pPr>
  </w:style>
  <w:style w:type="paragraph" w:customStyle="1" w:styleId="ListDash">
    <w:name w:val="List Dash"/>
    <w:basedOn w:val="Normal"/>
    <w:pPr>
      <w:widowControl/>
      <w:numPr>
        <w:numId w:val="18"/>
      </w:numPr>
      <w:tabs>
        <w:tab w:val="clear" w:pos="283"/>
      </w:tabs>
      <w:spacing w:after="240" w:line="240" w:lineRule="auto"/>
      <w:ind w:left="0" w:firstLine="0"/>
      <w:jc w:val="both"/>
    </w:pPr>
    <w:rPr>
      <w:rFonts w:eastAsia="Malgun Gothic"/>
      <w:szCs w:val="24"/>
      <w:lang w:eastAsia="en-GB"/>
    </w:rPr>
  </w:style>
  <w:style w:type="paragraph" w:customStyle="1" w:styleId="ListDash1">
    <w:name w:val="List Dash 1"/>
    <w:basedOn w:val="Text1"/>
    <w:pPr>
      <w:numPr>
        <w:numId w:val="19"/>
      </w:numPr>
      <w:tabs>
        <w:tab w:val="clear" w:pos="765"/>
      </w:tabs>
      <w:ind w:left="0" w:firstLine="0"/>
    </w:pPr>
  </w:style>
  <w:style w:type="paragraph" w:customStyle="1" w:styleId="ListDash2">
    <w:name w:val="List Dash 2"/>
    <w:basedOn w:val="Text2"/>
    <w:pPr>
      <w:numPr>
        <w:numId w:val="20"/>
      </w:numPr>
      <w:tabs>
        <w:tab w:val="clear" w:pos="1360"/>
        <w:tab w:val="clear" w:pos="2160"/>
      </w:tabs>
      <w:ind w:left="0" w:firstLine="0"/>
    </w:pPr>
  </w:style>
  <w:style w:type="paragraph" w:customStyle="1" w:styleId="ListDash3">
    <w:name w:val="List Dash 3"/>
    <w:basedOn w:val="Text3"/>
    <w:pPr>
      <w:numPr>
        <w:numId w:val="21"/>
      </w:numPr>
      <w:tabs>
        <w:tab w:val="clear" w:pos="2199"/>
        <w:tab w:val="clear" w:pos="2302"/>
      </w:tabs>
      <w:ind w:left="0" w:firstLine="0"/>
    </w:pPr>
  </w:style>
  <w:style w:type="paragraph" w:customStyle="1" w:styleId="ListDash4">
    <w:name w:val="List Dash 4"/>
    <w:basedOn w:val="Text4"/>
    <w:pPr>
      <w:numPr>
        <w:numId w:val="22"/>
      </w:numPr>
      <w:tabs>
        <w:tab w:val="clear" w:pos="3163"/>
      </w:tabs>
      <w:ind w:left="0" w:firstLine="0"/>
    </w:pPr>
  </w:style>
  <w:style w:type="paragraph" w:customStyle="1" w:styleId="ListNumberLevel2">
    <w:name w:val="List Number (Level 2)"/>
    <w:basedOn w:val="Normal"/>
    <w:pPr>
      <w:widowControl/>
      <w:numPr>
        <w:ilvl w:val="1"/>
        <w:numId w:val="23"/>
      </w:numPr>
      <w:tabs>
        <w:tab w:val="clear" w:pos="1417"/>
      </w:tabs>
      <w:spacing w:after="240" w:line="240" w:lineRule="auto"/>
      <w:ind w:left="0" w:firstLine="0"/>
      <w:jc w:val="both"/>
    </w:pPr>
    <w:rPr>
      <w:rFonts w:eastAsia="Malgun Gothic"/>
      <w:szCs w:val="24"/>
      <w:lang w:eastAsia="en-GB"/>
    </w:rPr>
  </w:style>
  <w:style w:type="paragraph" w:customStyle="1" w:styleId="ListNumberLevel3">
    <w:name w:val="List Number (Level 3)"/>
    <w:basedOn w:val="Normal"/>
    <w:pPr>
      <w:widowControl/>
      <w:numPr>
        <w:ilvl w:val="2"/>
        <w:numId w:val="23"/>
      </w:numPr>
      <w:tabs>
        <w:tab w:val="clear" w:pos="2126"/>
      </w:tabs>
      <w:spacing w:after="240" w:line="240" w:lineRule="auto"/>
      <w:ind w:left="0" w:firstLine="0"/>
      <w:jc w:val="both"/>
    </w:pPr>
    <w:rPr>
      <w:rFonts w:eastAsia="Malgun Gothic"/>
      <w:szCs w:val="24"/>
      <w:lang w:eastAsia="en-GB"/>
    </w:rPr>
  </w:style>
  <w:style w:type="paragraph" w:customStyle="1" w:styleId="ListNumberLevel4">
    <w:name w:val="List Number (Level 4)"/>
    <w:basedOn w:val="Normal"/>
    <w:pPr>
      <w:widowControl/>
      <w:numPr>
        <w:ilvl w:val="3"/>
        <w:numId w:val="23"/>
      </w:numPr>
      <w:tabs>
        <w:tab w:val="clear" w:pos="2835"/>
      </w:tabs>
      <w:spacing w:after="240" w:line="240" w:lineRule="auto"/>
      <w:ind w:left="0" w:firstLine="0"/>
      <w:jc w:val="both"/>
    </w:pPr>
    <w:rPr>
      <w:rFonts w:eastAsia="Malgun Gothic"/>
      <w:szCs w:val="24"/>
      <w:lang w:eastAsia="en-GB"/>
    </w:rPr>
  </w:style>
  <w:style w:type="paragraph" w:customStyle="1" w:styleId="ListNumber1">
    <w:name w:val="List Number 1"/>
    <w:basedOn w:val="Text1"/>
    <w:pPr>
      <w:numPr>
        <w:numId w:val="24"/>
      </w:numPr>
      <w:tabs>
        <w:tab w:val="clear" w:pos="1191"/>
      </w:tabs>
      <w:ind w:left="0" w:firstLine="0"/>
    </w:pPr>
  </w:style>
  <w:style w:type="paragraph" w:customStyle="1" w:styleId="ListNumber1Level2">
    <w:name w:val="List Number 1 (Level 2)"/>
    <w:basedOn w:val="Text1"/>
    <w:pPr>
      <w:numPr>
        <w:ilvl w:val="1"/>
        <w:numId w:val="24"/>
      </w:numPr>
      <w:tabs>
        <w:tab w:val="clear" w:pos="1899"/>
      </w:tabs>
      <w:ind w:left="0" w:firstLine="0"/>
    </w:pPr>
  </w:style>
  <w:style w:type="paragraph" w:customStyle="1" w:styleId="ListNumber1Level3">
    <w:name w:val="List Number 1 (Level 3)"/>
    <w:basedOn w:val="Text1"/>
    <w:pPr>
      <w:numPr>
        <w:ilvl w:val="2"/>
        <w:numId w:val="24"/>
      </w:numPr>
      <w:tabs>
        <w:tab w:val="clear" w:pos="2608"/>
      </w:tabs>
      <w:ind w:left="0" w:firstLine="0"/>
    </w:pPr>
  </w:style>
  <w:style w:type="paragraph" w:customStyle="1" w:styleId="ListNumber1Level4">
    <w:name w:val="List Number 1 (Level 4)"/>
    <w:basedOn w:val="Text1"/>
    <w:pPr>
      <w:numPr>
        <w:ilvl w:val="3"/>
        <w:numId w:val="24"/>
      </w:numPr>
      <w:tabs>
        <w:tab w:val="clear" w:pos="3317"/>
      </w:tabs>
      <w:ind w:left="0" w:firstLine="0"/>
    </w:pPr>
  </w:style>
  <w:style w:type="paragraph" w:customStyle="1" w:styleId="ListNumber2Level2">
    <w:name w:val="List Number 2 (Level 2)"/>
    <w:basedOn w:val="Text2"/>
    <w:pPr>
      <w:numPr>
        <w:ilvl w:val="1"/>
        <w:numId w:val="25"/>
      </w:numPr>
      <w:tabs>
        <w:tab w:val="clear" w:pos="2160"/>
        <w:tab w:val="clear" w:pos="2494"/>
      </w:tabs>
      <w:ind w:left="0" w:firstLine="0"/>
    </w:pPr>
  </w:style>
  <w:style w:type="paragraph" w:customStyle="1" w:styleId="ListNumber2Level3">
    <w:name w:val="List Number 2 (Level 3)"/>
    <w:basedOn w:val="Text2"/>
    <w:pPr>
      <w:numPr>
        <w:ilvl w:val="2"/>
        <w:numId w:val="25"/>
      </w:numPr>
      <w:tabs>
        <w:tab w:val="clear" w:pos="2160"/>
        <w:tab w:val="clear" w:pos="3203"/>
      </w:tabs>
      <w:ind w:left="0" w:firstLine="0"/>
    </w:pPr>
  </w:style>
  <w:style w:type="paragraph" w:customStyle="1" w:styleId="ListNumber2Level4">
    <w:name w:val="List Number 2 (Level 4)"/>
    <w:basedOn w:val="Text2"/>
    <w:pPr>
      <w:numPr>
        <w:ilvl w:val="3"/>
        <w:numId w:val="25"/>
      </w:numPr>
      <w:tabs>
        <w:tab w:val="clear" w:pos="2160"/>
        <w:tab w:val="clear" w:pos="3912"/>
      </w:tabs>
      <w:ind w:left="0" w:firstLine="0"/>
    </w:pPr>
  </w:style>
  <w:style w:type="paragraph" w:customStyle="1" w:styleId="ListNumber3Level2">
    <w:name w:val="List Number 3 (Level 2)"/>
    <w:basedOn w:val="Text3"/>
    <w:pPr>
      <w:numPr>
        <w:ilvl w:val="1"/>
        <w:numId w:val="26"/>
      </w:numPr>
      <w:tabs>
        <w:tab w:val="clear" w:pos="2302"/>
        <w:tab w:val="clear" w:pos="3333"/>
      </w:tabs>
      <w:ind w:left="0" w:firstLine="0"/>
    </w:pPr>
  </w:style>
  <w:style w:type="paragraph" w:customStyle="1" w:styleId="ListNumber3Level3">
    <w:name w:val="List Number 3 (Level 3)"/>
    <w:basedOn w:val="Text3"/>
    <w:pPr>
      <w:numPr>
        <w:ilvl w:val="2"/>
        <w:numId w:val="26"/>
      </w:numPr>
      <w:tabs>
        <w:tab w:val="clear" w:pos="2302"/>
        <w:tab w:val="clear" w:pos="4042"/>
      </w:tabs>
      <w:ind w:left="0" w:firstLine="0"/>
    </w:pPr>
  </w:style>
  <w:style w:type="paragraph" w:customStyle="1" w:styleId="ListNumber3Level4">
    <w:name w:val="List Number 3 (Level 4)"/>
    <w:basedOn w:val="Text3"/>
    <w:pPr>
      <w:numPr>
        <w:ilvl w:val="3"/>
        <w:numId w:val="26"/>
      </w:numPr>
      <w:tabs>
        <w:tab w:val="clear" w:pos="2302"/>
        <w:tab w:val="clear" w:pos="4751"/>
      </w:tabs>
      <w:ind w:left="0" w:firstLine="0"/>
    </w:pPr>
  </w:style>
  <w:style w:type="paragraph" w:customStyle="1" w:styleId="ListNumber4Level2">
    <w:name w:val="List Number 4 (Level 2)"/>
    <w:basedOn w:val="Text4"/>
    <w:pPr>
      <w:numPr>
        <w:ilvl w:val="1"/>
        <w:numId w:val="27"/>
      </w:numPr>
      <w:tabs>
        <w:tab w:val="clear" w:pos="4297"/>
      </w:tabs>
      <w:ind w:left="0" w:firstLine="0"/>
    </w:pPr>
  </w:style>
  <w:style w:type="paragraph" w:customStyle="1" w:styleId="ListNumber4Level3">
    <w:name w:val="List Number 4 (Level 3)"/>
    <w:basedOn w:val="Text4"/>
    <w:pPr>
      <w:numPr>
        <w:ilvl w:val="2"/>
        <w:numId w:val="27"/>
      </w:numPr>
      <w:tabs>
        <w:tab w:val="clear" w:pos="5006"/>
      </w:tabs>
      <w:ind w:left="0" w:firstLine="0"/>
    </w:pPr>
  </w:style>
  <w:style w:type="paragraph" w:customStyle="1" w:styleId="ListNumber4Level4">
    <w:name w:val="List Number 4 (Level 4)"/>
    <w:basedOn w:val="Text4"/>
    <w:pPr>
      <w:numPr>
        <w:ilvl w:val="3"/>
        <w:numId w:val="27"/>
      </w:numPr>
      <w:tabs>
        <w:tab w:val="clear" w:pos="5715"/>
      </w:tabs>
      <w:ind w:left="0" w:firstLine="0"/>
    </w:pPr>
  </w:style>
  <w:style w:type="paragraph" w:styleId="TOCHeading">
    <w:name w:val="TOC Heading"/>
    <w:basedOn w:val="Normal"/>
    <w:next w:val="Normal"/>
    <w:qFormat/>
    <w:pPr>
      <w:keepNext/>
      <w:widowControl/>
      <w:spacing w:before="240" w:after="240" w:line="240" w:lineRule="auto"/>
      <w:jc w:val="center"/>
    </w:pPr>
    <w:rPr>
      <w:rFonts w:eastAsia="Malgun Gothic"/>
      <w:b/>
      <w:szCs w:val="24"/>
      <w:lang w:eastAsia="en-GB"/>
    </w:rPr>
  </w:style>
  <w:style w:type="paragraph" w:customStyle="1" w:styleId="Contact">
    <w:name w:val="Contact"/>
    <w:basedOn w:val="Normal"/>
    <w:next w:val="Enclosures"/>
    <w:pPr>
      <w:widowControl/>
      <w:spacing w:before="480" w:line="240" w:lineRule="auto"/>
      <w:ind w:left="567" w:hanging="567"/>
    </w:pPr>
    <w:rPr>
      <w:rFonts w:eastAsia="Malgun Gothic"/>
      <w:szCs w:val="24"/>
      <w:lang w:eastAsia="en-GB"/>
    </w:rPr>
  </w:style>
  <w:style w:type="paragraph" w:customStyle="1" w:styleId="Style1">
    <w:name w:val="Style1"/>
    <w:basedOn w:val="Normal"/>
    <w:autoRedefine/>
    <w:pPr>
      <w:widowControl/>
      <w:spacing w:after="240" w:line="240" w:lineRule="auto"/>
      <w:jc w:val="both"/>
    </w:pPr>
    <w:rPr>
      <w:rFonts w:eastAsia="Malgun Gothic"/>
      <w:szCs w:val="24"/>
      <w:lang w:eastAsia="en-GB"/>
    </w:rPr>
  </w:style>
  <w:style w:type="paragraph" w:customStyle="1" w:styleId="Disclaimer">
    <w:name w:val="Disclaimer"/>
    <w:basedOn w:val="Normal"/>
    <w:pPr>
      <w:keepLines/>
      <w:widowControl/>
      <w:pBdr>
        <w:top w:val="single" w:sz="4" w:space="1" w:color="auto"/>
      </w:pBdr>
      <w:spacing w:before="480" w:line="240" w:lineRule="auto"/>
      <w:jc w:val="both"/>
    </w:pPr>
    <w:rPr>
      <w:rFonts w:eastAsia="Malgun Gothic"/>
      <w:i/>
      <w:szCs w:val="24"/>
      <w:lang w:eastAsia="en-GB"/>
    </w:rPr>
  </w:style>
  <w:style w:type="paragraph" w:customStyle="1" w:styleId="RequestHeading2">
    <w:name w:val="Request Heading 2"/>
    <w:basedOn w:val="Normal"/>
    <w:next w:val="Normal"/>
    <w:autoRedefine/>
    <w:pPr>
      <w:widowControl/>
      <w:tabs>
        <w:tab w:val="left" w:pos="0"/>
        <w:tab w:val="left" w:pos="142"/>
        <w:tab w:val="left" w:pos="709"/>
        <w:tab w:val="left" w:pos="1440"/>
        <w:tab w:val="left" w:pos="5760"/>
        <w:tab w:val="left" w:pos="6480"/>
        <w:tab w:val="left" w:pos="14400"/>
      </w:tabs>
      <w:suppressAutoHyphens/>
      <w:spacing w:before="120" w:after="120" w:line="240" w:lineRule="auto"/>
      <w:jc w:val="both"/>
      <w:outlineLvl w:val="0"/>
    </w:pPr>
    <w:rPr>
      <w:rFonts w:ascii="Book Antiqua" w:eastAsia="Malgun Gothic" w:hAnsi="Book Antiqua"/>
      <w:b/>
      <w:lang w:eastAsia="en-GB"/>
    </w:rPr>
  </w:style>
  <w:style w:type="paragraph" w:customStyle="1" w:styleId="RequestHeading1">
    <w:name w:val="Request Heading 1"/>
    <w:basedOn w:val="Normal"/>
    <w:next w:val="RequestHeading2"/>
    <w:autoRedefine/>
    <w:pPr>
      <w:tabs>
        <w:tab w:val="left" w:pos="0"/>
        <w:tab w:val="left" w:pos="567"/>
        <w:tab w:val="left" w:pos="709"/>
        <w:tab w:val="left" w:pos="1440"/>
        <w:tab w:val="left" w:pos="5760"/>
        <w:tab w:val="left" w:pos="6480"/>
        <w:tab w:val="left" w:pos="14400"/>
      </w:tabs>
      <w:suppressAutoHyphens/>
      <w:spacing w:before="120" w:after="120" w:line="240" w:lineRule="auto"/>
      <w:outlineLvl w:val="0"/>
    </w:pPr>
    <w:rPr>
      <w:rFonts w:ascii="Book Antiqua" w:eastAsia="Malgun Gothic" w:hAnsi="Book Antiqua"/>
      <w:b/>
      <w:caps/>
      <w:spacing w:val="-2"/>
      <w:u w:val="single"/>
      <w:lang w:eastAsia="en-GB"/>
    </w:rPr>
  </w:style>
  <w:style w:type="paragraph" w:customStyle="1" w:styleId="Table">
    <w:name w:val="Table"/>
    <w:basedOn w:val="Normal"/>
    <w:autoRedefine/>
    <w:pPr>
      <w:widowControl/>
      <w:tabs>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sz w:val="20"/>
      <w:lang w:eastAsia="en-GB"/>
    </w:rPr>
  </w:style>
  <w:style w:type="paragraph" w:customStyle="1" w:styleId="Annex1">
    <w:name w:val="Annex 1"/>
    <w:basedOn w:val="Normal"/>
    <w:autoRedefine/>
    <w:pPr>
      <w:widowControl/>
      <w:tabs>
        <w:tab w:val="left" w:pos="709"/>
        <w:tab w:val="left" w:pos="1440"/>
        <w:tab w:val="left" w:pos="5760"/>
        <w:tab w:val="left" w:pos="6480"/>
        <w:tab w:val="left" w:pos="14400"/>
      </w:tabs>
      <w:suppressAutoHyphens/>
      <w:spacing w:before="120" w:after="120" w:line="240" w:lineRule="auto"/>
      <w:ind w:left="108"/>
    </w:pPr>
    <w:rPr>
      <w:rFonts w:eastAsia="Malgun Gothic"/>
      <w:spacing w:val="-2"/>
      <w:sz w:val="20"/>
      <w:lang w:eastAsia="en-GB"/>
    </w:rPr>
  </w:style>
  <w:style w:type="paragraph" w:customStyle="1" w:styleId="Annex2">
    <w:name w:val="Annex 2"/>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normal">
    <w:name w:val="Annex 2 - normal"/>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lang w:eastAsia="en-GB"/>
    </w:rPr>
  </w:style>
  <w:style w:type="paragraph" w:customStyle="1" w:styleId="Annex2-bullet0">
    <w:name w:val="Annex 2 - bullet"/>
    <w:basedOn w:val="Annex2-normal"/>
    <w:autoRedefine/>
    <w:pPr>
      <w:jc w:val="both"/>
    </w:pPr>
  </w:style>
  <w:style w:type="paragraph" w:customStyle="1" w:styleId="annex20">
    <w:name w:val="annex 2"/>
    <w:basedOn w:val="Normal"/>
    <w:pPr>
      <w:widowControl/>
      <w:tabs>
        <w:tab w:val="left" w:pos="0"/>
        <w:tab w:val="left" w:pos="709"/>
        <w:tab w:val="left" w:pos="1440"/>
        <w:tab w:val="left" w:pos="5760"/>
        <w:tab w:val="left" w:pos="6480"/>
        <w:tab w:val="left" w:pos="14400"/>
      </w:tabs>
      <w:suppressAutoHyphens/>
      <w:spacing w:before="120" w:after="120" w:line="240" w:lineRule="auto"/>
    </w:pPr>
    <w:rPr>
      <w:rFonts w:ascii="Book Antiqua" w:eastAsia="Malgun Gothic" w:hAnsi="Book Antiqua"/>
      <w:spacing w:val="-2"/>
      <w:lang w:eastAsia="en-GB"/>
    </w:rPr>
  </w:style>
  <w:style w:type="paragraph" w:customStyle="1" w:styleId="annex2-bullet">
    <w:name w:val="annex 2 - bullet"/>
    <w:basedOn w:val="NormalIndent"/>
    <w:autoRedefine/>
    <w:pPr>
      <w:numPr>
        <w:numId w:val="29"/>
      </w:numPr>
      <w:tabs>
        <w:tab w:val="clear" w:pos="360"/>
        <w:tab w:val="left" w:pos="709"/>
        <w:tab w:val="left" w:pos="1440"/>
        <w:tab w:val="left" w:pos="5760"/>
        <w:tab w:val="left" w:pos="6480"/>
        <w:tab w:val="left" w:pos="14400"/>
      </w:tabs>
      <w:suppressAutoHyphens/>
      <w:spacing w:before="120" w:after="120"/>
      <w:ind w:left="0" w:firstLine="0"/>
    </w:pPr>
    <w:rPr>
      <w:rFonts w:ascii="Book Antiqua" w:hAnsi="Book Antiqua"/>
      <w:spacing w:val="-2"/>
      <w:szCs w:val="20"/>
    </w:rPr>
  </w:style>
  <w:style w:type="paragraph" w:customStyle="1" w:styleId="annex10">
    <w:name w:val="annex 1"/>
    <w:basedOn w:val="Normal"/>
    <w:autoRedefine/>
    <w:pPr>
      <w:widowControl/>
      <w:tabs>
        <w:tab w:val="left" w:pos="709"/>
        <w:tab w:val="left" w:pos="1440"/>
        <w:tab w:val="left" w:pos="5760"/>
        <w:tab w:val="left" w:pos="6480"/>
        <w:tab w:val="left" w:pos="14400"/>
      </w:tabs>
      <w:suppressAutoHyphens/>
      <w:spacing w:before="120" w:after="120" w:line="240" w:lineRule="auto"/>
    </w:pPr>
    <w:rPr>
      <w:rFonts w:eastAsia="Malgun Gothic"/>
      <w:spacing w:val="-2"/>
      <w:sz w:val="20"/>
      <w:lang w:eastAsia="en-GB"/>
    </w:rPr>
  </w:style>
  <w:style w:type="paragraph" w:customStyle="1" w:styleId="RequestTitle">
    <w:name w:val="Request Title"/>
    <w:basedOn w:val="Normal"/>
    <w:autoRedefine/>
    <w:pPr>
      <w:keepNext/>
      <w:widowControl/>
      <w:tabs>
        <w:tab w:val="left" w:pos="0"/>
        <w:tab w:val="left" w:pos="709"/>
        <w:tab w:val="left" w:pos="1440"/>
        <w:tab w:val="left" w:pos="5760"/>
        <w:tab w:val="left" w:pos="6480"/>
        <w:tab w:val="left" w:pos="14400"/>
      </w:tabs>
      <w:suppressAutoHyphens/>
      <w:spacing w:before="120" w:after="600" w:line="240" w:lineRule="auto"/>
      <w:jc w:val="center"/>
    </w:pPr>
    <w:rPr>
      <w:rFonts w:ascii="Tahoma" w:eastAsia="Malgun Gothic" w:hAnsi="Tahoma"/>
      <w:b/>
      <w:spacing w:val="-2"/>
      <w:u w:val="single"/>
      <w:lang w:eastAsia="en-GB"/>
    </w:rPr>
  </w:style>
  <w:style w:type="paragraph" w:customStyle="1" w:styleId="BodyText4">
    <w:name w:val="Body Text 4"/>
    <w:basedOn w:val="Normal"/>
    <w:pPr>
      <w:widowControl/>
      <w:tabs>
        <w:tab w:val="left" w:pos="720"/>
        <w:tab w:val="num" w:pos="2103"/>
        <w:tab w:val="left" w:pos="2160"/>
      </w:tabs>
      <w:spacing w:after="240" w:line="240" w:lineRule="auto"/>
      <w:ind w:left="2103" w:hanging="663"/>
      <w:jc w:val="both"/>
    </w:pPr>
    <w:rPr>
      <w:rFonts w:eastAsia="Malgun Gothic"/>
      <w:sz w:val="22"/>
      <w:lang w:eastAsia="en-GB"/>
    </w:rPr>
  </w:style>
  <w:style w:type="paragraph" w:customStyle="1" w:styleId="Transportable">
    <w:name w:val="Transportable"/>
    <w:basedOn w:val="Normal"/>
    <w:pPr>
      <w:widowControl/>
      <w:spacing w:line="240" w:lineRule="auto"/>
    </w:pPr>
    <w:rPr>
      <w:rFonts w:ascii="Book Antiqua" w:eastAsia="Malgun Gothic" w:hAnsi="Book Antiqua"/>
      <w:sz w:val="18"/>
      <w:lang w:eastAsia="en-US"/>
    </w:rPr>
  </w:style>
  <w:style w:type="character" w:styleId="CommentReference">
    <w:name w:val="annotation reference"/>
    <w:qFormat/>
    <w:rPr>
      <w:sz w:val="16"/>
      <w:szCs w:val="16"/>
    </w:rPr>
  </w:style>
  <w:style w:type="paragraph" w:styleId="CommentSubject">
    <w:name w:val="annotation subject"/>
    <w:basedOn w:val="CommentText"/>
    <w:next w:val="CommentText"/>
    <w:link w:val="CommentSubjectChar"/>
    <w:uiPriority w:val="99"/>
    <w:qFormat/>
    <w:rPr>
      <w:b/>
      <w:bCs/>
      <w:szCs w:val="20"/>
    </w:rPr>
  </w:style>
  <w:style w:type="character" w:customStyle="1" w:styleId="CommentSubjectChar">
    <w:name w:val="Comment Subject Char"/>
    <w:basedOn w:val="CommentTextChar"/>
    <w:link w:val="CommentSubject"/>
    <w:uiPriority w:val="99"/>
    <w:qFormat/>
    <w:rPr>
      <w:rFonts w:eastAsia="Malgun Gothic"/>
      <w:b/>
      <w:bCs/>
      <w:szCs w:val="24"/>
      <w:lang w:val="ro-RO" w:eastAsia="x-none"/>
    </w:rPr>
  </w:style>
  <w:style w:type="paragraph" w:customStyle="1" w:styleId="num2">
    <w:name w:val="num2"/>
    <w:basedOn w:val="Normal"/>
    <w:pPr>
      <w:widowControl/>
      <w:spacing w:after="240" w:line="240" w:lineRule="auto"/>
      <w:ind w:left="1700" w:hanging="850"/>
      <w:jc w:val="both"/>
    </w:pPr>
    <w:rPr>
      <w:rFonts w:eastAsia="Malgun Gothic"/>
      <w:lang w:eastAsia="en-GB"/>
    </w:rPr>
  </w:style>
  <w:style w:type="paragraph" w:customStyle="1" w:styleId="ManualNumPar1">
    <w:name w:val="Manual NumPar 1"/>
    <w:basedOn w:val="Normal"/>
    <w:next w:val="Text1"/>
    <w:link w:val="ManualNumPar1Char"/>
    <w:pPr>
      <w:widowControl/>
      <w:spacing w:before="120" w:after="120" w:line="240" w:lineRule="auto"/>
      <w:ind w:left="850" w:hanging="850"/>
      <w:jc w:val="both"/>
    </w:pPr>
    <w:rPr>
      <w:rFonts w:ascii="Book Antiqua" w:eastAsia="Malgun Gothic" w:hAnsi="Book Antiqua"/>
      <w:spacing w:val="-2"/>
      <w:lang w:eastAsia="en-GB"/>
    </w:rPr>
  </w:style>
  <w:style w:type="character" w:customStyle="1" w:styleId="Text1Char">
    <w:name w:val="Text 1 Char"/>
    <w:link w:val="Text1"/>
    <w:rPr>
      <w:rFonts w:eastAsia="Malgun Gothic"/>
      <w:sz w:val="24"/>
      <w:szCs w:val="24"/>
    </w:rPr>
  </w:style>
  <w:style w:type="character" w:customStyle="1" w:styleId="ManualNumPar1Char">
    <w:name w:val="Manual NumPar 1 Char"/>
    <w:link w:val="ManualNumPar1"/>
    <w:rPr>
      <w:rFonts w:ascii="Book Antiqua" w:eastAsia="Malgun Gothic" w:hAnsi="Book Antiqua"/>
      <w:spacing w:val="-2"/>
      <w:sz w:val="24"/>
    </w:rPr>
  </w:style>
  <w:style w:type="character" w:styleId="Strong">
    <w:name w:val="Strong"/>
    <w:uiPriority w:val="22"/>
    <w:qFormat/>
    <w:rPr>
      <w:b/>
      <w:bCs/>
    </w:rPr>
  </w:style>
  <w:style w:type="character" w:styleId="Emphasis">
    <w:name w:val="Emphasis"/>
    <w:qFormat/>
    <w:rPr>
      <w:i/>
      <w:iCs/>
    </w:rPr>
  </w:style>
  <w:style w:type="character" w:customStyle="1" w:styleId="HeaderChar">
    <w:name w:val="Header Char"/>
    <w:aliases w:val="Header1 Char"/>
    <w:link w:val="Header"/>
    <w:uiPriority w:val="99"/>
    <w:qFormat/>
    <w:locked/>
    <w:rPr>
      <w:sz w:val="24"/>
      <w:lang w:eastAsia="fr-BE"/>
    </w:rPr>
  </w:style>
  <w:style w:type="paragraph" w:customStyle="1" w:styleId="StyleHeading114pt">
    <w:name w:val="Style Heading 1 + 14 pt"/>
    <w:basedOn w:val="Heading1"/>
    <w:pPr>
      <w:numPr>
        <w:numId w:val="0"/>
      </w:numPr>
      <w:jc w:val="center"/>
    </w:pPr>
    <w:rPr>
      <w:rFonts w:eastAsia="Batang"/>
      <w:bCs/>
      <w:sz w:val="28"/>
      <w:szCs w:val="32"/>
      <w:lang w:eastAsia="ko-KR"/>
    </w:rPr>
  </w:style>
  <w:style w:type="character" w:styleId="Hyperlink">
    <w:name w:val="Hyperlink"/>
    <w:uiPriority w:val="99"/>
    <w:rPr>
      <w:rFonts w:cs="Times New Roman"/>
      <w:color w:val="0000FF"/>
      <w:u w:val="single"/>
    </w:rPr>
  </w:style>
  <w:style w:type="character" w:customStyle="1" w:styleId="FootnoteTextChar">
    <w:name w:val="Footnote Text Char"/>
    <w:basedOn w:val="DefaultParagraphFont"/>
    <w:link w:val="FootnoteText"/>
    <w:uiPriority w:val="99"/>
    <w:rPr>
      <w:lang w:eastAsia="fr-BE"/>
    </w:rPr>
  </w:style>
  <w:style w:type="paragraph" w:customStyle="1" w:styleId="Default">
    <w:name w:val="Default"/>
    <w:qFormat/>
    <w:pPr>
      <w:autoSpaceDE w:val="0"/>
      <w:autoSpaceDN w:val="0"/>
      <w:adjustRightInd w:val="0"/>
    </w:pPr>
    <w:rPr>
      <w:rFonts w:eastAsia="Malgun Gothic"/>
      <w:color w:val="000000"/>
      <w:sz w:val="24"/>
      <w:szCs w:val="24"/>
    </w:rPr>
  </w:style>
  <w:style w:type="character" w:customStyle="1" w:styleId="FooterChar">
    <w:name w:val="Footer Char"/>
    <w:link w:val="Footer"/>
    <w:uiPriority w:val="99"/>
    <w:qFormat/>
    <w:rPr>
      <w:sz w:val="24"/>
      <w:lang w:eastAsia="fr-BE"/>
    </w:rPr>
  </w:style>
  <w:style w:type="paragraph" w:styleId="ListParagraph">
    <w:name w:val="List Paragraph"/>
    <w:aliases w:val="Recommendation,Bulleted Para,NFP GP Bulleted List,FooterText,numbered,Paragraphe de liste1,Bulletr List Paragraph,列出段落,列出段落1,List Paragraph2,List Paragraph21,Listeafsnit1,Parágrafo da Lista1,リスト段落1,L,Text,CV text,Dot pt,CV t,Bullet 1,Pl"/>
    <w:basedOn w:val="Normal"/>
    <w:link w:val="ListParagraphChar"/>
    <w:uiPriority w:val="34"/>
    <w:qFormat/>
    <w:pPr>
      <w:widowControl/>
      <w:spacing w:after="240" w:line="240" w:lineRule="auto"/>
      <w:ind w:left="720"/>
      <w:contextualSpacing/>
      <w:jc w:val="both"/>
    </w:pPr>
    <w:rPr>
      <w:rFonts w:eastAsia="Malgun Gothic"/>
      <w:szCs w:val="24"/>
      <w:lang w:eastAsia="en-GB"/>
    </w:rPr>
  </w:style>
  <w:style w:type="paragraph" w:styleId="Revision">
    <w:name w:val="Revision"/>
    <w:hidden/>
    <w:uiPriority w:val="99"/>
    <w:semiHidden/>
    <w:rPr>
      <w:rFonts w:eastAsia="Malgun Gothic"/>
      <w:sz w:val="24"/>
      <w:szCs w:val="24"/>
    </w:rPr>
  </w:style>
  <w:style w:type="paragraph" w:styleId="NormalWeb">
    <w:name w:val="Normal (Web)"/>
    <w:basedOn w:val="Normal"/>
    <w:unhideWhenUsed/>
    <w:pPr>
      <w:widowControl/>
      <w:spacing w:before="100" w:beforeAutospacing="1" w:after="100" w:afterAutospacing="1" w:line="240" w:lineRule="auto"/>
    </w:pPr>
    <w:rPr>
      <w:rFonts w:eastAsiaTheme="minorHAnsi"/>
      <w:szCs w:val="24"/>
      <w:lang w:eastAsia="en-IE"/>
    </w:rPr>
  </w:style>
  <w:style w:type="character" w:customStyle="1" w:styleId="Corpsdutexte">
    <w:name w:val="Corps du texte_"/>
    <w:basedOn w:val="DefaultParagraphFont"/>
    <w:link w:val="Corpsdutexte0"/>
    <w:rPr>
      <w:shd w:val="clear" w:color="auto" w:fill="FFFFFF"/>
    </w:rPr>
  </w:style>
  <w:style w:type="paragraph" w:customStyle="1" w:styleId="Corpsdutexte0">
    <w:name w:val="Corps du texte"/>
    <w:basedOn w:val="Normal"/>
    <w:link w:val="Corpsdutexte"/>
    <w:pPr>
      <w:shd w:val="clear" w:color="auto" w:fill="FFFFFF"/>
      <w:spacing w:before="300" w:after="480" w:line="278" w:lineRule="exact"/>
      <w:ind w:hanging="720"/>
      <w:jc w:val="both"/>
    </w:pPr>
    <w:rPr>
      <w:sz w:val="20"/>
      <w:lang w:eastAsia="en-GB"/>
    </w:rPr>
  </w:style>
  <w:style w:type="paragraph" w:customStyle="1" w:styleId="a">
    <w:name w:val="(a)"/>
    <w:basedOn w:val="ListNumber"/>
    <w:link w:val="aChar"/>
    <w:qFormat/>
    <w:pPr>
      <w:spacing w:after="0" w:line="360" w:lineRule="auto"/>
      <w:ind w:left="567" w:hanging="567"/>
      <w:jc w:val="left"/>
    </w:pPr>
    <w:rPr>
      <w:lang w:eastAsia="ko-KR"/>
    </w:rPr>
  </w:style>
  <w:style w:type="character" w:customStyle="1" w:styleId="ListNumberChar">
    <w:name w:val="List Number Char"/>
    <w:basedOn w:val="DefaultParagraphFont"/>
    <w:link w:val="ListNumber"/>
    <w:rPr>
      <w:rFonts w:eastAsia="Malgun Gothic"/>
      <w:sz w:val="24"/>
      <w:szCs w:val="24"/>
    </w:rPr>
  </w:style>
  <w:style w:type="character" w:customStyle="1" w:styleId="aChar">
    <w:name w:val="(a) Char"/>
    <w:basedOn w:val="ListNumberChar"/>
    <w:link w:val="a"/>
    <w:rPr>
      <w:rFonts w:eastAsia="Malgun Gothic"/>
      <w:sz w:val="24"/>
      <w:szCs w:val="24"/>
      <w:lang w:eastAsia="ko-KR"/>
    </w:rPr>
  </w:style>
  <w:style w:type="paragraph" w:customStyle="1" w:styleId="1">
    <w:name w:val="1."/>
    <w:basedOn w:val="Normal"/>
    <w:link w:val="1Char"/>
    <w:qFormat/>
    <w:pPr>
      <w:widowControl/>
    </w:pPr>
    <w:rPr>
      <w:rFonts w:eastAsia="Malgun Gothic"/>
      <w:szCs w:val="24"/>
      <w:lang w:eastAsia="en-GB"/>
    </w:rPr>
  </w:style>
  <w:style w:type="character" w:customStyle="1" w:styleId="1Char">
    <w:name w:val="1. Char"/>
    <w:basedOn w:val="DefaultParagraphFont"/>
    <w:link w:val="1"/>
    <w:rPr>
      <w:rFonts w:eastAsia="Malgun Gothic"/>
      <w:sz w:val="24"/>
      <w:szCs w:val="24"/>
    </w:rPr>
  </w:style>
  <w:style w:type="paragraph" w:customStyle="1" w:styleId="CharCharCharChar">
    <w:name w:val="Char Char Char Char"/>
    <w:basedOn w:val="Normal"/>
    <w:pPr>
      <w:widowControl/>
      <w:tabs>
        <w:tab w:val="left" w:pos="709"/>
      </w:tabs>
      <w:spacing w:line="240" w:lineRule="auto"/>
    </w:pPr>
    <w:rPr>
      <w:rFonts w:ascii="Tahoma" w:eastAsia="Malgun Gothic" w:hAnsi="Tahoma"/>
      <w:szCs w:val="24"/>
      <w:lang w:eastAsia="pl-PL"/>
    </w:rPr>
  </w:style>
  <w:style w:type="paragraph" w:customStyle="1" w:styleId="Char">
    <w:name w:val="Char"/>
    <w:basedOn w:val="Normal"/>
    <w:pPr>
      <w:widowControl/>
      <w:tabs>
        <w:tab w:val="left" w:pos="709"/>
      </w:tabs>
      <w:spacing w:line="240" w:lineRule="auto"/>
    </w:pPr>
    <w:rPr>
      <w:rFonts w:ascii="Tahoma" w:eastAsia="Malgun Gothic" w:hAnsi="Tahoma"/>
      <w:szCs w:val="24"/>
      <w:lang w:eastAsia="pl-PL"/>
    </w:rPr>
  </w:style>
  <w:style w:type="paragraph" w:customStyle="1" w:styleId="CharCharCharCharCharChar1Char">
    <w:name w:val="Char Char Char Char Char Char1 Char"/>
    <w:basedOn w:val="Normal"/>
    <w:pPr>
      <w:widowControl/>
      <w:spacing w:after="160" w:line="240" w:lineRule="exact"/>
    </w:pPr>
    <w:rPr>
      <w:rFonts w:ascii="Arial" w:eastAsia="Batang" w:hAnsi="Arial" w:cs="Arial"/>
      <w:kern w:val="16"/>
      <w:sz w:val="20"/>
      <w:lang w:eastAsia="en-US"/>
    </w:rPr>
  </w:style>
  <w:style w:type="character" w:customStyle="1" w:styleId="kortnavn2">
    <w:name w:val="kortnavn2"/>
    <w:rPr>
      <w:rFonts w:ascii="Tahoma" w:hAnsi="Tahoma" w:cs="Tahoma" w:hint="default"/>
      <w:color w:val="000000"/>
      <w:sz w:val="24"/>
      <w:szCs w:val="24"/>
      <w:shd w:val="clear" w:color="auto" w:fill="auto"/>
    </w:rPr>
  </w:style>
  <w:style w:type="character" w:customStyle="1" w:styleId="stykke1">
    <w:name w:val="stykke1"/>
    <w:rPr>
      <w:rFonts w:ascii="Verdana" w:hAnsi="Verdana" w:hint="default"/>
      <w:color w:val="000000"/>
      <w:sz w:val="17"/>
      <w:szCs w:val="17"/>
    </w:rPr>
  </w:style>
  <w:style w:type="paragraph" w:customStyle="1" w:styleId="CharCharCharCharChar">
    <w:name w:val="Char Char Char Char Char"/>
    <w:basedOn w:val="Normal"/>
    <w:pPr>
      <w:widowControl/>
      <w:spacing w:after="160" w:line="240" w:lineRule="exact"/>
    </w:pPr>
    <w:rPr>
      <w:rFonts w:ascii="Tahoma" w:hAnsi="Tahoma"/>
      <w:sz w:val="20"/>
      <w:lang w:eastAsia="en-US"/>
    </w:rPr>
  </w:style>
  <w:style w:type="paragraph" w:customStyle="1" w:styleId="Tekst">
    <w:name w:val="Tekst"/>
    <w:basedOn w:val="Normal"/>
    <w:pPr>
      <w:widowControl/>
      <w:tabs>
        <w:tab w:val="left" w:pos="-720"/>
      </w:tabs>
      <w:suppressAutoHyphens/>
      <w:spacing w:after="120" w:line="240" w:lineRule="auto"/>
    </w:pPr>
    <w:rPr>
      <w:rFonts w:ascii="Arial" w:hAnsi="Arial"/>
      <w:spacing w:val="-3"/>
      <w:sz w:val="22"/>
      <w:lang w:eastAsia="hr-HR"/>
    </w:rPr>
  </w:style>
  <w:style w:type="character" w:customStyle="1" w:styleId="ListParagraphChar">
    <w:name w:val="List Paragraph Char"/>
    <w:aliases w:val="Recommendation Char,Bulleted Para Char,NFP GP Bulleted List Char,FooterText Char,numbered Char,Paragraphe de liste1 Char,Bulletr List Paragraph Char,列出段落 Char,列出段落1 Char,List Paragraph2 Char,List Paragraph21 Char,Listeafsnit1 Char"/>
    <w:link w:val="ListParagraph"/>
    <w:uiPriority w:val="34"/>
    <w:qFormat/>
    <w:locked/>
    <w:rPr>
      <w:rFonts w:eastAsia="Malgun Gothic"/>
      <w:sz w:val="24"/>
      <w:szCs w:val="24"/>
    </w:rPr>
  </w:style>
  <w:style w:type="paragraph" w:customStyle="1" w:styleId="footnoteee">
    <w:name w:val="footnoteee"/>
    <w:basedOn w:val="Normal"/>
    <w:link w:val="footnoteeeChar"/>
    <w:pPr>
      <w:widowControl/>
      <w:spacing w:line="240" w:lineRule="auto"/>
      <w:ind w:left="567" w:hanging="567"/>
      <w:jc w:val="both"/>
    </w:pPr>
    <w:rPr>
      <w:rFonts w:eastAsia="Malgun Gothic"/>
      <w:b/>
      <w:bCs/>
      <w:szCs w:val="32"/>
    </w:rPr>
  </w:style>
  <w:style w:type="character" w:customStyle="1" w:styleId="footnoteeeChar">
    <w:name w:val="footnoteee Char"/>
    <w:basedOn w:val="DefaultParagraphFont"/>
    <w:link w:val="footnoteee"/>
    <w:rPr>
      <w:rFonts w:eastAsia="Malgun Gothic"/>
      <w:b/>
      <w:bCs/>
      <w:sz w:val="24"/>
      <w:szCs w:val="32"/>
      <w:lang w:eastAsia="fr-BE"/>
    </w:rPr>
  </w:style>
  <w:style w:type="paragraph" w:customStyle="1" w:styleId="footnote">
    <w:name w:val="footnote"/>
    <w:basedOn w:val="footnoteee"/>
    <w:link w:val="footnoteChar"/>
    <w:qFormat/>
    <w:rPr>
      <w:b w:val="0"/>
      <w:bCs w:val="0"/>
    </w:rPr>
  </w:style>
  <w:style w:type="character" w:customStyle="1" w:styleId="footnoteChar">
    <w:name w:val="footnote Char"/>
    <w:basedOn w:val="footnoteeeChar"/>
    <w:link w:val="footnote"/>
    <w:rPr>
      <w:rFonts w:eastAsia="Malgun Gothic"/>
      <w:b w:val="0"/>
      <w:bCs w:val="0"/>
      <w:sz w:val="24"/>
      <w:szCs w:val="32"/>
      <w:lang w:eastAsia="fr-BE"/>
    </w:rPr>
  </w:style>
  <w:style w:type="character" w:styleId="UnresolvedMention">
    <w:name w:val="Unresolved Mention"/>
    <w:basedOn w:val="DefaultParagraphFont"/>
    <w:uiPriority w:val="99"/>
    <w:semiHidden/>
    <w:unhideWhenUsed/>
    <w:rPr>
      <w:color w:val="605E5C"/>
      <w:shd w:val="clear" w:color="auto" w:fill="E1DFDD"/>
    </w:rPr>
  </w:style>
  <w:style w:type="character" w:customStyle="1" w:styleId="Heading1Char">
    <w:name w:val="Heading 1 Char"/>
    <w:link w:val="Heading1"/>
    <w:qFormat/>
    <w:rPr>
      <w:b/>
      <w:smallCaps/>
      <w:sz w:val="24"/>
      <w:lang w:eastAsia="fr-BE"/>
    </w:rPr>
  </w:style>
  <w:style w:type="character" w:customStyle="1" w:styleId="Heading2Char">
    <w:name w:val="Heading 2 Char"/>
    <w:link w:val="Heading2"/>
    <w:qFormat/>
    <w:rPr>
      <w:b/>
      <w:sz w:val="24"/>
      <w:lang w:eastAsia="fr-BE"/>
    </w:rPr>
  </w:style>
  <w:style w:type="character" w:customStyle="1" w:styleId="Heading3Char">
    <w:name w:val="Heading 3 Char"/>
    <w:link w:val="Heading3"/>
    <w:rPr>
      <w:i/>
      <w:sz w:val="24"/>
      <w:lang w:eastAsia="fr-BE"/>
    </w:rPr>
  </w:style>
  <w:style w:type="character" w:customStyle="1" w:styleId="Heading4Char">
    <w:name w:val="Heading 4 Char"/>
    <w:link w:val="Heading4"/>
    <w:qFormat/>
    <w:rPr>
      <w:sz w:val="24"/>
      <w:lang w:eastAsia="fr-BE"/>
    </w:rPr>
  </w:style>
  <w:style w:type="character" w:customStyle="1" w:styleId="Heading5Char">
    <w:name w:val="Heading 5 Char"/>
    <w:link w:val="Heading5"/>
    <w:qFormat/>
    <w:rPr>
      <w:rFonts w:ascii="Arial" w:hAnsi="Arial"/>
      <w:sz w:val="22"/>
      <w:lang w:eastAsia="fr-BE"/>
    </w:rPr>
  </w:style>
  <w:style w:type="character" w:customStyle="1" w:styleId="Heading7Char">
    <w:name w:val="Heading 7 Char"/>
    <w:link w:val="Heading7"/>
    <w:qFormat/>
    <w:rPr>
      <w:rFonts w:ascii="Arial" w:hAnsi="Arial"/>
      <w:lang w:eastAsia="fr-BE"/>
    </w:rPr>
  </w:style>
  <w:style w:type="character" w:customStyle="1" w:styleId="BalloonTextChar">
    <w:name w:val="Balloon Text Char"/>
    <w:link w:val="BalloonText"/>
    <w:uiPriority w:val="99"/>
    <w:qFormat/>
    <w:rPr>
      <w:rFonts w:ascii="Tahoma" w:hAnsi="Tahoma" w:cs="Tahoma"/>
      <w:sz w:val="16"/>
      <w:szCs w:val="16"/>
      <w:lang w:eastAsia="fr-BE"/>
    </w:rPr>
  </w:style>
  <w:style w:type="character" w:customStyle="1" w:styleId="EndnoteTextChar">
    <w:name w:val="Endnote Text Char"/>
    <w:link w:val="EndnoteText"/>
    <w:uiPriority w:val="99"/>
    <w:qFormat/>
    <w:rPr>
      <w:sz w:val="24"/>
      <w:lang w:eastAsia="fr-BE"/>
    </w:rPr>
  </w:style>
  <w:style w:type="table" w:styleId="TableGrid">
    <w:name w:val="Table Grid"/>
    <w:basedOn w:val="TableNormal"/>
    <w:uiPriority w:val="59"/>
    <w:qFormat/>
    <w:rPr>
      <w:rFonts w:ascii="Calibri" w:eastAsia="Calibri" w:hAnsi="Calibri"/>
      <w:lang w:eastAsia="id-ID"/>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Accent3">
    <w:name w:val="Light Shading Accent 3"/>
    <w:basedOn w:val="TableNormal"/>
    <w:uiPriority w:val="60"/>
    <w:qFormat/>
    <w:rPr>
      <w:rFonts w:ascii="Calibri" w:eastAsia="Calibri" w:hAnsi="Calibri"/>
      <w:color w:val="7B7B7B"/>
      <w:lang w:eastAsia="id-ID"/>
    </w:rPr>
    <w:tblPr>
      <w:tblBorders>
        <w:top w:val="single" w:sz="8" w:space="0" w:color="A5A5A5"/>
        <w:bottom w:val="single" w:sz="8" w:space="0" w:color="A5A5A5"/>
      </w:tblBorders>
    </w:tblPr>
    <w:tblStylePr w:type="fir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lastRow">
      <w:pPr>
        <w:spacing w:before="0" w:after="0" w:line="240" w:lineRule="auto"/>
      </w:pPr>
      <w:rPr>
        <w:b/>
        <w:bCs/>
      </w:rPr>
      <w:tblPr/>
      <w:tcPr>
        <w:tcBorders>
          <w:top w:val="single" w:sz="8" w:space="0" w:color="A5A5A5"/>
          <w:left w:val="nil"/>
          <w:bottom w:val="single" w:sz="8" w:space="0" w:color="A5A5A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cPr>
    </w:tblStylePr>
    <w:tblStylePr w:type="band1Horz">
      <w:tblPr/>
      <w:tcPr>
        <w:tcBorders>
          <w:left w:val="nil"/>
          <w:right w:val="nil"/>
          <w:insideH w:val="nil"/>
          <w:insideV w:val="nil"/>
        </w:tcBorders>
        <w:shd w:val="clear" w:color="auto" w:fill="E8E8E8"/>
      </w:tcPr>
    </w:tblStylePr>
  </w:style>
  <w:style w:type="paragraph" w:customStyle="1" w:styleId="titlearticle">
    <w:name w:val="title article"/>
    <w:qFormat/>
    <w:pPr>
      <w:keepNext/>
      <w:spacing w:after="160" w:line="312" w:lineRule="exact"/>
      <w:jc w:val="center"/>
    </w:pPr>
    <w:rPr>
      <w:rFonts w:ascii="Bookman" w:hAnsi="Bookman"/>
      <w:smallCaps/>
      <w:sz w:val="24"/>
      <w:lang w:eastAsia="en-US"/>
    </w:rPr>
  </w:style>
  <w:style w:type="paragraph" w:customStyle="1" w:styleId="1indent">
    <w:name w:val="1indent"/>
    <w:basedOn w:val="Normal"/>
    <w:qFormat/>
    <w:pPr>
      <w:widowControl/>
      <w:spacing w:after="160" w:line="259" w:lineRule="auto"/>
      <w:jc w:val="both"/>
    </w:pPr>
    <w:rPr>
      <w:rFonts w:eastAsia="Batang"/>
      <w:lang w:eastAsia="zh-CN"/>
    </w:rPr>
  </w:style>
  <w:style w:type="paragraph" w:customStyle="1" w:styleId="Normalpara">
    <w:name w:val="Normal para"/>
    <w:basedOn w:val="Normal"/>
    <w:qFormat/>
    <w:pPr>
      <w:widowControl/>
      <w:tabs>
        <w:tab w:val="left" w:pos="720"/>
      </w:tabs>
      <w:spacing w:after="160" w:line="259" w:lineRule="auto"/>
      <w:ind w:left="720" w:hanging="720"/>
    </w:pPr>
    <w:rPr>
      <w:rFonts w:eastAsia="Batang"/>
      <w:lang w:eastAsia="zh-CN"/>
    </w:rPr>
  </w:style>
  <w:style w:type="paragraph" w:customStyle="1" w:styleId="List1">
    <w:name w:val="List 1"/>
    <w:basedOn w:val="Normal"/>
    <w:link w:val="List1Char"/>
    <w:qFormat/>
    <w:pPr>
      <w:widowControl/>
      <w:spacing w:after="160" w:line="259" w:lineRule="auto"/>
      <w:ind w:left="720" w:hanging="720"/>
      <w:jc w:val="both"/>
    </w:pPr>
    <w:rPr>
      <w:rFonts w:ascii="Arial" w:eastAsia="SimSun" w:hAnsi="Arial" w:cs="Angsana New"/>
      <w:sz w:val="20"/>
      <w:szCs w:val="28"/>
      <w:lang w:eastAsia="zh-CN" w:bidi="th-TH"/>
    </w:rPr>
  </w:style>
  <w:style w:type="character" w:customStyle="1" w:styleId="List1Char">
    <w:name w:val="List 1 Char"/>
    <w:link w:val="List1"/>
    <w:qFormat/>
    <w:rPr>
      <w:rFonts w:ascii="Arial" w:eastAsia="SimSun" w:hAnsi="Arial" w:cs="Angsana New"/>
      <w:szCs w:val="28"/>
      <w:lang w:eastAsia="zh-CN" w:bidi="th-TH"/>
    </w:rPr>
  </w:style>
  <w:style w:type="character" w:customStyle="1" w:styleId="Term">
    <w:name w:val="Term"/>
    <w:qFormat/>
    <w:rPr>
      <w:b/>
    </w:rPr>
  </w:style>
  <w:style w:type="paragraph" w:customStyle="1" w:styleId="ListParagraph1">
    <w:name w:val="List Paragraph1"/>
    <w:basedOn w:val="Normal"/>
    <w:uiPriority w:val="34"/>
    <w:qFormat/>
    <w:pPr>
      <w:widowControl/>
      <w:spacing w:after="160" w:line="259" w:lineRule="auto"/>
      <w:ind w:left="720"/>
      <w:contextualSpacing/>
    </w:pPr>
    <w:rPr>
      <w:sz w:val="20"/>
      <w:lang w:eastAsia="en-US"/>
    </w:rPr>
  </w:style>
  <w:style w:type="paragraph" w:customStyle="1" w:styleId="Revision1">
    <w:name w:val="Revision1"/>
    <w:hidden/>
    <w:uiPriority w:val="99"/>
    <w:semiHidden/>
    <w:qFormat/>
    <w:pPr>
      <w:spacing w:after="160" w:line="259" w:lineRule="auto"/>
    </w:pPr>
    <w:rPr>
      <w:rFonts w:ascii="Arial" w:hAnsi="Arial"/>
      <w:sz w:val="22"/>
      <w:szCs w:val="24"/>
      <w:lang w:eastAsia="fr-FR"/>
    </w:rPr>
  </w:style>
  <w:style w:type="paragraph" w:customStyle="1" w:styleId="Bullet0">
    <w:name w:val="Bullet 0"/>
    <w:basedOn w:val="Normal"/>
    <w:qFormat/>
    <w:pPr>
      <w:widowControl/>
      <w:numPr>
        <w:numId w:val="31"/>
      </w:numPr>
      <w:spacing w:after="60" w:line="259" w:lineRule="auto"/>
    </w:pPr>
    <w:rPr>
      <w:rFonts w:ascii="Arial" w:eastAsia="SimSun" w:hAnsi="Arial"/>
      <w:bCs/>
      <w:sz w:val="20"/>
      <w:szCs w:val="24"/>
      <w:lang w:eastAsia="zh-CN"/>
    </w:rPr>
  </w:style>
  <w:style w:type="character" w:customStyle="1" w:styleId="fontstyle01">
    <w:name w:val="fontstyle01"/>
    <w:qFormat/>
    <w:rPr>
      <w:rFonts w:ascii="Arial-BoldMT" w:hAnsi="Arial-BoldMT" w:hint="default"/>
      <w:b/>
      <w:bCs/>
      <w:color w:val="000000"/>
      <w:sz w:val="20"/>
      <w:szCs w:val="20"/>
    </w:rPr>
  </w:style>
  <w:style w:type="character" w:customStyle="1" w:styleId="fontstyle21">
    <w:name w:val="fontstyle21"/>
    <w:qFormat/>
    <w:rPr>
      <w:rFonts w:ascii="ArialMT" w:hAnsi="ArialMT" w:cs="ArialMT" w:hint="default"/>
      <w:color w:val="000000"/>
      <w:sz w:val="20"/>
      <w:szCs w:val="20"/>
    </w:rPr>
  </w:style>
  <w:style w:type="paragraph" w:customStyle="1" w:styleId="ListParagraph11">
    <w:name w:val="List Paragraph11"/>
    <w:basedOn w:val="Normal"/>
    <w:uiPriority w:val="34"/>
    <w:qFormat/>
    <w:pPr>
      <w:widowControl/>
      <w:spacing w:after="160" w:line="259" w:lineRule="auto"/>
      <w:ind w:left="720"/>
      <w:contextualSpacing/>
    </w:pPr>
    <w:rPr>
      <w:sz w:val="20"/>
      <w:lang w:eastAsia="en-US"/>
    </w:rPr>
  </w:style>
  <w:style w:type="paragraph" w:styleId="NoSpacing">
    <w:name w:val="No Spacing"/>
    <w:link w:val="NoSpacingChar"/>
    <w:uiPriority w:val="1"/>
    <w:qFormat/>
    <w:rPr>
      <w:rFonts w:ascii="Calibri" w:hAnsi="Calibri"/>
      <w:sz w:val="22"/>
      <w:szCs w:val="22"/>
      <w:lang w:eastAsia="en-US"/>
    </w:rPr>
  </w:style>
  <w:style w:type="character" w:customStyle="1" w:styleId="NoSpacingChar">
    <w:name w:val="No Spacing Char"/>
    <w:link w:val="NoSpacing"/>
    <w:uiPriority w:val="1"/>
    <w:rPr>
      <w:rFonts w:ascii="Calibri" w:hAnsi="Calibri"/>
      <w:sz w:val="22"/>
      <w:szCs w:val="22"/>
      <w:lang w:val="ro-RO" w:eastAsia="en-US"/>
    </w:rPr>
  </w:style>
  <w:style w:type="character" w:customStyle="1" w:styleId="normaltextrun">
    <w:name w:val="normaltextrun"/>
    <w:basedOn w:val="DefaultParagraphFont"/>
  </w:style>
  <w:style w:type="paragraph" w:customStyle="1" w:styleId="DotDashColonSeries">
    <w:name w:val="Dot Dash Colon Series"/>
    <w:basedOn w:val="Normal"/>
    <w:qFormat/>
    <w:pPr>
      <w:tabs>
        <w:tab w:val="left" w:pos="565"/>
      </w:tabs>
      <w:autoSpaceDE w:val="0"/>
      <w:autoSpaceDN w:val="0"/>
      <w:adjustRightInd w:val="0"/>
      <w:spacing w:after="226" w:line="240" w:lineRule="auto"/>
      <w:ind w:left="565" w:hanging="565"/>
    </w:pPr>
    <w:rPr>
      <w:rFonts w:ascii="Times" w:eastAsia="SimSun" w:hAnsi="Times" w:cs="Times"/>
      <w:color w:val="000000"/>
      <w:szCs w:val="24"/>
      <w:lang w:eastAsia="zh-CN"/>
    </w:rPr>
  </w:style>
  <w:style w:type="character" w:styleId="FollowedHyperlink">
    <w:name w:val="FollowedHyperlink"/>
    <w:basedOn w:val="DefaultParagraphFont"/>
    <w:uiPriority w:val="99"/>
    <w:semiHidden/>
    <w:unhideWhenUsed/>
    <w:rPr>
      <w:color w:val="800080" w:themeColor="followedHyperlink"/>
      <w:u w:val="single"/>
    </w:rPr>
  </w:style>
  <w:style w:type="character" w:customStyle="1" w:styleId="Marker">
    <w:name w:val="Marker"/>
    <w:basedOn w:val="DefaultParagraphFont"/>
    <w:rPr>
      <w:color w:val="0000FF"/>
      <w:shd w:val="clear" w:color="auto" w:fill="auto"/>
    </w:rPr>
  </w:style>
  <w:style w:type="paragraph" w:customStyle="1" w:styleId="Pagedecouverture">
    <w:name w:val="Page de couverture"/>
    <w:basedOn w:val="Normal"/>
    <w:next w:val="Normal"/>
    <w:pPr>
      <w:widowControl/>
      <w:spacing w:line="240" w:lineRule="auto"/>
      <w:jc w:val="both"/>
    </w:pPr>
    <w:rPr>
      <w:rFonts w:eastAsiaTheme="minorHAnsi"/>
      <w:szCs w:val="22"/>
      <w:lang w:eastAsia="en-US"/>
    </w:rPr>
  </w:style>
  <w:style w:type="paragraph" w:customStyle="1" w:styleId="FooterCoverPage">
    <w:name w:val="Footer Cover Page"/>
    <w:basedOn w:val="Normal"/>
    <w:link w:val="FooterCoverPageChar"/>
    <w:pPr>
      <w:tabs>
        <w:tab w:val="center" w:pos="4535"/>
        <w:tab w:val="right" w:pos="9071"/>
        <w:tab w:val="right" w:pos="9921"/>
      </w:tabs>
      <w:spacing w:before="360" w:line="240" w:lineRule="auto"/>
      <w:ind w:left="-850" w:right="-850"/>
    </w:pPr>
  </w:style>
  <w:style w:type="character" w:customStyle="1" w:styleId="FooterCoverPageChar">
    <w:name w:val="Footer Cover Page Char"/>
    <w:basedOn w:val="DefaultParagraphFont"/>
    <w:link w:val="FooterCoverPage"/>
    <w:rPr>
      <w:sz w:val="24"/>
      <w:lang w:eastAsia="fr-BE"/>
    </w:rPr>
  </w:style>
  <w:style w:type="paragraph" w:customStyle="1" w:styleId="FooterSensitivity">
    <w:name w:val="Footer Sensitivity"/>
    <w:basedOn w:val="Normal"/>
    <w:link w:val="FooterSensitivityChar"/>
    <w:pPr>
      <w:pBdr>
        <w:top w:val="single" w:sz="4" w:space="1" w:color="auto"/>
        <w:left w:val="single" w:sz="4" w:space="4" w:color="auto"/>
        <w:bottom w:val="single" w:sz="4" w:space="1" w:color="auto"/>
        <w:right w:val="single" w:sz="4" w:space="4" w:color="auto"/>
      </w:pBdr>
      <w:spacing w:before="360" w:line="240" w:lineRule="auto"/>
      <w:ind w:left="113" w:right="113"/>
      <w:jc w:val="center"/>
    </w:pPr>
    <w:rPr>
      <w:b/>
      <w:sz w:val="32"/>
    </w:rPr>
  </w:style>
  <w:style w:type="character" w:customStyle="1" w:styleId="FooterSensitivityChar">
    <w:name w:val="Footer Sensitivity Char"/>
    <w:basedOn w:val="DefaultParagraphFont"/>
    <w:link w:val="FooterSensitivity"/>
    <w:rPr>
      <w:b/>
      <w:sz w:val="32"/>
      <w:lang w:eastAsia="fr-BE"/>
    </w:rPr>
  </w:style>
  <w:style w:type="paragraph" w:customStyle="1" w:styleId="HeaderCoverPage">
    <w:name w:val="Header Cover Page"/>
    <w:basedOn w:val="Normal"/>
    <w:link w:val="HeaderCoverPageChar"/>
    <w:pPr>
      <w:tabs>
        <w:tab w:val="center" w:pos="4535"/>
        <w:tab w:val="right" w:pos="9071"/>
      </w:tabs>
      <w:spacing w:after="120" w:line="240" w:lineRule="auto"/>
      <w:jc w:val="both"/>
    </w:pPr>
  </w:style>
  <w:style w:type="character" w:customStyle="1" w:styleId="HeaderCoverPageChar">
    <w:name w:val="Header Cover Page Char"/>
    <w:basedOn w:val="DefaultParagraphFont"/>
    <w:link w:val="HeaderCoverPage"/>
    <w:rPr>
      <w:sz w:val="24"/>
      <w:lang w:eastAsia="fr-BE"/>
    </w:rPr>
  </w:style>
  <w:style w:type="paragraph" w:customStyle="1" w:styleId="HeaderSensitivity">
    <w:name w:val="Header Sensitivity"/>
    <w:basedOn w:val="Normal"/>
    <w:link w:val="HeaderSensitivityChar"/>
    <w:pPr>
      <w:pBdr>
        <w:top w:val="single" w:sz="4" w:space="1" w:color="auto"/>
        <w:left w:val="single" w:sz="4" w:space="4" w:color="auto"/>
        <w:bottom w:val="single" w:sz="4" w:space="1" w:color="auto"/>
        <w:right w:val="single" w:sz="4" w:space="4" w:color="auto"/>
      </w:pBdr>
      <w:spacing w:after="120" w:line="240" w:lineRule="auto"/>
      <w:ind w:left="113" w:right="113"/>
      <w:jc w:val="center"/>
    </w:pPr>
    <w:rPr>
      <w:b/>
      <w:sz w:val="32"/>
    </w:rPr>
  </w:style>
  <w:style w:type="character" w:customStyle="1" w:styleId="HeaderSensitivityChar">
    <w:name w:val="Header Sensitivity Char"/>
    <w:basedOn w:val="DefaultParagraphFont"/>
    <w:link w:val="HeaderSensitivity"/>
    <w:rPr>
      <w:b/>
      <w:sz w:val="32"/>
      <w:lang w:eastAsia="fr-BE"/>
    </w:rPr>
  </w:style>
  <w:style w:type="paragraph" w:customStyle="1" w:styleId="HeaderSensitivityRight">
    <w:name w:val="Header Sensitivity Right"/>
    <w:basedOn w:val="Normal"/>
    <w:link w:val="HeaderSensitivityRightChar"/>
    <w:pPr>
      <w:spacing w:after="120" w:line="240" w:lineRule="auto"/>
      <w:jc w:val="right"/>
    </w:pPr>
    <w:rPr>
      <w:sz w:val="28"/>
    </w:rPr>
  </w:style>
  <w:style w:type="character" w:customStyle="1" w:styleId="HeaderSensitivityRightChar">
    <w:name w:val="Header Sensitivity Right Char"/>
    <w:basedOn w:val="DefaultParagraphFont"/>
    <w:link w:val="HeaderSensitivityRight"/>
    <w:rPr>
      <w:sz w:val="28"/>
      <w:lang w:eastAsia="fr-B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26" Type="http://schemas.openxmlformats.org/officeDocument/2006/relationships/header" Target="header7.xml"/><Relationship Id="rId21" Type="http://schemas.openxmlformats.org/officeDocument/2006/relationships/hyperlink" Target="http://unstats.un.org/unsd/cr/registry/regcs.asp?Cl=9&amp;Lg=1&amp;Co=96191" TargetMode="External"/><Relationship Id="rId42" Type="http://schemas.openxmlformats.org/officeDocument/2006/relationships/header" Target="header15.xml"/><Relationship Id="rId47" Type="http://schemas.openxmlformats.org/officeDocument/2006/relationships/footer" Target="footer17.xml"/><Relationship Id="rId63" Type="http://schemas.openxmlformats.org/officeDocument/2006/relationships/footer" Target="footer25.xml"/><Relationship Id="rId68" Type="http://schemas.openxmlformats.org/officeDocument/2006/relationships/header" Target="header28.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header" Target="header9.xml"/><Relationship Id="rId11" Type="http://schemas.openxmlformats.org/officeDocument/2006/relationships/footer" Target="footer1.xml"/><Relationship Id="rId24" Type="http://schemas.openxmlformats.org/officeDocument/2006/relationships/hyperlink" Target="http://unstats.un.org/unsd/cr/registry/regcs.asp?Cl=9&amp;Lg=1&amp;Co=96193" TargetMode="Externa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eader" Target="header14.xml"/><Relationship Id="rId45" Type="http://schemas.openxmlformats.org/officeDocument/2006/relationships/footer" Target="footer16.xml"/><Relationship Id="rId53" Type="http://schemas.openxmlformats.org/officeDocument/2006/relationships/footer" Target="footer20.xml"/><Relationship Id="rId58" Type="http://schemas.openxmlformats.org/officeDocument/2006/relationships/footer" Target="footer22.xml"/><Relationship Id="rId66" Type="http://schemas.openxmlformats.org/officeDocument/2006/relationships/footer" Target="footer26.xml"/><Relationship Id="rId74" Type="http://schemas.openxmlformats.org/officeDocument/2006/relationships/fontTable" Target="fontTable.xml"/><Relationship Id="rId5" Type="http://schemas.openxmlformats.org/officeDocument/2006/relationships/webSettings" Target="webSettings.xml"/><Relationship Id="rId61" Type="http://schemas.openxmlformats.org/officeDocument/2006/relationships/footer" Target="footer24.xml"/><Relationship Id="rId19" Type="http://schemas.openxmlformats.org/officeDocument/2006/relationships/header" Target="header6.xml"/><Relationship Id="rId14" Type="http://schemas.openxmlformats.org/officeDocument/2006/relationships/footer" Target="footer3.xml"/><Relationship Id="rId22" Type="http://schemas.openxmlformats.org/officeDocument/2006/relationships/hyperlink" Target="http://unstats.un.org/unsd/cr/registry/regcs.asp?Cl=9&amp;Lg=1&amp;Co=96192" TargetMode="External"/><Relationship Id="rId27" Type="http://schemas.openxmlformats.org/officeDocument/2006/relationships/footer" Target="footer7.xml"/><Relationship Id="rId30" Type="http://schemas.openxmlformats.org/officeDocument/2006/relationships/footer" Target="footer8.xml"/><Relationship Id="rId35" Type="http://schemas.openxmlformats.org/officeDocument/2006/relationships/footer" Target="footer11.xml"/><Relationship Id="rId43" Type="http://schemas.openxmlformats.org/officeDocument/2006/relationships/footer" Target="footer15.xml"/><Relationship Id="rId48" Type="http://schemas.openxmlformats.org/officeDocument/2006/relationships/header" Target="header18.xml"/><Relationship Id="rId56" Type="http://schemas.openxmlformats.org/officeDocument/2006/relationships/header" Target="header22.xml"/><Relationship Id="rId64" Type="http://schemas.openxmlformats.org/officeDocument/2006/relationships/header" Target="header26.xml"/><Relationship Id="rId69" Type="http://schemas.openxmlformats.org/officeDocument/2006/relationships/footer" Target="footer28.xml"/><Relationship Id="rId8" Type="http://schemas.openxmlformats.org/officeDocument/2006/relationships/image" Target="media/image1.emf"/><Relationship Id="rId51" Type="http://schemas.openxmlformats.org/officeDocument/2006/relationships/footer" Target="footer19.xml"/><Relationship Id="rId72" Type="http://schemas.openxmlformats.org/officeDocument/2006/relationships/header" Target="header30.xml"/><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yperlink" Target="http://unstats.un.org/unsd/cr/registry/regcs.asp?Cl=9&amp;Lg=1&amp;Co=96193" TargetMode="External"/><Relationship Id="rId33" Type="http://schemas.openxmlformats.org/officeDocument/2006/relationships/footer" Target="footer10.xml"/><Relationship Id="rId38" Type="http://schemas.openxmlformats.org/officeDocument/2006/relationships/footer" Target="footer12.xml"/><Relationship Id="rId46" Type="http://schemas.openxmlformats.org/officeDocument/2006/relationships/header" Target="header17.xml"/><Relationship Id="rId59" Type="http://schemas.openxmlformats.org/officeDocument/2006/relationships/footer" Target="footer23.xml"/><Relationship Id="rId67" Type="http://schemas.openxmlformats.org/officeDocument/2006/relationships/footer" Target="footer27.xml"/><Relationship Id="rId20" Type="http://schemas.openxmlformats.org/officeDocument/2006/relationships/footer" Target="footer6.xml"/><Relationship Id="rId41" Type="http://schemas.openxmlformats.org/officeDocument/2006/relationships/footer" Target="footer14.xml"/><Relationship Id="rId54" Type="http://schemas.openxmlformats.org/officeDocument/2006/relationships/header" Target="header21.xml"/><Relationship Id="rId62" Type="http://schemas.openxmlformats.org/officeDocument/2006/relationships/header" Target="header25.xml"/><Relationship Id="rId70" Type="http://schemas.openxmlformats.org/officeDocument/2006/relationships/header" Target="header29.xml"/><Relationship Id="rId75"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yperlink" Target="http://unstats.un.org/unsd/cr/registry/regcs.asp?Cl=9&amp;Lg=1&amp;Co=96193" TargetMode="External"/><Relationship Id="rId28" Type="http://schemas.openxmlformats.org/officeDocument/2006/relationships/header" Target="header8.xml"/><Relationship Id="rId36" Type="http://schemas.openxmlformats.org/officeDocument/2006/relationships/header" Target="header12.xml"/><Relationship Id="rId49" Type="http://schemas.openxmlformats.org/officeDocument/2006/relationships/header" Target="header19.xml"/><Relationship Id="rId57" Type="http://schemas.openxmlformats.org/officeDocument/2006/relationships/header" Target="header23.xml"/><Relationship Id="rId10" Type="http://schemas.openxmlformats.org/officeDocument/2006/relationships/header" Target="header2.xml"/><Relationship Id="rId31" Type="http://schemas.openxmlformats.org/officeDocument/2006/relationships/footer" Target="footer9.xml"/><Relationship Id="rId44" Type="http://schemas.openxmlformats.org/officeDocument/2006/relationships/header" Target="header16.xml"/><Relationship Id="rId52" Type="http://schemas.openxmlformats.org/officeDocument/2006/relationships/header" Target="header20.xml"/><Relationship Id="rId60" Type="http://schemas.openxmlformats.org/officeDocument/2006/relationships/header" Target="header24.xml"/><Relationship Id="rId65" Type="http://schemas.openxmlformats.org/officeDocument/2006/relationships/header" Target="header27.xml"/><Relationship Id="rId73" Type="http://schemas.openxmlformats.org/officeDocument/2006/relationships/footer" Target="footer30.xml"/><Relationship Id="rId4" Type="http://schemas.openxmlformats.org/officeDocument/2006/relationships/settings" Target="settings.xml"/><Relationship Id="rId9"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5.xml"/><Relationship Id="rId39" Type="http://schemas.openxmlformats.org/officeDocument/2006/relationships/footer" Target="footer13.xml"/><Relationship Id="rId34" Type="http://schemas.openxmlformats.org/officeDocument/2006/relationships/header" Target="header11.xml"/><Relationship Id="rId50" Type="http://schemas.openxmlformats.org/officeDocument/2006/relationships/footer" Target="footer18.xml"/><Relationship Id="rId55" Type="http://schemas.openxmlformats.org/officeDocument/2006/relationships/footer" Target="footer21.xml"/><Relationship Id="rId7" Type="http://schemas.openxmlformats.org/officeDocument/2006/relationships/endnotes" Target="endnotes.xml"/><Relationship Id="rId71" Type="http://schemas.openxmlformats.org/officeDocument/2006/relationships/footer" Target="footer29.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dir/2016/8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107</TotalTime>
  <Pages>6</Pages>
  <Words>71366</Words>
  <Characters>406791</Characters>
  <Application>Microsoft Office Word</Application>
  <DocSecurity>0</DocSecurity>
  <Lines>3389</Lines>
  <Paragraphs>954</Paragraphs>
  <ScaleCrop>false</ScaleCrop>
  <HeadingPairs>
    <vt:vector size="2" baseType="variant">
      <vt:variant>
        <vt:lpstr>Title</vt:lpstr>
      </vt:variant>
      <vt:variant>
        <vt:i4>1</vt:i4>
      </vt:variant>
    </vt:vector>
  </HeadingPairs>
  <TitlesOfParts>
    <vt:vector size="1" baseType="lpstr">
      <vt:lpstr>GEN</vt:lpstr>
    </vt:vector>
  </TitlesOfParts>
  <Manager/>
  <Company/>
  <LinksUpToDate>false</LinksUpToDate>
  <CharactersWithSpaces>477203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GEN</dc:title>
  <dc:creator/>
  <cp:lastModifiedBy>SVC-T1-CODE-PRD</cp:lastModifiedBy>
  <cp:revision>16</cp:revision>
  <cp:lastPrinted>2004-04-02T13:43:00Z</cp:lastPrinted>
  <dcterms:created xsi:type="dcterms:W3CDTF">2026-09-03T20:28:00Z</dcterms:created>
  <dcterms:modified xsi:type="dcterms:W3CDTF">2026-09-04T18:39:00Z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af60b174-6478-47f9-866e-33f097bb6603_Enabled">
    <vt:lpwstr>true</vt:lpwstr>
  </property>
  <property fmtid="{D5CDD505-2E9C-101B-9397-08002B2CF9AE}" pid="3" name="MSIP_Label_af60b174-6478-47f9-866e-33f097bb6603_SetDate">
    <vt:lpwstr>2023-01-10T15:44:46Z</vt:lpwstr>
  </property>
  <property fmtid="{D5CDD505-2E9C-101B-9397-08002B2CF9AE}" pid="4" name="MSIP_Label_af60b174-6478-47f9-866e-33f097bb6603_Method">
    <vt:lpwstr>Privileged</vt:lpwstr>
  </property>
  <property fmtid="{D5CDD505-2E9C-101B-9397-08002B2CF9AE}" pid="5" name="MSIP_Label_af60b174-6478-47f9-866e-33f097bb6603_Name">
    <vt:lpwstr>GSCEU - PUBLIC Label</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ActionId">
    <vt:lpwstr>40163f7f-db10-4b85-b254-9cc4e293b280</vt:lpwstr>
  </property>
  <property fmtid="{D5CDD505-2E9C-101B-9397-08002B2CF9AE}" pid="8" name="MSIP_Label_af60b174-6478-47f9-866e-33f097bb6603_ContentBits">
    <vt:lpwstr>0</vt:lpwstr>
  </property>
  <property fmtid="{D5CDD505-2E9C-101B-9397-08002B2CF9AE}" pid="9" name="MSIP_Label_6bd9ddd1-4d20-43f6-abfa-fc3c07406f94_Enabled">
    <vt:lpwstr>true</vt:lpwstr>
  </property>
  <property fmtid="{D5CDD505-2E9C-101B-9397-08002B2CF9AE}" pid="10" name="MSIP_Label_6bd9ddd1-4d20-43f6-abfa-fc3c07406f94_SetDate">
    <vt:lpwstr>2026-06-15T14:29:25Z</vt:lpwstr>
  </property>
  <property fmtid="{D5CDD505-2E9C-101B-9397-08002B2CF9AE}" pid="11" name="MSIP_Label_6bd9ddd1-4d20-43f6-abfa-fc3c07406f94_Method">
    <vt:lpwstr>Standard</vt:lpwstr>
  </property>
  <property fmtid="{D5CDD505-2E9C-101B-9397-08002B2CF9AE}" pid="12" name="MSIP_Label_6bd9ddd1-4d20-43f6-abfa-fc3c07406f94_Name">
    <vt:lpwstr>Commission Use</vt:lpwstr>
  </property>
  <property fmtid="{D5CDD505-2E9C-101B-9397-08002B2CF9AE}" pid="13" name="MSIP_Label_6bd9ddd1-4d20-43f6-abfa-fc3c07406f94_SiteId">
    <vt:lpwstr>b24c8b06-522c-46fe-9080-70926f8dddb1</vt:lpwstr>
  </property>
  <property fmtid="{D5CDD505-2E9C-101B-9397-08002B2CF9AE}" pid="14" name="MSIP_Label_6bd9ddd1-4d20-43f6-abfa-fc3c07406f94_ActionId">
    <vt:lpwstr>bdd99c3d-9d75-4c05-a2ff-40e2ef19cf43</vt:lpwstr>
  </property>
  <property fmtid="{D5CDD505-2E9C-101B-9397-08002B2CF9AE}" pid="15" name="MSIP_Label_6bd9ddd1-4d20-43f6-abfa-fc3c07406f94_ContentBits">
    <vt:lpwstr>0</vt:lpwstr>
  </property>
  <property fmtid="{D5CDD505-2E9C-101B-9397-08002B2CF9AE}" pid="16" name="MSIP_Label_6bd9ddd1-4d20-43f6-abfa-fc3c07406f94_Tag">
    <vt:lpwstr>10, 3, 0, 1</vt:lpwstr>
  </property>
  <property fmtid="{D5CDD505-2E9C-101B-9397-08002B2CF9AE}" pid="17" name="Level of sensitivity">
    <vt:lpwstr>Standard treatment</vt:lpwstr>
  </property>
  <property fmtid="{D5CDD505-2E9C-101B-9397-08002B2CF9AE}" pid="18" name="First annex">
    <vt:lpwstr>4</vt:lpwstr>
  </property>
  <property fmtid="{D5CDD505-2E9C-101B-9397-08002B2CF9AE}" pid="19" name="Last annex">
    <vt:lpwstr>4</vt:lpwstr>
  </property>
  <property fmtid="{D5CDD505-2E9C-101B-9397-08002B2CF9AE}" pid="20" name="Unique annex">
    <vt:lpwstr>0</vt:lpwstr>
  </property>
  <property fmtid="{D5CDD505-2E9C-101B-9397-08002B2CF9AE}" pid="21" name="Part">
    <vt:lpwstr>1</vt:lpwstr>
  </property>
  <property fmtid="{D5CDD505-2E9C-101B-9397-08002B2CF9AE}" pid="22" name="Total parts">
    <vt:lpwstr>1</vt:lpwstr>
  </property>
  <property fmtid="{D5CDD505-2E9C-101B-9397-08002B2CF9AE}" pid="23" name="DocStatus">
    <vt:lpwstr>Green</vt:lpwstr>
  </property>
  <property fmtid="{D5CDD505-2E9C-101B-9397-08002B2CF9AE}" pid="24" name="CPTemplateID">
    <vt:lpwstr>CP-036</vt:lpwstr>
  </property>
  <property fmtid="{D5CDD505-2E9C-101B-9397-08002B2CF9AE}" pid="25" name="Last edited using">
    <vt:lpwstr>LW 9.2, Build 20250828</vt:lpwstr>
  </property>
  <property fmtid="{D5CDD505-2E9C-101B-9397-08002B2CF9AE}" pid="26" name="Created using">
    <vt:lpwstr>LW 9.2, Build 20250828</vt:lpwstr>
  </property>
</Properties>
</file>