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80E7B5-75AE-4FE2-ABD2-E5F39C3CECB6"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u w:val="single"/>
        </w:rPr>
      </w:pPr>
      <w:r>
        <w:rPr>
          <w:b/>
          <w:noProof/>
          <w:u w:val="single"/>
        </w:rPr>
        <w:lastRenderedPageBreak/>
        <w:t>ANEXA 11-A</w:t>
      </w:r>
    </w:p>
    <w:p>
      <w:pPr>
        <w:rPr>
          <w:noProof/>
        </w:rPr>
      </w:pPr>
    </w:p>
    <w:p>
      <w:pPr>
        <w:rPr>
          <w:noProof/>
        </w:rPr>
      </w:pPr>
    </w:p>
    <w:p>
      <w:pPr>
        <w:jc w:val="center"/>
        <w:rPr>
          <w:noProof/>
        </w:rPr>
      </w:pPr>
      <w:r>
        <w:rPr>
          <w:noProof/>
        </w:rPr>
        <w:t>LISTA UNIUNII PRIVIND ACCESUL PE PIAȚA ACHIZIȚIILOR PUBLICE</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ENTITĂȚI GUVERNAMENTALE CENTRALE</w:t>
      </w:r>
    </w:p>
    <w:p>
      <w:pPr>
        <w:jc w:val="center"/>
        <w:rPr>
          <w:noProof/>
        </w:rPr>
      </w:pPr>
    </w:p>
    <w:p>
      <w:pPr>
        <w:jc w:val="center"/>
        <w:rPr>
          <w:noProof/>
        </w:rPr>
      </w:pPr>
    </w:p>
    <w:p>
      <w:pPr>
        <w:jc w:val="center"/>
        <w:rPr>
          <w:noProof/>
        </w:rPr>
      </w:pPr>
      <w:r>
        <w:rPr>
          <w:noProof/>
        </w:rPr>
        <w:t>SECȚIUNEA B</w:t>
      </w:r>
    </w:p>
    <w:p>
      <w:pPr>
        <w:jc w:val="center"/>
        <w:rPr>
          <w:noProof/>
        </w:rPr>
      </w:pPr>
    </w:p>
    <w:p>
      <w:pPr>
        <w:jc w:val="center"/>
        <w:rPr>
          <w:noProof/>
        </w:rPr>
      </w:pPr>
      <w:r>
        <w:rPr>
          <w:noProof/>
        </w:rPr>
        <w:t>ENTITĂȚI GUVERNAMENTALE SUBCENTRALE</w:t>
      </w:r>
    </w:p>
    <w:p>
      <w:pPr>
        <w:jc w:val="center"/>
        <w:rPr>
          <w:noProof/>
        </w:rPr>
      </w:pPr>
    </w:p>
    <w:p>
      <w:pPr>
        <w:jc w:val="center"/>
        <w:rPr>
          <w:noProof/>
        </w:rPr>
      </w:pPr>
    </w:p>
    <w:p>
      <w:pPr>
        <w:jc w:val="center"/>
        <w:rPr>
          <w:noProof/>
        </w:rPr>
      </w:pPr>
      <w:r>
        <w:rPr>
          <w:noProof/>
        </w:rPr>
        <w:t>SECȚIUNEA C</w:t>
      </w:r>
    </w:p>
    <w:p>
      <w:pPr>
        <w:jc w:val="center"/>
        <w:rPr>
          <w:noProof/>
        </w:rPr>
      </w:pPr>
    </w:p>
    <w:p>
      <w:pPr>
        <w:jc w:val="center"/>
        <w:rPr>
          <w:noProof/>
        </w:rPr>
      </w:pPr>
      <w:r>
        <w:rPr>
          <w:noProof/>
        </w:rPr>
        <w:t>ALTE ENTITĂȚI</w:t>
      </w:r>
    </w:p>
    <w:p>
      <w:pPr>
        <w:jc w:val="center"/>
        <w:rPr>
          <w:noProof/>
        </w:rPr>
      </w:pPr>
    </w:p>
    <w:p>
      <w:pPr>
        <w:jc w:val="center"/>
        <w:rPr>
          <w:noProof/>
        </w:rPr>
      </w:pPr>
    </w:p>
    <w:p>
      <w:pPr>
        <w:jc w:val="center"/>
        <w:rPr>
          <w:noProof/>
        </w:rPr>
      </w:pPr>
      <w:r>
        <w:rPr>
          <w:noProof/>
        </w:rPr>
        <w:t>SECȚIUNEA D</w:t>
      </w:r>
    </w:p>
    <w:p>
      <w:pPr>
        <w:jc w:val="center"/>
        <w:rPr>
          <w:noProof/>
        </w:rPr>
      </w:pPr>
    </w:p>
    <w:p>
      <w:pPr>
        <w:jc w:val="center"/>
        <w:rPr>
          <w:noProof/>
        </w:rPr>
      </w:pPr>
      <w:r>
        <w:rPr>
          <w:noProof/>
        </w:rPr>
        <w:t>BUNURI</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SERVICII</w:t>
      </w:r>
    </w:p>
    <w:p>
      <w:pPr>
        <w:jc w:val="center"/>
        <w:rPr>
          <w:noProof/>
        </w:rPr>
      </w:pPr>
    </w:p>
    <w:p>
      <w:pPr>
        <w:jc w:val="center"/>
        <w:rPr>
          <w:noProof/>
        </w:rPr>
      </w:pPr>
    </w:p>
    <w:p>
      <w:pPr>
        <w:jc w:val="center"/>
        <w:rPr>
          <w:noProof/>
        </w:rPr>
      </w:pPr>
      <w:r>
        <w:rPr>
          <w:noProof/>
        </w:rPr>
        <w:t>SECȚIUNEA F</w:t>
      </w:r>
    </w:p>
    <w:p>
      <w:pPr>
        <w:jc w:val="center"/>
        <w:rPr>
          <w:noProof/>
        </w:rPr>
      </w:pPr>
    </w:p>
    <w:p>
      <w:pPr>
        <w:jc w:val="center"/>
        <w:rPr>
          <w:noProof/>
        </w:rPr>
      </w:pPr>
      <w:r>
        <w:rPr>
          <w:noProof/>
        </w:rPr>
        <w:t>SERVICII DE CONSTRUCȚII</w:t>
      </w:r>
    </w:p>
    <w:p>
      <w:pPr>
        <w:jc w:val="center"/>
        <w:rPr>
          <w:noProof/>
        </w:rPr>
      </w:pPr>
    </w:p>
    <w:p>
      <w:pPr>
        <w:jc w:val="center"/>
        <w:rPr>
          <w:noProof/>
        </w:rPr>
      </w:pPr>
    </w:p>
    <w:p>
      <w:pPr>
        <w:jc w:val="center"/>
        <w:rPr>
          <w:noProof/>
        </w:rPr>
      </w:pPr>
      <w:r>
        <w:rPr>
          <w:noProof/>
        </w:rPr>
        <w:t>SECȚIUNEA G</w:t>
      </w:r>
    </w:p>
    <w:p>
      <w:pPr>
        <w:jc w:val="center"/>
        <w:rPr>
          <w:noProof/>
        </w:rPr>
      </w:pPr>
    </w:p>
    <w:p>
      <w:pPr>
        <w:jc w:val="center"/>
        <w:rPr>
          <w:noProof/>
        </w:rPr>
      </w:pPr>
      <w:r>
        <w:rPr>
          <w:noProof/>
        </w:rPr>
        <w:t>NOTE GENERALE</w:t>
      </w:r>
    </w:p>
    <w:p>
      <w:pPr>
        <w:jc w:val="center"/>
        <w:rPr>
          <w:noProof/>
        </w:rPr>
      </w:pPr>
    </w:p>
    <w:p>
      <w:pPr>
        <w:jc w:val="center"/>
        <w:rPr>
          <w:noProof/>
        </w:rPr>
      </w:pPr>
    </w:p>
    <w:p>
      <w:pPr>
        <w:jc w:val="center"/>
        <w:rPr>
          <w:noProof/>
        </w:rPr>
      </w:pPr>
      <w:r>
        <w:rPr>
          <w:noProof/>
        </w:rPr>
        <w:t>SECȚIUNEA H</w:t>
      </w:r>
    </w:p>
    <w:p>
      <w:pPr>
        <w:jc w:val="center"/>
        <w:rPr>
          <w:noProof/>
        </w:rPr>
      </w:pPr>
    </w:p>
    <w:p>
      <w:pPr>
        <w:jc w:val="center"/>
        <w:rPr>
          <w:noProof/>
        </w:rPr>
      </w:pPr>
      <w:r>
        <w:rPr>
          <w:noProof/>
        </w:rPr>
        <w:t>SUPORTURI DE PUBLICARE</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11-B</w:t>
      </w:r>
    </w:p>
    <w:p>
      <w:pPr>
        <w:rPr>
          <w:noProof/>
        </w:rPr>
      </w:pPr>
    </w:p>
    <w:p>
      <w:pPr>
        <w:rPr>
          <w:noProof/>
        </w:rPr>
      </w:pPr>
    </w:p>
    <w:p>
      <w:pPr>
        <w:jc w:val="center"/>
        <w:rPr>
          <w:noProof/>
        </w:rPr>
      </w:pPr>
      <w:r>
        <w:rPr>
          <w:noProof/>
        </w:rPr>
        <w:t>LISTA INDONEZIEI PRIVIND ACCESUL PE PIAȚA ACHIZIȚIILOR PUBLICE</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ENTITĂȚI GUVERNAMENTALE CENTRALE</w:t>
      </w:r>
    </w:p>
    <w:p>
      <w:pPr>
        <w:jc w:val="center"/>
        <w:rPr>
          <w:noProof/>
        </w:rPr>
      </w:pPr>
    </w:p>
    <w:p>
      <w:pPr>
        <w:jc w:val="center"/>
        <w:rPr>
          <w:noProof/>
        </w:rPr>
      </w:pPr>
    </w:p>
    <w:p>
      <w:pPr>
        <w:jc w:val="center"/>
        <w:rPr>
          <w:noProof/>
        </w:rPr>
      </w:pPr>
      <w:r>
        <w:rPr>
          <w:noProof/>
        </w:rPr>
        <w:t>SECȚIUNEA B</w:t>
      </w:r>
    </w:p>
    <w:p>
      <w:pPr>
        <w:jc w:val="center"/>
        <w:rPr>
          <w:noProof/>
        </w:rPr>
      </w:pPr>
    </w:p>
    <w:p>
      <w:pPr>
        <w:jc w:val="center"/>
        <w:rPr>
          <w:noProof/>
        </w:rPr>
      </w:pPr>
      <w:r>
        <w:rPr>
          <w:noProof/>
        </w:rPr>
        <w:t>ENTITĂȚI GUVERNAMENTALE SUBCENTRALE</w:t>
      </w:r>
    </w:p>
    <w:p>
      <w:pPr>
        <w:jc w:val="center"/>
        <w:rPr>
          <w:noProof/>
        </w:rPr>
      </w:pPr>
    </w:p>
    <w:p>
      <w:pPr>
        <w:jc w:val="center"/>
        <w:rPr>
          <w:noProof/>
        </w:rPr>
      </w:pPr>
    </w:p>
    <w:p>
      <w:pPr>
        <w:jc w:val="center"/>
        <w:rPr>
          <w:noProof/>
        </w:rPr>
      </w:pPr>
      <w:r>
        <w:rPr>
          <w:noProof/>
        </w:rPr>
        <w:t>SECȚIUNEA C</w:t>
      </w:r>
    </w:p>
    <w:p>
      <w:pPr>
        <w:jc w:val="center"/>
        <w:rPr>
          <w:noProof/>
        </w:rPr>
      </w:pPr>
    </w:p>
    <w:p>
      <w:pPr>
        <w:jc w:val="center"/>
        <w:rPr>
          <w:noProof/>
        </w:rPr>
      </w:pPr>
      <w:r>
        <w:rPr>
          <w:noProof/>
        </w:rPr>
        <w:t>ALTE ENTITĂȚI</w:t>
      </w:r>
    </w:p>
    <w:p>
      <w:pPr>
        <w:jc w:val="center"/>
        <w:rPr>
          <w:noProof/>
        </w:rPr>
      </w:pPr>
    </w:p>
    <w:p>
      <w:pPr>
        <w:jc w:val="center"/>
        <w:rPr>
          <w:noProof/>
        </w:rPr>
      </w:pPr>
    </w:p>
    <w:p>
      <w:pPr>
        <w:jc w:val="center"/>
        <w:rPr>
          <w:noProof/>
        </w:rPr>
      </w:pPr>
      <w:r>
        <w:rPr>
          <w:noProof/>
        </w:rPr>
        <w:t>SECȚIUNEA D</w:t>
      </w:r>
    </w:p>
    <w:p>
      <w:pPr>
        <w:jc w:val="center"/>
        <w:rPr>
          <w:noProof/>
        </w:rPr>
      </w:pPr>
    </w:p>
    <w:p>
      <w:pPr>
        <w:jc w:val="center"/>
        <w:rPr>
          <w:noProof/>
        </w:rPr>
      </w:pPr>
      <w:r>
        <w:rPr>
          <w:noProof/>
        </w:rPr>
        <w:t>BUNURI</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SERVICII</w:t>
      </w:r>
    </w:p>
    <w:p>
      <w:pPr>
        <w:jc w:val="center"/>
        <w:rPr>
          <w:noProof/>
        </w:rPr>
      </w:pPr>
    </w:p>
    <w:p>
      <w:pPr>
        <w:jc w:val="center"/>
        <w:rPr>
          <w:noProof/>
        </w:rPr>
      </w:pPr>
    </w:p>
    <w:p>
      <w:pPr>
        <w:jc w:val="center"/>
        <w:rPr>
          <w:noProof/>
        </w:rPr>
      </w:pPr>
      <w:r>
        <w:rPr>
          <w:noProof/>
        </w:rPr>
        <w:t>SECȚIUNEA F</w:t>
      </w:r>
    </w:p>
    <w:p>
      <w:pPr>
        <w:jc w:val="center"/>
        <w:rPr>
          <w:noProof/>
        </w:rPr>
      </w:pPr>
    </w:p>
    <w:p>
      <w:pPr>
        <w:jc w:val="center"/>
        <w:rPr>
          <w:noProof/>
        </w:rPr>
      </w:pPr>
      <w:r>
        <w:rPr>
          <w:noProof/>
        </w:rPr>
        <w:t>SERVICII DE CONSTRUCȚII</w:t>
      </w:r>
    </w:p>
    <w:p>
      <w:pPr>
        <w:jc w:val="center"/>
        <w:rPr>
          <w:noProof/>
        </w:rPr>
      </w:pPr>
    </w:p>
    <w:p>
      <w:pPr>
        <w:jc w:val="center"/>
        <w:rPr>
          <w:noProof/>
        </w:rPr>
      </w:pPr>
    </w:p>
    <w:p>
      <w:pPr>
        <w:jc w:val="center"/>
        <w:rPr>
          <w:noProof/>
        </w:rPr>
      </w:pPr>
      <w:r>
        <w:rPr>
          <w:noProof/>
        </w:rPr>
        <w:t>SECȚIUNEA G</w:t>
      </w:r>
    </w:p>
    <w:p>
      <w:pPr>
        <w:jc w:val="center"/>
        <w:rPr>
          <w:noProof/>
        </w:rPr>
      </w:pPr>
    </w:p>
    <w:p>
      <w:pPr>
        <w:jc w:val="center"/>
        <w:rPr>
          <w:noProof/>
        </w:rPr>
      </w:pPr>
      <w:r>
        <w:rPr>
          <w:noProof/>
        </w:rPr>
        <w:t>NOTE GENERALE</w:t>
      </w:r>
    </w:p>
    <w:p>
      <w:pPr>
        <w:jc w:val="center"/>
        <w:rPr>
          <w:noProof/>
        </w:rPr>
      </w:pPr>
    </w:p>
    <w:p>
      <w:pPr>
        <w:jc w:val="center"/>
        <w:rPr>
          <w:noProof/>
        </w:rPr>
      </w:pPr>
    </w:p>
    <w:p>
      <w:pPr>
        <w:jc w:val="center"/>
        <w:rPr>
          <w:noProof/>
        </w:rPr>
      </w:pPr>
      <w:r>
        <w:rPr>
          <w:noProof/>
        </w:rPr>
        <w:t>SECȚIUNEA H</w:t>
      </w:r>
    </w:p>
    <w:p>
      <w:pPr>
        <w:jc w:val="center"/>
        <w:rPr>
          <w:noProof/>
        </w:rPr>
      </w:pPr>
    </w:p>
    <w:p>
      <w:pPr>
        <w:jc w:val="center"/>
        <w:rPr>
          <w:noProof/>
        </w:rPr>
      </w:pPr>
      <w:r>
        <w:rPr>
          <w:noProof/>
        </w:rPr>
        <w:t>SUPORTURI DE PUBLICARE</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szCs w:val="24"/>
        </w:rPr>
      </w:pPr>
      <w:r>
        <w:rPr>
          <w:b/>
          <w:noProof/>
          <w:u w:val="single"/>
        </w:rPr>
        <w:lastRenderedPageBreak/>
        <w:t>ANEXA 12-A</w:t>
      </w:r>
    </w:p>
    <w:p>
      <w:pPr>
        <w:rPr>
          <w:bCs/>
          <w:iCs/>
          <w:noProof/>
          <w:szCs w:val="24"/>
        </w:rPr>
      </w:pPr>
    </w:p>
    <w:p>
      <w:pPr>
        <w:rPr>
          <w:bCs/>
          <w:iCs/>
          <w:noProof/>
          <w:szCs w:val="24"/>
        </w:rPr>
      </w:pPr>
    </w:p>
    <w:p>
      <w:pPr>
        <w:jc w:val="center"/>
        <w:rPr>
          <w:bCs/>
          <w:iCs/>
          <w:noProof/>
        </w:rPr>
      </w:pPr>
      <w:r>
        <w:rPr>
          <w:noProof/>
        </w:rPr>
        <w:t xml:space="preserve">CERINȚE PENTRU ACTELE CU PUTERE DE LEGE ȘI NORMELE ADMINISTRATIVE </w:t>
      </w:r>
      <w:r>
        <w:rPr>
          <w:noProof/>
        </w:rPr>
        <w:br/>
        <w:t>PRIVIND INDICAȚIILE GEOGRAFICE</w:t>
      </w:r>
    </w:p>
    <w:p>
      <w:pPr>
        <w:jc w:val="center"/>
        <w:rPr>
          <w:bCs/>
          <w:iCs/>
          <w:noProof/>
          <w:szCs w:val="24"/>
        </w:rPr>
      </w:pPr>
    </w:p>
    <w:p>
      <w:pPr>
        <w:jc w:val="center"/>
        <w:rPr>
          <w:bCs/>
          <w:iCs/>
          <w:noProof/>
          <w:szCs w:val="24"/>
        </w:rPr>
      </w:pPr>
    </w:p>
    <w:p>
      <w:pPr>
        <w:jc w:val="center"/>
        <w:rPr>
          <w:bCs/>
          <w:iCs/>
          <w:noProof/>
          <w:szCs w:val="24"/>
        </w:rPr>
      </w:pPr>
      <w:r>
        <w:rPr>
          <w:noProof/>
        </w:rPr>
        <w:t>SECȚIUNEA A</w:t>
      </w:r>
    </w:p>
    <w:p>
      <w:pPr>
        <w:jc w:val="center"/>
        <w:rPr>
          <w:bCs/>
          <w:iCs/>
          <w:noProof/>
          <w:szCs w:val="24"/>
        </w:rPr>
      </w:pPr>
    </w:p>
    <w:p>
      <w:pPr>
        <w:jc w:val="center"/>
        <w:rPr>
          <w:bCs/>
          <w:iCs/>
          <w:noProof/>
          <w:szCs w:val="24"/>
        </w:rPr>
      </w:pPr>
      <w:r>
        <w:rPr>
          <w:noProof/>
        </w:rPr>
        <w:t>Legislația părților</w:t>
      </w:r>
    </w:p>
    <w:p>
      <w:pPr>
        <w:jc w:val="center"/>
        <w:rPr>
          <w:bCs/>
          <w:iCs/>
          <w:noProof/>
          <w:szCs w:val="24"/>
        </w:rPr>
      </w:pPr>
    </w:p>
    <w:p>
      <w:pPr>
        <w:jc w:val="center"/>
        <w:rPr>
          <w:bCs/>
          <w:iCs/>
          <w:noProof/>
          <w:szCs w:val="24"/>
        </w:rPr>
      </w:pPr>
    </w:p>
    <w:p>
      <w:pPr>
        <w:jc w:val="center"/>
        <w:rPr>
          <w:bCs/>
          <w:iCs/>
          <w:noProof/>
          <w:szCs w:val="24"/>
        </w:rPr>
      </w:pPr>
      <w:r>
        <w:rPr>
          <w:noProof/>
        </w:rPr>
        <w:t>Legislația Indoneziei</w:t>
      </w:r>
    </w:p>
    <w:p>
      <w:pPr>
        <w:rPr>
          <w:bCs/>
          <w:iCs/>
          <w:noProof/>
          <w:szCs w:val="24"/>
        </w:rPr>
      </w:pPr>
    </w:p>
    <w:p>
      <w:pPr>
        <w:rPr>
          <w:bCs/>
          <w:iCs/>
          <w:noProof/>
          <w:szCs w:val="24"/>
        </w:rPr>
      </w:pPr>
      <w:r>
        <w:rPr>
          <w:noProof/>
        </w:rPr>
        <w:t>1.</w:t>
      </w:r>
      <w:bookmarkStart w:id="1" w:name="_Hlk213086160"/>
      <w:r>
        <w:rPr>
          <w:noProof/>
        </w:rPr>
        <w:tab/>
      </w:r>
      <w:bookmarkEnd w:id="1"/>
      <w:r>
        <w:rPr>
          <w:noProof/>
        </w:rPr>
        <w:t>Legea nr. 20/2016 privind mărcile și indicațiile geografice și</w:t>
      </w:r>
    </w:p>
    <w:p>
      <w:pPr>
        <w:rPr>
          <w:bCs/>
          <w:iCs/>
          <w:noProof/>
          <w:szCs w:val="24"/>
        </w:rPr>
      </w:pPr>
    </w:p>
    <w:p>
      <w:pPr>
        <w:rPr>
          <w:bCs/>
          <w:iCs/>
          <w:noProof/>
          <w:szCs w:val="24"/>
        </w:rPr>
      </w:pPr>
      <w:r>
        <w:rPr>
          <w:noProof/>
        </w:rPr>
        <w:t>2.</w:t>
      </w:r>
      <w:r>
        <w:rPr>
          <w:noProof/>
        </w:rPr>
        <w:tab/>
        <w:t>Regulamentul nr. 12/2019 al ministrului justiției și drepturilor omului privind indicațiile geografice, astfel cum a fost modificat prin Regulamentul nr. 10/2022 al ministrului justiției și drepturilor omului privind modificările aduse Regulamentului nr. 12/2019 al ministrului justiției și drepturilor omului privind indicațiile geografice.</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Legislația Uniunii</w:t>
      </w:r>
    </w:p>
    <w:p>
      <w:pPr>
        <w:rPr>
          <w:bCs/>
          <w:iCs/>
          <w:noProof/>
          <w:szCs w:val="24"/>
        </w:rPr>
      </w:pPr>
    </w:p>
    <w:p>
      <w:pPr>
        <w:rPr>
          <w:noProof/>
        </w:rPr>
      </w:pPr>
      <w:r>
        <w:rPr>
          <w:noProof/>
        </w:rPr>
        <w:t>1.</w:t>
      </w:r>
      <w:r>
        <w:rPr>
          <w:noProof/>
        </w:rPr>
        <w:tab/>
        <w:t>Regulamentul (UE) 2024/1143 al Parlamentului European și al Consiliului din 11 aprilie 2024 privind indicațiile geografice pentru vin, băuturi spirtoase și produse agricole, precum și privind specialitățile tradiționale garantate și mențiunile facultative de calitate pentru produsele agricole, de modificare a Regulamentelor (UE) nr. 1308/2013, (UE) 2019/787 și (UE) 2019/1753 și de abrogare a Regulamentului (UE) nr. 1151/2012</w:t>
      </w:r>
      <w:r>
        <w:rPr>
          <w:rStyle w:val="FootnoteReference"/>
          <w:noProof/>
        </w:rPr>
        <w:footnoteReference w:id="1"/>
      </w:r>
      <w:r>
        <w:rPr>
          <w:noProof/>
        </w:rPr>
        <w:t>;</w:t>
      </w:r>
    </w:p>
    <w:p>
      <w:pPr>
        <w:rPr>
          <w:bCs/>
          <w:iCs/>
          <w:noProof/>
          <w:szCs w:val="24"/>
        </w:rPr>
      </w:pPr>
    </w:p>
    <w:p>
      <w:pPr>
        <w:rPr>
          <w:bCs/>
          <w:iCs/>
          <w:noProof/>
          <w:szCs w:val="24"/>
        </w:rPr>
      </w:pPr>
      <w:r>
        <w:rPr>
          <w:noProof/>
        </w:rPr>
        <w:t>2.</w:t>
      </w:r>
      <w:r>
        <w:rPr>
          <w:noProof/>
        </w:rPr>
        <w:tab/>
        <w:t>Regulamentul (UE) nr. 1308/2013</w:t>
      </w:r>
      <w:r>
        <w:rPr>
          <w:rStyle w:val="FootnoteReference"/>
          <w:bCs/>
          <w:iCs/>
          <w:noProof/>
          <w:szCs w:val="24"/>
        </w:rPr>
        <w:footnoteReference w:id="2"/>
      </w:r>
      <w:r>
        <w:rPr>
          <w:noProof/>
        </w:rPr>
        <w:t xml:space="preserve"> al Parlamentului European și al Consiliului din 17 decembrie 2013 de instituire a unei organizări comune a piețelor agricole și privind dispoziții specifice referitoare la anumite produse agricole („Regulamentul privind OCP unică”), în special articolele 92-111 privind denumirile de origine și indicațiile geografice, precum și actele de punere în aplicare a acestuia;</w:t>
      </w:r>
    </w:p>
    <w:p>
      <w:pPr>
        <w:pBdr>
          <w:top w:val="nil"/>
          <w:left w:val="nil"/>
          <w:bottom w:val="nil"/>
          <w:right w:val="nil"/>
          <w:between w:val="nil"/>
        </w:pBdr>
        <w:ind w:left="567" w:hanging="567"/>
        <w:rPr>
          <w:bCs/>
          <w:iCs/>
          <w:noProof/>
          <w:color w:val="000000"/>
          <w:szCs w:val="24"/>
        </w:rPr>
      </w:pPr>
    </w:p>
    <w:p>
      <w:pPr>
        <w:rPr>
          <w:bCs/>
          <w:iCs/>
          <w:noProof/>
          <w:szCs w:val="24"/>
        </w:rPr>
      </w:pPr>
      <w:r>
        <w:rPr>
          <w:noProof/>
        </w:rPr>
        <w:t>3.</w:t>
      </w:r>
      <w:r>
        <w:rPr>
          <w:noProof/>
        </w:rPr>
        <w:tab/>
        <w:t>Regulamentul (UE) 2019/787</w:t>
      </w:r>
      <w:r>
        <w:rPr>
          <w:rStyle w:val="FootnoteReference"/>
          <w:bCs/>
          <w:iCs/>
          <w:noProof/>
          <w:szCs w:val="24"/>
        </w:rPr>
        <w:footnoteReference w:id="3"/>
      </w:r>
      <w:r>
        <w:rPr>
          <w:noProof/>
        </w:rPr>
        <w:t xml:space="preserve"> al Parlamentului European și al Consiliului din 17 aprilie 2019 privind definirea, descrierea, prezentarea și etichetarea băuturilor spirtoase, utilizarea denumirilor băuturilor spirtoase în prezentarea și etichetarea altor produse alimentare, protecția indicațiilor geografice ale băuturilor spirtoase, utilizarea alcoolului etilic și a distilatelor de origine agricolă în băuturile alcoolice, și de abrogare a Regulamentului (CE) nr. 110/2008 și</w:t>
      </w:r>
    </w:p>
    <w:p>
      <w:pPr>
        <w:pBdr>
          <w:top w:val="nil"/>
          <w:left w:val="nil"/>
          <w:bottom w:val="nil"/>
          <w:right w:val="nil"/>
          <w:between w:val="nil"/>
        </w:pBdr>
        <w:ind w:left="567" w:hanging="567"/>
        <w:rPr>
          <w:bCs/>
          <w:iCs/>
          <w:noProof/>
          <w:color w:val="000000"/>
          <w:szCs w:val="24"/>
        </w:rPr>
      </w:pPr>
    </w:p>
    <w:p>
      <w:pPr>
        <w:rPr>
          <w:bCs/>
          <w:iCs/>
          <w:noProof/>
          <w:szCs w:val="24"/>
        </w:rPr>
      </w:pPr>
      <w:r>
        <w:rPr>
          <w:noProof/>
        </w:rPr>
        <w:t>4.</w:t>
      </w:r>
      <w:r>
        <w:rPr>
          <w:noProof/>
        </w:rPr>
        <w:tab/>
        <w:t>Regulamentul (UE) 2023/2411</w:t>
      </w:r>
      <w:r>
        <w:rPr>
          <w:rStyle w:val="FootnoteReference"/>
          <w:bCs/>
          <w:iCs/>
          <w:noProof/>
          <w:szCs w:val="24"/>
        </w:rPr>
        <w:footnoteReference w:id="4"/>
      </w:r>
      <w:r>
        <w:rPr>
          <w:noProof/>
        </w:rPr>
        <w:t xml:space="preserve"> al Parlamentului European și al Consiliului din 18 octombrie 2023 privind protecția indicațiilor geografice pentru produsele artizanale și industriale și de modificare a Regulamentelor (UE) 2017/1001 și (UE) 2019/1753.</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SECȚIUNEA B</w:t>
      </w:r>
    </w:p>
    <w:p>
      <w:pPr>
        <w:jc w:val="center"/>
        <w:rPr>
          <w:bCs/>
          <w:iCs/>
          <w:noProof/>
          <w:szCs w:val="24"/>
        </w:rPr>
      </w:pPr>
    </w:p>
    <w:p>
      <w:pPr>
        <w:jc w:val="center"/>
        <w:rPr>
          <w:bCs/>
          <w:iCs/>
          <w:noProof/>
          <w:szCs w:val="24"/>
        </w:rPr>
      </w:pPr>
      <w:r>
        <w:rPr>
          <w:noProof/>
        </w:rPr>
        <w:t>Elemente pentru înregistrarea și controlul indicațiilor geografice</w:t>
      </w:r>
    </w:p>
    <w:p>
      <w:pPr>
        <w:rPr>
          <w:bCs/>
          <w:iCs/>
          <w:noProof/>
          <w:szCs w:val="24"/>
        </w:rPr>
      </w:pPr>
    </w:p>
    <w:p>
      <w:pPr>
        <w:rPr>
          <w:bCs/>
          <w:iCs/>
          <w:noProof/>
          <w:szCs w:val="24"/>
        </w:rPr>
      </w:pPr>
      <w:r>
        <w:rPr>
          <w:noProof/>
        </w:rPr>
        <w:t>Elementele luate în considerare în sensul articolului 12.31 alineatele (1) și (2) sunt următoarele:</w:t>
      </w:r>
    </w:p>
    <w:p>
      <w:pPr>
        <w:rPr>
          <w:bCs/>
          <w:iCs/>
          <w:noProof/>
          <w:szCs w:val="24"/>
        </w:rPr>
      </w:pPr>
    </w:p>
    <w:p>
      <w:pPr>
        <w:ind w:left="567" w:hanging="567"/>
        <w:rPr>
          <w:bCs/>
          <w:iCs/>
          <w:noProof/>
          <w:szCs w:val="24"/>
        </w:rPr>
      </w:pPr>
      <w:r>
        <w:rPr>
          <w:noProof/>
        </w:rPr>
        <w:t>(a)</w:t>
      </w:r>
      <w:r>
        <w:rPr>
          <w:noProof/>
        </w:rPr>
        <w:tab/>
        <w:t>un registru în care sunt enumerate indicațiile geografice protejate pe teritoriul respectiv;</w:t>
      </w:r>
    </w:p>
    <w:p>
      <w:pPr>
        <w:rPr>
          <w:bCs/>
          <w:iCs/>
          <w:noProof/>
          <w:szCs w:val="24"/>
        </w:rPr>
      </w:pPr>
    </w:p>
    <w:p>
      <w:pPr>
        <w:ind w:left="567" w:hanging="567"/>
        <w:rPr>
          <w:bCs/>
          <w:iCs/>
          <w:noProof/>
          <w:szCs w:val="24"/>
        </w:rPr>
      </w:pPr>
      <w:r>
        <w:rPr>
          <w:noProof/>
        </w:rPr>
        <w:t>(b)</w:t>
      </w:r>
      <w:r>
        <w:rPr>
          <w:noProof/>
        </w:rPr>
        <w:tab/>
        <w:t>o procedură administrativă prin care se verifică dacă indicațiile geografice identifică un produs ca fiind originar de pe un teritoriu, dintr-o regiune sau dintr-o localitate a uneia dintre părți, atunci când o anumită calitate, reputația sau o altă caracteristică a produsului poate fi atribuită în mod esențial originii geografice a acestuia;</w:t>
      </w:r>
    </w:p>
    <w:p>
      <w:pPr>
        <w:rPr>
          <w:bCs/>
          <w:iCs/>
          <w:noProof/>
          <w:szCs w:val="24"/>
        </w:rPr>
      </w:pPr>
    </w:p>
    <w:p>
      <w:pPr>
        <w:ind w:left="567" w:hanging="567"/>
        <w:rPr>
          <w:bCs/>
          <w:iCs/>
          <w:noProof/>
          <w:szCs w:val="24"/>
        </w:rPr>
      </w:pPr>
      <w:r>
        <w:rPr>
          <w:noProof/>
        </w:rPr>
        <w:t>(c)</w:t>
      </w:r>
      <w:r>
        <w:rPr>
          <w:noProof/>
        </w:rPr>
        <w:tab/>
        <w:t>cerința ca o denumire înregistrată să corespundă unui produs specific sau mai multor produse specifice pentru care s-a stabilit un caiet de sarcini, care poate fi modificat numai printr-o procedură administrativă adecvată;</w:t>
      </w:r>
    </w:p>
    <w:p>
      <w:pPr>
        <w:rPr>
          <w:bCs/>
          <w:iCs/>
          <w:noProof/>
          <w:szCs w:val="24"/>
        </w:rPr>
      </w:pPr>
    </w:p>
    <w:p>
      <w:pPr>
        <w:rPr>
          <w:bCs/>
          <w:iCs/>
          <w:noProof/>
          <w:szCs w:val="24"/>
        </w:rPr>
      </w:pPr>
      <w:r>
        <w:rPr>
          <w:noProof/>
        </w:rPr>
        <w:t>(d)</w:t>
      </w:r>
      <w:r>
        <w:rPr>
          <w:noProof/>
        </w:rPr>
        <w:tab/>
        <w:t>dispoziții de control care se aplică producției;</w:t>
      </w:r>
    </w:p>
    <w:p>
      <w:pPr>
        <w:rPr>
          <w:bCs/>
          <w:iCs/>
          <w:noProof/>
          <w:szCs w:val="24"/>
        </w:rPr>
      </w:pPr>
    </w:p>
    <w:p>
      <w:pPr>
        <w:ind w:left="567" w:hanging="567"/>
        <w:rPr>
          <w:bCs/>
          <w:iCs/>
          <w:noProof/>
          <w:szCs w:val="24"/>
        </w:rPr>
      </w:pPr>
      <w:r>
        <w:rPr>
          <w:noProof/>
        </w:rPr>
        <w:t>(e)</w:t>
      </w:r>
      <w:r>
        <w:rPr>
          <w:noProof/>
        </w:rPr>
        <w:tab/>
        <w:t>asigurarea respectării protecției denumirilor înregistrate, prin măsuri administrative adecvate luate de autoritățile publice;</w:t>
      </w:r>
    </w:p>
    <w:p>
      <w:pPr>
        <w:rPr>
          <w:bCs/>
          <w:iCs/>
          <w:noProof/>
          <w:szCs w:val="24"/>
        </w:rPr>
      </w:pPr>
    </w:p>
    <w:p>
      <w:pPr>
        <w:ind w:left="567" w:hanging="567"/>
        <w:rPr>
          <w:bCs/>
          <w:iCs/>
          <w:noProof/>
          <w:szCs w:val="24"/>
        </w:rPr>
      </w:pPr>
      <w:r>
        <w:rPr>
          <w:noProof/>
        </w:rPr>
        <w:t>(f)</w:t>
      </w:r>
      <w:r>
        <w:rPr>
          <w:noProof/>
        </w:rPr>
        <w:tab/>
        <w:t>dispoziții legale care permit ca o denumire înregistrată să fie utilizată de orice operator care comercializează produse conforme cu caietul de sarcini corespunzător;</w:t>
      </w:r>
    </w:p>
    <w:p>
      <w:pPr>
        <w:rPr>
          <w:bCs/>
          <w:iCs/>
          <w:noProof/>
          <w:szCs w:val="24"/>
        </w:rPr>
      </w:pPr>
    </w:p>
    <w:p>
      <w:pPr>
        <w:widowControl/>
        <w:spacing w:line="240" w:lineRule="auto"/>
        <w:rPr>
          <w:bCs/>
          <w:iCs/>
          <w:noProof/>
          <w:szCs w:val="24"/>
        </w:rPr>
      </w:pPr>
      <w:r>
        <w:rPr>
          <w:noProof/>
        </w:rPr>
        <w:br w:type="page"/>
      </w:r>
    </w:p>
    <w:p>
      <w:pPr>
        <w:ind w:left="567" w:hanging="567"/>
        <w:rPr>
          <w:bCs/>
          <w:iCs/>
          <w:noProof/>
          <w:szCs w:val="24"/>
        </w:rPr>
      </w:pPr>
      <w:r>
        <w:rPr>
          <w:noProof/>
        </w:rPr>
        <w:lastRenderedPageBreak/>
        <w:t>(g)</w:t>
      </w:r>
      <w:r>
        <w:rPr>
          <w:noProof/>
        </w:rPr>
        <w:tab/>
        <w:t>dispoziții privind înregistrarea, care pot include refuzul înregistrării termenilor omonimi sau parțial omonimi cu termeni înregistrați, a termenilor din limbajul cotidian utilizați ca denumiri comune pentru produse, precum și a termenilor care cuprind sau includ denumiri de soiuri de plante și de rase de animale; respectivele dispoziții trebuie să ia în considerare interesele legitime ale tuturor părților interesate;</w:t>
      </w:r>
    </w:p>
    <w:p>
      <w:pPr>
        <w:rPr>
          <w:bCs/>
          <w:iCs/>
          <w:noProof/>
          <w:szCs w:val="24"/>
        </w:rPr>
      </w:pPr>
    </w:p>
    <w:p>
      <w:pPr>
        <w:ind w:left="567" w:hanging="567"/>
        <w:rPr>
          <w:bCs/>
          <w:iCs/>
          <w:noProof/>
          <w:szCs w:val="24"/>
        </w:rPr>
      </w:pPr>
      <w:r>
        <w:rPr>
          <w:noProof/>
        </w:rPr>
        <w:t>(h)</w:t>
      </w:r>
      <w:r>
        <w:rPr>
          <w:noProof/>
        </w:rPr>
        <w:tab/>
        <w:t>norme privind relația dintre indicațiile geografice și mărci, care să prevadă o exceptare limitată de la drepturile conferite în temeiul dreptului mărcilor, în sensul că existența unei mărci anterioare nu este un motiv care să împiedice înregistrarea și utilizarea unei denumiri ca indicație geografică înregistrată;</w:t>
      </w:r>
    </w:p>
    <w:p>
      <w:pPr>
        <w:rPr>
          <w:bCs/>
          <w:iCs/>
          <w:noProof/>
          <w:szCs w:val="24"/>
        </w:rPr>
      </w:pPr>
    </w:p>
    <w:p>
      <w:pPr>
        <w:ind w:left="567" w:hanging="567"/>
        <w:rPr>
          <w:bCs/>
          <w:iCs/>
          <w:noProof/>
          <w:szCs w:val="24"/>
        </w:rPr>
      </w:pPr>
      <w:r>
        <w:rPr>
          <w:noProof/>
        </w:rPr>
        <w:t>(i)</w:t>
      </w:r>
      <w:r>
        <w:rPr>
          <w:noProof/>
        </w:rPr>
        <w:tab/>
        <w:t>dreptul oricărui producător stabilit în regiune care se supune sistemului de control de a produce produsul etichetat cu denumirea protejată, cu condiția ca producătorul să respecte caietul de sarcini al produsului și</w:t>
      </w:r>
    </w:p>
    <w:p>
      <w:pPr>
        <w:rPr>
          <w:bCs/>
          <w:iCs/>
          <w:noProof/>
          <w:szCs w:val="24"/>
        </w:rPr>
      </w:pPr>
    </w:p>
    <w:p>
      <w:pPr>
        <w:ind w:left="567" w:hanging="567"/>
        <w:rPr>
          <w:bCs/>
          <w:iCs/>
          <w:noProof/>
          <w:szCs w:val="24"/>
        </w:rPr>
      </w:pPr>
      <w:r>
        <w:rPr>
          <w:noProof/>
        </w:rPr>
        <w:t>(j)</w:t>
      </w:r>
      <w:r>
        <w:rPr>
          <w:noProof/>
        </w:rPr>
        <w:tab/>
        <w:t>o procedură de opoziție prin care se iau în considerare interesele legitime ale utilizatorilor anteriori ai denumirilor, indiferent dacă acestea sunt protejate sau nu sub formă de proprietate intelectuală.</w:t>
      </w:r>
    </w:p>
    <w:p>
      <w:pPr>
        <w:rPr>
          <w:bCs/>
          <w:iCs/>
          <w:noProof/>
        </w:rPr>
      </w:pPr>
    </w:p>
    <w:p>
      <w:pPr>
        <w:rPr>
          <w:bCs/>
          <w:iCs/>
          <w:noProof/>
        </w:rPr>
      </w:pPr>
    </w:p>
    <w:p>
      <w:pPr>
        <w:jc w:val="center"/>
        <w:rPr>
          <w:bCs/>
          <w:iCs/>
          <w:noProof/>
        </w:rPr>
      </w:pPr>
      <w:r>
        <w:rPr>
          <w:noProof/>
        </w:rPr>
        <w:t>________________</w:t>
      </w:r>
    </w:p>
    <w:p>
      <w:pPr>
        <w:jc w:val="right"/>
        <w:rPr>
          <w:b/>
          <w:iCs/>
          <w:noProof/>
          <w:szCs w:val="24"/>
          <w:u w:val="single"/>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iCs/>
          <w:noProof/>
          <w:szCs w:val="24"/>
          <w:u w:val="single"/>
        </w:rPr>
      </w:pPr>
      <w:r>
        <w:rPr>
          <w:b/>
          <w:noProof/>
          <w:u w:val="single"/>
        </w:rPr>
        <w:lastRenderedPageBreak/>
        <w:t>ANEXA 12-B</w:t>
      </w:r>
    </w:p>
    <w:p>
      <w:pPr>
        <w:rPr>
          <w:bCs/>
          <w:iCs/>
          <w:noProof/>
          <w:szCs w:val="24"/>
        </w:rPr>
      </w:pPr>
    </w:p>
    <w:p>
      <w:pPr>
        <w:rPr>
          <w:bCs/>
          <w:iCs/>
          <w:noProof/>
          <w:szCs w:val="24"/>
        </w:rPr>
      </w:pPr>
    </w:p>
    <w:p>
      <w:pPr>
        <w:jc w:val="center"/>
        <w:rPr>
          <w:bCs/>
          <w:iCs/>
          <w:noProof/>
          <w:szCs w:val="24"/>
        </w:rPr>
      </w:pPr>
      <w:r>
        <w:rPr>
          <w:noProof/>
        </w:rPr>
        <w:t>CRITERII CARE TREBUIE INCLUSE ÎN PROCEDURA DE OPOZIȚIE</w:t>
      </w:r>
    </w:p>
    <w:p>
      <w:pPr>
        <w:ind w:left="567" w:hanging="567"/>
        <w:jc w:val="both"/>
        <w:rPr>
          <w:bCs/>
          <w:iCs/>
          <w:noProof/>
          <w:szCs w:val="24"/>
        </w:rPr>
      </w:pPr>
    </w:p>
    <w:p>
      <w:pPr>
        <w:jc w:val="both"/>
        <w:rPr>
          <w:bCs/>
          <w:iCs/>
          <w:noProof/>
          <w:szCs w:val="24"/>
        </w:rPr>
      </w:pPr>
      <w:r>
        <w:rPr>
          <w:noProof/>
        </w:rPr>
        <w:t>1.</w:t>
      </w:r>
      <w:r>
        <w:rPr>
          <w:noProof/>
        </w:rPr>
        <w:tab/>
        <w:t>În scopul finalizării procedurii de opoziție menționate la articolul 12.31 alineatele (3) și (4), o parte ia în considerare numai următoarele informații, dacă această posibilitate este prevăzută în legislația sa:</w:t>
      </w:r>
    </w:p>
    <w:p>
      <w:pPr>
        <w:ind w:left="567" w:hanging="567"/>
        <w:jc w:val="both"/>
        <w:rPr>
          <w:bCs/>
          <w:iCs/>
          <w:noProof/>
          <w:szCs w:val="24"/>
        </w:rPr>
      </w:pPr>
    </w:p>
    <w:p>
      <w:pPr>
        <w:jc w:val="both"/>
        <w:rPr>
          <w:bCs/>
          <w:iCs/>
          <w:noProof/>
          <w:szCs w:val="24"/>
        </w:rPr>
      </w:pPr>
      <w:r>
        <w:rPr>
          <w:noProof/>
        </w:rPr>
        <w:t>(a)</w:t>
      </w:r>
      <w:r>
        <w:rPr>
          <w:noProof/>
        </w:rPr>
        <w:tab/>
        <w:t>o listă a denumirilor, cu transcrierea corespunzătoare în caractere latine;</w:t>
      </w:r>
    </w:p>
    <w:p>
      <w:pPr>
        <w:rPr>
          <w:bCs/>
          <w:iCs/>
          <w:noProof/>
          <w:szCs w:val="24"/>
        </w:rPr>
      </w:pPr>
    </w:p>
    <w:p>
      <w:pPr>
        <w:jc w:val="both"/>
        <w:rPr>
          <w:bCs/>
          <w:iCs/>
          <w:noProof/>
          <w:szCs w:val="24"/>
        </w:rPr>
      </w:pPr>
      <w:r>
        <w:rPr>
          <w:noProof/>
        </w:rPr>
        <w:t>(b)</w:t>
      </w:r>
      <w:r>
        <w:rPr>
          <w:noProof/>
        </w:rPr>
        <w:tab/>
        <w:t>tipul produsului;</w:t>
      </w:r>
    </w:p>
    <w:p>
      <w:pPr>
        <w:rPr>
          <w:bCs/>
          <w:iCs/>
          <w:noProof/>
          <w:szCs w:val="24"/>
        </w:rPr>
      </w:pPr>
    </w:p>
    <w:p>
      <w:pPr>
        <w:jc w:val="both"/>
        <w:rPr>
          <w:bCs/>
          <w:iCs/>
          <w:noProof/>
          <w:szCs w:val="24"/>
        </w:rPr>
      </w:pPr>
      <w:r>
        <w:rPr>
          <w:noProof/>
        </w:rPr>
        <w:t>(c)</w:t>
      </w:r>
      <w:r>
        <w:rPr>
          <w:noProof/>
        </w:rPr>
        <w:tab/>
        <w:t>o invitație:</w:t>
      </w:r>
    </w:p>
    <w:p>
      <w:pPr>
        <w:rPr>
          <w:bCs/>
          <w:iCs/>
          <w:noProof/>
          <w:szCs w:val="24"/>
        </w:rPr>
      </w:pPr>
    </w:p>
    <w:p>
      <w:pPr>
        <w:ind w:left="1134" w:hanging="567"/>
        <w:rPr>
          <w:bCs/>
          <w:iCs/>
          <w:noProof/>
          <w:szCs w:val="24"/>
        </w:rPr>
      </w:pPr>
      <w:r>
        <w:rPr>
          <w:noProof/>
        </w:rPr>
        <w:t>–</w:t>
      </w:r>
      <w:r>
        <w:rPr>
          <w:noProof/>
        </w:rPr>
        <w:tab/>
        <w:t>în cazul Uniunii, adresată oricărei persoane fizice sau juridice care are un interes legitim să prezinte obiecții cu privire la această protecție prin depunerea unei declarații bine motivate, cu excepția celor stabilite sau rezidente în Indonezia, și</w:t>
      </w:r>
    </w:p>
    <w:p>
      <w:pPr>
        <w:ind w:left="567"/>
        <w:rPr>
          <w:bCs/>
          <w:iCs/>
          <w:noProof/>
          <w:szCs w:val="24"/>
        </w:rPr>
      </w:pPr>
    </w:p>
    <w:p>
      <w:pPr>
        <w:ind w:left="1134" w:hanging="567"/>
        <w:rPr>
          <w:bCs/>
          <w:iCs/>
          <w:noProof/>
          <w:szCs w:val="24"/>
        </w:rPr>
      </w:pPr>
      <w:r>
        <w:rPr>
          <w:noProof/>
        </w:rPr>
        <w:t>–</w:t>
      </w:r>
      <w:r>
        <w:rPr>
          <w:noProof/>
        </w:rPr>
        <w:tab/>
        <w:t>în cazul Indoneziei, adresată oricărei persoane fizice sau juridice care are un interes legitim să prezinte obiecții cu privire la această protecție prin depunerea unei declarații bine motivate, cu excepția celor stabilite sau rezidente într-un stat membru al Uniunii.</w:t>
      </w:r>
    </w:p>
    <w:p>
      <w:pPr>
        <w:rPr>
          <w:bCs/>
          <w:iCs/>
          <w:noProof/>
          <w:szCs w:val="24"/>
        </w:rPr>
      </w:pPr>
    </w:p>
    <w:p>
      <w:pPr>
        <w:widowControl/>
        <w:spacing w:line="240" w:lineRule="auto"/>
        <w:rPr>
          <w:bCs/>
          <w:iCs/>
          <w:noProof/>
          <w:szCs w:val="24"/>
        </w:rPr>
      </w:pPr>
      <w:r>
        <w:rPr>
          <w:noProof/>
        </w:rPr>
        <w:br w:type="page"/>
      </w:r>
    </w:p>
    <w:p>
      <w:pPr>
        <w:rPr>
          <w:bCs/>
          <w:iCs/>
          <w:noProof/>
          <w:szCs w:val="24"/>
        </w:rPr>
      </w:pPr>
      <w:r>
        <w:rPr>
          <w:noProof/>
        </w:rPr>
        <w:lastRenderedPageBreak/>
        <w:t>2.</w:t>
      </w:r>
      <w:r>
        <w:rPr>
          <w:noProof/>
        </w:rPr>
        <w:tab/>
      </w:r>
      <w:bookmarkStart w:id="2" w:name="_Hlk166679294"/>
      <w:r>
        <w:rPr>
          <w:noProof/>
        </w:rPr>
        <w:t>Declarațiile de opoziție trebuie să îi parvină:</w:t>
      </w:r>
    </w:p>
    <w:p>
      <w:pPr>
        <w:rPr>
          <w:bCs/>
          <w:iCs/>
          <w:noProof/>
          <w:szCs w:val="24"/>
        </w:rPr>
      </w:pPr>
    </w:p>
    <w:p>
      <w:pPr>
        <w:ind w:left="567" w:hanging="567"/>
        <w:rPr>
          <w:bCs/>
          <w:iCs/>
          <w:noProof/>
          <w:szCs w:val="24"/>
        </w:rPr>
      </w:pPr>
      <w:r>
        <w:rPr>
          <w:noProof/>
        </w:rPr>
        <w:t>(a)</w:t>
      </w:r>
      <w:r>
        <w:rPr>
          <w:noProof/>
        </w:rPr>
        <w:tab/>
        <w:t>în cazul Uniunii, Comisiei Europene, în ceea ce privește indicațiile geografice agricole, și Comisiei Europene și Oficiului Uniunii Europene pentru Proprietate Intelectuală, în ceea ce privește produsele artizanale și industriale, în termen de trei luni de la data publicării avizului de informare sau</w:t>
      </w:r>
    </w:p>
    <w:p>
      <w:pPr>
        <w:ind w:left="567" w:hanging="567"/>
        <w:rPr>
          <w:bCs/>
          <w:iCs/>
          <w:noProof/>
          <w:szCs w:val="24"/>
        </w:rPr>
      </w:pPr>
    </w:p>
    <w:p>
      <w:pPr>
        <w:ind w:left="567" w:hanging="567"/>
        <w:rPr>
          <w:bCs/>
          <w:iCs/>
          <w:noProof/>
          <w:szCs w:val="24"/>
        </w:rPr>
      </w:pPr>
      <w:r>
        <w:rPr>
          <w:noProof/>
        </w:rPr>
        <w:t>(b)</w:t>
      </w:r>
      <w:r>
        <w:rPr>
          <w:noProof/>
        </w:rPr>
        <w:tab/>
        <w:t>în cazul Indoneziei, Direcției Generale pentru Proprietate Intelectuală din cadrul Ministerului Justiției, în termen de două luni de la data publicării avizului de informare</w:t>
      </w:r>
      <w:bookmarkEnd w:id="2"/>
      <w:r>
        <w:rPr>
          <w:noProof/>
        </w:rPr>
        <w:t>.</w:t>
      </w:r>
    </w:p>
    <w:p>
      <w:pPr>
        <w:ind w:left="567" w:hanging="567"/>
        <w:rPr>
          <w:bCs/>
          <w:iCs/>
          <w:noProof/>
          <w:szCs w:val="24"/>
        </w:rPr>
      </w:pPr>
    </w:p>
    <w:p>
      <w:pPr>
        <w:rPr>
          <w:bCs/>
          <w:iCs/>
          <w:noProof/>
          <w:szCs w:val="24"/>
        </w:rPr>
      </w:pPr>
      <w:r>
        <w:rPr>
          <w:noProof/>
        </w:rPr>
        <w:t>3.</w:t>
      </w:r>
      <w:r>
        <w:rPr>
          <w:noProof/>
        </w:rPr>
        <w:tab/>
        <w:t>Declarațiile de opoziție sunt admisibile numai dacă sunt primite în termenul prevăzut la alineatul (2) și:</w:t>
      </w:r>
    </w:p>
    <w:p>
      <w:pPr>
        <w:rPr>
          <w:bCs/>
          <w:iCs/>
          <w:noProof/>
          <w:szCs w:val="24"/>
        </w:rPr>
      </w:pPr>
    </w:p>
    <w:p>
      <w:pPr>
        <w:ind w:left="567" w:hanging="567"/>
        <w:rPr>
          <w:bCs/>
          <w:iCs/>
          <w:noProof/>
          <w:szCs w:val="24"/>
        </w:rPr>
      </w:pPr>
      <w:r>
        <w:rPr>
          <w:noProof/>
        </w:rPr>
        <w:t>(a)</w:t>
      </w:r>
      <w:r>
        <w:rPr>
          <w:noProof/>
        </w:rPr>
        <w:tab/>
        <w:t>dacă demonstrează că protecția denumirii propuse:</w:t>
      </w:r>
    </w:p>
    <w:p>
      <w:pPr>
        <w:rPr>
          <w:bCs/>
          <w:iCs/>
          <w:noProof/>
          <w:szCs w:val="24"/>
        </w:rPr>
      </w:pPr>
    </w:p>
    <w:p>
      <w:pPr>
        <w:ind w:left="1134" w:hanging="567"/>
        <w:rPr>
          <w:noProof/>
        </w:rPr>
      </w:pPr>
      <w:r>
        <w:rPr>
          <w:noProof/>
        </w:rPr>
        <w:t>(i)</w:t>
      </w:r>
      <w:r>
        <w:rPr>
          <w:noProof/>
        </w:rPr>
        <w:tab/>
        <w:t>în cazul indicațiilor geografice agricole, ar intra în conflict cu denumirea unui soi de plante, inclusiv cu denumirea unui soi de struguri de vinificație sau a unei rase de animale, și, în consecință, ar putea induce consumatorul în eroare cu privire la adevărata origine a produsului;</w:t>
      </w:r>
    </w:p>
    <w:p>
      <w:pPr>
        <w:ind w:left="1134" w:hanging="567"/>
        <w:rPr>
          <w:noProof/>
        </w:rPr>
      </w:pPr>
    </w:p>
    <w:p>
      <w:pPr>
        <w:ind w:left="1134" w:hanging="567"/>
        <w:rPr>
          <w:noProof/>
        </w:rPr>
      </w:pPr>
      <w:r>
        <w:rPr>
          <w:noProof/>
        </w:rPr>
        <w:t>(ii)</w:t>
      </w:r>
      <w:r>
        <w:rPr>
          <w:noProof/>
        </w:rPr>
        <w:tab/>
        <w:t>ar fi o denumire omonimă, care induce în eroare consumatorul, făcându-l să creadă că produsele provin dintr-un alt teritoriu;</w:t>
      </w:r>
    </w:p>
    <w:p>
      <w:pPr>
        <w:ind w:left="1134" w:hanging="567"/>
        <w:rPr>
          <w:noProof/>
        </w:rPr>
      </w:pPr>
    </w:p>
    <w:p>
      <w:pPr>
        <w:ind w:left="1134" w:hanging="567"/>
        <w:rPr>
          <w:noProof/>
        </w:rPr>
      </w:pPr>
      <w:r>
        <w:rPr>
          <w:noProof/>
        </w:rPr>
        <w:t>(iii)</w:t>
      </w:r>
      <w:r>
        <w:rPr>
          <w:noProof/>
        </w:rPr>
        <w:tab/>
        <w:t>luând în considerare reputația și renumele unei mărci, precum și durata utilizării acesteia, ar putea induce în eroare consumatorul cu privire la adevărata identitate a produsului;</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ar periclita existența unei denumiri total sau parțial identice sau a unei mărci sau ar periclita existența unor produse comercializate în mod legal timp de cel puțin cinci ani înainte de data publicării respectivului aviz sau</w:t>
      </w:r>
    </w:p>
    <w:p>
      <w:pPr>
        <w:ind w:left="1134" w:hanging="567"/>
        <w:rPr>
          <w:noProof/>
        </w:rPr>
      </w:pPr>
    </w:p>
    <w:p>
      <w:pPr>
        <w:ind w:left="567" w:hanging="567"/>
        <w:rPr>
          <w:noProof/>
        </w:rPr>
      </w:pPr>
      <w:r>
        <w:rPr>
          <w:noProof/>
        </w:rPr>
        <w:t>(b)</w:t>
      </w:r>
      <w:r>
        <w:rPr>
          <w:noProof/>
        </w:rPr>
        <w:tab/>
        <w:t>dacă pot oferi detalii care indică faptul că denumirea pentru care se are în vedere protecția și înregistrarea este generică.</w:t>
      </w:r>
    </w:p>
    <w:p>
      <w:pPr>
        <w:ind w:left="567" w:hanging="567"/>
        <w:rPr>
          <w:noProof/>
        </w:rPr>
      </w:pPr>
    </w:p>
    <w:p>
      <w:pPr>
        <w:rPr>
          <w:bCs/>
          <w:iCs/>
          <w:noProof/>
          <w:szCs w:val="24"/>
        </w:rPr>
      </w:pPr>
      <w:r>
        <w:rPr>
          <w:noProof/>
        </w:rPr>
        <w:t>4.</w:t>
      </w:r>
      <w:r>
        <w:rPr>
          <w:noProof/>
        </w:rPr>
        <w:tab/>
        <w:t>Criteriile menționate la alineatele (1), (2) și (3) se evaluează în raport cu teritoriul părții în care se solicită protecția indicației geografice.</w:t>
      </w:r>
    </w:p>
    <w:p>
      <w:pPr>
        <w:rPr>
          <w:noProof/>
        </w:rPr>
      </w:pPr>
    </w:p>
    <w:p>
      <w:pPr>
        <w:rPr>
          <w:noProof/>
        </w:rPr>
      </w:pPr>
    </w:p>
    <w:p>
      <w:pPr>
        <w:jc w:val="center"/>
        <w:rPr>
          <w:noProof/>
        </w:rPr>
      </w:pPr>
      <w:r>
        <w:rPr>
          <w:noProof/>
        </w:rPr>
        <w:t>________________</w:t>
      </w:r>
    </w:p>
    <w:p>
      <w:pPr>
        <w:jc w:val="right"/>
        <w:rPr>
          <w:b/>
          <w:bCs/>
          <w:noProof/>
          <w:u w:val="single"/>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12-C</w:t>
      </w:r>
    </w:p>
    <w:p>
      <w:pPr>
        <w:rPr>
          <w:noProof/>
        </w:rPr>
      </w:pPr>
    </w:p>
    <w:p>
      <w:pPr>
        <w:rPr>
          <w:noProof/>
        </w:rPr>
      </w:pPr>
    </w:p>
    <w:p>
      <w:pPr>
        <w:jc w:val="center"/>
        <w:rPr>
          <w:noProof/>
        </w:rPr>
      </w:pPr>
      <w:r>
        <w:rPr>
          <w:noProof/>
        </w:rPr>
        <w:t xml:space="preserve">INDICAȚII GEOGRAFICE PENTRU PRODUSE </w:t>
      </w:r>
      <w:r>
        <w:rPr>
          <w:noProof/>
        </w:rPr>
        <w:br/>
        <w:t>ASTFEL CUM SE MENȚIONEAZĂ LA ARTICOLUL 12.31 ALINEATELE (3) ȘI (4)</w:t>
      </w:r>
    </w:p>
    <w:p>
      <w:pPr>
        <w:rPr>
          <w:noProof/>
        </w:rPr>
      </w:pPr>
    </w:p>
    <w:p>
      <w:pPr>
        <w:rPr>
          <w:noProof/>
        </w:rPr>
      </w:pPr>
    </w:p>
    <w:p>
      <w:pPr>
        <w:jc w:val="center"/>
        <w:rPr>
          <w:noProof/>
        </w:rPr>
      </w:pPr>
      <w:r>
        <w:rPr>
          <w:noProof/>
        </w:rPr>
        <w:t>SECȚIUNEA A</w:t>
      </w:r>
    </w:p>
    <w:p>
      <w:pPr>
        <w:rPr>
          <w:noProof/>
        </w:rPr>
      </w:pPr>
    </w:p>
    <w:p>
      <w:pPr>
        <w:jc w:val="center"/>
        <w:rPr>
          <w:noProof/>
        </w:rPr>
      </w:pPr>
      <w:r>
        <w:rPr>
          <w:noProof/>
        </w:rPr>
        <w:t>Indicații geografice pentru produsele din Uniune care urmează să fie protejate în Indonezia</w:t>
      </w:r>
    </w:p>
    <w:p>
      <w:pPr>
        <w:rPr>
          <w:rFonts w:eastAsia="MS Mincho"/>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833"/>
        <w:gridCol w:w="4078"/>
        <w:gridCol w:w="2367"/>
      </w:tblGrid>
      <w:tr>
        <w:trPr>
          <w:tblHeader/>
        </w:trPr>
        <w:tc>
          <w:tcPr>
            <w:tcW w:w="631" w:type="pct"/>
            <w:vAlign w:val="center"/>
          </w:tcPr>
          <w:p>
            <w:pPr>
              <w:spacing w:before="60" w:after="60" w:line="240" w:lineRule="auto"/>
              <w:jc w:val="center"/>
              <w:rPr>
                <w:rFonts w:eastAsia="MS Mincho"/>
                <w:noProof/>
                <w:szCs w:val="24"/>
                <w:lang w:eastAsia="ja-JP"/>
              </w:rPr>
            </w:pPr>
          </w:p>
        </w:tc>
        <w:tc>
          <w:tcPr>
            <w:tcW w:w="975" w:type="pct"/>
            <w:vAlign w:val="center"/>
          </w:tcPr>
          <w:p>
            <w:pPr>
              <w:spacing w:before="60" w:after="60" w:line="240" w:lineRule="auto"/>
              <w:jc w:val="center"/>
              <w:rPr>
                <w:rFonts w:eastAsia="MS Mincho"/>
                <w:noProof/>
                <w:szCs w:val="24"/>
              </w:rPr>
            </w:pPr>
            <w:r>
              <w:rPr>
                <w:noProof/>
              </w:rPr>
              <w:t>Stat membru</w:t>
            </w:r>
          </w:p>
        </w:tc>
        <w:tc>
          <w:tcPr>
            <w:tcW w:w="2141" w:type="pct"/>
            <w:vAlign w:val="center"/>
          </w:tcPr>
          <w:p>
            <w:pPr>
              <w:spacing w:before="60" w:after="60" w:line="240" w:lineRule="auto"/>
              <w:jc w:val="center"/>
              <w:rPr>
                <w:rFonts w:eastAsia="MS Mincho"/>
                <w:noProof/>
                <w:szCs w:val="24"/>
              </w:rPr>
            </w:pPr>
            <w:r>
              <w:rPr>
                <w:noProof/>
              </w:rPr>
              <w:t>Denumirea indicației geografice (astfel cum este înregistrată în UE)</w:t>
            </w:r>
          </w:p>
        </w:tc>
        <w:tc>
          <w:tcPr>
            <w:tcW w:w="1252" w:type="pct"/>
            <w:vAlign w:val="center"/>
          </w:tcPr>
          <w:p>
            <w:pPr>
              <w:spacing w:before="60" w:after="60" w:line="240" w:lineRule="auto"/>
              <w:jc w:val="center"/>
              <w:rPr>
                <w:rFonts w:eastAsia="MS Mincho"/>
                <w:noProof/>
                <w:szCs w:val="24"/>
              </w:rPr>
            </w:pPr>
            <w:r>
              <w:rPr>
                <w:noProof/>
              </w:rPr>
              <w:t>Clasa de produse și scurtă descriere [între paranteze pătrate, în scop informativ]</w:t>
            </w:r>
          </w:p>
        </w:tc>
      </w:tr>
      <w:tr>
        <w:tc>
          <w:tcPr>
            <w:tcW w:w="631" w:type="pct"/>
          </w:tcPr>
          <w:p>
            <w:pPr>
              <w:widowControl/>
              <w:spacing w:before="60" w:after="60" w:line="240" w:lineRule="auto"/>
              <w:ind w:left="720" w:hanging="360"/>
              <w:rPr>
                <w:rFonts w:eastAsia="MS Mincho"/>
                <w:noProof/>
                <w:szCs w:val="24"/>
              </w:rPr>
            </w:pPr>
            <w:r>
              <w:rPr>
                <w:noProof/>
              </w:rPr>
              <w:t>1</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color w:val="000000"/>
              </w:rPr>
              <w:t>Inländerrum</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2</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color w:val="000000"/>
              </w:rPr>
              <w:t>Jägertee/Jagertee/Jagatee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3</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color w:val="000000"/>
              </w:rPr>
              <w:t>Steirisches Kürbiskernöl</w:t>
            </w:r>
          </w:p>
        </w:tc>
        <w:tc>
          <w:tcPr>
            <w:tcW w:w="1252" w:type="pct"/>
          </w:tcPr>
          <w:p>
            <w:pPr>
              <w:spacing w:before="60" w:after="60" w:line="240" w:lineRule="auto"/>
              <w:rPr>
                <w:rFonts w:eastAsia="MS Mincho"/>
                <w:noProof/>
                <w:szCs w:val="24"/>
              </w:rPr>
            </w:pPr>
            <w:r>
              <w:rPr>
                <w:noProof/>
              </w:rPr>
              <w:t>Uleiuri și grăsimi de origine animală [ulei din semințe de dovleac]</w:t>
            </w:r>
          </w:p>
        </w:tc>
      </w:tr>
      <w:tr>
        <w:tc>
          <w:tcPr>
            <w:tcW w:w="631" w:type="pct"/>
          </w:tcPr>
          <w:p>
            <w:pPr>
              <w:widowControl/>
              <w:spacing w:before="60" w:after="60" w:line="240" w:lineRule="auto"/>
              <w:ind w:left="720" w:hanging="360"/>
              <w:rPr>
                <w:rFonts w:eastAsia="MS Mincho"/>
                <w:noProof/>
                <w:szCs w:val="24"/>
              </w:rPr>
            </w:pPr>
            <w:r>
              <w:rPr>
                <w:noProof/>
              </w:rPr>
              <w:t>4</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rPr>
              <w:t>Tiroler Speck</w:t>
            </w:r>
          </w:p>
        </w:tc>
        <w:tc>
          <w:tcPr>
            <w:tcW w:w="1252" w:type="pct"/>
          </w:tcPr>
          <w:p>
            <w:pPr>
              <w:spacing w:before="60" w:after="60" w:line="240" w:lineRule="auto"/>
              <w:rPr>
                <w:rFonts w:eastAsia="MS Mincho"/>
                <w:noProof/>
                <w:szCs w:val="24"/>
              </w:rPr>
            </w:pPr>
            <w:r>
              <w:rPr>
                <w:noProof/>
              </w:rPr>
              <w:t>Carne proaspătă, congelată și prelucrată [bacon]</w:t>
            </w:r>
          </w:p>
        </w:tc>
      </w:tr>
      <w:tr>
        <w:tc>
          <w:tcPr>
            <w:tcW w:w="631" w:type="pct"/>
          </w:tcPr>
          <w:p>
            <w:pPr>
              <w:widowControl/>
              <w:spacing w:before="60" w:after="60" w:line="240" w:lineRule="auto"/>
              <w:ind w:left="720" w:hanging="360"/>
              <w:rPr>
                <w:rFonts w:eastAsia="MS Mincho"/>
                <w:noProof/>
                <w:szCs w:val="24"/>
              </w:rPr>
            </w:pPr>
            <w:r>
              <w:rPr>
                <w:noProof/>
              </w:rPr>
              <w:t>5</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Baranjski kulen</w:t>
            </w:r>
          </w:p>
        </w:tc>
        <w:tc>
          <w:tcPr>
            <w:tcW w:w="1252" w:type="pct"/>
          </w:tcPr>
          <w:p>
            <w:pPr>
              <w:spacing w:before="60" w:after="60" w:line="240" w:lineRule="auto"/>
              <w:rPr>
                <w:rFonts w:eastAsia="MS Mincho"/>
                <w:noProof/>
                <w:szCs w:val="24"/>
              </w:rPr>
            </w:pPr>
            <w:r>
              <w:rPr>
                <w:noProof/>
              </w:rPr>
              <w:t>Carne proaspătă, congelată și prelucrată [cârnați]</w:t>
            </w:r>
          </w:p>
        </w:tc>
      </w:tr>
      <w:tr>
        <w:tc>
          <w:tcPr>
            <w:tcW w:w="631" w:type="pct"/>
          </w:tcPr>
          <w:p>
            <w:pPr>
              <w:widowControl/>
              <w:spacing w:before="60" w:after="60" w:line="240" w:lineRule="auto"/>
              <w:ind w:left="720" w:hanging="360"/>
              <w:rPr>
                <w:rFonts w:eastAsia="MS Mincho"/>
                <w:noProof/>
                <w:szCs w:val="24"/>
              </w:rPr>
            </w:pPr>
            <w:r>
              <w:rPr>
                <w:noProof/>
              </w:rPr>
              <w:t>6</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Dalmatinski pršut</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7</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Dingač</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Lički krumpir</w:t>
            </w:r>
          </w:p>
        </w:tc>
        <w:tc>
          <w:tcPr>
            <w:tcW w:w="1252" w:type="pct"/>
          </w:tcPr>
          <w:p>
            <w:pPr>
              <w:spacing w:before="60" w:after="60" w:line="240" w:lineRule="auto"/>
              <w:rPr>
                <w:rFonts w:eastAsia="MS Mincho"/>
                <w:noProof/>
                <w:szCs w:val="24"/>
              </w:rPr>
            </w:pPr>
            <w:r>
              <w:rPr>
                <w:noProof/>
              </w:rPr>
              <w:t>Fructe și fructe cu coajă lemnoasă proaspete și prelucrate [cartofi]</w:t>
            </w:r>
          </w:p>
        </w:tc>
      </w:tr>
      <w:tr>
        <w:tc>
          <w:tcPr>
            <w:tcW w:w="631" w:type="pct"/>
          </w:tcPr>
          <w:p>
            <w:pPr>
              <w:widowControl/>
              <w:spacing w:before="60" w:after="60" w:line="240" w:lineRule="auto"/>
              <w:ind w:left="720" w:hanging="360"/>
              <w:rPr>
                <w:rFonts w:eastAsia="MS Mincho"/>
                <w:noProof/>
                <w:szCs w:val="24"/>
              </w:rPr>
            </w:pPr>
            <w:r>
              <w:rPr>
                <w:noProof/>
              </w:rPr>
              <w:t>9</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Neretvanska mandarina</w:t>
            </w:r>
          </w:p>
        </w:tc>
        <w:tc>
          <w:tcPr>
            <w:tcW w:w="1252" w:type="pct"/>
          </w:tcPr>
          <w:p>
            <w:pPr>
              <w:spacing w:before="60" w:after="60" w:line="240" w:lineRule="auto"/>
              <w:rPr>
                <w:rFonts w:eastAsia="MS Mincho"/>
                <w:noProof/>
                <w:szCs w:val="24"/>
              </w:rPr>
            </w:pPr>
            <w:r>
              <w:rPr>
                <w:noProof/>
              </w:rPr>
              <w:t>Fructe și fructe cu coajă lemnoasă proaspete și prelucrate [mandarine]</w:t>
            </w:r>
          </w:p>
        </w:tc>
      </w:tr>
      <w:tr>
        <w:tc>
          <w:tcPr>
            <w:tcW w:w="631" w:type="pct"/>
          </w:tcPr>
          <w:p>
            <w:pPr>
              <w:widowControl/>
              <w:spacing w:before="60" w:after="60" w:line="240" w:lineRule="auto"/>
              <w:ind w:left="720" w:hanging="360"/>
              <w:rPr>
                <w:rFonts w:eastAsia="MS Mincho"/>
                <w:noProof/>
                <w:szCs w:val="24"/>
              </w:rPr>
            </w:pPr>
            <w:r>
              <w:rPr>
                <w:noProof/>
              </w:rPr>
              <w:t>10</w:t>
            </w:r>
            <w:r>
              <w:rPr>
                <w:noProof/>
              </w:rPr>
              <w:tab/>
            </w:r>
          </w:p>
        </w:tc>
        <w:tc>
          <w:tcPr>
            <w:tcW w:w="975" w:type="pct"/>
          </w:tcPr>
          <w:p>
            <w:pPr>
              <w:spacing w:before="60" w:after="60" w:line="240" w:lineRule="auto"/>
              <w:rPr>
                <w:rFonts w:eastAsia="MS Mincho"/>
                <w:noProof/>
                <w:szCs w:val="24"/>
              </w:rPr>
            </w:pPr>
            <w:r>
              <w:rPr>
                <w:noProof/>
              </w:rPr>
              <w:t>Cipru</w:t>
            </w:r>
          </w:p>
        </w:tc>
        <w:tc>
          <w:tcPr>
            <w:tcW w:w="2141" w:type="pct"/>
          </w:tcPr>
          <w:p>
            <w:pPr>
              <w:spacing w:before="60" w:after="60" w:line="240" w:lineRule="auto"/>
              <w:rPr>
                <w:rFonts w:eastAsia="MS Mincho"/>
                <w:noProof/>
                <w:szCs w:val="24"/>
              </w:rPr>
            </w:pPr>
            <w:r>
              <w:rPr>
                <w:noProof/>
              </w:rPr>
              <w:t>Κουμανδαρία (transcriere în alfabetul latin: Koumandaria)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w:t>
            </w:r>
            <w:r>
              <w:rPr>
                <w:noProof/>
              </w:rPr>
              <w:tab/>
            </w:r>
          </w:p>
        </w:tc>
        <w:tc>
          <w:tcPr>
            <w:tcW w:w="975" w:type="pct"/>
          </w:tcPr>
          <w:p>
            <w:pPr>
              <w:spacing w:before="60" w:after="60" w:line="240" w:lineRule="auto"/>
              <w:rPr>
                <w:rFonts w:eastAsia="MS Mincho"/>
                <w:noProof/>
                <w:szCs w:val="24"/>
              </w:rPr>
            </w:pPr>
            <w:r>
              <w:rPr>
                <w:noProof/>
              </w:rPr>
              <w:t>Cipru</w:t>
            </w:r>
          </w:p>
        </w:tc>
        <w:tc>
          <w:tcPr>
            <w:tcW w:w="2141" w:type="pct"/>
          </w:tcPr>
          <w:p>
            <w:pPr>
              <w:spacing w:before="60" w:after="60" w:line="240" w:lineRule="auto"/>
              <w:rPr>
                <w:rFonts w:eastAsia="MS Mincho"/>
                <w:noProof/>
                <w:szCs w:val="24"/>
              </w:rPr>
            </w:pPr>
            <w:r>
              <w:rPr>
                <w:noProof/>
              </w:rPr>
              <w:t>Ζιβανία (transcriere în alfabetul latin: Zivania) / Τζιβανία (transcriere în alfabetul latin: Tzivania) / Ζιβάνα (transcriere în alfabetul latin: Zivana) / Zivania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12</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Budějovické pivo</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13</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Budějovický měšťanský var</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14</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České pivo</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15</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Českobudějovické pivo</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16</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Žatecký chmel</w:t>
            </w:r>
          </w:p>
        </w:tc>
        <w:tc>
          <w:tcPr>
            <w:tcW w:w="1252" w:type="pct"/>
          </w:tcPr>
          <w:p>
            <w:pPr>
              <w:spacing w:before="60" w:after="60" w:line="240" w:lineRule="auto"/>
              <w:rPr>
                <w:rFonts w:eastAsia="MS Mincho"/>
                <w:noProof/>
                <w:szCs w:val="24"/>
              </w:rPr>
            </w:pPr>
            <w:r>
              <w:rPr>
                <w:noProof/>
                <w:color w:val="000000"/>
              </w:rPr>
              <w:t>Alte produse [hamei]</w:t>
            </w:r>
          </w:p>
        </w:tc>
      </w:tr>
      <w:tr>
        <w:tc>
          <w:tcPr>
            <w:tcW w:w="631" w:type="pct"/>
          </w:tcPr>
          <w:p>
            <w:pPr>
              <w:widowControl/>
              <w:spacing w:before="60" w:after="60" w:line="240" w:lineRule="auto"/>
              <w:ind w:left="720" w:hanging="360"/>
              <w:rPr>
                <w:rFonts w:eastAsia="MS Mincho"/>
                <w:noProof/>
                <w:szCs w:val="24"/>
              </w:rPr>
            </w:pPr>
            <w:r>
              <w:rPr>
                <w:noProof/>
              </w:rPr>
              <w:t>17</w:t>
            </w:r>
            <w:r>
              <w:rPr>
                <w:noProof/>
              </w:rPr>
              <w:tab/>
            </w:r>
          </w:p>
        </w:tc>
        <w:tc>
          <w:tcPr>
            <w:tcW w:w="975" w:type="pct"/>
          </w:tcPr>
          <w:p>
            <w:pPr>
              <w:spacing w:before="60" w:after="60" w:line="240" w:lineRule="auto"/>
              <w:rPr>
                <w:rFonts w:eastAsia="MS Mincho"/>
                <w:noProof/>
                <w:szCs w:val="24"/>
              </w:rPr>
            </w:pPr>
            <w:r>
              <w:rPr>
                <w:noProof/>
              </w:rPr>
              <w:t>Danemarca</w:t>
            </w:r>
          </w:p>
        </w:tc>
        <w:tc>
          <w:tcPr>
            <w:tcW w:w="2141" w:type="pct"/>
          </w:tcPr>
          <w:p>
            <w:pPr>
              <w:spacing w:before="60" w:after="60" w:line="240" w:lineRule="auto"/>
              <w:rPr>
                <w:rFonts w:eastAsia="MS Mincho"/>
                <w:noProof/>
                <w:szCs w:val="24"/>
              </w:rPr>
            </w:pPr>
            <w:r>
              <w:rPr>
                <w:noProof/>
              </w:rPr>
              <w:t>Danablu</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18</w:t>
            </w:r>
            <w:r>
              <w:rPr>
                <w:noProof/>
              </w:rPr>
              <w:tab/>
            </w:r>
          </w:p>
        </w:tc>
        <w:tc>
          <w:tcPr>
            <w:tcW w:w="975" w:type="pct"/>
          </w:tcPr>
          <w:p>
            <w:pPr>
              <w:spacing w:before="60" w:after="60" w:line="240" w:lineRule="auto"/>
              <w:rPr>
                <w:rFonts w:eastAsia="MS Mincho"/>
                <w:noProof/>
                <w:szCs w:val="24"/>
              </w:rPr>
            </w:pPr>
            <w:r>
              <w:rPr>
                <w:noProof/>
              </w:rPr>
              <w:t>Finlanda</w:t>
            </w:r>
          </w:p>
        </w:tc>
        <w:tc>
          <w:tcPr>
            <w:tcW w:w="2141" w:type="pct"/>
          </w:tcPr>
          <w:p>
            <w:pPr>
              <w:spacing w:before="60" w:after="60" w:line="240" w:lineRule="auto"/>
              <w:rPr>
                <w:rFonts w:eastAsia="MS Mincho"/>
                <w:noProof/>
                <w:szCs w:val="24"/>
              </w:rPr>
            </w:pPr>
            <w:r>
              <w:rPr>
                <w:noProof/>
              </w:rPr>
              <w:t>Suomalainen Vodka/Finsk Vodka/Vodka of Finland</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Alsace/Vin d'Alsace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Anjou</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Armagnac</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22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Beaujolais</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Bergamote de Nancy / Bergamotes de Nancy</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[produse de cofetărie]</w:t>
            </w:r>
          </w:p>
        </w:tc>
      </w:tr>
      <w:tr>
        <w:tc>
          <w:tcPr>
            <w:tcW w:w="631" w:type="pct"/>
          </w:tcPr>
          <w:p>
            <w:pPr>
              <w:widowControl/>
              <w:spacing w:before="60" w:after="60" w:line="240" w:lineRule="auto"/>
              <w:ind w:left="720" w:hanging="360"/>
              <w:rPr>
                <w:rFonts w:eastAsia="MS Mincho"/>
                <w:noProof/>
                <w:szCs w:val="24"/>
              </w:rPr>
            </w:pPr>
            <w:r>
              <w:rPr>
                <w:noProof/>
              </w:rPr>
              <w:t>24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Bergerac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Beurre Charentes-Poitou/ Beurre des Charentes/ Beurre des Deux-Sèvres</w:t>
            </w:r>
          </w:p>
          <w:p>
            <w:pPr>
              <w:spacing w:before="60" w:after="60" w:line="240" w:lineRule="auto"/>
              <w:rPr>
                <w:rFonts w:eastAsia="MS Mincho"/>
                <w:noProof/>
                <w:szCs w:val="24"/>
                <w:lang w:eastAsia="ja-JP"/>
              </w:rPr>
            </w:pPr>
          </w:p>
        </w:tc>
        <w:tc>
          <w:tcPr>
            <w:tcW w:w="1252" w:type="pct"/>
          </w:tcPr>
          <w:p>
            <w:pPr>
              <w:spacing w:before="60" w:after="60" w:line="240" w:lineRule="auto"/>
              <w:rPr>
                <w:rFonts w:eastAsia="MS Mincho"/>
                <w:noProof/>
                <w:szCs w:val="24"/>
              </w:rPr>
            </w:pPr>
            <w:r>
              <w:rPr>
                <w:noProof/>
              </w:rPr>
              <w:t>Uleiuri și grăsimi de origine animală [unt]</w:t>
            </w:r>
          </w:p>
        </w:tc>
      </w:tr>
      <w:tr>
        <w:tc>
          <w:tcPr>
            <w:tcW w:w="631" w:type="pct"/>
          </w:tcPr>
          <w:p>
            <w:pPr>
              <w:widowControl/>
              <w:spacing w:before="60" w:after="60" w:line="240" w:lineRule="auto"/>
              <w:ind w:left="720" w:hanging="360"/>
              <w:rPr>
                <w:rFonts w:eastAsia="MS Mincho"/>
                <w:noProof/>
                <w:szCs w:val="24"/>
              </w:rPr>
            </w:pPr>
            <w:r>
              <w:rPr>
                <w:noProof/>
              </w:rPr>
              <w:t>26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Beurre d'Isigny</w:t>
            </w:r>
          </w:p>
        </w:tc>
        <w:tc>
          <w:tcPr>
            <w:tcW w:w="1252" w:type="pct"/>
          </w:tcPr>
          <w:p>
            <w:pPr>
              <w:spacing w:before="60" w:after="60" w:line="240" w:lineRule="auto"/>
              <w:rPr>
                <w:rFonts w:eastAsia="MS Mincho"/>
                <w:noProof/>
                <w:szCs w:val="24"/>
              </w:rPr>
            </w:pPr>
            <w:r>
              <w:rPr>
                <w:noProof/>
              </w:rPr>
              <w:t>Uleiuri și grăsimi de origine animală [unt]</w:t>
            </w:r>
          </w:p>
        </w:tc>
      </w:tr>
      <w:tr>
        <w:tc>
          <w:tcPr>
            <w:tcW w:w="631" w:type="pct"/>
          </w:tcPr>
          <w:p>
            <w:pPr>
              <w:widowControl/>
              <w:spacing w:before="60" w:after="60" w:line="240" w:lineRule="auto"/>
              <w:ind w:left="720" w:hanging="360"/>
              <w:rPr>
                <w:rFonts w:eastAsia="MS Mincho"/>
                <w:noProof/>
                <w:szCs w:val="24"/>
              </w:rPr>
            </w:pPr>
            <w:r>
              <w:rPr>
                <w:noProof/>
              </w:rPr>
              <w:t>27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Bordeaux</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Bourgogne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Brie de Meaux</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30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Brioche vendéenne</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[pâine dulce]</w:t>
            </w:r>
          </w:p>
        </w:tc>
      </w:tr>
      <w:tr>
        <w:tc>
          <w:tcPr>
            <w:tcW w:w="631" w:type="pct"/>
          </w:tcPr>
          <w:p>
            <w:pPr>
              <w:widowControl/>
              <w:spacing w:before="60" w:after="60" w:line="240" w:lineRule="auto"/>
              <w:ind w:left="720" w:hanging="360"/>
              <w:rPr>
                <w:rFonts w:eastAsia="MS Mincho"/>
                <w:noProof/>
                <w:szCs w:val="24"/>
              </w:rPr>
            </w:pPr>
            <w:r>
              <w:rPr>
                <w:noProof/>
              </w:rPr>
              <w:t>31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Calvados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32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Camembert de Normandie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33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Canard à foie gras du Sud-Ouest (Chalosse, Gascogne, Gers, Landes, Périgord, Quercy)</w:t>
            </w:r>
          </w:p>
        </w:tc>
        <w:tc>
          <w:tcPr>
            <w:tcW w:w="1252" w:type="pct"/>
          </w:tcPr>
          <w:p>
            <w:pPr>
              <w:spacing w:before="60" w:after="60" w:line="240" w:lineRule="auto"/>
              <w:rPr>
                <w:rFonts w:eastAsia="MS Mincho"/>
                <w:noProof/>
                <w:szCs w:val="24"/>
              </w:rPr>
            </w:pPr>
            <w:r>
              <w:rPr>
                <w:noProof/>
              </w:rPr>
              <w:t>Carne proaspătă, congelată și prelucrată [produs prelucrat din carne de rață]</w:t>
            </w:r>
          </w:p>
        </w:tc>
      </w:tr>
      <w:tr>
        <w:tc>
          <w:tcPr>
            <w:tcW w:w="631" w:type="pct"/>
          </w:tcPr>
          <w:p>
            <w:pPr>
              <w:widowControl/>
              <w:spacing w:before="60" w:after="60" w:line="240" w:lineRule="auto"/>
              <w:ind w:left="720" w:hanging="360"/>
              <w:rPr>
                <w:rFonts w:eastAsia="MS Mincho"/>
                <w:noProof/>
                <w:szCs w:val="24"/>
              </w:rPr>
            </w:pPr>
            <w:r>
              <w:rPr>
                <w:noProof/>
              </w:rPr>
              <w:t>34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Chablis</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35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Champagne</w:t>
            </w:r>
            <w:r>
              <w:rPr>
                <w:b/>
                <w:noProof/>
                <w:vertAlign w:val="superscript"/>
              </w:rPr>
              <w:t>*</w:t>
            </w:r>
          </w:p>
        </w:tc>
        <w:tc>
          <w:tcPr>
            <w:tcW w:w="1252" w:type="pct"/>
          </w:tcPr>
          <w:p>
            <w:pPr>
              <w:spacing w:before="60" w:after="60" w:line="240" w:lineRule="auto"/>
              <w:rPr>
                <w:rFonts w:eastAsia="MS Mincho"/>
                <w:noProof/>
                <w:szCs w:val="24"/>
              </w:rPr>
            </w:pPr>
            <w:r>
              <w:rPr>
                <w:noProof/>
              </w:rPr>
              <w:t>Vin</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Châteauneuf-du-Pape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37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Eau-de-vie de Cognac/</w:t>
            </w:r>
          </w:p>
          <w:p>
            <w:pPr>
              <w:spacing w:before="60" w:after="60" w:line="240" w:lineRule="auto"/>
              <w:rPr>
                <w:rFonts w:eastAsia="MS Mincho"/>
                <w:noProof/>
                <w:szCs w:val="24"/>
              </w:rPr>
            </w:pPr>
            <w:r>
              <w:rPr>
                <w:noProof/>
              </w:rPr>
              <w:t>Eau-de-vie des Charentes/</w:t>
            </w:r>
          </w:p>
          <w:p>
            <w:pPr>
              <w:spacing w:before="60" w:after="60" w:line="240" w:lineRule="auto"/>
              <w:rPr>
                <w:rFonts w:eastAsia="MS Mincho"/>
                <w:noProof/>
                <w:szCs w:val="24"/>
              </w:rPr>
            </w:pPr>
            <w:r>
              <w:rPr>
                <w:noProof/>
              </w:rPr>
              <w:t>Cognac</w:t>
            </w:r>
            <w:r>
              <w:rPr>
                <w:b/>
                <w:noProof/>
                <w:vertAlign w:val="superscript"/>
              </w:rPr>
              <w:t>*</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 xml:space="preserve">Comté </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39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Languedoc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Côtes de Provence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Côtes du Rhône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Côtes du Roussillon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Crème d'Isigny/Crème fraîche d’Isigny</w:t>
            </w:r>
          </w:p>
        </w:tc>
        <w:tc>
          <w:tcPr>
            <w:tcW w:w="1252" w:type="pct"/>
          </w:tcPr>
          <w:p>
            <w:pPr>
              <w:spacing w:before="60" w:after="60" w:line="240" w:lineRule="auto"/>
              <w:rPr>
                <w:rFonts w:eastAsia="MS Mincho"/>
                <w:noProof/>
                <w:szCs w:val="24"/>
              </w:rPr>
            </w:pPr>
            <w:r>
              <w:rPr>
                <w:noProof/>
              </w:rPr>
              <w:t>Alte produse de origine animală [smântână]</w:t>
            </w:r>
          </w:p>
        </w:tc>
      </w:tr>
      <w:tr>
        <w:tc>
          <w:tcPr>
            <w:tcW w:w="631" w:type="pct"/>
          </w:tcPr>
          <w:p>
            <w:pPr>
              <w:widowControl/>
              <w:spacing w:before="60" w:after="60" w:line="240" w:lineRule="auto"/>
              <w:ind w:left="720" w:hanging="360"/>
              <w:rPr>
                <w:rFonts w:eastAsia="MS Mincho"/>
                <w:noProof/>
                <w:szCs w:val="24"/>
              </w:rPr>
            </w:pPr>
            <w:r>
              <w:rPr>
                <w:noProof/>
              </w:rPr>
              <w:t>44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Emmental de Savoie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45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Graves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Haut-Médoc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Huile essentielle de lavande de Haute-Provence / Essence de lavande de Haute-Provence</w:t>
            </w:r>
          </w:p>
        </w:tc>
        <w:tc>
          <w:tcPr>
            <w:tcW w:w="1252" w:type="pct"/>
          </w:tcPr>
          <w:p>
            <w:pPr>
              <w:spacing w:before="60" w:after="60" w:line="240" w:lineRule="auto"/>
              <w:rPr>
                <w:rFonts w:eastAsia="MS Mincho"/>
                <w:noProof/>
                <w:szCs w:val="24"/>
              </w:rPr>
            </w:pPr>
            <w:r>
              <w:rPr>
                <w:noProof/>
              </w:rPr>
              <w:t>Uleiuri esențiale</w:t>
            </w:r>
          </w:p>
        </w:tc>
      </w:tr>
      <w:tr>
        <w:tc>
          <w:tcPr>
            <w:tcW w:w="631" w:type="pct"/>
          </w:tcPr>
          <w:p>
            <w:pPr>
              <w:widowControl/>
              <w:spacing w:before="60" w:after="60" w:line="240" w:lineRule="auto"/>
              <w:ind w:left="720" w:hanging="360"/>
              <w:rPr>
                <w:rFonts w:eastAsia="MS Mincho"/>
                <w:noProof/>
                <w:szCs w:val="24"/>
              </w:rPr>
            </w:pPr>
            <w:r>
              <w:rPr>
                <w:noProof/>
              </w:rPr>
              <w:t>48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Jambon de Bayonne</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49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Margaux</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Médoc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Moutarde de Bourgogne</w:t>
            </w:r>
          </w:p>
        </w:tc>
        <w:tc>
          <w:tcPr>
            <w:tcW w:w="1252" w:type="pct"/>
          </w:tcPr>
          <w:p>
            <w:pPr>
              <w:spacing w:before="60" w:after="60" w:line="240" w:lineRule="auto"/>
              <w:rPr>
                <w:rFonts w:eastAsia="MS Mincho"/>
                <w:noProof/>
                <w:szCs w:val="24"/>
              </w:rPr>
            </w:pPr>
            <w:r>
              <w:rPr>
                <w:noProof/>
              </w:rPr>
              <w:t>Pastă de muștar [muștar]</w:t>
            </w:r>
          </w:p>
        </w:tc>
      </w:tr>
      <w:tr>
        <w:tc>
          <w:tcPr>
            <w:tcW w:w="631" w:type="pct"/>
          </w:tcPr>
          <w:p>
            <w:pPr>
              <w:widowControl/>
              <w:spacing w:before="60" w:after="60" w:line="240" w:lineRule="auto"/>
              <w:ind w:left="720" w:hanging="360"/>
              <w:rPr>
                <w:rFonts w:eastAsia="MS Mincho"/>
                <w:noProof/>
                <w:szCs w:val="24"/>
              </w:rPr>
            </w:pPr>
            <w:r>
              <w:rPr>
                <w:noProof/>
              </w:rPr>
              <w:t>52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Pays 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Piment d'Espelette / Piment d'Espelette – Ezpeletako Biperra</w:t>
            </w:r>
          </w:p>
        </w:tc>
        <w:tc>
          <w:tcPr>
            <w:tcW w:w="1252" w:type="pct"/>
          </w:tcPr>
          <w:p>
            <w:pPr>
              <w:spacing w:before="60" w:after="60" w:line="240" w:lineRule="auto"/>
              <w:rPr>
                <w:rFonts w:eastAsia="MS Mincho"/>
                <w:noProof/>
                <w:szCs w:val="24"/>
              </w:rPr>
            </w:pPr>
            <w:r>
              <w:rPr>
                <w:noProof/>
              </w:rPr>
              <w:t>Alte produse din anexa I la tratat (condimente etc.) [condimente]</w:t>
            </w:r>
          </w:p>
        </w:tc>
      </w:tr>
      <w:tr>
        <w:tc>
          <w:tcPr>
            <w:tcW w:w="631" w:type="pct"/>
          </w:tcPr>
          <w:p>
            <w:pPr>
              <w:widowControl/>
              <w:spacing w:before="60" w:after="60" w:line="240" w:lineRule="auto"/>
              <w:ind w:left="720" w:hanging="360"/>
              <w:rPr>
                <w:rFonts w:eastAsia="MS Mincho"/>
                <w:noProof/>
                <w:szCs w:val="24"/>
              </w:rPr>
            </w:pPr>
            <w:r>
              <w:rPr>
                <w:noProof/>
              </w:rPr>
              <w:t>54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Pineau des Charentes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Pomerol</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Pommes et poires de Savoie/Pommes de Savoie/Poires de Savoie</w:t>
            </w:r>
          </w:p>
        </w:tc>
        <w:tc>
          <w:tcPr>
            <w:tcW w:w="1252" w:type="pct"/>
          </w:tcPr>
          <w:p>
            <w:pPr>
              <w:spacing w:before="60" w:after="60" w:line="240" w:lineRule="auto"/>
              <w:rPr>
                <w:rFonts w:eastAsia="MS Mincho"/>
                <w:noProof/>
                <w:szCs w:val="24"/>
              </w:rPr>
            </w:pPr>
            <w:r>
              <w:rPr>
                <w:noProof/>
              </w:rPr>
              <w:t>Fructe și fructe cu coajă lemnoasă proaspete și prelucrate [mere și pere]</w:t>
            </w:r>
          </w:p>
        </w:tc>
      </w:tr>
      <w:tr>
        <w:tc>
          <w:tcPr>
            <w:tcW w:w="631" w:type="pct"/>
          </w:tcPr>
          <w:p>
            <w:pPr>
              <w:widowControl/>
              <w:spacing w:before="60" w:after="60" w:line="240" w:lineRule="auto"/>
              <w:ind w:left="720" w:hanging="360"/>
              <w:rPr>
                <w:rFonts w:eastAsia="MS Mincho"/>
                <w:noProof/>
                <w:szCs w:val="24"/>
              </w:rPr>
            </w:pPr>
            <w:r>
              <w:rPr>
                <w:noProof/>
              </w:rPr>
              <w:t>57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Pomme du Limousin</w:t>
            </w:r>
          </w:p>
        </w:tc>
        <w:tc>
          <w:tcPr>
            <w:tcW w:w="1252" w:type="pct"/>
          </w:tcPr>
          <w:p>
            <w:pPr>
              <w:spacing w:before="60" w:after="60" w:line="240" w:lineRule="auto"/>
              <w:rPr>
                <w:rFonts w:eastAsia="MS Mincho"/>
                <w:noProof/>
                <w:szCs w:val="24"/>
              </w:rPr>
            </w:pPr>
            <w:r>
              <w:rPr>
                <w:noProof/>
              </w:rPr>
              <w:t>Fructe și fructe cu coajă lemnoasă proaspete și prelucrate [mere]</w:t>
            </w:r>
          </w:p>
        </w:tc>
      </w:tr>
      <w:tr>
        <w:tc>
          <w:tcPr>
            <w:tcW w:w="631" w:type="pct"/>
          </w:tcPr>
          <w:p>
            <w:pPr>
              <w:widowControl/>
              <w:spacing w:before="60" w:after="60" w:line="240" w:lineRule="auto"/>
              <w:ind w:left="720" w:hanging="360"/>
              <w:rPr>
                <w:rFonts w:eastAsia="MS Mincho"/>
                <w:noProof/>
                <w:szCs w:val="24"/>
              </w:rPr>
            </w:pPr>
            <w:r>
              <w:rPr>
                <w:noProof/>
              </w:rPr>
              <w:t>58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Pruneaux d'Agen</w:t>
            </w:r>
          </w:p>
        </w:tc>
        <w:tc>
          <w:tcPr>
            <w:tcW w:w="1252" w:type="pct"/>
          </w:tcPr>
          <w:p>
            <w:pPr>
              <w:spacing w:before="60" w:after="60" w:line="240" w:lineRule="auto"/>
              <w:rPr>
                <w:rFonts w:eastAsia="MS Mincho"/>
                <w:noProof/>
                <w:szCs w:val="24"/>
              </w:rPr>
            </w:pPr>
            <w:r>
              <w:rPr>
                <w:noProof/>
              </w:rPr>
              <w:t>Fructe și fructe cu coajă lemnoasă proaspete și prelucrate [prune]</w:t>
            </w:r>
          </w:p>
        </w:tc>
      </w:tr>
      <w:tr>
        <w:tc>
          <w:tcPr>
            <w:tcW w:w="631" w:type="pct"/>
          </w:tcPr>
          <w:p>
            <w:pPr>
              <w:widowControl/>
              <w:spacing w:before="60" w:after="60" w:line="240" w:lineRule="auto"/>
              <w:ind w:left="720" w:hanging="360"/>
              <w:rPr>
                <w:rFonts w:eastAsia="MS Mincho"/>
                <w:noProof/>
                <w:szCs w:val="24"/>
              </w:rPr>
            </w:pPr>
            <w:r>
              <w:rPr>
                <w:noProof/>
              </w:rPr>
              <w:t>59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Raviole du Dauphiné</w:t>
            </w:r>
          </w:p>
        </w:tc>
        <w:tc>
          <w:tcPr>
            <w:tcW w:w="1252" w:type="pct"/>
          </w:tcPr>
          <w:p>
            <w:pPr>
              <w:spacing w:before="60" w:after="60" w:line="240" w:lineRule="auto"/>
              <w:rPr>
                <w:rFonts w:eastAsia="MS Mincho"/>
                <w:noProof/>
                <w:szCs w:val="24"/>
              </w:rPr>
            </w:pPr>
            <w:r>
              <w:rPr>
                <w:noProof/>
              </w:rPr>
              <w:t>Paste făinoase</w:t>
            </w:r>
          </w:p>
        </w:tc>
      </w:tr>
      <w:tr>
        <w:tc>
          <w:tcPr>
            <w:tcW w:w="631" w:type="pct"/>
          </w:tcPr>
          <w:p>
            <w:pPr>
              <w:widowControl/>
              <w:spacing w:before="60" w:after="60" w:line="240" w:lineRule="auto"/>
              <w:ind w:left="720" w:hanging="360"/>
              <w:rPr>
                <w:rFonts w:eastAsia="MS Mincho"/>
                <w:noProof/>
                <w:szCs w:val="24"/>
              </w:rPr>
            </w:pPr>
            <w:r>
              <w:rPr>
                <w:noProof/>
              </w:rPr>
              <w:t>60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Reblochon/Reblochon de Savoie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61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sucrerie de la Baie du Galion</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Guadeloupe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Guyane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Martinique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Réunion</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des Antilles françaises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67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des départements français d'outre-mer</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Roquefort</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69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Saint-Emilion</w:t>
            </w:r>
          </w:p>
        </w:tc>
        <w:tc>
          <w:tcPr>
            <w:tcW w:w="1252" w:type="pct"/>
          </w:tcPr>
          <w:p>
            <w:pPr>
              <w:spacing w:before="60" w:after="60" w:line="240" w:lineRule="auto"/>
              <w:rPr>
                <w:rFonts w:eastAsia="MS Mincho"/>
                <w:noProof/>
                <w:szCs w:val="24"/>
              </w:rPr>
            </w:pPr>
            <w:r>
              <w:rPr>
                <w:noProof/>
              </w:rPr>
              <w:t>Vinuri</w:t>
            </w:r>
          </w:p>
        </w:tc>
      </w:tr>
      <w:tr>
        <w:tc>
          <w:tcPr>
            <w:tcW w:w="631" w:type="pct"/>
          </w:tcPr>
          <w:p>
            <w:pPr>
              <w:widowControl/>
              <w:spacing w:before="60" w:after="60" w:line="240" w:lineRule="auto"/>
              <w:ind w:left="720" w:hanging="360"/>
              <w:rPr>
                <w:rFonts w:eastAsia="MS Mincho"/>
                <w:noProof/>
                <w:szCs w:val="24"/>
              </w:rPr>
            </w:pPr>
            <w:r>
              <w:rPr>
                <w:noProof/>
              </w:rPr>
              <w:t>70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Sauternes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Touraine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Val de Loire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Ventoux</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Vin de Savoie / Savoie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75</w:t>
            </w:r>
            <w:r>
              <w:rPr>
                <w:noProof/>
              </w:rPr>
              <w:tab/>
            </w:r>
          </w:p>
        </w:tc>
        <w:tc>
          <w:tcPr>
            <w:tcW w:w="975" w:type="pct"/>
          </w:tcPr>
          <w:p>
            <w:pPr>
              <w:spacing w:before="60" w:after="60" w:line="240" w:lineRule="auto"/>
              <w:rPr>
                <w:rFonts w:eastAsia="MS Mincho"/>
                <w:noProof/>
                <w:szCs w:val="24"/>
              </w:rPr>
            </w:pPr>
            <w:r>
              <w:rPr>
                <w:noProof/>
              </w:rPr>
              <w:t>Germania, Austria, Belgia</w:t>
            </w:r>
          </w:p>
        </w:tc>
        <w:tc>
          <w:tcPr>
            <w:tcW w:w="2141" w:type="pct"/>
          </w:tcPr>
          <w:p>
            <w:pPr>
              <w:spacing w:before="60" w:after="60" w:line="240" w:lineRule="auto"/>
              <w:rPr>
                <w:rFonts w:eastAsia="MS Mincho"/>
                <w:noProof/>
                <w:szCs w:val="24"/>
              </w:rPr>
            </w:pPr>
            <w:r>
              <w:rPr>
                <w:noProof/>
              </w:rPr>
              <w:t>Korn / Kornbrand</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76</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Bayerisches Bier</w:t>
            </w:r>
          </w:p>
        </w:tc>
        <w:tc>
          <w:tcPr>
            <w:tcW w:w="1252" w:type="pct"/>
          </w:tcPr>
          <w:p>
            <w:pPr>
              <w:spacing w:before="60" w:after="60" w:line="240" w:lineRule="auto"/>
              <w:rPr>
                <w:rFonts w:eastAsia="MS Mincho"/>
                <w:noProof/>
                <w:szCs w:val="24"/>
              </w:rPr>
            </w:pPr>
            <w:r>
              <w:rPr>
                <w:noProof/>
              </w:rPr>
              <w:t>Bere</w:t>
            </w:r>
          </w:p>
        </w:tc>
      </w:tr>
      <w:tr>
        <w:tc>
          <w:tcPr>
            <w:tcW w:w="631" w:type="pct"/>
          </w:tcPr>
          <w:p>
            <w:pPr>
              <w:widowControl/>
              <w:spacing w:before="60" w:after="60" w:line="240" w:lineRule="auto"/>
              <w:ind w:left="720" w:hanging="360"/>
              <w:rPr>
                <w:rFonts w:eastAsia="MS Mincho"/>
                <w:noProof/>
                <w:szCs w:val="24"/>
              </w:rPr>
            </w:pPr>
            <w:r>
              <w:rPr>
                <w:noProof/>
              </w:rPr>
              <w:t>77</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Franken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78</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Lübecker Marzipan</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[marțipan]</w:t>
            </w:r>
          </w:p>
        </w:tc>
      </w:tr>
      <w:tr>
        <w:tc>
          <w:tcPr>
            <w:tcW w:w="631" w:type="pct"/>
          </w:tcPr>
          <w:p>
            <w:pPr>
              <w:widowControl/>
              <w:spacing w:before="60" w:after="60" w:line="240" w:lineRule="auto"/>
              <w:ind w:left="720" w:hanging="360"/>
              <w:rPr>
                <w:rFonts w:eastAsia="MS Mincho"/>
                <w:noProof/>
                <w:szCs w:val="24"/>
              </w:rPr>
            </w:pPr>
            <w:r>
              <w:rPr>
                <w:noProof/>
              </w:rPr>
              <w:t>79</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Mittelrhein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80</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Mosel</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81</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Münchener Bier</w:t>
            </w:r>
          </w:p>
        </w:tc>
        <w:tc>
          <w:tcPr>
            <w:tcW w:w="1252" w:type="pct"/>
          </w:tcPr>
          <w:p>
            <w:pPr>
              <w:spacing w:before="60" w:after="60" w:line="240" w:lineRule="auto"/>
              <w:rPr>
                <w:rFonts w:eastAsia="MS Mincho"/>
                <w:noProof/>
                <w:szCs w:val="24"/>
              </w:rPr>
            </w:pPr>
            <w:r>
              <w:rPr>
                <w:noProof/>
              </w:rPr>
              <w:t>Bere</w:t>
            </w:r>
          </w:p>
        </w:tc>
      </w:tr>
      <w:tr>
        <w:tc>
          <w:tcPr>
            <w:tcW w:w="631" w:type="pct"/>
          </w:tcPr>
          <w:p>
            <w:pPr>
              <w:widowControl/>
              <w:spacing w:before="60" w:after="60" w:line="240" w:lineRule="auto"/>
              <w:ind w:left="720" w:hanging="360"/>
              <w:rPr>
                <w:rFonts w:eastAsia="MS Mincho"/>
                <w:noProof/>
                <w:szCs w:val="24"/>
              </w:rPr>
            </w:pPr>
            <w:r>
              <w:rPr>
                <w:noProof/>
              </w:rPr>
              <w:t>82</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Nürnberger Bratwürste/ Nürnberger Rostbratwürste</w:t>
            </w:r>
          </w:p>
        </w:tc>
        <w:tc>
          <w:tcPr>
            <w:tcW w:w="1252" w:type="pct"/>
          </w:tcPr>
          <w:p>
            <w:pPr>
              <w:spacing w:before="60" w:after="60" w:line="240" w:lineRule="auto"/>
              <w:rPr>
                <w:rFonts w:eastAsia="MS Mincho"/>
                <w:noProof/>
                <w:szCs w:val="24"/>
              </w:rPr>
            </w:pPr>
            <w:r>
              <w:rPr>
                <w:noProof/>
              </w:rPr>
              <w:t>Carne proaspătă, congelată și prelucrată [cârnați]</w:t>
            </w:r>
          </w:p>
        </w:tc>
      </w:tr>
      <w:tr>
        <w:tc>
          <w:tcPr>
            <w:tcW w:w="631" w:type="pct"/>
          </w:tcPr>
          <w:p>
            <w:pPr>
              <w:widowControl/>
              <w:spacing w:before="60" w:after="60" w:line="240" w:lineRule="auto"/>
              <w:ind w:left="720" w:hanging="360"/>
              <w:rPr>
                <w:rFonts w:eastAsia="MS Mincho"/>
                <w:noProof/>
                <w:szCs w:val="24"/>
              </w:rPr>
            </w:pPr>
            <w:r>
              <w:rPr>
                <w:noProof/>
              </w:rPr>
              <w:t>83</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Rheingau</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84</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Rheinhessen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85</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Schwarzwälder Schinken</w:t>
            </w:r>
          </w:p>
        </w:tc>
        <w:tc>
          <w:tcPr>
            <w:tcW w:w="1252" w:type="pct"/>
          </w:tcPr>
          <w:p>
            <w:pPr>
              <w:spacing w:before="60" w:after="60" w:line="240" w:lineRule="auto"/>
              <w:rPr>
                <w:rFonts w:eastAsia="MS Mincho"/>
                <w:noProof/>
                <w:szCs w:val="24"/>
              </w:rPr>
            </w:pPr>
            <w:r>
              <w:rPr>
                <w:noProof/>
              </w:rPr>
              <w:t>Carne proaspătă, congelată și prelucrată [jambon]</w:t>
            </w:r>
          </w:p>
        </w:tc>
      </w:tr>
      <w:tr>
        <w:tc>
          <w:tcPr>
            <w:tcW w:w="631" w:type="pct"/>
          </w:tcPr>
          <w:p>
            <w:pPr>
              <w:widowControl/>
              <w:spacing w:before="60" w:after="60" w:line="240" w:lineRule="auto"/>
              <w:ind w:left="720" w:hanging="360"/>
              <w:rPr>
                <w:rFonts w:eastAsia="MS Mincho"/>
                <w:noProof/>
                <w:szCs w:val="24"/>
              </w:rPr>
            </w:pPr>
            <w:r>
              <w:rPr>
                <w:noProof/>
              </w:rPr>
              <w:t>86</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Ελιά Καλαμάτας (</w:t>
            </w:r>
            <w:r>
              <w:rPr>
                <w:i/>
                <w:noProof/>
              </w:rPr>
              <w:t>transcriere în alfabetul latin:</w:t>
            </w:r>
            <w:r>
              <w:rPr>
                <w:noProof/>
              </w:rPr>
              <w:t xml:space="preserve"> Elia Kalamatas)</w:t>
            </w:r>
          </w:p>
        </w:tc>
        <w:tc>
          <w:tcPr>
            <w:tcW w:w="1252" w:type="pct"/>
          </w:tcPr>
          <w:p>
            <w:pPr>
              <w:spacing w:before="60" w:after="60" w:line="240" w:lineRule="auto"/>
              <w:rPr>
                <w:rFonts w:eastAsia="MS Mincho"/>
                <w:noProof/>
                <w:szCs w:val="24"/>
              </w:rPr>
            </w:pPr>
            <w:r>
              <w:rPr>
                <w:noProof/>
              </w:rPr>
              <w:t>Măsline de masă și prelucrate [măsline de masă]</w:t>
            </w:r>
          </w:p>
        </w:tc>
      </w:tr>
      <w:tr>
        <w:tc>
          <w:tcPr>
            <w:tcW w:w="631" w:type="pct"/>
          </w:tcPr>
          <w:p>
            <w:pPr>
              <w:widowControl/>
              <w:spacing w:before="60" w:after="60" w:line="240" w:lineRule="auto"/>
              <w:ind w:left="720" w:hanging="360"/>
              <w:rPr>
                <w:rFonts w:eastAsia="MS Mincho"/>
                <w:noProof/>
                <w:szCs w:val="24"/>
              </w:rPr>
            </w:pPr>
            <w:r>
              <w:rPr>
                <w:noProof/>
              </w:rPr>
              <w:t>87</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Καλαμάτα (</w:t>
            </w:r>
            <w:r>
              <w:rPr>
                <w:i/>
                <w:noProof/>
              </w:rPr>
              <w:t>transcriere în alfabetul latin:</w:t>
            </w:r>
            <w:r>
              <w:rPr>
                <w:noProof/>
              </w:rPr>
              <w:t xml:space="preserve"> Kalamata)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88</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Κασέρι (</w:t>
            </w:r>
            <w:r>
              <w:rPr>
                <w:i/>
                <w:noProof/>
              </w:rPr>
              <w:t>transcriere în alfabetul latin:</w:t>
            </w:r>
            <w:r>
              <w:rPr>
                <w:noProof/>
              </w:rPr>
              <w:t xml:space="preserve"> Kasseri)</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89</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 xml:space="preserve">Κεφαλογραβιέρα </w:t>
            </w:r>
            <w:r>
              <w:rPr>
                <w:i/>
                <w:noProof/>
              </w:rPr>
              <w:t xml:space="preserve">(transcriere în alfabetul latin: </w:t>
            </w:r>
            <w:r>
              <w:rPr>
                <w:noProof/>
              </w:rPr>
              <w:t>Kefalograviera)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90</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Κορινθιακή Σταφίδα Βοστίτσα (</w:t>
            </w:r>
            <w:r>
              <w:rPr>
                <w:i/>
                <w:noProof/>
              </w:rPr>
              <w:t xml:space="preserve">transcriere în alfabetul latin: </w:t>
            </w:r>
            <w:r>
              <w:rPr>
                <w:noProof/>
              </w:rPr>
              <w:t>Korinthiaki Stafida Vostitsa</w:t>
            </w:r>
            <w:r>
              <w:rPr>
                <w:i/>
                <w:noProof/>
              </w:rPr>
              <w:t>)</w:t>
            </w:r>
          </w:p>
        </w:tc>
        <w:tc>
          <w:tcPr>
            <w:tcW w:w="1252" w:type="pct"/>
          </w:tcPr>
          <w:p>
            <w:pPr>
              <w:spacing w:before="60" w:after="60" w:line="240" w:lineRule="auto"/>
              <w:rPr>
                <w:rFonts w:eastAsia="MS Mincho"/>
                <w:noProof/>
                <w:szCs w:val="24"/>
              </w:rPr>
            </w:pPr>
            <w:r>
              <w:rPr>
                <w:noProof/>
              </w:rPr>
              <w:t>Fructe și fructe cu coajă lemnoasă proaspete și prelucrate [struguri]</w:t>
            </w:r>
          </w:p>
        </w:tc>
      </w:tr>
      <w:tr>
        <w:tc>
          <w:tcPr>
            <w:tcW w:w="631" w:type="pct"/>
          </w:tcPr>
          <w:p>
            <w:pPr>
              <w:widowControl/>
              <w:spacing w:before="60" w:after="60" w:line="240" w:lineRule="auto"/>
              <w:ind w:left="720" w:hanging="360"/>
              <w:rPr>
                <w:rFonts w:eastAsia="MS Mincho"/>
                <w:noProof/>
                <w:szCs w:val="24"/>
              </w:rPr>
            </w:pPr>
            <w:r>
              <w:rPr>
                <w:noProof/>
              </w:rPr>
              <w:t>91</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 xml:space="preserve">Κρόκος Κοζάνης </w:t>
            </w:r>
            <w:r>
              <w:rPr>
                <w:i/>
                <w:noProof/>
              </w:rPr>
              <w:t xml:space="preserve">(transcriere în alfabetul latin: </w:t>
            </w:r>
            <w:r>
              <w:rPr>
                <w:noProof/>
              </w:rPr>
              <w:t>Krokos Kozanis</w:t>
            </w:r>
            <w:r>
              <w:rPr>
                <w:i/>
                <w:noProof/>
              </w:rPr>
              <w:t>)</w:t>
            </w:r>
          </w:p>
        </w:tc>
        <w:tc>
          <w:tcPr>
            <w:tcW w:w="1252" w:type="pct"/>
          </w:tcPr>
          <w:p>
            <w:pPr>
              <w:spacing w:before="60" w:after="60" w:line="240" w:lineRule="auto"/>
              <w:rPr>
                <w:rFonts w:eastAsia="MS Mincho"/>
                <w:noProof/>
                <w:szCs w:val="24"/>
              </w:rPr>
            </w:pPr>
            <w:r>
              <w:rPr>
                <w:noProof/>
              </w:rPr>
              <w:t>Alte produse din anexa I la tratat [condimente]</w:t>
            </w:r>
          </w:p>
        </w:tc>
      </w:tr>
      <w:tr>
        <w:tc>
          <w:tcPr>
            <w:tcW w:w="631" w:type="pct"/>
          </w:tcPr>
          <w:p>
            <w:pPr>
              <w:widowControl/>
              <w:spacing w:before="60" w:after="60" w:line="240" w:lineRule="auto"/>
              <w:ind w:left="720" w:hanging="360"/>
              <w:rPr>
                <w:rFonts w:eastAsia="MS Mincho"/>
                <w:noProof/>
                <w:szCs w:val="24"/>
              </w:rPr>
            </w:pPr>
            <w:r>
              <w:rPr>
                <w:noProof/>
              </w:rPr>
              <w:t>92</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Λακωνία (</w:t>
            </w:r>
            <w:r>
              <w:rPr>
                <w:i/>
                <w:noProof/>
              </w:rPr>
              <w:t>transcriere în alfabetul latin:</w:t>
            </w:r>
            <w:r>
              <w:rPr>
                <w:noProof/>
              </w:rPr>
              <w:t xml:space="preserve"> Lakonia)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93</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Μαστίχα Χίου (</w:t>
            </w:r>
            <w:r>
              <w:rPr>
                <w:i/>
                <w:noProof/>
              </w:rPr>
              <w:t>transcriere în alfabetul latin:</w:t>
            </w:r>
            <w:r>
              <w:rPr>
                <w:noProof/>
              </w:rPr>
              <w:t xml:space="preserve"> Masticha Chiou)</w:t>
            </w:r>
          </w:p>
        </w:tc>
        <w:tc>
          <w:tcPr>
            <w:tcW w:w="1252" w:type="pct"/>
          </w:tcPr>
          <w:p>
            <w:pPr>
              <w:spacing w:before="60" w:after="60" w:line="240" w:lineRule="auto"/>
              <w:rPr>
                <w:rFonts w:eastAsia="MS Mincho"/>
                <w:noProof/>
                <w:szCs w:val="24"/>
              </w:rPr>
            </w:pPr>
            <w:r>
              <w:rPr>
                <w:noProof/>
              </w:rPr>
              <w:t>Gume și rășini naturale</w:t>
            </w:r>
          </w:p>
        </w:tc>
      </w:tr>
      <w:tr>
        <w:tc>
          <w:tcPr>
            <w:tcW w:w="631" w:type="pct"/>
          </w:tcPr>
          <w:p>
            <w:pPr>
              <w:widowControl/>
              <w:spacing w:before="60" w:after="60" w:line="240" w:lineRule="auto"/>
              <w:ind w:left="720" w:hanging="360"/>
              <w:rPr>
                <w:rFonts w:eastAsia="MS Mincho"/>
                <w:noProof/>
                <w:szCs w:val="24"/>
              </w:rPr>
            </w:pPr>
            <w:r>
              <w:rPr>
                <w:noProof/>
              </w:rPr>
              <w:t>94</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Νεμέα (</w:t>
            </w:r>
            <w:r>
              <w:rPr>
                <w:i/>
                <w:noProof/>
              </w:rPr>
              <w:t>transcriere în alfabetul latin:</w:t>
            </w:r>
            <w:r>
              <w:rPr>
                <w:noProof/>
              </w:rPr>
              <w:t xml:space="preserve"> Nemea)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95</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Πεζά Ηρακλείου Κρήτης (</w:t>
            </w:r>
            <w:r>
              <w:rPr>
                <w:i/>
                <w:noProof/>
              </w:rPr>
              <w:t>transcriere în alfabetul latin:</w:t>
            </w:r>
            <w:r>
              <w:rPr>
                <w:noProof/>
              </w:rPr>
              <w:t xml:space="preserve"> Peza Irakliou Kritis)</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96</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Πελοπόννησος (</w:t>
            </w:r>
            <w:r>
              <w:rPr>
                <w:i/>
                <w:noProof/>
              </w:rPr>
              <w:t>transcriere în alfabetul latin:</w:t>
            </w:r>
            <w:r>
              <w:rPr>
                <w:noProof/>
              </w:rPr>
              <w:t xml:space="preserve"> Peloponissos)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97</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Ρετσίνα Αττικής (</w:t>
            </w:r>
            <w:r>
              <w:rPr>
                <w:i/>
                <w:noProof/>
              </w:rPr>
              <w:t>transcriere în alfabetul latin:</w:t>
            </w:r>
            <w:r>
              <w:rPr>
                <w:noProof/>
              </w:rPr>
              <w:t xml:space="preserve"> Retsina Attikis)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98</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Σάμος (</w:t>
            </w:r>
            <w:r>
              <w:rPr>
                <w:i/>
                <w:noProof/>
              </w:rPr>
              <w:t>transcriere în alfabetul latin:</w:t>
            </w:r>
            <w:r>
              <w:rPr>
                <w:noProof/>
              </w:rPr>
              <w:t xml:space="preserve"> Samos)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99</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Σητεία Λασιθίου Κρήτης (</w:t>
            </w:r>
            <w:r>
              <w:rPr>
                <w:i/>
                <w:noProof/>
              </w:rPr>
              <w:t>transcriere în alfabetul latin:</w:t>
            </w:r>
            <w:r>
              <w:rPr>
                <w:noProof/>
              </w:rPr>
              <w:t xml:space="preserve"> Sitia Lasithiou Kritis)</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100</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Φέτα (</w:t>
            </w:r>
            <w:r>
              <w:rPr>
                <w:i/>
                <w:noProof/>
              </w:rPr>
              <w:t>transcriere în alfabetul latin:</w:t>
            </w:r>
            <w:r>
              <w:rPr>
                <w:noProof/>
              </w:rPr>
              <w:t xml:space="preserve"> Feta)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101</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Χανιά Κρήτης (</w:t>
            </w:r>
            <w:r>
              <w:rPr>
                <w:i/>
                <w:noProof/>
              </w:rPr>
              <w:t>transcriere în alfabetul latin:</w:t>
            </w:r>
            <w:r>
              <w:rPr>
                <w:noProof/>
              </w:rPr>
              <w:t xml:space="preserve"> Chania Kritis)</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102</w:t>
            </w:r>
            <w:r>
              <w:rPr>
                <w:noProof/>
              </w:rPr>
              <w:tab/>
            </w:r>
          </w:p>
        </w:tc>
        <w:tc>
          <w:tcPr>
            <w:tcW w:w="975" w:type="pct"/>
          </w:tcPr>
          <w:p>
            <w:pPr>
              <w:spacing w:before="60" w:after="60" w:line="240" w:lineRule="auto"/>
              <w:rPr>
                <w:rFonts w:eastAsia="MS Mincho"/>
                <w:noProof/>
                <w:szCs w:val="24"/>
              </w:rPr>
            </w:pPr>
            <w:r>
              <w:rPr>
                <w:noProof/>
              </w:rPr>
              <w:t>Grecia, Cipru</w:t>
            </w:r>
          </w:p>
        </w:tc>
        <w:tc>
          <w:tcPr>
            <w:tcW w:w="2141" w:type="pct"/>
          </w:tcPr>
          <w:p>
            <w:pPr>
              <w:spacing w:before="60" w:after="60" w:line="240" w:lineRule="auto"/>
              <w:rPr>
                <w:rFonts w:eastAsia="MS Mincho"/>
                <w:noProof/>
                <w:szCs w:val="24"/>
              </w:rPr>
            </w:pPr>
            <w:r>
              <w:rPr>
                <w:noProof/>
              </w:rPr>
              <w:t>Ούζο (</w:t>
            </w:r>
            <w:r>
              <w:rPr>
                <w:i/>
                <w:noProof/>
              </w:rPr>
              <w:t>transcriere în alfabetul latin</w:t>
            </w:r>
            <w:r>
              <w:rPr>
                <w:noProof/>
              </w:rPr>
              <w:t>: Ouzo)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103</w:t>
            </w:r>
            <w:r>
              <w:rPr>
                <w:noProof/>
              </w:rPr>
              <w:tab/>
            </w:r>
          </w:p>
        </w:tc>
        <w:tc>
          <w:tcPr>
            <w:tcW w:w="975" w:type="pct"/>
          </w:tcPr>
          <w:p>
            <w:pPr>
              <w:spacing w:before="60" w:after="60" w:line="240" w:lineRule="auto"/>
              <w:rPr>
                <w:rFonts w:eastAsia="MS Mincho"/>
                <w:noProof/>
                <w:szCs w:val="24"/>
              </w:rPr>
            </w:pPr>
            <w:r>
              <w:rPr>
                <w:noProof/>
              </w:rPr>
              <w:t>Ungaria, Austria</w:t>
            </w:r>
          </w:p>
        </w:tc>
        <w:tc>
          <w:tcPr>
            <w:tcW w:w="2141" w:type="pct"/>
          </w:tcPr>
          <w:p>
            <w:pPr>
              <w:spacing w:before="60" w:after="60" w:line="240" w:lineRule="auto"/>
              <w:rPr>
                <w:rFonts w:eastAsia="MS Mincho"/>
                <w:noProof/>
                <w:szCs w:val="24"/>
              </w:rPr>
            </w:pPr>
            <w:r>
              <w:rPr>
                <w:noProof/>
              </w:rPr>
              <w:t>Pálinka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104</w:t>
            </w:r>
            <w:r>
              <w:rPr>
                <w:noProof/>
              </w:rPr>
              <w:tab/>
            </w:r>
          </w:p>
        </w:tc>
        <w:tc>
          <w:tcPr>
            <w:tcW w:w="975" w:type="pct"/>
          </w:tcPr>
          <w:p>
            <w:pPr>
              <w:spacing w:before="60" w:after="60" w:line="240" w:lineRule="auto"/>
              <w:rPr>
                <w:rFonts w:eastAsia="MS Mincho"/>
                <w:noProof/>
                <w:szCs w:val="24"/>
              </w:rPr>
            </w:pPr>
            <w:r>
              <w:rPr>
                <w:noProof/>
              </w:rPr>
              <w:t>Ungaria</w:t>
            </w:r>
          </w:p>
        </w:tc>
        <w:tc>
          <w:tcPr>
            <w:tcW w:w="2141" w:type="pct"/>
          </w:tcPr>
          <w:p>
            <w:pPr>
              <w:spacing w:before="60" w:after="60" w:line="240" w:lineRule="auto"/>
              <w:rPr>
                <w:rFonts w:eastAsia="MS Mincho"/>
                <w:noProof/>
                <w:szCs w:val="24"/>
              </w:rPr>
            </w:pPr>
            <w:r>
              <w:rPr>
                <w:noProof/>
              </w:rPr>
              <w:t>Tokaj/Tokaji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105</w:t>
            </w:r>
            <w:r>
              <w:rPr>
                <w:noProof/>
              </w:rPr>
              <w:tab/>
            </w:r>
          </w:p>
        </w:tc>
        <w:tc>
          <w:tcPr>
            <w:tcW w:w="975" w:type="pct"/>
          </w:tcPr>
          <w:p>
            <w:pPr>
              <w:spacing w:before="60" w:after="60" w:line="240" w:lineRule="auto"/>
              <w:rPr>
                <w:rFonts w:eastAsia="MS Mincho"/>
                <w:noProof/>
                <w:szCs w:val="24"/>
              </w:rPr>
            </w:pPr>
            <w:r>
              <w:rPr>
                <w:noProof/>
              </w:rPr>
              <w:t>Ungaria</w:t>
            </w:r>
          </w:p>
        </w:tc>
        <w:tc>
          <w:tcPr>
            <w:tcW w:w="2141" w:type="pct"/>
          </w:tcPr>
          <w:p>
            <w:pPr>
              <w:spacing w:before="60" w:after="60" w:line="240" w:lineRule="auto"/>
              <w:rPr>
                <w:rFonts w:eastAsia="MS Mincho"/>
                <w:noProof/>
                <w:szCs w:val="24"/>
              </w:rPr>
            </w:pPr>
            <w:r>
              <w:rPr>
                <w:noProof/>
              </w:rPr>
              <w:t>Törkölypálinka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106</w:t>
            </w:r>
            <w:r>
              <w:rPr>
                <w:noProof/>
              </w:rPr>
              <w:tab/>
            </w:r>
          </w:p>
        </w:tc>
        <w:tc>
          <w:tcPr>
            <w:tcW w:w="975" w:type="pct"/>
          </w:tcPr>
          <w:p>
            <w:pPr>
              <w:spacing w:before="60" w:after="60" w:line="240" w:lineRule="auto"/>
              <w:rPr>
                <w:rFonts w:eastAsia="MS Mincho"/>
                <w:noProof/>
                <w:szCs w:val="24"/>
              </w:rPr>
            </w:pPr>
            <w:r>
              <w:rPr>
                <w:noProof/>
              </w:rPr>
              <w:t>Irlanda, Regatul Unit (Irlanda de Nord)</w:t>
            </w:r>
          </w:p>
        </w:tc>
        <w:tc>
          <w:tcPr>
            <w:tcW w:w="2141" w:type="pct"/>
          </w:tcPr>
          <w:p>
            <w:pPr>
              <w:spacing w:before="60" w:after="60" w:line="240" w:lineRule="auto"/>
              <w:rPr>
                <w:rFonts w:eastAsia="MS Mincho"/>
                <w:noProof/>
                <w:szCs w:val="24"/>
              </w:rPr>
            </w:pPr>
            <w:r>
              <w:rPr>
                <w:noProof/>
              </w:rPr>
              <w:t>Irish Cream</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107</w:t>
            </w:r>
            <w:r>
              <w:rPr>
                <w:noProof/>
              </w:rPr>
              <w:tab/>
            </w:r>
          </w:p>
        </w:tc>
        <w:tc>
          <w:tcPr>
            <w:tcW w:w="975" w:type="pct"/>
          </w:tcPr>
          <w:p>
            <w:pPr>
              <w:spacing w:before="60" w:after="60" w:line="240" w:lineRule="auto"/>
              <w:rPr>
                <w:rFonts w:eastAsia="MS Mincho"/>
                <w:noProof/>
                <w:szCs w:val="24"/>
              </w:rPr>
            </w:pPr>
            <w:r>
              <w:rPr>
                <w:noProof/>
              </w:rPr>
              <w:t>Irlanda, Regatul Unit (Irlanda de Nord)</w:t>
            </w:r>
          </w:p>
        </w:tc>
        <w:tc>
          <w:tcPr>
            <w:tcW w:w="2141" w:type="pct"/>
          </w:tcPr>
          <w:p>
            <w:pPr>
              <w:spacing w:before="60" w:after="60" w:line="240" w:lineRule="auto"/>
              <w:rPr>
                <w:rFonts w:eastAsia="MS Mincho"/>
                <w:noProof/>
                <w:szCs w:val="24"/>
              </w:rPr>
            </w:pPr>
            <w:r>
              <w:rPr>
                <w:noProof/>
              </w:rPr>
              <w:t>Irish Whiskey / Uisce Beatha Eireannach / Irish Whisky</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108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Aceto Balsamico di Modena</w:t>
            </w:r>
          </w:p>
        </w:tc>
        <w:tc>
          <w:tcPr>
            <w:tcW w:w="1252" w:type="pct"/>
          </w:tcPr>
          <w:p>
            <w:pPr>
              <w:spacing w:before="60" w:after="60" w:line="240" w:lineRule="auto"/>
              <w:rPr>
                <w:rFonts w:eastAsia="MS Mincho"/>
                <w:noProof/>
                <w:szCs w:val="24"/>
              </w:rPr>
            </w:pPr>
            <w:r>
              <w:rPr>
                <w:noProof/>
              </w:rPr>
              <w:t>Oțet</w:t>
            </w:r>
          </w:p>
        </w:tc>
      </w:tr>
      <w:tr>
        <w:tc>
          <w:tcPr>
            <w:tcW w:w="631" w:type="pct"/>
          </w:tcPr>
          <w:p>
            <w:pPr>
              <w:widowControl/>
              <w:spacing w:before="60" w:after="60" w:line="240" w:lineRule="auto"/>
              <w:ind w:left="720" w:hanging="360"/>
              <w:rPr>
                <w:rFonts w:eastAsia="MS Mincho"/>
                <w:noProof/>
                <w:szCs w:val="24"/>
              </w:rPr>
            </w:pPr>
            <w:r>
              <w:rPr>
                <w:noProof/>
              </w:rPr>
              <w:t>109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Brachetto d'Acqui / Acqui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Asiago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111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Asti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Barbaresco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Bardolino Superiore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Barolo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Bresaola della Valtellina</w:t>
            </w:r>
          </w:p>
        </w:tc>
        <w:tc>
          <w:tcPr>
            <w:tcW w:w="1252" w:type="pct"/>
          </w:tcPr>
          <w:p>
            <w:pPr>
              <w:spacing w:before="60" w:after="60" w:line="240" w:lineRule="auto"/>
              <w:rPr>
                <w:rFonts w:eastAsia="MS Mincho"/>
                <w:noProof/>
                <w:szCs w:val="24"/>
              </w:rPr>
            </w:pPr>
            <w:r>
              <w:rPr>
                <w:noProof/>
              </w:rPr>
              <w:t>Carne proaspătă, congelată și prelucrată [carne de vită uscată și sărată]</w:t>
            </w:r>
          </w:p>
        </w:tc>
      </w:tr>
      <w:tr>
        <w:tc>
          <w:tcPr>
            <w:tcW w:w="631" w:type="pct"/>
          </w:tcPr>
          <w:p>
            <w:pPr>
              <w:widowControl/>
              <w:spacing w:before="60" w:after="60" w:line="240" w:lineRule="auto"/>
              <w:ind w:left="720" w:hanging="360"/>
              <w:rPr>
                <w:rFonts w:eastAsia="MS Mincho"/>
                <w:noProof/>
                <w:szCs w:val="24"/>
              </w:rPr>
            </w:pPr>
            <w:r>
              <w:rPr>
                <w:noProof/>
              </w:rPr>
              <w:t>116</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Brunello di Montalcino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117</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Chianti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Conegliano Valdobbiadene – Prosecco / Valdobbiadene – Prosecco / Conegliano – Prosecco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Dolcetto d'Alba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Fontina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121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Franciacorta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Gorgonzola</w:t>
            </w:r>
            <w:r>
              <w:rPr>
                <w:b/>
                <w:noProof/>
                <w:vertAlign w:val="superscript"/>
              </w:rPr>
              <w:t>*</w:t>
            </w:r>
          </w:p>
        </w:tc>
        <w:tc>
          <w:tcPr>
            <w:tcW w:w="1252" w:type="pct"/>
          </w:tcPr>
          <w:p>
            <w:pPr>
              <w:spacing w:before="60" w:after="60" w:line="240" w:lineRule="auto"/>
              <w:rPr>
                <w:rFonts w:eastAsia="MS Mincho"/>
                <w:noProof/>
                <w:szCs w:val="24"/>
              </w:rPr>
            </w:pPr>
            <w:r>
              <w:rPr>
                <w:noProof/>
              </w:rPr>
              <w:t>Brânză</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123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Grana Padano</w:t>
            </w:r>
            <w:r>
              <w:rPr>
                <w:b/>
                <w:noProof/>
                <w:vertAlign w:val="superscript"/>
              </w:rPr>
              <w:t>*</w:t>
            </w:r>
          </w:p>
        </w:tc>
        <w:tc>
          <w:tcPr>
            <w:tcW w:w="1252" w:type="pct"/>
          </w:tcPr>
          <w:p>
            <w:pPr>
              <w:spacing w:before="60" w:after="60" w:line="240" w:lineRule="auto"/>
              <w:rPr>
                <w:rFonts w:eastAsia="MS Mincho"/>
                <w:noProof/>
                <w:szCs w:val="24"/>
              </w:rPr>
            </w:pPr>
            <w:r>
              <w:rPr>
                <w:noProof/>
              </w:rPr>
              <w:t>Brânză</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rPr>
            </w:pP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124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Grappa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125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Kiwi Latina</w:t>
            </w:r>
          </w:p>
        </w:tc>
        <w:tc>
          <w:tcPr>
            <w:tcW w:w="1252" w:type="pct"/>
          </w:tcPr>
          <w:p>
            <w:pPr>
              <w:spacing w:before="60" w:after="60" w:line="240" w:lineRule="auto"/>
              <w:rPr>
                <w:rFonts w:eastAsia="MS Mincho"/>
                <w:noProof/>
                <w:szCs w:val="24"/>
              </w:rPr>
            </w:pPr>
            <w:r>
              <w:rPr>
                <w:noProof/>
              </w:rPr>
              <w:t>Fructe și fructe cu coajă lemnoasă proaspete și prelucrate [kiwi]</w:t>
            </w:r>
          </w:p>
        </w:tc>
      </w:tr>
      <w:tr>
        <w:tc>
          <w:tcPr>
            <w:tcW w:w="631" w:type="pct"/>
          </w:tcPr>
          <w:p>
            <w:pPr>
              <w:widowControl/>
              <w:spacing w:before="60" w:after="60" w:line="240" w:lineRule="auto"/>
              <w:ind w:left="720" w:hanging="360"/>
              <w:rPr>
                <w:rFonts w:eastAsia="MS Mincho"/>
                <w:noProof/>
                <w:szCs w:val="24"/>
              </w:rPr>
            </w:pPr>
            <w:r>
              <w:rPr>
                <w:noProof/>
              </w:rPr>
              <w:t>126</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Lambrusco di Sorbara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127</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Lambrusco Grasparossa di Castelvetro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Marsala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Mela Alto Adige / Südtiroler Apfel</w:t>
            </w:r>
          </w:p>
        </w:tc>
        <w:tc>
          <w:tcPr>
            <w:tcW w:w="1252" w:type="pct"/>
          </w:tcPr>
          <w:p>
            <w:pPr>
              <w:spacing w:before="60" w:after="60" w:line="240" w:lineRule="auto"/>
              <w:rPr>
                <w:rFonts w:eastAsia="MS Mincho"/>
                <w:noProof/>
                <w:szCs w:val="24"/>
              </w:rPr>
            </w:pPr>
            <w:r>
              <w:rPr>
                <w:noProof/>
              </w:rPr>
              <w:t>Fructe și fructe cu coajă lemnoasă proaspete și prelucrate [mere]</w:t>
            </w:r>
          </w:p>
        </w:tc>
      </w:tr>
      <w:tr>
        <w:tc>
          <w:tcPr>
            <w:tcW w:w="631" w:type="pct"/>
          </w:tcPr>
          <w:p>
            <w:pPr>
              <w:widowControl/>
              <w:spacing w:before="60" w:after="60" w:line="240" w:lineRule="auto"/>
              <w:ind w:left="720" w:hanging="360"/>
              <w:rPr>
                <w:rFonts w:eastAsia="MS Mincho"/>
                <w:noProof/>
                <w:szCs w:val="24"/>
              </w:rPr>
            </w:pPr>
            <w:r>
              <w:rPr>
                <w:noProof/>
              </w:rPr>
              <w:t>130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Montepulciano d’Abruzzo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131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Mortadella Bologna</w:t>
            </w:r>
          </w:p>
        </w:tc>
        <w:tc>
          <w:tcPr>
            <w:tcW w:w="1252" w:type="pct"/>
          </w:tcPr>
          <w:p>
            <w:pPr>
              <w:spacing w:before="60" w:after="60" w:line="240" w:lineRule="auto"/>
              <w:rPr>
                <w:rFonts w:eastAsia="MS Mincho"/>
                <w:noProof/>
                <w:szCs w:val="24"/>
              </w:rPr>
            </w:pPr>
            <w:r>
              <w:rPr>
                <w:noProof/>
              </w:rPr>
              <w:t>Carne proaspătă, congelată și prelucrată [mortadella]</w:t>
            </w:r>
          </w:p>
        </w:tc>
      </w:tr>
      <w:tr>
        <w:tc>
          <w:tcPr>
            <w:tcW w:w="631" w:type="pct"/>
          </w:tcPr>
          <w:p>
            <w:pPr>
              <w:widowControl/>
              <w:spacing w:before="60" w:after="60" w:line="240" w:lineRule="auto"/>
              <w:ind w:left="720" w:hanging="360"/>
              <w:rPr>
                <w:rFonts w:eastAsia="MS Mincho"/>
                <w:noProof/>
                <w:szCs w:val="24"/>
              </w:rPr>
            </w:pPr>
            <w:r>
              <w:rPr>
                <w:noProof/>
              </w:rPr>
              <w:t>132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Mozzarella di Bufala Campana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133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Parmigiano Reggiano</w:t>
            </w:r>
            <w:r>
              <w:rPr>
                <w:b/>
                <w:noProof/>
                <w:vertAlign w:val="superscript"/>
              </w:rPr>
              <w:t>*</w:t>
            </w:r>
          </w:p>
        </w:tc>
        <w:tc>
          <w:tcPr>
            <w:tcW w:w="1252" w:type="pct"/>
          </w:tcPr>
          <w:p>
            <w:pPr>
              <w:spacing w:before="60" w:after="60" w:line="240" w:lineRule="auto"/>
              <w:rPr>
                <w:rFonts w:eastAsia="MS Mincho"/>
                <w:noProof/>
                <w:szCs w:val="24"/>
              </w:rPr>
            </w:pPr>
            <w:r>
              <w:rPr>
                <w:noProof/>
              </w:rPr>
              <w:t>Brânză</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134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Pecorino Romano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135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Prosciutto di Parma</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136</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Prosciutto di San Daniele</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137</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Prosciutto Toscano</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138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Prosecco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139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Provolone Valpadana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140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Sicilia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Soave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Taleggio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143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Toscano / Toscana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Veneto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Vino Nobile di Montepulciano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146</w:t>
            </w:r>
            <w:r>
              <w:rPr>
                <w:noProof/>
              </w:rPr>
              <w:tab/>
            </w:r>
          </w:p>
        </w:tc>
        <w:tc>
          <w:tcPr>
            <w:tcW w:w="975" w:type="pct"/>
          </w:tcPr>
          <w:p>
            <w:pPr>
              <w:spacing w:before="60" w:after="60" w:line="240" w:lineRule="auto"/>
              <w:rPr>
                <w:rFonts w:eastAsia="MS Mincho"/>
                <w:noProof/>
                <w:szCs w:val="24"/>
              </w:rPr>
            </w:pPr>
            <w:r>
              <w:rPr>
                <w:noProof/>
              </w:rPr>
              <w:t>Lituania</w:t>
            </w:r>
          </w:p>
        </w:tc>
        <w:tc>
          <w:tcPr>
            <w:tcW w:w="2141" w:type="pct"/>
          </w:tcPr>
          <w:p>
            <w:pPr>
              <w:spacing w:before="60" w:after="60" w:line="240" w:lineRule="auto"/>
              <w:rPr>
                <w:rFonts w:eastAsia="MS Mincho"/>
                <w:noProof/>
                <w:szCs w:val="24"/>
              </w:rPr>
            </w:pPr>
            <w:r>
              <w:rPr>
                <w:noProof/>
              </w:rPr>
              <w:t>Originali lietuviška degtinė/Original Lithuanian vodka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147</w:t>
            </w:r>
            <w:r>
              <w:rPr>
                <w:noProof/>
              </w:rPr>
              <w:tab/>
            </w:r>
          </w:p>
        </w:tc>
        <w:tc>
          <w:tcPr>
            <w:tcW w:w="975" w:type="pct"/>
          </w:tcPr>
          <w:p>
            <w:pPr>
              <w:spacing w:before="60" w:after="60" w:line="240" w:lineRule="auto"/>
              <w:rPr>
                <w:rFonts w:eastAsia="MS Mincho"/>
                <w:noProof/>
                <w:szCs w:val="24"/>
              </w:rPr>
            </w:pPr>
            <w:r>
              <w:rPr>
                <w:noProof/>
              </w:rPr>
              <w:t>Țările de Jos</w:t>
            </w:r>
          </w:p>
        </w:tc>
        <w:tc>
          <w:tcPr>
            <w:tcW w:w="2141" w:type="pct"/>
          </w:tcPr>
          <w:p>
            <w:pPr>
              <w:spacing w:before="60" w:after="60" w:line="240" w:lineRule="auto"/>
              <w:rPr>
                <w:rFonts w:eastAsia="MS Mincho"/>
                <w:noProof/>
                <w:szCs w:val="24"/>
              </w:rPr>
            </w:pPr>
            <w:r>
              <w:rPr>
                <w:noProof/>
              </w:rPr>
              <w:t>Edam Holland</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148</w:t>
            </w:r>
            <w:r>
              <w:rPr>
                <w:noProof/>
              </w:rPr>
              <w:tab/>
            </w:r>
          </w:p>
        </w:tc>
        <w:tc>
          <w:tcPr>
            <w:tcW w:w="975" w:type="pct"/>
          </w:tcPr>
          <w:p>
            <w:pPr>
              <w:spacing w:before="60" w:after="60" w:line="240" w:lineRule="auto"/>
              <w:rPr>
                <w:rFonts w:eastAsia="MS Mincho"/>
                <w:noProof/>
                <w:szCs w:val="24"/>
              </w:rPr>
            </w:pPr>
            <w:r>
              <w:rPr>
                <w:noProof/>
              </w:rPr>
              <w:t>Țările de Jos, Belgia, Franța, Germania</w:t>
            </w:r>
          </w:p>
        </w:tc>
        <w:tc>
          <w:tcPr>
            <w:tcW w:w="2141" w:type="pct"/>
          </w:tcPr>
          <w:p>
            <w:pPr>
              <w:spacing w:before="60" w:after="60" w:line="240" w:lineRule="auto"/>
              <w:rPr>
                <w:rFonts w:eastAsia="MS Mincho"/>
                <w:noProof/>
                <w:szCs w:val="24"/>
              </w:rPr>
            </w:pPr>
            <w:r>
              <w:rPr>
                <w:noProof/>
              </w:rPr>
              <w:t>Genièvre/Jenever/Genever</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149</w:t>
            </w:r>
            <w:r>
              <w:rPr>
                <w:noProof/>
              </w:rPr>
              <w:tab/>
            </w:r>
          </w:p>
        </w:tc>
        <w:tc>
          <w:tcPr>
            <w:tcW w:w="975" w:type="pct"/>
          </w:tcPr>
          <w:p>
            <w:pPr>
              <w:spacing w:before="60" w:after="60" w:line="240" w:lineRule="auto"/>
              <w:rPr>
                <w:rFonts w:eastAsia="MS Mincho"/>
                <w:noProof/>
                <w:szCs w:val="24"/>
              </w:rPr>
            </w:pPr>
            <w:r>
              <w:rPr>
                <w:noProof/>
              </w:rPr>
              <w:t>Țările de Jos</w:t>
            </w:r>
          </w:p>
        </w:tc>
        <w:tc>
          <w:tcPr>
            <w:tcW w:w="2141" w:type="pct"/>
          </w:tcPr>
          <w:p>
            <w:pPr>
              <w:spacing w:before="60" w:after="60" w:line="240" w:lineRule="auto"/>
              <w:rPr>
                <w:rFonts w:eastAsia="MS Mincho"/>
                <w:noProof/>
                <w:szCs w:val="24"/>
              </w:rPr>
            </w:pPr>
            <w:r>
              <w:rPr>
                <w:noProof/>
              </w:rPr>
              <w:t>Gouda Holland</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150</w:t>
            </w:r>
            <w:r>
              <w:rPr>
                <w:noProof/>
              </w:rPr>
              <w:tab/>
            </w:r>
          </w:p>
        </w:tc>
        <w:tc>
          <w:tcPr>
            <w:tcW w:w="975" w:type="pct"/>
          </w:tcPr>
          <w:p>
            <w:pPr>
              <w:spacing w:before="60" w:after="60" w:line="240" w:lineRule="auto"/>
              <w:rPr>
                <w:rFonts w:eastAsia="MS Mincho"/>
                <w:noProof/>
                <w:szCs w:val="24"/>
              </w:rPr>
            </w:pPr>
            <w:r>
              <w:rPr>
                <w:noProof/>
              </w:rPr>
              <w:t>Țările de Jos</w:t>
            </w:r>
          </w:p>
        </w:tc>
        <w:tc>
          <w:tcPr>
            <w:tcW w:w="2141" w:type="pct"/>
          </w:tcPr>
          <w:p>
            <w:pPr>
              <w:spacing w:before="60" w:after="60" w:line="240" w:lineRule="auto"/>
              <w:rPr>
                <w:rFonts w:eastAsia="MS Mincho"/>
                <w:noProof/>
                <w:szCs w:val="24"/>
              </w:rPr>
            </w:pPr>
            <w:r>
              <w:rPr>
                <w:noProof/>
              </w:rPr>
              <w:t>Hollandse geitenkaas</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151</w:t>
            </w:r>
            <w:r>
              <w:rPr>
                <w:noProof/>
              </w:rPr>
              <w:tab/>
            </w:r>
          </w:p>
        </w:tc>
        <w:tc>
          <w:tcPr>
            <w:tcW w:w="975" w:type="pct"/>
          </w:tcPr>
          <w:p>
            <w:pPr>
              <w:spacing w:before="60" w:after="60" w:line="240" w:lineRule="auto"/>
              <w:rPr>
                <w:rFonts w:eastAsia="MS Mincho"/>
                <w:noProof/>
                <w:szCs w:val="24"/>
              </w:rPr>
            </w:pPr>
            <w:r>
              <w:rPr>
                <w:noProof/>
              </w:rPr>
              <w:t>Polonia</w:t>
            </w:r>
          </w:p>
        </w:tc>
        <w:tc>
          <w:tcPr>
            <w:tcW w:w="2141" w:type="pct"/>
          </w:tcPr>
          <w:p>
            <w:pPr>
              <w:spacing w:before="60" w:after="60" w:line="240" w:lineRule="auto"/>
              <w:rPr>
                <w:rFonts w:eastAsia="MS Mincho"/>
                <w:noProof/>
                <w:szCs w:val="24"/>
              </w:rPr>
            </w:pPr>
            <w:r>
              <w:rPr>
                <w:noProof/>
              </w:rPr>
              <w:t>Polska Wódka / Polish vodka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152</w:t>
            </w:r>
            <w:r>
              <w:rPr>
                <w:noProof/>
              </w:rPr>
              <w:tab/>
            </w:r>
          </w:p>
        </w:tc>
        <w:tc>
          <w:tcPr>
            <w:tcW w:w="975" w:type="pct"/>
          </w:tcPr>
          <w:p>
            <w:pPr>
              <w:spacing w:before="60" w:after="60" w:line="240" w:lineRule="auto"/>
              <w:rPr>
                <w:rFonts w:eastAsia="MS Mincho"/>
                <w:noProof/>
                <w:szCs w:val="24"/>
              </w:rPr>
            </w:pPr>
            <w:r>
              <w:rPr>
                <w:noProof/>
              </w:rPr>
              <w:t>Polonia</w:t>
            </w:r>
          </w:p>
        </w:tc>
        <w:tc>
          <w:tcPr>
            <w:tcW w:w="2141" w:type="pct"/>
          </w:tcPr>
          <w:p>
            <w:pPr>
              <w:spacing w:before="60" w:after="60" w:line="240" w:lineRule="auto"/>
              <w:rPr>
                <w:rFonts w:eastAsia="MS Mincho"/>
                <w:noProof/>
                <w:szCs w:val="24"/>
              </w:rPr>
            </w:pPr>
            <w:r>
              <w:rPr>
                <w:noProof/>
              </w:rPr>
              <w:t>Herbal vodka from the North Podlasie Lowland aromatised with an extract of bison grass / Wódka ziołowa z Niziny Północnopodlaskiej aromatyzowana ekstraktem z trawy żubrowej</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153</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Bagaceira Alentejo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154</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Bagaceira Bairrada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155</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Aguardente Bagaceira da Região dos Vinhos Verdes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156</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de Vinho Alentejo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157</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de Vinho da Região dos Vinhos Verdes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158</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Aguardente de Vinho Douro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159</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Aguardente de Vinho Lourinhã</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160</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de Vinho Ribatejo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161</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Alentejo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162</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Algarve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163</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Beira Interior</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164</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Dão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165</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Douro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166</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Madeira / Vinho da Madeira / Madère / Vin de Madère / Madera / Madeira Wein / Madeira Wine / Vino di Madera / Madeira Wijn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167</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Medronho do Algarve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168</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Mel dos Açores</w:t>
            </w:r>
          </w:p>
        </w:tc>
        <w:tc>
          <w:tcPr>
            <w:tcW w:w="1252" w:type="pct"/>
          </w:tcPr>
          <w:p>
            <w:pPr>
              <w:spacing w:before="60" w:after="60" w:line="240" w:lineRule="auto"/>
              <w:rPr>
                <w:rFonts w:eastAsia="MS Mincho"/>
                <w:noProof/>
                <w:szCs w:val="24"/>
              </w:rPr>
            </w:pPr>
            <w:r>
              <w:rPr>
                <w:noProof/>
              </w:rPr>
              <w:t>Alte produse de origine animală [miere]</w:t>
            </w:r>
          </w:p>
        </w:tc>
      </w:tr>
      <w:tr>
        <w:tc>
          <w:tcPr>
            <w:tcW w:w="631" w:type="pct"/>
          </w:tcPr>
          <w:p>
            <w:pPr>
              <w:widowControl/>
              <w:spacing w:before="60" w:after="60" w:line="240" w:lineRule="auto"/>
              <w:ind w:left="720" w:hanging="360"/>
              <w:rPr>
                <w:rFonts w:eastAsia="MS Mincho"/>
                <w:noProof/>
                <w:szCs w:val="24"/>
              </w:rPr>
            </w:pPr>
            <w:r>
              <w:rPr>
                <w:noProof/>
              </w:rPr>
              <w:t>169</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 xml:space="preserve">Palmela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170</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Península de Setúbal</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171</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Pêra Rocha do Oeste</w:t>
            </w:r>
          </w:p>
        </w:tc>
        <w:tc>
          <w:tcPr>
            <w:tcW w:w="1252" w:type="pct"/>
          </w:tcPr>
          <w:p>
            <w:pPr>
              <w:spacing w:before="60" w:after="60" w:line="240" w:lineRule="auto"/>
              <w:rPr>
                <w:rFonts w:eastAsia="MS Mincho"/>
                <w:noProof/>
                <w:szCs w:val="24"/>
              </w:rPr>
            </w:pPr>
            <w:r>
              <w:rPr>
                <w:noProof/>
              </w:rPr>
              <w:t>Fructe și fructe cu coajă lemnoasă proaspete și prelucrate [pere]</w:t>
            </w:r>
          </w:p>
        </w:tc>
      </w:tr>
      <w:tr>
        <w:tc>
          <w:tcPr>
            <w:tcW w:w="631" w:type="pct"/>
          </w:tcPr>
          <w:p>
            <w:pPr>
              <w:widowControl/>
              <w:spacing w:before="60" w:after="60" w:line="240" w:lineRule="auto"/>
              <w:ind w:left="720" w:hanging="360"/>
              <w:rPr>
                <w:rFonts w:eastAsia="MS Mincho"/>
                <w:noProof/>
                <w:szCs w:val="24"/>
              </w:rPr>
            </w:pPr>
            <w:r>
              <w:rPr>
                <w:noProof/>
              </w:rPr>
              <w:t>172</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Pico</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173</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 xml:space="preserve">Porto / Port / vinho do Porto / Port Wine / vin de Porto / Oporto / Portvin / Portwein / Portwijn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174</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Queijo S. Jorge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175</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Rum da Madeira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176</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Trás-os-Montes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177</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Vinho Verde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178</w:t>
            </w:r>
            <w:r>
              <w:rPr>
                <w:noProof/>
              </w:rPr>
              <w:tab/>
            </w:r>
          </w:p>
        </w:tc>
        <w:tc>
          <w:tcPr>
            <w:tcW w:w="975" w:type="pct"/>
          </w:tcPr>
          <w:p>
            <w:pPr>
              <w:spacing w:before="60" w:after="60" w:line="240" w:lineRule="auto"/>
              <w:rPr>
                <w:rFonts w:eastAsia="MS Mincho"/>
                <w:noProof/>
                <w:szCs w:val="24"/>
              </w:rPr>
            </w:pPr>
            <w:r>
              <w:rPr>
                <w:noProof/>
              </w:rPr>
              <w:t>România</w:t>
            </w:r>
          </w:p>
        </w:tc>
        <w:tc>
          <w:tcPr>
            <w:tcW w:w="2141" w:type="pct"/>
          </w:tcPr>
          <w:p>
            <w:pPr>
              <w:spacing w:before="60" w:after="60" w:line="240" w:lineRule="auto"/>
              <w:rPr>
                <w:rFonts w:eastAsia="MS Mincho"/>
                <w:noProof/>
                <w:szCs w:val="24"/>
              </w:rPr>
            </w:pPr>
            <w:r>
              <w:rPr>
                <w:noProof/>
              </w:rPr>
              <w:t>Cotnari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179</w:t>
            </w:r>
            <w:r>
              <w:rPr>
                <w:noProof/>
              </w:rPr>
              <w:tab/>
            </w:r>
          </w:p>
        </w:tc>
        <w:tc>
          <w:tcPr>
            <w:tcW w:w="975" w:type="pct"/>
          </w:tcPr>
          <w:p>
            <w:pPr>
              <w:spacing w:before="60" w:after="60" w:line="240" w:lineRule="auto"/>
              <w:rPr>
                <w:rFonts w:eastAsia="MS Mincho"/>
                <w:noProof/>
                <w:szCs w:val="24"/>
              </w:rPr>
            </w:pPr>
            <w:r>
              <w:rPr>
                <w:noProof/>
              </w:rPr>
              <w:t>România</w:t>
            </w:r>
          </w:p>
        </w:tc>
        <w:tc>
          <w:tcPr>
            <w:tcW w:w="2141" w:type="pct"/>
          </w:tcPr>
          <w:p>
            <w:pPr>
              <w:spacing w:before="60" w:after="60" w:line="240" w:lineRule="auto"/>
              <w:rPr>
                <w:rFonts w:eastAsia="MS Mincho"/>
                <w:noProof/>
                <w:szCs w:val="24"/>
              </w:rPr>
            </w:pPr>
            <w:r>
              <w:rPr>
                <w:noProof/>
              </w:rPr>
              <w:t>Dealu Mare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180</w:t>
            </w:r>
            <w:r>
              <w:rPr>
                <w:noProof/>
              </w:rPr>
              <w:tab/>
            </w:r>
          </w:p>
        </w:tc>
        <w:tc>
          <w:tcPr>
            <w:tcW w:w="975" w:type="pct"/>
          </w:tcPr>
          <w:p>
            <w:pPr>
              <w:spacing w:before="60" w:after="60" w:line="240" w:lineRule="auto"/>
              <w:rPr>
                <w:rFonts w:eastAsia="MS Mincho"/>
                <w:noProof/>
                <w:szCs w:val="24"/>
              </w:rPr>
            </w:pPr>
            <w:r>
              <w:rPr>
                <w:noProof/>
              </w:rPr>
              <w:t>România</w:t>
            </w:r>
          </w:p>
        </w:tc>
        <w:tc>
          <w:tcPr>
            <w:tcW w:w="2141" w:type="pct"/>
          </w:tcPr>
          <w:p>
            <w:pPr>
              <w:spacing w:before="60" w:after="60" w:line="240" w:lineRule="auto"/>
              <w:rPr>
                <w:rFonts w:eastAsia="MS Mincho"/>
                <w:noProof/>
                <w:szCs w:val="24"/>
              </w:rPr>
            </w:pPr>
            <w:r>
              <w:rPr>
                <w:noProof/>
              </w:rPr>
              <w:t>Murfatlar</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181</w:t>
            </w:r>
            <w:r>
              <w:rPr>
                <w:noProof/>
              </w:rPr>
              <w:tab/>
            </w:r>
          </w:p>
        </w:tc>
        <w:tc>
          <w:tcPr>
            <w:tcW w:w="975" w:type="pct"/>
          </w:tcPr>
          <w:p>
            <w:pPr>
              <w:spacing w:before="60" w:after="60" w:line="240" w:lineRule="auto"/>
              <w:rPr>
                <w:rFonts w:eastAsia="MS Mincho"/>
                <w:noProof/>
                <w:szCs w:val="24"/>
              </w:rPr>
            </w:pPr>
            <w:r>
              <w:rPr>
                <w:noProof/>
              </w:rPr>
              <w:t>Suedia</w:t>
            </w:r>
          </w:p>
        </w:tc>
        <w:tc>
          <w:tcPr>
            <w:tcW w:w="2141" w:type="pct"/>
          </w:tcPr>
          <w:p>
            <w:pPr>
              <w:spacing w:before="60" w:after="60" w:line="240" w:lineRule="auto"/>
              <w:rPr>
                <w:rFonts w:eastAsia="MS Mincho"/>
                <w:noProof/>
                <w:szCs w:val="24"/>
              </w:rPr>
            </w:pPr>
            <w:r>
              <w:rPr>
                <w:noProof/>
              </w:rPr>
              <w:t>Svensk Vodka / Swedish Vodka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182</w:t>
            </w:r>
            <w:r>
              <w:rPr>
                <w:noProof/>
              </w:rPr>
              <w:tab/>
            </w:r>
          </w:p>
        </w:tc>
        <w:tc>
          <w:tcPr>
            <w:tcW w:w="975" w:type="pct"/>
          </w:tcPr>
          <w:p>
            <w:pPr>
              <w:spacing w:before="60" w:after="60" w:line="240" w:lineRule="auto"/>
              <w:rPr>
                <w:rFonts w:eastAsia="MS Mincho"/>
                <w:noProof/>
                <w:szCs w:val="24"/>
              </w:rPr>
            </w:pPr>
            <w:r>
              <w:rPr>
                <w:noProof/>
              </w:rPr>
              <w:t>Slovacia</w:t>
            </w:r>
          </w:p>
        </w:tc>
        <w:tc>
          <w:tcPr>
            <w:tcW w:w="2141" w:type="pct"/>
          </w:tcPr>
          <w:p>
            <w:pPr>
              <w:spacing w:before="60" w:after="60" w:line="240" w:lineRule="auto"/>
              <w:rPr>
                <w:rFonts w:eastAsia="MS Mincho"/>
                <w:noProof/>
                <w:szCs w:val="24"/>
              </w:rPr>
            </w:pPr>
            <w:r>
              <w:rPr>
                <w:noProof/>
              </w:rPr>
              <w:t>Vinohradnícka oblasť Tokaj</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183</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spacing w:before="60" w:after="60" w:line="240" w:lineRule="auto"/>
              <w:rPr>
                <w:rFonts w:eastAsia="MS Mincho"/>
                <w:noProof/>
                <w:szCs w:val="24"/>
              </w:rPr>
            </w:pPr>
            <w:r>
              <w:rPr>
                <w:noProof/>
              </w:rPr>
              <w:t>Kranjska klobasa</w:t>
            </w:r>
          </w:p>
        </w:tc>
        <w:tc>
          <w:tcPr>
            <w:tcW w:w="1252" w:type="pct"/>
          </w:tcPr>
          <w:p>
            <w:pPr>
              <w:spacing w:before="60" w:after="60" w:line="240" w:lineRule="auto"/>
              <w:rPr>
                <w:rFonts w:eastAsia="MS Mincho"/>
                <w:noProof/>
                <w:szCs w:val="24"/>
              </w:rPr>
            </w:pPr>
            <w:r>
              <w:rPr>
                <w:noProof/>
              </w:rPr>
              <w:t>Carne proaspătă, congelată și prelucrată [jambon]</w:t>
            </w:r>
          </w:p>
        </w:tc>
      </w:tr>
      <w:tr>
        <w:tc>
          <w:tcPr>
            <w:tcW w:w="631" w:type="pct"/>
          </w:tcPr>
          <w:p>
            <w:pPr>
              <w:widowControl/>
              <w:spacing w:before="60" w:after="60" w:line="240" w:lineRule="auto"/>
              <w:ind w:left="720" w:hanging="360"/>
              <w:rPr>
                <w:rFonts w:eastAsia="MS Mincho"/>
                <w:noProof/>
                <w:szCs w:val="24"/>
              </w:rPr>
            </w:pPr>
            <w:r>
              <w:rPr>
                <w:noProof/>
              </w:rPr>
              <w:t>184</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pStyle w:val="Point1"/>
              <w:spacing w:before="60" w:after="60"/>
              <w:jc w:val="left"/>
              <w:rPr>
                <w:noProof/>
                <w:sz w:val="24"/>
                <w:szCs w:val="24"/>
              </w:rPr>
            </w:pPr>
            <w:r>
              <w:rPr>
                <w:noProof/>
                <w:sz w:val="24"/>
              </w:rPr>
              <w:t>Kraški pršut</w:t>
            </w:r>
          </w:p>
        </w:tc>
        <w:tc>
          <w:tcPr>
            <w:tcW w:w="1252" w:type="pct"/>
          </w:tcPr>
          <w:p>
            <w:pPr>
              <w:spacing w:before="60" w:after="60" w:line="240" w:lineRule="auto"/>
              <w:rPr>
                <w:rFonts w:eastAsia="MS Mincho"/>
                <w:noProof/>
                <w:szCs w:val="24"/>
              </w:rPr>
            </w:pPr>
            <w:r>
              <w:rPr>
                <w:noProof/>
              </w:rPr>
              <w:t>Carne proaspătă, congelată și prelucrată [cârnați]</w:t>
            </w:r>
          </w:p>
        </w:tc>
      </w:tr>
      <w:tr>
        <w:tc>
          <w:tcPr>
            <w:tcW w:w="631" w:type="pct"/>
          </w:tcPr>
          <w:p>
            <w:pPr>
              <w:widowControl/>
              <w:spacing w:before="60" w:after="60" w:line="240" w:lineRule="auto"/>
              <w:ind w:left="720" w:hanging="360"/>
              <w:rPr>
                <w:rFonts w:eastAsia="MS Mincho"/>
                <w:noProof/>
                <w:szCs w:val="24"/>
              </w:rPr>
            </w:pPr>
            <w:r>
              <w:rPr>
                <w:noProof/>
              </w:rPr>
              <w:t>185</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spacing w:before="60" w:after="60" w:line="240" w:lineRule="auto"/>
              <w:rPr>
                <w:rFonts w:eastAsia="MS Mincho"/>
                <w:noProof/>
                <w:szCs w:val="24"/>
              </w:rPr>
            </w:pPr>
            <w:r>
              <w:rPr>
                <w:noProof/>
              </w:rPr>
              <w:t>Štajersko prekmursko bučno olje</w:t>
            </w:r>
          </w:p>
        </w:tc>
        <w:tc>
          <w:tcPr>
            <w:tcW w:w="1252" w:type="pct"/>
          </w:tcPr>
          <w:p>
            <w:pPr>
              <w:spacing w:before="60" w:after="60" w:line="240" w:lineRule="auto"/>
              <w:rPr>
                <w:rFonts w:eastAsia="MS Mincho"/>
                <w:noProof/>
                <w:szCs w:val="24"/>
              </w:rPr>
            </w:pPr>
            <w:r>
              <w:rPr>
                <w:noProof/>
              </w:rPr>
              <w:t>Uleiuri și grăsimi de origine animală [ulei]</w:t>
            </w:r>
          </w:p>
        </w:tc>
      </w:tr>
      <w:tr>
        <w:tc>
          <w:tcPr>
            <w:tcW w:w="631" w:type="pct"/>
          </w:tcPr>
          <w:p>
            <w:pPr>
              <w:widowControl/>
              <w:spacing w:before="60" w:after="60" w:line="240" w:lineRule="auto"/>
              <w:ind w:left="720" w:hanging="360"/>
              <w:rPr>
                <w:rFonts w:eastAsia="MS Mincho"/>
                <w:noProof/>
                <w:szCs w:val="24"/>
              </w:rPr>
            </w:pPr>
            <w:r>
              <w:rPr>
                <w:noProof/>
              </w:rPr>
              <w:t>186</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spacing w:before="60" w:after="60" w:line="240" w:lineRule="auto"/>
              <w:rPr>
                <w:rFonts w:eastAsia="MS Mincho"/>
                <w:noProof/>
                <w:szCs w:val="24"/>
              </w:rPr>
            </w:pPr>
            <w:r>
              <w:rPr>
                <w:noProof/>
              </w:rPr>
              <w:t>Teran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Alicante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Antequera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189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Azafrán de la Mancha</w:t>
            </w:r>
          </w:p>
        </w:tc>
        <w:tc>
          <w:tcPr>
            <w:tcW w:w="1252" w:type="pct"/>
          </w:tcPr>
          <w:p>
            <w:pPr>
              <w:spacing w:before="60" w:after="60" w:line="240" w:lineRule="auto"/>
              <w:rPr>
                <w:rFonts w:eastAsia="MS Mincho"/>
                <w:noProof/>
                <w:szCs w:val="24"/>
              </w:rPr>
            </w:pPr>
            <w:r>
              <w:rPr>
                <w:noProof/>
              </w:rPr>
              <w:t>Alte produse din anexa I la tratat [condimente]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190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Baena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191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Bierzo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192</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Brandy de Jerez</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193</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 xml:space="preserve">Cataluña / Catalunya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194</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Cava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195</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Cítricos Valencianos/Cítrics Valencians</w:t>
            </w:r>
          </w:p>
        </w:tc>
        <w:tc>
          <w:tcPr>
            <w:tcW w:w="1252" w:type="pct"/>
          </w:tcPr>
          <w:p>
            <w:pPr>
              <w:spacing w:before="60" w:after="60" w:line="240" w:lineRule="auto"/>
              <w:rPr>
                <w:rFonts w:eastAsia="MS Mincho"/>
                <w:noProof/>
                <w:szCs w:val="24"/>
              </w:rPr>
            </w:pPr>
            <w:r>
              <w:rPr>
                <w:noProof/>
              </w:rPr>
              <w:t>Fructe și fructe cu coajă lemnoasă proaspete și prelucrate [portocale, mandarine și lămâi]</w:t>
            </w:r>
          </w:p>
        </w:tc>
      </w:tr>
      <w:tr>
        <w:tc>
          <w:tcPr>
            <w:tcW w:w="631" w:type="pct"/>
          </w:tcPr>
          <w:p>
            <w:pPr>
              <w:widowControl/>
              <w:spacing w:before="60" w:after="60" w:line="240" w:lineRule="auto"/>
              <w:ind w:left="720" w:hanging="360"/>
              <w:rPr>
                <w:rFonts w:eastAsia="MS Mincho"/>
                <w:noProof/>
                <w:szCs w:val="24"/>
              </w:rPr>
            </w:pPr>
            <w:r>
              <w:rPr>
                <w:noProof/>
              </w:rPr>
              <w:t>196</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Empordà</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Jabugo</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198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Jamón de Teruel/Paleta de Teruel</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199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 xml:space="preserve">Jerez-Xérès-Sherry / Jerez / Xérès / Sherry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 xml:space="preserve">Jijona </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[nuga]</w:t>
            </w:r>
          </w:p>
        </w:tc>
      </w:tr>
      <w:tr>
        <w:tc>
          <w:tcPr>
            <w:tcW w:w="631" w:type="pct"/>
          </w:tcPr>
          <w:p>
            <w:pPr>
              <w:widowControl/>
              <w:spacing w:before="60" w:after="60" w:line="240" w:lineRule="auto"/>
              <w:ind w:left="720" w:hanging="360"/>
              <w:rPr>
                <w:rFonts w:eastAsia="MS Mincho"/>
                <w:noProof/>
                <w:szCs w:val="24"/>
              </w:rPr>
            </w:pPr>
            <w:r>
              <w:rPr>
                <w:noProof/>
              </w:rPr>
              <w:t>201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Jumilla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202</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La Mancha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203</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Málaga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204</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Manzanilla de Sanlúcar / Manzanilla de Sanlúcar de Barrameda / Manzanilla-Sanlúcar de Barrameda / Manzanilla</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205</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Navarra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206</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Pacharán navarro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207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Penedès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Priego de Córdoba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209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Priorat/Priorato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Queso Manchego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211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Rías Baixas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212</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Ribera del Duero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213</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Rioja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214</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Rueda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215</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Sierra de Segura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216</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Sierra Mágina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217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Somontano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Toro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Turrón de Alicante</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[nuga]</w:t>
            </w:r>
          </w:p>
        </w:tc>
      </w:tr>
      <w:tr>
        <w:tc>
          <w:tcPr>
            <w:tcW w:w="631" w:type="pct"/>
          </w:tcPr>
          <w:p>
            <w:pPr>
              <w:widowControl/>
              <w:spacing w:before="60" w:after="60" w:line="240" w:lineRule="auto"/>
              <w:ind w:left="720" w:hanging="360"/>
              <w:rPr>
                <w:rFonts w:eastAsia="MS Mincho"/>
                <w:noProof/>
                <w:szCs w:val="24"/>
              </w:rPr>
            </w:pPr>
            <w:r>
              <w:rPr>
                <w:noProof/>
              </w:rPr>
              <w:t>220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Valdepeñas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221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Valencia</w:t>
            </w:r>
          </w:p>
        </w:tc>
        <w:tc>
          <w:tcPr>
            <w:tcW w:w="1252" w:type="pct"/>
          </w:tcPr>
          <w:p>
            <w:pPr>
              <w:spacing w:before="60" w:after="60" w:line="240" w:lineRule="auto"/>
              <w:rPr>
                <w:rFonts w:eastAsia="MS Mincho"/>
                <w:noProof/>
                <w:szCs w:val="24"/>
              </w:rPr>
            </w:pPr>
            <w:r>
              <w:rPr>
                <w:noProof/>
              </w:rPr>
              <w:t>Vin</w:t>
            </w:r>
          </w:p>
        </w:tc>
      </w:tr>
    </w:tbl>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B</w:t>
      </w:r>
    </w:p>
    <w:p>
      <w:pPr>
        <w:jc w:val="center"/>
        <w:rPr>
          <w:noProof/>
        </w:rPr>
      </w:pPr>
    </w:p>
    <w:p>
      <w:pPr>
        <w:jc w:val="center"/>
        <w:rPr>
          <w:noProof/>
        </w:rPr>
      </w:pPr>
      <w:r>
        <w:rPr>
          <w:noProof/>
        </w:rPr>
        <w:t>Indicații geografice pentru produsele din Indonezia care urmează să fie protejate în Uniune</w:t>
      </w:r>
    </w:p>
    <w:p>
      <w:pPr>
        <w:jc w:val="cente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4366"/>
        <w:gridCol w:w="4052"/>
      </w:tblGrid>
      <w:tr>
        <w:trPr>
          <w:tblHeader/>
        </w:trPr>
        <w:tc>
          <w:tcPr>
            <w:tcW w:w="629" w:type="pct"/>
            <w:vAlign w:val="center"/>
          </w:tcPr>
          <w:p>
            <w:pPr>
              <w:spacing w:before="60" w:after="60" w:line="240" w:lineRule="auto"/>
              <w:jc w:val="center"/>
              <w:rPr>
                <w:rFonts w:eastAsia="MS Mincho"/>
                <w:noProof/>
                <w:szCs w:val="24"/>
                <w:lang w:eastAsia="ja-JP"/>
              </w:rPr>
            </w:pPr>
          </w:p>
        </w:tc>
        <w:tc>
          <w:tcPr>
            <w:tcW w:w="2267" w:type="pct"/>
            <w:vAlign w:val="center"/>
          </w:tcPr>
          <w:p>
            <w:pPr>
              <w:spacing w:before="60" w:after="60" w:line="240" w:lineRule="auto"/>
              <w:jc w:val="center"/>
              <w:rPr>
                <w:rFonts w:eastAsia="MS Mincho"/>
                <w:noProof/>
                <w:szCs w:val="24"/>
              </w:rPr>
            </w:pPr>
            <w:r>
              <w:rPr>
                <w:noProof/>
              </w:rPr>
              <w:t>Denumirea indicației geografice (astfel cum este înregistrată în Indonezia)</w:t>
            </w:r>
          </w:p>
        </w:tc>
        <w:tc>
          <w:tcPr>
            <w:tcW w:w="2105" w:type="pct"/>
            <w:vAlign w:val="center"/>
          </w:tcPr>
          <w:p>
            <w:pPr>
              <w:spacing w:before="60" w:after="60" w:line="240" w:lineRule="auto"/>
              <w:jc w:val="center"/>
              <w:rPr>
                <w:rFonts w:eastAsia="MS Mincho"/>
                <w:noProof/>
                <w:szCs w:val="24"/>
              </w:rPr>
            </w:pPr>
            <w:r>
              <w:rPr>
                <w:noProof/>
              </w:rPr>
              <w:t>Clasa de produse</w:t>
            </w:r>
          </w:p>
        </w:tc>
      </w:tr>
      <w:tr>
        <w:tc>
          <w:tcPr>
            <w:tcW w:w="629" w:type="pct"/>
          </w:tcPr>
          <w:p>
            <w:pPr>
              <w:widowControl/>
              <w:spacing w:before="60" w:after="60" w:line="240" w:lineRule="auto"/>
              <w:ind w:left="720" w:hanging="360"/>
              <w:rPr>
                <w:rFonts w:eastAsia="MS Mincho"/>
                <w:noProof/>
                <w:szCs w:val="24"/>
              </w:rPr>
            </w:pPr>
            <w:r>
              <w:rPr>
                <w:noProof/>
              </w:rPr>
              <w:t>1</w:t>
            </w:r>
            <w:r>
              <w:rPr>
                <w:noProof/>
              </w:rPr>
              <w:tab/>
            </w:r>
          </w:p>
        </w:tc>
        <w:tc>
          <w:tcPr>
            <w:tcW w:w="2267" w:type="pct"/>
          </w:tcPr>
          <w:p>
            <w:pPr>
              <w:spacing w:before="60" w:after="60" w:line="240" w:lineRule="auto"/>
              <w:rPr>
                <w:rFonts w:eastAsia="MS Mincho"/>
                <w:noProof/>
                <w:szCs w:val="24"/>
              </w:rPr>
            </w:pPr>
            <w:r>
              <w:rPr>
                <w:noProof/>
              </w:rPr>
              <w:t>Kopi Arabika Kintamani Bali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w:t>
            </w:r>
            <w:r>
              <w:rPr>
                <w:noProof/>
              </w:rPr>
              <w:tab/>
            </w:r>
          </w:p>
        </w:tc>
        <w:tc>
          <w:tcPr>
            <w:tcW w:w="2267" w:type="pct"/>
          </w:tcPr>
          <w:p>
            <w:pPr>
              <w:spacing w:before="60" w:after="60" w:line="240" w:lineRule="auto"/>
              <w:rPr>
                <w:rFonts w:eastAsia="MS Mincho"/>
                <w:noProof/>
                <w:szCs w:val="24"/>
              </w:rPr>
            </w:pPr>
            <w:r>
              <w:rPr>
                <w:noProof/>
              </w:rPr>
              <w:t>Lada Putih Muntok</w:t>
            </w:r>
          </w:p>
        </w:tc>
        <w:tc>
          <w:tcPr>
            <w:tcW w:w="2105" w:type="pct"/>
          </w:tcPr>
          <w:p>
            <w:pPr>
              <w:spacing w:before="60" w:after="60" w:line="240" w:lineRule="auto"/>
              <w:rPr>
                <w:rFonts w:eastAsia="MS Mincho"/>
                <w:noProof/>
                <w:szCs w:val="24"/>
              </w:rPr>
            </w:pPr>
            <w:r>
              <w:rPr>
                <w:noProof/>
              </w:rPr>
              <w:t>Piper</w:t>
            </w:r>
          </w:p>
        </w:tc>
      </w:tr>
      <w:tr>
        <w:trPr>
          <w:trHeight w:val="378"/>
        </w:trPr>
        <w:tc>
          <w:tcPr>
            <w:tcW w:w="629" w:type="pct"/>
          </w:tcPr>
          <w:p>
            <w:pPr>
              <w:widowControl/>
              <w:spacing w:before="60" w:after="60" w:line="240" w:lineRule="auto"/>
              <w:ind w:left="720" w:hanging="360"/>
              <w:rPr>
                <w:rFonts w:eastAsia="MS Mincho"/>
                <w:noProof/>
                <w:szCs w:val="24"/>
              </w:rPr>
            </w:pPr>
            <w:r>
              <w:rPr>
                <w:noProof/>
              </w:rPr>
              <w:t>3</w:t>
            </w:r>
            <w:r>
              <w:rPr>
                <w:noProof/>
              </w:rPr>
              <w:tab/>
            </w:r>
          </w:p>
        </w:tc>
        <w:tc>
          <w:tcPr>
            <w:tcW w:w="2267" w:type="pct"/>
          </w:tcPr>
          <w:p>
            <w:pPr>
              <w:spacing w:before="60" w:after="60" w:line="240" w:lineRule="auto"/>
              <w:rPr>
                <w:rFonts w:eastAsia="MS Mincho"/>
                <w:noProof/>
                <w:szCs w:val="24"/>
              </w:rPr>
            </w:pPr>
            <w:r>
              <w:rPr>
                <w:noProof/>
              </w:rPr>
              <w:t>Susu Kuda Sumbawa</w:t>
            </w:r>
          </w:p>
        </w:tc>
        <w:tc>
          <w:tcPr>
            <w:tcW w:w="2105" w:type="pct"/>
          </w:tcPr>
          <w:p>
            <w:pPr>
              <w:spacing w:before="60" w:after="60" w:line="240" w:lineRule="auto"/>
              <w:rPr>
                <w:rFonts w:eastAsia="MS Mincho"/>
                <w:noProof/>
                <w:szCs w:val="24"/>
              </w:rPr>
            </w:pPr>
            <w:r>
              <w:rPr>
                <w:noProof/>
              </w:rPr>
              <w:t>Lapte</w:t>
            </w:r>
          </w:p>
        </w:tc>
      </w:tr>
      <w:tr>
        <w:trPr>
          <w:trHeight w:val="378"/>
        </w:trP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noProof/>
              </w:rPr>
              <w:t>*IG deja protejată și prin cerere directă în 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4</w:t>
            </w:r>
            <w:r>
              <w:rPr>
                <w:noProof/>
              </w:rPr>
              <w:tab/>
            </w:r>
          </w:p>
        </w:tc>
        <w:tc>
          <w:tcPr>
            <w:tcW w:w="2267" w:type="pct"/>
          </w:tcPr>
          <w:p>
            <w:pPr>
              <w:spacing w:before="60" w:after="60" w:line="240" w:lineRule="auto"/>
              <w:rPr>
                <w:rFonts w:eastAsia="MS Mincho"/>
                <w:noProof/>
                <w:szCs w:val="24"/>
              </w:rPr>
            </w:pPr>
            <w:r>
              <w:rPr>
                <w:noProof/>
              </w:rPr>
              <w:t>Kangkung Lombok</w:t>
            </w:r>
          </w:p>
        </w:tc>
        <w:tc>
          <w:tcPr>
            <w:tcW w:w="2105" w:type="pct"/>
          </w:tcPr>
          <w:p>
            <w:pPr>
              <w:spacing w:before="60" w:after="60" w:line="240" w:lineRule="auto"/>
              <w:rPr>
                <w:rFonts w:eastAsia="MS Mincho"/>
                <w:noProof/>
                <w:szCs w:val="24"/>
              </w:rPr>
            </w:pPr>
            <w:r>
              <w:rPr>
                <w:noProof/>
                <w:color w:val="000000"/>
              </w:rPr>
              <w:t>Spanac</w:t>
            </w:r>
          </w:p>
        </w:tc>
      </w:tr>
      <w:tr>
        <w:trPr>
          <w:trHeight w:val="374"/>
        </w:trPr>
        <w:tc>
          <w:tcPr>
            <w:tcW w:w="629" w:type="pct"/>
          </w:tcPr>
          <w:p>
            <w:pPr>
              <w:widowControl/>
              <w:spacing w:before="60" w:after="60" w:line="240" w:lineRule="auto"/>
              <w:ind w:left="720" w:hanging="360"/>
              <w:rPr>
                <w:rFonts w:eastAsia="MS Mincho"/>
                <w:noProof/>
                <w:szCs w:val="24"/>
              </w:rPr>
            </w:pPr>
            <w:r>
              <w:rPr>
                <w:noProof/>
              </w:rPr>
              <w:t>5</w:t>
            </w:r>
            <w:r>
              <w:rPr>
                <w:noProof/>
              </w:rPr>
              <w:tab/>
            </w:r>
          </w:p>
        </w:tc>
        <w:tc>
          <w:tcPr>
            <w:tcW w:w="2267" w:type="pct"/>
          </w:tcPr>
          <w:p>
            <w:pPr>
              <w:spacing w:before="60" w:after="60" w:line="240" w:lineRule="auto"/>
              <w:rPr>
                <w:rFonts w:eastAsia="MS Mincho"/>
                <w:noProof/>
                <w:szCs w:val="24"/>
              </w:rPr>
            </w:pPr>
            <w:r>
              <w:rPr>
                <w:noProof/>
              </w:rPr>
              <w:t>Madu Sumbawa</w:t>
            </w:r>
          </w:p>
        </w:tc>
        <w:tc>
          <w:tcPr>
            <w:tcW w:w="2105" w:type="pct"/>
          </w:tcPr>
          <w:p>
            <w:pPr>
              <w:spacing w:before="60" w:after="60" w:line="240" w:lineRule="auto"/>
              <w:rPr>
                <w:rFonts w:eastAsia="MS Mincho"/>
                <w:noProof/>
                <w:szCs w:val="24"/>
              </w:rPr>
            </w:pPr>
            <w:r>
              <w:rPr>
                <w:noProof/>
              </w:rPr>
              <w:t>Miere</w:t>
            </w:r>
          </w:p>
        </w:tc>
      </w:tr>
      <w:tr>
        <w:tc>
          <w:tcPr>
            <w:tcW w:w="629" w:type="pct"/>
          </w:tcPr>
          <w:p>
            <w:pPr>
              <w:widowControl/>
              <w:spacing w:before="60" w:after="60" w:line="240" w:lineRule="auto"/>
              <w:ind w:left="720" w:hanging="360"/>
              <w:rPr>
                <w:rFonts w:eastAsia="MS Mincho"/>
                <w:noProof/>
                <w:szCs w:val="24"/>
              </w:rPr>
            </w:pPr>
            <w:r>
              <w:rPr>
                <w:noProof/>
              </w:rPr>
              <w:t>6</w:t>
            </w:r>
            <w:r>
              <w:rPr>
                <w:noProof/>
              </w:rPr>
              <w:tab/>
            </w:r>
          </w:p>
        </w:tc>
        <w:tc>
          <w:tcPr>
            <w:tcW w:w="2267" w:type="pct"/>
          </w:tcPr>
          <w:p>
            <w:pPr>
              <w:spacing w:before="60" w:after="60" w:line="240" w:lineRule="auto"/>
              <w:rPr>
                <w:rFonts w:eastAsia="MS Mincho"/>
                <w:noProof/>
                <w:szCs w:val="24"/>
              </w:rPr>
            </w:pPr>
            <w:r>
              <w:rPr>
                <w:noProof/>
              </w:rPr>
              <w:t>Beras Adan Krayan</w:t>
            </w:r>
          </w:p>
        </w:tc>
        <w:tc>
          <w:tcPr>
            <w:tcW w:w="2105" w:type="pct"/>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7</w:t>
            </w:r>
            <w:r>
              <w:rPr>
                <w:noProof/>
              </w:rPr>
              <w:tab/>
            </w:r>
          </w:p>
        </w:tc>
        <w:tc>
          <w:tcPr>
            <w:tcW w:w="2267" w:type="pct"/>
          </w:tcPr>
          <w:p>
            <w:pPr>
              <w:spacing w:before="60" w:after="60" w:line="240" w:lineRule="auto"/>
              <w:rPr>
                <w:rFonts w:eastAsia="MS Mincho"/>
                <w:noProof/>
                <w:szCs w:val="24"/>
              </w:rPr>
            </w:pPr>
            <w:r>
              <w:rPr>
                <w:noProof/>
              </w:rPr>
              <w:t>Kopi Arabika Flores Bajawa</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8</w:t>
            </w:r>
            <w:r>
              <w:rPr>
                <w:noProof/>
              </w:rPr>
              <w:tab/>
            </w:r>
          </w:p>
        </w:tc>
        <w:tc>
          <w:tcPr>
            <w:tcW w:w="2267" w:type="pct"/>
          </w:tcPr>
          <w:p>
            <w:pPr>
              <w:spacing w:before="60" w:after="60" w:line="240" w:lineRule="auto"/>
              <w:rPr>
                <w:rFonts w:eastAsia="MS Mincho"/>
                <w:noProof/>
                <w:szCs w:val="24"/>
              </w:rPr>
            </w:pPr>
            <w:r>
              <w:rPr>
                <w:noProof/>
              </w:rPr>
              <w:t>Purwaceng Dieng</w:t>
            </w:r>
          </w:p>
        </w:tc>
        <w:tc>
          <w:tcPr>
            <w:tcW w:w="2105" w:type="pct"/>
          </w:tcPr>
          <w:p>
            <w:pPr>
              <w:spacing w:before="60" w:after="60" w:line="240" w:lineRule="auto"/>
              <w:rPr>
                <w:rFonts w:eastAsia="MS Mincho"/>
                <w:noProof/>
                <w:szCs w:val="24"/>
              </w:rPr>
            </w:pPr>
            <w:r>
              <w:rPr>
                <w:noProof/>
              </w:rPr>
              <w:t>Fructe</w:t>
            </w:r>
          </w:p>
        </w:tc>
      </w:tr>
      <w:tr>
        <w:tc>
          <w:tcPr>
            <w:tcW w:w="629" w:type="pct"/>
          </w:tcPr>
          <w:p>
            <w:pPr>
              <w:widowControl/>
              <w:spacing w:before="60" w:after="60" w:line="240" w:lineRule="auto"/>
              <w:ind w:left="720" w:hanging="360"/>
              <w:rPr>
                <w:rFonts w:eastAsia="MS Mincho"/>
                <w:noProof/>
                <w:szCs w:val="24"/>
              </w:rPr>
            </w:pPr>
            <w:r>
              <w:rPr>
                <w:noProof/>
              </w:rPr>
              <w:t>9</w:t>
            </w:r>
            <w:r>
              <w:rPr>
                <w:noProof/>
              </w:rPr>
              <w:tab/>
            </w:r>
          </w:p>
        </w:tc>
        <w:tc>
          <w:tcPr>
            <w:tcW w:w="2267" w:type="pct"/>
          </w:tcPr>
          <w:p>
            <w:pPr>
              <w:spacing w:before="60" w:after="60" w:line="240" w:lineRule="auto"/>
              <w:rPr>
                <w:rFonts w:eastAsia="MS Mincho"/>
                <w:noProof/>
                <w:szCs w:val="24"/>
              </w:rPr>
            </w:pPr>
            <w:r>
              <w:rPr>
                <w:noProof/>
              </w:rPr>
              <w:t>Carica Dieng</w:t>
            </w:r>
          </w:p>
        </w:tc>
        <w:tc>
          <w:tcPr>
            <w:tcW w:w="2105" w:type="pct"/>
          </w:tcPr>
          <w:p>
            <w:pPr>
              <w:spacing w:before="60" w:after="60" w:line="240" w:lineRule="auto"/>
              <w:rPr>
                <w:rFonts w:eastAsia="MS Mincho"/>
                <w:noProof/>
                <w:szCs w:val="24"/>
              </w:rPr>
            </w:pPr>
            <w:r>
              <w:rPr>
                <w:noProof/>
              </w:rPr>
              <w:t>Fructe</w:t>
            </w:r>
          </w:p>
        </w:tc>
      </w:tr>
      <w:tr>
        <w:tc>
          <w:tcPr>
            <w:tcW w:w="629" w:type="pct"/>
          </w:tcPr>
          <w:p>
            <w:pPr>
              <w:widowControl/>
              <w:spacing w:before="60" w:after="60" w:line="240" w:lineRule="auto"/>
              <w:ind w:left="720" w:hanging="360"/>
              <w:rPr>
                <w:rFonts w:eastAsia="MS Mincho"/>
                <w:noProof/>
                <w:szCs w:val="24"/>
              </w:rPr>
            </w:pPr>
            <w:r>
              <w:rPr>
                <w:noProof/>
              </w:rPr>
              <w:t>10</w:t>
            </w:r>
            <w:r>
              <w:rPr>
                <w:noProof/>
              </w:rPr>
              <w:tab/>
            </w:r>
          </w:p>
        </w:tc>
        <w:tc>
          <w:tcPr>
            <w:tcW w:w="2267" w:type="pct"/>
          </w:tcPr>
          <w:p>
            <w:pPr>
              <w:spacing w:before="60" w:after="60" w:line="240" w:lineRule="auto"/>
              <w:rPr>
                <w:rFonts w:eastAsia="MS Mincho"/>
                <w:noProof/>
                <w:szCs w:val="24"/>
              </w:rPr>
            </w:pPr>
            <w:r>
              <w:rPr>
                <w:noProof/>
              </w:rPr>
              <w:t>Vanili Kep. Alor</w:t>
            </w:r>
          </w:p>
        </w:tc>
        <w:tc>
          <w:tcPr>
            <w:tcW w:w="2105" w:type="pct"/>
          </w:tcPr>
          <w:p>
            <w:pPr>
              <w:spacing w:before="60" w:after="60" w:line="240" w:lineRule="auto"/>
              <w:rPr>
                <w:rFonts w:eastAsia="MS Mincho"/>
                <w:noProof/>
                <w:szCs w:val="24"/>
              </w:rPr>
            </w:pPr>
            <w:r>
              <w:rPr>
                <w:noProof/>
              </w:rPr>
              <w:t>Vanilie</w:t>
            </w:r>
          </w:p>
        </w:tc>
      </w:tr>
      <w:tr>
        <w:tc>
          <w:tcPr>
            <w:tcW w:w="629" w:type="pct"/>
          </w:tcPr>
          <w:p>
            <w:pPr>
              <w:widowControl/>
              <w:spacing w:before="60" w:after="60" w:line="240" w:lineRule="auto"/>
              <w:ind w:left="720" w:hanging="360"/>
              <w:rPr>
                <w:rFonts w:eastAsia="MS Mincho"/>
                <w:noProof/>
                <w:szCs w:val="24"/>
              </w:rPr>
            </w:pPr>
            <w:r>
              <w:rPr>
                <w:noProof/>
              </w:rPr>
              <w:t>11</w:t>
            </w:r>
            <w:r>
              <w:rPr>
                <w:noProof/>
              </w:rPr>
              <w:tab/>
            </w:r>
          </w:p>
        </w:tc>
        <w:tc>
          <w:tcPr>
            <w:tcW w:w="2267" w:type="pct"/>
          </w:tcPr>
          <w:p>
            <w:pPr>
              <w:spacing w:before="60" w:after="60" w:line="240" w:lineRule="auto"/>
              <w:rPr>
                <w:rFonts w:eastAsia="MS Mincho"/>
                <w:noProof/>
                <w:szCs w:val="24"/>
              </w:rPr>
            </w:pPr>
            <w:r>
              <w:rPr>
                <w:noProof/>
              </w:rPr>
              <w:t>Kopi Arabika Kalosi Enrekang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12</w:t>
            </w:r>
            <w:r>
              <w:rPr>
                <w:noProof/>
              </w:rPr>
              <w:tab/>
            </w:r>
          </w:p>
        </w:tc>
        <w:tc>
          <w:tcPr>
            <w:tcW w:w="2267" w:type="pct"/>
          </w:tcPr>
          <w:p>
            <w:pPr>
              <w:spacing w:before="60" w:after="60" w:line="240" w:lineRule="auto"/>
              <w:rPr>
                <w:rFonts w:eastAsia="MS Mincho"/>
                <w:noProof/>
                <w:szCs w:val="24"/>
              </w:rPr>
            </w:pPr>
            <w:r>
              <w:rPr>
                <w:noProof/>
              </w:rPr>
              <w:t>Ubi Cilembu Sumedang</w:t>
            </w:r>
          </w:p>
        </w:tc>
        <w:tc>
          <w:tcPr>
            <w:tcW w:w="2105" w:type="pct"/>
          </w:tcPr>
          <w:p>
            <w:pPr>
              <w:spacing w:before="60" w:after="60" w:line="240" w:lineRule="auto"/>
              <w:rPr>
                <w:rFonts w:eastAsia="MS Mincho"/>
                <w:noProof/>
                <w:szCs w:val="24"/>
              </w:rPr>
            </w:pPr>
            <w:r>
              <w:rPr>
                <w:noProof/>
                <w:color w:val="000000"/>
              </w:rPr>
              <w:t>Cartofi dulci</w:t>
            </w:r>
          </w:p>
        </w:tc>
      </w:tr>
      <w:tr>
        <w:tc>
          <w:tcPr>
            <w:tcW w:w="629" w:type="pct"/>
          </w:tcPr>
          <w:p>
            <w:pPr>
              <w:widowControl/>
              <w:spacing w:before="60" w:after="60" w:line="240" w:lineRule="auto"/>
              <w:ind w:left="720" w:hanging="360"/>
              <w:rPr>
                <w:rFonts w:eastAsia="MS Mincho"/>
                <w:noProof/>
                <w:szCs w:val="24"/>
              </w:rPr>
            </w:pPr>
            <w:r>
              <w:rPr>
                <w:noProof/>
              </w:rPr>
              <w:t>13</w:t>
            </w:r>
            <w:r>
              <w:rPr>
                <w:noProof/>
              </w:rPr>
              <w:tab/>
            </w:r>
          </w:p>
        </w:tc>
        <w:tc>
          <w:tcPr>
            <w:tcW w:w="2267" w:type="pct"/>
          </w:tcPr>
          <w:p>
            <w:pPr>
              <w:spacing w:before="60" w:after="60" w:line="240" w:lineRule="auto"/>
              <w:rPr>
                <w:rFonts w:eastAsia="MS Mincho"/>
                <w:noProof/>
                <w:szCs w:val="24"/>
              </w:rPr>
            </w:pPr>
            <w:r>
              <w:rPr>
                <w:noProof/>
              </w:rPr>
              <w:t>Salak Pondoh Sleman Jogja</w:t>
            </w:r>
          </w:p>
        </w:tc>
        <w:tc>
          <w:tcPr>
            <w:tcW w:w="2105" w:type="pct"/>
          </w:tcPr>
          <w:p>
            <w:pPr>
              <w:spacing w:before="60" w:after="60" w:line="240" w:lineRule="auto"/>
              <w:rPr>
                <w:rFonts w:eastAsia="MS Mincho"/>
                <w:noProof/>
                <w:szCs w:val="24"/>
              </w:rPr>
            </w:pPr>
            <w:r>
              <w:rPr>
                <w:noProof/>
                <w:color w:val="000000"/>
              </w:rPr>
              <w:t>Fructul șarpelui</w:t>
            </w:r>
          </w:p>
        </w:tc>
      </w:tr>
      <w:tr>
        <w:trPr>
          <w:trHeight w:val="336"/>
        </w:trPr>
        <w:tc>
          <w:tcPr>
            <w:tcW w:w="629" w:type="pct"/>
          </w:tcPr>
          <w:p>
            <w:pPr>
              <w:widowControl/>
              <w:spacing w:before="60" w:after="60" w:line="240" w:lineRule="auto"/>
              <w:ind w:left="720" w:hanging="360"/>
              <w:rPr>
                <w:rFonts w:eastAsia="MS Mincho"/>
                <w:noProof/>
                <w:szCs w:val="24"/>
              </w:rPr>
            </w:pPr>
            <w:r>
              <w:rPr>
                <w:noProof/>
              </w:rPr>
              <w:t>14</w:t>
            </w:r>
            <w:r>
              <w:rPr>
                <w:noProof/>
              </w:rPr>
              <w:tab/>
            </w:r>
          </w:p>
        </w:tc>
        <w:tc>
          <w:tcPr>
            <w:tcW w:w="2267" w:type="pct"/>
          </w:tcPr>
          <w:p>
            <w:pPr>
              <w:spacing w:before="60" w:after="60" w:line="240" w:lineRule="auto"/>
              <w:rPr>
                <w:rFonts w:eastAsia="MS Mincho"/>
                <w:noProof/>
                <w:szCs w:val="24"/>
              </w:rPr>
            </w:pPr>
            <w:r>
              <w:rPr>
                <w:noProof/>
              </w:rPr>
              <w:t>Minyak Nilam Aceh</w:t>
            </w:r>
          </w:p>
        </w:tc>
        <w:tc>
          <w:tcPr>
            <w:tcW w:w="2105" w:type="pct"/>
          </w:tcPr>
          <w:p>
            <w:pPr>
              <w:spacing w:before="60" w:after="60" w:line="240" w:lineRule="auto"/>
              <w:rPr>
                <w:rFonts w:eastAsia="MS Mincho"/>
                <w:noProof/>
                <w:szCs w:val="24"/>
              </w:rPr>
            </w:pPr>
            <w:r>
              <w:rPr>
                <w:noProof/>
              </w:rPr>
              <w:t>Ulei</w:t>
            </w:r>
          </w:p>
        </w:tc>
      </w:tr>
      <w:tr>
        <w:tc>
          <w:tcPr>
            <w:tcW w:w="629" w:type="pct"/>
          </w:tcPr>
          <w:p>
            <w:pPr>
              <w:widowControl/>
              <w:spacing w:before="60" w:after="60" w:line="240" w:lineRule="auto"/>
              <w:ind w:left="720" w:hanging="360"/>
              <w:rPr>
                <w:rFonts w:eastAsia="MS Mincho"/>
                <w:noProof/>
                <w:szCs w:val="24"/>
              </w:rPr>
            </w:pPr>
            <w:r>
              <w:rPr>
                <w:noProof/>
              </w:rPr>
              <w:t>15</w:t>
            </w:r>
            <w:r>
              <w:rPr>
                <w:noProof/>
              </w:rPr>
              <w:tab/>
            </w:r>
          </w:p>
        </w:tc>
        <w:tc>
          <w:tcPr>
            <w:tcW w:w="2267" w:type="pct"/>
          </w:tcPr>
          <w:p>
            <w:pPr>
              <w:spacing w:before="60" w:after="60" w:line="240" w:lineRule="auto"/>
              <w:rPr>
                <w:rFonts w:eastAsia="MS Mincho"/>
                <w:noProof/>
                <w:szCs w:val="24"/>
              </w:rPr>
            </w:pPr>
            <w:r>
              <w:rPr>
                <w:noProof/>
              </w:rPr>
              <w:t>Kopi Arabika Java Preanger</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16</w:t>
            </w:r>
            <w:r>
              <w:rPr>
                <w:noProof/>
              </w:rPr>
              <w:tab/>
            </w:r>
          </w:p>
        </w:tc>
        <w:tc>
          <w:tcPr>
            <w:tcW w:w="2267" w:type="pct"/>
          </w:tcPr>
          <w:p>
            <w:pPr>
              <w:spacing w:before="60" w:after="60" w:line="240" w:lineRule="auto"/>
              <w:rPr>
                <w:rFonts w:eastAsia="MS Mincho"/>
                <w:noProof/>
                <w:szCs w:val="24"/>
              </w:rPr>
            </w:pPr>
            <w:r>
              <w:rPr>
                <w:noProof/>
              </w:rPr>
              <w:t>Kopi Arabika Java Ijen-Raung</w:t>
            </w:r>
          </w:p>
        </w:tc>
        <w:tc>
          <w:tcPr>
            <w:tcW w:w="2105" w:type="pct"/>
          </w:tcPr>
          <w:p>
            <w:pPr>
              <w:spacing w:before="60" w:after="60" w:line="240" w:lineRule="auto"/>
              <w:rPr>
                <w:rFonts w:eastAsia="MS Mincho"/>
                <w:noProof/>
                <w:szCs w:val="24"/>
              </w:rPr>
            </w:pPr>
            <w:r>
              <w:rPr>
                <w:noProof/>
              </w:rPr>
              <w:t>Cafea</w:t>
            </w:r>
          </w:p>
        </w:tc>
      </w:tr>
      <w:tr>
        <w:trPr>
          <w:trHeight w:val="467"/>
        </w:trPr>
        <w:tc>
          <w:tcPr>
            <w:tcW w:w="629" w:type="pct"/>
          </w:tcPr>
          <w:p>
            <w:pPr>
              <w:widowControl/>
              <w:spacing w:before="60" w:after="60" w:line="240" w:lineRule="auto"/>
              <w:ind w:left="720" w:hanging="360"/>
              <w:rPr>
                <w:rFonts w:eastAsia="MS Mincho"/>
                <w:noProof/>
                <w:szCs w:val="24"/>
              </w:rPr>
            </w:pPr>
            <w:r>
              <w:rPr>
                <w:noProof/>
              </w:rPr>
              <w:t>17</w:t>
            </w:r>
            <w:r>
              <w:rPr>
                <w:noProof/>
              </w:rPr>
              <w:tab/>
            </w:r>
          </w:p>
        </w:tc>
        <w:tc>
          <w:tcPr>
            <w:tcW w:w="2267" w:type="pct"/>
          </w:tcPr>
          <w:p>
            <w:pPr>
              <w:spacing w:before="60" w:after="60" w:line="240" w:lineRule="auto"/>
              <w:rPr>
                <w:rFonts w:eastAsia="MS Mincho"/>
                <w:noProof/>
                <w:szCs w:val="24"/>
              </w:rPr>
            </w:pPr>
            <w:r>
              <w:rPr>
                <w:noProof/>
              </w:rPr>
              <w:t>Bandeng Asap Sidoarjo</w:t>
            </w:r>
          </w:p>
        </w:tc>
        <w:tc>
          <w:tcPr>
            <w:tcW w:w="2105" w:type="pct"/>
          </w:tcPr>
          <w:p>
            <w:pPr>
              <w:spacing w:before="60" w:after="60" w:line="240" w:lineRule="auto"/>
              <w:rPr>
                <w:rFonts w:eastAsia="MS Mincho"/>
                <w:noProof/>
                <w:szCs w:val="24"/>
              </w:rPr>
            </w:pPr>
            <w:r>
              <w:rPr>
                <w:noProof/>
                <w:color w:val="000000"/>
              </w:rPr>
              <w:t>Chanos</w:t>
            </w:r>
          </w:p>
        </w:tc>
      </w:tr>
      <w:tr>
        <w:tc>
          <w:tcPr>
            <w:tcW w:w="629" w:type="pct"/>
          </w:tcPr>
          <w:p>
            <w:pPr>
              <w:widowControl/>
              <w:spacing w:before="60" w:after="60" w:line="240" w:lineRule="auto"/>
              <w:ind w:left="720" w:hanging="360"/>
              <w:rPr>
                <w:rFonts w:eastAsia="MS Mincho"/>
                <w:noProof/>
                <w:szCs w:val="24"/>
              </w:rPr>
            </w:pPr>
            <w:r>
              <w:rPr>
                <w:noProof/>
              </w:rPr>
              <w:t>18</w:t>
            </w:r>
            <w:r>
              <w:rPr>
                <w:noProof/>
              </w:rPr>
              <w:tab/>
            </w:r>
          </w:p>
        </w:tc>
        <w:tc>
          <w:tcPr>
            <w:tcW w:w="2267" w:type="pct"/>
          </w:tcPr>
          <w:p>
            <w:pPr>
              <w:spacing w:before="60" w:after="60" w:line="240" w:lineRule="auto"/>
              <w:rPr>
                <w:rFonts w:eastAsia="MS Mincho"/>
                <w:noProof/>
                <w:szCs w:val="24"/>
              </w:rPr>
            </w:pPr>
            <w:r>
              <w:rPr>
                <w:noProof/>
              </w:rPr>
              <w:t>Kopi Arabika Toraja</w:t>
            </w:r>
          </w:p>
        </w:tc>
        <w:tc>
          <w:tcPr>
            <w:tcW w:w="2105" w:type="pct"/>
          </w:tcPr>
          <w:p>
            <w:pPr>
              <w:spacing w:before="60" w:after="60" w:line="240" w:lineRule="auto"/>
              <w:rPr>
                <w:rFonts w:eastAsia="MS Mincho"/>
                <w:noProof/>
                <w:szCs w:val="24"/>
              </w:rPr>
            </w:pPr>
            <w:r>
              <w:rPr>
                <w:noProof/>
              </w:rPr>
              <w:t>Cafea</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19</w:t>
            </w:r>
            <w:r>
              <w:rPr>
                <w:noProof/>
              </w:rPr>
              <w:tab/>
            </w:r>
          </w:p>
        </w:tc>
        <w:tc>
          <w:tcPr>
            <w:tcW w:w="2267" w:type="pct"/>
          </w:tcPr>
          <w:p>
            <w:pPr>
              <w:spacing w:before="60" w:after="60" w:line="240" w:lineRule="auto"/>
              <w:rPr>
                <w:rFonts w:eastAsia="MS Mincho"/>
                <w:noProof/>
                <w:szCs w:val="24"/>
              </w:rPr>
            </w:pPr>
            <w:r>
              <w:rPr>
                <w:noProof/>
              </w:rPr>
              <w:t>Kopi Robusta Lampung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20</w:t>
            </w:r>
            <w:r>
              <w:rPr>
                <w:noProof/>
              </w:rPr>
              <w:tab/>
            </w:r>
          </w:p>
        </w:tc>
        <w:tc>
          <w:tcPr>
            <w:tcW w:w="2267" w:type="pct"/>
          </w:tcPr>
          <w:p>
            <w:pPr>
              <w:spacing w:before="60" w:after="60" w:line="240" w:lineRule="auto"/>
              <w:rPr>
                <w:rFonts w:eastAsia="MS Mincho"/>
                <w:noProof/>
                <w:szCs w:val="24"/>
              </w:rPr>
            </w:pPr>
            <w:r>
              <w:rPr>
                <w:noProof/>
              </w:rPr>
              <w:t>Mete Kubu Bali</w:t>
            </w:r>
          </w:p>
        </w:tc>
        <w:tc>
          <w:tcPr>
            <w:tcW w:w="2105" w:type="pct"/>
          </w:tcPr>
          <w:p>
            <w:pPr>
              <w:spacing w:before="60" w:after="60" w:line="240" w:lineRule="auto"/>
              <w:rPr>
                <w:rFonts w:eastAsia="MS Mincho"/>
                <w:noProof/>
                <w:szCs w:val="24"/>
              </w:rPr>
            </w:pPr>
            <w:r>
              <w:rPr>
                <w:noProof/>
              </w:rPr>
              <w:t>Caju</w:t>
            </w:r>
          </w:p>
        </w:tc>
      </w:tr>
      <w:tr>
        <w:tc>
          <w:tcPr>
            <w:tcW w:w="629" w:type="pct"/>
          </w:tcPr>
          <w:p>
            <w:pPr>
              <w:widowControl/>
              <w:spacing w:before="60" w:after="60" w:line="240" w:lineRule="auto"/>
              <w:ind w:left="720" w:hanging="360"/>
              <w:rPr>
                <w:rFonts w:eastAsia="MS Mincho"/>
                <w:noProof/>
                <w:szCs w:val="24"/>
              </w:rPr>
            </w:pPr>
            <w:r>
              <w:rPr>
                <w:noProof/>
              </w:rPr>
              <w:t>21</w:t>
            </w:r>
            <w:r>
              <w:rPr>
                <w:noProof/>
              </w:rPr>
              <w:tab/>
            </w:r>
          </w:p>
        </w:tc>
        <w:tc>
          <w:tcPr>
            <w:tcW w:w="2267" w:type="pct"/>
          </w:tcPr>
          <w:p>
            <w:pPr>
              <w:spacing w:before="60" w:after="60" w:line="240" w:lineRule="auto"/>
              <w:rPr>
                <w:rFonts w:eastAsia="MS Mincho"/>
                <w:noProof/>
                <w:szCs w:val="24"/>
              </w:rPr>
            </w:pPr>
            <w:r>
              <w:rPr>
                <w:noProof/>
              </w:rPr>
              <w:t>Gula Kelapa Kulonprogo Jogja</w:t>
            </w:r>
          </w:p>
        </w:tc>
        <w:tc>
          <w:tcPr>
            <w:tcW w:w="2105" w:type="pct"/>
          </w:tcPr>
          <w:p>
            <w:pPr>
              <w:spacing w:before="60" w:after="60" w:line="240" w:lineRule="auto"/>
              <w:rPr>
                <w:rFonts w:eastAsia="MS Mincho"/>
                <w:noProof/>
                <w:szCs w:val="24"/>
              </w:rPr>
            </w:pPr>
            <w:r>
              <w:rPr>
                <w:noProof/>
              </w:rPr>
              <w:t>Zahăr</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noProof/>
              </w:rPr>
              <w:t>*IG deja protejată și prin cerere directă în 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22</w:t>
            </w:r>
            <w:r>
              <w:rPr>
                <w:noProof/>
              </w:rPr>
              <w:tab/>
            </w:r>
          </w:p>
        </w:tc>
        <w:tc>
          <w:tcPr>
            <w:tcW w:w="2267" w:type="pct"/>
          </w:tcPr>
          <w:p>
            <w:pPr>
              <w:spacing w:before="60" w:after="60" w:line="240" w:lineRule="auto"/>
              <w:rPr>
                <w:rFonts w:eastAsia="MS Mincho"/>
                <w:noProof/>
                <w:szCs w:val="24"/>
              </w:rPr>
            </w:pPr>
            <w:r>
              <w:rPr>
                <w:noProof/>
              </w:rPr>
              <w:t>Kopi Arabika Java Sindoro-Sumbing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23</w:t>
            </w:r>
            <w:r>
              <w:rPr>
                <w:noProof/>
              </w:rPr>
              <w:tab/>
            </w:r>
          </w:p>
        </w:tc>
        <w:tc>
          <w:tcPr>
            <w:tcW w:w="2267" w:type="pct"/>
          </w:tcPr>
          <w:p>
            <w:pPr>
              <w:spacing w:before="60" w:after="60" w:line="240" w:lineRule="auto"/>
              <w:rPr>
                <w:rFonts w:eastAsia="MS Mincho"/>
                <w:noProof/>
                <w:szCs w:val="24"/>
              </w:rPr>
            </w:pPr>
            <w:r>
              <w:rPr>
                <w:noProof/>
              </w:rPr>
              <w:t>Kopi Arabika Sumatera Simalungun</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24</w:t>
            </w:r>
            <w:r>
              <w:rPr>
                <w:noProof/>
              </w:rPr>
              <w:tab/>
            </w:r>
          </w:p>
        </w:tc>
        <w:tc>
          <w:tcPr>
            <w:tcW w:w="2267" w:type="pct"/>
          </w:tcPr>
          <w:p>
            <w:pPr>
              <w:spacing w:before="60" w:after="60" w:line="240" w:lineRule="auto"/>
              <w:rPr>
                <w:rFonts w:eastAsia="MS Mincho"/>
                <w:noProof/>
                <w:szCs w:val="24"/>
              </w:rPr>
            </w:pPr>
            <w:r>
              <w:rPr>
                <w:noProof/>
              </w:rPr>
              <w:t>Kopi Liberika Tungkal Jambi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25</w:t>
            </w:r>
            <w:r>
              <w:rPr>
                <w:noProof/>
              </w:rPr>
              <w:tab/>
            </w:r>
          </w:p>
        </w:tc>
        <w:tc>
          <w:tcPr>
            <w:tcW w:w="2267" w:type="pct"/>
          </w:tcPr>
          <w:p>
            <w:pPr>
              <w:spacing w:before="60" w:after="60" w:line="240" w:lineRule="auto"/>
              <w:rPr>
                <w:rFonts w:eastAsia="MS Mincho"/>
                <w:noProof/>
                <w:szCs w:val="24"/>
              </w:rPr>
            </w:pPr>
            <w:r>
              <w:rPr>
                <w:noProof/>
              </w:rPr>
              <w:t>Cengkeh Minahasa</w:t>
            </w:r>
          </w:p>
        </w:tc>
        <w:tc>
          <w:tcPr>
            <w:tcW w:w="2105" w:type="pct"/>
          </w:tcPr>
          <w:p>
            <w:pPr>
              <w:spacing w:before="60" w:after="60" w:line="240" w:lineRule="auto"/>
              <w:rPr>
                <w:rFonts w:eastAsia="MS Mincho"/>
                <w:noProof/>
                <w:szCs w:val="24"/>
              </w:rPr>
            </w:pPr>
            <w:r>
              <w:rPr>
                <w:noProof/>
              </w:rPr>
              <w:t>Cuișoare</w:t>
            </w:r>
          </w:p>
        </w:tc>
      </w:tr>
      <w:tr>
        <w:tc>
          <w:tcPr>
            <w:tcW w:w="629" w:type="pct"/>
          </w:tcPr>
          <w:p>
            <w:pPr>
              <w:widowControl/>
              <w:spacing w:before="60" w:after="60" w:line="240" w:lineRule="auto"/>
              <w:ind w:left="720" w:hanging="360"/>
              <w:rPr>
                <w:rFonts w:eastAsia="MS Mincho"/>
                <w:noProof/>
                <w:szCs w:val="24"/>
              </w:rPr>
            </w:pPr>
            <w:r>
              <w:rPr>
                <w:noProof/>
              </w:rPr>
              <w:t>26</w:t>
            </w:r>
            <w:r>
              <w:rPr>
                <w:noProof/>
              </w:rPr>
              <w:tab/>
            </w:r>
          </w:p>
        </w:tc>
        <w:tc>
          <w:tcPr>
            <w:tcW w:w="2267" w:type="pct"/>
          </w:tcPr>
          <w:p>
            <w:pPr>
              <w:spacing w:before="60" w:after="60" w:line="240" w:lineRule="auto"/>
              <w:rPr>
                <w:rFonts w:eastAsia="MS Mincho"/>
                <w:noProof/>
                <w:szCs w:val="24"/>
              </w:rPr>
            </w:pPr>
            <w:r>
              <w:rPr>
                <w:noProof/>
              </w:rPr>
              <w:t>Beras Pandanwangi Cianjur</w:t>
            </w:r>
          </w:p>
        </w:tc>
        <w:tc>
          <w:tcPr>
            <w:tcW w:w="2105" w:type="pct"/>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27</w:t>
            </w:r>
            <w:r>
              <w:rPr>
                <w:noProof/>
              </w:rPr>
              <w:tab/>
            </w:r>
          </w:p>
        </w:tc>
        <w:tc>
          <w:tcPr>
            <w:tcW w:w="2267" w:type="pct"/>
          </w:tcPr>
          <w:p>
            <w:pPr>
              <w:spacing w:before="60" w:after="60" w:line="240" w:lineRule="auto"/>
              <w:rPr>
                <w:rFonts w:eastAsia="MS Mincho"/>
                <w:noProof/>
                <w:szCs w:val="24"/>
              </w:rPr>
            </w:pPr>
            <w:r>
              <w:rPr>
                <w:noProof/>
              </w:rPr>
              <w:t>Kopi Robusta Semendo</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28</w:t>
            </w:r>
            <w:r>
              <w:rPr>
                <w:noProof/>
              </w:rPr>
              <w:tab/>
            </w:r>
          </w:p>
        </w:tc>
        <w:tc>
          <w:tcPr>
            <w:tcW w:w="2267" w:type="pct"/>
          </w:tcPr>
          <w:p>
            <w:pPr>
              <w:spacing w:before="60" w:after="60" w:line="240" w:lineRule="auto"/>
              <w:rPr>
                <w:rFonts w:eastAsia="MS Mincho"/>
                <w:noProof/>
                <w:szCs w:val="24"/>
              </w:rPr>
            </w:pPr>
            <w:r>
              <w:rPr>
                <w:noProof/>
              </w:rPr>
              <w:t>Pala Siau</w:t>
            </w:r>
          </w:p>
        </w:tc>
        <w:tc>
          <w:tcPr>
            <w:tcW w:w="2105" w:type="pct"/>
          </w:tcPr>
          <w:p>
            <w:pPr>
              <w:spacing w:before="60" w:after="60" w:line="240" w:lineRule="auto"/>
              <w:rPr>
                <w:rFonts w:eastAsia="MS Mincho"/>
                <w:noProof/>
                <w:szCs w:val="24"/>
              </w:rPr>
            </w:pPr>
            <w:r>
              <w:rPr>
                <w:noProof/>
              </w:rPr>
              <w:t>Nucșoară</w:t>
            </w:r>
          </w:p>
        </w:tc>
      </w:tr>
      <w:tr>
        <w:tc>
          <w:tcPr>
            <w:tcW w:w="629" w:type="pct"/>
          </w:tcPr>
          <w:p>
            <w:pPr>
              <w:widowControl/>
              <w:spacing w:before="60" w:after="60" w:line="240" w:lineRule="auto"/>
              <w:ind w:left="720" w:hanging="360"/>
              <w:rPr>
                <w:rFonts w:eastAsia="MS Mincho"/>
                <w:noProof/>
                <w:szCs w:val="24"/>
              </w:rPr>
            </w:pPr>
            <w:r>
              <w:rPr>
                <w:noProof/>
              </w:rPr>
              <w:t>29</w:t>
            </w:r>
            <w:r>
              <w:rPr>
                <w:noProof/>
              </w:rPr>
              <w:tab/>
            </w:r>
          </w:p>
        </w:tc>
        <w:tc>
          <w:tcPr>
            <w:tcW w:w="2267" w:type="pct"/>
          </w:tcPr>
          <w:p>
            <w:pPr>
              <w:spacing w:before="60" w:after="60" w:line="240" w:lineRule="auto"/>
              <w:rPr>
                <w:rFonts w:eastAsia="MS Mincho"/>
                <w:noProof/>
                <w:szCs w:val="24"/>
              </w:rPr>
            </w:pPr>
            <w:r>
              <w:rPr>
                <w:noProof/>
              </w:rPr>
              <w:t>Teh Java Preanger</w:t>
            </w:r>
          </w:p>
        </w:tc>
        <w:tc>
          <w:tcPr>
            <w:tcW w:w="2105" w:type="pct"/>
          </w:tcPr>
          <w:p>
            <w:pPr>
              <w:spacing w:before="60" w:after="60" w:line="240" w:lineRule="auto"/>
              <w:rPr>
                <w:rFonts w:eastAsia="MS Mincho"/>
                <w:noProof/>
                <w:szCs w:val="24"/>
              </w:rPr>
            </w:pPr>
            <w:r>
              <w:rPr>
                <w:noProof/>
              </w:rPr>
              <w:t>Ceai</w:t>
            </w:r>
          </w:p>
        </w:tc>
      </w:tr>
      <w:tr>
        <w:tc>
          <w:tcPr>
            <w:tcW w:w="629" w:type="pct"/>
          </w:tcPr>
          <w:p>
            <w:pPr>
              <w:widowControl/>
              <w:spacing w:before="60" w:after="60" w:line="240" w:lineRule="auto"/>
              <w:ind w:left="720" w:hanging="360"/>
              <w:rPr>
                <w:rFonts w:eastAsia="MS Mincho"/>
                <w:noProof/>
                <w:szCs w:val="24"/>
              </w:rPr>
            </w:pPr>
            <w:r>
              <w:rPr>
                <w:noProof/>
              </w:rPr>
              <w:t>30</w:t>
            </w:r>
            <w:r>
              <w:rPr>
                <w:noProof/>
              </w:rPr>
              <w:tab/>
            </w:r>
          </w:p>
        </w:tc>
        <w:tc>
          <w:tcPr>
            <w:tcW w:w="2267" w:type="pct"/>
          </w:tcPr>
          <w:p>
            <w:pPr>
              <w:spacing w:before="60" w:after="60" w:line="240" w:lineRule="auto"/>
              <w:rPr>
                <w:rFonts w:eastAsia="MS Mincho"/>
                <w:noProof/>
                <w:szCs w:val="24"/>
              </w:rPr>
            </w:pPr>
            <w:r>
              <w:rPr>
                <w:noProof/>
              </w:rPr>
              <w:t>Garam Amed Bali</w:t>
            </w:r>
            <w:r>
              <w:rPr>
                <w:b/>
                <w:noProof/>
                <w:vertAlign w:val="superscript"/>
              </w:rPr>
              <w:t>*</w:t>
            </w:r>
          </w:p>
        </w:tc>
        <w:tc>
          <w:tcPr>
            <w:tcW w:w="2105" w:type="pct"/>
          </w:tcPr>
          <w:p>
            <w:pPr>
              <w:spacing w:before="60" w:after="60" w:line="240" w:lineRule="auto"/>
              <w:rPr>
                <w:rFonts w:eastAsia="MS Mincho"/>
                <w:noProof/>
                <w:szCs w:val="24"/>
              </w:rPr>
            </w:pPr>
            <w:r>
              <w:rPr>
                <w:noProof/>
              </w:rPr>
              <w:t>Sare</w:t>
            </w:r>
          </w:p>
        </w:tc>
      </w:tr>
      <w:tr>
        <w:tc>
          <w:tcPr>
            <w:tcW w:w="629" w:type="pct"/>
          </w:tcPr>
          <w:p>
            <w:pPr>
              <w:spacing w:before="60" w:after="60" w:line="240" w:lineRule="auto"/>
              <w:rPr>
                <w:rFonts w:eastAsia="MS Mincho"/>
                <w:noProof/>
                <w:szCs w:val="24"/>
                <w:lang w:eastAsia="ja-JP"/>
              </w:rPr>
            </w:pPr>
          </w:p>
        </w:tc>
        <w:tc>
          <w:tcPr>
            <w:tcW w:w="2267" w:type="pct"/>
          </w:tcPr>
          <w:p>
            <w:pPr>
              <w:spacing w:before="60" w:after="60" w:line="240" w:lineRule="auto"/>
              <w:rPr>
                <w:noProof/>
                <w:color w:val="000000"/>
                <w:szCs w:val="24"/>
              </w:rPr>
            </w:pPr>
            <w:r>
              <w:rPr>
                <w:noProof/>
              </w:rPr>
              <w:t>*IG deja protejată și prin cerere directă în UE</w:t>
            </w:r>
          </w:p>
        </w:tc>
        <w:tc>
          <w:tcPr>
            <w:tcW w:w="2105" w:type="pct"/>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31</w:t>
            </w:r>
            <w:r>
              <w:rPr>
                <w:noProof/>
              </w:rPr>
              <w:tab/>
            </w:r>
          </w:p>
        </w:tc>
        <w:tc>
          <w:tcPr>
            <w:tcW w:w="2267" w:type="pct"/>
          </w:tcPr>
          <w:p>
            <w:pPr>
              <w:spacing w:before="60" w:after="60" w:line="240" w:lineRule="auto"/>
              <w:rPr>
                <w:rFonts w:eastAsia="MS Mincho"/>
                <w:noProof/>
                <w:szCs w:val="24"/>
              </w:rPr>
            </w:pPr>
            <w:r>
              <w:rPr>
                <w:noProof/>
                <w:color w:val="000000"/>
              </w:rPr>
              <w:t>Jeruk Keprok Gayo-Aceh</w:t>
            </w:r>
          </w:p>
        </w:tc>
        <w:tc>
          <w:tcPr>
            <w:tcW w:w="2105" w:type="pct"/>
          </w:tcPr>
          <w:p>
            <w:pPr>
              <w:spacing w:before="60" w:after="60" w:line="240" w:lineRule="auto"/>
              <w:rPr>
                <w:rFonts w:eastAsia="MS Mincho"/>
                <w:noProof/>
                <w:szCs w:val="24"/>
              </w:rPr>
            </w:pPr>
            <w:r>
              <w:rPr>
                <w:noProof/>
                <w:color w:val="000000"/>
              </w:rPr>
              <w:t>Portocale</w:t>
            </w:r>
          </w:p>
        </w:tc>
      </w:tr>
      <w:tr>
        <w:tc>
          <w:tcPr>
            <w:tcW w:w="629" w:type="pct"/>
          </w:tcPr>
          <w:p>
            <w:pPr>
              <w:widowControl/>
              <w:spacing w:before="60" w:after="60" w:line="240" w:lineRule="auto"/>
              <w:ind w:left="720" w:hanging="360"/>
              <w:rPr>
                <w:rFonts w:eastAsia="MS Mincho"/>
                <w:noProof/>
                <w:szCs w:val="24"/>
              </w:rPr>
            </w:pPr>
            <w:r>
              <w:rPr>
                <w:noProof/>
              </w:rPr>
              <w:t>32</w:t>
            </w:r>
            <w:r>
              <w:rPr>
                <w:noProof/>
              </w:rPr>
              <w:tab/>
            </w:r>
          </w:p>
        </w:tc>
        <w:tc>
          <w:tcPr>
            <w:tcW w:w="2267" w:type="pct"/>
          </w:tcPr>
          <w:p>
            <w:pPr>
              <w:spacing w:before="60" w:after="60" w:line="240" w:lineRule="auto"/>
              <w:rPr>
                <w:rFonts w:eastAsia="MS Mincho"/>
                <w:noProof/>
                <w:szCs w:val="24"/>
              </w:rPr>
            </w:pPr>
            <w:r>
              <w:rPr>
                <w:noProof/>
                <w:color w:val="000000"/>
              </w:rPr>
              <w:t>Kopi Liberika Rangsang Meranti</w:t>
            </w:r>
          </w:p>
        </w:tc>
        <w:tc>
          <w:tcPr>
            <w:tcW w:w="2105" w:type="pct"/>
          </w:tcPr>
          <w:p>
            <w:pPr>
              <w:spacing w:before="60" w:after="60" w:line="240" w:lineRule="auto"/>
              <w:rPr>
                <w:rFonts w:eastAsia="MS Mincho"/>
                <w:noProof/>
                <w:szCs w:val="24"/>
              </w:rPr>
            </w:pPr>
            <w:r>
              <w:rPr>
                <w:noProof/>
                <w:color w:val="000000"/>
              </w:rPr>
              <w:t>Cafea</w:t>
            </w:r>
          </w:p>
        </w:tc>
      </w:tr>
      <w:tr>
        <w:tc>
          <w:tcPr>
            <w:tcW w:w="629" w:type="pct"/>
          </w:tcPr>
          <w:p>
            <w:pPr>
              <w:widowControl/>
              <w:spacing w:before="60" w:after="60" w:line="240" w:lineRule="auto"/>
              <w:ind w:left="720" w:hanging="360"/>
              <w:rPr>
                <w:rFonts w:eastAsia="MS Mincho"/>
                <w:noProof/>
                <w:szCs w:val="24"/>
              </w:rPr>
            </w:pPr>
            <w:r>
              <w:rPr>
                <w:noProof/>
              </w:rPr>
              <w:t>33</w:t>
            </w:r>
            <w:r>
              <w:rPr>
                <w:noProof/>
              </w:rPr>
              <w:tab/>
            </w:r>
          </w:p>
        </w:tc>
        <w:tc>
          <w:tcPr>
            <w:tcW w:w="2267" w:type="pct"/>
          </w:tcPr>
          <w:p>
            <w:pPr>
              <w:spacing w:before="60" w:after="60" w:line="240" w:lineRule="auto"/>
              <w:rPr>
                <w:rFonts w:eastAsia="MS Mincho"/>
                <w:noProof/>
                <w:szCs w:val="24"/>
              </w:rPr>
            </w:pPr>
            <w:r>
              <w:rPr>
                <w:noProof/>
                <w:color w:val="000000"/>
              </w:rPr>
              <w:t>Lada Hitam Lampung</w:t>
            </w:r>
          </w:p>
        </w:tc>
        <w:tc>
          <w:tcPr>
            <w:tcW w:w="2105" w:type="pct"/>
          </w:tcPr>
          <w:p>
            <w:pPr>
              <w:spacing w:before="60" w:after="60" w:line="240" w:lineRule="auto"/>
              <w:rPr>
                <w:rFonts w:eastAsia="MS Mincho"/>
                <w:noProof/>
                <w:szCs w:val="24"/>
              </w:rPr>
            </w:pPr>
            <w:r>
              <w:rPr>
                <w:noProof/>
                <w:color w:val="000000"/>
              </w:rPr>
              <w:t>Piper</w:t>
            </w:r>
          </w:p>
        </w:tc>
      </w:tr>
      <w:tr>
        <w:tc>
          <w:tcPr>
            <w:tcW w:w="629" w:type="pct"/>
          </w:tcPr>
          <w:p>
            <w:pPr>
              <w:widowControl/>
              <w:spacing w:before="60" w:after="60" w:line="240" w:lineRule="auto"/>
              <w:ind w:left="720" w:hanging="360"/>
              <w:rPr>
                <w:rFonts w:eastAsia="MS Mincho"/>
                <w:noProof/>
                <w:szCs w:val="24"/>
              </w:rPr>
            </w:pPr>
            <w:r>
              <w:rPr>
                <w:noProof/>
              </w:rPr>
              <w:t>34</w:t>
            </w:r>
            <w:r>
              <w:rPr>
                <w:noProof/>
              </w:rPr>
              <w:tab/>
            </w:r>
          </w:p>
        </w:tc>
        <w:tc>
          <w:tcPr>
            <w:tcW w:w="2267" w:type="pct"/>
          </w:tcPr>
          <w:p>
            <w:pPr>
              <w:spacing w:before="60" w:after="60" w:line="240" w:lineRule="auto"/>
              <w:rPr>
                <w:rFonts w:eastAsia="MS Mincho"/>
                <w:noProof/>
                <w:szCs w:val="24"/>
              </w:rPr>
            </w:pPr>
            <w:r>
              <w:rPr>
                <w:noProof/>
              </w:rPr>
              <w:t>Kayumanis Koerintji</w:t>
            </w:r>
          </w:p>
        </w:tc>
        <w:tc>
          <w:tcPr>
            <w:tcW w:w="2105" w:type="pct"/>
          </w:tcPr>
          <w:p>
            <w:pPr>
              <w:spacing w:before="60" w:after="60" w:line="240" w:lineRule="auto"/>
              <w:rPr>
                <w:rFonts w:eastAsia="MS Mincho"/>
                <w:noProof/>
                <w:szCs w:val="24"/>
              </w:rPr>
            </w:pPr>
            <w:r>
              <w:rPr>
                <w:noProof/>
              </w:rPr>
              <w:t>Scorțișoară</w:t>
            </w:r>
          </w:p>
        </w:tc>
      </w:tr>
      <w:tr>
        <w:tc>
          <w:tcPr>
            <w:tcW w:w="629" w:type="pct"/>
          </w:tcPr>
          <w:p>
            <w:pPr>
              <w:widowControl/>
              <w:spacing w:before="60" w:after="60" w:line="240" w:lineRule="auto"/>
              <w:ind w:left="720" w:hanging="360"/>
              <w:rPr>
                <w:rFonts w:eastAsia="MS Mincho"/>
                <w:noProof/>
                <w:szCs w:val="24"/>
              </w:rPr>
            </w:pPr>
            <w:r>
              <w:rPr>
                <w:noProof/>
              </w:rPr>
              <w:t>35</w:t>
            </w:r>
            <w:r>
              <w:rPr>
                <w:noProof/>
              </w:rPr>
              <w:tab/>
            </w:r>
          </w:p>
        </w:tc>
        <w:tc>
          <w:tcPr>
            <w:tcW w:w="2267" w:type="pct"/>
          </w:tcPr>
          <w:p>
            <w:pPr>
              <w:spacing w:before="60" w:after="60" w:line="240" w:lineRule="auto"/>
              <w:rPr>
                <w:rFonts w:eastAsia="MS Mincho"/>
                <w:noProof/>
                <w:szCs w:val="24"/>
              </w:rPr>
            </w:pPr>
            <w:r>
              <w:rPr>
                <w:noProof/>
              </w:rPr>
              <w:t>Kopi Arabika Sumatera Mandailing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36</w:t>
            </w:r>
            <w:r>
              <w:rPr>
                <w:noProof/>
              </w:rPr>
              <w:tab/>
            </w:r>
          </w:p>
        </w:tc>
        <w:tc>
          <w:tcPr>
            <w:tcW w:w="2267" w:type="pct"/>
          </w:tcPr>
          <w:p>
            <w:pPr>
              <w:spacing w:before="60" w:after="60" w:line="240" w:lineRule="auto"/>
              <w:rPr>
                <w:rFonts w:eastAsia="MS Mincho"/>
                <w:noProof/>
                <w:szCs w:val="24"/>
              </w:rPr>
            </w:pPr>
            <w:r>
              <w:rPr>
                <w:noProof/>
              </w:rPr>
              <w:t>Pala Tomandin Fakfak</w:t>
            </w:r>
          </w:p>
        </w:tc>
        <w:tc>
          <w:tcPr>
            <w:tcW w:w="2105" w:type="pct"/>
          </w:tcPr>
          <w:p>
            <w:pPr>
              <w:spacing w:before="60" w:after="60" w:line="240" w:lineRule="auto"/>
              <w:rPr>
                <w:rFonts w:eastAsia="MS Mincho"/>
                <w:noProof/>
                <w:szCs w:val="24"/>
              </w:rPr>
            </w:pPr>
            <w:r>
              <w:rPr>
                <w:noProof/>
              </w:rPr>
              <w:t>Nucșoară</w:t>
            </w:r>
          </w:p>
        </w:tc>
      </w:tr>
      <w:tr>
        <w:tc>
          <w:tcPr>
            <w:tcW w:w="629" w:type="pct"/>
          </w:tcPr>
          <w:p>
            <w:pPr>
              <w:widowControl/>
              <w:spacing w:before="60" w:after="60" w:line="240" w:lineRule="auto"/>
              <w:ind w:left="720" w:hanging="360"/>
              <w:rPr>
                <w:rFonts w:eastAsia="MS Mincho"/>
                <w:noProof/>
                <w:szCs w:val="24"/>
              </w:rPr>
            </w:pPr>
            <w:r>
              <w:rPr>
                <w:noProof/>
              </w:rPr>
              <w:t>37</w:t>
            </w:r>
            <w:r>
              <w:rPr>
                <w:noProof/>
              </w:rPr>
              <w:tab/>
            </w:r>
          </w:p>
        </w:tc>
        <w:tc>
          <w:tcPr>
            <w:tcW w:w="2267" w:type="pct"/>
          </w:tcPr>
          <w:p>
            <w:pPr>
              <w:spacing w:before="60" w:after="60" w:line="240" w:lineRule="auto"/>
              <w:rPr>
                <w:rFonts w:eastAsia="MS Mincho"/>
                <w:noProof/>
                <w:szCs w:val="24"/>
              </w:rPr>
            </w:pPr>
            <w:r>
              <w:rPr>
                <w:noProof/>
                <w:color w:val="000000"/>
              </w:rPr>
              <w:t>Jeruk SoE Mollo</w:t>
            </w:r>
          </w:p>
        </w:tc>
        <w:tc>
          <w:tcPr>
            <w:tcW w:w="2105" w:type="pct"/>
          </w:tcPr>
          <w:p>
            <w:pPr>
              <w:spacing w:before="60" w:after="60" w:line="240" w:lineRule="auto"/>
              <w:rPr>
                <w:rFonts w:eastAsia="MS Mincho"/>
                <w:noProof/>
                <w:szCs w:val="24"/>
              </w:rPr>
            </w:pPr>
            <w:r>
              <w:rPr>
                <w:noProof/>
                <w:color w:val="000000"/>
              </w:rPr>
              <w:t>Portocale</w:t>
            </w:r>
          </w:p>
        </w:tc>
      </w:tr>
      <w:tr>
        <w:tc>
          <w:tcPr>
            <w:tcW w:w="629" w:type="pct"/>
          </w:tcPr>
          <w:p>
            <w:pPr>
              <w:widowControl/>
              <w:spacing w:before="60" w:after="60" w:line="240" w:lineRule="auto"/>
              <w:ind w:left="720" w:hanging="360"/>
              <w:rPr>
                <w:rFonts w:eastAsia="MS Mincho"/>
                <w:noProof/>
                <w:szCs w:val="24"/>
              </w:rPr>
            </w:pPr>
            <w:r>
              <w:rPr>
                <w:noProof/>
              </w:rPr>
              <w:t>38</w:t>
            </w:r>
            <w:r>
              <w:rPr>
                <w:noProof/>
              </w:rPr>
              <w:tab/>
            </w:r>
          </w:p>
        </w:tc>
        <w:tc>
          <w:tcPr>
            <w:tcW w:w="2267" w:type="pct"/>
          </w:tcPr>
          <w:p>
            <w:pPr>
              <w:spacing w:before="60" w:after="60" w:line="240" w:lineRule="auto"/>
              <w:rPr>
                <w:rFonts w:eastAsia="MS Mincho"/>
                <w:noProof/>
                <w:szCs w:val="24"/>
              </w:rPr>
            </w:pPr>
            <w:r>
              <w:rPr>
                <w:noProof/>
                <w:color w:val="000000"/>
              </w:rPr>
              <w:t>Cengkeh Moloku Kie Raha</w:t>
            </w:r>
          </w:p>
        </w:tc>
        <w:tc>
          <w:tcPr>
            <w:tcW w:w="2105" w:type="pct"/>
          </w:tcPr>
          <w:p>
            <w:pPr>
              <w:spacing w:before="60" w:after="60" w:line="240" w:lineRule="auto"/>
              <w:rPr>
                <w:rFonts w:eastAsia="MS Mincho"/>
                <w:noProof/>
                <w:szCs w:val="24"/>
              </w:rPr>
            </w:pPr>
            <w:r>
              <w:rPr>
                <w:noProof/>
                <w:color w:val="000000"/>
              </w:rPr>
              <w:t>Cuișoare</w:t>
            </w:r>
          </w:p>
        </w:tc>
      </w:tr>
      <w:tr>
        <w:tc>
          <w:tcPr>
            <w:tcW w:w="629" w:type="pct"/>
          </w:tcPr>
          <w:p>
            <w:pPr>
              <w:widowControl/>
              <w:spacing w:before="60" w:after="60" w:line="240" w:lineRule="auto"/>
              <w:ind w:left="720" w:hanging="360"/>
              <w:rPr>
                <w:rFonts w:eastAsia="MS Mincho"/>
                <w:noProof/>
                <w:szCs w:val="24"/>
              </w:rPr>
            </w:pPr>
            <w:r>
              <w:rPr>
                <w:noProof/>
              </w:rPr>
              <w:t>39</w:t>
            </w:r>
            <w:r>
              <w:rPr>
                <w:noProof/>
              </w:rPr>
              <w:tab/>
            </w:r>
          </w:p>
        </w:tc>
        <w:tc>
          <w:tcPr>
            <w:tcW w:w="2267" w:type="pct"/>
          </w:tcPr>
          <w:p>
            <w:pPr>
              <w:spacing w:before="60" w:after="60" w:line="240" w:lineRule="auto"/>
              <w:rPr>
                <w:rFonts w:eastAsia="MS Mincho"/>
                <w:noProof/>
                <w:szCs w:val="24"/>
              </w:rPr>
            </w:pPr>
            <w:r>
              <w:rPr>
                <w:noProof/>
                <w:color w:val="000000"/>
              </w:rPr>
              <w:t>Mete Muna</w:t>
            </w:r>
          </w:p>
        </w:tc>
        <w:tc>
          <w:tcPr>
            <w:tcW w:w="2105" w:type="pct"/>
          </w:tcPr>
          <w:p>
            <w:pPr>
              <w:spacing w:before="60" w:after="60" w:line="240" w:lineRule="auto"/>
              <w:rPr>
                <w:rFonts w:eastAsia="MS Mincho"/>
                <w:noProof/>
                <w:szCs w:val="24"/>
              </w:rPr>
            </w:pPr>
            <w:r>
              <w:rPr>
                <w:noProof/>
                <w:color w:val="000000"/>
              </w:rPr>
              <w:t>Caju</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40</w:t>
            </w:r>
            <w:r>
              <w:rPr>
                <w:noProof/>
              </w:rPr>
              <w:tab/>
            </w:r>
          </w:p>
        </w:tc>
        <w:tc>
          <w:tcPr>
            <w:tcW w:w="2267" w:type="pct"/>
          </w:tcPr>
          <w:p>
            <w:pPr>
              <w:spacing w:before="60" w:after="60" w:line="240" w:lineRule="auto"/>
              <w:rPr>
                <w:rFonts w:eastAsia="MS Mincho"/>
                <w:noProof/>
                <w:szCs w:val="24"/>
              </w:rPr>
            </w:pPr>
            <w:r>
              <w:rPr>
                <w:noProof/>
                <w:color w:val="000000"/>
              </w:rPr>
              <w:t>Kopi Robusta Temanggung</w:t>
            </w:r>
          </w:p>
        </w:tc>
        <w:tc>
          <w:tcPr>
            <w:tcW w:w="2105" w:type="pct"/>
          </w:tcPr>
          <w:p>
            <w:pPr>
              <w:spacing w:before="60" w:after="60" w:line="240" w:lineRule="auto"/>
              <w:rPr>
                <w:rFonts w:eastAsia="MS Mincho"/>
                <w:noProof/>
                <w:szCs w:val="24"/>
              </w:rPr>
            </w:pPr>
            <w:r>
              <w:rPr>
                <w:noProof/>
                <w:color w:val="000000"/>
              </w:rPr>
              <w:t>Cafea</w:t>
            </w:r>
          </w:p>
        </w:tc>
      </w:tr>
      <w:tr>
        <w:tc>
          <w:tcPr>
            <w:tcW w:w="629" w:type="pct"/>
          </w:tcPr>
          <w:p>
            <w:pPr>
              <w:widowControl/>
              <w:spacing w:before="60" w:after="60" w:line="240" w:lineRule="auto"/>
              <w:ind w:left="720" w:hanging="360"/>
              <w:rPr>
                <w:rFonts w:eastAsia="MS Mincho"/>
                <w:noProof/>
                <w:szCs w:val="24"/>
              </w:rPr>
            </w:pPr>
            <w:r>
              <w:rPr>
                <w:noProof/>
              </w:rPr>
              <w:t>41</w:t>
            </w:r>
            <w:r>
              <w:rPr>
                <w:noProof/>
              </w:rPr>
              <w:tab/>
            </w:r>
          </w:p>
        </w:tc>
        <w:tc>
          <w:tcPr>
            <w:tcW w:w="2267" w:type="pct"/>
          </w:tcPr>
          <w:p>
            <w:pPr>
              <w:spacing w:before="60" w:after="60" w:line="240" w:lineRule="auto"/>
              <w:rPr>
                <w:rFonts w:eastAsia="MS Mincho"/>
                <w:noProof/>
                <w:szCs w:val="24"/>
              </w:rPr>
            </w:pPr>
            <w:r>
              <w:rPr>
                <w:noProof/>
                <w:color w:val="000000"/>
              </w:rPr>
              <w:t>Sawo Sukatali Sumedang</w:t>
            </w:r>
          </w:p>
        </w:tc>
        <w:tc>
          <w:tcPr>
            <w:tcW w:w="2105" w:type="pct"/>
          </w:tcPr>
          <w:p>
            <w:pPr>
              <w:spacing w:before="60" w:after="60" w:line="240" w:lineRule="auto"/>
              <w:rPr>
                <w:rFonts w:eastAsia="MS Mincho"/>
                <w:noProof/>
                <w:szCs w:val="24"/>
              </w:rPr>
            </w:pPr>
            <w:r>
              <w:rPr>
                <w:noProof/>
                <w:color w:val="000000"/>
              </w:rPr>
              <w:t>Fructe</w:t>
            </w:r>
          </w:p>
        </w:tc>
      </w:tr>
      <w:tr>
        <w:tc>
          <w:tcPr>
            <w:tcW w:w="629" w:type="pct"/>
          </w:tcPr>
          <w:p>
            <w:pPr>
              <w:widowControl/>
              <w:spacing w:before="60" w:after="60" w:line="240" w:lineRule="auto"/>
              <w:ind w:left="720" w:hanging="360"/>
              <w:rPr>
                <w:rFonts w:eastAsia="MS Mincho"/>
                <w:noProof/>
                <w:szCs w:val="24"/>
              </w:rPr>
            </w:pPr>
            <w:r>
              <w:rPr>
                <w:noProof/>
              </w:rPr>
              <w:t>42</w:t>
            </w:r>
            <w:r>
              <w:rPr>
                <w:noProof/>
              </w:rPr>
              <w:tab/>
            </w:r>
          </w:p>
        </w:tc>
        <w:tc>
          <w:tcPr>
            <w:tcW w:w="2267" w:type="pct"/>
          </w:tcPr>
          <w:p>
            <w:pPr>
              <w:spacing w:before="60" w:after="60" w:line="240" w:lineRule="auto"/>
              <w:rPr>
                <w:rFonts w:eastAsia="MS Mincho"/>
                <w:noProof/>
                <w:szCs w:val="24"/>
              </w:rPr>
            </w:pPr>
            <w:r>
              <w:rPr>
                <w:noProof/>
              </w:rPr>
              <w:t>Kopi Robusta Empat Lawang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43</w:t>
            </w:r>
            <w:r>
              <w:rPr>
                <w:noProof/>
              </w:rPr>
              <w:tab/>
            </w:r>
          </w:p>
        </w:tc>
        <w:tc>
          <w:tcPr>
            <w:tcW w:w="2267" w:type="pct"/>
          </w:tcPr>
          <w:p>
            <w:pPr>
              <w:spacing w:before="60" w:after="60" w:line="240" w:lineRule="auto"/>
              <w:rPr>
                <w:rFonts w:eastAsia="MS Mincho"/>
                <w:noProof/>
                <w:szCs w:val="24"/>
              </w:rPr>
            </w:pPr>
            <w:r>
              <w:rPr>
                <w:noProof/>
              </w:rPr>
              <w:t>Duku Komering</w:t>
            </w:r>
          </w:p>
        </w:tc>
        <w:tc>
          <w:tcPr>
            <w:tcW w:w="2105" w:type="pct"/>
          </w:tcPr>
          <w:p>
            <w:pPr>
              <w:spacing w:before="60" w:after="60" w:line="240" w:lineRule="auto"/>
              <w:rPr>
                <w:rFonts w:eastAsia="MS Mincho"/>
                <w:noProof/>
                <w:szCs w:val="24"/>
              </w:rPr>
            </w:pPr>
            <w:r>
              <w:rPr>
                <w:noProof/>
              </w:rPr>
              <w:t>Fructe</w:t>
            </w:r>
          </w:p>
        </w:tc>
      </w:tr>
      <w:tr>
        <w:tc>
          <w:tcPr>
            <w:tcW w:w="629" w:type="pct"/>
          </w:tcPr>
          <w:p>
            <w:pPr>
              <w:widowControl/>
              <w:spacing w:before="60" w:after="60" w:line="240" w:lineRule="auto"/>
              <w:ind w:left="720" w:hanging="360"/>
              <w:rPr>
                <w:rFonts w:eastAsia="MS Mincho"/>
                <w:noProof/>
                <w:szCs w:val="24"/>
              </w:rPr>
            </w:pPr>
            <w:r>
              <w:rPr>
                <w:noProof/>
              </w:rPr>
              <w:t>44</w:t>
            </w:r>
            <w:r>
              <w:rPr>
                <w:noProof/>
              </w:rPr>
              <w:tab/>
            </w:r>
          </w:p>
        </w:tc>
        <w:tc>
          <w:tcPr>
            <w:tcW w:w="2267" w:type="pct"/>
          </w:tcPr>
          <w:p>
            <w:pPr>
              <w:spacing w:before="60" w:after="60" w:line="240" w:lineRule="auto"/>
              <w:rPr>
                <w:rFonts w:eastAsia="MS Mincho"/>
                <w:noProof/>
                <w:szCs w:val="24"/>
              </w:rPr>
            </w:pPr>
            <w:r>
              <w:rPr>
                <w:noProof/>
              </w:rPr>
              <w:t>Kopi Arabika Sumatera Koerintji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45</w:t>
            </w:r>
            <w:r>
              <w:rPr>
                <w:noProof/>
              </w:rPr>
              <w:tab/>
            </w:r>
          </w:p>
        </w:tc>
        <w:tc>
          <w:tcPr>
            <w:tcW w:w="2267" w:type="pct"/>
          </w:tcPr>
          <w:p>
            <w:pPr>
              <w:spacing w:before="60" w:after="60" w:line="240" w:lineRule="auto"/>
              <w:rPr>
                <w:rFonts w:eastAsia="MS Mincho"/>
                <w:noProof/>
                <w:szCs w:val="24"/>
              </w:rPr>
            </w:pPr>
            <w:r>
              <w:rPr>
                <w:noProof/>
              </w:rPr>
              <w:t>Kopi Robusta Pinogu</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46</w:t>
            </w:r>
            <w:r>
              <w:rPr>
                <w:noProof/>
              </w:rPr>
              <w:tab/>
            </w:r>
          </w:p>
        </w:tc>
        <w:tc>
          <w:tcPr>
            <w:tcW w:w="2267" w:type="pct"/>
          </w:tcPr>
          <w:p>
            <w:pPr>
              <w:spacing w:before="60" w:after="60" w:line="240" w:lineRule="auto"/>
              <w:rPr>
                <w:rFonts w:eastAsia="MS Mincho"/>
                <w:noProof/>
                <w:szCs w:val="24"/>
              </w:rPr>
            </w:pPr>
            <w:r>
              <w:rPr>
                <w:noProof/>
              </w:rPr>
              <w:t>Kopi robusta Pupuan Bali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47</w:t>
            </w:r>
            <w:r>
              <w:rPr>
                <w:noProof/>
              </w:rPr>
              <w:tab/>
            </w:r>
          </w:p>
        </w:tc>
        <w:tc>
          <w:tcPr>
            <w:tcW w:w="2267" w:type="pct"/>
          </w:tcPr>
          <w:p>
            <w:pPr>
              <w:spacing w:before="60" w:after="60" w:line="240" w:lineRule="auto"/>
              <w:rPr>
                <w:rFonts w:eastAsia="MS Mincho"/>
                <w:noProof/>
                <w:szCs w:val="24"/>
              </w:rPr>
            </w:pPr>
            <w:r>
              <w:rPr>
                <w:noProof/>
              </w:rPr>
              <w:t>Kopi Robusta Tambora</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48</w:t>
            </w:r>
            <w:r>
              <w:rPr>
                <w:noProof/>
              </w:rPr>
              <w:tab/>
            </w:r>
          </w:p>
        </w:tc>
        <w:tc>
          <w:tcPr>
            <w:tcW w:w="2267" w:type="pct"/>
          </w:tcPr>
          <w:p>
            <w:pPr>
              <w:spacing w:before="60" w:after="60" w:line="240" w:lineRule="auto"/>
              <w:rPr>
                <w:rFonts w:eastAsia="MS Mincho"/>
                <w:noProof/>
                <w:szCs w:val="24"/>
              </w:rPr>
            </w:pPr>
            <w:r>
              <w:rPr>
                <w:noProof/>
              </w:rPr>
              <w:t>Kopi Arabika Sumatera Lintong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49</w:t>
            </w:r>
            <w:r>
              <w:rPr>
                <w:noProof/>
              </w:rPr>
              <w:tab/>
            </w:r>
          </w:p>
        </w:tc>
        <w:tc>
          <w:tcPr>
            <w:tcW w:w="2267" w:type="pct"/>
          </w:tcPr>
          <w:p>
            <w:pPr>
              <w:spacing w:before="60" w:after="60" w:line="240" w:lineRule="auto"/>
              <w:rPr>
                <w:rFonts w:eastAsia="MS Mincho"/>
                <w:noProof/>
                <w:szCs w:val="24"/>
              </w:rPr>
            </w:pPr>
            <w:r>
              <w:rPr>
                <w:noProof/>
              </w:rPr>
              <w:t>Beras Raja Uncak Kapuas Hulu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50</w:t>
            </w:r>
            <w:r>
              <w:rPr>
                <w:noProof/>
              </w:rPr>
              <w:tab/>
            </w:r>
          </w:p>
        </w:tc>
        <w:tc>
          <w:tcPr>
            <w:tcW w:w="2267" w:type="pct"/>
          </w:tcPr>
          <w:p>
            <w:pPr>
              <w:spacing w:before="60" w:after="60" w:line="240" w:lineRule="auto"/>
              <w:rPr>
                <w:rFonts w:eastAsia="MS Mincho"/>
                <w:noProof/>
                <w:szCs w:val="24"/>
              </w:rPr>
            </w:pPr>
            <w:r>
              <w:rPr>
                <w:noProof/>
              </w:rPr>
              <w:t>Kopi Arabika Flores Manggarai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51</w:t>
            </w:r>
            <w:r>
              <w:rPr>
                <w:noProof/>
              </w:rPr>
              <w:tab/>
            </w:r>
          </w:p>
        </w:tc>
        <w:tc>
          <w:tcPr>
            <w:tcW w:w="2267" w:type="pct"/>
          </w:tcPr>
          <w:p>
            <w:pPr>
              <w:spacing w:before="60" w:after="60" w:line="240" w:lineRule="auto"/>
              <w:rPr>
                <w:rFonts w:eastAsia="MS Mincho"/>
                <w:noProof/>
                <w:szCs w:val="24"/>
              </w:rPr>
            </w:pPr>
            <w:r>
              <w:rPr>
                <w:noProof/>
              </w:rPr>
              <w:t>Kopi Arabika Sipirok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52</w:t>
            </w:r>
            <w:r>
              <w:rPr>
                <w:noProof/>
              </w:rPr>
              <w:tab/>
            </w:r>
          </w:p>
        </w:tc>
        <w:tc>
          <w:tcPr>
            <w:tcW w:w="2267" w:type="pct"/>
          </w:tcPr>
          <w:p>
            <w:pPr>
              <w:spacing w:before="60" w:after="60" w:line="240" w:lineRule="auto"/>
              <w:rPr>
                <w:rFonts w:eastAsia="MS Mincho"/>
                <w:noProof/>
                <w:szCs w:val="24"/>
              </w:rPr>
            </w:pPr>
            <w:r>
              <w:rPr>
                <w:noProof/>
              </w:rPr>
              <w:t>Kopi Arabika Pulo Samosir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53</w:t>
            </w:r>
            <w:r>
              <w:rPr>
                <w:noProof/>
              </w:rPr>
              <w:tab/>
            </w:r>
          </w:p>
        </w:tc>
        <w:tc>
          <w:tcPr>
            <w:tcW w:w="2267" w:type="pct"/>
          </w:tcPr>
          <w:p>
            <w:pPr>
              <w:spacing w:before="60" w:after="60" w:line="240" w:lineRule="auto"/>
              <w:rPr>
                <w:rFonts w:eastAsia="MS Mincho"/>
                <w:noProof/>
                <w:szCs w:val="24"/>
              </w:rPr>
            </w:pPr>
            <w:r>
              <w:rPr>
                <w:noProof/>
              </w:rPr>
              <w:t>Bareh Solok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54</w:t>
            </w:r>
            <w:r>
              <w:rPr>
                <w:noProof/>
              </w:rPr>
              <w:tab/>
            </w:r>
          </w:p>
        </w:tc>
        <w:tc>
          <w:tcPr>
            <w:tcW w:w="2267" w:type="pct"/>
          </w:tcPr>
          <w:p>
            <w:pPr>
              <w:spacing w:before="60" w:after="60" w:line="240" w:lineRule="auto"/>
              <w:rPr>
                <w:rFonts w:eastAsia="MS Mincho"/>
                <w:noProof/>
                <w:szCs w:val="24"/>
              </w:rPr>
            </w:pPr>
            <w:r>
              <w:rPr>
                <w:noProof/>
              </w:rPr>
              <w:t xml:space="preserve">Pala Dukono </w:t>
            </w:r>
            <w:r>
              <w:rPr>
                <w:noProof/>
                <w:color w:val="141414"/>
              </w:rPr>
              <w:t>Halmahera Utara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Nucșoară</w:t>
            </w:r>
          </w:p>
        </w:tc>
      </w:tr>
      <w:tr>
        <w:tc>
          <w:tcPr>
            <w:tcW w:w="629" w:type="pct"/>
          </w:tcPr>
          <w:p>
            <w:pPr>
              <w:widowControl/>
              <w:spacing w:before="60" w:after="60" w:line="240" w:lineRule="auto"/>
              <w:ind w:left="720" w:hanging="360"/>
              <w:rPr>
                <w:rFonts w:eastAsia="MS Mincho"/>
                <w:noProof/>
                <w:szCs w:val="24"/>
              </w:rPr>
            </w:pPr>
            <w:r>
              <w:rPr>
                <w:noProof/>
              </w:rPr>
              <w:t>55</w:t>
            </w:r>
            <w:r>
              <w:rPr>
                <w:noProof/>
              </w:rPr>
              <w:tab/>
            </w:r>
          </w:p>
        </w:tc>
        <w:tc>
          <w:tcPr>
            <w:tcW w:w="2267" w:type="pct"/>
          </w:tcPr>
          <w:p>
            <w:pPr>
              <w:spacing w:before="60" w:after="60" w:line="240" w:lineRule="auto"/>
              <w:rPr>
                <w:rFonts w:eastAsia="MS Mincho"/>
                <w:noProof/>
                <w:szCs w:val="24"/>
              </w:rPr>
            </w:pPr>
            <w:r>
              <w:rPr>
                <w:noProof/>
              </w:rPr>
              <w:t>Kopi Robusta Kepahiang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rPr>
          <w:trHeight w:val="490"/>
        </w:trPr>
        <w:tc>
          <w:tcPr>
            <w:tcW w:w="629" w:type="pct"/>
          </w:tcPr>
          <w:p>
            <w:pPr>
              <w:widowControl/>
              <w:spacing w:before="60" w:after="60" w:line="240" w:lineRule="auto"/>
              <w:ind w:left="720" w:hanging="360"/>
              <w:rPr>
                <w:rFonts w:eastAsia="MS Mincho"/>
                <w:noProof/>
                <w:szCs w:val="24"/>
              </w:rPr>
            </w:pPr>
            <w:r>
              <w:rPr>
                <w:noProof/>
              </w:rPr>
              <w:t>56</w:t>
            </w:r>
            <w:r>
              <w:rPr>
                <w:noProof/>
              </w:rPr>
              <w:tab/>
            </w:r>
          </w:p>
        </w:tc>
        <w:tc>
          <w:tcPr>
            <w:tcW w:w="2267" w:type="pct"/>
          </w:tcPr>
          <w:p>
            <w:pPr>
              <w:spacing w:before="60" w:after="60" w:line="240" w:lineRule="auto"/>
              <w:rPr>
                <w:rFonts w:eastAsia="MS Mincho"/>
                <w:noProof/>
                <w:szCs w:val="24"/>
              </w:rPr>
            </w:pPr>
            <w:r>
              <w:rPr>
                <w:noProof/>
              </w:rPr>
              <w:t>Ikan Uceng Temanggung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Pește</w:t>
            </w:r>
          </w:p>
        </w:tc>
      </w:tr>
      <w:tr>
        <w:trPr>
          <w:trHeight w:val="412"/>
        </w:trPr>
        <w:tc>
          <w:tcPr>
            <w:tcW w:w="629" w:type="pct"/>
          </w:tcPr>
          <w:p>
            <w:pPr>
              <w:widowControl/>
              <w:spacing w:before="60" w:after="60" w:line="240" w:lineRule="auto"/>
              <w:ind w:left="720" w:hanging="360"/>
              <w:rPr>
                <w:rFonts w:eastAsia="MS Mincho"/>
                <w:noProof/>
                <w:szCs w:val="24"/>
              </w:rPr>
            </w:pPr>
            <w:r>
              <w:rPr>
                <w:noProof/>
              </w:rPr>
              <w:t>57</w:t>
            </w:r>
            <w:r>
              <w:rPr>
                <w:noProof/>
              </w:rPr>
              <w:tab/>
            </w:r>
          </w:p>
        </w:tc>
        <w:tc>
          <w:tcPr>
            <w:tcW w:w="2267" w:type="pct"/>
          </w:tcPr>
          <w:p>
            <w:pPr>
              <w:spacing w:before="60" w:after="60" w:line="240" w:lineRule="auto"/>
              <w:rPr>
                <w:rFonts w:eastAsia="MS Mincho"/>
                <w:noProof/>
                <w:szCs w:val="24"/>
              </w:rPr>
            </w:pPr>
            <w:r>
              <w:rPr>
                <w:noProof/>
              </w:rPr>
              <w:t>Sidat Marmorata Poso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Pește</w:t>
            </w:r>
          </w:p>
        </w:tc>
      </w:tr>
      <w:tr>
        <w:tc>
          <w:tcPr>
            <w:tcW w:w="629" w:type="pct"/>
          </w:tcPr>
          <w:p>
            <w:pPr>
              <w:widowControl/>
              <w:spacing w:before="60" w:after="60" w:line="240" w:lineRule="auto"/>
              <w:ind w:left="720" w:hanging="360"/>
              <w:rPr>
                <w:rFonts w:eastAsia="MS Mincho"/>
                <w:noProof/>
                <w:szCs w:val="24"/>
              </w:rPr>
            </w:pPr>
            <w:r>
              <w:rPr>
                <w:noProof/>
              </w:rPr>
              <w:t>58</w:t>
            </w:r>
            <w:r>
              <w:rPr>
                <w:noProof/>
              </w:rPr>
              <w:tab/>
            </w:r>
          </w:p>
        </w:tc>
        <w:tc>
          <w:tcPr>
            <w:tcW w:w="2267" w:type="pct"/>
          </w:tcPr>
          <w:p>
            <w:pPr>
              <w:spacing w:before="60" w:after="60" w:line="240" w:lineRule="auto"/>
              <w:rPr>
                <w:rFonts w:eastAsia="MS Mincho"/>
                <w:noProof/>
                <w:szCs w:val="24"/>
              </w:rPr>
            </w:pPr>
            <w:r>
              <w:rPr>
                <w:noProof/>
              </w:rPr>
              <w:t>Kopi Robusta Sidikalang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59</w:t>
            </w:r>
            <w:r>
              <w:rPr>
                <w:noProof/>
              </w:rPr>
              <w:tab/>
            </w:r>
          </w:p>
        </w:tc>
        <w:tc>
          <w:tcPr>
            <w:tcW w:w="2267" w:type="pct"/>
          </w:tcPr>
          <w:p>
            <w:pPr>
              <w:spacing w:before="60" w:after="60" w:line="240" w:lineRule="auto"/>
              <w:rPr>
                <w:rFonts w:eastAsia="MS Mincho"/>
                <w:noProof/>
                <w:szCs w:val="24"/>
              </w:rPr>
            </w:pPr>
            <w:r>
              <w:rPr>
                <w:noProof/>
              </w:rPr>
              <w:t>Gula Lontar Rote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Zahăr</w:t>
            </w:r>
          </w:p>
        </w:tc>
      </w:tr>
      <w:tr>
        <w:tc>
          <w:tcPr>
            <w:tcW w:w="629" w:type="pct"/>
          </w:tcPr>
          <w:p>
            <w:pPr>
              <w:widowControl/>
              <w:spacing w:before="60" w:after="60" w:line="240" w:lineRule="auto"/>
              <w:ind w:left="720" w:hanging="360"/>
              <w:rPr>
                <w:rFonts w:eastAsia="MS Mincho"/>
                <w:noProof/>
                <w:szCs w:val="24"/>
              </w:rPr>
            </w:pPr>
            <w:r>
              <w:rPr>
                <w:noProof/>
              </w:rPr>
              <w:t>60</w:t>
            </w:r>
            <w:r>
              <w:rPr>
                <w:noProof/>
              </w:rPr>
              <w:tab/>
            </w:r>
          </w:p>
        </w:tc>
        <w:tc>
          <w:tcPr>
            <w:tcW w:w="2267" w:type="pct"/>
          </w:tcPr>
          <w:p>
            <w:pPr>
              <w:spacing w:before="60" w:after="60" w:line="240" w:lineRule="auto"/>
              <w:rPr>
                <w:rFonts w:eastAsia="MS Mincho"/>
                <w:noProof/>
                <w:szCs w:val="24"/>
              </w:rPr>
            </w:pPr>
            <w:r>
              <w:rPr>
                <w:noProof/>
              </w:rPr>
              <w:t>Kopi Robusta Java Bogor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61</w:t>
            </w:r>
            <w:r>
              <w:rPr>
                <w:noProof/>
              </w:rPr>
              <w:tab/>
            </w:r>
          </w:p>
        </w:tc>
        <w:tc>
          <w:tcPr>
            <w:tcW w:w="2267" w:type="pct"/>
          </w:tcPr>
          <w:p>
            <w:pPr>
              <w:spacing w:before="60" w:after="60" w:line="240" w:lineRule="auto"/>
              <w:rPr>
                <w:rFonts w:eastAsia="MS Mincho"/>
                <w:noProof/>
                <w:szCs w:val="24"/>
              </w:rPr>
            </w:pPr>
            <w:r>
              <w:rPr>
                <w:noProof/>
              </w:rPr>
              <w:t>Kopi Arabika Baliem Wamena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62</w:t>
            </w:r>
            <w:r>
              <w:rPr>
                <w:noProof/>
              </w:rPr>
              <w:tab/>
            </w:r>
          </w:p>
        </w:tc>
        <w:tc>
          <w:tcPr>
            <w:tcW w:w="2267" w:type="pct"/>
          </w:tcPr>
          <w:p>
            <w:pPr>
              <w:spacing w:before="60" w:after="60" w:line="240" w:lineRule="auto"/>
              <w:rPr>
                <w:rFonts w:eastAsia="MS Mincho"/>
                <w:noProof/>
                <w:szCs w:val="24"/>
              </w:rPr>
            </w:pPr>
            <w:r>
              <w:rPr>
                <w:noProof/>
              </w:rPr>
              <w:t>Kopi Robusta Pasuruan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63</w:t>
            </w:r>
            <w:r>
              <w:rPr>
                <w:noProof/>
              </w:rPr>
              <w:tab/>
            </w:r>
          </w:p>
        </w:tc>
        <w:tc>
          <w:tcPr>
            <w:tcW w:w="2267" w:type="pct"/>
          </w:tcPr>
          <w:p>
            <w:pPr>
              <w:spacing w:before="60" w:after="60" w:line="240" w:lineRule="auto"/>
              <w:rPr>
                <w:rFonts w:eastAsia="MS Mincho"/>
                <w:noProof/>
                <w:szCs w:val="24"/>
              </w:rPr>
            </w:pPr>
            <w:r>
              <w:rPr>
                <w:noProof/>
              </w:rPr>
              <w:t>Sagu Lingga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Făină de sago</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64</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Tanah Karo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65</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Robusta Rejang Lebong Bengkulu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66</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Lada Malonan Kutai Kartanegara Kaltim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Piper</w:t>
            </w:r>
          </w:p>
        </w:tc>
      </w:tr>
      <w:tr>
        <w:tc>
          <w:tcPr>
            <w:tcW w:w="629" w:type="pct"/>
          </w:tcPr>
          <w:p>
            <w:pPr>
              <w:widowControl/>
              <w:spacing w:before="60" w:after="60" w:line="240" w:lineRule="auto"/>
              <w:ind w:left="720" w:hanging="360"/>
              <w:rPr>
                <w:rFonts w:eastAsia="MS Mincho"/>
                <w:noProof/>
                <w:szCs w:val="24"/>
              </w:rPr>
            </w:pPr>
            <w:r>
              <w:rPr>
                <w:noProof/>
              </w:rPr>
              <w:t>67</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Pala Kepulauan Banda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Semințe de nucșoară</w:t>
            </w:r>
          </w:p>
        </w:tc>
      </w:tr>
      <w:tr>
        <w:tc>
          <w:tcPr>
            <w:tcW w:w="629" w:type="pct"/>
          </w:tcPr>
          <w:p>
            <w:pPr>
              <w:widowControl/>
              <w:spacing w:before="60" w:after="60" w:line="240" w:lineRule="auto"/>
              <w:ind w:left="720" w:hanging="360"/>
              <w:rPr>
                <w:rFonts w:eastAsia="MS Mincho"/>
                <w:noProof/>
                <w:szCs w:val="24"/>
              </w:rPr>
            </w:pPr>
            <w:r>
              <w:rPr>
                <w:noProof/>
              </w:rPr>
              <w:t>68</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Garam Gunung Krayan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Sare de munte</w:t>
            </w:r>
          </w:p>
        </w:tc>
      </w:tr>
      <w:tr>
        <w:tc>
          <w:tcPr>
            <w:tcW w:w="629" w:type="pct"/>
          </w:tcPr>
          <w:p>
            <w:pPr>
              <w:widowControl/>
              <w:spacing w:before="60" w:after="60" w:line="240" w:lineRule="auto"/>
              <w:ind w:left="720" w:hanging="360"/>
              <w:rPr>
                <w:rFonts w:eastAsia="MS Mincho"/>
                <w:noProof/>
                <w:szCs w:val="24"/>
              </w:rPr>
            </w:pPr>
            <w:r>
              <w:rPr>
                <w:noProof/>
              </w:rPr>
              <w:t>69</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Lada Luwu Timur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Piper</w:t>
            </w:r>
          </w:p>
        </w:tc>
      </w:tr>
      <w:tr>
        <w:tc>
          <w:tcPr>
            <w:tcW w:w="629" w:type="pct"/>
          </w:tcPr>
          <w:p>
            <w:pPr>
              <w:widowControl/>
              <w:spacing w:before="60" w:after="60" w:line="240" w:lineRule="auto"/>
              <w:ind w:left="720" w:hanging="360"/>
              <w:rPr>
                <w:rFonts w:eastAsia="MS Mincho"/>
                <w:noProof/>
                <w:szCs w:val="24"/>
              </w:rPr>
            </w:pPr>
            <w:r>
              <w:rPr>
                <w:noProof/>
              </w:rPr>
              <w:t>70</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Gayo</w:t>
            </w:r>
            <w:r>
              <w:rPr>
                <w:b/>
                <w:noProof/>
                <w:color w:val="333333"/>
                <w:shd w:val="clear" w:color="auto" w:fill="FFFFFF"/>
                <w:vertAlign w:val="superscript"/>
              </w:rPr>
              <w:t>*</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rFonts w:eastAsia="Rockwell"/>
                <w:noProof/>
                <w:szCs w:val="24"/>
              </w:rPr>
            </w:pPr>
            <w:r>
              <w:rPr>
                <w:noProof/>
              </w:rPr>
              <w:t>*IG deja protejată și prin cerere directă în UE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71</w:t>
            </w:r>
            <w:r>
              <w:rPr>
                <w:noProof/>
              </w:rPr>
              <w:tab/>
            </w:r>
          </w:p>
        </w:tc>
        <w:tc>
          <w:tcPr>
            <w:tcW w:w="2267" w:type="pct"/>
          </w:tcPr>
          <w:p>
            <w:pPr>
              <w:spacing w:before="60" w:after="60" w:line="240" w:lineRule="auto"/>
              <w:rPr>
                <w:rFonts w:eastAsia="MS Mincho"/>
                <w:noProof/>
                <w:szCs w:val="24"/>
              </w:rPr>
            </w:pPr>
            <w:r>
              <w:rPr>
                <w:noProof/>
              </w:rPr>
              <w:t>Kopi Robusta Pagar Alam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72</w:t>
            </w:r>
            <w:r>
              <w:rPr>
                <w:noProof/>
              </w:rPr>
              <w:tab/>
            </w:r>
          </w:p>
        </w:tc>
        <w:tc>
          <w:tcPr>
            <w:tcW w:w="2267" w:type="pct"/>
          </w:tcPr>
          <w:p>
            <w:pPr>
              <w:spacing w:before="60" w:after="60" w:line="240" w:lineRule="auto"/>
              <w:rPr>
                <w:rFonts w:eastAsia="MS Mincho"/>
                <w:noProof/>
                <w:szCs w:val="24"/>
              </w:rPr>
            </w:pPr>
            <w:r>
              <w:rPr>
                <w:noProof/>
              </w:rPr>
              <w:t>Salak Sibetan Karangasem Bali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Fructul șarpelui</w:t>
            </w:r>
          </w:p>
        </w:tc>
      </w:tr>
    </w:tbl>
    <w:p>
      <w:pPr>
        <w:rPr>
          <w:noProof/>
        </w:rPr>
      </w:pPr>
    </w:p>
    <w:p>
      <w:pPr>
        <w:rPr>
          <w:noProof/>
        </w:rPr>
      </w:pPr>
    </w:p>
    <w:p>
      <w:pPr>
        <w:jc w:val="center"/>
        <w:rPr>
          <w:noProof/>
        </w:rPr>
      </w:pPr>
      <w:r>
        <w:rPr>
          <w:noProof/>
        </w:rPr>
        <w:t>________________</w:t>
      </w:r>
    </w:p>
    <w:p>
      <w:pPr>
        <w:jc w:val="right"/>
        <w:rPr>
          <w:b/>
          <w:bCs/>
          <w:noProof/>
          <w:u w:val="single"/>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13-A</w:t>
      </w:r>
    </w:p>
    <w:p>
      <w:pPr>
        <w:rPr>
          <w:noProof/>
        </w:rPr>
      </w:pPr>
    </w:p>
    <w:p>
      <w:pPr>
        <w:rPr>
          <w:noProof/>
        </w:rPr>
      </w:pPr>
    </w:p>
    <w:p>
      <w:pPr>
        <w:jc w:val="center"/>
        <w:rPr>
          <w:noProof/>
        </w:rPr>
      </w:pPr>
      <w:r>
        <w:rPr>
          <w:noProof/>
        </w:rPr>
        <w:t>NORME SPECIFICE PENTRU INDONEZIA PRIVIND ÎNTREPRINDERILE DEȚINUTE DE STAT</w:t>
      </w:r>
    </w:p>
    <w:p>
      <w:pPr>
        <w:rPr>
          <w:noProof/>
        </w:rPr>
      </w:pPr>
    </w:p>
    <w:p>
      <w:pPr>
        <w:rPr>
          <w:rFonts w:eastAsia="Calibri"/>
          <w:noProof/>
        </w:rPr>
      </w:pPr>
      <w:r>
        <w:rPr>
          <w:noProof/>
        </w:rPr>
        <w:t>1.</w:t>
      </w:r>
      <w:r>
        <w:rPr>
          <w:noProof/>
        </w:rPr>
        <w:tab/>
        <w:t>Secțiunea C din capitolul 13 (Concurență) nu se aplică adoptării, executării sau punerii în aplicare a privatizării, restructurării sau cesionării activelor deținute sau controlate de Indonezia, cu condiția ca operațiunile respective să fie efectuate fără a discrimina întreprinderile din Uniune care desfășoară activități comerciale cu Indonezia sau care investesc în Indonezia.</w:t>
      </w:r>
    </w:p>
    <w:p>
      <w:pPr>
        <w:rPr>
          <w:rFonts w:eastAsia="Calibri"/>
          <w:noProof/>
        </w:rPr>
      </w:pPr>
    </w:p>
    <w:p>
      <w:pPr>
        <w:rPr>
          <w:rFonts w:eastAsia="Calibri"/>
          <w:noProof/>
        </w:rPr>
      </w:pPr>
      <w:r>
        <w:rPr>
          <w:noProof/>
        </w:rPr>
        <w:t>2.</w:t>
      </w:r>
      <w:r>
        <w:rPr>
          <w:noProof/>
        </w:rPr>
        <w:tab/>
        <w:t>Articolul 13.17 nu se aplică achiziționării de bunuri sau servicii de către o întreprindere deținută de stat de la IMM-uri din Indonezia, în cazul în care achiziționarea se efectuează în conformitate cu actele cu putere de lege și normele administrative ale Indoneziei sau în conformitate cu o măsură guvernamentală.</w:t>
      </w:r>
    </w:p>
    <w:p>
      <w:pPr>
        <w:rPr>
          <w:rFonts w:eastAsia="Calibri"/>
          <w:noProof/>
        </w:rPr>
      </w:pPr>
    </w:p>
    <w:p>
      <w:pPr>
        <w:rPr>
          <w:rFonts w:eastAsia="Calibri"/>
          <w:noProof/>
        </w:rPr>
      </w:pPr>
      <w:r>
        <w:rPr>
          <w:noProof/>
        </w:rPr>
        <w:t>3.</w:t>
      </w:r>
      <w:r>
        <w:rPr>
          <w:noProof/>
        </w:rPr>
        <w:tab/>
        <w:t>Secțiunea C din capitolul 13 (Concurență) se aplică numai întreprinderilor deținute de stat enumerate mai jos începând cu 23 septembrie 2025 și succesorilor acestora și rămâne aplicabilă indiferent de orice modificare, integrală sau parțială, a activităților întreprinderilor deținute de stat enumerate. Indonezia notifică Uniunii orice astfel de modificare a întreprinderilor deținute de stat enumerate:</w:t>
      </w:r>
    </w:p>
    <w:p>
      <w:pPr>
        <w:rPr>
          <w:rFonts w:eastAsia="Calibri"/>
          <w:noProof/>
        </w:rPr>
      </w:pPr>
    </w:p>
    <w:p>
      <w:pPr>
        <w:ind w:left="567" w:hanging="567"/>
        <w:rPr>
          <w:noProof/>
        </w:rPr>
      </w:pPr>
      <w:r>
        <w:rPr>
          <w:noProof/>
        </w:rPr>
        <w:t>(a)</w:t>
      </w:r>
      <w:r>
        <w:rPr>
          <w:noProof/>
        </w:rPr>
        <w:tab/>
        <w:t>PT Telkom Indonesia (Persero) Tbk;</w:t>
      </w:r>
    </w:p>
    <w:p>
      <w:pPr>
        <w:ind w:left="567" w:hanging="567"/>
        <w:rPr>
          <w:noProof/>
        </w:rPr>
      </w:pPr>
    </w:p>
    <w:p>
      <w:pPr>
        <w:ind w:left="567" w:hanging="567"/>
        <w:rPr>
          <w:noProof/>
        </w:rPr>
      </w:pPr>
      <w:r>
        <w:rPr>
          <w:noProof/>
        </w:rPr>
        <w:t>(b)</w:t>
      </w:r>
      <w:r>
        <w:rPr>
          <w:noProof/>
        </w:rPr>
        <w:tab/>
        <w:t>PT Bank Rakyat Indonesia (Persero) Tbk;</w:t>
      </w:r>
    </w:p>
    <w:p>
      <w:pPr>
        <w:ind w:left="567" w:hanging="567"/>
        <w:rPr>
          <w:noProof/>
        </w:rPr>
      </w:pPr>
    </w:p>
    <w:p>
      <w:pPr>
        <w:ind w:left="567" w:hanging="567"/>
        <w:rPr>
          <w:noProof/>
        </w:rPr>
      </w:pPr>
      <w:r>
        <w:rPr>
          <w:noProof/>
        </w:rPr>
        <w:t>(c)</w:t>
      </w:r>
      <w:r>
        <w:rPr>
          <w:noProof/>
        </w:rPr>
        <w:tab/>
        <w:t>PT Bank Mandiri (Persero) Tbk;</w:t>
      </w:r>
    </w:p>
    <w:p>
      <w:pPr>
        <w:ind w:left="567" w:hanging="567"/>
        <w:rPr>
          <w:noProof/>
        </w:rPr>
      </w:pPr>
    </w:p>
    <w:p>
      <w:pPr>
        <w:ind w:left="567" w:hanging="567"/>
        <w:rPr>
          <w:noProof/>
        </w:rPr>
      </w:pPr>
      <w:r>
        <w:rPr>
          <w:noProof/>
        </w:rPr>
        <w:t>(d)</w:t>
      </w:r>
      <w:r>
        <w:rPr>
          <w:noProof/>
        </w:rPr>
        <w:tab/>
        <w:t>PT Bank Negara Indonesia (Persero) Tbk;</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PT Bank Tabungan Negara (Persero) Tbk;</w:t>
      </w:r>
    </w:p>
    <w:p>
      <w:pPr>
        <w:ind w:left="567" w:hanging="567"/>
        <w:rPr>
          <w:noProof/>
        </w:rPr>
      </w:pPr>
    </w:p>
    <w:p>
      <w:pPr>
        <w:ind w:left="567" w:hanging="567"/>
        <w:rPr>
          <w:noProof/>
        </w:rPr>
      </w:pPr>
      <w:r>
        <w:rPr>
          <w:noProof/>
        </w:rPr>
        <w:t>(f)</w:t>
      </w:r>
      <w:r>
        <w:rPr>
          <w:noProof/>
        </w:rPr>
        <w:tab/>
        <w:t>PT Semen Indonesia (Persero) Tbk;</w:t>
      </w:r>
    </w:p>
    <w:p>
      <w:pPr>
        <w:ind w:left="567" w:hanging="567"/>
        <w:rPr>
          <w:noProof/>
        </w:rPr>
      </w:pPr>
    </w:p>
    <w:p>
      <w:pPr>
        <w:ind w:left="567" w:hanging="567"/>
        <w:rPr>
          <w:noProof/>
        </w:rPr>
      </w:pPr>
      <w:r>
        <w:rPr>
          <w:noProof/>
        </w:rPr>
        <w:t>(g)</w:t>
      </w:r>
      <w:r>
        <w:rPr>
          <w:noProof/>
        </w:rPr>
        <w:tab/>
        <w:t>PT Garuda Indonesia (Persero) Tbk;</w:t>
      </w:r>
    </w:p>
    <w:p>
      <w:pPr>
        <w:ind w:left="567" w:hanging="567"/>
        <w:rPr>
          <w:noProof/>
        </w:rPr>
      </w:pPr>
    </w:p>
    <w:p>
      <w:pPr>
        <w:ind w:left="567" w:hanging="567"/>
        <w:rPr>
          <w:noProof/>
        </w:rPr>
      </w:pPr>
      <w:r>
        <w:rPr>
          <w:noProof/>
        </w:rPr>
        <w:t>(h)</w:t>
      </w:r>
      <w:r>
        <w:rPr>
          <w:noProof/>
        </w:rPr>
        <w:tab/>
        <w:t>PT Jasa Marga (Persero) Tbk;</w:t>
      </w:r>
    </w:p>
    <w:p>
      <w:pPr>
        <w:ind w:left="567" w:hanging="567"/>
        <w:rPr>
          <w:noProof/>
        </w:rPr>
      </w:pPr>
    </w:p>
    <w:p>
      <w:pPr>
        <w:ind w:left="567" w:hanging="567"/>
        <w:rPr>
          <w:noProof/>
        </w:rPr>
      </w:pPr>
      <w:r>
        <w:rPr>
          <w:noProof/>
        </w:rPr>
        <w:t>(i)</w:t>
      </w:r>
      <w:r>
        <w:rPr>
          <w:noProof/>
        </w:rPr>
        <w:tab/>
        <w:t>PT Krakatau Steel (Persero) Tbk;</w:t>
      </w:r>
    </w:p>
    <w:p>
      <w:pPr>
        <w:ind w:left="567" w:hanging="567"/>
        <w:rPr>
          <w:noProof/>
        </w:rPr>
      </w:pPr>
    </w:p>
    <w:p>
      <w:pPr>
        <w:ind w:left="567" w:hanging="567"/>
        <w:rPr>
          <w:noProof/>
        </w:rPr>
      </w:pPr>
      <w:r>
        <w:rPr>
          <w:noProof/>
        </w:rPr>
        <w:t>(j)</w:t>
      </w:r>
      <w:r>
        <w:rPr>
          <w:noProof/>
        </w:rPr>
        <w:tab/>
        <w:t>PT Bahana Pembinaan Usaha Indonesia (Persero);</w:t>
      </w:r>
    </w:p>
    <w:p>
      <w:pPr>
        <w:ind w:left="567" w:hanging="567"/>
        <w:rPr>
          <w:noProof/>
        </w:rPr>
      </w:pPr>
    </w:p>
    <w:p>
      <w:pPr>
        <w:ind w:left="567" w:hanging="567"/>
        <w:rPr>
          <w:noProof/>
        </w:rPr>
      </w:pPr>
      <w:r>
        <w:rPr>
          <w:noProof/>
        </w:rPr>
        <w:t>(k)</w:t>
      </w:r>
      <w:r>
        <w:rPr>
          <w:noProof/>
        </w:rPr>
        <w:tab/>
        <w:t>PT Aviasi Pariwisata Indonesia (Persero);</w:t>
      </w:r>
    </w:p>
    <w:p>
      <w:pPr>
        <w:ind w:left="567" w:hanging="567"/>
        <w:rPr>
          <w:noProof/>
        </w:rPr>
      </w:pPr>
    </w:p>
    <w:p>
      <w:pPr>
        <w:ind w:left="567" w:hanging="567"/>
        <w:rPr>
          <w:noProof/>
        </w:rPr>
      </w:pPr>
      <w:r>
        <w:rPr>
          <w:noProof/>
        </w:rPr>
        <w:t>(l)</w:t>
      </w:r>
      <w:r>
        <w:rPr>
          <w:noProof/>
        </w:rPr>
        <w:tab/>
        <w:t>PT Biro Klasifikasi Indonesia (Persero);</w:t>
      </w:r>
    </w:p>
    <w:p>
      <w:pPr>
        <w:ind w:left="567" w:hanging="567"/>
        <w:rPr>
          <w:noProof/>
        </w:rPr>
      </w:pPr>
    </w:p>
    <w:p>
      <w:pPr>
        <w:ind w:left="567" w:hanging="567"/>
        <w:rPr>
          <w:noProof/>
        </w:rPr>
      </w:pPr>
      <w:r>
        <w:rPr>
          <w:noProof/>
        </w:rPr>
        <w:t>(m)</w:t>
      </w:r>
      <w:r>
        <w:rPr>
          <w:noProof/>
        </w:rPr>
        <w:tab/>
        <w:t>PT Danareksa (Persero);</w:t>
      </w:r>
    </w:p>
    <w:p>
      <w:pPr>
        <w:ind w:left="567" w:hanging="567"/>
        <w:rPr>
          <w:noProof/>
        </w:rPr>
      </w:pPr>
    </w:p>
    <w:p>
      <w:pPr>
        <w:ind w:left="567" w:hanging="567"/>
        <w:rPr>
          <w:noProof/>
        </w:rPr>
      </w:pPr>
      <w:r>
        <w:rPr>
          <w:noProof/>
        </w:rPr>
        <w:t>(n)</w:t>
      </w:r>
      <w:r>
        <w:rPr>
          <w:noProof/>
        </w:rPr>
        <w:tab/>
        <w:t>PT Pelabuhan Indonesia (Persero);</w:t>
      </w:r>
    </w:p>
    <w:p>
      <w:pPr>
        <w:ind w:left="567" w:hanging="567"/>
        <w:rPr>
          <w:noProof/>
        </w:rPr>
      </w:pPr>
    </w:p>
    <w:p>
      <w:pPr>
        <w:ind w:left="567" w:hanging="567"/>
        <w:rPr>
          <w:noProof/>
        </w:rPr>
      </w:pPr>
      <w:r>
        <w:rPr>
          <w:noProof/>
        </w:rPr>
        <w:t>(o)</w:t>
      </w:r>
      <w:r>
        <w:rPr>
          <w:noProof/>
        </w:rPr>
        <w:tab/>
        <w:t>PT Pos Indonesia (Persero);</w:t>
      </w:r>
    </w:p>
    <w:p>
      <w:pPr>
        <w:ind w:left="567" w:hanging="567"/>
        <w:rPr>
          <w:noProof/>
        </w:rPr>
      </w:pPr>
    </w:p>
    <w:p>
      <w:pPr>
        <w:ind w:left="567" w:hanging="567"/>
        <w:rPr>
          <w:noProof/>
        </w:rPr>
      </w:pPr>
      <w:r>
        <w:rPr>
          <w:noProof/>
        </w:rPr>
        <w:t>(p)</w:t>
      </w:r>
      <w:r>
        <w:rPr>
          <w:noProof/>
        </w:rPr>
        <w:tab/>
        <w:t>PT Biofarma (Persero);</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(q)</w:t>
      </w:r>
      <w:r>
        <w:rPr>
          <w:noProof/>
        </w:rPr>
        <w:tab/>
        <w:t>PT Kereta Api Indonesia (Persero), cu excepția activităților sale legate de dezvoltarea și exploatarea căii ferate de mare viteză dintre Jakarta și Bandung în temeiul Regulamentului prezidențial nr. 107 din 2015 privind accelerarea organizării infrastructurii și a instalațiilor feroviare de mare viteză dintre Jakarta și Bandung, precum și al reglementărilor aferente, inclusiv al oricăror modificări viitoare;</w:t>
      </w:r>
    </w:p>
    <w:p>
      <w:pPr>
        <w:ind w:left="567" w:hanging="567"/>
        <w:rPr>
          <w:noProof/>
        </w:rPr>
      </w:pPr>
    </w:p>
    <w:p>
      <w:pPr>
        <w:ind w:left="567" w:hanging="567"/>
        <w:rPr>
          <w:noProof/>
        </w:rPr>
      </w:pPr>
      <w:r>
        <w:rPr>
          <w:noProof/>
        </w:rPr>
        <w:t>(r)</w:t>
      </w:r>
      <w:r>
        <w:rPr>
          <w:noProof/>
        </w:rPr>
        <w:tab/>
        <w:t>PT Rajawali Nusantara Indonesia (Persero), cu excepția activităților sale legate de furnizarea și asigurarea stocului alimentar național și a securității alimentare în temeiul Legii nr. 18 din 2012 privind alimentele și al reglementărilor aferente, inclusiv al Regulamentului prezidențial nr. 125 din 2022 privind implementarea rezervelor alimentare guvernamentale, inclusiv al oricăror modificări viitoare;</w:t>
      </w:r>
    </w:p>
    <w:p>
      <w:pPr>
        <w:ind w:left="567" w:hanging="567"/>
        <w:rPr>
          <w:noProof/>
        </w:rPr>
      </w:pPr>
    </w:p>
    <w:p>
      <w:pPr>
        <w:ind w:left="567" w:hanging="567"/>
        <w:rPr>
          <w:noProof/>
        </w:rPr>
      </w:pPr>
      <w:r>
        <w:rPr>
          <w:noProof/>
        </w:rPr>
        <w:t>(s)</w:t>
      </w:r>
      <w:r>
        <w:rPr>
          <w:noProof/>
        </w:rPr>
        <w:tab/>
        <w:t>PT Mineral Industri Indonesia (Persero), cu excepția activităților sale legate de vânzarea de cărbune și minerale în temeiul Legii nr. 4 din 2009 privind extracția mineralelor și a cărbunelui, astfel cum a fost modificată prin Legea nr. 3 din 2020, și al reglementărilor aferente, inclusiv al oricăror modificări viitoare;</w:t>
      </w:r>
    </w:p>
    <w:p>
      <w:pPr>
        <w:ind w:left="567" w:hanging="567"/>
        <w:rPr>
          <w:noProof/>
        </w:rPr>
      </w:pPr>
    </w:p>
    <w:p>
      <w:pPr>
        <w:ind w:left="567" w:hanging="567"/>
        <w:rPr>
          <w:noProof/>
        </w:rPr>
      </w:pPr>
      <w:r>
        <w:rPr>
          <w:noProof/>
        </w:rPr>
        <w:t>(t)</w:t>
      </w:r>
      <w:r>
        <w:rPr>
          <w:noProof/>
        </w:rPr>
        <w:tab/>
        <w:t>PT Perkebunan Nusantara III (Persero), cu excepția activităților sale legate de producția anumitor plantații sau produse de bază în temeiul Regulamentului prezidențial nr. 40 din 2023 privind accelerarea autosuficienței naționale în sectorul zahărului și furnizarea de bioetanol ca biocombustibil;</w:t>
      </w:r>
    </w:p>
    <w:p>
      <w:pPr>
        <w:ind w:left="567" w:hanging="567"/>
        <w:rPr>
          <w:noProof/>
        </w:rPr>
      </w:pPr>
    </w:p>
    <w:p>
      <w:pPr>
        <w:ind w:left="567" w:hanging="567"/>
        <w:rPr>
          <w:noProof/>
        </w:rPr>
      </w:pPr>
      <w:r>
        <w:rPr>
          <w:noProof/>
        </w:rPr>
        <w:t>(u)</w:t>
      </w:r>
      <w:r>
        <w:rPr>
          <w:noProof/>
        </w:rPr>
        <w:tab/>
        <w:t>PT Pertamina (Persero), cu excepția activităților sale legate de furnizarea de petrol și gaze subvenționate în temeiul Regulamentului prezidențial nr. 191 din 2014 privind furnizarea, distribuția și prețul cu amănuntul al păcurii, inclusiv al oricăror modificări viitoare;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(v)</w:t>
      </w:r>
      <w:r>
        <w:rPr>
          <w:noProof/>
        </w:rPr>
        <w:tab/>
        <w:t>PT Perusahaan Listrik Negara (Persero), cu excepția activităților sale legate de distribuția de energie electrică în temeiul Legii nr. 30 din 2009 privind energia electrică și al reglementărilor aferente, inclusiv al oricăror modificări viitoare și</w:t>
      </w:r>
    </w:p>
    <w:p>
      <w:pPr>
        <w:ind w:left="567" w:hanging="567"/>
        <w:rPr>
          <w:noProof/>
        </w:rPr>
      </w:pPr>
    </w:p>
    <w:p>
      <w:pPr>
        <w:ind w:left="567" w:hanging="567"/>
        <w:rPr>
          <w:noProof/>
        </w:rPr>
      </w:pPr>
      <w:r>
        <w:rPr>
          <w:noProof/>
        </w:rPr>
        <w:t>(w)</w:t>
      </w:r>
      <w:r>
        <w:rPr>
          <w:noProof/>
        </w:rPr>
        <w:tab/>
        <w:t>PT Pupuk Indonesia (Persero), cu excepția activităților sale legate de furnizarea de îngrășăminte subvenționate în temeiul Regulamentului nr. 4 din 2023 al ministrului comerțului privind achizițiile și distribuția de îngrășăminte subvenționate pentru sectorul agricol și al Regulamentului nr. 10 din 2022 al ministrului agriculturii privind mecanismul de alocare, furnizarea și prețul maxim cu amănuntul al îngrășămintelor subvenționate pentru sectorul agricol, inclusiv al oricăror modificări viitoare.</w:t>
      </w:r>
    </w:p>
    <w:p>
      <w:pPr>
        <w:rPr>
          <w:noProof/>
        </w:rPr>
      </w:pPr>
    </w:p>
    <w:p>
      <w:pPr>
        <w:rPr>
          <w:rFonts w:eastAsia="Calibri"/>
          <w:noProof/>
        </w:rPr>
      </w:pPr>
      <w:r>
        <w:rPr>
          <w:noProof/>
        </w:rPr>
        <w:t>4.</w:t>
      </w:r>
      <w:r>
        <w:rPr>
          <w:noProof/>
        </w:rPr>
        <w:tab/>
        <w:t>În pofida punctului 3 din prezenta anexă, articolul 13.17 alineatul (2) litera (a) nu se aplică activităților comerciale ale întreprinderilor deținute de stat legate de achizițiile de bunuri sau servicii efectuate pentru îndeplinirea unui mandat de serviciu public, astfel cum sunt enumerate în principal la punctul 3. Indonezia notifică Uniunii orice modificare a unui astfel de mandat de serviciu public, astfel cum este descris în lista întreprinderilor deținute de stat de la punctul 3 din prezenta anexă.</w:t>
      </w:r>
    </w:p>
    <w:p>
      <w:pPr>
        <w:rPr>
          <w:rFonts w:eastAsia="Calibri"/>
          <w:noProof/>
        </w:rPr>
      </w:pPr>
    </w:p>
    <w:p>
      <w:pPr>
        <w:rPr>
          <w:rFonts w:eastAsia="Calibri"/>
          <w:noProof/>
        </w:rPr>
      </w:pPr>
      <w:r>
        <w:rPr>
          <w:noProof/>
        </w:rPr>
        <w:t>5.</w:t>
      </w:r>
      <w:r>
        <w:rPr>
          <w:noProof/>
        </w:rPr>
        <w:tab/>
        <w:t>Indonezia poate adăuga întreprinderi deținute de stat pe lista de la punctul 3 din prezenta anexă. Această adăugare face obiectul unei revizuiri de către Comitetul pentru comerț la un an de la data aplicării prezentei anexe și, ulterior, cel puțin o dată la trei ani. În urma unei astfel de revizuiri sau la cererea oricăreia dintre părți, Comitetul pentru comerț poate decide să modifice lista de la punctul 3 din prezenta anexă în temeiul articolului 24.2.</w:t>
      </w:r>
    </w:p>
    <w:p>
      <w:pPr>
        <w:rPr>
          <w:rFonts w:eastAsia="Calibri"/>
          <w:noProof/>
        </w:rPr>
      </w:pPr>
    </w:p>
    <w:p>
      <w:pPr>
        <w:rPr>
          <w:rFonts w:eastAsia="Calibri"/>
          <w:noProof/>
        </w:rPr>
      </w:pPr>
    </w:p>
    <w:p>
      <w:pPr>
        <w:jc w:val="center"/>
        <w:rPr>
          <w:rFonts w:eastAsia="Calibri"/>
          <w:noProof/>
          <w:color w:val="000000"/>
          <w:szCs w:val="24"/>
        </w:rPr>
      </w:pPr>
      <w:r>
        <w:rPr>
          <w:noProof/>
          <w:color w:val="000000"/>
        </w:rPr>
        <w:t>________________</w:t>
      </w:r>
    </w:p>
    <w:p>
      <w:pPr>
        <w:rPr>
          <w:rFonts w:eastAsia="Calibri"/>
          <w:noProof/>
          <w:color w:val="000000"/>
          <w:szCs w:val="24"/>
        </w:rPr>
      </w:pPr>
    </w:p>
    <w:p>
      <w:pPr>
        <w:rPr>
          <w:rFonts w:eastAsia="Calibri"/>
          <w:noProof/>
          <w:color w:val="000000"/>
          <w:szCs w:val="24"/>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14-A</w:t>
      </w:r>
    </w:p>
    <w:p>
      <w:pPr>
        <w:rPr>
          <w:noProof/>
        </w:rPr>
      </w:pPr>
    </w:p>
    <w:p>
      <w:pPr>
        <w:rPr>
          <w:noProof/>
        </w:rPr>
      </w:pPr>
    </w:p>
    <w:p>
      <w:pPr>
        <w:jc w:val="center"/>
        <w:rPr>
          <w:noProof/>
        </w:rPr>
      </w:pPr>
      <w:r>
        <w:rPr>
          <w:noProof/>
        </w:rPr>
        <w:t>LISTA PRODUSELOR ENERGETICE</w:t>
      </w:r>
    </w:p>
    <w:p>
      <w:pPr>
        <w:rPr>
          <w:noProof/>
        </w:rPr>
      </w:pPr>
    </w:p>
    <w:p>
      <w:pPr>
        <w:ind w:left="567" w:hanging="567"/>
        <w:rPr>
          <w:noProof/>
        </w:rPr>
      </w:pPr>
      <w:r>
        <w:rPr>
          <w:noProof/>
        </w:rPr>
        <w:t>1.</w:t>
      </w:r>
      <w:r>
        <w:rPr>
          <w:noProof/>
        </w:rPr>
        <w:tab/>
        <w:t>Gaz de sondă, inclusiv gaz natural lichefiat, gaz petrolier lichefiat (GPL) (cod SA 27.11)</w:t>
      </w:r>
    </w:p>
    <w:p>
      <w:pPr>
        <w:ind w:left="567" w:hanging="567"/>
        <w:rPr>
          <w:noProof/>
        </w:rPr>
      </w:pPr>
    </w:p>
    <w:p>
      <w:pPr>
        <w:ind w:left="567" w:hanging="567"/>
        <w:rPr>
          <w:noProof/>
        </w:rPr>
      </w:pPr>
      <w:r>
        <w:rPr>
          <w:noProof/>
        </w:rPr>
        <w:t>2.</w:t>
      </w:r>
      <w:r>
        <w:rPr>
          <w:noProof/>
        </w:rPr>
        <w:tab/>
        <w:t>Energie electrică (cod SA 27.16)</w:t>
      </w:r>
    </w:p>
    <w:p>
      <w:pPr>
        <w:ind w:left="567" w:hanging="567"/>
        <w:rPr>
          <w:noProof/>
        </w:rPr>
      </w:pPr>
    </w:p>
    <w:p>
      <w:pPr>
        <w:ind w:left="567" w:hanging="567"/>
        <w:rPr>
          <w:noProof/>
        </w:rPr>
      </w:pPr>
      <w:r>
        <w:rPr>
          <w:noProof/>
        </w:rPr>
        <w:t>3.</w:t>
      </w:r>
      <w:r>
        <w:rPr>
          <w:noProof/>
        </w:rPr>
        <w:tab/>
        <w:t>Uleiuri brute (coduri SA 27.09-27.10)</w:t>
      </w:r>
    </w:p>
    <w:p>
      <w:pPr>
        <w:ind w:left="567" w:hanging="567"/>
        <w:rPr>
          <w:noProof/>
        </w:rPr>
      </w:pPr>
    </w:p>
    <w:p>
      <w:pPr>
        <w:ind w:left="567" w:hanging="567"/>
        <w:rPr>
          <w:noProof/>
        </w:rPr>
      </w:pPr>
      <w:r>
        <w:rPr>
          <w:noProof/>
        </w:rPr>
        <w:t>4.</w:t>
      </w:r>
      <w:r>
        <w:rPr>
          <w:noProof/>
        </w:rPr>
        <w:tab/>
        <w:t>Combustibili solizi (coduri SA 27.01, 27.02 și 27.04)</w:t>
      </w:r>
    </w:p>
    <w:p>
      <w:pPr>
        <w:ind w:left="567" w:hanging="567"/>
        <w:rPr>
          <w:noProof/>
        </w:rPr>
      </w:pPr>
    </w:p>
    <w:p>
      <w:pPr>
        <w:ind w:left="567" w:hanging="567"/>
        <w:rPr>
          <w:noProof/>
        </w:rPr>
      </w:pPr>
      <w:r>
        <w:rPr>
          <w:noProof/>
        </w:rPr>
        <w:t>5.</w:t>
      </w:r>
      <w:r>
        <w:rPr>
          <w:noProof/>
        </w:rPr>
        <w:tab/>
        <w:t>Biogaz (SA 38.25) și</w:t>
      </w:r>
    </w:p>
    <w:p>
      <w:pPr>
        <w:ind w:left="567" w:hanging="567"/>
        <w:rPr>
          <w:noProof/>
        </w:rPr>
      </w:pPr>
    </w:p>
    <w:p>
      <w:pPr>
        <w:ind w:left="567" w:hanging="567"/>
        <w:rPr>
          <w:noProof/>
        </w:rPr>
      </w:pPr>
      <w:r>
        <w:rPr>
          <w:noProof/>
        </w:rPr>
        <w:t>6.</w:t>
      </w:r>
      <w:r>
        <w:rPr>
          <w:noProof/>
        </w:rPr>
        <w:tab/>
        <w:t>Biomotorină (cod SA 38.26).</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14-B</w:t>
      </w:r>
    </w:p>
    <w:p>
      <w:pPr>
        <w:rPr>
          <w:noProof/>
        </w:rPr>
      </w:pPr>
    </w:p>
    <w:p>
      <w:pPr>
        <w:rPr>
          <w:noProof/>
        </w:rPr>
      </w:pPr>
    </w:p>
    <w:p>
      <w:pPr>
        <w:jc w:val="center"/>
        <w:rPr>
          <w:noProof/>
        </w:rPr>
      </w:pPr>
      <w:r>
        <w:rPr>
          <w:noProof/>
        </w:rPr>
        <w:t>LISTA MATERIILOR PRIME</w:t>
      </w:r>
    </w:p>
    <w:p>
      <w:pPr>
        <w:rPr>
          <w:noProof/>
        </w:rPr>
      </w:pPr>
    </w:p>
    <w:p>
      <w:pPr>
        <w:ind w:left="567" w:hanging="567"/>
        <w:rPr>
          <w:noProof/>
        </w:rPr>
      </w:pPr>
      <w:r>
        <w:rPr>
          <w:noProof/>
        </w:rPr>
        <w:t>1.</w:t>
      </w:r>
      <w:r>
        <w:rPr>
          <w:noProof/>
        </w:rPr>
        <w:tab/>
        <w:t>Sare, sulf, pământuri și pietre, ipsos, var și ciment (SA 25)</w:t>
      </w:r>
    </w:p>
    <w:p>
      <w:pPr>
        <w:ind w:left="567" w:hanging="567"/>
        <w:rPr>
          <w:noProof/>
        </w:rPr>
      </w:pPr>
    </w:p>
    <w:p>
      <w:pPr>
        <w:ind w:left="567" w:hanging="567"/>
        <w:rPr>
          <w:noProof/>
        </w:rPr>
      </w:pPr>
      <w:r>
        <w:rPr>
          <w:noProof/>
        </w:rPr>
        <w:t>2.</w:t>
      </w:r>
      <w:r>
        <w:rPr>
          <w:noProof/>
        </w:rPr>
        <w:tab/>
        <w:t>Minereuri, zgură și cenușă (SA 26), cu excepția uraniului și toriului (cod SA 26.12), dar incluzând monazitul (coduri SA 26.12 și 20.10)</w:t>
      </w:r>
    </w:p>
    <w:p>
      <w:pPr>
        <w:ind w:left="567" w:hanging="567"/>
        <w:rPr>
          <w:noProof/>
        </w:rPr>
      </w:pPr>
    </w:p>
    <w:p>
      <w:pPr>
        <w:ind w:left="567" w:hanging="567"/>
        <w:rPr>
          <w:noProof/>
        </w:rPr>
      </w:pPr>
      <w:r>
        <w:rPr>
          <w:noProof/>
        </w:rPr>
        <w:t>3.</w:t>
      </w:r>
      <w:r>
        <w:rPr>
          <w:noProof/>
        </w:rPr>
        <w:tab/>
        <w:t>Bunurile incluse în SA 27</w:t>
      </w:r>
    </w:p>
    <w:p>
      <w:pPr>
        <w:ind w:left="567" w:hanging="567"/>
        <w:rPr>
          <w:noProof/>
        </w:rPr>
      </w:pPr>
    </w:p>
    <w:p>
      <w:pPr>
        <w:ind w:left="567" w:hanging="567"/>
        <w:rPr>
          <w:noProof/>
        </w:rPr>
      </w:pPr>
      <w:r>
        <w:rPr>
          <w:noProof/>
        </w:rPr>
        <w:t>4.</w:t>
      </w:r>
      <w:r>
        <w:rPr>
          <w:noProof/>
        </w:rPr>
        <w:tab/>
        <w:t>Produse chimice anorganice (SA 28), cu excepția elementelor radioactive și a izotopilor (coduri SA 28.44 și 28.45)</w:t>
      </w:r>
    </w:p>
    <w:p>
      <w:pPr>
        <w:ind w:left="567" w:hanging="567"/>
        <w:rPr>
          <w:noProof/>
        </w:rPr>
      </w:pPr>
    </w:p>
    <w:p>
      <w:pPr>
        <w:ind w:left="567" w:hanging="567"/>
        <w:rPr>
          <w:noProof/>
        </w:rPr>
      </w:pPr>
      <w:r>
        <w:rPr>
          <w:noProof/>
        </w:rPr>
        <w:t>5.</w:t>
      </w:r>
      <w:r>
        <w:rPr>
          <w:noProof/>
        </w:rPr>
        <w:tab/>
        <w:t>Produse chimice organice (SA 29), cu excepția produselor farmaceutice și chimice de specialitate</w:t>
      </w:r>
    </w:p>
    <w:p>
      <w:pPr>
        <w:ind w:left="567" w:hanging="567"/>
        <w:rPr>
          <w:noProof/>
        </w:rPr>
      </w:pPr>
    </w:p>
    <w:p>
      <w:pPr>
        <w:ind w:left="567" w:hanging="567"/>
        <w:rPr>
          <w:noProof/>
        </w:rPr>
      </w:pPr>
      <w:r>
        <w:rPr>
          <w:noProof/>
        </w:rPr>
        <w:t>6.</w:t>
      </w:r>
      <w:r>
        <w:rPr>
          <w:noProof/>
        </w:rPr>
        <w:tab/>
        <w:t>Îngrășăminte (SA 31)</w:t>
      </w:r>
    </w:p>
    <w:p>
      <w:pPr>
        <w:ind w:left="567" w:hanging="567"/>
        <w:rPr>
          <w:noProof/>
        </w:rPr>
      </w:pPr>
    </w:p>
    <w:p>
      <w:pPr>
        <w:ind w:left="567" w:hanging="567"/>
        <w:rPr>
          <w:noProof/>
        </w:rPr>
      </w:pPr>
      <w:r>
        <w:rPr>
          <w:noProof/>
        </w:rPr>
        <w:t>7.</w:t>
      </w:r>
      <w:r>
        <w:rPr>
          <w:noProof/>
        </w:rPr>
        <w:tab/>
        <w:t>Grafit (SA 38011000)</w:t>
      </w:r>
    </w:p>
    <w:p>
      <w:pPr>
        <w:ind w:left="567" w:hanging="567"/>
        <w:rPr>
          <w:noProof/>
        </w:rPr>
      </w:pPr>
    </w:p>
    <w:p>
      <w:pPr>
        <w:ind w:left="567" w:hanging="567"/>
        <w:rPr>
          <w:noProof/>
        </w:rPr>
      </w:pPr>
      <w:r>
        <w:rPr>
          <w:noProof/>
        </w:rPr>
        <w:t>8.</w:t>
      </w:r>
      <w:r>
        <w:rPr>
          <w:noProof/>
        </w:rPr>
        <w:tab/>
        <w:t>Inițiatori de reacție, acceleratori de reacție și preparate catalitice, nedenumite și necuprinse în altă parte: cu nichel sau compuși de nichel ca substanță activă (SA 3815 11 00)</w:t>
      </w:r>
    </w:p>
    <w:p>
      <w:pPr>
        <w:ind w:left="567" w:hanging="567"/>
        <w:rPr>
          <w:noProof/>
        </w:rPr>
      </w:pPr>
    </w:p>
    <w:p>
      <w:pPr>
        <w:ind w:left="567" w:hanging="567"/>
        <w:rPr>
          <w:noProof/>
        </w:rPr>
      </w:pPr>
      <w:r>
        <w:rPr>
          <w:noProof/>
        </w:rPr>
        <w:t>9.</w:t>
      </w:r>
      <w:r>
        <w:rPr>
          <w:noProof/>
        </w:rPr>
        <w:tab/>
        <w:t>Cauciuc natural (SA 40)</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10.</w:t>
      </w:r>
      <w:r>
        <w:rPr>
          <w:noProof/>
        </w:rPr>
        <w:tab/>
        <w:t>Piei brute și piei finite (SA 41)</w:t>
      </w:r>
    </w:p>
    <w:p>
      <w:pPr>
        <w:ind w:left="567" w:hanging="567"/>
        <w:rPr>
          <w:noProof/>
        </w:rPr>
      </w:pPr>
    </w:p>
    <w:p>
      <w:pPr>
        <w:ind w:left="567" w:hanging="567"/>
        <w:rPr>
          <w:noProof/>
        </w:rPr>
      </w:pPr>
      <w:r>
        <w:rPr>
          <w:noProof/>
        </w:rPr>
        <w:t>11.</w:t>
      </w:r>
      <w:r>
        <w:rPr>
          <w:noProof/>
        </w:rPr>
        <w:tab/>
        <w:t>Pastă din lemn (SA 47) și</w:t>
      </w:r>
    </w:p>
    <w:p>
      <w:pPr>
        <w:ind w:left="567" w:hanging="567"/>
        <w:rPr>
          <w:noProof/>
        </w:rPr>
      </w:pPr>
    </w:p>
    <w:p>
      <w:pPr>
        <w:ind w:left="567" w:hanging="567"/>
        <w:rPr>
          <w:noProof/>
        </w:rPr>
      </w:pPr>
      <w:r>
        <w:rPr>
          <w:noProof/>
        </w:rPr>
        <w:t>12.</w:t>
      </w:r>
      <w:r>
        <w:rPr>
          <w:noProof/>
        </w:rPr>
        <w:tab/>
        <w:t>Metale comune și prețioase și minerale prelucrate (ex SA 71, 72, 74-76, 78-81)</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22-A</w:t>
      </w:r>
    </w:p>
    <w:p>
      <w:pPr>
        <w:rPr>
          <w:noProof/>
        </w:rPr>
      </w:pPr>
    </w:p>
    <w:p>
      <w:pPr>
        <w:rPr>
          <w:noProof/>
        </w:rPr>
      </w:pPr>
    </w:p>
    <w:p>
      <w:pPr>
        <w:jc w:val="center"/>
        <w:rPr>
          <w:noProof/>
        </w:rPr>
      </w:pPr>
      <w:r>
        <w:rPr>
          <w:noProof/>
        </w:rPr>
        <w:t>REGULAMENTUL DE PROCEDURĂ</w:t>
      </w:r>
    </w:p>
    <w:p>
      <w:pPr>
        <w:rPr>
          <w:noProof/>
        </w:rPr>
      </w:pPr>
    </w:p>
    <w:p>
      <w:pPr>
        <w:rPr>
          <w:noProof/>
        </w:rPr>
      </w:pPr>
    </w:p>
    <w:p>
      <w:pPr>
        <w:jc w:val="center"/>
        <w:rPr>
          <w:noProof/>
        </w:rPr>
      </w:pPr>
      <w:r>
        <w:rPr>
          <w:noProof/>
        </w:rPr>
        <w:t>I. Notificări</w:t>
      </w:r>
    </w:p>
    <w:p>
      <w:pPr>
        <w:rPr>
          <w:noProof/>
        </w:rPr>
      </w:pPr>
    </w:p>
    <w:p>
      <w:pPr>
        <w:rPr>
          <w:noProof/>
        </w:rPr>
      </w:pPr>
      <w:r>
        <w:rPr>
          <w:noProof/>
        </w:rPr>
        <w:t>1.</w:t>
      </w:r>
      <w:r>
        <w:rPr>
          <w:noProof/>
        </w:rPr>
        <w:tab/>
        <w:t>Orice cerere, aviz, comunicare scrisă sau alt document (denumit în continuare „notificare”):</w:t>
      </w:r>
    </w:p>
    <w:p>
      <w:pPr>
        <w:rPr>
          <w:noProof/>
        </w:rPr>
      </w:pPr>
    </w:p>
    <w:p>
      <w:pPr>
        <w:ind w:left="567" w:hanging="567"/>
        <w:rPr>
          <w:noProof/>
        </w:rPr>
      </w:pPr>
      <w:r>
        <w:rPr>
          <w:noProof/>
        </w:rPr>
        <w:t>(a)</w:t>
      </w:r>
      <w:r>
        <w:rPr>
          <w:noProof/>
        </w:rPr>
        <w:tab/>
        <w:t>al comisiei de arbitraj se transmite ambelor părți în același timp;</w:t>
      </w:r>
    </w:p>
    <w:p>
      <w:pPr>
        <w:ind w:left="567" w:hanging="567"/>
        <w:rPr>
          <w:noProof/>
        </w:rPr>
      </w:pPr>
    </w:p>
    <w:p>
      <w:pPr>
        <w:ind w:left="567" w:hanging="567"/>
        <w:rPr>
          <w:noProof/>
        </w:rPr>
      </w:pPr>
      <w:r>
        <w:rPr>
          <w:noProof/>
        </w:rPr>
        <w:t>(b)</w:t>
      </w:r>
      <w:r>
        <w:rPr>
          <w:noProof/>
        </w:rPr>
        <w:tab/>
        <w:t>al unei părți care este adresat comisiei de arbitraj se transmite în copie celeilalte părți în același timp și</w:t>
      </w:r>
    </w:p>
    <w:p>
      <w:pPr>
        <w:ind w:left="567" w:hanging="567"/>
        <w:rPr>
          <w:noProof/>
        </w:rPr>
      </w:pPr>
    </w:p>
    <w:p>
      <w:pPr>
        <w:ind w:left="567" w:hanging="567"/>
        <w:rPr>
          <w:noProof/>
        </w:rPr>
      </w:pPr>
      <w:r>
        <w:rPr>
          <w:noProof/>
        </w:rPr>
        <w:t>(c)</w:t>
      </w:r>
      <w:r>
        <w:rPr>
          <w:noProof/>
        </w:rPr>
        <w:tab/>
        <w:t>al unei părți care este adresat celeilalte părți se transmite în copie comisiei de arbitraj în același timp, după caz.</w:t>
      </w:r>
    </w:p>
    <w:p>
      <w:pPr>
        <w:rPr>
          <w:noProof/>
        </w:rPr>
      </w:pPr>
    </w:p>
    <w:p>
      <w:pPr>
        <w:rPr>
          <w:noProof/>
        </w:rPr>
      </w:pPr>
      <w:r>
        <w:rPr>
          <w:noProof/>
        </w:rPr>
        <w:t>În absența unor dovezi contrare, în cazul unei astfel de notificări, data primirii se consideră a fi aceeași cu data trimiterii.</w:t>
      </w:r>
    </w:p>
    <w:p>
      <w:pPr>
        <w:rPr>
          <w:noProof/>
        </w:rPr>
      </w:pPr>
    </w:p>
    <w:p>
      <w:pPr>
        <w:rPr>
          <w:noProof/>
        </w:rPr>
      </w:pPr>
      <w:r>
        <w:rPr>
          <w:noProof/>
        </w:rPr>
        <w:t>2.</w:t>
      </w:r>
      <w:r>
        <w:rPr>
          <w:noProof/>
        </w:rPr>
        <w:tab/>
        <w:t>Toate notificările se adresează direcției generale responsabile pentru comerț a Comisiei Europene și, respectiv, ministerului responsabil pentru comerț din Indonezia.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Erorile minore de redactare dintr-o notificare legată de o procedură de arbitraj pot fi corectate prin trimiterea unui nou document în care se indică în mod clar modificările.</w:t>
      </w:r>
    </w:p>
    <w:p>
      <w:pPr>
        <w:rPr>
          <w:noProof/>
        </w:rPr>
      </w:pPr>
    </w:p>
    <w:p>
      <w:pPr>
        <w:rPr>
          <w:noProof/>
        </w:rPr>
      </w:pPr>
      <w:r>
        <w:rPr>
          <w:noProof/>
        </w:rPr>
        <w:t>4.</w:t>
      </w:r>
      <w:r>
        <w:rPr>
          <w:noProof/>
        </w:rPr>
        <w:tab/>
        <w:t>Dacă ultima zi pentru transmiterea unui document coincide cu o zi nelucrătoare a instituțiilor Uniunii sau a Guvernului Indoneziei, termenul de transmitere a documentului se încheie în ziua lucrătoare imediat următoare. Pentru a stabili începutul și sfârșitul unei zile calendaristice, se aplică fusul orar al părții pârâte.</w:t>
      </w:r>
    </w:p>
    <w:p>
      <w:pPr>
        <w:rPr>
          <w:noProof/>
        </w:rPr>
      </w:pPr>
    </w:p>
    <w:p>
      <w:pPr>
        <w:rPr>
          <w:noProof/>
        </w:rPr>
      </w:pPr>
    </w:p>
    <w:p>
      <w:pPr>
        <w:jc w:val="center"/>
        <w:rPr>
          <w:noProof/>
        </w:rPr>
      </w:pPr>
      <w:r>
        <w:rPr>
          <w:noProof/>
        </w:rPr>
        <w:t>II. Numirea arbitrilor</w:t>
      </w:r>
    </w:p>
    <w:p>
      <w:pPr>
        <w:rPr>
          <w:noProof/>
        </w:rPr>
      </w:pPr>
    </w:p>
    <w:p>
      <w:pPr>
        <w:rPr>
          <w:noProof/>
        </w:rPr>
      </w:pPr>
      <w:r>
        <w:rPr>
          <w:noProof/>
        </w:rPr>
        <w:t>5.</w:t>
      </w:r>
      <w:r>
        <w:rPr>
          <w:noProof/>
        </w:rPr>
        <w:tab/>
        <w:t>Dacă, în temeiul articolului 22.6, se selectează un arbitru prin tragere la sorți, copreședintele Comitetului pentru comerț desemnat de partea reclamantă îl informează cu promptitudine pe copreședintele Comitetului pentru comerț desemnat de partea pârâtă cu privire la data, ora și locul de desfășurare a selecției prin tragere la sorți. Dacă dorește, partea pârâtă poate să fie prezentă la selecția prin tragere la sorți. În orice caz, selecția prin tragere la sorți are loc cu partea sau părțile prezente.</w:t>
      </w:r>
    </w:p>
    <w:p>
      <w:pPr>
        <w:rPr>
          <w:noProof/>
        </w:rPr>
      </w:pPr>
    </w:p>
    <w:p>
      <w:pPr>
        <w:rPr>
          <w:noProof/>
        </w:rPr>
      </w:pPr>
      <w:r>
        <w:rPr>
          <w:noProof/>
        </w:rPr>
        <w:t>6.</w:t>
      </w:r>
      <w:r>
        <w:rPr>
          <w:noProof/>
        </w:rPr>
        <w:tab/>
        <w:t>Copreședintele Comitetului pentru comerț desemnat de partea reclamantă trimite fiecărei persoane care a fost selectată să îndeplinească funcția de arbitru, inclusiv pe cale electronică, o notificare scrisă. Fiecare persoană astfel desemnată confirmă ambelor părți disponibilitatea sa, în termen de cinci zile de la data primirii respectivei notificări.</w:t>
      </w:r>
    </w:p>
    <w:p>
      <w:pPr>
        <w:rPr>
          <w:noProof/>
        </w:rPr>
      </w:pPr>
    </w:p>
    <w:p>
      <w:pPr>
        <w:widowControl/>
        <w:spacing w:line="240" w:lineRule="auto"/>
        <w:rPr>
          <w:noProof/>
        </w:rPr>
      </w:pPr>
      <w:r>
        <w:rPr>
          <w:noProof/>
        </w:rPr>
        <w:br w:type="page"/>
      </w:r>
    </w:p>
    <w:p>
      <w:pPr>
        <w:rPr>
          <w:noProof/>
        </w:rPr>
      </w:pPr>
      <w:r>
        <w:rPr>
          <w:noProof/>
        </w:rPr>
        <w:lastRenderedPageBreak/>
        <w:t>7.</w:t>
      </w:r>
      <w:r>
        <w:rPr>
          <w:noProof/>
        </w:rPr>
        <w:tab/>
        <w:t>În sensul articolului 22.6, copreședintele Comitetului pentru comerț desemnat de partea reclamantă selectează prin tragere la sorți arbitrul sau președintele:</w:t>
      </w:r>
    </w:p>
    <w:p>
      <w:pPr>
        <w:rPr>
          <w:noProof/>
        </w:rPr>
      </w:pPr>
    </w:p>
    <w:p>
      <w:pPr>
        <w:ind w:left="567" w:hanging="567"/>
        <w:rPr>
          <w:noProof/>
        </w:rPr>
      </w:pPr>
      <w:r>
        <w:rPr>
          <w:noProof/>
        </w:rPr>
        <w:t>(a)</w:t>
      </w:r>
      <w:r>
        <w:rPr>
          <w:noProof/>
        </w:rPr>
        <w:tab/>
        <w:t>în cazul în care nu a fost încă întocmită o sublistă menționată la articolul 22.7 alineatul (2) litera (a) sau (b), dintre persoanele care au fost propuse în mod oficial de o parte ca arbitri pentru sublista sa sau, în absența acestora, dintre persoanele care au fost propuse în mod oficial de cealaltă parte pentru sublista părții</w:t>
      </w:r>
      <w:bookmarkStart w:id="3" w:name="_Hlk213261177"/>
      <w:bookmarkEnd w:id="3"/>
      <w:r>
        <w:rPr>
          <w:noProof/>
        </w:rPr>
        <w:t xml:space="preserve"> respective;</w:t>
      </w:r>
    </w:p>
    <w:p>
      <w:pPr>
        <w:ind w:left="567" w:hanging="567"/>
        <w:rPr>
          <w:noProof/>
        </w:rPr>
      </w:pPr>
    </w:p>
    <w:p>
      <w:pPr>
        <w:ind w:left="567" w:hanging="567"/>
        <w:rPr>
          <w:noProof/>
        </w:rPr>
      </w:pPr>
      <w:r>
        <w:rPr>
          <w:noProof/>
        </w:rPr>
        <w:t>(b)</w:t>
      </w:r>
      <w:r>
        <w:rPr>
          <w:noProof/>
        </w:rPr>
        <w:tab/>
        <w:t>în cazul în care nu a fost încă întocmită sublista menționată la articolul 22.7 alineatul (2) litera (c), dintre persoanele care au fost propuse în mod oficial de una sau de ambele părți pentru sublista președinților.</w:t>
      </w:r>
    </w:p>
    <w:p>
      <w:pPr>
        <w:rPr>
          <w:noProof/>
        </w:rPr>
      </w:pPr>
    </w:p>
    <w:p>
      <w:pPr>
        <w:rPr>
          <w:noProof/>
        </w:rPr>
      </w:pPr>
    </w:p>
    <w:p>
      <w:pPr>
        <w:jc w:val="center"/>
        <w:rPr>
          <w:noProof/>
        </w:rPr>
      </w:pPr>
      <w:r>
        <w:rPr>
          <w:noProof/>
        </w:rPr>
        <w:t>III. Cheltuieli</w:t>
      </w:r>
    </w:p>
    <w:p>
      <w:pPr>
        <w:rPr>
          <w:noProof/>
        </w:rPr>
      </w:pPr>
    </w:p>
    <w:p>
      <w:pPr>
        <w:rPr>
          <w:noProof/>
        </w:rPr>
      </w:pPr>
      <w:r>
        <w:rPr>
          <w:noProof/>
        </w:rPr>
        <w:t>8.</w:t>
      </w:r>
      <w:r>
        <w:rPr>
          <w:noProof/>
        </w:rPr>
        <w:tab/>
        <w:t xml:space="preserve">Părțile convin, cel târziu până în momentul în care toți arbitrii au acceptat numirea lor în conformitate cu articolul 22.6 alineatul (6), cu privire la remunerația și cheltuielile arbitrilor și ale asistenților, pregătesc toate contractele de numire necesare și asigură semnarea promptă a acestora. Comitetul pentru comerț poate adopta o decizie care să stabilească parametrii sau alte detalii privind remunerația și cheltuielile arbitrilor și ale mediatorului, inclusiv orice cheltuieli conexe care ar putea fi suportate în cadrul procedurii de arbitraj. Cu excepția cazului în care se prevede altfel într-o astfel de decizie, remunerația și cheltuielile arbitrilor trebuie să se bazeze pe standardele OMC. Cuantumul remunerației asistentului sau a asistenților fiecărui arbitru nu poate depăși 50 % din remunerația arbitrului respectiv. Această regulă li se aplică </w:t>
      </w:r>
      <w:r>
        <w:rPr>
          <w:i/>
          <w:noProof/>
        </w:rPr>
        <w:t>mutatis mutandis</w:t>
      </w:r>
      <w:r>
        <w:rPr>
          <w:noProof/>
        </w:rPr>
        <w:t xml:space="preserve"> mediatorilor.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IV. Reuniunea de organizare</w:t>
      </w:r>
    </w:p>
    <w:p>
      <w:pPr>
        <w:rPr>
          <w:noProof/>
        </w:rPr>
      </w:pPr>
    </w:p>
    <w:p>
      <w:pPr>
        <w:rPr>
          <w:noProof/>
        </w:rPr>
      </w:pPr>
      <w:r>
        <w:rPr>
          <w:noProof/>
        </w:rPr>
        <w:t>9.</w:t>
      </w:r>
      <w:r>
        <w:rPr>
          <w:noProof/>
        </w:rPr>
        <w:tab/>
        <w:t>Cu excepția cazului în care convin altfel, părțile se prezintă în fața comisiei de arbitraj în termen de șapte zile de la instituirea acesteia pentru a stabili aspectele pe care părțile sau comisia de arbitraj le consideră adecvate, inclusiv procedurile de lucru și calendarul procedurii.</w:t>
      </w:r>
    </w:p>
    <w:p>
      <w:pPr>
        <w:rPr>
          <w:noProof/>
        </w:rPr>
      </w:pPr>
    </w:p>
    <w:p>
      <w:pPr>
        <w:rPr>
          <w:noProof/>
        </w:rPr>
      </w:pPr>
      <w:r>
        <w:rPr>
          <w:noProof/>
        </w:rPr>
        <w:t>Arbitrii și reprezentanții părților pot participa la această reuniune prin orice mijloace adecvate, inclusiv prin telefon, videoconferință sau alte mijloace electronice de comunicare.</w:t>
      </w:r>
    </w:p>
    <w:p>
      <w:pPr>
        <w:rPr>
          <w:noProof/>
        </w:rPr>
      </w:pPr>
    </w:p>
    <w:p>
      <w:pPr>
        <w:rPr>
          <w:noProof/>
        </w:rPr>
      </w:pPr>
    </w:p>
    <w:p>
      <w:pPr>
        <w:jc w:val="center"/>
        <w:rPr>
          <w:noProof/>
        </w:rPr>
      </w:pPr>
      <w:r>
        <w:rPr>
          <w:noProof/>
        </w:rPr>
        <w:t>V. Comunicări scrise</w:t>
      </w:r>
    </w:p>
    <w:p>
      <w:pPr>
        <w:rPr>
          <w:noProof/>
        </w:rPr>
      </w:pPr>
    </w:p>
    <w:p>
      <w:pPr>
        <w:rPr>
          <w:noProof/>
        </w:rPr>
      </w:pPr>
      <w:r>
        <w:rPr>
          <w:noProof/>
        </w:rPr>
        <w:t>10.</w:t>
      </w:r>
      <w:r>
        <w:rPr>
          <w:noProof/>
        </w:rPr>
        <w:tab/>
        <w:t>Partea reclamantă transmite comunicarea sa scrisă în termen de cel mult 20 de zile de la data instituirii comisiei de arbitraj. Partea pârâtă transmite comunicarea sa scrisă în termen de cel mult 20 de zile de la data primirii comunicării scrise a părții reclamante.</w:t>
      </w:r>
    </w:p>
    <w:p>
      <w:pPr>
        <w:rPr>
          <w:noProof/>
        </w:rPr>
      </w:pPr>
    </w:p>
    <w:p>
      <w:pPr>
        <w:rPr>
          <w:noProof/>
        </w:rPr>
      </w:pPr>
      <w:r>
        <w:rPr>
          <w:noProof/>
        </w:rPr>
        <w:t>11.</w:t>
      </w:r>
      <w:r>
        <w:rPr>
          <w:noProof/>
        </w:rPr>
        <w:tab/>
        <w:t>În cazul în care partea pârâtă invocă aspecte sau mijloace de apărare noi pe care partea reclamantă nu le-a abordat, partea reclamantă poate alege să transmită o a doua comunicare scrisă în termen de 15 zile de la data primirii primei comunicări scrise a părții pârâte. Partea reclamantă evaluează dacă beneficiul unei a doua comunicări scrise este suficient în raport cu întârzierea suplimentară. În acest caz, partea pârâtă își poate transmite răspunsul în termen de 15 zile de la data primirii celei de a doua comunicări scrise a părții reclamante.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 Funcționarea comisiei de arbitraj</w:t>
      </w:r>
    </w:p>
    <w:p>
      <w:pPr>
        <w:rPr>
          <w:noProof/>
        </w:rPr>
      </w:pPr>
    </w:p>
    <w:p>
      <w:pPr>
        <w:rPr>
          <w:noProof/>
        </w:rPr>
      </w:pPr>
      <w:r>
        <w:rPr>
          <w:noProof/>
        </w:rPr>
        <w:t>12.</w:t>
      </w:r>
      <w:r>
        <w:rPr>
          <w:noProof/>
        </w:rPr>
        <w:tab/>
        <w:t>Președintele comisiei de arbitraj prezidează toate reuniunile acesteia. Comisia de arbitraj îi poate delega președintelui autoritatea de a lua decizii administrative și procedurale.</w:t>
      </w:r>
    </w:p>
    <w:p>
      <w:pPr>
        <w:rPr>
          <w:noProof/>
        </w:rPr>
      </w:pPr>
    </w:p>
    <w:p>
      <w:pPr>
        <w:rPr>
          <w:noProof/>
        </w:rPr>
      </w:pPr>
      <w:r>
        <w:rPr>
          <w:noProof/>
        </w:rPr>
        <w:t>12A.</w:t>
      </w:r>
      <w:r>
        <w:rPr>
          <w:noProof/>
        </w:rPr>
        <w:tab/>
        <w:t>Cu excepția cazului în care se prevede altfel în capitolul 22 (Soluționarea litigiilor) sau în prezenta anexă, comisia de arbitraj își poate desfășura activitățile prin orice mijloace adecvate, inclusiv prin telefon, videoconferință sau alte mijloace de comunicare electronică.</w:t>
      </w:r>
    </w:p>
    <w:p>
      <w:pPr>
        <w:rPr>
          <w:noProof/>
        </w:rPr>
      </w:pPr>
    </w:p>
    <w:p>
      <w:pPr>
        <w:rPr>
          <w:noProof/>
        </w:rPr>
      </w:pPr>
      <w:r>
        <w:rPr>
          <w:noProof/>
        </w:rPr>
        <w:t>13.</w:t>
      </w:r>
      <w:r>
        <w:rPr>
          <w:noProof/>
        </w:rPr>
        <w:tab/>
        <w:t>Numai arbitrii pot participa la deliberările comisiei de arbitraj, dar comisia de arbitraj le poate permite asistenților arbitrilor să fie prezenți la deliberările sale.</w:t>
      </w:r>
    </w:p>
    <w:p>
      <w:pPr>
        <w:rPr>
          <w:noProof/>
        </w:rPr>
      </w:pPr>
    </w:p>
    <w:p>
      <w:pPr>
        <w:rPr>
          <w:noProof/>
        </w:rPr>
      </w:pPr>
      <w:r>
        <w:rPr>
          <w:noProof/>
        </w:rPr>
        <w:t>14.</w:t>
      </w:r>
      <w:r>
        <w:rPr>
          <w:noProof/>
        </w:rPr>
        <w:tab/>
        <w:t>Redactarea oricărei decizii și a oricărui raport rămâne în responsabilitatea exclusivă a comisiei de arbitraj și nu se deleagă.</w:t>
      </w:r>
    </w:p>
    <w:p>
      <w:pPr>
        <w:rPr>
          <w:noProof/>
        </w:rPr>
      </w:pPr>
    </w:p>
    <w:p>
      <w:pPr>
        <w:rPr>
          <w:noProof/>
        </w:rPr>
      </w:pPr>
      <w:r>
        <w:rPr>
          <w:noProof/>
        </w:rPr>
        <w:t>15.</w:t>
      </w:r>
      <w:r>
        <w:rPr>
          <w:noProof/>
        </w:rPr>
        <w:tab/>
        <w:t>În cazul în care apare o problemă procedurală care nu este reglementată de capitolul 22 (Soluționarea litigiilor) și de anexele la acesta, comisia de arbitraj, după consultarea părților, poate adopta o procedură adecvată compatibilă cu dispozițiile respective.</w:t>
      </w:r>
    </w:p>
    <w:p>
      <w:pPr>
        <w:rPr>
          <w:noProof/>
        </w:rPr>
      </w:pPr>
    </w:p>
    <w:p>
      <w:pPr>
        <w:rPr>
          <w:noProof/>
        </w:rPr>
      </w:pPr>
      <w:r>
        <w:rPr>
          <w:noProof/>
        </w:rPr>
        <w:t>16.</w:t>
      </w:r>
      <w:r>
        <w:rPr>
          <w:noProof/>
        </w:rPr>
        <w:tab/>
        <w:t>În cazul în care comisia de arbitraj consideră că este necesar să se modifice termenele procedurale, altele decât termenele prevăzute în capitolul 22 (Soluționarea litigiilor), sau să se efectueze orice altă ajustare procedurală sau administrativă, aceasta informează părțile, în scris, inclusiv pe cale electronică, și după consultarea părților, cu privire la motivele modificării sau ale ajustării și la termenul necesar sau la ajustarea necesară. Oricare dintre părți îi poate propune comisiei de arbitraj astfel de ajustări procedurale sau administrative.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VII. Înlocuire</w:t>
      </w:r>
    </w:p>
    <w:p>
      <w:pPr>
        <w:rPr>
          <w:noProof/>
        </w:rPr>
      </w:pPr>
    </w:p>
    <w:p>
      <w:pPr>
        <w:rPr>
          <w:noProof/>
        </w:rPr>
      </w:pPr>
      <w:r>
        <w:rPr>
          <w:noProof/>
        </w:rPr>
        <w:t>17.</w:t>
      </w:r>
      <w:r>
        <w:rPr>
          <w:noProof/>
        </w:rPr>
        <w:tab/>
        <w:t>În cazul în care o parte consideră că un arbitru nu respectă cerințele prevăzute în anexa 22-B (Codul de conduită pentru arbitri și mediatori) și, din acest motiv, ar trebui înlocuit, partea respectivă îi transmite o notificare celeilalte părți în termen de 15 zile de la momentul în care a obținut suficiente dovezi cu privire la presupusa nerespectare de către arbitrul respectiv a cerințelor prevăzute în anexa 22-B (Codul de conduită pentru arbitri și mediatori).</w:t>
      </w:r>
    </w:p>
    <w:p>
      <w:pPr>
        <w:rPr>
          <w:noProof/>
        </w:rPr>
      </w:pPr>
    </w:p>
    <w:p>
      <w:pPr>
        <w:rPr>
          <w:noProof/>
        </w:rPr>
      </w:pPr>
      <w:r>
        <w:rPr>
          <w:noProof/>
        </w:rPr>
        <w:t>18.</w:t>
      </w:r>
      <w:r>
        <w:rPr>
          <w:noProof/>
        </w:rPr>
        <w:tab/>
        <w:t>Părțile se consultă în termen de 15 zile de la data notificării menționate în regula 17. Părțile îl informează pe arbitru cu privire la presupusa sa nerespectare a cerințelor și îi pot solicita să ia măsurile necesare pentru remedierea situației. Părțile pot, de asemenea, dacă ajung la un acord, să revoce arbitrul și să selecteze un nou arbitru în conformitate cu articolul 22.6.</w:t>
      </w:r>
    </w:p>
    <w:p>
      <w:pPr>
        <w:rPr>
          <w:noProof/>
        </w:rPr>
      </w:pPr>
    </w:p>
    <w:p>
      <w:pPr>
        <w:rPr>
          <w:noProof/>
        </w:rPr>
      </w:pPr>
      <w:r>
        <w:rPr>
          <w:noProof/>
        </w:rPr>
        <w:t>19.</w:t>
      </w:r>
      <w:r>
        <w:rPr>
          <w:noProof/>
        </w:rPr>
        <w:tab/>
        <w:t>Dacă părțile nu ajung la un acord cu privire la necesitatea de a înlocui un arbitru, altul decât președintele comisiei de arbitraj, oricare dintre părți poate solicita ca această chestiune să fie supusă atenției președintelui comisiei de arbitraj, a cărui decizie este definitivă.</w:t>
      </w:r>
    </w:p>
    <w:p>
      <w:pPr>
        <w:rPr>
          <w:noProof/>
        </w:rPr>
      </w:pPr>
    </w:p>
    <w:p>
      <w:pPr>
        <w:rPr>
          <w:noProof/>
        </w:rPr>
      </w:pPr>
      <w:r>
        <w:rPr>
          <w:noProof/>
        </w:rPr>
        <w:t>Dacă președintele comisiei de arbitraj constată că arbitrul nu respectă cerințele prevăzute în anexa 22-B (Codul de conduită pentru arbitri și mediatori), se revocă arbitrul respectiv și se selectează un nou arbitru în conformitate cu articolul 22.6.</w:t>
      </w:r>
    </w:p>
    <w:p>
      <w:pPr>
        <w:rPr>
          <w:noProof/>
        </w:rPr>
      </w:pPr>
    </w:p>
    <w:p>
      <w:pPr>
        <w:rPr>
          <w:noProof/>
        </w:rPr>
      </w:pPr>
      <w:r>
        <w:rPr>
          <w:noProof/>
        </w:rPr>
        <w:t>20.</w:t>
      </w:r>
      <w:r>
        <w:rPr>
          <w:noProof/>
        </w:rPr>
        <w:tab/>
        <w:t>Dacă părțile nu ajung la un acord în ceea ce privește necesitatea înlocuirii președintelui, oricare dintre părți poate solicita ca această chestiune să fie supusă atenției uneia dintre celelalte persoane de pe sublista președinților, întocmită în temeiul articolului 22.7. Numele acestei persoane este selectat prin tragere la sorți de către copreședintele Comitetului pentru comerț desemnat de partea solicitantă sau de către delegatul copreședintelui. Decizia luată de persoana selectată cu privire la necesitatea înlocuirii președintelui este definitivă.</w:t>
      </w:r>
    </w:p>
    <w:p>
      <w:pPr>
        <w:rPr>
          <w:noProof/>
        </w:rPr>
      </w:pPr>
    </w:p>
    <w:p>
      <w:pPr>
        <w:widowControl/>
        <w:spacing w:line="240" w:lineRule="auto"/>
        <w:rPr>
          <w:noProof/>
        </w:rPr>
      </w:pPr>
      <w:r>
        <w:rPr>
          <w:noProof/>
        </w:rPr>
        <w:br w:type="page"/>
      </w:r>
    </w:p>
    <w:p>
      <w:pPr>
        <w:rPr>
          <w:noProof/>
        </w:rPr>
      </w:pPr>
      <w:r>
        <w:rPr>
          <w:noProof/>
        </w:rPr>
        <w:lastRenderedPageBreak/>
        <w:t>Dacă persoana respectivă constată că președintele nu respectă cerințele prevăzute în anexa 22-B (Codul de conduită pentru arbitri și mediatori), se revocă președintele și se selectează un nou președinte în conformitate cu articolul 22.6.</w:t>
      </w:r>
    </w:p>
    <w:p>
      <w:pPr>
        <w:rPr>
          <w:noProof/>
        </w:rPr>
      </w:pPr>
    </w:p>
    <w:p>
      <w:pPr>
        <w:rPr>
          <w:noProof/>
        </w:rPr>
      </w:pPr>
    </w:p>
    <w:p>
      <w:pPr>
        <w:jc w:val="center"/>
        <w:rPr>
          <w:noProof/>
        </w:rPr>
      </w:pPr>
      <w:r>
        <w:rPr>
          <w:noProof/>
        </w:rPr>
        <w:t>VIII. Audieri</w:t>
      </w:r>
    </w:p>
    <w:p>
      <w:pPr>
        <w:rPr>
          <w:noProof/>
        </w:rPr>
      </w:pPr>
    </w:p>
    <w:p>
      <w:pPr>
        <w:rPr>
          <w:noProof/>
        </w:rPr>
      </w:pPr>
      <w:r>
        <w:rPr>
          <w:noProof/>
        </w:rPr>
        <w:t>21.</w:t>
      </w:r>
      <w:r>
        <w:rPr>
          <w:noProof/>
        </w:rPr>
        <w:tab/>
        <w:t>Pe baza calendarului stabilit în conformitate cu regula 9 din prezenta anexă, după consultarea părților și a celorlalți arbitri, președintele comisiei de arbitraj notifică părților data, ora și locul audierii. Aceste informații sunt puse la dispoziția publicului de către partea pe al cărei teritoriu are loc audierea, cu excepția cazului în care audierea nu este publică.</w:t>
      </w:r>
    </w:p>
    <w:p>
      <w:pPr>
        <w:rPr>
          <w:noProof/>
        </w:rPr>
      </w:pPr>
    </w:p>
    <w:p>
      <w:pPr>
        <w:rPr>
          <w:noProof/>
        </w:rPr>
      </w:pPr>
      <w:r>
        <w:rPr>
          <w:noProof/>
        </w:rPr>
        <w:t>22.</w:t>
      </w:r>
      <w:r>
        <w:rPr>
          <w:noProof/>
        </w:rPr>
        <w:tab/>
        <w:t>Cu excepția cazului în care părțile convin altfel, audierea are loc la Bruxelles în cazul în care partea reclamantă este Indonezia și la Jakarta în cazul în care partea reclamantă este Uniunea. Partea pârâtă suportă cheltuielile care decurg din administrarea logistică a audierii.</w:t>
      </w:r>
    </w:p>
    <w:p>
      <w:pPr>
        <w:rPr>
          <w:noProof/>
        </w:rPr>
      </w:pPr>
    </w:p>
    <w:p>
      <w:pPr>
        <w:rPr>
          <w:noProof/>
        </w:rPr>
      </w:pPr>
      <w:r>
        <w:rPr>
          <w:noProof/>
        </w:rPr>
        <w:t>22A.</w:t>
      </w:r>
      <w:r>
        <w:rPr>
          <w:noProof/>
        </w:rPr>
        <w:tab/>
        <w:t>Prin excepție de la regula 22, la cererea uneia dintre părți, comisia de arbitraj poate decide să organizeze o audiere virtuală sau hibridă și poate să ia măsurile corespunzătoare, ținând seama de dreptul la un proces echitabil și de necesitatea de a asigura transparența, în conformitate cu articolul 22.34.</w:t>
      </w:r>
    </w:p>
    <w:p>
      <w:pPr>
        <w:rPr>
          <w:noProof/>
        </w:rPr>
      </w:pPr>
    </w:p>
    <w:p>
      <w:pPr>
        <w:rPr>
          <w:noProof/>
        </w:rPr>
      </w:pPr>
      <w:r>
        <w:rPr>
          <w:noProof/>
        </w:rPr>
        <w:t>23.</w:t>
      </w:r>
      <w:r>
        <w:rPr>
          <w:noProof/>
        </w:rPr>
        <w:tab/>
        <w:t>Comisia de arbitraj poate convoca audieri suplimentare în cazul în care părțile convin astfel.</w:t>
      </w:r>
    </w:p>
    <w:p>
      <w:pPr>
        <w:rPr>
          <w:noProof/>
        </w:rPr>
      </w:pPr>
    </w:p>
    <w:p>
      <w:pPr>
        <w:rPr>
          <w:noProof/>
        </w:rPr>
      </w:pPr>
      <w:r>
        <w:rPr>
          <w:noProof/>
        </w:rPr>
        <w:t>24.</w:t>
      </w:r>
      <w:r>
        <w:rPr>
          <w:noProof/>
        </w:rPr>
        <w:tab/>
        <w:t>Toți arbitrii trebuie să fie prezenți pe parcursul întregii audieri.</w:t>
      </w:r>
    </w:p>
    <w:p>
      <w:pPr>
        <w:rPr>
          <w:noProof/>
        </w:rPr>
      </w:pPr>
    </w:p>
    <w:p>
      <w:pPr>
        <w:widowControl/>
        <w:spacing w:line="240" w:lineRule="auto"/>
        <w:rPr>
          <w:noProof/>
        </w:rPr>
      </w:pPr>
      <w:r>
        <w:rPr>
          <w:noProof/>
        </w:rPr>
        <w:br w:type="page"/>
      </w:r>
    </w:p>
    <w:p>
      <w:pPr>
        <w:rPr>
          <w:noProof/>
        </w:rPr>
      </w:pPr>
      <w:r>
        <w:rPr>
          <w:noProof/>
        </w:rPr>
        <w:lastRenderedPageBreak/>
        <w:t>25.</w:t>
      </w:r>
      <w:r>
        <w:rPr>
          <w:noProof/>
        </w:rPr>
        <w:tab/>
        <w:t>Cu excepția cazului în care părțile convin altfel, următoarele persoane pot participa la audiere, indiferent dacă audierea este sau nu deschisă publicului:</w:t>
      </w:r>
    </w:p>
    <w:p>
      <w:pPr>
        <w:rPr>
          <w:noProof/>
        </w:rPr>
      </w:pPr>
    </w:p>
    <w:p>
      <w:pPr>
        <w:ind w:left="567" w:hanging="567"/>
        <w:rPr>
          <w:noProof/>
        </w:rPr>
      </w:pPr>
      <w:r>
        <w:rPr>
          <w:noProof/>
        </w:rPr>
        <w:t>(a)</w:t>
      </w:r>
      <w:r>
        <w:rPr>
          <w:noProof/>
        </w:rPr>
        <w:tab/>
        <w:t>reprezentanți ai uneia dintre părți;</w:t>
      </w:r>
    </w:p>
    <w:p>
      <w:pPr>
        <w:ind w:left="567" w:hanging="567"/>
        <w:rPr>
          <w:noProof/>
        </w:rPr>
      </w:pPr>
    </w:p>
    <w:p>
      <w:pPr>
        <w:ind w:left="567" w:hanging="567"/>
        <w:rPr>
          <w:noProof/>
        </w:rPr>
      </w:pPr>
      <w:r>
        <w:rPr>
          <w:noProof/>
        </w:rPr>
        <w:t>(b)</w:t>
      </w:r>
      <w:r>
        <w:rPr>
          <w:noProof/>
        </w:rPr>
        <w:tab/>
        <w:t>consilieri;</w:t>
      </w:r>
    </w:p>
    <w:p>
      <w:pPr>
        <w:ind w:left="567" w:hanging="567"/>
        <w:rPr>
          <w:noProof/>
        </w:rPr>
      </w:pPr>
    </w:p>
    <w:p>
      <w:pPr>
        <w:ind w:left="567" w:hanging="567"/>
        <w:rPr>
          <w:noProof/>
        </w:rPr>
      </w:pPr>
      <w:r>
        <w:rPr>
          <w:noProof/>
        </w:rPr>
        <w:t>(c)</w:t>
      </w:r>
      <w:r>
        <w:rPr>
          <w:noProof/>
        </w:rPr>
        <w:tab/>
        <w:t>asistenți și personal administrativ;</w:t>
      </w:r>
    </w:p>
    <w:p>
      <w:pPr>
        <w:ind w:left="567" w:hanging="567"/>
        <w:rPr>
          <w:noProof/>
        </w:rPr>
      </w:pPr>
    </w:p>
    <w:p>
      <w:pPr>
        <w:ind w:left="567" w:hanging="567"/>
        <w:rPr>
          <w:noProof/>
        </w:rPr>
      </w:pPr>
      <w:r>
        <w:rPr>
          <w:noProof/>
        </w:rPr>
        <w:t>(d)</w:t>
      </w:r>
      <w:r>
        <w:rPr>
          <w:noProof/>
        </w:rPr>
        <w:tab/>
        <w:t>interpreți, traducători și grefieri ai comisiei de arbitraj și</w:t>
      </w:r>
    </w:p>
    <w:p>
      <w:pPr>
        <w:ind w:left="567" w:hanging="567"/>
        <w:rPr>
          <w:noProof/>
        </w:rPr>
      </w:pPr>
    </w:p>
    <w:p>
      <w:pPr>
        <w:ind w:left="567" w:hanging="567"/>
        <w:rPr>
          <w:noProof/>
        </w:rPr>
      </w:pPr>
      <w:r>
        <w:rPr>
          <w:noProof/>
        </w:rPr>
        <w:t>(e)</w:t>
      </w:r>
      <w:r>
        <w:rPr>
          <w:noProof/>
        </w:rPr>
        <w:tab/>
        <w:t>experți, astfel cum a decis comisia de arbitraj în temeiul articolului 22.22 alineatul (2).</w:t>
      </w:r>
    </w:p>
    <w:p>
      <w:pPr>
        <w:rPr>
          <w:noProof/>
        </w:rPr>
      </w:pPr>
    </w:p>
    <w:p>
      <w:pPr>
        <w:rPr>
          <w:noProof/>
        </w:rPr>
      </w:pPr>
      <w:r>
        <w:rPr>
          <w:noProof/>
        </w:rPr>
        <w:t>26.</w:t>
      </w:r>
      <w:r>
        <w:rPr>
          <w:noProof/>
        </w:rPr>
        <w:tab/>
        <w:t>Cu cel puțin cinci zile înainte de data unei audieri, fiecare dintre părți trimite comisiei de arbitraj și celeilalte părți o listă cu numele persoanelor care vor pleda sau vor face prezentări în cursul audierii în numele părții respective și cu numele altor reprezentanți sau consilieri care vor lua parte la audiere.</w:t>
      </w:r>
    </w:p>
    <w:p>
      <w:pPr>
        <w:rPr>
          <w:noProof/>
        </w:rPr>
      </w:pPr>
    </w:p>
    <w:p>
      <w:pPr>
        <w:rPr>
          <w:noProof/>
        </w:rPr>
      </w:pPr>
      <w:r>
        <w:rPr>
          <w:noProof/>
        </w:rPr>
        <w:t>27.</w:t>
      </w:r>
      <w:r>
        <w:rPr>
          <w:noProof/>
        </w:rPr>
        <w:tab/>
        <w:t>Comisia de arbitraj desfășoară audierea în modul următor, asigurându-se că partea reclamantă și partea pârâtă beneficiază de timp egal pentru a prezenta pledoariile și obiecțiile:</w:t>
      </w:r>
    </w:p>
    <w:p>
      <w:pPr>
        <w:rPr>
          <w:noProof/>
        </w:rPr>
      </w:pPr>
    </w:p>
    <w:p>
      <w:pPr>
        <w:ind w:left="567" w:hanging="567"/>
        <w:rPr>
          <w:noProof/>
        </w:rPr>
      </w:pPr>
      <w:r>
        <w:rPr>
          <w:noProof/>
        </w:rPr>
        <w:t>(a)</w:t>
      </w:r>
      <w:r>
        <w:rPr>
          <w:noProof/>
        </w:rPr>
        <w:tab/>
        <w:t>pledoarie</w:t>
      </w:r>
    </w:p>
    <w:p>
      <w:pPr>
        <w:ind w:left="567" w:hanging="567"/>
        <w:rPr>
          <w:noProof/>
        </w:rPr>
      </w:pPr>
    </w:p>
    <w:p>
      <w:pPr>
        <w:ind w:left="1134" w:hanging="567"/>
        <w:rPr>
          <w:noProof/>
        </w:rPr>
      </w:pPr>
      <w:r>
        <w:rPr>
          <w:noProof/>
        </w:rPr>
        <w:t>(i)</w:t>
      </w:r>
      <w:r>
        <w:rPr>
          <w:noProof/>
        </w:rPr>
        <w:tab/>
        <w:t>pledoaria părții reclamante;</w:t>
      </w:r>
    </w:p>
    <w:p>
      <w:pPr>
        <w:ind w:left="1134" w:hanging="567"/>
        <w:rPr>
          <w:noProof/>
        </w:rPr>
      </w:pPr>
    </w:p>
    <w:p>
      <w:pPr>
        <w:ind w:left="1134" w:hanging="567"/>
        <w:rPr>
          <w:noProof/>
        </w:rPr>
      </w:pPr>
      <w:r>
        <w:rPr>
          <w:noProof/>
        </w:rPr>
        <w:t>(ii)</w:t>
      </w:r>
      <w:r>
        <w:rPr>
          <w:noProof/>
        </w:rPr>
        <w:tab/>
        <w:t>pledoaria părții pârâte;</w:t>
      </w:r>
    </w:p>
    <w:p>
      <w:pPr>
        <w:ind w:left="1134"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obiecție</w:t>
      </w:r>
    </w:p>
    <w:p>
      <w:pPr>
        <w:ind w:left="567" w:hanging="567"/>
        <w:rPr>
          <w:noProof/>
        </w:rPr>
      </w:pPr>
    </w:p>
    <w:p>
      <w:pPr>
        <w:ind w:left="1134" w:hanging="567"/>
        <w:rPr>
          <w:noProof/>
        </w:rPr>
      </w:pPr>
      <w:r>
        <w:rPr>
          <w:noProof/>
        </w:rPr>
        <w:t>(i)</w:t>
      </w:r>
      <w:r>
        <w:rPr>
          <w:noProof/>
        </w:rPr>
        <w:tab/>
        <w:t>replica părții reclamante;</w:t>
      </w:r>
    </w:p>
    <w:p>
      <w:pPr>
        <w:ind w:left="1134" w:hanging="567"/>
        <w:rPr>
          <w:noProof/>
        </w:rPr>
      </w:pPr>
    </w:p>
    <w:p>
      <w:pPr>
        <w:ind w:left="1134" w:hanging="567"/>
        <w:rPr>
          <w:noProof/>
        </w:rPr>
      </w:pPr>
      <w:r>
        <w:rPr>
          <w:noProof/>
        </w:rPr>
        <w:t>(ii)</w:t>
      </w:r>
      <w:r>
        <w:rPr>
          <w:noProof/>
        </w:rPr>
        <w:tab/>
        <w:t>contrareplica părții pârâte.</w:t>
      </w:r>
    </w:p>
    <w:p>
      <w:pPr>
        <w:ind w:left="1134" w:hanging="567"/>
        <w:rPr>
          <w:noProof/>
        </w:rPr>
      </w:pPr>
    </w:p>
    <w:p>
      <w:pPr>
        <w:rPr>
          <w:noProof/>
        </w:rPr>
      </w:pPr>
      <w:r>
        <w:rPr>
          <w:noProof/>
        </w:rPr>
        <w:t>28.</w:t>
      </w:r>
      <w:r>
        <w:rPr>
          <w:noProof/>
        </w:rPr>
        <w:tab/>
        <w:t>Comisia de arbitraj îi poate adresa întrebări oricărei părți, în orice moment al audierii.</w:t>
      </w:r>
    </w:p>
    <w:p>
      <w:pPr>
        <w:rPr>
          <w:noProof/>
        </w:rPr>
      </w:pPr>
    </w:p>
    <w:p>
      <w:pPr>
        <w:rPr>
          <w:noProof/>
        </w:rPr>
      </w:pPr>
      <w:r>
        <w:rPr>
          <w:noProof/>
        </w:rPr>
        <w:t>29.</w:t>
      </w:r>
      <w:r>
        <w:rPr>
          <w:noProof/>
        </w:rPr>
        <w:tab/>
        <w:t>Comisia de arbitraj ia măsurile necesare în vederea realizării și transmiterii către părți, în cel mai scurt timp după audiere, fie a unei transcrieri, fie a unei înregistrări video sau audio a audierii. Părțile pot formula observații cu privire la transcriere sau la înregistrarea video și audio, iar comisia de arbitraj poate lua în considerare observațiile respective și le poate transmite părților, cât mai curând posibil, orice versiune revizuită a transcrierii. Costul unei transcrieri complete sau al unei înregistrări video și audio este suportat în comun de către părți.</w:t>
      </w:r>
    </w:p>
    <w:p>
      <w:pPr>
        <w:rPr>
          <w:noProof/>
        </w:rPr>
      </w:pPr>
    </w:p>
    <w:p>
      <w:pPr>
        <w:rPr>
          <w:noProof/>
        </w:rPr>
      </w:pPr>
      <w:r>
        <w:rPr>
          <w:noProof/>
        </w:rPr>
        <w:t>30.</w:t>
      </w:r>
      <w:r>
        <w:rPr>
          <w:noProof/>
        </w:rPr>
        <w:tab/>
        <w:t>În termen de 10 zile de la data audierii, oricare dintre părți poate trimite o comunicare scrisă suplimentară cu privire la orice aspect abordat în cadrul audierii.</w:t>
      </w:r>
    </w:p>
    <w:p>
      <w:pPr>
        <w:rPr>
          <w:noProof/>
        </w:rPr>
      </w:pPr>
    </w:p>
    <w:p>
      <w:pPr>
        <w:rPr>
          <w:noProof/>
        </w:rPr>
      </w:pPr>
    </w:p>
    <w:p>
      <w:pPr>
        <w:jc w:val="center"/>
        <w:rPr>
          <w:noProof/>
        </w:rPr>
      </w:pPr>
      <w:r>
        <w:rPr>
          <w:noProof/>
        </w:rPr>
        <w:t>IX. Întrebări scrise</w:t>
      </w:r>
    </w:p>
    <w:p>
      <w:pPr>
        <w:rPr>
          <w:noProof/>
        </w:rPr>
      </w:pPr>
    </w:p>
    <w:p>
      <w:pPr>
        <w:rPr>
          <w:noProof/>
        </w:rPr>
      </w:pPr>
      <w:r>
        <w:rPr>
          <w:noProof/>
        </w:rPr>
        <w:t>31.</w:t>
      </w:r>
      <w:r>
        <w:rPr>
          <w:noProof/>
        </w:rPr>
        <w:tab/>
        <w:t>În orice moment al procedurii, comisia de arbitraj poate adresa întrebări scrise uneia sau ambelor părți. Orice întrebare adresată uneia dintre părți se transmite în copie celeilalte părți.</w:t>
      </w:r>
    </w:p>
    <w:p>
      <w:pPr>
        <w:rPr>
          <w:noProof/>
        </w:rPr>
      </w:pPr>
    </w:p>
    <w:p>
      <w:pPr>
        <w:rPr>
          <w:noProof/>
        </w:rPr>
      </w:pPr>
      <w:r>
        <w:rPr>
          <w:noProof/>
        </w:rPr>
        <w:t>32.</w:t>
      </w:r>
      <w:r>
        <w:rPr>
          <w:noProof/>
        </w:rPr>
        <w:tab/>
        <w:t>Fiecare parte îi transmite celeilalte părți o copie a răspunsurilor sale la întrebările adresate de comisia de arbitraj. Cealaltă parte are posibilitatea de a prezenta observații în scris cu privire la răspunsurile părții în termen de șase zile de la primirea unei astfel de copii.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 Confidențialitate</w:t>
      </w:r>
    </w:p>
    <w:p>
      <w:pPr>
        <w:rPr>
          <w:noProof/>
        </w:rPr>
      </w:pPr>
    </w:p>
    <w:p>
      <w:pPr>
        <w:rPr>
          <w:noProof/>
        </w:rPr>
      </w:pPr>
      <w:r>
        <w:rPr>
          <w:noProof/>
        </w:rPr>
        <w:t>33.</w:t>
      </w:r>
      <w:r>
        <w:rPr>
          <w:noProof/>
        </w:rPr>
        <w:tab/>
        <w:t>Fiecare parte și comisia de arbitraj tratează drept informații confidențiale orice informații care se califică drept confidențiale în temeiul regulii 33A. În cazul în care una dintre părți îi prezintă comisiei de arbitraj o comunicare scrisă care conține informații confidențiale, aceasta furnizează de asemenea, în termen de 15 zile, o comunicare fără informații confidențiale, care se poate pune la dispoziția publicului.</w:t>
      </w:r>
    </w:p>
    <w:p>
      <w:pPr>
        <w:rPr>
          <w:noProof/>
        </w:rPr>
      </w:pPr>
    </w:p>
    <w:p>
      <w:pPr>
        <w:rPr>
          <w:noProof/>
        </w:rPr>
      </w:pPr>
      <w:r>
        <w:rPr>
          <w:noProof/>
        </w:rPr>
        <w:t>33A.</w:t>
      </w:r>
      <w:r>
        <w:rPr>
          <w:noProof/>
        </w:rPr>
        <w:tab/>
        <w:t>Informațiile confidențiale constau în:</w:t>
      </w:r>
    </w:p>
    <w:p>
      <w:pPr>
        <w:rPr>
          <w:noProof/>
        </w:rPr>
      </w:pPr>
    </w:p>
    <w:p>
      <w:pPr>
        <w:ind w:left="567" w:hanging="567"/>
        <w:rPr>
          <w:noProof/>
        </w:rPr>
      </w:pPr>
      <w:r>
        <w:rPr>
          <w:noProof/>
        </w:rPr>
        <w:t>(a)</w:t>
      </w:r>
      <w:r>
        <w:rPr>
          <w:noProof/>
        </w:rPr>
        <w:tab/>
        <w:t>informații comerciale confidențiale;</w:t>
      </w:r>
    </w:p>
    <w:p>
      <w:pPr>
        <w:ind w:left="567" w:hanging="567"/>
        <w:rPr>
          <w:noProof/>
        </w:rPr>
      </w:pPr>
    </w:p>
    <w:p>
      <w:pPr>
        <w:ind w:left="567" w:hanging="567"/>
        <w:rPr>
          <w:noProof/>
        </w:rPr>
      </w:pPr>
      <w:r>
        <w:rPr>
          <w:noProof/>
        </w:rPr>
        <w:t>(b)</w:t>
      </w:r>
      <w:r>
        <w:rPr>
          <w:noProof/>
        </w:rPr>
        <w:tab/>
        <w:t>informații care sunt protejate împotriva punerii la dispoziția publicului în temeiul prezentului acord;</w:t>
      </w:r>
    </w:p>
    <w:p>
      <w:pPr>
        <w:ind w:left="567" w:hanging="567"/>
        <w:rPr>
          <w:noProof/>
        </w:rPr>
      </w:pPr>
    </w:p>
    <w:p>
      <w:pPr>
        <w:ind w:left="567" w:hanging="567"/>
        <w:rPr>
          <w:noProof/>
        </w:rPr>
      </w:pPr>
      <w:r>
        <w:rPr>
          <w:noProof/>
        </w:rPr>
        <w:t>(c)</w:t>
      </w:r>
      <w:r>
        <w:rPr>
          <w:noProof/>
        </w:rPr>
        <w:tab/>
        <w:t xml:space="preserve">informații care sunt protejate împotriva punerii la dispoziția publicului, în cazul informațiilor părții reclamante, în conformitate cu legislația părții reclamante, iar în cazul informațiilor părții pârâte, în conformitate cu legislația părții pârâte sau </w:t>
      </w:r>
    </w:p>
    <w:p>
      <w:pPr>
        <w:ind w:left="567" w:hanging="567"/>
        <w:rPr>
          <w:noProof/>
        </w:rPr>
      </w:pPr>
    </w:p>
    <w:p>
      <w:pPr>
        <w:ind w:left="567" w:hanging="567"/>
        <w:rPr>
          <w:noProof/>
        </w:rPr>
      </w:pPr>
      <w:r>
        <w:rPr>
          <w:noProof/>
        </w:rPr>
        <w:t>(d)</w:t>
      </w:r>
      <w:r>
        <w:rPr>
          <w:noProof/>
        </w:rPr>
        <w:tab/>
        <w:t>informații a căror divulgare ar obstrucționa aplicarea legii.</w:t>
      </w:r>
    </w:p>
    <w:p>
      <w:pPr>
        <w:rPr>
          <w:noProof/>
        </w:rPr>
      </w:pPr>
    </w:p>
    <w:p>
      <w:pPr>
        <w:rPr>
          <w:noProof/>
        </w:rPr>
      </w:pPr>
      <w:r>
        <w:rPr>
          <w:noProof/>
        </w:rPr>
        <w:t>În cazul în care părțile nu sunt de acord cu privire la calificarea informațiilor drept confidențiale, comisia de arbitraj decide în acest sens, la cererea uneia dintre părți, după consultarea părților.</w:t>
      </w:r>
    </w:p>
    <w:p>
      <w:pPr>
        <w:rPr>
          <w:noProof/>
        </w:rPr>
      </w:pPr>
    </w:p>
    <w:p>
      <w:pPr>
        <w:rPr>
          <w:noProof/>
        </w:rPr>
      </w:pPr>
      <w:r>
        <w:rPr>
          <w:noProof/>
        </w:rPr>
        <w:t>34.</w:t>
      </w:r>
      <w:r>
        <w:rPr>
          <w:noProof/>
        </w:rPr>
        <w:tab/>
        <w:t>Nicio dispoziție a prezentei anexe nu împiedică vreuna dintre părți să își facă publice propriile opinii în măsura în care, atunci când face trimiteri la informațiile comunicate de cealaltă parte, nu divulgă nicio informație desemnată de cealaltă parte drept confidențială.</w:t>
      </w:r>
    </w:p>
    <w:p>
      <w:pPr>
        <w:rPr>
          <w:noProof/>
        </w:rPr>
      </w:pPr>
    </w:p>
    <w:p>
      <w:pPr>
        <w:widowControl/>
        <w:spacing w:line="240" w:lineRule="auto"/>
        <w:rPr>
          <w:noProof/>
        </w:rPr>
      </w:pPr>
      <w:r>
        <w:rPr>
          <w:noProof/>
        </w:rPr>
        <w:br w:type="page"/>
      </w:r>
    </w:p>
    <w:p>
      <w:pPr>
        <w:rPr>
          <w:noProof/>
        </w:rPr>
      </w:pPr>
      <w:r>
        <w:rPr>
          <w:noProof/>
        </w:rPr>
        <w:lastRenderedPageBreak/>
        <w:t>35.</w:t>
      </w:r>
      <w:r>
        <w:rPr>
          <w:noProof/>
        </w:rPr>
        <w:tab/>
        <w:t>Comisia de arbitraj se reunește în sesiuni închise publicului în cazul în care comunicările și pledoariile uneia dintre părți conțin informații confidențiale. Părțile păstrează caracterul confidențial al audierilor comisiei de arbitraj în cazul în care audierile se desfășoară în sesiuni închise publicului.</w:t>
      </w:r>
    </w:p>
    <w:p>
      <w:pPr>
        <w:rPr>
          <w:noProof/>
        </w:rPr>
      </w:pPr>
    </w:p>
    <w:p>
      <w:pPr>
        <w:rPr>
          <w:noProof/>
        </w:rPr>
      </w:pPr>
    </w:p>
    <w:p>
      <w:pPr>
        <w:jc w:val="center"/>
        <w:rPr>
          <w:noProof/>
        </w:rPr>
      </w:pPr>
      <w:r>
        <w:rPr>
          <w:noProof/>
        </w:rPr>
        <w:t xml:space="preserve">XI. Contacte </w:t>
      </w:r>
      <w:r>
        <w:rPr>
          <w:i/>
          <w:noProof/>
        </w:rPr>
        <w:t>ex parte</w:t>
      </w:r>
    </w:p>
    <w:p>
      <w:pPr>
        <w:rPr>
          <w:noProof/>
        </w:rPr>
      </w:pPr>
    </w:p>
    <w:p>
      <w:pPr>
        <w:rPr>
          <w:noProof/>
        </w:rPr>
      </w:pPr>
      <w:r>
        <w:rPr>
          <w:noProof/>
        </w:rPr>
        <w:t>36.</w:t>
      </w:r>
      <w:r>
        <w:rPr>
          <w:noProof/>
        </w:rPr>
        <w:tab/>
        <w:t>Comisia de arbitraj nu comunică și nu se întâlnește cu o parte în absența celeilalte părți.</w:t>
      </w:r>
    </w:p>
    <w:p>
      <w:pPr>
        <w:rPr>
          <w:noProof/>
        </w:rPr>
      </w:pPr>
    </w:p>
    <w:p>
      <w:pPr>
        <w:rPr>
          <w:noProof/>
        </w:rPr>
      </w:pPr>
      <w:r>
        <w:rPr>
          <w:noProof/>
        </w:rPr>
        <w:t>37.</w:t>
      </w:r>
      <w:r>
        <w:rPr>
          <w:noProof/>
        </w:rPr>
        <w:tab/>
        <w:t>Niciun arbitru nu poate discuta despre aspecte care fac obiectul procedurii cu una sau cu ambele părți în absența celorlalți arbitri.</w:t>
      </w:r>
    </w:p>
    <w:p>
      <w:pPr>
        <w:rPr>
          <w:noProof/>
        </w:rPr>
      </w:pPr>
    </w:p>
    <w:p>
      <w:pPr>
        <w:rPr>
          <w:noProof/>
        </w:rPr>
      </w:pPr>
      <w:r>
        <w:rPr>
          <w:noProof/>
        </w:rPr>
        <w:t>37A.</w:t>
      </w:r>
      <w:r>
        <w:rPr>
          <w:noProof/>
        </w:rPr>
        <w:tab/>
        <w:t xml:space="preserve">Niciuna dintre părți nu are niciun contact cu un arbitru. </w:t>
      </w:r>
      <w:bookmarkStart w:id="4" w:name="_Hlk134628873"/>
      <w:r>
        <w:rPr>
          <w:noProof/>
        </w:rPr>
        <w:t>Orice contact între o parte și o persoană care este luată în considerare pentru selectarea ca arbitru se limitează la aspecte legate de procesul de selecție și de numire.</w:t>
      </w:r>
    </w:p>
    <w:p>
      <w:pPr>
        <w:rPr>
          <w:noProof/>
        </w:rPr>
      </w:pPr>
    </w:p>
    <w:bookmarkEnd w:id="4"/>
    <w:p>
      <w:pPr>
        <w:rPr>
          <w:noProof/>
        </w:rPr>
      </w:pPr>
    </w:p>
    <w:p>
      <w:pPr>
        <w:jc w:val="center"/>
        <w:rPr>
          <w:noProof/>
        </w:rPr>
      </w:pPr>
      <w:r>
        <w:rPr>
          <w:noProof/>
        </w:rPr>
        <w:t xml:space="preserve">XII. Comunicări </w:t>
      </w:r>
      <w:r>
        <w:rPr>
          <w:i/>
          <w:noProof/>
        </w:rPr>
        <w:t>amicus curiae</w:t>
      </w:r>
    </w:p>
    <w:p>
      <w:pPr>
        <w:rPr>
          <w:noProof/>
        </w:rPr>
      </w:pPr>
    </w:p>
    <w:p>
      <w:pPr>
        <w:rPr>
          <w:noProof/>
        </w:rPr>
      </w:pPr>
      <w:r>
        <w:rPr>
          <w:noProof/>
        </w:rPr>
        <w:t>38.</w:t>
      </w:r>
      <w:r>
        <w:rPr>
          <w:noProof/>
        </w:rPr>
        <w:tab/>
        <w:t>Comisia de arbitraj poate primi comunicări scrise nesolicitate din partea unor persoane fizice ale uneia dintre părți sau din partea unor persoane juridice stabilite pe teritoriul uneia dintre părți, independente de guvernele părților, cu condiția ca acestea:</w:t>
      </w:r>
    </w:p>
    <w:p>
      <w:pPr>
        <w:rPr>
          <w:noProof/>
        </w:rPr>
      </w:pPr>
    </w:p>
    <w:p>
      <w:pPr>
        <w:ind w:left="567" w:hanging="567"/>
        <w:rPr>
          <w:noProof/>
        </w:rPr>
      </w:pPr>
      <w:r>
        <w:rPr>
          <w:noProof/>
        </w:rPr>
        <w:t>(a)</w:t>
      </w:r>
      <w:r>
        <w:rPr>
          <w:noProof/>
        </w:rPr>
        <w:tab/>
        <w:t>să fie primite de comisia de arbitraj până la o dată stabilită de comisia de arbitraj, care nu poate fi ulterioară datei stabilite pentru prima comunicare scrisă a părții pârâte;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să fie concise și, în niciun caz, să nu depășească 15 pagini, inclusiv anexele, redactate folosind spațiere dublă;</w:t>
      </w:r>
    </w:p>
    <w:p>
      <w:pPr>
        <w:ind w:left="567" w:hanging="567"/>
        <w:rPr>
          <w:noProof/>
        </w:rPr>
      </w:pPr>
    </w:p>
    <w:p>
      <w:pPr>
        <w:ind w:left="567" w:hanging="567"/>
        <w:rPr>
          <w:noProof/>
        </w:rPr>
      </w:pPr>
      <w:r>
        <w:rPr>
          <w:noProof/>
        </w:rPr>
        <w:t>(c)</w:t>
      </w:r>
      <w:r>
        <w:rPr>
          <w:noProof/>
        </w:rPr>
        <w:tab/>
        <w:t>să fie direct relevante pentru un fapt sau un aspect juridic examinat de comisia de arbitraj, iar persoana fizică sau juridică în cauză să explice modul în care comunicarea ar ajuta comisia de arbitraj să stabilească un astfel de fapt sau aspect juridic prin prezentarea unei perspective, a unor cunoștințe specifice sau a unei viziuni diferite de cea a părților;</w:t>
      </w:r>
    </w:p>
    <w:p>
      <w:pPr>
        <w:ind w:left="567" w:hanging="567"/>
        <w:rPr>
          <w:noProof/>
        </w:rPr>
      </w:pPr>
    </w:p>
    <w:p>
      <w:pPr>
        <w:ind w:left="567" w:hanging="567"/>
        <w:rPr>
          <w:noProof/>
        </w:rPr>
      </w:pPr>
      <w:r>
        <w:rPr>
          <w:noProof/>
        </w:rPr>
        <w:t>(d)</w:t>
      </w:r>
      <w:r>
        <w:rPr>
          <w:noProof/>
        </w:rPr>
        <w:tab/>
        <w:t>să conțină o descriere a persoanei care transmite comunicarea, inclusiv, în cazul unei persoane fizice, cetățenia, iar în cazul unei persoane juridice, locul de stabilire, natura activităților sale, forma juridică, obiectivele sale generale și sursa sa de finanțare;</w:t>
      </w:r>
    </w:p>
    <w:p>
      <w:pPr>
        <w:ind w:left="567" w:hanging="567"/>
        <w:rPr>
          <w:noProof/>
        </w:rPr>
      </w:pPr>
    </w:p>
    <w:p>
      <w:pPr>
        <w:ind w:left="567" w:hanging="567"/>
        <w:rPr>
          <w:noProof/>
        </w:rPr>
      </w:pPr>
      <w:r>
        <w:rPr>
          <w:noProof/>
        </w:rPr>
        <w:t>(e)</w:t>
      </w:r>
      <w:r>
        <w:rPr>
          <w:noProof/>
        </w:rPr>
        <w:tab/>
        <w:t>să precizeze natura interesului pe care persoana respectivă îl are în legătură cu procedura de arbitraj și</w:t>
      </w:r>
    </w:p>
    <w:p>
      <w:pPr>
        <w:ind w:left="567" w:hanging="567"/>
        <w:rPr>
          <w:noProof/>
        </w:rPr>
      </w:pPr>
    </w:p>
    <w:p>
      <w:pPr>
        <w:ind w:left="567" w:hanging="567"/>
        <w:rPr>
          <w:noProof/>
        </w:rPr>
      </w:pPr>
      <w:r>
        <w:rPr>
          <w:noProof/>
        </w:rPr>
        <w:t>(f)</w:t>
      </w:r>
      <w:r>
        <w:rPr>
          <w:noProof/>
        </w:rPr>
        <w:tab/>
        <w:t>să fie redactate în limba de lucru stabilită în conformitate cu regula 42 din prezenta anexă.</w:t>
      </w:r>
    </w:p>
    <w:p>
      <w:pPr>
        <w:rPr>
          <w:noProof/>
        </w:rPr>
      </w:pPr>
    </w:p>
    <w:p>
      <w:pPr>
        <w:rPr>
          <w:noProof/>
        </w:rPr>
      </w:pPr>
      <w:r>
        <w:rPr>
          <w:noProof/>
        </w:rPr>
        <w:t>Părțile pot conveni să modifice condițiile de la literele (a)-(f) în termen de cinci zile de la data instituirii comisiei de arbitraj.</w:t>
      </w:r>
    </w:p>
    <w:p>
      <w:pPr>
        <w:rPr>
          <w:noProof/>
        </w:rPr>
      </w:pPr>
    </w:p>
    <w:p>
      <w:pPr>
        <w:rPr>
          <w:noProof/>
        </w:rPr>
      </w:pPr>
      <w:r>
        <w:rPr>
          <w:noProof/>
        </w:rPr>
        <w:t>39.</w:t>
      </w:r>
      <w:r>
        <w:rPr>
          <w:noProof/>
        </w:rPr>
        <w:tab/>
        <w:t>Comunicările se notifică părților pentru ca acestea să își poată transmite observațiile. Părțile pot prezenta observații comisiei de arbitraj în termen de 10 zile de la data primirii acestora.</w:t>
      </w:r>
    </w:p>
    <w:p>
      <w:pPr>
        <w:rPr>
          <w:noProof/>
        </w:rPr>
      </w:pPr>
    </w:p>
    <w:p>
      <w:pPr>
        <w:rPr>
          <w:noProof/>
        </w:rPr>
      </w:pPr>
      <w:r>
        <w:rPr>
          <w:noProof/>
        </w:rPr>
        <w:t>40.</w:t>
      </w:r>
      <w:r>
        <w:rPr>
          <w:noProof/>
        </w:rPr>
        <w:tab/>
        <w:t>Comisia de arbitraj menționează, în raportul său, toate comunicările primite în conformitate cu regula 38 din prezenta anexă. Comisia de arbitraj nu este obligată să abordeze, în raportul său, argumentele formulate în comunicările respective. În cazul în care comisia de arbitraj abordează argumentele formulate în cadrul lor, aceasta ține seama și de eventualele observații formulate de părți în temeiul regulii 39 din prezenta anexă.</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XIII. Cazuri de urgență</w:t>
      </w:r>
    </w:p>
    <w:p>
      <w:pPr>
        <w:rPr>
          <w:noProof/>
        </w:rPr>
      </w:pPr>
    </w:p>
    <w:p>
      <w:pPr>
        <w:rPr>
          <w:noProof/>
        </w:rPr>
      </w:pPr>
      <w:r>
        <w:rPr>
          <w:noProof/>
        </w:rPr>
        <w:t>41.</w:t>
      </w:r>
      <w:r>
        <w:rPr>
          <w:noProof/>
        </w:rPr>
        <w:tab/>
        <w:t>În cazurile de urgență menționate la articolul 22.11, după consultarea părților, comisia de arbitraj ajustează, după caz, termenele prevăzute în prezenta anexă. Comisia de arbitraj le notifică părților aceste ajustări.</w:t>
      </w:r>
    </w:p>
    <w:p>
      <w:pPr>
        <w:rPr>
          <w:noProof/>
        </w:rPr>
      </w:pPr>
    </w:p>
    <w:p>
      <w:pPr>
        <w:rPr>
          <w:noProof/>
        </w:rPr>
      </w:pPr>
    </w:p>
    <w:p>
      <w:pPr>
        <w:jc w:val="center"/>
        <w:rPr>
          <w:noProof/>
        </w:rPr>
      </w:pPr>
      <w:r>
        <w:rPr>
          <w:noProof/>
        </w:rPr>
        <w:t>XIV. Traduceri și interpretariat</w:t>
      </w:r>
    </w:p>
    <w:p>
      <w:pPr>
        <w:rPr>
          <w:noProof/>
        </w:rPr>
      </w:pPr>
    </w:p>
    <w:p>
      <w:pPr>
        <w:rPr>
          <w:noProof/>
        </w:rPr>
      </w:pPr>
      <w:r>
        <w:rPr>
          <w:noProof/>
        </w:rPr>
        <w:t>42.</w:t>
      </w:r>
      <w:r>
        <w:rPr>
          <w:noProof/>
        </w:rPr>
        <w:tab/>
        <w:t>În cadrul consultărilor menționate la articolul 22.4 și cel târziu până la reuniunea menționată la regula 9 din prezenta anexă, părțile depun eforturi pentru a ajunge la un acord în privința unei limbi de lucru care să fie utilizată în cadrul procedurii desfășurate înaintea comisiei de arbitraj. În cazul în care părțile nu reușesc să ajungă la un acord în privința unei limbi de lucru, limba de lucru pentru procedura de arbitraj este limba în care a fost negociat acordul.</w:t>
      </w:r>
    </w:p>
    <w:p>
      <w:pPr>
        <w:rPr>
          <w:noProof/>
        </w:rPr>
      </w:pPr>
    </w:p>
    <w:p>
      <w:pPr>
        <w:rPr>
          <w:noProof/>
        </w:rPr>
      </w:pPr>
      <w:r>
        <w:rPr>
          <w:noProof/>
        </w:rPr>
        <w:t>43.</w:t>
      </w:r>
      <w:r>
        <w:rPr>
          <w:noProof/>
        </w:rPr>
        <w:tab/>
        <w:t>În cazul în care una dintre părți prezintă un document într-o limbă care nu este limba de lucru, aceasta prezintă în același timp o traducere a acestuia într-o limbă de lucru, pe cheltuiala proprie.</w:t>
      </w:r>
    </w:p>
    <w:p>
      <w:pPr>
        <w:rPr>
          <w:noProof/>
        </w:rPr>
      </w:pPr>
    </w:p>
    <w:p>
      <w:pPr>
        <w:rPr>
          <w:noProof/>
        </w:rPr>
      </w:pPr>
      <w:r>
        <w:rPr>
          <w:noProof/>
        </w:rPr>
        <w:t>44.</w:t>
      </w:r>
      <w:r>
        <w:rPr>
          <w:noProof/>
        </w:rPr>
        <w:tab/>
        <w:t>Rapoartele și deciziile comisiei de arbitraj se redactează în limba de lucru.</w:t>
      </w:r>
    </w:p>
    <w:p>
      <w:pPr>
        <w:rPr>
          <w:noProof/>
        </w:rPr>
      </w:pPr>
    </w:p>
    <w:p>
      <w:pPr>
        <w:rPr>
          <w:noProof/>
        </w:rPr>
      </w:pPr>
      <w:r>
        <w:rPr>
          <w:noProof/>
        </w:rPr>
        <w:t>45.</w:t>
      </w:r>
      <w:r>
        <w:rPr>
          <w:noProof/>
        </w:rPr>
        <w:tab/>
        <w:t>Oricare dintre părți poate prezenta observații cu privire la exactitatea traducerii oricărui document în limba de lucru, în conformitate cu regula 43.</w:t>
      </w:r>
    </w:p>
    <w:p>
      <w:pPr>
        <w:rPr>
          <w:noProof/>
        </w:rPr>
      </w:pPr>
    </w:p>
    <w:p>
      <w:pPr>
        <w:rPr>
          <w:noProof/>
        </w:rPr>
      </w:pPr>
    </w:p>
    <w:p>
      <w:pPr>
        <w:jc w:val="center"/>
        <w:rPr>
          <w:noProof/>
        </w:rPr>
      </w:pPr>
      <w:r>
        <w:rPr>
          <w:noProof/>
        </w:rPr>
        <w:t>XV. Alte proceduri</w:t>
      </w:r>
    </w:p>
    <w:p>
      <w:pPr>
        <w:rPr>
          <w:noProof/>
        </w:rPr>
      </w:pPr>
    </w:p>
    <w:p>
      <w:pPr>
        <w:rPr>
          <w:noProof/>
        </w:rPr>
      </w:pPr>
      <w:r>
        <w:rPr>
          <w:noProof/>
        </w:rPr>
        <w:t>46.</w:t>
      </w:r>
      <w:r>
        <w:rPr>
          <w:noProof/>
        </w:rPr>
        <w:tab/>
        <w:t>Termenele prevăzute în prezenta anexă se ajustează pentru a corespunde termenelor speciale prevăzute pentru adoptarea unui raport sau a unei decizii de către comisia de arbitraj în cadrul procedurilor prevăzute la articolele 22.15, 22.16, 22.17, 22.18 și 22.19.</w:t>
      </w:r>
    </w:p>
    <w:p>
      <w:pPr>
        <w:rPr>
          <w:bCs/>
          <w:noProof/>
          <w:szCs w:val="24"/>
        </w:rPr>
      </w:pPr>
    </w:p>
    <w:p>
      <w:pPr>
        <w:rPr>
          <w:bCs/>
          <w:noProof/>
          <w:szCs w:val="24"/>
        </w:rPr>
      </w:pPr>
    </w:p>
    <w:p>
      <w:pPr>
        <w:jc w:val="center"/>
        <w:rPr>
          <w:bCs/>
          <w:noProof/>
          <w:szCs w:val="24"/>
        </w:rPr>
      </w:pPr>
      <w:r>
        <w:rPr>
          <w:noProof/>
        </w:rPr>
        <w:t>________________</w:t>
      </w:r>
    </w:p>
    <w:p>
      <w:pPr>
        <w:rPr>
          <w:bCs/>
          <w:noProof/>
          <w:szCs w:val="24"/>
        </w:rPr>
      </w:pPr>
    </w:p>
    <w:p>
      <w:pPr>
        <w:rPr>
          <w:bCs/>
          <w:noProof/>
          <w:szCs w:val="24"/>
        </w:rPr>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22-B</w:t>
      </w:r>
    </w:p>
    <w:p>
      <w:pPr>
        <w:rPr>
          <w:noProof/>
        </w:rPr>
      </w:pPr>
    </w:p>
    <w:p>
      <w:pPr>
        <w:rPr>
          <w:noProof/>
        </w:rPr>
      </w:pPr>
    </w:p>
    <w:p>
      <w:pPr>
        <w:jc w:val="center"/>
        <w:rPr>
          <w:noProof/>
        </w:rPr>
      </w:pPr>
      <w:r>
        <w:rPr>
          <w:noProof/>
        </w:rPr>
        <w:t>CODUL DE CONDUITĂ PENTRU ARBITRI ȘI MEDIATORI</w:t>
      </w:r>
    </w:p>
    <w:p>
      <w:pPr>
        <w:jc w:val="center"/>
        <w:rPr>
          <w:noProof/>
        </w:rPr>
      </w:pPr>
    </w:p>
    <w:p>
      <w:pPr>
        <w:jc w:val="center"/>
        <w:rPr>
          <w:noProof/>
        </w:rPr>
      </w:pPr>
    </w:p>
    <w:p>
      <w:pPr>
        <w:jc w:val="center"/>
        <w:rPr>
          <w:noProof/>
        </w:rPr>
      </w:pPr>
      <w:r>
        <w:rPr>
          <w:noProof/>
        </w:rPr>
        <w:t>I. Principii directoare</w:t>
      </w:r>
    </w:p>
    <w:p>
      <w:pPr>
        <w:rPr>
          <w:noProof/>
        </w:rPr>
      </w:pPr>
    </w:p>
    <w:p>
      <w:pPr>
        <w:rPr>
          <w:noProof/>
        </w:rPr>
      </w:pPr>
      <w:r>
        <w:rPr>
          <w:noProof/>
        </w:rPr>
        <w:t>1.</w:t>
      </w:r>
      <w:r>
        <w:rPr>
          <w:noProof/>
        </w:rPr>
        <w:tab/>
        <w:t>Pentru a menține integritatea și imparțialitatea mecanismului de soluționare a litigiilor, fiecare candidat și arbitru:</w:t>
      </w:r>
    </w:p>
    <w:p>
      <w:pPr>
        <w:rPr>
          <w:noProof/>
        </w:rPr>
      </w:pPr>
    </w:p>
    <w:p>
      <w:pPr>
        <w:ind w:left="567" w:hanging="567"/>
        <w:rPr>
          <w:noProof/>
        </w:rPr>
      </w:pPr>
      <w:r>
        <w:rPr>
          <w:noProof/>
        </w:rPr>
        <w:t>(a)</w:t>
      </w:r>
      <w:r>
        <w:rPr>
          <w:noProof/>
        </w:rPr>
        <w:tab/>
        <w:t>se familiarizează cu prezenta anexă;</w:t>
      </w:r>
    </w:p>
    <w:p>
      <w:pPr>
        <w:ind w:left="567" w:hanging="567"/>
        <w:rPr>
          <w:noProof/>
        </w:rPr>
      </w:pPr>
    </w:p>
    <w:p>
      <w:pPr>
        <w:ind w:left="567" w:hanging="567"/>
        <w:rPr>
          <w:noProof/>
        </w:rPr>
      </w:pPr>
      <w:r>
        <w:rPr>
          <w:noProof/>
        </w:rPr>
        <w:t>(b)</w:t>
      </w:r>
      <w:r>
        <w:rPr>
          <w:noProof/>
        </w:rPr>
        <w:tab/>
        <w:t>este independent și imparțial;</w:t>
      </w:r>
    </w:p>
    <w:p>
      <w:pPr>
        <w:ind w:left="567" w:hanging="567"/>
        <w:rPr>
          <w:noProof/>
        </w:rPr>
      </w:pPr>
    </w:p>
    <w:p>
      <w:pPr>
        <w:ind w:left="567" w:hanging="567"/>
        <w:rPr>
          <w:noProof/>
        </w:rPr>
      </w:pPr>
      <w:r>
        <w:rPr>
          <w:noProof/>
        </w:rPr>
        <w:t>(c)</w:t>
      </w:r>
      <w:r>
        <w:rPr>
          <w:noProof/>
        </w:rPr>
        <w:tab/>
        <w:t>evită orice conflicte de interese directe sau indirecte;</w:t>
      </w:r>
    </w:p>
    <w:p>
      <w:pPr>
        <w:ind w:left="567" w:hanging="567"/>
        <w:rPr>
          <w:noProof/>
        </w:rPr>
      </w:pPr>
    </w:p>
    <w:p>
      <w:pPr>
        <w:ind w:left="567" w:hanging="567"/>
        <w:rPr>
          <w:noProof/>
        </w:rPr>
      </w:pPr>
      <w:r>
        <w:rPr>
          <w:noProof/>
        </w:rPr>
        <w:t>(d)</w:t>
      </w:r>
      <w:r>
        <w:rPr>
          <w:noProof/>
        </w:rPr>
        <w:tab/>
        <w:t>evită orice încălcare a deontologiei sau situație de lipsă de imparțialitate și orice aparență de încălcare a deontologiei sau de lipsă de imparțialitate;</w:t>
      </w:r>
    </w:p>
    <w:p>
      <w:pPr>
        <w:ind w:left="567" w:hanging="567"/>
        <w:rPr>
          <w:noProof/>
        </w:rPr>
      </w:pPr>
    </w:p>
    <w:p>
      <w:pPr>
        <w:ind w:left="567" w:hanging="567"/>
        <w:rPr>
          <w:noProof/>
        </w:rPr>
      </w:pPr>
      <w:r>
        <w:rPr>
          <w:noProof/>
        </w:rPr>
        <w:t>(e)</w:t>
      </w:r>
      <w:r>
        <w:rPr>
          <w:noProof/>
        </w:rPr>
        <w:tab/>
        <w:t>respectă standarde înalte de conduită; și</w:t>
      </w:r>
    </w:p>
    <w:p>
      <w:pPr>
        <w:ind w:left="567" w:hanging="567"/>
        <w:rPr>
          <w:noProof/>
        </w:rPr>
      </w:pPr>
    </w:p>
    <w:p>
      <w:pPr>
        <w:ind w:left="567" w:hanging="567"/>
        <w:rPr>
          <w:noProof/>
        </w:rPr>
      </w:pPr>
      <w:r>
        <w:rPr>
          <w:noProof/>
        </w:rPr>
        <w:t>(f)</w:t>
      </w:r>
      <w:r>
        <w:rPr>
          <w:noProof/>
        </w:rPr>
        <w:tab/>
        <w:t>nu este influențat de interes personal, presiuni externe, considerente politice, opinia publică, loialitatea față de una dintre părți și teama de critici.</w:t>
      </w:r>
    </w:p>
    <w:p>
      <w:pPr>
        <w:rPr>
          <w:noProof/>
        </w:rPr>
      </w:pPr>
    </w:p>
    <w:p>
      <w:pPr>
        <w:rPr>
          <w:noProof/>
        </w:rPr>
      </w:pPr>
      <w:r>
        <w:rPr>
          <w:noProof/>
        </w:rPr>
        <w:t>2.</w:t>
      </w:r>
      <w:r>
        <w:rPr>
          <w:noProof/>
        </w:rPr>
        <w:tab/>
        <w:t>Un arbitru nu își asumă, în mod direct sau indirect, nicio obligație sau nu acceptă niciun beneficiu care ar afecta în orice fel sau ar părea că afectează îndeplinirea în mod corespunzător a atribuțiilor sale.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Un arbitru nu își folosește funcția în comisia de arbitraj pentru a servi interese personale sau private. Un arbitru evită acțiunile care pot crea impresia că alte persoane se află într-o poziție specială pentru a-l influența.</w:t>
      </w:r>
    </w:p>
    <w:p>
      <w:pPr>
        <w:rPr>
          <w:noProof/>
        </w:rPr>
      </w:pPr>
    </w:p>
    <w:p>
      <w:pPr>
        <w:rPr>
          <w:noProof/>
        </w:rPr>
      </w:pPr>
      <w:r>
        <w:rPr>
          <w:noProof/>
        </w:rPr>
        <w:t>4.</w:t>
      </w:r>
      <w:r>
        <w:rPr>
          <w:noProof/>
        </w:rPr>
        <w:tab/>
        <w:t>Un arbitru nu permite ca judecata sau comportamentul său să fie influențate de relații sau responsabilități financiare, comerciale, profesionale, personale sau sociale, actuale sau anterioare.</w:t>
      </w:r>
    </w:p>
    <w:p>
      <w:pPr>
        <w:rPr>
          <w:noProof/>
        </w:rPr>
      </w:pPr>
    </w:p>
    <w:p>
      <w:pPr>
        <w:rPr>
          <w:noProof/>
        </w:rPr>
      </w:pPr>
      <w:r>
        <w:rPr>
          <w:noProof/>
        </w:rPr>
        <w:t>5.</w:t>
      </w:r>
      <w:r>
        <w:rPr>
          <w:noProof/>
        </w:rPr>
        <w:tab/>
        <w:t>Un arbitru evită să intre în orice relație sau să dobândească orice interes financiar care îi poate afecta imparțialitatea sau care poate crea, în mod rezonabil, o aparență de încălcare a deontologiei sau de lipsă de imparțialitate.</w:t>
      </w:r>
    </w:p>
    <w:p>
      <w:pPr>
        <w:rPr>
          <w:noProof/>
        </w:rPr>
      </w:pPr>
    </w:p>
    <w:p>
      <w:pPr>
        <w:rPr>
          <w:noProof/>
        </w:rPr>
      </w:pPr>
    </w:p>
    <w:p>
      <w:pPr>
        <w:jc w:val="center"/>
        <w:rPr>
          <w:noProof/>
        </w:rPr>
      </w:pPr>
      <w:r>
        <w:rPr>
          <w:noProof/>
        </w:rPr>
        <w:t>II. Obligații de informare</w:t>
      </w:r>
    </w:p>
    <w:p>
      <w:pPr>
        <w:rPr>
          <w:noProof/>
        </w:rPr>
      </w:pPr>
    </w:p>
    <w:p>
      <w:pPr>
        <w:rPr>
          <w:noProof/>
        </w:rPr>
      </w:pPr>
      <w:r>
        <w:rPr>
          <w:noProof/>
        </w:rPr>
        <w:t>6.</w:t>
      </w:r>
      <w:r>
        <w:rPr>
          <w:noProof/>
        </w:rPr>
        <w:tab/>
        <w:t>Înainte de acceptarea numirii sale ca arbitru în temeiul articolului 22.6, un candidat căruia i s-a solicitat să participe ca arbitru declară în scris părților orice interese, relații sau aspecte care i-ar putea afecta independența sau imparțialitatea sau care ar putea da naștere, în mod rezonabil, la o aparență de încălcare a deontologiei sau de lipsă de imparțialitate în cursul procedurii. În acest scop, candidatul depune toate eforturile rezonabile pentru a se informa cu privire la existența unor astfel de interese, relații și aspecte, inclusiv de ordin financiar, profesional ori legate de locul său de muncă sau de familia sa.</w:t>
      </w:r>
    </w:p>
    <w:p>
      <w:pPr>
        <w:rPr>
          <w:noProof/>
        </w:rPr>
      </w:pPr>
    </w:p>
    <w:p>
      <w:pPr>
        <w:rPr>
          <w:noProof/>
        </w:rPr>
      </w:pPr>
      <w:r>
        <w:rPr>
          <w:noProof/>
        </w:rPr>
        <w:t>7.</w:t>
      </w:r>
      <w:r>
        <w:rPr>
          <w:noProof/>
        </w:rPr>
        <w:tab/>
        <w:t>Obligația de informare în temeiul regulii 6 reprezintă o datorie permanentă, care îi impune arbitrului comunicarea oricăror astfel de interese, relații sau aspecte care ar putea apărea în orice stadiu al procedurii.</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 candidat sau un arbitru îi comunică în scris Comitetului pentru comerț, în vederea examinării de către părți, orice aspect privind încălcări efective sau potențiale ale prezentei anexe de îndată ce ia cunoștință de acestea.</w:t>
      </w:r>
    </w:p>
    <w:p>
      <w:pPr>
        <w:rPr>
          <w:noProof/>
        </w:rPr>
      </w:pPr>
    </w:p>
    <w:p>
      <w:pPr>
        <w:rPr>
          <w:noProof/>
        </w:rPr>
      </w:pPr>
    </w:p>
    <w:p>
      <w:pPr>
        <w:jc w:val="center"/>
        <w:rPr>
          <w:noProof/>
        </w:rPr>
      </w:pPr>
      <w:r>
        <w:rPr>
          <w:noProof/>
        </w:rPr>
        <w:t>III. Atribuțiile arbitrilor</w:t>
      </w:r>
    </w:p>
    <w:p>
      <w:pPr>
        <w:rPr>
          <w:noProof/>
        </w:rPr>
      </w:pPr>
    </w:p>
    <w:p>
      <w:pPr>
        <w:rPr>
          <w:noProof/>
        </w:rPr>
      </w:pPr>
      <w:r>
        <w:rPr>
          <w:noProof/>
        </w:rPr>
        <w:t>9.</w:t>
      </w:r>
      <w:r>
        <w:rPr>
          <w:noProof/>
        </w:rPr>
        <w:tab/>
        <w:t>După acceptarea numirii sale, un arbitru este disponibil să își îndeplinească atribuțiile și le îndeplinește cu minuțiozitate și promptitudine pe întreaga durată a procedurii, în mod onest și cu profesionalism.</w:t>
      </w:r>
    </w:p>
    <w:p>
      <w:pPr>
        <w:rPr>
          <w:noProof/>
        </w:rPr>
      </w:pPr>
    </w:p>
    <w:p>
      <w:pPr>
        <w:rPr>
          <w:noProof/>
        </w:rPr>
      </w:pPr>
      <w:r>
        <w:rPr>
          <w:noProof/>
        </w:rPr>
        <w:t>10.</w:t>
      </w:r>
      <w:r>
        <w:rPr>
          <w:noProof/>
        </w:rPr>
        <w:tab/>
        <w:t>Un arbitru analizează doar aspectele care sunt ridicate în cadrul procedurii și care sunt necesare în vederea adoptării unei decizii sau a unui raport. Un arbitru nu poate delega această atribuție niciunei alte persoane, cu excepția cazurilor prevăzute la regula 12 din anexa 22-A (Regulamentul de procedură).</w:t>
      </w:r>
    </w:p>
    <w:p>
      <w:pPr>
        <w:rPr>
          <w:noProof/>
        </w:rPr>
      </w:pPr>
    </w:p>
    <w:p>
      <w:pPr>
        <w:rPr>
          <w:noProof/>
        </w:rPr>
      </w:pPr>
      <w:r>
        <w:rPr>
          <w:noProof/>
        </w:rPr>
        <w:t>11.</w:t>
      </w:r>
      <w:r>
        <w:rPr>
          <w:noProof/>
        </w:rPr>
        <w:tab/>
        <w:t>Un arbitru ia toate măsurile necesare pentru a se asigura că asistenții săi și personalul său administrativ cunosc și respectă obligațiile arbitrilor stabilite în părțile I, II, III, IV și V din prezenta anexă.</w:t>
      </w:r>
    </w:p>
    <w:p>
      <w:pPr>
        <w:rPr>
          <w:noProof/>
        </w:rPr>
      </w:pPr>
    </w:p>
    <w:p>
      <w:pPr>
        <w:rPr>
          <w:noProof/>
        </w:rPr>
      </w:pPr>
    </w:p>
    <w:p>
      <w:pPr>
        <w:jc w:val="center"/>
        <w:rPr>
          <w:noProof/>
        </w:rPr>
      </w:pPr>
      <w:r>
        <w:rPr>
          <w:noProof/>
        </w:rPr>
        <w:t>IV. Obligațiile foștilor arbitri</w:t>
      </w:r>
    </w:p>
    <w:p>
      <w:pPr>
        <w:rPr>
          <w:noProof/>
        </w:rPr>
      </w:pPr>
    </w:p>
    <w:p>
      <w:pPr>
        <w:rPr>
          <w:noProof/>
        </w:rPr>
      </w:pPr>
      <w:r>
        <w:rPr>
          <w:noProof/>
        </w:rPr>
        <w:t>12.</w:t>
      </w:r>
      <w:r>
        <w:rPr>
          <w:noProof/>
        </w:rPr>
        <w:tab/>
        <w:t>Fiecare fost arbitru trebuie să evite acțiunile care ar putea crea aparența că a favorizat una dintre părți în îndeplinirea atribuțiilor sale sau că a obținut vreun beneficiu în urma oricărei decizii sau a oricărui raport al comisiei de arbitraj.</w:t>
      </w:r>
    </w:p>
    <w:p>
      <w:pPr>
        <w:rPr>
          <w:noProof/>
        </w:rPr>
      </w:pPr>
    </w:p>
    <w:p>
      <w:pPr>
        <w:rPr>
          <w:noProof/>
        </w:rPr>
      </w:pPr>
      <w:r>
        <w:rPr>
          <w:noProof/>
        </w:rPr>
        <w:t>13.</w:t>
      </w:r>
      <w:r>
        <w:rPr>
          <w:noProof/>
        </w:rPr>
        <w:tab/>
        <w:t>Fiecare fost arbitru respectă obligațiile prevăzute în partea V din prezenta anexă.</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 Confidențialitate</w:t>
      </w:r>
    </w:p>
    <w:p>
      <w:pPr>
        <w:rPr>
          <w:noProof/>
        </w:rPr>
      </w:pPr>
    </w:p>
    <w:p>
      <w:pPr>
        <w:rPr>
          <w:noProof/>
        </w:rPr>
      </w:pPr>
      <w:r>
        <w:rPr>
          <w:noProof/>
        </w:rPr>
        <w:t>14.</w:t>
      </w:r>
      <w:r>
        <w:rPr>
          <w:noProof/>
        </w:rPr>
        <w:tab/>
      </w:r>
      <w:bookmarkStart w:id="5" w:name="_Hlk223705435"/>
      <w:r>
        <w:rPr>
          <w:noProof/>
        </w:rPr>
        <w:t xml:space="preserve">Un arbitru nu divulgă, în niciun moment, informații confidențiale sau care nu sunt destinate publicului referitoare la procedură sau de care a luat cunoștință în cadrul procedurii pentru care a fost desemnat arbitrul respectiv. </w:t>
      </w:r>
      <w:bookmarkEnd w:id="5"/>
      <w:r>
        <w:rPr>
          <w:noProof/>
        </w:rPr>
        <w:t>Un arbitru nu divulgă, în niciun caz, nici nu utilizează astfel de informații pentru a dobândi avantaje personale, pentru a favoriza alte persoane sau pentru a influența în mod negativ interesele altora.</w:t>
      </w:r>
    </w:p>
    <w:p>
      <w:pPr>
        <w:rPr>
          <w:noProof/>
        </w:rPr>
      </w:pPr>
    </w:p>
    <w:p>
      <w:pPr>
        <w:rPr>
          <w:noProof/>
        </w:rPr>
      </w:pPr>
      <w:r>
        <w:rPr>
          <w:noProof/>
        </w:rPr>
        <w:t>15.</w:t>
      </w:r>
      <w:r>
        <w:rPr>
          <w:noProof/>
        </w:rPr>
        <w:tab/>
        <w:t>Un arbitru nu dezvăluie nicio decizie și niciun raport ale comisiei de arbitraj sau părți ale acestora înainte de publicarea lor în conformitate cu capitolul 22 (Soluționarea litigiilor).</w:t>
      </w:r>
    </w:p>
    <w:p>
      <w:pPr>
        <w:rPr>
          <w:noProof/>
        </w:rPr>
      </w:pPr>
    </w:p>
    <w:p>
      <w:pPr>
        <w:rPr>
          <w:noProof/>
        </w:rPr>
      </w:pPr>
      <w:r>
        <w:rPr>
          <w:noProof/>
        </w:rPr>
        <w:t>16.</w:t>
      </w:r>
      <w:r>
        <w:rPr>
          <w:noProof/>
        </w:rPr>
        <w:tab/>
        <w:t>Un arbitru nu divulgă, în niciun moment, conținutul deliberărilor unei comisii de arbitraj sau opiniile vreunui arbitru și nici nu face vreo declarație publică referitoare la procedura pentru care a fost desemnat arbitrul respectiv sau referitoare la aspectele care fac obiectul litigiului în cadrul procedurii, cu excepția cazului în care acest lucru este prevăzut de lege.</w:t>
      </w:r>
    </w:p>
    <w:p>
      <w:pPr>
        <w:rPr>
          <w:noProof/>
        </w:rPr>
      </w:pPr>
    </w:p>
    <w:p>
      <w:pPr>
        <w:rPr>
          <w:noProof/>
        </w:rPr>
      </w:pPr>
    </w:p>
    <w:p>
      <w:pPr>
        <w:jc w:val="center"/>
        <w:rPr>
          <w:noProof/>
        </w:rPr>
      </w:pPr>
      <w:r>
        <w:rPr>
          <w:noProof/>
        </w:rPr>
        <w:t>VI. Cheltuieli</w:t>
      </w:r>
    </w:p>
    <w:p>
      <w:pPr>
        <w:rPr>
          <w:noProof/>
        </w:rPr>
      </w:pPr>
    </w:p>
    <w:p>
      <w:pPr>
        <w:rPr>
          <w:noProof/>
        </w:rPr>
      </w:pPr>
      <w:r>
        <w:rPr>
          <w:noProof/>
        </w:rPr>
        <w:t>17.</w:t>
      </w:r>
      <w:r>
        <w:rPr>
          <w:noProof/>
        </w:rPr>
        <w:tab/>
        <w:t>Fiecare arbitru păstrează o evidență și întocmește un raport final cu privire la timpul dedicat procedurii și la cheltuielile suportate, precum și cu privire la timpul alocat și la cheltuielile suportate de asistenții și de personalul său administrativ.</w:t>
      </w:r>
    </w:p>
    <w:p>
      <w:pPr>
        <w:rPr>
          <w:noProof/>
        </w:rPr>
      </w:pPr>
    </w:p>
    <w:p>
      <w:pPr>
        <w:rPr>
          <w:noProof/>
        </w:rPr>
      </w:pPr>
    </w:p>
    <w:p>
      <w:pPr>
        <w:jc w:val="center"/>
        <w:rPr>
          <w:noProof/>
        </w:rPr>
      </w:pPr>
      <w:r>
        <w:rPr>
          <w:noProof/>
        </w:rPr>
        <w:t>VII. Mediatori</w:t>
      </w:r>
    </w:p>
    <w:p>
      <w:pPr>
        <w:rPr>
          <w:noProof/>
        </w:rPr>
      </w:pPr>
    </w:p>
    <w:p>
      <w:pPr>
        <w:rPr>
          <w:noProof/>
        </w:rPr>
      </w:pPr>
      <w:r>
        <w:rPr>
          <w:noProof/>
        </w:rPr>
        <w:t>18.</w:t>
      </w:r>
      <w:r>
        <w:rPr>
          <w:noProof/>
        </w:rPr>
        <w:tab/>
        <w:t xml:space="preserve">Prezenta anexă li se aplică </w:t>
      </w:r>
      <w:r>
        <w:rPr>
          <w:i/>
          <w:noProof/>
        </w:rPr>
        <w:t>mutatis mutandis</w:t>
      </w:r>
      <w:r>
        <w:rPr>
          <w:noProof/>
        </w:rPr>
        <w:t xml:space="preserve"> mediatorilor.</w:t>
      </w:r>
    </w:p>
    <w:p>
      <w:pPr>
        <w:rPr>
          <w:noProof/>
        </w:rPr>
      </w:pPr>
    </w:p>
    <w:p>
      <w:pPr>
        <w:rPr>
          <w:noProof/>
        </w:rPr>
      </w:pPr>
    </w:p>
    <w:p>
      <w:pPr>
        <w:jc w:val="center"/>
        <w:rPr>
          <w:bCs/>
          <w:noProof/>
          <w:szCs w:val="24"/>
        </w:rPr>
      </w:pPr>
      <w:r>
        <w:rPr>
          <w:noProof/>
        </w:rPr>
        <w:t>________________</w:t>
      </w:r>
    </w:p>
    <w:p>
      <w:pPr>
        <w:rPr>
          <w:bCs/>
          <w:noProof/>
          <w:szCs w:val="24"/>
        </w:rPr>
      </w:pPr>
    </w:p>
    <w:p>
      <w:pPr>
        <w:rPr>
          <w:bCs/>
          <w:noProof/>
          <w:szCs w:val="24"/>
        </w:rPr>
        <w:sectPr>
          <w:headerReference w:type="default" r:id="rId37"/>
          <w:footerReference w:type="default" r:id="rId3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25-A</w:t>
      </w:r>
    </w:p>
    <w:p>
      <w:pPr>
        <w:rPr>
          <w:noProof/>
        </w:rPr>
      </w:pPr>
    </w:p>
    <w:p>
      <w:pPr>
        <w:rPr>
          <w:noProof/>
        </w:rPr>
      </w:pPr>
    </w:p>
    <w:p>
      <w:pPr>
        <w:jc w:val="center"/>
        <w:rPr>
          <w:noProof/>
        </w:rPr>
      </w:pPr>
      <w:r>
        <w:rPr>
          <w:noProof/>
        </w:rPr>
        <w:t xml:space="preserve">DECLARAȚIE COMUNĂ PRIVIND UNIUNILE VAMALE </w:t>
      </w:r>
      <w:r>
        <w:rPr>
          <w:noProof/>
        </w:rPr>
        <w:br/>
        <w:t>ÎN TEMEIUL CAPITOLULUI 25</w:t>
      </w:r>
    </w:p>
    <w:p>
      <w:pPr>
        <w:rPr>
          <w:noProof/>
        </w:rPr>
      </w:pPr>
    </w:p>
    <w:p>
      <w:pPr>
        <w:rPr>
          <w:noProof/>
        </w:rPr>
      </w:pPr>
      <w:r>
        <w:rPr>
          <w:noProof/>
        </w:rPr>
        <w:t>1.</w:t>
      </w:r>
      <w:r>
        <w:rPr>
          <w:noProof/>
        </w:rPr>
        <w:tab/>
        <w:t>Uniunea reamintește obligația țărilor care au stabilit o uniune vamală cu Uniunea de a-și alinia regimul comercial la cel al Uniunii și, în cazul unora dintre acestea, obligația de a încheia acorduri preferențiale cu țările care au acorduri preferențiale cu Uniunea.</w:t>
      </w:r>
    </w:p>
    <w:p>
      <w:pPr>
        <w:rPr>
          <w:noProof/>
        </w:rPr>
      </w:pPr>
    </w:p>
    <w:p>
      <w:pPr>
        <w:rPr>
          <w:noProof/>
        </w:rPr>
      </w:pPr>
      <w:r>
        <w:rPr>
          <w:noProof/>
        </w:rPr>
        <w:t>2.</w:t>
      </w:r>
      <w:r>
        <w:rPr>
          <w:noProof/>
        </w:rPr>
        <w:tab/>
        <w:t>În acest context și în vederea încheierii unui acord bilateral cuprinzător de instituire a unei zone de liber schimb în conformitate cu articolul XXIV din GATT 1994, părțile iau act de faptul că Indonezia începe negocierile cu acele țări:</w:t>
      </w:r>
    </w:p>
    <w:p>
      <w:pPr>
        <w:rPr>
          <w:noProof/>
        </w:rPr>
      </w:pPr>
    </w:p>
    <w:p>
      <w:pPr>
        <w:ind w:left="567" w:hanging="567"/>
        <w:rPr>
          <w:noProof/>
        </w:rPr>
      </w:pPr>
      <w:r>
        <w:rPr>
          <w:noProof/>
        </w:rPr>
        <w:t>(a)</w:t>
      </w:r>
      <w:r>
        <w:rPr>
          <w:noProof/>
        </w:rPr>
        <w:tab/>
        <w:t>care au instituit o uniune vamală cu Uniunea și</w:t>
      </w:r>
    </w:p>
    <w:p>
      <w:pPr>
        <w:ind w:left="567" w:hanging="567"/>
        <w:rPr>
          <w:noProof/>
        </w:rPr>
      </w:pPr>
    </w:p>
    <w:p>
      <w:pPr>
        <w:ind w:left="567" w:hanging="567"/>
        <w:rPr>
          <w:noProof/>
        </w:rPr>
      </w:pPr>
      <w:r>
        <w:rPr>
          <w:noProof/>
        </w:rPr>
        <w:t>(b)</w:t>
      </w:r>
      <w:r>
        <w:rPr>
          <w:noProof/>
        </w:rPr>
        <w:tab/>
        <w:t>ale căror produse nu beneficiază de concesiile tarifare prevăzute în temeiul prezentului acord.</w:t>
      </w:r>
    </w:p>
    <w:p>
      <w:pPr>
        <w:rPr>
          <w:noProof/>
        </w:rPr>
      </w:pPr>
    </w:p>
    <w:p>
      <w:pPr>
        <w:rPr>
          <w:noProof/>
        </w:rPr>
      </w:pPr>
      <w:r>
        <w:rPr>
          <w:noProof/>
        </w:rPr>
        <w:t>Indonezia începe negocierile cât mai curând posibil în vederea intrării în vigoare a acordurilor menționate anterior cât mai curând posibil după intrarea în vigoare a prezentului acord.</w:t>
      </w:r>
    </w:p>
    <w:p>
      <w:pPr>
        <w:rPr>
          <w:noProof/>
        </w:rPr>
      </w:pPr>
    </w:p>
    <w:p>
      <w:pPr>
        <w:rPr>
          <w:noProof/>
        </w:rPr>
      </w:pPr>
    </w:p>
    <w:p>
      <w:pPr>
        <w:jc w:val="center"/>
        <w:rPr>
          <w:noProof/>
        </w:rPr>
      </w:pPr>
      <w:r>
        <w:rPr>
          <w:noProof/>
        </w:rPr>
        <w:t>________________</w:t>
      </w:r>
    </w:p>
    <w:sectPr>
      <w:headerReference w:type="default" r:id="rId39"/>
      <w:footerReference w:type="default" r:id="rId40"/>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JO L, 2024/1143, 23.4.2024.</w:t>
      </w:r>
    </w:p>
  </w:footnote>
  <w:footnote w:id="2">
    <w:p>
      <w:pPr>
        <w:pStyle w:val="FootnoteText"/>
      </w:pPr>
      <w:r>
        <w:rPr>
          <w:rStyle w:val="FootnoteReference"/>
        </w:rPr>
        <w:footnoteRef/>
      </w:r>
      <w:r>
        <w:tab/>
        <w:t>JO L 347, 20.12.2013, p. 671.</w:t>
      </w:r>
    </w:p>
  </w:footnote>
  <w:footnote w:id="3">
    <w:p>
      <w:pPr>
        <w:pStyle w:val="FootnoteText"/>
      </w:pPr>
      <w:r>
        <w:rPr>
          <w:rStyle w:val="FootnoteReference"/>
        </w:rPr>
        <w:footnoteRef/>
      </w:r>
      <w:r>
        <w:tab/>
        <w:t>JO L 130, 17.5.2019, p. 1.</w:t>
      </w:r>
    </w:p>
  </w:footnote>
  <w:footnote w:id="4">
    <w:p>
      <w:pPr>
        <w:pStyle w:val="FootnoteText"/>
      </w:pPr>
      <w:r>
        <w:rPr>
          <w:rStyle w:val="FootnoteReference"/>
        </w:rPr>
        <w:footnoteRef/>
      </w:r>
      <w:r>
        <w:tab/>
        <w:t>JO L, 2023/2411, 27.10.2023.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5E7"/>
    <w:multiLevelType w:val="hybridMultilevel"/>
    <w:tmpl w:val="33A216DC"/>
    <w:lvl w:ilvl="0" w:tplc="BD783356">
      <w:start w:val="1"/>
      <w:numFmt w:val="bullet"/>
      <w:pStyle w:val="NormalCentered"/>
      <w:lvlText w:val="–"/>
      <w:lvlJc w:val="left"/>
      <w:pPr>
        <w:tabs>
          <w:tab w:val="num" w:pos="1360"/>
        </w:tabs>
        <w:ind w:left="1360" w:hanging="283"/>
      </w:pPr>
      <w:rPr>
        <w:rFonts w:ascii="Times New Roman" w:hAnsi="Times New Roman"/>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82568"/>
    <w:multiLevelType w:val="multilevel"/>
    <w:tmpl w:val="17B4BE58"/>
    <w:name w:val="NumPar"/>
    <w:lvl w:ilvl="0">
      <w:start w:val="1"/>
      <w:numFmt w:val="decimal"/>
      <w:pStyle w:val="ListDash2"/>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pStyle w:val="Text1"/>
      <w:lvlText w:val="%1.%2.%3."/>
      <w:lvlJc w:val="left"/>
      <w:pPr>
        <w:tabs>
          <w:tab w:val="num" w:pos="850"/>
        </w:tabs>
        <w:ind w:left="850" w:hanging="850"/>
      </w:pPr>
      <w:rPr>
        <w:rFonts w:cs="Times New Roman"/>
      </w:rPr>
    </w:lvl>
    <w:lvl w:ilvl="3">
      <w:start w:val="1"/>
      <w:numFmt w:val="decimal"/>
      <w:pStyle w:val="YReferences"/>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3" w15:restartNumberingAfterBreak="0">
    <w:nsid w:val="0CDA2F71"/>
    <w:multiLevelType w:val="singleLevel"/>
    <w:tmpl w:val="29C487D4"/>
    <w:lvl w:ilvl="0">
      <w:start w:val="1"/>
      <w:numFmt w:val="bullet"/>
      <w:pStyle w:val="Point2"/>
      <w:lvlText w:val="–"/>
      <w:lvlJc w:val="left"/>
      <w:pPr>
        <w:tabs>
          <w:tab w:val="num" w:pos="1984"/>
        </w:tabs>
        <w:ind w:left="1984" w:hanging="567"/>
      </w:pPr>
    </w:lvl>
  </w:abstractNum>
  <w:abstractNum w:abstractNumId="4" w15:restartNumberingAfterBreak="0">
    <w:nsid w:val="1B3C78B8"/>
    <w:multiLevelType w:val="multilevel"/>
    <w:tmpl w:val="2ED4F4D0"/>
    <w:name w:val="Point"/>
    <w:lvl w:ilvl="0">
      <w:start w:val="1"/>
      <w:numFmt w:val="decimal"/>
      <w:pStyle w:val="Point0"/>
      <w:lvlText w:val="(%1)"/>
      <w:lvlJc w:val="left"/>
      <w:pPr>
        <w:tabs>
          <w:tab w:val="num" w:pos="850"/>
        </w:tabs>
        <w:ind w:left="850" w:hanging="850"/>
      </w:pPr>
    </w:lvl>
    <w:lvl w:ilvl="1">
      <w:start w:val="1"/>
      <w:numFmt w:val="lowerLetter"/>
      <w:pStyle w:val="Point0"/>
      <w:lvlText w:val="(%2)"/>
      <w:lvlJc w:val="left"/>
      <w:pPr>
        <w:tabs>
          <w:tab w:val="num" w:pos="850"/>
        </w:tabs>
        <w:ind w:left="850" w:hanging="850"/>
      </w:pPr>
    </w:lvl>
    <w:lvl w:ilvl="2">
      <w:start w:val="1"/>
      <w:numFmt w:val="decimal"/>
      <w:pStyle w:val="TimesNewRoman12"/>
      <w:lvlText w:val="(%3)"/>
      <w:lvlJc w:val="left"/>
      <w:pPr>
        <w:tabs>
          <w:tab w:val="num" w:pos="1417"/>
        </w:tabs>
        <w:ind w:left="1417" w:hanging="567"/>
      </w:pPr>
    </w:lvl>
    <w:lvl w:ilvl="3">
      <w:start w:val="1"/>
      <w:numFmt w:val="lowerLetter"/>
      <w:pStyle w:val="TimesNewRoman12"/>
      <w:lvlText w:val="(%4)"/>
      <w:lvlJc w:val="left"/>
      <w:pPr>
        <w:tabs>
          <w:tab w:val="num" w:pos="1417"/>
        </w:tabs>
        <w:ind w:left="1417" w:hanging="567"/>
      </w:pPr>
    </w:lvl>
    <w:lvl w:ilvl="4">
      <w:start w:val="1"/>
      <w:numFmt w:val="decimal"/>
      <w:pStyle w:val="Default"/>
      <w:lvlText w:val="(%5)"/>
      <w:lvlJc w:val="left"/>
      <w:pPr>
        <w:tabs>
          <w:tab w:val="num" w:pos="1984"/>
        </w:tabs>
        <w:ind w:left="1984" w:hanging="567"/>
      </w:pPr>
    </w:lvl>
    <w:lvl w:ilvl="5">
      <w:start w:val="1"/>
      <w:numFmt w:val="lowerLetter"/>
      <w:pStyle w:val="Default"/>
      <w:lvlText w:val="(%6)"/>
      <w:lvlJc w:val="left"/>
      <w:pPr>
        <w:tabs>
          <w:tab w:val="num" w:pos="1984"/>
        </w:tabs>
        <w:ind w:left="1984" w:hanging="567"/>
      </w:pPr>
    </w:lvl>
    <w:lvl w:ilvl="6">
      <w:start w:val="1"/>
      <w:numFmt w:val="decimal"/>
      <w:pStyle w:val="Tiret0"/>
      <w:lvlText w:val="(%7)"/>
      <w:lvlJc w:val="left"/>
      <w:pPr>
        <w:tabs>
          <w:tab w:val="num" w:pos="2551"/>
        </w:tabs>
        <w:ind w:left="2551" w:hanging="567"/>
      </w:pPr>
    </w:lvl>
    <w:lvl w:ilvl="7">
      <w:start w:val="1"/>
      <w:numFmt w:val="lowerLetter"/>
      <w:pStyle w:val="Tiret0"/>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D918D1"/>
    <w:multiLevelType w:val="multilevel"/>
    <w:tmpl w:val="1B38BCA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248F4748"/>
    <w:multiLevelType w:val="hybridMultilevel"/>
    <w:tmpl w:val="C568ACDE"/>
    <w:lvl w:ilvl="0" w:tplc="2736CEA8">
      <w:start w:val="1"/>
      <w:numFmt w:val="bullet"/>
      <w:pStyle w:val="NormalWeb8"/>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24EF1C6B"/>
    <w:multiLevelType w:val="hybridMultilevel"/>
    <w:tmpl w:val="399C7D20"/>
    <w:lvl w:ilvl="0" w:tplc="6BF890A2">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1" w15:restartNumberingAfterBreak="0">
    <w:nsid w:val="38223C42"/>
    <w:multiLevelType w:val="hybridMultilevel"/>
    <w:tmpl w:val="FA18FDF2"/>
    <w:lvl w:ilvl="0" w:tplc="0409000F">
      <w:start w:val="1"/>
      <w:numFmt w:val="decimal"/>
      <w:pStyle w:val="Point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3" w15:restartNumberingAfterBreak="0">
    <w:nsid w:val="3A7730C4"/>
    <w:multiLevelType w:val="singleLevel"/>
    <w:tmpl w:val="456C96DE"/>
    <w:lvl w:ilvl="0">
      <w:start w:val="1"/>
      <w:numFmt w:val="bullet"/>
      <w:pStyle w:val="Tiret2"/>
      <w:lvlText w:val=""/>
      <w:lvlJc w:val="left"/>
      <w:pPr>
        <w:tabs>
          <w:tab w:val="num" w:pos="765"/>
        </w:tabs>
        <w:ind w:left="765" w:hanging="283"/>
      </w:pPr>
      <w:rPr>
        <w:rFonts w:ascii="Symbol" w:hAnsi="Symbol"/>
      </w:rPr>
    </w:lvl>
  </w:abstractNum>
  <w:abstractNum w:abstractNumId="14" w15:restartNumberingAfterBreak="0">
    <w:nsid w:val="3B381EFD"/>
    <w:multiLevelType w:val="multilevel"/>
    <w:tmpl w:val="222A1FB6"/>
    <w:lvl w:ilvl="0">
      <w:start w:val="1"/>
      <w:numFmt w:val="lowerLetter"/>
      <w:lvlText w:val="(%1)"/>
      <w:lvlJc w:val="left"/>
      <w:pPr>
        <w:ind w:left="1848" w:hanging="564"/>
      </w:pPr>
      <w:rPr>
        <w:vertAlign w:val="baseline"/>
      </w:rPr>
    </w:lvl>
    <w:lvl w:ilvl="1">
      <w:start w:val="1"/>
      <w:numFmt w:val="lowerLetter"/>
      <w:lvlText w:val="%2."/>
      <w:lvlJc w:val="left"/>
      <w:pPr>
        <w:ind w:left="2364" w:hanging="360"/>
      </w:pPr>
      <w:rPr>
        <w:vertAlign w:val="baseline"/>
      </w:rPr>
    </w:lvl>
    <w:lvl w:ilvl="2">
      <w:start w:val="1"/>
      <w:numFmt w:val="lowerRoman"/>
      <w:lvlText w:val="%3."/>
      <w:lvlJc w:val="right"/>
      <w:pPr>
        <w:ind w:left="3084" w:hanging="180"/>
      </w:pPr>
      <w:rPr>
        <w:vertAlign w:val="baseline"/>
      </w:rPr>
    </w:lvl>
    <w:lvl w:ilvl="3">
      <w:start w:val="1"/>
      <w:numFmt w:val="decimal"/>
      <w:lvlText w:val="%4."/>
      <w:lvlJc w:val="left"/>
      <w:pPr>
        <w:ind w:left="3804" w:hanging="360"/>
      </w:pPr>
      <w:rPr>
        <w:vertAlign w:val="baseline"/>
      </w:rPr>
    </w:lvl>
    <w:lvl w:ilvl="4">
      <w:start w:val="1"/>
      <w:numFmt w:val="lowerLetter"/>
      <w:lvlText w:val="%5."/>
      <w:lvlJc w:val="left"/>
      <w:pPr>
        <w:ind w:left="4524" w:hanging="360"/>
      </w:pPr>
      <w:rPr>
        <w:vertAlign w:val="baseline"/>
      </w:rPr>
    </w:lvl>
    <w:lvl w:ilvl="5">
      <w:start w:val="1"/>
      <w:numFmt w:val="lowerRoman"/>
      <w:lvlText w:val="%6."/>
      <w:lvlJc w:val="right"/>
      <w:pPr>
        <w:ind w:left="5244" w:hanging="180"/>
      </w:pPr>
      <w:rPr>
        <w:vertAlign w:val="baseline"/>
      </w:rPr>
    </w:lvl>
    <w:lvl w:ilvl="6">
      <w:start w:val="1"/>
      <w:numFmt w:val="decimal"/>
      <w:lvlText w:val="%7."/>
      <w:lvlJc w:val="left"/>
      <w:pPr>
        <w:ind w:left="5964" w:hanging="360"/>
      </w:pPr>
      <w:rPr>
        <w:vertAlign w:val="baseline"/>
      </w:rPr>
    </w:lvl>
    <w:lvl w:ilvl="7">
      <w:start w:val="1"/>
      <w:numFmt w:val="lowerLetter"/>
      <w:lvlText w:val="%8."/>
      <w:lvlJc w:val="left"/>
      <w:pPr>
        <w:ind w:left="6684" w:hanging="360"/>
      </w:pPr>
      <w:rPr>
        <w:vertAlign w:val="baseline"/>
      </w:rPr>
    </w:lvl>
    <w:lvl w:ilvl="8">
      <w:start w:val="1"/>
      <w:numFmt w:val="lowerRoman"/>
      <w:lvlText w:val="%9."/>
      <w:lvlJc w:val="right"/>
      <w:pPr>
        <w:ind w:left="7404" w:hanging="180"/>
      </w:pPr>
      <w:rPr>
        <w:vertAlign w:val="baseline"/>
      </w:rPr>
    </w:lvl>
  </w:abstractNum>
  <w:abstractNum w:abstractNumId="1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8" w15:restartNumberingAfterBreak="0">
    <w:nsid w:val="455465F0"/>
    <w:multiLevelType w:val="hybridMultilevel"/>
    <w:tmpl w:val="4FCCC410"/>
    <w:lvl w:ilvl="0" w:tplc="1CBE1C94">
      <w:start w:val="1"/>
      <w:numFmt w:val="lowerLetter"/>
      <w:pStyle w:val="En-tte2"/>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9933E8C"/>
    <w:multiLevelType w:val="hybridMultilevel"/>
    <w:tmpl w:val="1A466BF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E375095"/>
    <w:multiLevelType w:val="multilevel"/>
    <w:tmpl w:val="699C255E"/>
    <w:lvl w:ilvl="0">
      <w:start w:val="1"/>
      <w:numFmt w:val="lowerLetter"/>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4BD0BEC"/>
    <w:multiLevelType w:val="singleLevel"/>
    <w:tmpl w:val="72D6F376"/>
    <w:lvl w:ilvl="0">
      <w:start w:val="1"/>
      <w:numFmt w:val="bullet"/>
      <w:lvlText w:val=""/>
      <w:lvlJc w:val="left"/>
      <w:pPr>
        <w:tabs>
          <w:tab w:val="num" w:pos="283"/>
        </w:tabs>
        <w:ind w:left="283" w:hanging="283"/>
      </w:pPr>
      <w:rPr>
        <w:rFonts w:ascii="Symbol" w:hAnsi="Symbol"/>
      </w:rPr>
    </w:lvl>
  </w:abstractNum>
  <w:abstractNum w:abstractNumId="22" w15:restartNumberingAfterBreak="0">
    <w:nsid w:val="5CA31A15"/>
    <w:multiLevelType w:val="singleLevel"/>
    <w:tmpl w:val="CB981644"/>
    <w:name w:val="Tiret 0"/>
    <w:lvl w:ilvl="0">
      <w:start w:val="1"/>
      <w:numFmt w:val="bullet"/>
      <w:pStyle w:val="NumPar4"/>
      <w:lvlText w:val="–"/>
      <w:lvlJc w:val="left"/>
      <w:pPr>
        <w:tabs>
          <w:tab w:val="num" w:pos="850"/>
        </w:tabs>
        <w:ind w:left="850" w:hanging="850"/>
      </w:pPr>
    </w:lvl>
  </w:abstractNum>
  <w:abstractNum w:abstractNumId="23" w15:restartNumberingAfterBreak="0">
    <w:nsid w:val="5D264290"/>
    <w:multiLevelType w:val="hybridMultilevel"/>
    <w:tmpl w:val="80FE3420"/>
    <w:lvl w:ilvl="0" w:tplc="17C666F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E146C3B"/>
    <w:multiLevelType w:val="multilevel"/>
    <w:tmpl w:val="DC52F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1D16984"/>
    <w:multiLevelType w:val="hybridMultilevel"/>
    <w:tmpl w:val="80FE34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62B5C67"/>
    <w:multiLevelType w:val="singleLevel"/>
    <w:tmpl w:val="40D2097A"/>
    <w:lvl w:ilvl="0">
      <w:start w:val="1"/>
      <w:numFmt w:val="bullet"/>
      <w:pStyle w:val="PlainText"/>
      <w:lvlText w:val="–"/>
      <w:lvlJc w:val="left"/>
      <w:pPr>
        <w:tabs>
          <w:tab w:val="num" w:pos="283"/>
        </w:tabs>
        <w:ind w:left="283" w:hanging="283"/>
      </w:pPr>
      <w:rPr>
        <w:rFonts w:ascii="Times New Roman" w:hAnsi="Times New Roman"/>
      </w:rPr>
    </w:lvl>
  </w:abstractNum>
  <w:abstractNum w:abstractNumId="2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9" w15:restartNumberingAfterBreak="0">
    <w:nsid w:val="7B303F05"/>
    <w:multiLevelType w:val="hybridMultilevel"/>
    <w:tmpl w:val="0CAA4526"/>
    <w:lvl w:ilvl="0" w:tplc="6010A186">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28"/>
  </w:num>
  <w:num w:numId="4">
    <w:abstractNumId w:val="5"/>
  </w:num>
  <w:num w:numId="5">
    <w:abstractNumId w:val="17"/>
  </w:num>
  <w:num w:numId="6">
    <w:abstractNumId w:val="12"/>
  </w:num>
  <w:num w:numId="7">
    <w:abstractNumId w:val="16"/>
  </w:num>
  <w:num w:numId="8">
    <w:abstractNumId w:val="27"/>
  </w:num>
  <w:num w:numId="9">
    <w:abstractNumId w:val="9"/>
  </w:num>
  <w:num w:numId="10">
    <w:abstractNumId w:val="2"/>
  </w:num>
  <w:num w:numId="11">
    <w:abstractNumId w:val="6"/>
  </w:num>
  <w:num w:numId="12">
    <w:abstractNumId w:val="6"/>
  </w:num>
  <w:num w:numId="13">
    <w:abstractNumId w:val="6"/>
  </w:num>
  <w:num w:numId="14">
    <w:abstractNumId w:val="6"/>
  </w:num>
  <w:num w:numId="15">
    <w:abstractNumId w:val="20"/>
  </w:num>
  <w:num w:numId="16">
    <w:abstractNumId w:val="14"/>
  </w:num>
  <w:num w:numId="17">
    <w:abstractNumId w:val="21"/>
  </w:num>
  <w:num w:numId="18">
    <w:abstractNumId w:val="2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0"/>
  </w:num>
  <w:num w:numId="23">
    <w:abstractNumId w:val="13"/>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8"/>
  </w:num>
  <w:num w:numId="32">
    <w:abstractNumId w:val="19"/>
  </w:num>
  <w:num w:numId="33">
    <w:abstractNumId w:val="23"/>
  </w:num>
  <w:num w:numId="34">
    <w:abstractNumId w:val="25"/>
  </w:num>
  <w:num w:numId="35">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la"/>
    <w:docVar w:name="LW_ANNEX_NBR_FIRST" w:val="5"/>
    <w:docVar w:name="LW_ANNEX_NBR_LAST" w:val="5"/>
    <w:docVar w:name="LW_ANNEX_UNIQUE" w:val="0"/>
    <w:docVar w:name="LW_CORRIGENDUM" w:val="&lt;UNUSED&gt;"/>
    <w:docVar w:name="LW_COVERPAGE_EXISTS" w:val="True"/>
    <w:docVar w:name="LW_COVERPAGE_GUID" w:val="AC80E7B5-75AE-4FE2-ABD2-E5F39C3CECB6"/>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number,Ref,de nota al pie"/>
    <w:rPr>
      <w:b/>
      <w:vertAlign w:val="superscript"/>
    </w:rPr>
  </w:style>
  <w:style w:type="paragraph" w:styleId="FootnoteText">
    <w:name w:val="footnote text"/>
    <w:aliases w:val="Final Footnote Text,GM_Fußnotentext,Footnote text,fn,Schriftart: 9 pt,Schriftart: 10 pt,Schriftart: 8 pt,WB-Fußnotentext"/>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aragraph">
    <w:name w:val="paragraph"/>
    <w:basedOn w:val="Normal"/>
    <w:pPr>
      <w:widowControl/>
    </w:pPr>
    <w:rPr>
      <w:rFonts w:eastAsiaTheme="minorHAnsi"/>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Revision">
    <w:name w:val="Revision"/>
    <w:hidden/>
    <w:uiPriority w:val="99"/>
    <w:semiHidden/>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rPr>
  </w:style>
  <w:style w:type="character" w:customStyle="1" w:styleId="CommentTextChar">
    <w:name w:val="Comment Text Char"/>
    <w:basedOn w:val="DefaultParagraphFont"/>
    <w:link w:val="CommentText"/>
    <w:rPr>
      <w:lang w:eastAsia="fr-B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character" w:customStyle="1" w:styleId="FootnoteTextChar">
    <w:name w:val="Footnote Text Char"/>
    <w:aliases w:val="Final Footnote Text Char,GM_Fußnotentext Char,Footnote text Char,fn Char,Schriftart: 9 pt Char,Schriftart: 10 pt Char,Schriftart: 8 pt Char,WB-Fußnotentext Char"/>
    <w:basedOn w:val="DefaultParagraphFont"/>
    <w:link w:val="FootnoteText"/>
    <w:rPr>
      <w:sz w:val="24"/>
      <w:lang w:eastAsia="fr-BE"/>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ID"/>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ID"/>
    </w:rPr>
  </w:style>
  <w:style w:type="paragraph" w:styleId="Subtitle">
    <w:name w:val="Subtitle"/>
    <w:basedOn w:val="Normal"/>
    <w:next w:val="Normal"/>
    <w:link w:val="SubtitleChar"/>
    <w:uiPriority w:val="11"/>
    <w:qFormat/>
    <w:pPr>
      <w:widowControl/>
      <w:numPr>
        <w:ilvl w:val="1"/>
      </w:numPr>
      <w:spacing w:after="200" w:line="276" w:lineRule="auto"/>
    </w:pPr>
    <w:rPr>
      <w:rFonts w:ascii="Calibri" w:eastAsiaTheme="majorEastAsia" w:hAnsi="Calibri" w:cstheme="majorBidi"/>
      <w:color w:val="595959" w:themeColor="text1" w:themeTint="A6"/>
      <w:spacing w:val="15"/>
      <w:sz w:val="28"/>
      <w:szCs w:val="28"/>
      <w:lang w:eastAsia="en-ID"/>
    </w:rPr>
  </w:style>
  <w:style w:type="character" w:customStyle="1" w:styleId="SubtitleChar">
    <w:name w:val="Subtitle Char"/>
    <w:basedOn w:val="DefaultParagraphFont"/>
    <w:link w:val="Subtitle"/>
    <w:uiPriority w:val="11"/>
    <w:rPr>
      <w:rFonts w:ascii="Calibri" w:eastAsiaTheme="majorEastAsia" w:hAnsi="Calibri" w:cstheme="majorBidi"/>
      <w:color w:val="595959" w:themeColor="text1" w:themeTint="A6"/>
      <w:spacing w:val="15"/>
      <w:sz w:val="28"/>
      <w:szCs w:val="28"/>
      <w:lang w:eastAsia="en-ID"/>
    </w:rPr>
  </w:style>
  <w:style w:type="paragraph" w:styleId="Quote">
    <w:name w:val="Quote"/>
    <w:basedOn w:val="Normal"/>
    <w:next w:val="Normal"/>
    <w:link w:val="QuoteChar"/>
    <w:uiPriority w:val="29"/>
    <w:qFormat/>
    <w:pPr>
      <w:widowControl/>
      <w:spacing w:before="160" w:after="200" w:line="276" w:lineRule="auto"/>
      <w:jc w:val="center"/>
    </w:pPr>
    <w:rPr>
      <w:rFonts w:ascii="Calibri" w:eastAsia="Calibri" w:hAnsi="Calibri" w:cs="Calibri"/>
      <w:i/>
      <w:iCs/>
      <w:color w:val="404040" w:themeColor="text1" w:themeTint="BF"/>
      <w:sz w:val="22"/>
      <w:szCs w:val="22"/>
      <w:lang w:eastAsia="en-ID"/>
    </w:rPr>
  </w:style>
  <w:style w:type="character" w:customStyle="1" w:styleId="QuoteChar">
    <w:name w:val="Quote Char"/>
    <w:basedOn w:val="DefaultParagraphFont"/>
    <w:link w:val="Quote"/>
    <w:uiPriority w:val="29"/>
    <w:rPr>
      <w:rFonts w:ascii="Calibri" w:eastAsia="Calibri" w:hAnsi="Calibri" w:cs="Calibri"/>
      <w:i/>
      <w:iCs/>
      <w:color w:val="404040" w:themeColor="text1" w:themeTint="BF"/>
      <w:sz w:val="22"/>
      <w:szCs w:val="22"/>
      <w:lang w:eastAsia="en-ID"/>
    </w:rPr>
  </w:style>
  <w:style w:type="paragraph" w:styleId="ListParagraph">
    <w:name w:val="List Paragraph"/>
    <w:basedOn w:val="Normal"/>
    <w:uiPriority w:val="34"/>
    <w:qFormat/>
    <w:pPr>
      <w:widowControl/>
      <w:spacing w:after="200" w:line="276" w:lineRule="auto"/>
      <w:ind w:left="720"/>
      <w:contextualSpacing/>
    </w:pPr>
    <w:rPr>
      <w:rFonts w:ascii="Calibri" w:eastAsia="Calibri" w:hAnsi="Calibri" w:cs="Calibri"/>
      <w:sz w:val="22"/>
      <w:szCs w:val="22"/>
      <w:lang w:eastAsia="en-ID"/>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Calibri" w:eastAsia="Calibri" w:hAnsi="Calibri" w:cs="Calibri"/>
      <w:i/>
      <w:iCs/>
      <w:color w:val="365F91" w:themeColor="accent1" w:themeShade="BF"/>
      <w:sz w:val="22"/>
      <w:szCs w:val="22"/>
      <w:lang w:eastAsia="en-ID"/>
    </w:rPr>
  </w:style>
  <w:style w:type="character" w:customStyle="1" w:styleId="IntenseQuoteChar">
    <w:name w:val="Intense Quote Char"/>
    <w:basedOn w:val="DefaultParagraphFont"/>
    <w:link w:val="IntenseQuote"/>
    <w:uiPriority w:val="30"/>
    <w:rPr>
      <w:rFonts w:ascii="Calibri" w:eastAsia="Calibri" w:hAnsi="Calibri" w:cs="Calibri"/>
      <w:i/>
      <w:iCs/>
      <w:color w:val="365F91" w:themeColor="accent1" w:themeShade="BF"/>
      <w:sz w:val="22"/>
      <w:szCs w:val="22"/>
      <w:lang w:eastAsia="en-ID"/>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Hyperlink">
    <w:name w:val="Hyperlink"/>
    <w:unhideWhenUsed/>
    <w:rPr>
      <w:color w:val="0000FF"/>
      <w:u w:val="single"/>
    </w:rPr>
  </w:style>
  <w:style w:type="character" w:styleId="FollowedHyperlink">
    <w:name w:val="FollowedHyperlink"/>
    <w:semiHidden/>
    <w:unhideWhenUsed/>
    <w:rPr>
      <w:color w:val="800080"/>
      <w:u w:val="single"/>
    </w:rPr>
  </w:style>
  <w:style w:type="character" w:styleId="Emphasis">
    <w:name w:val="Emphasis"/>
    <w:uiPriority w:val="20"/>
    <w:qFormat/>
    <w:rPr>
      <w:i w:val="0"/>
      <w:iCs w:val="0"/>
    </w:rPr>
  </w:style>
  <w:style w:type="paragraph" w:customStyle="1" w:styleId="msonormal0">
    <w:name w:val="msonormal"/>
    <w:basedOn w:val="Normal"/>
    <w:uiPriority w:val="99"/>
    <w:pPr>
      <w:widowControl/>
      <w:spacing w:before="100" w:after="100" w:line="240" w:lineRule="auto"/>
      <w:ind w:left="450" w:right="350"/>
    </w:pPr>
    <w:rPr>
      <w:rFonts w:eastAsia="MS Mincho"/>
      <w:sz w:val="19"/>
      <w:szCs w:val="19"/>
      <w:lang w:eastAsia="ja-JP"/>
    </w:rPr>
  </w:style>
  <w:style w:type="paragraph" w:styleId="NormalWeb">
    <w:name w:val="Normal (Web)"/>
    <w:basedOn w:val="Normal"/>
    <w:uiPriority w:val="99"/>
    <w:semiHidden/>
    <w:unhideWhenUsed/>
    <w:pPr>
      <w:widowControl/>
      <w:spacing w:before="100" w:after="100" w:line="240" w:lineRule="auto"/>
      <w:ind w:left="450" w:right="350"/>
    </w:pPr>
    <w:rPr>
      <w:rFonts w:eastAsia="MS Mincho"/>
      <w:sz w:val="19"/>
      <w:szCs w:val="19"/>
      <w:lang w:eastAsia="ja-JP"/>
    </w:rPr>
  </w:style>
  <w:style w:type="character" w:customStyle="1" w:styleId="FootnoteTextChar1">
    <w:name w:val="Footnote Text Char1"/>
    <w:aliases w:val="Final Footnote Text Char1,GM_Fußnotentext Char1,Footnote text Char1,fn Char1,Schriftart: 9 pt Char1,Schriftart: 10 pt Char1,Schriftart: 8 pt Char1,WB-Fußnotentext Char1"/>
    <w:basedOn w:val="DefaultParagraphFont"/>
    <w:semiHidden/>
    <w:rPr>
      <w:rFonts w:ascii="Calibri" w:eastAsia="Calibri" w:hAnsi="Calibri" w:cs="Calibri"/>
      <w:kern w:val="0"/>
      <w:sz w:val="20"/>
      <w:szCs w:val="20"/>
      <w:lang w:val="ro-RO" w:eastAsia="en-ID"/>
      <w14:ligatures w14:val="none"/>
    </w:rPr>
  </w:style>
  <w:style w:type="character" w:customStyle="1" w:styleId="HeaderChar1">
    <w:name w:val="Header Char1"/>
    <w:aliases w:val="Header1 Char1"/>
    <w:basedOn w:val="DefaultParagraphFont"/>
    <w:semiHidden/>
    <w:rPr>
      <w:rFonts w:ascii="Calibri" w:eastAsia="Calibri" w:hAnsi="Calibri" w:cs="Calibri"/>
      <w:kern w:val="0"/>
      <w:sz w:val="22"/>
      <w:szCs w:val="22"/>
      <w:lang w:val="ro-RO" w:eastAsia="en-ID"/>
      <w14:ligatures w14:val="none"/>
    </w:rPr>
  </w:style>
  <w:style w:type="character" w:customStyle="1" w:styleId="EndnoteTextChar">
    <w:name w:val="Endnote Text Char"/>
    <w:basedOn w:val="DefaultParagraphFont"/>
    <w:link w:val="EndnoteText"/>
    <w:uiPriority w:val="99"/>
    <w:rPr>
      <w:sz w:val="24"/>
      <w:lang w:eastAsia="fr-BE"/>
    </w:rPr>
  </w:style>
  <w:style w:type="paragraph" w:styleId="ListBullet">
    <w:name w:val="List Bullet"/>
    <w:basedOn w:val="Normal"/>
    <w:uiPriority w:val="99"/>
    <w:semiHidden/>
    <w:unhideWhenUsed/>
    <w:pPr>
      <w:widowControl/>
      <w:spacing w:after="240" w:line="240" w:lineRule="auto"/>
      <w:jc w:val="both"/>
    </w:pPr>
    <w:rPr>
      <w:lang w:eastAsia="en-US"/>
    </w:rPr>
  </w:style>
  <w:style w:type="paragraph" w:styleId="BodyText">
    <w:name w:val="Body Text"/>
    <w:basedOn w:val="Normal"/>
    <w:link w:val="BodyTextChar"/>
    <w:uiPriority w:val="99"/>
    <w:semiHidden/>
    <w:unhideWhenUsed/>
    <w:pPr>
      <w:widowControl/>
      <w:spacing w:after="120" w:line="240" w:lineRule="auto"/>
      <w:jc w:val="both"/>
    </w:pPr>
    <w:rPr>
      <w:lang w:eastAsia="en-US"/>
    </w:rPr>
  </w:style>
  <w:style w:type="character" w:customStyle="1" w:styleId="BodyTextChar">
    <w:name w:val="Body Text Char"/>
    <w:basedOn w:val="DefaultParagraphFont"/>
    <w:link w:val="BodyText"/>
    <w:uiPriority w:val="99"/>
    <w:semiHidden/>
    <w:rPr>
      <w:sz w:val="24"/>
      <w:lang w:eastAsia="en-US"/>
    </w:rPr>
  </w:style>
  <w:style w:type="paragraph" w:styleId="BodyTextIndent">
    <w:name w:val="Body Text Indent"/>
    <w:basedOn w:val="Normal"/>
    <w:link w:val="BodyTextIndentChar"/>
    <w:uiPriority w:val="99"/>
    <w:semiHidden/>
    <w:unhideWhenUsed/>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semiHidden/>
    <w:rPr>
      <w:sz w:val="24"/>
      <w:lang w:eastAsia="en-US"/>
    </w:rPr>
  </w:style>
  <w:style w:type="paragraph" w:styleId="BodyText2">
    <w:name w:val="Body Text 2"/>
    <w:basedOn w:val="Normal"/>
    <w:link w:val="BodyText2Char"/>
    <w:uiPriority w:val="99"/>
    <w:semiHidden/>
    <w:unhideWhenUsed/>
    <w:pPr>
      <w:widowControl/>
      <w:spacing w:after="120" w:line="480" w:lineRule="auto"/>
      <w:jc w:val="both"/>
    </w:pPr>
    <w:rPr>
      <w:lang w:eastAsia="en-US"/>
    </w:rPr>
  </w:style>
  <w:style w:type="character" w:customStyle="1" w:styleId="BodyText2Char">
    <w:name w:val="Body Text 2 Char"/>
    <w:basedOn w:val="DefaultParagraphFont"/>
    <w:link w:val="BodyText2"/>
    <w:uiPriority w:val="99"/>
    <w:semiHidden/>
    <w:rPr>
      <w:sz w:val="24"/>
      <w:lang w:eastAsia="en-US"/>
    </w:rPr>
  </w:style>
  <w:style w:type="paragraph" w:styleId="BodyTextIndent2">
    <w:name w:val="Body Text Indent 2"/>
    <w:basedOn w:val="Normal"/>
    <w:link w:val="BodyTextIndent2Char"/>
    <w:uiPriority w:val="99"/>
    <w:semiHidden/>
    <w:unhideWhenUsed/>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semiHidden/>
    <w:rPr>
      <w:sz w:val="24"/>
      <w:lang w:eastAsia="en-US"/>
    </w:rPr>
  </w:style>
  <w:style w:type="paragraph" w:styleId="PlainText">
    <w:name w:val="Plain Text"/>
    <w:basedOn w:val="Normal"/>
    <w:link w:val="PlainTextChar"/>
    <w:uiPriority w:val="99"/>
    <w:semiHidden/>
    <w:unhideWhenUsed/>
    <w:pPr>
      <w:widowControl/>
      <w:numPr>
        <w:numId w:val="18"/>
      </w:numPr>
      <w:tabs>
        <w:tab w:val="clear" w:pos="283"/>
      </w:tabs>
      <w:spacing w:line="240" w:lineRule="auto"/>
      <w:ind w:left="0" w:firstLine="0"/>
    </w:pPr>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semiHidden/>
    <w:rPr>
      <w:rFonts w:ascii="Calibri" w:eastAsia="Calibri" w:hAnsi="Calibri" w:cs="Consolas"/>
      <w:sz w:val="22"/>
      <w:szCs w:val="21"/>
      <w:lang w:val="ro-RO"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styleId="NoSpacing">
    <w:name w:val="No Spacing"/>
    <w:uiPriority w:val="1"/>
    <w:qFormat/>
    <w:rPr>
      <w:rFonts w:eastAsia="MS Mincho"/>
      <w:sz w:val="24"/>
      <w:szCs w:val="24"/>
      <w:lang w:eastAsia="ja-JP"/>
    </w:rPr>
  </w:style>
  <w:style w:type="paragraph" w:customStyle="1" w:styleId="ListDash">
    <w:name w:val="List Dash"/>
    <w:basedOn w:val="Normal"/>
    <w:uiPriority w:val="99"/>
    <w:pPr>
      <w:widowControl/>
      <w:spacing w:after="240" w:line="240" w:lineRule="auto"/>
      <w:jc w:val="both"/>
    </w:pPr>
    <w:rPr>
      <w:lang w:eastAsia="en-US"/>
    </w:rPr>
  </w:style>
  <w:style w:type="paragraph" w:customStyle="1" w:styleId="Titrearticle">
    <w:name w:val="Titre article"/>
    <w:basedOn w:val="Normal"/>
    <w:next w:val="Normal"/>
    <w:uiPriority w:val="99"/>
    <w:pPr>
      <w:keepNext/>
      <w:widowControl/>
      <w:spacing w:before="360" w:after="120" w:line="240" w:lineRule="auto"/>
      <w:jc w:val="center"/>
    </w:pPr>
    <w:rPr>
      <w:i/>
      <w:lang w:eastAsia="zh-CN"/>
    </w:rPr>
  </w:style>
  <w:style w:type="character" w:customStyle="1" w:styleId="ManualNumPar1Char">
    <w:name w:val="Manual NumPar 1 Char"/>
    <w:link w:val="ManualNumPar1"/>
    <w:locked/>
    <w:rPr>
      <w:lang w:val="ro-RO"/>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 w:val="20"/>
      <w:lang w:eastAsia="en-GB"/>
    </w:rPr>
  </w:style>
  <w:style w:type="character" w:customStyle="1" w:styleId="Point1Char">
    <w:name w:val="Point 1 Char"/>
    <w:link w:val="Point1"/>
    <w:locked/>
  </w:style>
  <w:style w:type="paragraph" w:customStyle="1" w:styleId="Point1">
    <w:name w:val="Point 1"/>
    <w:basedOn w:val="Normal"/>
    <w:link w:val="Point1Char"/>
    <w:pPr>
      <w:widowControl/>
      <w:numPr>
        <w:numId w:val="19"/>
      </w:numPr>
      <w:tabs>
        <w:tab w:val="clear" w:pos="720"/>
      </w:tabs>
      <w:spacing w:before="120" w:after="120" w:line="240" w:lineRule="auto"/>
      <w:ind w:left="0" w:firstLine="0"/>
      <w:jc w:val="both"/>
    </w:pPr>
    <w:rPr>
      <w:sz w:val="20"/>
      <w:lang w:eastAsia="en-GB"/>
    </w:rPr>
  </w:style>
  <w:style w:type="paragraph" w:customStyle="1" w:styleId="NormalWeb8">
    <w:name w:val="Normal (Web)8"/>
    <w:basedOn w:val="Normal"/>
    <w:uiPriority w:val="99"/>
    <w:pPr>
      <w:widowControl/>
      <w:numPr>
        <w:numId w:val="20"/>
      </w:numPr>
      <w:tabs>
        <w:tab w:val="clear" w:pos="360"/>
      </w:tabs>
      <w:spacing w:before="75" w:after="75" w:line="240" w:lineRule="auto"/>
      <w:ind w:left="0" w:right="225" w:firstLine="0"/>
    </w:pPr>
    <w:rPr>
      <w:sz w:val="22"/>
      <w:szCs w:val="22"/>
      <w:lang w:eastAsia="en-GB"/>
    </w:rPr>
  </w:style>
  <w:style w:type="paragraph" w:customStyle="1" w:styleId="Point2">
    <w:name w:val="Point 2"/>
    <w:basedOn w:val="Normal"/>
    <w:uiPriority w:val="99"/>
    <w:pPr>
      <w:widowControl/>
      <w:numPr>
        <w:numId w:val="21"/>
      </w:numPr>
      <w:tabs>
        <w:tab w:val="clear" w:pos="1984"/>
      </w:tabs>
      <w:spacing w:before="120" w:after="120" w:line="240" w:lineRule="auto"/>
      <w:ind w:left="0" w:firstLine="0"/>
      <w:jc w:val="both"/>
    </w:pPr>
    <w:rPr>
      <w:lang w:eastAsia="en-US"/>
    </w:rPr>
  </w:style>
  <w:style w:type="paragraph" w:customStyle="1" w:styleId="NormalCentered">
    <w:name w:val="Normal Centered"/>
    <w:basedOn w:val="Normal"/>
    <w:uiPriority w:val="99"/>
    <w:pPr>
      <w:widowControl/>
      <w:numPr>
        <w:numId w:val="22"/>
      </w:numPr>
      <w:tabs>
        <w:tab w:val="clear" w:pos="1360"/>
      </w:tabs>
      <w:spacing w:before="120" w:after="120" w:line="240" w:lineRule="auto"/>
      <w:ind w:left="0" w:firstLine="0"/>
      <w:jc w:val="center"/>
    </w:pPr>
    <w:rPr>
      <w:lang w:eastAsia="en-GB"/>
    </w:rPr>
  </w:style>
  <w:style w:type="paragraph" w:customStyle="1" w:styleId="Tiret1">
    <w:name w:val="Tiret 1"/>
    <w:basedOn w:val="Normal"/>
    <w:uiPriority w:val="99"/>
    <w:pPr>
      <w:widowControl/>
      <w:tabs>
        <w:tab w:val="num" w:pos="1134"/>
      </w:tabs>
      <w:spacing w:before="120" w:after="120" w:line="240" w:lineRule="auto"/>
      <w:jc w:val="both"/>
    </w:pPr>
    <w:rPr>
      <w:lang w:eastAsia="zh-CN"/>
    </w:rPr>
  </w:style>
  <w:style w:type="paragraph" w:customStyle="1" w:styleId="Lines">
    <w:name w:val="Lines"/>
    <w:basedOn w:val="Normal"/>
    <w:uiPriority w:val="99"/>
    <w:pPr>
      <w:widowControl/>
      <w:spacing w:line="240" w:lineRule="auto"/>
    </w:pPr>
    <w:rPr>
      <w:szCs w:val="24"/>
      <w:lang w:eastAsia="en-GB"/>
    </w:rPr>
  </w:style>
  <w:style w:type="paragraph" w:customStyle="1" w:styleId="Tiret2">
    <w:name w:val="Tiret 2"/>
    <w:basedOn w:val="Normal"/>
    <w:uiPriority w:val="99"/>
    <w:pPr>
      <w:widowControl/>
      <w:numPr>
        <w:numId w:val="23"/>
      </w:numPr>
      <w:tabs>
        <w:tab w:val="clear" w:pos="765"/>
      </w:tabs>
      <w:spacing w:before="120" w:after="120" w:line="240" w:lineRule="auto"/>
      <w:ind w:left="0" w:firstLine="0"/>
      <w:jc w:val="both"/>
    </w:pPr>
    <w:rPr>
      <w:szCs w:val="24"/>
      <w:lang w:eastAsia="de-DE"/>
    </w:rPr>
  </w:style>
  <w:style w:type="paragraph" w:customStyle="1" w:styleId="ListDash2">
    <w:name w:val="List Dash 2"/>
    <w:basedOn w:val="Normal"/>
    <w:uiPriority w:val="99"/>
    <w:pPr>
      <w:widowControl/>
      <w:numPr>
        <w:numId w:val="24"/>
      </w:numPr>
      <w:tabs>
        <w:tab w:val="clear" w:pos="850"/>
      </w:tabs>
      <w:spacing w:line="240" w:lineRule="auto"/>
      <w:ind w:left="0" w:firstLine="0"/>
    </w:pPr>
    <w:rPr>
      <w:szCs w:val="24"/>
      <w:lang w:eastAsia="en-GB"/>
    </w:rPr>
  </w:style>
  <w:style w:type="character" w:customStyle="1" w:styleId="Text1Znak">
    <w:name w:val="Text 1 Znak"/>
    <w:link w:val="Text1"/>
    <w:locked/>
  </w:style>
  <w:style w:type="paragraph" w:customStyle="1" w:styleId="Text1">
    <w:name w:val="Text 1"/>
    <w:basedOn w:val="Normal"/>
    <w:link w:val="Text1Znak"/>
    <w:pPr>
      <w:widowControl/>
      <w:numPr>
        <w:ilvl w:val="2"/>
        <w:numId w:val="24"/>
      </w:numPr>
      <w:tabs>
        <w:tab w:val="clear" w:pos="850"/>
      </w:tabs>
      <w:snapToGrid w:val="0"/>
      <w:spacing w:before="120" w:after="120" w:line="240" w:lineRule="auto"/>
      <w:ind w:left="0" w:firstLine="0"/>
      <w:jc w:val="both"/>
    </w:pPr>
    <w:rPr>
      <w:sz w:val="20"/>
      <w:lang w:eastAsia="en-GB"/>
    </w:rPr>
  </w:style>
  <w:style w:type="paragraph" w:customStyle="1" w:styleId="YReferences">
    <w:name w:val="YReferences"/>
    <w:basedOn w:val="Normal"/>
    <w:next w:val="Normal"/>
    <w:uiPriority w:val="99"/>
    <w:pPr>
      <w:widowControl/>
      <w:numPr>
        <w:ilvl w:val="3"/>
        <w:numId w:val="24"/>
      </w:numPr>
      <w:tabs>
        <w:tab w:val="clear" w:pos="850"/>
      </w:tabs>
      <w:spacing w:after="480" w:line="240" w:lineRule="auto"/>
      <w:ind w:left="0" w:firstLine="0"/>
      <w:jc w:val="both"/>
    </w:pPr>
    <w:rPr>
      <w:lang w:eastAsia="en-US"/>
    </w:rPr>
  </w:style>
  <w:style w:type="paragraph" w:customStyle="1" w:styleId="NumPar1">
    <w:name w:val="NumPar 1"/>
    <w:basedOn w:val="Normal"/>
    <w:next w:val="Normal"/>
    <w:uiPriority w:val="99"/>
    <w:pPr>
      <w:widowControl/>
      <w:spacing w:before="120" w:after="120" w:line="240" w:lineRule="auto"/>
      <w:jc w:val="both"/>
    </w:pPr>
    <w:rPr>
      <w:szCs w:val="24"/>
      <w:lang w:eastAsia="de-DE"/>
    </w:rPr>
  </w:style>
  <w:style w:type="paragraph" w:customStyle="1" w:styleId="NumPar2">
    <w:name w:val="NumPar 2"/>
    <w:basedOn w:val="Normal"/>
    <w:next w:val="Normal"/>
    <w:uiPriority w:val="99"/>
    <w:pPr>
      <w:widowControl/>
      <w:spacing w:before="120" w:after="120" w:line="240" w:lineRule="auto"/>
      <w:jc w:val="both"/>
    </w:pPr>
    <w:rPr>
      <w:szCs w:val="24"/>
      <w:lang w:eastAsia="de-DE"/>
    </w:rPr>
  </w:style>
  <w:style w:type="paragraph" w:customStyle="1" w:styleId="NumPar3">
    <w:name w:val="NumPar 3"/>
    <w:basedOn w:val="Normal"/>
    <w:next w:val="Normal"/>
    <w:uiPriority w:val="99"/>
    <w:pPr>
      <w:widowControl/>
      <w:spacing w:before="120" w:after="120" w:line="240" w:lineRule="auto"/>
      <w:jc w:val="both"/>
    </w:pPr>
    <w:rPr>
      <w:szCs w:val="24"/>
      <w:lang w:eastAsia="de-DE"/>
    </w:rPr>
  </w:style>
  <w:style w:type="paragraph" w:customStyle="1" w:styleId="NumPar4">
    <w:name w:val="NumPar 4"/>
    <w:basedOn w:val="Normal"/>
    <w:next w:val="Normal"/>
    <w:uiPriority w:val="99"/>
    <w:pPr>
      <w:widowControl/>
      <w:numPr>
        <w:numId w:val="25"/>
      </w:numPr>
      <w:tabs>
        <w:tab w:val="clear" w:pos="850"/>
      </w:tabs>
      <w:spacing w:before="120" w:after="120" w:line="240" w:lineRule="auto"/>
      <w:ind w:left="0" w:firstLine="0"/>
      <w:jc w:val="both"/>
    </w:pPr>
    <w:rPr>
      <w:szCs w:val="24"/>
      <w:lang w:eastAsia="de-DE"/>
    </w:rPr>
  </w:style>
  <w:style w:type="paragraph" w:customStyle="1" w:styleId="Point0">
    <w:name w:val="Point 0"/>
    <w:basedOn w:val="Normal"/>
    <w:uiPriority w:val="99"/>
    <w:pPr>
      <w:widowControl/>
      <w:numPr>
        <w:ilvl w:val="1"/>
        <w:numId w:val="26"/>
      </w:numPr>
      <w:tabs>
        <w:tab w:val="clear" w:pos="850"/>
      </w:tabs>
      <w:spacing w:before="120" w:after="120" w:line="240" w:lineRule="auto"/>
      <w:ind w:left="0" w:firstLine="0"/>
      <w:jc w:val="both"/>
    </w:pPr>
    <w:rPr>
      <w:szCs w:val="24"/>
      <w:lang w:eastAsia="en-US"/>
    </w:rPr>
  </w:style>
  <w:style w:type="paragraph" w:customStyle="1" w:styleId="TimesNewRoman12">
    <w:name w:val="Times New Roman 12"/>
    <w:basedOn w:val="Normal"/>
    <w:autoRedefine/>
    <w:uiPriority w:val="99"/>
    <w:qFormat/>
    <w:pPr>
      <w:widowControl/>
      <w:numPr>
        <w:ilvl w:val="3"/>
        <w:numId w:val="26"/>
      </w:numPr>
      <w:tabs>
        <w:tab w:val="clear" w:pos="1417"/>
      </w:tabs>
      <w:autoSpaceDE w:val="0"/>
      <w:autoSpaceDN w:val="0"/>
      <w:adjustRightInd w:val="0"/>
      <w:spacing w:line="240" w:lineRule="auto"/>
      <w:ind w:left="0" w:firstLine="0"/>
    </w:pPr>
    <w:rPr>
      <w:rFonts w:eastAsia="Calibri"/>
      <w:szCs w:val="22"/>
      <w:lang w:eastAsia="en-GB"/>
    </w:rPr>
  </w:style>
  <w:style w:type="paragraph" w:customStyle="1" w:styleId="Default">
    <w:name w:val="Default"/>
    <w:uiPriority w:val="99"/>
    <w:pPr>
      <w:numPr>
        <w:ilvl w:val="5"/>
        <w:numId w:val="26"/>
      </w:numPr>
      <w:tabs>
        <w:tab w:val="clear" w:pos="1984"/>
      </w:tabs>
      <w:autoSpaceDE w:val="0"/>
      <w:autoSpaceDN w:val="0"/>
      <w:adjustRightInd w:val="0"/>
      <w:ind w:left="0" w:firstLine="0"/>
    </w:pPr>
    <w:rPr>
      <w:rFonts w:ascii="Arial" w:eastAsia="Calibri" w:hAnsi="Arial" w:cs="Arial"/>
      <w:color w:val="000000"/>
      <w:sz w:val="24"/>
      <w:szCs w:val="24"/>
    </w:rPr>
  </w:style>
  <w:style w:type="paragraph" w:customStyle="1" w:styleId="Tiret0">
    <w:name w:val="Tiret 0"/>
    <w:basedOn w:val="Point0"/>
    <w:uiPriority w:val="99"/>
    <w:pPr>
      <w:numPr>
        <w:ilvl w:val="7"/>
      </w:numPr>
      <w:tabs>
        <w:tab w:val="clear" w:pos="2551"/>
      </w:tabs>
      <w:ind w:left="0" w:firstLine="0"/>
    </w:pPr>
    <w:rPr>
      <w:rFonts w:eastAsia="Calibri"/>
      <w:szCs w:val="22"/>
    </w:rPr>
  </w:style>
  <w:style w:type="paragraph" w:customStyle="1" w:styleId="Point0number">
    <w:name w:val="Point 0 (number)"/>
    <w:basedOn w:val="Normal"/>
    <w:uiPriority w:val="99"/>
    <w:pPr>
      <w:widowControl/>
      <w:spacing w:before="120" w:after="120" w:line="240" w:lineRule="auto"/>
      <w:jc w:val="both"/>
    </w:pPr>
    <w:rPr>
      <w:rFonts w:eastAsia="Calibri"/>
      <w:szCs w:val="22"/>
      <w:lang w:eastAsia="en-US"/>
    </w:rPr>
  </w:style>
  <w:style w:type="paragraph" w:customStyle="1" w:styleId="Point1number">
    <w:name w:val="Point 1 (number)"/>
    <w:basedOn w:val="Normal"/>
    <w:uiPriority w:val="99"/>
    <w:pPr>
      <w:widowControl/>
      <w:spacing w:before="120" w:after="120" w:line="240" w:lineRule="auto"/>
      <w:jc w:val="both"/>
    </w:pPr>
    <w:rPr>
      <w:rFonts w:eastAsia="Calibri"/>
      <w:szCs w:val="22"/>
      <w:lang w:eastAsia="en-US"/>
    </w:rPr>
  </w:style>
  <w:style w:type="paragraph" w:customStyle="1" w:styleId="Point2number">
    <w:name w:val="Point 2 (number)"/>
    <w:basedOn w:val="Normal"/>
    <w:uiPriority w:val="99"/>
    <w:pPr>
      <w:widowControl/>
      <w:spacing w:before="120" w:after="120" w:line="240" w:lineRule="auto"/>
      <w:jc w:val="both"/>
    </w:pPr>
    <w:rPr>
      <w:rFonts w:eastAsia="Calibri"/>
      <w:szCs w:val="22"/>
      <w:lang w:eastAsia="en-US"/>
    </w:rPr>
  </w:style>
  <w:style w:type="paragraph" w:customStyle="1" w:styleId="Point3number">
    <w:name w:val="Point 3 (number)"/>
    <w:basedOn w:val="Normal"/>
    <w:uiPriority w:val="99"/>
    <w:pPr>
      <w:widowControl/>
      <w:spacing w:before="120" w:after="120" w:line="240" w:lineRule="auto"/>
      <w:jc w:val="both"/>
    </w:pPr>
    <w:rPr>
      <w:rFonts w:eastAsia="Calibri"/>
      <w:szCs w:val="22"/>
      <w:lang w:eastAsia="en-US"/>
    </w:rPr>
  </w:style>
  <w:style w:type="paragraph" w:customStyle="1" w:styleId="Point0letter">
    <w:name w:val="Point 0 (letter)"/>
    <w:basedOn w:val="Normal"/>
    <w:uiPriority w:val="99"/>
    <w:pPr>
      <w:widowControl/>
      <w:spacing w:before="120" w:after="120" w:line="240" w:lineRule="auto"/>
      <w:jc w:val="both"/>
    </w:pPr>
    <w:rPr>
      <w:rFonts w:eastAsia="Calibri"/>
      <w:szCs w:val="22"/>
      <w:lang w:eastAsia="en-US"/>
    </w:rPr>
  </w:style>
  <w:style w:type="paragraph" w:customStyle="1" w:styleId="Point1letter">
    <w:name w:val="Point 1 (letter)"/>
    <w:basedOn w:val="Normal"/>
    <w:uiPriority w:val="99"/>
    <w:pPr>
      <w:widowControl/>
      <w:spacing w:before="120" w:after="120" w:line="240" w:lineRule="auto"/>
      <w:jc w:val="both"/>
    </w:pPr>
    <w:rPr>
      <w:rFonts w:eastAsia="Calibri"/>
      <w:szCs w:val="22"/>
      <w:lang w:eastAsia="en-US"/>
    </w:rPr>
  </w:style>
  <w:style w:type="paragraph" w:customStyle="1" w:styleId="Point2letter">
    <w:name w:val="Point 2 (letter)"/>
    <w:basedOn w:val="Normal"/>
    <w:uiPriority w:val="99"/>
    <w:pPr>
      <w:widowControl/>
      <w:spacing w:before="120" w:after="120" w:line="240" w:lineRule="auto"/>
      <w:jc w:val="both"/>
    </w:pPr>
    <w:rPr>
      <w:rFonts w:eastAsia="Calibri"/>
      <w:szCs w:val="22"/>
      <w:lang w:eastAsia="en-US"/>
    </w:rPr>
  </w:style>
  <w:style w:type="paragraph" w:customStyle="1" w:styleId="Point3letter">
    <w:name w:val="Point 3 (letter)"/>
    <w:basedOn w:val="Normal"/>
    <w:uiPriority w:val="99"/>
    <w:pPr>
      <w:widowControl/>
      <w:spacing w:before="120" w:after="120" w:line="240" w:lineRule="auto"/>
      <w:jc w:val="both"/>
    </w:pPr>
    <w:rPr>
      <w:rFonts w:eastAsia="Calibri"/>
      <w:szCs w:val="22"/>
      <w:lang w:eastAsia="en-US"/>
    </w:rPr>
  </w:style>
  <w:style w:type="paragraph" w:customStyle="1" w:styleId="Point4letter">
    <w:name w:val="Point 4 (letter)"/>
    <w:basedOn w:val="Normal"/>
    <w:uiPriority w:val="99"/>
    <w:pPr>
      <w:widowControl/>
      <w:spacing w:before="120" w:after="120" w:line="240" w:lineRule="auto"/>
      <w:jc w:val="both"/>
    </w:pPr>
    <w:rPr>
      <w:rFonts w:eastAsia="Calibri"/>
      <w:szCs w:val="22"/>
      <w:lang w:eastAsia="en-US"/>
    </w:rPr>
  </w:style>
  <w:style w:type="paragraph" w:customStyle="1" w:styleId="Typedudocument">
    <w:name w:val="Type du document"/>
    <w:basedOn w:val="Normal"/>
    <w:next w:val="Normal"/>
    <w:uiPriority w:val="99"/>
    <w:pPr>
      <w:widowControl/>
      <w:spacing w:before="360" w:line="240" w:lineRule="auto"/>
      <w:jc w:val="center"/>
    </w:pPr>
    <w:rPr>
      <w:rFonts w:eastAsia="Calibr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0">
    <w:name w:val="En-tête #2_"/>
    <w:link w:val="En-tte2"/>
    <w:locked/>
    <w:rPr>
      <w:shd w:val="clear" w:color="auto" w:fill="FFFFFF"/>
    </w:rPr>
  </w:style>
  <w:style w:type="paragraph" w:customStyle="1" w:styleId="En-tte2">
    <w:name w:val="En-tête #2"/>
    <w:basedOn w:val="Normal"/>
    <w:link w:val="En-tte20"/>
    <w:pPr>
      <w:numPr>
        <w:numId w:val="27"/>
      </w:numPr>
      <w:shd w:val="clear" w:color="auto" w:fill="FFFFFF"/>
      <w:spacing w:after="300" w:line="0" w:lineRule="atLeast"/>
      <w:ind w:left="0" w:firstLine="0"/>
      <w:jc w:val="center"/>
      <w:outlineLvl w:val="1"/>
    </w:pPr>
    <w:rPr>
      <w:sz w:val="20"/>
      <w:lang w:eastAsia="en-GB"/>
    </w:rPr>
  </w:style>
  <w:style w:type="character" w:customStyle="1" w:styleId="listeChar">
    <w:name w:val="liste Char"/>
    <w:link w:val="liste"/>
    <w:locked/>
    <w:rPr>
      <w:rFonts w:eastAsia="MS Mincho"/>
      <w:lang w:eastAsia="ja-JP"/>
    </w:rPr>
  </w:style>
  <w:style w:type="paragraph" w:customStyle="1" w:styleId="liste">
    <w:name w:val="liste"/>
    <w:basedOn w:val="Normal"/>
    <w:link w:val="listeChar"/>
    <w:qFormat/>
    <w:pPr>
      <w:autoSpaceDE w:val="0"/>
      <w:autoSpaceDN w:val="0"/>
      <w:adjustRightInd w:val="0"/>
      <w:spacing w:line="240" w:lineRule="auto"/>
      <w:jc w:val="both"/>
    </w:pPr>
    <w:rPr>
      <w:rFonts w:eastAsia="MS Mincho"/>
      <w:sz w:val="20"/>
      <w:lang w:eastAsia="ja-JP"/>
    </w:rPr>
  </w:style>
  <w:style w:type="character" w:customStyle="1" w:styleId="liste2Char">
    <w:name w:val="liste2 Char"/>
    <w:link w:val="liste2"/>
    <w:uiPriority w:val="99"/>
    <w:locked/>
    <w:rPr>
      <w:rFonts w:eastAsia="MS Mincho"/>
      <w:color w:val="000000"/>
      <w:lang w:eastAsia="ja-JP"/>
    </w:rPr>
  </w:style>
  <w:style w:type="paragraph" w:customStyle="1" w:styleId="liste2">
    <w:name w:val="liste2"/>
    <w:basedOn w:val="Normal"/>
    <w:link w:val="liste2Char"/>
    <w:uiPriority w:val="99"/>
    <w:qFormat/>
    <w:pPr>
      <w:spacing w:line="240" w:lineRule="auto"/>
      <w:jc w:val="both"/>
    </w:pPr>
    <w:rPr>
      <w:rFonts w:eastAsia="MS Mincho"/>
      <w:color w:val="000000"/>
      <w:sz w:val="20"/>
      <w:lang w:eastAsia="ja-JP"/>
    </w:rPr>
  </w:style>
  <w:style w:type="character" w:customStyle="1" w:styleId="apple-converted-space">
    <w:name w:val="apple-converted-space"/>
    <w:basedOn w:val="DefaultParagraphFont"/>
  </w:style>
  <w:style w:type="table" w:styleId="TableGrid">
    <w:name w:val="Table Grid"/>
    <w:basedOn w:val="TableNormal"/>
    <w:uiPriority w:val="59"/>
    <w:rPr>
      <w:rFonts w:eastAsia="MS Minch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B4809-208F-42A3-88A3-0F53D23F8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8459</Words>
  <Characters>48221</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56567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2026-07-24T08:42:00Z</dcterms:created>
  <dcterms:modified xsi:type="dcterms:W3CDTF">2026-09-04T18:34:00Z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