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Default="00A9447B" w:rsidP="00A9447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D49F04A-894C-466B-A2CF-3A2124CC21C2" style="width:455.25pt;height:342.75pt">
            <v:imagedata r:id="rId11" o:title=""/>
          </v:shape>
        </w:pict>
      </w:r>
    </w:p>
    <w:p w:rsidR="00896269" w:rsidRDefault="00896269" w:rsidP="00896269">
      <w:pPr>
        <w:rPr>
          <w:noProof/>
        </w:rPr>
        <w:sectPr w:rsidR="00896269" w:rsidSect="00A9447B">
          <w:footerReference w:type="even" r:id="rId12"/>
          <w:footerReference w:type="default" r:id="rId13"/>
          <w:pgSz w:w="11907" w:h="16839"/>
          <w:pgMar w:top="1134" w:right="1417" w:bottom="1134" w:left="1417" w:header="709" w:footer="709" w:gutter="0"/>
          <w:pgNumType w:start="0"/>
          <w:cols w:space="720"/>
          <w:docGrid w:linePitch="360"/>
        </w:sectPr>
      </w:pPr>
    </w:p>
    <w:p w:rsidR="00896269" w:rsidRDefault="00896269" w:rsidP="0006154B">
      <w:pPr>
        <w:pStyle w:val="Exposdesmotifstitre"/>
        <w:rPr>
          <w:noProof/>
        </w:rPr>
      </w:pPr>
      <w:bookmarkStart w:id="0" w:name="_GoBack"/>
      <w:bookmarkEnd w:id="0"/>
      <w:r w:rsidRPr="006F770D">
        <w:rPr>
          <w:noProof/>
        </w:rPr>
        <w:lastRenderedPageBreak/>
        <w:t>EXPLANATORY MEMORANDUM</w:t>
      </w:r>
    </w:p>
    <w:p w:rsidR="00896269" w:rsidRPr="006F770D" w:rsidRDefault="00896269" w:rsidP="0006154B">
      <w:pPr>
        <w:pStyle w:val="ManualHeading1"/>
        <w:rPr>
          <w:noProof/>
        </w:rPr>
      </w:pPr>
      <w:r w:rsidRPr="00C567EE">
        <w:rPr>
          <w:noProof/>
        </w:rPr>
        <w:t>1.</w:t>
      </w:r>
      <w:r w:rsidRPr="00C567EE">
        <w:rPr>
          <w:noProof/>
        </w:rPr>
        <w:tab/>
      </w:r>
      <w:r w:rsidRPr="006F770D">
        <w:rPr>
          <w:noProof/>
        </w:rPr>
        <w:t>CONTEXT OF THE PROPOSAL</w:t>
      </w:r>
    </w:p>
    <w:p w:rsidR="00896269" w:rsidRPr="00044058" w:rsidRDefault="00896269" w:rsidP="0006154B">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E61227" w:rsidRPr="00FC2A32" w:rsidRDefault="2C4A9B68" w:rsidP="3C273E85">
      <w:pPr>
        <w:pBdr>
          <w:top w:val="nil"/>
          <w:left w:val="nil"/>
          <w:bottom w:val="nil"/>
          <w:right w:val="nil"/>
          <w:between w:val="nil"/>
          <w:bar w:val="nil"/>
        </w:pBdr>
        <w:spacing w:before="0" w:after="240"/>
        <w:rPr>
          <w:noProof/>
        </w:rPr>
      </w:pPr>
      <w:r w:rsidRPr="00FC2A32">
        <w:rPr>
          <w:noProof/>
        </w:rPr>
        <w:t>Indonesia is the EU’s 3</w:t>
      </w:r>
      <w:r w:rsidR="4C0DCBB6" w:rsidRPr="00FC2A32">
        <w:rPr>
          <w:noProof/>
        </w:rPr>
        <w:t>0</w:t>
      </w:r>
      <w:r w:rsidRPr="00FC2A32">
        <w:rPr>
          <w:noProof/>
        </w:rPr>
        <w:t>t</w:t>
      </w:r>
      <w:r w:rsidR="4C0DCBB6" w:rsidRPr="00FC2A32">
        <w:rPr>
          <w:noProof/>
        </w:rPr>
        <w:t>h</w:t>
      </w:r>
      <w:r w:rsidRPr="00FC2A32">
        <w:rPr>
          <w:noProof/>
        </w:rPr>
        <w:t xml:space="preserve"> largest trading partner for goods</w:t>
      </w:r>
      <w:r w:rsidR="150662C4" w:rsidRPr="00FC2A32">
        <w:rPr>
          <w:noProof/>
        </w:rPr>
        <w:t xml:space="preserve"> globally and the EU’s fifth trading partner in the AS</w:t>
      </w:r>
      <w:r w:rsidR="27217E27" w:rsidRPr="00FC2A32">
        <w:rPr>
          <w:noProof/>
        </w:rPr>
        <w:t>E</w:t>
      </w:r>
      <w:r w:rsidR="150662C4" w:rsidRPr="00FC2A32">
        <w:rPr>
          <w:noProof/>
        </w:rPr>
        <w:t>AN</w:t>
      </w:r>
      <w:r w:rsidR="4C0DCBB6" w:rsidRPr="00FC2A32">
        <w:rPr>
          <w:noProof/>
        </w:rPr>
        <w:t xml:space="preserve"> in 2025</w:t>
      </w:r>
      <w:r w:rsidR="150662C4" w:rsidRPr="00FC2A32">
        <w:rPr>
          <w:noProof/>
        </w:rPr>
        <w:t>,</w:t>
      </w:r>
      <w:r w:rsidRPr="00FC2A32">
        <w:rPr>
          <w:noProof/>
        </w:rPr>
        <w:t xml:space="preserve"> while the EU is Indonesia’s </w:t>
      </w:r>
      <w:r w:rsidR="27217E27" w:rsidRPr="00FC2A32">
        <w:rPr>
          <w:noProof/>
        </w:rPr>
        <w:t>fourth largest</w:t>
      </w:r>
      <w:r w:rsidRPr="00FC2A32">
        <w:rPr>
          <w:noProof/>
        </w:rPr>
        <w:t xml:space="preserve"> trading part</w:t>
      </w:r>
      <w:r w:rsidR="150662C4" w:rsidRPr="00FC2A32">
        <w:rPr>
          <w:noProof/>
        </w:rPr>
        <w:t>n</w:t>
      </w:r>
      <w:r w:rsidRPr="00FC2A32">
        <w:rPr>
          <w:noProof/>
        </w:rPr>
        <w:t>er, accounting for 6</w:t>
      </w:r>
      <w:r w:rsidR="4C0DCBB6" w:rsidRPr="00FC2A32">
        <w:rPr>
          <w:noProof/>
        </w:rPr>
        <w:t>%</w:t>
      </w:r>
      <w:r w:rsidRPr="00FC2A32">
        <w:rPr>
          <w:noProof/>
        </w:rPr>
        <w:t xml:space="preserve"> of its total trade</w:t>
      </w:r>
      <w:r w:rsidR="150662C4" w:rsidRPr="00FC2A32">
        <w:rPr>
          <w:noProof/>
        </w:rPr>
        <w:t xml:space="preserve">. Bilateral trade between the two partners </w:t>
      </w:r>
      <w:r w:rsidR="4C0DCBB6" w:rsidRPr="00FC2A32">
        <w:rPr>
          <w:noProof/>
        </w:rPr>
        <w:t>amounted to</w:t>
      </w:r>
      <w:r w:rsidR="150662C4" w:rsidRPr="00FC2A32">
        <w:rPr>
          <w:noProof/>
        </w:rPr>
        <w:t xml:space="preserve"> </w:t>
      </w:r>
      <w:r w:rsidR="00EF3A4F" w:rsidRPr="00FC2A32">
        <w:rPr>
          <w:noProof/>
        </w:rPr>
        <w:t>EUR </w:t>
      </w:r>
      <w:r w:rsidR="4C0DCBB6" w:rsidRPr="00FC2A32">
        <w:rPr>
          <w:noProof/>
        </w:rPr>
        <w:t>28</w:t>
      </w:r>
      <w:r w:rsidR="150662C4" w:rsidRPr="00FC2A32">
        <w:rPr>
          <w:noProof/>
        </w:rPr>
        <w:t>.</w:t>
      </w:r>
      <w:r w:rsidR="4C0DCBB6" w:rsidRPr="00FC2A32">
        <w:rPr>
          <w:noProof/>
        </w:rPr>
        <w:t>9</w:t>
      </w:r>
      <w:r w:rsidR="150662C4" w:rsidRPr="00FC2A32">
        <w:rPr>
          <w:noProof/>
        </w:rPr>
        <w:t xml:space="preserve"> billion in 202</w:t>
      </w:r>
      <w:r w:rsidR="4C0DCBB6" w:rsidRPr="00FC2A32">
        <w:rPr>
          <w:noProof/>
        </w:rPr>
        <w:t xml:space="preserve">5, with EU exports worth </w:t>
      </w:r>
      <w:r w:rsidR="00EF3A4F" w:rsidRPr="00FC2A32">
        <w:rPr>
          <w:noProof/>
        </w:rPr>
        <w:t>EUR </w:t>
      </w:r>
      <w:r w:rsidR="4C0DCBB6" w:rsidRPr="00FC2A32">
        <w:rPr>
          <w:noProof/>
        </w:rPr>
        <w:t xml:space="preserve">10.2 billion and EU imports worth </w:t>
      </w:r>
      <w:r w:rsidR="00EF3A4F" w:rsidRPr="00FC2A32">
        <w:rPr>
          <w:noProof/>
        </w:rPr>
        <w:t>EUR </w:t>
      </w:r>
      <w:r w:rsidR="4C0DCBB6" w:rsidRPr="00FC2A32">
        <w:rPr>
          <w:noProof/>
        </w:rPr>
        <w:t>18.7 billion</w:t>
      </w:r>
      <w:r w:rsidR="150662C4" w:rsidRPr="00FC2A32">
        <w:rPr>
          <w:noProof/>
        </w:rPr>
        <w:t xml:space="preserve">. </w:t>
      </w:r>
      <w:r w:rsidR="4B78793C" w:rsidRPr="00FC2A32">
        <w:rPr>
          <w:noProof/>
        </w:rPr>
        <w:t>Indonesia exports</w:t>
      </w:r>
      <w:r w:rsidR="18BFC809" w:rsidRPr="00FC2A32">
        <w:rPr>
          <w:noProof/>
        </w:rPr>
        <w:t xml:space="preserve"> to the EU </w:t>
      </w:r>
      <w:r w:rsidR="00496FEE" w:rsidRPr="00FC2A32">
        <w:rPr>
          <w:noProof/>
        </w:rPr>
        <w:t>include</w:t>
      </w:r>
      <w:r w:rsidR="4B78793C" w:rsidRPr="00FC2A32">
        <w:rPr>
          <w:noProof/>
        </w:rPr>
        <w:t xml:space="preserve"> mainly</w:t>
      </w:r>
      <w:r w:rsidR="00496FEE" w:rsidRPr="00FC2A32">
        <w:rPr>
          <w:noProof/>
        </w:rPr>
        <w:t xml:space="preserve"> agricultural products,</w:t>
      </w:r>
      <w:r w:rsidR="150662C4" w:rsidRPr="00FC2A32">
        <w:rPr>
          <w:noProof/>
        </w:rPr>
        <w:t xml:space="preserve"> base metals</w:t>
      </w:r>
      <w:r w:rsidR="4B78793C" w:rsidRPr="00FC2A32">
        <w:rPr>
          <w:noProof/>
        </w:rPr>
        <w:t>, chemicals, machinery and appliances, fats and oils as well as footwear. The EU’s exports to Indonesia are largely dominated by</w:t>
      </w:r>
      <w:r w:rsidR="00496FEE" w:rsidRPr="00FC2A32">
        <w:rPr>
          <w:noProof/>
        </w:rPr>
        <w:t xml:space="preserve"> industrial products, including</w:t>
      </w:r>
      <w:r w:rsidR="4B78793C" w:rsidRPr="00FC2A32">
        <w:rPr>
          <w:noProof/>
        </w:rPr>
        <w:t xml:space="preserve"> machinery and appliances</w:t>
      </w:r>
      <w:r w:rsidR="00496FEE" w:rsidRPr="00FC2A32">
        <w:rPr>
          <w:noProof/>
        </w:rPr>
        <w:t>, transport equipment and chemical products</w:t>
      </w:r>
      <w:r w:rsidR="4B78793C" w:rsidRPr="00FC2A32">
        <w:rPr>
          <w:noProof/>
        </w:rPr>
        <w:t xml:space="preserve">. </w:t>
      </w:r>
      <w:r w:rsidR="4C0DCBB6" w:rsidRPr="00FC2A32">
        <w:rPr>
          <w:noProof/>
        </w:rPr>
        <w:t xml:space="preserve">Bilateral trade in services between the EU and Indonesia amounted to </w:t>
      </w:r>
      <w:r w:rsidR="00EF3A4F" w:rsidRPr="00FC2A32">
        <w:rPr>
          <w:noProof/>
        </w:rPr>
        <w:t>EUR </w:t>
      </w:r>
      <w:r w:rsidR="4C0DCBB6" w:rsidRPr="00FC2A32">
        <w:rPr>
          <w:noProof/>
        </w:rPr>
        <w:t>9.3 b</w:t>
      </w:r>
      <w:r w:rsidR="18BFC809" w:rsidRPr="00FC2A32">
        <w:rPr>
          <w:noProof/>
        </w:rPr>
        <w:t>i</w:t>
      </w:r>
      <w:r w:rsidR="4C0DCBB6" w:rsidRPr="00FC2A32">
        <w:rPr>
          <w:noProof/>
        </w:rPr>
        <w:t xml:space="preserve">llion in 2024, with EU exports amounting to </w:t>
      </w:r>
      <w:r w:rsidR="00EF3A4F" w:rsidRPr="00FC2A32">
        <w:rPr>
          <w:noProof/>
        </w:rPr>
        <w:t>EUR </w:t>
      </w:r>
      <w:r w:rsidR="4C0DCBB6" w:rsidRPr="00FC2A32">
        <w:rPr>
          <w:noProof/>
        </w:rPr>
        <w:t xml:space="preserve">5.8 billion and imports amounting to </w:t>
      </w:r>
      <w:r w:rsidR="00EF3A4F" w:rsidRPr="00FC2A32">
        <w:rPr>
          <w:noProof/>
        </w:rPr>
        <w:t>EUR </w:t>
      </w:r>
      <w:r w:rsidR="4C0DCBB6" w:rsidRPr="00FC2A32">
        <w:rPr>
          <w:noProof/>
        </w:rPr>
        <w:t>3.5 billion. In 2024, the EU’s foreign direct investment stoc</w:t>
      </w:r>
      <w:r w:rsidR="18BFC809" w:rsidRPr="00FC2A32">
        <w:rPr>
          <w:noProof/>
        </w:rPr>
        <w:t>k</w:t>
      </w:r>
      <w:r w:rsidR="4C0DCBB6" w:rsidRPr="00FC2A32">
        <w:rPr>
          <w:noProof/>
        </w:rPr>
        <w:t xml:space="preserve"> in Indonesia amounted to </w:t>
      </w:r>
      <w:r w:rsidR="00EF3A4F" w:rsidRPr="00FC2A32">
        <w:rPr>
          <w:noProof/>
        </w:rPr>
        <w:t>EUR </w:t>
      </w:r>
      <w:r w:rsidR="4C0DCBB6" w:rsidRPr="00FC2A32">
        <w:rPr>
          <w:noProof/>
        </w:rPr>
        <w:t>24.7 billion, while Indonesia’s FDI stock in the EU was</w:t>
      </w:r>
      <w:r w:rsidR="18BFC809" w:rsidRPr="00FC2A32">
        <w:rPr>
          <w:noProof/>
        </w:rPr>
        <w:t xml:space="preserve"> </w:t>
      </w:r>
      <w:r w:rsidR="00EF3A4F" w:rsidRPr="00FC2A32">
        <w:rPr>
          <w:noProof/>
        </w:rPr>
        <w:t>EUR </w:t>
      </w:r>
      <w:r w:rsidR="4C0DCBB6" w:rsidRPr="00FC2A32">
        <w:rPr>
          <w:noProof/>
        </w:rPr>
        <w:t>1.3 billion.</w:t>
      </w:r>
    </w:p>
    <w:p w:rsidR="00896269" w:rsidRPr="00FC2A32" w:rsidRDefault="4B78793C" w:rsidP="3C273E85">
      <w:pPr>
        <w:pBdr>
          <w:top w:val="nil"/>
          <w:left w:val="nil"/>
          <w:bottom w:val="nil"/>
          <w:right w:val="nil"/>
          <w:between w:val="nil"/>
          <w:bar w:val="nil"/>
        </w:pBdr>
        <w:spacing w:before="0" w:after="240"/>
        <w:rPr>
          <w:noProof/>
        </w:rPr>
      </w:pPr>
      <w:r w:rsidRPr="00FC2A32">
        <w:rPr>
          <w:noProof/>
        </w:rPr>
        <w:t>Indonesia</w:t>
      </w:r>
      <w:r w:rsidR="13FBF94F" w:rsidRPr="00FC2A32">
        <w:rPr>
          <w:noProof/>
        </w:rPr>
        <w:t>, a WTO member since 1995,</w:t>
      </w:r>
      <w:r w:rsidR="3CACD802" w:rsidRPr="00FC2A32">
        <w:rPr>
          <w:noProof/>
        </w:rPr>
        <w:t xml:space="preserve"> currently enjoys trade preferences with the EU under the Generalised Scheme of Preferences (</w:t>
      </w:r>
      <w:r w:rsidR="3E67DBE6" w:rsidRPr="00FC2A32">
        <w:rPr>
          <w:noProof/>
        </w:rPr>
        <w:t>“</w:t>
      </w:r>
      <w:r w:rsidR="3CACD802" w:rsidRPr="00FC2A32">
        <w:rPr>
          <w:noProof/>
        </w:rPr>
        <w:t>GSP</w:t>
      </w:r>
      <w:r w:rsidR="3E67DBE6" w:rsidRPr="00FC2A32">
        <w:rPr>
          <w:noProof/>
        </w:rPr>
        <w:t>”</w:t>
      </w:r>
      <w:r w:rsidR="3CACD802" w:rsidRPr="00FC2A32">
        <w:rPr>
          <w:noProof/>
        </w:rPr>
        <w:t>), of which it</w:t>
      </w:r>
      <w:r w:rsidRPr="00FC2A32">
        <w:rPr>
          <w:noProof/>
        </w:rPr>
        <w:t xml:space="preserve"> is the second largest beneficiary</w:t>
      </w:r>
      <w:r w:rsidR="3CACD802" w:rsidRPr="00FC2A32">
        <w:rPr>
          <w:noProof/>
        </w:rPr>
        <w:t>. I</w:t>
      </w:r>
      <w:r w:rsidRPr="00FC2A32">
        <w:rPr>
          <w:noProof/>
        </w:rPr>
        <w:t>n 2024, 44% of its exports to the EU were eligible for reduced tariffs under the GSP. Indonesia will</w:t>
      </w:r>
      <w:r w:rsidR="3CACD802" w:rsidRPr="00FC2A32">
        <w:rPr>
          <w:noProof/>
        </w:rPr>
        <w:t xml:space="preserve"> however</w:t>
      </w:r>
      <w:r w:rsidRPr="00FC2A32">
        <w:rPr>
          <w:noProof/>
        </w:rPr>
        <w:t xml:space="preserve"> graduate out of the GSP on 1 January 2027, due to its upper-middle income status over the last 3 years.</w:t>
      </w:r>
    </w:p>
    <w:p w:rsidR="00036664" w:rsidRPr="00FC2A32" w:rsidRDefault="00496FEE" w:rsidP="3C273E85">
      <w:pPr>
        <w:pBdr>
          <w:top w:val="nil"/>
          <w:left w:val="nil"/>
          <w:bottom w:val="nil"/>
          <w:right w:val="nil"/>
          <w:between w:val="nil"/>
          <w:bar w:val="nil"/>
        </w:pBdr>
        <w:spacing w:before="0" w:after="240"/>
        <w:rPr>
          <w:noProof/>
        </w:rPr>
      </w:pPr>
      <w:r w:rsidRPr="00FC2A32">
        <w:rPr>
          <w:noProof/>
        </w:rPr>
        <w:t xml:space="preserve">On 23 April 2007, the Council authorised the Commission to enter into negotiations </w:t>
      </w:r>
      <w:r w:rsidR="121665D2" w:rsidRPr="00FC2A32">
        <w:rPr>
          <w:noProof/>
        </w:rPr>
        <w:t>f</w:t>
      </w:r>
      <w:r w:rsidRPr="00FC2A32">
        <w:rPr>
          <w:noProof/>
        </w:rPr>
        <w:t xml:space="preserve">or a </w:t>
      </w:r>
      <w:r w:rsidR="121665D2" w:rsidRPr="00FC2A32">
        <w:rPr>
          <w:noProof/>
        </w:rPr>
        <w:t>f</w:t>
      </w:r>
      <w:r w:rsidRPr="00FC2A32">
        <w:rPr>
          <w:noProof/>
        </w:rPr>
        <w:t xml:space="preserve">ree </w:t>
      </w:r>
      <w:r w:rsidR="121665D2" w:rsidRPr="00FC2A32">
        <w:rPr>
          <w:noProof/>
        </w:rPr>
        <w:t>t</w:t>
      </w:r>
      <w:r w:rsidRPr="00FC2A32">
        <w:rPr>
          <w:noProof/>
        </w:rPr>
        <w:t xml:space="preserve">rade </w:t>
      </w:r>
      <w:r w:rsidR="121665D2" w:rsidRPr="00FC2A32">
        <w:rPr>
          <w:noProof/>
        </w:rPr>
        <w:t>a</w:t>
      </w:r>
      <w:r w:rsidRPr="00FC2A32">
        <w:rPr>
          <w:noProof/>
        </w:rPr>
        <w:t xml:space="preserve">greement with ASEAN countries. The objective at the time was to negotiate a region-to-region </w:t>
      </w:r>
      <w:r w:rsidR="121665D2" w:rsidRPr="00FC2A32">
        <w:rPr>
          <w:noProof/>
        </w:rPr>
        <w:t>f</w:t>
      </w:r>
      <w:r w:rsidRPr="00FC2A32">
        <w:rPr>
          <w:noProof/>
        </w:rPr>
        <w:t xml:space="preserve">ree </w:t>
      </w:r>
      <w:r w:rsidR="121665D2" w:rsidRPr="00FC2A32">
        <w:rPr>
          <w:noProof/>
        </w:rPr>
        <w:t>t</w:t>
      </w:r>
      <w:r w:rsidRPr="00FC2A32">
        <w:rPr>
          <w:noProof/>
        </w:rPr>
        <w:t xml:space="preserve">rade </w:t>
      </w:r>
      <w:r w:rsidR="121665D2" w:rsidRPr="00FC2A32">
        <w:rPr>
          <w:noProof/>
        </w:rPr>
        <w:t>a</w:t>
      </w:r>
      <w:r w:rsidRPr="00FC2A32">
        <w:rPr>
          <w:noProof/>
        </w:rPr>
        <w:t>greement. The authorisation however provided for the possibility of bilateral negotiations in the event that it was not possible to reach agreement to negotiat</w:t>
      </w:r>
      <w:r w:rsidR="759506F6" w:rsidRPr="00FC2A32">
        <w:rPr>
          <w:noProof/>
        </w:rPr>
        <w:t>e</w:t>
      </w:r>
      <w:r w:rsidRPr="00FC2A32">
        <w:rPr>
          <w:noProof/>
        </w:rPr>
        <w:t xml:space="preserve"> jointly, and w</w:t>
      </w:r>
      <w:r w:rsidR="36FD16C8" w:rsidRPr="00FC2A32">
        <w:rPr>
          <w:noProof/>
        </w:rPr>
        <w:t>h</w:t>
      </w:r>
      <w:r w:rsidRPr="00FC2A32">
        <w:rPr>
          <w:noProof/>
        </w:rPr>
        <w:t>ere such bilateral negotiations were politically acceptable and economically meaningful.</w:t>
      </w:r>
    </w:p>
    <w:p w:rsidR="00DD7CA3" w:rsidRPr="00FC2A32" w:rsidRDefault="36FD16C8" w:rsidP="3C273E85">
      <w:pPr>
        <w:pBdr>
          <w:top w:val="nil"/>
          <w:left w:val="nil"/>
          <w:bottom w:val="nil"/>
          <w:right w:val="nil"/>
          <w:between w:val="nil"/>
          <w:bar w:val="nil"/>
        </w:pBdr>
        <w:spacing w:before="0" w:after="240"/>
        <w:rPr>
          <w:noProof/>
        </w:rPr>
      </w:pPr>
      <w:r w:rsidRPr="00FC2A32">
        <w:rPr>
          <w:noProof/>
        </w:rPr>
        <w:t>On 8 May 2009, the Commission reported</w:t>
      </w:r>
      <w:r w:rsidR="6916C256" w:rsidRPr="00FC2A32">
        <w:rPr>
          <w:noProof/>
        </w:rPr>
        <w:t xml:space="preserve"> to the Article 133 Committee </w:t>
      </w:r>
      <w:r w:rsidR="1F39CD75" w:rsidRPr="00FC2A32">
        <w:rPr>
          <w:noProof/>
        </w:rPr>
        <w:t>–</w:t>
      </w:r>
      <w:r w:rsidR="6916C256" w:rsidRPr="00FC2A32">
        <w:rPr>
          <w:noProof/>
        </w:rPr>
        <w:t xml:space="preserve"> </w:t>
      </w:r>
      <w:r w:rsidR="1F39CD75" w:rsidRPr="00FC2A32">
        <w:rPr>
          <w:noProof/>
        </w:rPr>
        <w:t xml:space="preserve">as it was known </w:t>
      </w:r>
      <w:r w:rsidR="6916C256" w:rsidRPr="00FC2A32">
        <w:rPr>
          <w:noProof/>
        </w:rPr>
        <w:t>at the time</w:t>
      </w:r>
      <w:r w:rsidR="759506F6" w:rsidRPr="00FC2A32">
        <w:rPr>
          <w:noProof/>
        </w:rPr>
        <w:t xml:space="preserve"> </w:t>
      </w:r>
      <w:r w:rsidR="6916C256" w:rsidRPr="00FC2A32">
        <w:rPr>
          <w:noProof/>
        </w:rPr>
        <w:t>- on the difficulties encountered in the EU-ASEAN negotiations, which both sides had agreed to pause. The Article 133 Committee asked the Commission to explore the prospects of individual bilateral negotiations with a number of ASEAN countries and in December 2009 the Council endorsed</w:t>
      </w:r>
      <w:r w:rsidR="456E6C95" w:rsidRPr="00FC2A32">
        <w:rPr>
          <w:noProof/>
        </w:rPr>
        <w:t xml:space="preserve"> this approach.</w:t>
      </w:r>
      <w:r w:rsidR="6916C256" w:rsidRPr="00FC2A32">
        <w:rPr>
          <w:noProof/>
        </w:rPr>
        <w:t xml:space="preserve"> </w:t>
      </w:r>
    </w:p>
    <w:p w:rsidR="00DD7CA3" w:rsidRDefault="4DF52A34" w:rsidP="3C273E85">
      <w:pPr>
        <w:pBdr>
          <w:top w:val="nil"/>
          <w:left w:val="nil"/>
          <w:bottom w:val="nil"/>
          <w:right w:val="nil"/>
          <w:between w:val="nil"/>
          <w:bar w:val="nil"/>
        </w:pBdr>
        <w:spacing w:before="0" w:after="240"/>
        <w:rPr>
          <w:rFonts w:eastAsia="Arial Unicode MS"/>
          <w:noProof/>
        </w:rPr>
      </w:pPr>
      <w:r w:rsidRPr="3C273E85">
        <w:rPr>
          <w:rFonts w:eastAsia="Arial Unicode MS"/>
          <w:noProof/>
        </w:rPr>
        <w:t>Indonesian President Susilo Bambang Yudhoyono and European Commission President José Manuel Barroso</w:t>
      </w:r>
      <w:r w:rsidR="5A2D470E" w:rsidRPr="3C273E85">
        <w:rPr>
          <w:rFonts w:eastAsia="Arial Unicode MS"/>
          <w:noProof/>
        </w:rPr>
        <w:t xml:space="preserve"> decided</w:t>
      </w:r>
      <w:r w:rsidRPr="3C273E85">
        <w:rPr>
          <w:rFonts w:eastAsia="Arial Unicode MS"/>
          <w:noProof/>
        </w:rPr>
        <w:t xml:space="preserve"> in late 2009</w:t>
      </w:r>
      <w:r w:rsidR="5A2D470E" w:rsidRPr="3C273E85">
        <w:rPr>
          <w:rFonts w:eastAsia="Arial Unicode MS"/>
          <w:noProof/>
        </w:rPr>
        <w:t xml:space="preserve"> to examine how commercial relations between the EU and Indonesia could be deepened</w:t>
      </w:r>
      <w:r w:rsidRPr="3C273E85">
        <w:rPr>
          <w:rFonts w:eastAsia="Arial Unicode MS"/>
          <w:noProof/>
        </w:rPr>
        <w:t xml:space="preserve">. </w:t>
      </w:r>
      <w:r w:rsidR="5A2D470E" w:rsidRPr="3C273E85">
        <w:rPr>
          <w:rFonts w:eastAsia="Arial Unicode MS"/>
          <w:noProof/>
        </w:rPr>
        <w:t>They</w:t>
      </w:r>
      <w:r w:rsidRPr="3C273E85">
        <w:rPr>
          <w:rFonts w:eastAsia="Arial Unicode MS"/>
          <w:noProof/>
        </w:rPr>
        <w:t xml:space="preserve"> tasked a Vision Group with representatives from Indonesia and the EU to produce recommendations on how to take relations to the next level. </w:t>
      </w:r>
      <w:r w:rsidR="6C7738EC" w:rsidRPr="3C273E85">
        <w:rPr>
          <w:rFonts w:eastAsia="Arial Unicode MS"/>
          <w:noProof/>
        </w:rPr>
        <w:t xml:space="preserve">The Vision Group </w:t>
      </w:r>
      <w:r w:rsidR="36FD16C8" w:rsidRPr="3C273E85">
        <w:rPr>
          <w:rFonts w:eastAsia="Arial Unicode MS"/>
          <w:noProof/>
        </w:rPr>
        <w:t xml:space="preserve">recommended on </w:t>
      </w:r>
      <w:r w:rsidR="6C7738EC" w:rsidRPr="3C273E85">
        <w:rPr>
          <w:rFonts w:eastAsia="Arial Unicode MS"/>
          <w:noProof/>
        </w:rPr>
        <w:t xml:space="preserve">4 May 2011 </w:t>
      </w:r>
      <w:r w:rsidR="54030CF2" w:rsidRPr="3C273E85">
        <w:rPr>
          <w:rFonts w:eastAsia="Arial Unicode MS"/>
          <w:noProof/>
        </w:rPr>
        <w:t>“</w:t>
      </w:r>
      <w:r w:rsidR="6C7738EC" w:rsidRPr="3C273E85">
        <w:rPr>
          <w:rFonts w:eastAsia="Arial Unicode MS"/>
          <w:noProof/>
        </w:rPr>
        <w:t xml:space="preserve">the conclusion of a Comprehensive Economic Partnership Agreement (CEPA) </w:t>
      </w:r>
      <w:r w:rsidR="456E6C95" w:rsidRPr="3C273E85">
        <w:rPr>
          <w:rFonts w:eastAsia="Arial Unicode MS"/>
          <w:noProof/>
        </w:rPr>
        <w:t xml:space="preserve">between the EU and Indonesia, </w:t>
      </w:r>
      <w:r w:rsidR="6C7738EC" w:rsidRPr="3C273E85">
        <w:rPr>
          <w:rFonts w:eastAsia="Arial Unicode MS"/>
          <w:noProof/>
        </w:rPr>
        <w:t xml:space="preserve">based on a free trade area and building on </w:t>
      </w:r>
      <w:r w:rsidR="51D1310D" w:rsidRPr="3C273E85">
        <w:rPr>
          <w:rFonts w:eastAsia="Arial Unicode MS"/>
          <w:noProof/>
        </w:rPr>
        <w:t>enhanced</w:t>
      </w:r>
      <w:r w:rsidR="6C7738EC" w:rsidRPr="3C273E85">
        <w:rPr>
          <w:rFonts w:eastAsia="Arial Unicode MS"/>
          <w:noProof/>
        </w:rPr>
        <w:t xml:space="preserve"> market access, capacity building and facilitation of trade and investment</w:t>
      </w:r>
      <w:r w:rsidR="54030CF2" w:rsidRPr="3C273E85">
        <w:rPr>
          <w:rFonts w:eastAsia="Arial Unicode MS"/>
          <w:noProof/>
        </w:rPr>
        <w:t>”</w:t>
      </w:r>
      <w:r w:rsidR="6C7738EC" w:rsidRPr="3C273E85">
        <w:rPr>
          <w:rFonts w:eastAsia="Arial Unicode MS"/>
          <w:noProof/>
        </w:rPr>
        <w:t xml:space="preserve">. </w:t>
      </w:r>
      <w:r w:rsidR="7B9B0CF1" w:rsidRPr="3C273E85">
        <w:rPr>
          <w:rFonts w:eastAsia="Arial Unicode MS"/>
          <w:noProof/>
        </w:rPr>
        <w:t xml:space="preserve">Important consideration was given to Indonesia’s large potential in terms of size, current and expected </w:t>
      </w:r>
      <w:r w:rsidR="51D1310D" w:rsidRPr="3C273E85">
        <w:rPr>
          <w:rFonts w:eastAsia="Arial Unicode MS"/>
          <w:noProof/>
        </w:rPr>
        <w:t>growth</w:t>
      </w:r>
      <w:r w:rsidR="7B9B0CF1" w:rsidRPr="3C273E85">
        <w:rPr>
          <w:rFonts w:eastAsia="Arial Unicode MS"/>
          <w:noProof/>
        </w:rPr>
        <w:t xml:space="preserve"> rates, the shift of its economy towards manufacturing exports, emerging services, increasing openness and macro-economic stability. The complementarity </w:t>
      </w:r>
      <w:r w:rsidR="2E836D21" w:rsidRPr="3C273E85">
        <w:rPr>
          <w:rFonts w:eastAsia="Arial Unicode MS"/>
          <w:noProof/>
        </w:rPr>
        <w:t>between</w:t>
      </w:r>
      <w:r w:rsidR="7B9B0CF1" w:rsidRPr="3C273E85">
        <w:rPr>
          <w:rFonts w:eastAsia="Arial Unicode MS"/>
          <w:noProof/>
        </w:rPr>
        <w:t xml:space="preserve"> the EU’s and Indonesia’s economies, with the EU exporting very different products to Indonesia than Indonesia to Europe,</w:t>
      </w:r>
      <w:r w:rsidR="51D1310D" w:rsidRPr="3C273E85">
        <w:rPr>
          <w:rFonts w:eastAsia="Arial Unicode MS"/>
          <w:noProof/>
        </w:rPr>
        <w:t xml:space="preserve"> also</w:t>
      </w:r>
      <w:r w:rsidR="7B9B0CF1" w:rsidRPr="3C273E85">
        <w:rPr>
          <w:rFonts w:eastAsia="Arial Unicode MS"/>
          <w:noProof/>
        </w:rPr>
        <w:t xml:space="preserve"> played a significant role.</w:t>
      </w:r>
    </w:p>
    <w:p w:rsidR="00022022" w:rsidRPr="00DB59FF" w:rsidRDefault="628066F5" w:rsidP="3C273E85">
      <w:pPr>
        <w:pBdr>
          <w:top w:val="nil"/>
          <w:left w:val="nil"/>
          <w:bottom w:val="nil"/>
          <w:right w:val="nil"/>
          <w:between w:val="nil"/>
          <w:bar w:val="nil"/>
        </w:pBdr>
        <w:spacing w:before="0" w:after="240"/>
        <w:rPr>
          <w:rFonts w:eastAsia="Arial Unicode MS"/>
          <w:noProof/>
        </w:rPr>
      </w:pPr>
      <w:r w:rsidRPr="3C273E85">
        <w:rPr>
          <w:rFonts w:eastAsia="Arial Unicode MS"/>
          <w:noProof/>
        </w:rPr>
        <w:lastRenderedPageBreak/>
        <w:t>The EU and Indonesia carried out a joint scoping exercise</w:t>
      </w:r>
      <w:r w:rsidR="3FC303CD" w:rsidRPr="3C273E85">
        <w:rPr>
          <w:rFonts w:eastAsia="Arial Unicode MS"/>
          <w:noProof/>
        </w:rPr>
        <w:t xml:space="preserve"> </w:t>
      </w:r>
      <w:r w:rsidRPr="3C273E85">
        <w:rPr>
          <w:rFonts w:eastAsia="Arial Unicode MS"/>
          <w:noProof/>
        </w:rPr>
        <w:t>to determine the scope and the level of ambition of a future trade agreement. This exercise was concluded in April 2016</w:t>
      </w:r>
      <w:r w:rsidR="1481D82A" w:rsidRPr="3C273E85">
        <w:rPr>
          <w:rFonts w:eastAsia="Arial Unicode MS"/>
          <w:noProof/>
        </w:rPr>
        <w:t xml:space="preserve">, demonstrating that negotiations could lead to a trade agreement in both sides’ interest. </w:t>
      </w:r>
    </w:p>
    <w:p w:rsidR="003A57E6" w:rsidRPr="00DB59FF" w:rsidRDefault="00560E01" w:rsidP="6721725C">
      <w:pPr>
        <w:pBdr>
          <w:top w:val="nil"/>
          <w:left w:val="nil"/>
          <w:bottom w:val="nil"/>
          <w:right w:val="nil"/>
          <w:between w:val="nil"/>
          <w:bar w:val="nil"/>
        </w:pBdr>
        <w:tabs>
          <w:tab w:val="left" w:pos="5387"/>
        </w:tabs>
        <w:spacing w:before="0" w:after="240"/>
        <w:rPr>
          <w:rFonts w:eastAsia="Arial Unicode MS"/>
          <w:noProof/>
        </w:rPr>
      </w:pPr>
      <w:r w:rsidRPr="6721725C">
        <w:rPr>
          <w:rFonts w:eastAsia="Arial Unicode MS"/>
          <w:noProof/>
        </w:rPr>
        <w:t>On 13 July 201</w:t>
      </w:r>
      <w:r w:rsidR="00FD6CB3" w:rsidRPr="6721725C">
        <w:rPr>
          <w:rFonts w:eastAsia="Arial Unicode MS"/>
          <w:noProof/>
        </w:rPr>
        <w:t>6</w:t>
      </w:r>
      <w:r w:rsidRPr="6721725C">
        <w:rPr>
          <w:rFonts w:eastAsia="Arial Unicode MS"/>
          <w:noProof/>
        </w:rPr>
        <w:t>, the Council authorised the Commission to start bilateral FTA negotiations with Indonesia</w:t>
      </w:r>
      <w:r w:rsidR="00F92F00" w:rsidRPr="6721725C">
        <w:rPr>
          <w:rFonts w:eastAsia="Arial Unicode MS"/>
          <w:noProof/>
        </w:rPr>
        <w:t xml:space="preserve">. </w:t>
      </w:r>
      <w:r w:rsidR="00DD7DB4" w:rsidRPr="00FC2A32">
        <w:rPr>
          <w:noProof/>
        </w:rPr>
        <w:t>The negotiations for a Comprehensive Economic Partnership Agreement (</w:t>
      </w:r>
      <w:r w:rsidR="0026242E" w:rsidRPr="00FC2A32">
        <w:rPr>
          <w:noProof/>
        </w:rPr>
        <w:t>“</w:t>
      </w:r>
      <w:r w:rsidR="00DD7DB4" w:rsidRPr="00FC2A32">
        <w:rPr>
          <w:noProof/>
        </w:rPr>
        <w:t>CEPA</w:t>
      </w:r>
      <w:r w:rsidR="0026242E" w:rsidRPr="00FC2A32">
        <w:rPr>
          <w:noProof/>
        </w:rPr>
        <w:t>” or the “Agreement”)</w:t>
      </w:r>
      <w:r w:rsidR="00DD7DB4" w:rsidRPr="00FC2A32">
        <w:rPr>
          <w:noProof/>
        </w:rPr>
        <w:t xml:space="preserve">) between the EU and Indonesia </w:t>
      </w:r>
      <w:r w:rsidR="00022022" w:rsidRPr="00FC2A32">
        <w:rPr>
          <w:noProof/>
        </w:rPr>
        <w:t>were officially launched on 19 July 2016</w:t>
      </w:r>
      <w:r w:rsidR="008D7989" w:rsidRPr="00FC2A32">
        <w:rPr>
          <w:noProof/>
        </w:rPr>
        <w:t xml:space="preserve"> by Indonesian Trade Minister Thomas Lembong and </w:t>
      </w:r>
      <w:r w:rsidR="002B3EB9" w:rsidRPr="00FC2A32">
        <w:rPr>
          <w:noProof/>
        </w:rPr>
        <w:t xml:space="preserve">the </w:t>
      </w:r>
      <w:r w:rsidR="008D7989" w:rsidRPr="00FC2A32">
        <w:rPr>
          <w:noProof/>
        </w:rPr>
        <w:t xml:space="preserve">EU </w:t>
      </w:r>
      <w:r w:rsidR="002B3EB9" w:rsidRPr="00FC2A32">
        <w:rPr>
          <w:noProof/>
        </w:rPr>
        <w:t>A</w:t>
      </w:r>
      <w:r w:rsidR="008D7989" w:rsidRPr="00FC2A32">
        <w:rPr>
          <w:noProof/>
        </w:rPr>
        <w:t>mbassador to Indonesia Vincent Gu</w:t>
      </w:r>
      <w:r w:rsidR="00E91351">
        <w:rPr>
          <w:noProof/>
        </w:rPr>
        <w:t>é</w:t>
      </w:r>
      <w:r w:rsidR="008D7989" w:rsidRPr="00FC2A32">
        <w:rPr>
          <w:noProof/>
        </w:rPr>
        <w:t>rend</w:t>
      </w:r>
      <w:r w:rsidR="00022022" w:rsidRPr="00FC2A32">
        <w:rPr>
          <w:noProof/>
        </w:rPr>
        <w:t>. The first negotiating round took place in Brussels from 20-21 September 2016</w:t>
      </w:r>
      <w:r w:rsidR="00DD7DB4" w:rsidRPr="00FC2A32">
        <w:rPr>
          <w:noProof/>
        </w:rPr>
        <w:t>.</w:t>
      </w:r>
      <w:r w:rsidR="00DB59FF" w:rsidRPr="00FC2A32">
        <w:rPr>
          <w:noProof/>
        </w:rPr>
        <w:t xml:space="preserve"> </w:t>
      </w:r>
      <w:r w:rsidR="003A57E6" w:rsidRPr="6721725C">
        <w:rPr>
          <w:noProof/>
        </w:rPr>
        <w:t xml:space="preserve">The negotiations were supported by a Trade Sustainability Impact Assessment. Following a nine-year negotiation process and </w:t>
      </w:r>
      <w:r w:rsidR="00DB59FF" w:rsidRPr="6721725C">
        <w:rPr>
          <w:noProof/>
        </w:rPr>
        <w:t>19</w:t>
      </w:r>
      <w:r w:rsidR="003A57E6" w:rsidRPr="6721725C">
        <w:rPr>
          <w:noProof/>
        </w:rPr>
        <w:t xml:space="preserve"> rounds of negotiations, the EU and Indonesia concluded the negotiations for </w:t>
      </w:r>
      <w:r w:rsidR="008D7989" w:rsidRPr="6721725C">
        <w:rPr>
          <w:noProof/>
        </w:rPr>
        <w:t xml:space="preserve">the </w:t>
      </w:r>
      <w:r w:rsidR="003A57E6" w:rsidRPr="6721725C">
        <w:rPr>
          <w:noProof/>
        </w:rPr>
        <w:t xml:space="preserve">CEPA on </w:t>
      </w:r>
      <w:r w:rsidR="00DB59FF" w:rsidRPr="6721725C">
        <w:rPr>
          <w:noProof/>
        </w:rPr>
        <w:t>23</w:t>
      </w:r>
      <w:r w:rsidR="003A57E6" w:rsidRPr="6721725C">
        <w:rPr>
          <w:noProof/>
        </w:rPr>
        <w:t xml:space="preserve"> September 2025. </w:t>
      </w:r>
    </w:p>
    <w:p w:rsidR="003A57E6" w:rsidRPr="00DF46FE" w:rsidRDefault="003A57E6" w:rsidP="003A57E6">
      <w:pPr>
        <w:spacing w:after="240"/>
        <w:rPr>
          <w:noProof/>
        </w:rPr>
      </w:pPr>
      <w:r w:rsidRPr="6721725C">
        <w:rPr>
          <w:noProof/>
        </w:rPr>
        <w:t xml:space="preserve">From the broader geopolitical and geo-economic context, the conclusion of these negotiations with the main ASEAN economy sends a strong signal of </w:t>
      </w:r>
      <w:r w:rsidR="00847EFF" w:rsidRPr="6721725C">
        <w:rPr>
          <w:noProof/>
        </w:rPr>
        <w:t>the EU and Indonesia’s</w:t>
      </w:r>
      <w:r w:rsidRPr="6721725C">
        <w:rPr>
          <w:noProof/>
        </w:rPr>
        <w:t xml:space="preserve"> joint commitment to a rules-based trading system, and of the EU’s </w:t>
      </w:r>
      <w:r w:rsidR="00CE6A18" w:rsidRPr="6721725C">
        <w:rPr>
          <w:noProof/>
        </w:rPr>
        <w:t>resolve</w:t>
      </w:r>
      <w:r w:rsidRPr="6721725C">
        <w:rPr>
          <w:noProof/>
        </w:rPr>
        <w:t xml:space="preserve"> to accelerate its trade openness and diversification agenda. </w:t>
      </w:r>
    </w:p>
    <w:p w:rsidR="003A57E6" w:rsidRPr="00D5399D" w:rsidRDefault="003A57E6" w:rsidP="003A57E6">
      <w:pPr>
        <w:spacing w:after="240"/>
        <w:rPr>
          <w:rFonts w:eastAsia="Calibri"/>
          <w:noProof/>
        </w:rPr>
      </w:pPr>
      <w:r w:rsidRPr="6721725C">
        <w:rPr>
          <w:noProof/>
        </w:rPr>
        <w:t>The deal will</w:t>
      </w:r>
      <w:r w:rsidR="00B86E04" w:rsidRPr="6721725C">
        <w:rPr>
          <w:noProof/>
        </w:rPr>
        <w:t xml:space="preserve"> eliminate tariffs on over 98% of tariff lines, and close to 100%</w:t>
      </w:r>
      <w:r w:rsidR="7131EA65" w:rsidRPr="6721725C">
        <w:rPr>
          <w:noProof/>
        </w:rPr>
        <w:t xml:space="preserve"> of value</w:t>
      </w:r>
      <w:r w:rsidR="00B86E04" w:rsidRPr="6721725C">
        <w:rPr>
          <w:noProof/>
        </w:rPr>
        <w:t>. 80% will be liberalised already at entry into force, and after a 5-year phase</w:t>
      </w:r>
      <w:r w:rsidR="00E50C5D">
        <w:rPr>
          <w:noProof/>
        </w:rPr>
        <w:t>-</w:t>
      </w:r>
      <w:r w:rsidR="00B86E04" w:rsidRPr="6721725C">
        <w:rPr>
          <w:noProof/>
        </w:rPr>
        <w:t>out</w:t>
      </w:r>
      <w:r w:rsidR="00E50C5D">
        <w:rPr>
          <w:noProof/>
        </w:rPr>
        <w:t>,</w:t>
      </w:r>
      <w:r w:rsidR="00B86E04" w:rsidRPr="6721725C">
        <w:rPr>
          <w:noProof/>
        </w:rPr>
        <w:t xml:space="preserve"> liberalisation will reach 96% of</w:t>
      </w:r>
      <w:r w:rsidR="008E0833" w:rsidRPr="6721725C">
        <w:rPr>
          <w:noProof/>
        </w:rPr>
        <w:t xml:space="preserve"> bilateral</w:t>
      </w:r>
      <w:r w:rsidR="00B86E04" w:rsidRPr="6721725C">
        <w:rPr>
          <w:noProof/>
        </w:rPr>
        <w:t xml:space="preserve"> trade. </w:t>
      </w:r>
      <w:r w:rsidR="008E0833" w:rsidRPr="6721725C">
        <w:rPr>
          <w:noProof/>
        </w:rPr>
        <w:t>The CEPA also aims to remove technical barriers to trade in goods between the EU and Indonesia. It creates a more transparent, predictable, and cost-effective environment, enhanced market access and reduced costs.</w:t>
      </w:r>
      <w:r w:rsidRPr="6721725C">
        <w:rPr>
          <w:noProof/>
        </w:rPr>
        <w:t xml:space="preserve"> </w:t>
      </w:r>
      <w:r w:rsidR="008E0833" w:rsidRPr="6721725C">
        <w:rPr>
          <w:noProof/>
        </w:rPr>
        <w:t>The agreement will expand opportunities for EU and Indonesia services suppliers and</w:t>
      </w:r>
      <w:r w:rsidR="008E0833" w:rsidRPr="6721725C">
        <w:rPr>
          <w:b/>
          <w:bCs/>
          <w:noProof/>
        </w:rPr>
        <w:t> </w:t>
      </w:r>
      <w:r w:rsidR="008E0833" w:rsidRPr="6721725C">
        <w:rPr>
          <w:noProof/>
        </w:rPr>
        <w:t>investors, and ensure a</w:t>
      </w:r>
      <w:r w:rsidR="008E0833" w:rsidRPr="6721725C">
        <w:rPr>
          <w:b/>
          <w:bCs/>
          <w:noProof/>
        </w:rPr>
        <w:t> </w:t>
      </w:r>
      <w:r w:rsidR="008E0833" w:rsidRPr="6721725C">
        <w:rPr>
          <w:noProof/>
        </w:rPr>
        <w:t>more predictable trade environment. While the CEPA promotes trade and investment flows between the EU and Indonesia, it explicitly safeguards each party’s right to regulate in pursuit of legitimate policy objectives. It also provides direct protection for 221 EU and 72 Indonesian geographical indications</w:t>
      </w:r>
      <w:r w:rsidR="0076051D" w:rsidRPr="6721725C">
        <w:rPr>
          <w:noProof/>
        </w:rPr>
        <w:t xml:space="preserve"> and contains robust commitments on trade and sustainable development.</w:t>
      </w:r>
    </w:p>
    <w:p w:rsidR="003A57E6" w:rsidRPr="00C33BD1" w:rsidRDefault="003A57E6" w:rsidP="003A57E6">
      <w:pPr>
        <w:spacing w:after="240"/>
        <w:rPr>
          <w:noProof/>
        </w:rPr>
      </w:pPr>
      <w:r w:rsidRPr="6721725C">
        <w:rPr>
          <w:noProof/>
        </w:rPr>
        <w:t xml:space="preserve">The legally reviewed texts of the CEPA have been made public and can be found </w:t>
      </w:r>
      <w:r w:rsidR="00AB7C45" w:rsidRPr="6721725C">
        <w:rPr>
          <w:noProof/>
        </w:rPr>
        <w:t>at</w:t>
      </w:r>
      <w:r w:rsidRPr="6721725C">
        <w:rPr>
          <w:noProof/>
        </w:rPr>
        <w:t xml:space="preserve"> the following link:</w:t>
      </w:r>
    </w:p>
    <w:p w:rsidR="00B620AD" w:rsidRDefault="00A80897" w:rsidP="00B620AD">
      <w:pPr>
        <w:rPr>
          <w:noProof/>
          <w:sz w:val="22"/>
        </w:rPr>
      </w:pPr>
      <w:hyperlink r:id="rId14" w:history="1">
        <w:r w:rsidR="00B620AD">
          <w:rPr>
            <w:rStyle w:val="Hyperlink"/>
            <w:noProof/>
          </w:rPr>
          <w:t>Text of the agreements - Trade and Economic Security - European Commission</w:t>
        </w:r>
      </w:hyperlink>
    </w:p>
    <w:p w:rsidR="003A57E6" w:rsidRPr="00DF46FE" w:rsidRDefault="39CB8279" w:rsidP="003A57E6">
      <w:pPr>
        <w:spacing w:after="240"/>
        <w:rPr>
          <w:noProof/>
        </w:rPr>
      </w:pPr>
      <w:r w:rsidRPr="7805BC42">
        <w:rPr>
          <w:noProof/>
        </w:rPr>
        <w:t>The Commission is putting forward the following proposals for Council decisions:</w:t>
      </w:r>
    </w:p>
    <w:p w:rsidR="1140D60F" w:rsidRPr="006328B7" w:rsidRDefault="1140D60F" w:rsidP="00D4674A">
      <w:pPr>
        <w:pStyle w:val="Tiret1"/>
        <w:numPr>
          <w:ilvl w:val="0"/>
          <w:numId w:val="6"/>
        </w:numPr>
        <w:rPr>
          <w:noProof/>
          <w:lang w:val="en-IE"/>
        </w:rPr>
      </w:pPr>
      <w:r w:rsidRPr="7805BC42">
        <w:rPr>
          <w:noProof/>
          <w:lang w:val="en-IE"/>
        </w:rPr>
        <w:t>Proposal for a Council Decision on the signing of the Comprehensive Economic Partnership Agreement between the E</w:t>
      </w:r>
      <w:r w:rsidRPr="7805BC42">
        <w:rPr>
          <w:noProof/>
        </w:rPr>
        <w:t>uropean Union and Indonesia;</w:t>
      </w:r>
      <w:r w:rsidRPr="7805BC42">
        <w:rPr>
          <w:noProof/>
          <w:lang w:val="en-IE"/>
        </w:rPr>
        <w:t> </w:t>
      </w:r>
    </w:p>
    <w:p w:rsidR="1140D60F" w:rsidRPr="006328B7" w:rsidRDefault="1140D60F" w:rsidP="00FC2A32">
      <w:pPr>
        <w:pStyle w:val="Tiret1"/>
        <w:rPr>
          <w:noProof/>
          <w:lang w:val="en-IE"/>
        </w:rPr>
      </w:pPr>
      <w:r w:rsidRPr="7805BC42">
        <w:rPr>
          <w:noProof/>
          <w:lang w:val="en-IE"/>
        </w:rPr>
        <w:t>Proposal for a Council Decision on the conclusion of the Comprehensive Economic Partnership Agreement between the E</w:t>
      </w:r>
      <w:r w:rsidRPr="7805BC42">
        <w:rPr>
          <w:noProof/>
        </w:rPr>
        <w:t>uropean Union and Indonesia;</w:t>
      </w:r>
      <w:r w:rsidRPr="7805BC42">
        <w:rPr>
          <w:noProof/>
          <w:lang w:val="en-IE"/>
        </w:rPr>
        <w:t> </w:t>
      </w:r>
    </w:p>
    <w:p w:rsidR="1140D60F" w:rsidRDefault="1140D60F" w:rsidP="00FC2A32">
      <w:pPr>
        <w:pStyle w:val="Tiret1"/>
        <w:rPr>
          <w:noProof/>
        </w:rPr>
      </w:pPr>
      <w:r w:rsidRPr="7805BC42">
        <w:rPr>
          <w:noProof/>
        </w:rPr>
        <w:t>Proposal for a Council Decision on the signing of the Investment Protection Agreement between the European Union and Indonesia;</w:t>
      </w:r>
      <w:r w:rsidRPr="7805BC42">
        <w:rPr>
          <w:noProof/>
          <w:lang w:val="en-IE"/>
        </w:rPr>
        <w:t> </w:t>
      </w:r>
    </w:p>
    <w:p w:rsidR="1140D60F" w:rsidRDefault="1140D60F" w:rsidP="00FC2A32">
      <w:pPr>
        <w:pStyle w:val="Tiret1"/>
        <w:rPr>
          <w:noProof/>
        </w:rPr>
      </w:pPr>
      <w:r w:rsidRPr="7805BC42">
        <w:rPr>
          <w:noProof/>
        </w:rPr>
        <w:t>Proposal for a Council Decision on the conclusion of the Investment Protection Agreement between the European Union and Indonesia.</w:t>
      </w:r>
      <w:r w:rsidRPr="7805BC42">
        <w:rPr>
          <w:noProof/>
          <w:lang w:val="en-IE"/>
        </w:rPr>
        <w:t> </w:t>
      </w:r>
    </w:p>
    <w:p w:rsidR="003A57E6" w:rsidRPr="00DF46FE" w:rsidRDefault="003A57E6" w:rsidP="6721725C">
      <w:pPr>
        <w:pBdr>
          <w:top w:val="nil"/>
          <w:left w:val="nil"/>
          <w:bottom w:val="nil"/>
          <w:right w:val="nil"/>
          <w:between w:val="nil"/>
          <w:bar w:val="nil"/>
        </w:pBdr>
        <w:spacing w:after="240"/>
        <w:rPr>
          <w:noProof/>
        </w:rPr>
      </w:pPr>
      <w:r w:rsidRPr="6721725C">
        <w:rPr>
          <w:noProof/>
        </w:rPr>
        <w:t>The attached proposal for a Council Decision constitutes the legal instrument authorising the signing</w:t>
      </w:r>
      <w:r w:rsidR="00E50C5D">
        <w:rPr>
          <w:noProof/>
        </w:rPr>
        <w:t xml:space="preserve"> </w:t>
      </w:r>
      <w:r w:rsidRPr="6721725C">
        <w:rPr>
          <w:noProof/>
        </w:rPr>
        <w:t xml:space="preserve">of the </w:t>
      </w:r>
      <w:r w:rsidR="00B13ED8" w:rsidRPr="6721725C">
        <w:rPr>
          <w:noProof/>
        </w:rPr>
        <w:t>CEPA</w:t>
      </w:r>
      <w:r w:rsidRPr="6721725C">
        <w:rPr>
          <w:noProof/>
        </w:rPr>
        <w:t xml:space="preserve"> between the European Union and </w:t>
      </w:r>
      <w:r w:rsidR="00DD7DB4" w:rsidRPr="6721725C">
        <w:rPr>
          <w:noProof/>
        </w:rPr>
        <w:t>Indonesia</w:t>
      </w:r>
      <w:r w:rsidRPr="6721725C">
        <w:rPr>
          <w:noProof/>
        </w:rPr>
        <w:t>.</w:t>
      </w:r>
    </w:p>
    <w:p w:rsidR="00896269" w:rsidRPr="002D5EE2" w:rsidRDefault="00896269" w:rsidP="0006154B">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lastRenderedPageBreak/>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2257BF" w:rsidRPr="00213E09" w:rsidRDefault="002257BF" w:rsidP="002257BF">
      <w:pPr>
        <w:spacing w:before="100" w:beforeAutospacing="1" w:after="100" w:afterAutospacing="1"/>
        <w:rPr>
          <w:rFonts w:eastAsia="Times New Roman"/>
          <w:noProof/>
          <w:szCs w:val="24"/>
          <w:lang w:val="en" w:eastAsia="en-GB"/>
        </w:rPr>
      </w:pPr>
      <w:r w:rsidRPr="00DF46FE">
        <w:rPr>
          <w:noProof/>
          <w:szCs w:val="24"/>
        </w:rPr>
        <w:t xml:space="preserve">Prior to concluding the negotiations for </w:t>
      </w:r>
      <w:r w:rsidR="00E622A6">
        <w:rPr>
          <w:noProof/>
          <w:szCs w:val="24"/>
        </w:rPr>
        <w:t>the CEPA</w:t>
      </w:r>
      <w:r w:rsidRPr="00DF46FE">
        <w:rPr>
          <w:noProof/>
          <w:szCs w:val="24"/>
        </w:rPr>
        <w:t xml:space="preserve">, the EU and </w:t>
      </w:r>
      <w:r>
        <w:rPr>
          <w:noProof/>
          <w:szCs w:val="24"/>
        </w:rPr>
        <w:t>Indonesia</w:t>
      </w:r>
      <w:r w:rsidRPr="00DF46FE">
        <w:rPr>
          <w:noProof/>
          <w:szCs w:val="24"/>
        </w:rPr>
        <w:t xml:space="preserve"> had negotiated </w:t>
      </w:r>
      <w:r w:rsidR="001D6C97">
        <w:rPr>
          <w:noProof/>
          <w:szCs w:val="24"/>
        </w:rPr>
        <w:t xml:space="preserve">a </w:t>
      </w:r>
      <w:r>
        <w:rPr>
          <w:rFonts w:eastAsia="Times New Roman"/>
          <w:noProof/>
          <w:szCs w:val="24"/>
          <w:lang w:val="en" w:eastAsia="en-GB"/>
        </w:rPr>
        <w:t>Partnership Cooperation Agreement (PCA), which was signed in Jakarta on 9 November 2009 and entered into</w:t>
      </w:r>
      <w:r w:rsidRPr="00213E09">
        <w:rPr>
          <w:rFonts w:eastAsia="Times New Roman"/>
          <w:noProof/>
          <w:szCs w:val="24"/>
          <w:lang w:val="en" w:eastAsia="en-GB"/>
        </w:rPr>
        <w:t xml:space="preserve"> force on 1 May 2014</w:t>
      </w:r>
      <w:r>
        <w:rPr>
          <w:rFonts w:eastAsia="Times New Roman"/>
          <w:noProof/>
          <w:szCs w:val="24"/>
          <w:lang w:val="en" w:eastAsia="en-GB"/>
        </w:rPr>
        <w:t xml:space="preserve">. </w:t>
      </w:r>
      <w:r w:rsidRPr="00EA37F1">
        <w:rPr>
          <w:rFonts w:eastAsia="Times New Roman"/>
          <w:noProof/>
          <w:szCs w:val="24"/>
          <w:lang w:eastAsia="en-GB"/>
        </w:rPr>
        <w:t xml:space="preserve">The Agreement provides the basis for </w:t>
      </w:r>
      <w:r>
        <w:rPr>
          <w:rFonts w:eastAsia="Times New Roman"/>
          <w:noProof/>
          <w:szCs w:val="24"/>
          <w:lang w:eastAsia="en-GB"/>
        </w:rPr>
        <w:t xml:space="preserve">cooperating across a wide spectrum of policy fields, including human rights and trade, and for </w:t>
      </w:r>
      <w:r w:rsidRPr="00EA37F1">
        <w:rPr>
          <w:rFonts w:eastAsia="Times New Roman"/>
          <w:noProof/>
          <w:szCs w:val="24"/>
          <w:lang w:eastAsia="en-GB"/>
        </w:rPr>
        <w:t>holding regular political dialogue and sectoral cooperation</w:t>
      </w:r>
      <w:r w:rsidRPr="00213E09">
        <w:rPr>
          <w:noProof/>
          <w:szCs w:val="24"/>
        </w:rPr>
        <w:t>.</w:t>
      </w:r>
    </w:p>
    <w:p w:rsidR="002257BF" w:rsidRPr="002257BF" w:rsidRDefault="002257BF" w:rsidP="6721725C">
      <w:pPr>
        <w:spacing w:after="240"/>
        <w:rPr>
          <w:noProof/>
        </w:rPr>
      </w:pPr>
      <w:r w:rsidRPr="6721725C">
        <w:rPr>
          <w:noProof/>
        </w:rPr>
        <w:t xml:space="preserve">Once the CEPA enters into force, it will coexist with the PCA as a specific agreement and an integral part of the overall bilateral relations between the EU and Indonesia. The two agreements have no conflicting provisions. </w:t>
      </w:r>
    </w:p>
    <w:p w:rsidR="00896269" w:rsidRPr="002D5EE2" w:rsidRDefault="00896269" w:rsidP="0006154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B86E04" w:rsidRPr="00DF46FE" w:rsidRDefault="00B86E04" w:rsidP="00B86E04">
      <w:pPr>
        <w:pBdr>
          <w:top w:val="nil"/>
          <w:left w:val="nil"/>
          <w:bottom w:val="nil"/>
          <w:right w:val="nil"/>
          <w:between w:val="nil"/>
          <w:bar w:val="nil"/>
        </w:pBdr>
        <w:spacing w:after="240"/>
        <w:rPr>
          <w:noProof/>
        </w:rPr>
      </w:pPr>
      <w:r w:rsidRPr="00DF46FE">
        <w:rPr>
          <w:noProof/>
        </w:rPr>
        <w:t xml:space="preserve">The </w:t>
      </w:r>
      <w:r>
        <w:rPr>
          <w:noProof/>
        </w:rPr>
        <w:t>CEPA</w:t>
      </w:r>
      <w:r w:rsidRPr="00DF46FE">
        <w:rPr>
          <w:noProof/>
        </w:rPr>
        <w:t xml:space="preserve"> is fully consistent with Union policies and will not require the EU to amend its rules, regulations or standards in any regulated area. Furthermore, like all other trade agreements the Commission has negotiated, the </w:t>
      </w:r>
      <w:r>
        <w:rPr>
          <w:noProof/>
        </w:rPr>
        <w:t>CEPA</w:t>
      </w:r>
      <w:r w:rsidRPr="00DF46FE">
        <w:rPr>
          <w:noProof/>
        </w:rPr>
        <w:t xml:space="preserve"> fully safeguards public services and ensures that governments’ right to regulate in the public interest is fully preserved and constitutes a basic underlying principle to them.</w:t>
      </w:r>
    </w:p>
    <w:p w:rsidR="00B86E04" w:rsidRPr="00DF46FE" w:rsidRDefault="00B86E04" w:rsidP="00B86E04">
      <w:pPr>
        <w:spacing w:after="240"/>
        <w:rPr>
          <w:noProof/>
        </w:rPr>
      </w:pPr>
      <w:r w:rsidRPr="00DF46FE">
        <w:rPr>
          <w:noProof/>
        </w:rPr>
        <w:t xml:space="preserve">Furthermore, the provisions of the </w:t>
      </w:r>
      <w:r>
        <w:rPr>
          <w:noProof/>
        </w:rPr>
        <w:t>CEPA</w:t>
      </w:r>
      <w:r w:rsidRPr="00DF46FE">
        <w:rPr>
          <w:noProof/>
        </w:rPr>
        <w:t xml:space="preserve"> fully reflect the </w:t>
      </w:r>
      <w:r w:rsidRPr="00D5399D">
        <w:rPr>
          <w:noProof/>
        </w:rPr>
        <w:t>outcome of the EU’s sustainable trade policy review</w:t>
      </w:r>
      <w:r>
        <w:rPr>
          <w:noProof/>
        </w:rPr>
        <w:t xml:space="preserve"> communication (</w:t>
      </w:r>
      <w:r w:rsidR="00CB02E5">
        <w:rPr>
          <w:noProof/>
        </w:rPr>
        <w:t>‘</w:t>
      </w:r>
      <w:r w:rsidRPr="00DF46FE">
        <w:rPr>
          <w:noProof/>
        </w:rPr>
        <w:t>The power of trade partnerships: together for green and just economic growth’</w:t>
      </w:r>
      <w:r>
        <w:rPr>
          <w:noProof/>
        </w:rPr>
        <w:t xml:space="preserve"> </w:t>
      </w:r>
      <w:r w:rsidRPr="00D5399D">
        <w:rPr>
          <w:noProof/>
        </w:rPr>
        <w:t>of 22 June 2022</w:t>
      </w:r>
      <w:r>
        <w:rPr>
          <w:noProof/>
        </w:rPr>
        <w:t>)</w:t>
      </w:r>
      <w:r w:rsidRPr="00DF46FE">
        <w:rPr>
          <w:noProof/>
        </w:rPr>
        <w:t>.</w:t>
      </w:r>
    </w:p>
    <w:p w:rsidR="00896269" w:rsidRPr="002D5EE2" w:rsidRDefault="00896269" w:rsidP="0006154B">
      <w:pPr>
        <w:pStyle w:val="ManualHeading1"/>
        <w:rPr>
          <w:noProof/>
        </w:rPr>
      </w:pPr>
      <w:r w:rsidRPr="002D5EE2">
        <w:rPr>
          <w:noProof/>
        </w:rPr>
        <w:t>2.</w:t>
      </w:r>
      <w:r w:rsidRPr="002D5EE2">
        <w:rPr>
          <w:noProof/>
        </w:rPr>
        <w:tab/>
        <w:t>LEGAL BASIS, SUBSIDIARITY AND PROPORTIONALITY</w:t>
      </w:r>
    </w:p>
    <w:p w:rsidR="00896269" w:rsidRPr="00B70C64" w:rsidRDefault="00B70C64" w:rsidP="00B70C64">
      <w:pPr>
        <w:pStyle w:val="ManualHeading2"/>
        <w:rPr>
          <w:rFonts w:eastAsia="Arial Unicode MS"/>
          <w:noProof/>
          <w:color w:val="000000"/>
          <w:u w:color="000000"/>
          <w:bdr w:val="nil"/>
          <w:lang w:val="en-US" w:eastAsia="en-GB"/>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00923DE6" w:rsidRPr="00B70C64">
        <w:rPr>
          <w:rFonts w:eastAsia="Arial Unicode MS"/>
          <w:noProof/>
          <w:color w:val="000000"/>
          <w:u w:color="000000"/>
          <w:bdr w:val="nil"/>
          <w:lang w:val="en-US" w:eastAsia="en-GB"/>
        </w:rPr>
        <w:t>Substantive l</w:t>
      </w:r>
      <w:r w:rsidR="00896269" w:rsidRPr="00B70C64">
        <w:rPr>
          <w:rFonts w:eastAsia="Arial Unicode MS"/>
          <w:noProof/>
          <w:color w:val="000000"/>
          <w:u w:color="000000"/>
          <w:bdr w:val="nil"/>
          <w:lang w:val="en-US" w:eastAsia="en-GB"/>
        </w:rPr>
        <w:t>egal basis</w:t>
      </w:r>
    </w:p>
    <w:p w:rsidR="00B031F2" w:rsidRDefault="0082122B" w:rsidP="007C4199">
      <w:pPr>
        <w:spacing w:after="240"/>
        <w:rPr>
          <w:noProof/>
          <w:lang w:val="en-IE"/>
        </w:rPr>
      </w:pPr>
      <w:r w:rsidRPr="6721725C">
        <w:rPr>
          <w:rFonts w:eastAsia="Arial Unicode MS"/>
          <w:noProof/>
        </w:rPr>
        <w:t xml:space="preserve">Article 207 of the Treaty on the Functioning of the European Union (TFEU) provides for the negotiation and conclusion of trade agreements as part of the Union’s common commercial policy. </w:t>
      </w:r>
      <w:r w:rsidR="00A478A4" w:rsidRPr="6721725C">
        <w:rPr>
          <w:rFonts w:eastAsia="Arial Unicode MS"/>
          <w:noProof/>
        </w:rPr>
        <w:t xml:space="preserve">Articles 91 and 100(2) </w:t>
      </w:r>
      <w:r w:rsidR="00784EEF" w:rsidRPr="6721725C">
        <w:rPr>
          <w:rFonts w:eastAsia="Arial Unicode MS"/>
          <w:noProof/>
        </w:rPr>
        <w:t xml:space="preserve">provide for the basis </w:t>
      </w:r>
      <w:r w:rsidR="00511ED7" w:rsidRPr="6721725C">
        <w:rPr>
          <w:rFonts w:eastAsia="Arial Unicode MS"/>
          <w:noProof/>
        </w:rPr>
        <w:t xml:space="preserve">for agreeing </w:t>
      </w:r>
      <w:r w:rsidR="000A0A43" w:rsidRPr="6721725C">
        <w:rPr>
          <w:rFonts w:eastAsia="Arial Unicode MS"/>
          <w:noProof/>
        </w:rPr>
        <w:t>intern</w:t>
      </w:r>
      <w:r w:rsidR="00BE2725" w:rsidRPr="6721725C">
        <w:rPr>
          <w:rFonts w:eastAsia="Arial Unicode MS"/>
          <w:noProof/>
        </w:rPr>
        <w:t>ational</w:t>
      </w:r>
      <w:r w:rsidR="000A0A43" w:rsidRPr="6721725C">
        <w:rPr>
          <w:rFonts w:eastAsia="Arial Unicode MS"/>
          <w:noProof/>
        </w:rPr>
        <w:t xml:space="preserve"> transport provisions.</w:t>
      </w:r>
    </w:p>
    <w:p w:rsidR="00AA325D" w:rsidRDefault="00257888" w:rsidP="007C4199">
      <w:pPr>
        <w:rPr>
          <w:noProof/>
          <w:lang w:val="en-IE"/>
        </w:rPr>
      </w:pPr>
      <w:r w:rsidRPr="6721725C">
        <w:rPr>
          <w:noProof/>
          <w:lang w:val="en-IE"/>
        </w:rPr>
        <w:t xml:space="preserve">Given that the main objectives and components of </w:t>
      </w:r>
      <w:r w:rsidR="0027464D" w:rsidRPr="6721725C">
        <w:rPr>
          <w:noProof/>
          <w:lang w:val="en-IE"/>
        </w:rPr>
        <w:t xml:space="preserve">CEPA </w:t>
      </w:r>
      <w:r w:rsidRPr="6721725C">
        <w:rPr>
          <w:noProof/>
          <w:lang w:val="en-IE"/>
        </w:rPr>
        <w:t xml:space="preserve">are </w:t>
      </w:r>
      <w:r w:rsidR="00BC1A7B" w:rsidRPr="6721725C">
        <w:rPr>
          <w:noProof/>
          <w:lang w:val="en-IE"/>
        </w:rPr>
        <w:t>the common commercial policy</w:t>
      </w:r>
      <w:r w:rsidR="001D4ABC" w:rsidRPr="6721725C">
        <w:rPr>
          <w:noProof/>
          <w:lang w:val="en-IE"/>
        </w:rPr>
        <w:t xml:space="preserve"> and</w:t>
      </w:r>
      <w:r w:rsidR="00BC1A7B" w:rsidRPr="6721725C">
        <w:rPr>
          <w:noProof/>
          <w:lang w:val="en-IE"/>
        </w:rPr>
        <w:t xml:space="preserve"> </w:t>
      </w:r>
      <w:r w:rsidR="001D4ABC" w:rsidRPr="6721725C">
        <w:rPr>
          <w:noProof/>
          <w:lang w:val="en-IE"/>
        </w:rPr>
        <w:t xml:space="preserve">the provision of </w:t>
      </w:r>
      <w:r w:rsidR="00BC1A7B" w:rsidRPr="6721725C">
        <w:rPr>
          <w:noProof/>
          <w:lang w:val="en-IE"/>
        </w:rPr>
        <w:t>transport</w:t>
      </w:r>
      <w:r w:rsidRPr="6721725C">
        <w:rPr>
          <w:noProof/>
          <w:lang w:val="en-IE"/>
        </w:rPr>
        <w:t>, the substantive legal bases are</w:t>
      </w:r>
      <w:r w:rsidR="001D4ABC" w:rsidRPr="6721725C">
        <w:rPr>
          <w:rFonts w:eastAsia="Arial Unicode MS"/>
          <w:noProof/>
        </w:rPr>
        <w:t xml:space="preserve"> Articles </w:t>
      </w:r>
      <w:r w:rsidR="00C974EA" w:rsidRPr="6721725C">
        <w:rPr>
          <w:rFonts w:eastAsia="Arial Unicode MS"/>
          <w:noProof/>
        </w:rPr>
        <w:t>207</w:t>
      </w:r>
      <w:r w:rsidR="00BE2725" w:rsidRPr="6721725C">
        <w:rPr>
          <w:rFonts w:eastAsia="Arial Unicode MS"/>
          <w:noProof/>
        </w:rPr>
        <w:t>,</w:t>
      </w:r>
      <w:r w:rsidR="00C974EA" w:rsidRPr="6721725C">
        <w:rPr>
          <w:rFonts w:eastAsia="Arial Unicode MS"/>
          <w:noProof/>
        </w:rPr>
        <w:t xml:space="preserve"> 91 and 100(2) TFEU.</w:t>
      </w:r>
    </w:p>
    <w:p w:rsidR="00257888" w:rsidRDefault="00257888" w:rsidP="007C4199">
      <w:pPr>
        <w:rPr>
          <w:noProof/>
          <w:lang w:val="en-IE"/>
        </w:rPr>
      </w:pPr>
      <w:r w:rsidRPr="6721725C">
        <w:rPr>
          <w:noProof/>
          <w:lang w:val="en-IE"/>
        </w:rPr>
        <w:t>Given the subject matter of the envisaged agreement, it is appropriate for the Commission to submit the proposal to the Council.</w:t>
      </w:r>
    </w:p>
    <w:p w:rsidR="005448DD" w:rsidRPr="00CA0CE3" w:rsidRDefault="00B70C64" w:rsidP="00B70C64">
      <w:pPr>
        <w:pStyle w:val="ManualHeading2"/>
        <w:rPr>
          <w:rFonts w:eastAsia="Arial Unicode MS"/>
          <w:noProof/>
          <w:bdr w:val="nil"/>
          <w:lang w:val="en-US" w:eastAsia="en-GB"/>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002B70E7">
        <w:rPr>
          <w:rFonts w:eastAsia="Arial Unicode MS"/>
          <w:noProof/>
          <w:bdr w:val="nil"/>
          <w:lang w:val="en-US" w:eastAsia="en-GB"/>
        </w:rPr>
        <w:t>Procedural</w:t>
      </w:r>
      <w:r w:rsidR="005448DD" w:rsidRPr="00532321">
        <w:rPr>
          <w:rFonts w:eastAsia="Arial Unicode MS"/>
          <w:noProof/>
          <w:bdr w:val="nil"/>
          <w:lang w:val="en-US" w:eastAsia="en-GB"/>
        </w:rPr>
        <w:t xml:space="preserve"> </w:t>
      </w:r>
      <w:r w:rsidR="00E91351">
        <w:rPr>
          <w:rFonts w:eastAsia="Arial Unicode MS"/>
          <w:noProof/>
          <w:bdr w:val="nil"/>
          <w:lang w:val="en-US" w:eastAsia="en-GB"/>
        </w:rPr>
        <w:t>legal basis</w:t>
      </w:r>
    </w:p>
    <w:p w:rsidR="004017DC" w:rsidRDefault="004017DC" w:rsidP="6721725C">
      <w:pPr>
        <w:spacing w:after="240"/>
        <w:rPr>
          <w:rFonts w:eastAsia="Arial Unicode MS"/>
          <w:noProof/>
          <w:lang w:val="en-IE"/>
        </w:rPr>
      </w:pPr>
      <w:r w:rsidRPr="6721725C">
        <w:rPr>
          <w:rFonts w:eastAsia="Arial Unicode MS"/>
          <w:noProof/>
        </w:rPr>
        <w:t xml:space="preserve">Article 218(5) TFEU provides that, where the agreement envisaged does not relate exclusively or principally to the common foreign and security policy, the Commission shall submit a proposal to the Council. The Council shall adopt a decision authorising the signing of the agreement. </w:t>
      </w:r>
    </w:p>
    <w:p w:rsidR="004017DC" w:rsidRDefault="004017DC" w:rsidP="6721725C">
      <w:pPr>
        <w:spacing w:after="240"/>
        <w:rPr>
          <w:rFonts w:eastAsia="Arial Unicode MS"/>
          <w:noProof/>
        </w:rPr>
      </w:pPr>
      <w:r w:rsidRPr="6721725C">
        <w:rPr>
          <w:rFonts w:eastAsia="Arial Unicode MS"/>
          <w:noProof/>
        </w:rPr>
        <w:t>The Commission proposes to authorise the signing of t</w:t>
      </w:r>
      <w:r w:rsidR="00C07672" w:rsidRPr="6721725C">
        <w:rPr>
          <w:rFonts w:eastAsia="Arial Unicode MS"/>
          <w:noProof/>
        </w:rPr>
        <w:t xml:space="preserve">he </w:t>
      </w:r>
      <w:r w:rsidR="002B70E7" w:rsidRPr="6721725C">
        <w:rPr>
          <w:noProof/>
        </w:rPr>
        <w:t>Comprehensive Economic Partnership Agreement between the European Union and Indonesia.</w:t>
      </w:r>
      <w:r w:rsidRPr="6721725C">
        <w:rPr>
          <w:rFonts w:eastAsia="Arial Unicode MS"/>
          <w:noProof/>
        </w:rPr>
        <w:t xml:space="preserve">, subject to its conclusion at a later date. </w:t>
      </w:r>
    </w:p>
    <w:p w:rsidR="00CA0CE3" w:rsidRDefault="004017DC" w:rsidP="6721725C">
      <w:pPr>
        <w:spacing w:after="240"/>
        <w:rPr>
          <w:noProof/>
          <w:lang w:val="en-IE"/>
        </w:rPr>
      </w:pPr>
      <w:r w:rsidRPr="6721725C">
        <w:rPr>
          <w:rFonts w:eastAsia="Arial Unicode MS"/>
          <w:noProof/>
        </w:rPr>
        <w:t>The procedural legal basis for the proposed decision to authorise the signing of the envisaged agreement is Article 218(5) TFEU</w:t>
      </w:r>
      <w:r w:rsidR="001C2683" w:rsidRPr="6721725C">
        <w:rPr>
          <w:rFonts w:eastAsia="Arial Unicode MS"/>
          <w:noProof/>
        </w:rPr>
        <w:t xml:space="preserve">. </w:t>
      </w:r>
    </w:p>
    <w:p w:rsidR="00257888" w:rsidRPr="00CA0CE3" w:rsidRDefault="00B70C64" w:rsidP="00B70C64">
      <w:pPr>
        <w:pStyle w:val="ManualHeading2"/>
        <w:rPr>
          <w:rFonts w:eastAsia="Arial Unicode MS"/>
          <w:noProof/>
          <w:bdr w:val="nil"/>
          <w:lang w:val="en-US" w:eastAsia="en-GB"/>
        </w:rPr>
      </w:pPr>
      <w:r w:rsidRPr="002D5EE2">
        <w:rPr>
          <w:rFonts w:eastAsia="Arial Unicode MS"/>
          <w:noProof/>
          <w:color w:val="000000"/>
          <w:u w:color="000000"/>
          <w:bdr w:val="nil"/>
          <w:lang w:val="en-US" w:eastAsia="en-GB"/>
        </w:rPr>
        <w:lastRenderedPageBreak/>
        <w:t>•</w:t>
      </w:r>
      <w:r w:rsidRPr="002D5EE2">
        <w:rPr>
          <w:rFonts w:eastAsia="Arial Unicode MS"/>
          <w:noProof/>
          <w:color w:val="000000"/>
          <w:u w:color="000000"/>
          <w:bdr w:val="nil"/>
          <w:lang w:val="en-US" w:eastAsia="en-GB"/>
        </w:rPr>
        <w:tab/>
      </w:r>
      <w:r w:rsidR="00CA0CE3" w:rsidRPr="00CA0CE3">
        <w:rPr>
          <w:rFonts w:eastAsia="Arial Unicode MS"/>
          <w:noProof/>
          <w:bdr w:val="nil"/>
          <w:lang w:val="en-US" w:eastAsia="en-GB"/>
        </w:rPr>
        <w:t>Union competence</w:t>
      </w:r>
    </w:p>
    <w:p w:rsidR="0076051D" w:rsidRPr="00DF46FE" w:rsidRDefault="0076051D" w:rsidP="6721725C">
      <w:pPr>
        <w:pBdr>
          <w:top w:val="nil"/>
          <w:left w:val="nil"/>
          <w:bottom w:val="nil"/>
          <w:right w:val="nil"/>
          <w:between w:val="nil"/>
          <w:bar w:val="nil"/>
        </w:pBdr>
        <w:spacing w:after="240"/>
        <w:rPr>
          <w:noProof/>
        </w:rPr>
      </w:pPr>
      <w:r w:rsidRPr="6721725C">
        <w:rPr>
          <w:noProof/>
        </w:rPr>
        <w:t xml:space="preserve">In accordance with Opinion 2/15 on the EU-Singapore FTA of the Court of Justice of 16 May 2017, all the areas covered by the </w:t>
      </w:r>
      <w:r w:rsidR="005D48B8" w:rsidRPr="6721725C">
        <w:rPr>
          <w:noProof/>
        </w:rPr>
        <w:t>CEPA</w:t>
      </w:r>
      <w:r w:rsidRPr="6721725C">
        <w:rPr>
          <w:noProof/>
        </w:rPr>
        <w:t xml:space="preserve"> would fall within the exclusive competence of the EU and, more particularly, within the scope of Articles 91, 100(2) and 207 TFEU. The Court drew the EU exclusive competence from the scope of the Common Commercial Policy under Article 207(1) TFEU and from Article 3(2) TFEU (based on the affectation of existing common rules contained in secondary legislation). </w:t>
      </w:r>
    </w:p>
    <w:p w:rsidR="00896269" w:rsidRPr="0076051D" w:rsidRDefault="00896269" w:rsidP="0076051D">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76051D" w:rsidRDefault="0076051D" w:rsidP="0006154B">
      <w:pPr>
        <w:pBdr>
          <w:top w:val="nil"/>
          <w:left w:val="nil"/>
          <w:bottom w:val="nil"/>
          <w:right w:val="nil"/>
          <w:between w:val="nil"/>
          <w:bar w:val="nil"/>
        </w:pBdr>
        <w:spacing w:before="0" w:after="240"/>
        <w:rPr>
          <w:rFonts w:eastAsia="Arial Unicode MS"/>
          <w:noProof/>
        </w:rPr>
      </w:pPr>
      <w:r w:rsidRPr="00DF46FE">
        <w:rPr>
          <w:noProof/>
        </w:rPr>
        <w:t xml:space="preserve">The </w:t>
      </w:r>
      <w:r w:rsidR="005D48B8">
        <w:rPr>
          <w:noProof/>
        </w:rPr>
        <w:t>CEPA</w:t>
      </w:r>
      <w:r w:rsidRPr="00DF46FE">
        <w:rPr>
          <w:noProof/>
        </w:rPr>
        <w:t xml:space="preserve"> as presented to the Council does not cover any matters that fall outside the EU’s exclusive competence.</w:t>
      </w:r>
    </w:p>
    <w:p w:rsidR="00896269" w:rsidRDefault="00896269" w:rsidP="0006154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2B463B" w:rsidRPr="00DF46FE" w:rsidRDefault="002B463B" w:rsidP="002B463B">
      <w:pPr>
        <w:spacing w:after="240"/>
        <w:rPr>
          <w:noProof/>
        </w:rPr>
      </w:pPr>
      <w:r w:rsidRPr="00DF46FE">
        <w:rPr>
          <w:noProof/>
        </w:rPr>
        <w:t>Trade agreements are the appropriate means to govern market access and the related areas of comprehensive economic relations with a third country outside the EU. No alternative exists to render such commitments and liberalisation efforts legally binding.</w:t>
      </w:r>
    </w:p>
    <w:p w:rsidR="002B463B" w:rsidRPr="00550536" w:rsidRDefault="002B463B" w:rsidP="002B463B">
      <w:pPr>
        <w:pBdr>
          <w:top w:val="nil"/>
          <w:left w:val="nil"/>
          <w:bottom w:val="nil"/>
          <w:right w:val="nil"/>
          <w:between w:val="nil"/>
          <w:bar w:val="nil"/>
        </w:pBdr>
        <w:spacing w:before="0" w:after="240"/>
        <w:rPr>
          <w:rFonts w:eastAsia="Arial Unicode MS"/>
          <w:noProof/>
        </w:rPr>
      </w:pPr>
      <w:r w:rsidRPr="00DF46FE">
        <w:rPr>
          <w:noProof/>
        </w:rPr>
        <w:t>This initiative pursues directly the Union's objective in external action and contributes to the political priority of 'EU as a stronger global actor’. It is in line with the EU Global Strategy’s orientations to engage with others and revamp its external partnerships in a responsible way, in order to attain the EU's external priorities. It contributes to the EU’s trade and development objectives.</w:t>
      </w:r>
      <w:r w:rsidR="007735D8">
        <w:rPr>
          <w:noProof/>
        </w:rPr>
        <w:t xml:space="preserve"> </w:t>
      </w:r>
    </w:p>
    <w:p w:rsidR="00896269" w:rsidRDefault="00896269" w:rsidP="0006154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EA550F" w:rsidRDefault="00EA550F" w:rsidP="00255FCB">
      <w:pPr>
        <w:rPr>
          <w:noProof/>
        </w:rPr>
      </w:pPr>
      <w:r w:rsidRPr="6721725C">
        <w:rPr>
          <w:noProof/>
          <w:lang w:val="en-IE"/>
        </w:rPr>
        <w:t xml:space="preserve">This proposal for a Council decision is submitted in accordance with Article 218(5) TFEU, which envisages the adoption by the Council of a decision authorising the signing of </w:t>
      </w:r>
      <w:r w:rsidR="006B3EE1">
        <w:rPr>
          <w:noProof/>
          <w:lang w:val="en-IE"/>
        </w:rPr>
        <w:t>international</w:t>
      </w:r>
      <w:r w:rsidRPr="6721725C">
        <w:rPr>
          <w:noProof/>
          <w:lang w:val="en-IE"/>
        </w:rPr>
        <w:t xml:space="preserve"> agreement</w:t>
      </w:r>
      <w:r w:rsidR="006B3EE1">
        <w:rPr>
          <w:noProof/>
          <w:lang w:val="en-IE"/>
        </w:rPr>
        <w:t>s</w:t>
      </w:r>
      <w:r w:rsidRPr="6721725C">
        <w:rPr>
          <w:noProof/>
          <w:lang w:val="en-IE"/>
        </w:rPr>
        <w:t>. There exists no other legal instrument that could be used in order to achieve the objective expressed in this proposal.</w:t>
      </w:r>
    </w:p>
    <w:p w:rsidR="00896269" w:rsidRPr="00550536" w:rsidRDefault="00896269" w:rsidP="0006154B">
      <w:pPr>
        <w:pStyle w:val="ManualHeading1"/>
        <w:rPr>
          <w:noProof/>
        </w:rPr>
      </w:pPr>
      <w:r>
        <w:rPr>
          <w:noProof/>
        </w:rPr>
        <w:t>3.</w:t>
      </w:r>
      <w:r>
        <w:rPr>
          <w:noProof/>
        </w:rPr>
        <w:tab/>
        <w:t>RESULTS OF EX-POST EVALUATIONS, STAKEHOLDER CONSULTATIONS AND IMPACT ASSESSMENTS</w:t>
      </w:r>
    </w:p>
    <w:p w:rsidR="00896269" w:rsidRPr="00EA2120" w:rsidRDefault="00896269" w:rsidP="00EA2120">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261E6E" w:rsidRDefault="00261E6E" w:rsidP="00261E6E">
      <w:pPr>
        <w:spacing w:after="240"/>
        <w:rPr>
          <w:noProof/>
        </w:rPr>
      </w:pPr>
      <w:r w:rsidRPr="6721725C">
        <w:rPr>
          <w:noProof/>
        </w:rPr>
        <w:t>Prior to and during the negotiations, the EU Member States were regularly informed and consulted orally and in writing on the different aspects of the negotiation via the Council’s Trade Policy Committee. The European Parliament was also regularly informed and consulted via its Committee on International Trade (</w:t>
      </w:r>
      <w:r w:rsidR="00B36D83" w:rsidRPr="6721725C">
        <w:rPr>
          <w:noProof/>
        </w:rPr>
        <w:t>“</w:t>
      </w:r>
      <w:r w:rsidRPr="6721725C">
        <w:rPr>
          <w:noProof/>
        </w:rPr>
        <w:t>INTA</w:t>
      </w:r>
      <w:r w:rsidR="00B36D83" w:rsidRPr="6721725C">
        <w:rPr>
          <w:noProof/>
        </w:rPr>
        <w:t>”</w:t>
      </w:r>
      <w:r w:rsidRPr="6721725C">
        <w:rPr>
          <w:noProof/>
        </w:rPr>
        <w:t xml:space="preserve">). The texts progressively resulting from the negotiations were circulated throughout the process to both institutions. </w:t>
      </w:r>
    </w:p>
    <w:p w:rsidR="00EA2120" w:rsidRDefault="00EA2120" w:rsidP="00261E6E">
      <w:pPr>
        <w:spacing w:after="240"/>
        <w:rPr>
          <w:noProof/>
        </w:rPr>
      </w:pPr>
      <w:r w:rsidRPr="6721725C">
        <w:rPr>
          <w:noProof/>
        </w:rPr>
        <w:t xml:space="preserve">In parallel to the negotiations, </w:t>
      </w:r>
      <w:r w:rsidR="00A3032B" w:rsidRPr="6721725C">
        <w:rPr>
          <w:noProof/>
        </w:rPr>
        <w:t>the</w:t>
      </w:r>
      <w:r w:rsidR="003120B0" w:rsidRPr="6721725C">
        <w:rPr>
          <w:noProof/>
        </w:rPr>
        <w:t xml:space="preserve"> Commission commissioned </w:t>
      </w:r>
      <w:r w:rsidR="00CA10FD" w:rsidRPr="6721725C">
        <w:rPr>
          <w:noProof/>
        </w:rPr>
        <w:t>a</w:t>
      </w:r>
      <w:r w:rsidRPr="6721725C">
        <w:rPr>
          <w:noProof/>
        </w:rPr>
        <w:t xml:space="preserve"> </w:t>
      </w:r>
      <w:hyperlink r:id="rId15">
        <w:r w:rsidRPr="6721725C">
          <w:rPr>
            <w:rStyle w:val="Hyperlink"/>
            <w:noProof/>
          </w:rPr>
          <w:t>Sustainab</w:t>
        </w:r>
        <w:r w:rsidR="001D6C97" w:rsidRPr="6721725C">
          <w:rPr>
            <w:rStyle w:val="Hyperlink"/>
            <w:noProof/>
          </w:rPr>
          <w:t>i</w:t>
        </w:r>
        <w:r w:rsidRPr="6721725C">
          <w:rPr>
            <w:rStyle w:val="Hyperlink"/>
            <w:noProof/>
          </w:rPr>
          <w:t>l</w:t>
        </w:r>
        <w:r w:rsidR="001D6C97" w:rsidRPr="6721725C">
          <w:rPr>
            <w:rStyle w:val="Hyperlink"/>
            <w:noProof/>
          </w:rPr>
          <w:t>ity</w:t>
        </w:r>
        <w:r w:rsidRPr="6721725C">
          <w:rPr>
            <w:rStyle w:val="Hyperlink"/>
            <w:noProof/>
          </w:rPr>
          <w:t xml:space="preserve"> Impact Assessment</w:t>
        </w:r>
      </w:hyperlink>
      <w:r w:rsidRPr="6721725C">
        <w:rPr>
          <w:noProof/>
        </w:rPr>
        <w:t xml:space="preserve"> (</w:t>
      </w:r>
      <w:r w:rsidR="00B36D83" w:rsidRPr="6721725C">
        <w:rPr>
          <w:noProof/>
        </w:rPr>
        <w:t>“</w:t>
      </w:r>
      <w:r w:rsidRPr="6721725C">
        <w:rPr>
          <w:noProof/>
        </w:rPr>
        <w:t>SIA</w:t>
      </w:r>
      <w:r w:rsidR="00B36D83" w:rsidRPr="6721725C">
        <w:rPr>
          <w:noProof/>
        </w:rPr>
        <w:t>”</w:t>
      </w:r>
      <w:r w:rsidRPr="6721725C">
        <w:rPr>
          <w:noProof/>
        </w:rPr>
        <w:t xml:space="preserve">) of the CEPA between the EU and Indonesia. </w:t>
      </w:r>
    </w:p>
    <w:p w:rsidR="00C12D43" w:rsidRDefault="00C12D43" w:rsidP="00C12D43">
      <w:pPr>
        <w:spacing w:after="240"/>
        <w:rPr>
          <w:noProof/>
        </w:rPr>
      </w:pPr>
      <w:r w:rsidRPr="6721725C">
        <w:rPr>
          <w:rFonts w:eastAsia="Arial Unicode MS"/>
          <w:noProof/>
        </w:rPr>
        <w:t>The SIA</w:t>
      </w:r>
      <w:r w:rsidR="00536F14" w:rsidRPr="6721725C">
        <w:rPr>
          <w:rFonts w:eastAsia="Arial Unicode MS"/>
          <w:noProof/>
        </w:rPr>
        <w:t>,</w:t>
      </w:r>
      <w:r w:rsidRPr="6721725C">
        <w:rPr>
          <w:noProof/>
        </w:rPr>
        <w:t xml:space="preserve"> </w:t>
      </w:r>
      <w:r w:rsidR="00536F14" w:rsidRPr="6721725C">
        <w:rPr>
          <w:noProof/>
        </w:rPr>
        <w:t xml:space="preserve">which was </w:t>
      </w:r>
      <w:r w:rsidRPr="6721725C">
        <w:rPr>
          <w:noProof/>
        </w:rPr>
        <w:t xml:space="preserve">completed in September 2019 to support the CEPA negotiations, examined how the trade and trade-related provisions of the CEPA under negotiation could affect economic, social, human rights and environmental issues in the EU and in Indonesia. It built on the analysis presented in the SIA carried out in 2008 in support of the region-to-region negotiations for a EU-ASEAN trade agreement, providing more up-to-date information and a clear focus on the specific features and potential impacts of bilateral negotiations with Indonesia only. It notably examined more in-depth the potential impacts of CEPA in a number </w:t>
      </w:r>
      <w:r w:rsidRPr="6721725C">
        <w:rPr>
          <w:noProof/>
        </w:rPr>
        <w:lastRenderedPageBreak/>
        <w:t xml:space="preserve">of sectors of specific relevance for EU-Indonesia trade relations, including vegetable oils and oilseeds, clothing and apparel, and financial services. </w:t>
      </w:r>
    </w:p>
    <w:p w:rsidR="00C12D43" w:rsidRDefault="00C12D43" w:rsidP="00C12D43">
      <w:pPr>
        <w:spacing w:after="240"/>
        <w:rPr>
          <w:noProof/>
        </w:rPr>
      </w:pPr>
      <w:r w:rsidRPr="6721725C">
        <w:rPr>
          <w:noProof/>
        </w:rPr>
        <w:t xml:space="preserve">Overall, the </w:t>
      </w:r>
      <w:r w:rsidR="007E2678" w:rsidRPr="6721725C">
        <w:rPr>
          <w:noProof/>
        </w:rPr>
        <w:t>SIA</w:t>
      </w:r>
      <w:r w:rsidRPr="6721725C">
        <w:rPr>
          <w:noProof/>
        </w:rPr>
        <w:t xml:space="preserve"> concluded that an EU-Indonesia agreement was expected to have positive impacts for both Parties and their societies, across all the key economic indicators (GDP, welfare, global and bilateral trade), with their comparative magnitude being larger in Indonesia than in the EU due to the differences in the relative size of the two economies. The economic modelling projected a</w:t>
      </w:r>
      <w:r w:rsidR="008175B1">
        <w:rPr>
          <w:noProof/>
        </w:rPr>
        <w:t>n</w:t>
      </w:r>
      <w:r w:rsidRPr="6721725C">
        <w:rPr>
          <w:noProof/>
        </w:rPr>
        <w:t xml:space="preserve"> increase in EU welfare of </w:t>
      </w:r>
      <w:r w:rsidR="00853AE0">
        <w:rPr>
          <w:noProof/>
        </w:rPr>
        <w:t>EUR </w:t>
      </w:r>
      <w:r w:rsidRPr="6721725C">
        <w:rPr>
          <w:noProof/>
        </w:rPr>
        <w:t xml:space="preserve">2 to 2.4 billion and an increase in EU GDP of </w:t>
      </w:r>
      <w:r w:rsidR="00853AE0">
        <w:rPr>
          <w:noProof/>
        </w:rPr>
        <w:t>EUR </w:t>
      </w:r>
      <w:r w:rsidRPr="6721725C">
        <w:rPr>
          <w:noProof/>
        </w:rPr>
        <w:t>2.5 to 3.1 billion. It showed that the higher the degree of trade liberalisation achieved in the agreement, the larger the economic gains expected for both sides, thereby making the case for pursuing the maximum degree of liberalisation possible in the negotiations. The removal of non-tariff barriers (NTBs) to trade appeared to be a key factor in determining the size of the expected economic gains, and the report stressed the importance of paying specific attention to areas such as Sanitary and Phyto-Sanitary (SPS) measures and Technical Barriers to Trade (TBT).</w:t>
      </w:r>
    </w:p>
    <w:p w:rsidR="00C12D43" w:rsidRPr="00DF46FE" w:rsidRDefault="00C12D43" w:rsidP="00261E6E">
      <w:pPr>
        <w:spacing w:after="240"/>
        <w:rPr>
          <w:noProof/>
        </w:rPr>
      </w:pPr>
      <w:r>
        <w:rPr>
          <w:noProof/>
        </w:rPr>
        <w:t>The Commission issued a position paper on the SIA on 26 June 2020. It concluded that the SIA corroborated the case for negotiating an ambitious trade and investment agreement and provided insights on specific sectors or actors that could experience negative impacts, and to which special attention should be paid.</w:t>
      </w:r>
    </w:p>
    <w:p w:rsidR="00261E6E" w:rsidRPr="00DF46FE" w:rsidRDefault="00EA2120" w:rsidP="00261E6E">
      <w:pPr>
        <w:spacing w:after="240"/>
        <w:rPr>
          <w:noProof/>
        </w:rPr>
      </w:pPr>
      <w:r>
        <w:rPr>
          <w:noProof/>
        </w:rPr>
        <w:t>In the context of the SIA and th</w:t>
      </w:r>
      <w:r w:rsidR="0050677C">
        <w:rPr>
          <w:noProof/>
        </w:rPr>
        <w:t xml:space="preserve">roughout the </w:t>
      </w:r>
      <w:r>
        <w:rPr>
          <w:noProof/>
        </w:rPr>
        <w:t>negotiations, the</w:t>
      </w:r>
      <w:r w:rsidR="00261E6E" w:rsidRPr="00DF46FE">
        <w:rPr>
          <w:noProof/>
        </w:rPr>
        <w:t xml:space="preserve"> Commission provided the possibility for civil society organisations to have their voice heard</w:t>
      </w:r>
      <w:r>
        <w:rPr>
          <w:noProof/>
        </w:rPr>
        <w:t xml:space="preserve">, </w:t>
      </w:r>
      <w:r w:rsidR="00261E6E" w:rsidRPr="00DF46FE">
        <w:rPr>
          <w:noProof/>
        </w:rPr>
        <w:t xml:space="preserve">ask questions, </w:t>
      </w:r>
      <w:r>
        <w:rPr>
          <w:noProof/>
        </w:rPr>
        <w:t>and contribute to a sound, evidence-based a</w:t>
      </w:r>
      <w:r w:rsidR="0043764A">
        <w:rPr>
          <w:noProof/>
        </w:rPr>
        <w:t>n</w:t>
      </w:r>
      <w:r>
        <w:rPr>
          <w:noProof/>
        </w:rPr>
        <w:t xml:space="preserve">d transparent societal debate, </w:t>
      </w:r>
      <w:r w:rsidR="00261E6E" w:rsidRPr="00DF46FE">
        <w:rPr>
          <w:noProof/>
        </w:rPr>
        <w:t>including through dedicated civil society dialogues</w:t>
      </w:r>
      <w:r w:rsidR="00CA10FD">
        <w:rPr>
          <w:noProof/>
        </w:rPr>
        <w:t xml:space="preserve">, </w:t>
      </w:r>
      <w:r w:rsidR="00CA10FD" w:rsidRPr="00CA10FD">
        <w:rPr>
          <w:noProof/>
        </w:rPr>
        <w:t>a workshop with local stakeholders in Indonesia, bilateral meetings, interviews and web-based surveys.</w:t>
      </w:r>
    </w:p>
    <w:p w:rsidR="00261E6E" w:rsidRPr="00DF46FE" w:rsidRDefault="00261E6E" w:rsidP="00261E6E">
      <w:pPr>
        <w:spacing w:after="240"/>
        <w:rPr>
          <w:noProof/>
        </w:rPr>
      </w:pPr>
      <w:r w:rsidRPr="00DF46FE">
        <w:rPr>
          <w:noProof/>
        </w:rPr>
        <w:t>Furthermore, during the negotiations</w:t>
      </w:r>
      <w:r w:rsidR="00CA10FD">
        <w:rPr>
          <w:noProof/>
        </w:rPr>
        <w:t xml:space="preserve"> and in line with its transparency policy,</w:t>
      </w:r>
      <w:r w:rsidRPr="00DF46FE">
        <w:rPr>
          <w:noProof/>
        </w:rPr>
        <w:t xml:space="preserve"> the Commission has published </w:t>
      </w:r>
      <w:r w:rsidR="00CA10FD" w:rsidRPr="00DF46FE">
        <w:rPr>
          <w:noProof/>
        </w:rPr>
        <w:t xml:space="preserve">on its website </w:t>
      </w:r>
      <w:r w:rsidRPr="00DF46FE">
        <w:rPr>
          <w:noProof/>
        </w:rPr>
        <w:t xml:space="preserve">and regularly updated reports of the negotiating rounds, the text proposals, press releases, facts sheets and background information materials. </w:t>
      </w:r>
    </w:p>
    <w:p w:rsidR="00896269" w:rsidRDefault="00896269" w:rsidP="0006154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CA10FD" w:rsidRPr="00DF46FE" w:rsidRDefault="00CA10FD" w:rsidP="00CA10FD">
      <w:pPr>
        <w:pBdr>
          <w:top w:val="nil"/>
          <w:left w:val="nil"/>
          <w:bottom w:val="nil"/>
          <w:right w:val="nil"/>
          <w:between w:val="nil"/>
          <w:bar w:val="nil"/>
        </w:pBdr>
        <w:spacing w:after="240"/>
        <w:rPr>
          <w:noProof/>
        </w:rPr>
      </w:pPr>
      <w:r w:rsidRPr="00DF46FE">
        <w:rPr>
          <w:noProof/>
        </w:rPr>
        <w:t xml:space="preserve">The SIA of the </w:t>
      </w:r>
      <w:r>
        <w:rPr>
          <w:noProof/>
        </w:rPr>
        <w:t>CEPA</w:t>
      </w:r>
      <w:r w:rsidRPr="00DF46FE">
        <w:rPr>
          <w:noProof/>
        </w:rPr>
        <w:t xml:space="preserve"> was carried out by </w:t>
      </w:r>
      <w:r>
        <w:rPr>
          <w:noProof/>
        </w:rPr>
        <w:t>a consortium of independent consultancy companies led by Development Solutions</w:t>
      </w:r>
      <w:r w:rsidR="009E497A">
        <w:rPr>
          <w:noProof/>
        </w:rPr>
        <w:t xml:space="preserve"> and commissioned by the Commission’s Directorate-General for Trade</w:t>
      </w:r>
      <w:r>
        <w:rPr>
          <w:noProof/>
        </w:rPr>
        <w:t>.</w:t>
      </w:r>
    </w:p>
    <w:p w:rsidR="00896269" w:rsidRDefault="00896269" w:rsidP="0006154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3120B0" w:rsidRDefault="00C12D43" w:rsidP="002C7D4D">
      <w:pPr>
        <w:spacing w:after="240"/>
        <w:rPr>
          <w:noProof/>
          <w:lang w:val="en-US" w:eastAsia="en-GB"/>
        </w:rPr>
      </w:pPr>
      <w:r w:rsidRPr="6721725C">
        <w:rPr>
          <w:noProof/>
          <w:lang w:val="en-US" w:eastAsia="en-GB"/>
        </w:rPr>
        <w:t>The negotiations for bilateral Free Trade Agreements between the EU and South</w:t>
      </w:r>
      <w:r w:rsidR="007E2678" w:rsidRPr="6721725C">
        <w:rPr>
          <w:noProof/>
          <w:lang w:val="en-US" w:eastAsia="en-GB"/>
        </w:rPr>
        <w:t>e</w:t>
      </w:r>
      <w:r w:rsidRPr="6721725C">
        <w:rPr>
          <w:noProof/>
          <w:lang w:val="en-US" w:eastAsia="en-GB"/>
        </w:rPr>
        <w:t>ast Asian countries were covered by the</w:t>
      </w:r>
      <w:r w:rsidR="537B5F74" w:rsidRPr="6721725C">
        <w:rPr>
          <w:noProof/>
          <w:lang w:val="en-US" w:eastAsia="en-GB"/>
        </w:rPr>
        <w:t xml:space="preserve"> August 2009</w:t>
      </w:r>
      <w:r w:rsidRPr="6721725C">
        <w:rPr>
          <w:noProof/>
          <w:lang w:val="en-US" w:eastAsia="en-GB"/>
        </w:rPr>
        <w:t xml:space="preserve"> </w:t>
      </w:r>
      <w:hyperlink r:id="rId16">
        <w:r w:rsidRPr="6721725C">
          <w:rPr>
            <w:rStyle w:val="Hyperlink"/>
            <w:noProof/>
            <w:lang w:val="en-US" w:eastAsia="en-GB"/>
          </w:rPr>
          <w:t>Impact assessment</w:t>
        </w:r>
      </w:hyperlink>
      <w:r w:rsidRPr="6721725C">
        <w:rPr>
          <w:noProof/>
          <w:lang w:val="en-US" w:eastAsia="en-GB"/>
        </w:rPr>
        <w:t xml:space="preserve"> carried out at the time of the Commission proposal for a negotiating mandate for an EU-ASEAN Free Trade agreement.</w:t>
      </w:r>
    </w:p>
    <w:p w:rsidR="00896269" w:rsidRPr="002C7D4D" w:rsidRDefault="00896269" w:rsidP="002C7D4D">
      <w:pPr>
        <w:pStyle w:val="ManualHeading2"/>
        <w:rPr>
          <w:noProof/>
        </w:rPr>
      </w:pPr>
      <w:r w:rsidRPr="002C7D4D">
        <w:rPr>
          <w:noProof/>
        </w:rPr>
        <w:t>•</w:t>
      </w:r>
      <w:r w:rsidRPr="002C7D4D">
        <w:rPr>
          <w:noProof/>
        </w:rPr>
        <w:tab/>
        <w:t>Regulatory fitness and simplification</w:t>
      </w:r>
    </w:p>
    <w:p w:rsidR="00896269" w:rsidRPr="00044058" w:rsidRDefault="005D61CA" w:rsidP="005D61CA">
      <w:pPr>
        <w:pBdr>
          <w:top w:val="nil"/>
          <w:left w:val="nil"/>
          <w:bottom w:val="nil"/>
          <w:right w:val="nil"/>
          <w:between w:val="nil"/>
          <w:bar w:val="nil"/>
        </w:pBdr>
        <w:spacing w:before="0" w:after="240"/>
        <w:rPr>
          <w:rFonts w:eastAsia="Arial Unicode MS"/>
          <w:noProof/>
        </w:rPr>
      </w:pPr>
      <w:r w:rsidRPr="00DF46FE">
        <w:rPr>
          <w:noProof/>
        </w:rPr>
        <w:t xml:space="preserve">The </w:t>
      </w:r>
      <w:r>
        <w:rPr>
          <w:noProof/>
        </w:rPr>
        <w:t>CEPA</w:t>
      </w:r>
      <w:r w:rsidRPr="00DF46FE">
        <w:rPr>
          <w:noProof/>
        </w:rPr>
        <w:t xml:space="preserve"> is not subject to REFIT procedures. It nevertheless contains a number of provisions that will simplify trade and related procedures, reduce export related costs and will therefore enable more SMEs to do business in both markets. A dedicated chapter for SMEs addresses in particular enhanced information exchange and cooperation with </w:t>
      </w:r>
      <w:r>
        <w:rPr>
          <w:noProof/>
        </w:rPr>
        <w:t>Indonesia</w:t>
      </w:r>
      <w:r w:rsidRPr="00DF46FE">
        <w:rPr>
          <w:noProof/>
        </w:rPr>
        <w:t xml:space="preserve"> on SME-related issues. Tariff elimination</w:t>
      </w:r>
      <w:r>
        <w:rPr>
          <w:noProof/>
        </w:rPr>
        <w:t xml:space="preserve"> including on electronic communications</w:t>
      </w:r>
      <w:r w:rsidRPr="00DF46FE">
        <w:rPr>
          <w:noProof/>
        </w:rPr>
        <w:t xml:space="preserve">, simplified and digitised customs procedures and more compatible technical requirements will lower export related costs and allow SMEs with lower trade volumes to compete with larger companies. This also enhances SMEs' ability to participate in supply chains, digital trade and </w:t>
      </w:r>
      <w:r w:rsidRPr="00DF46FE">
        <w:rPr>
          <w:noProof/>
        </w:rPr>
        <w:lastRenderedPageBreak/>
        <w:t xml:space="preserve">public procurement and to provide services on the </w:t>
      </w:r>
      <w:r>
        <w:rPr>
          <w:noProof/>
        </w:rPr>
        <w:t>Indonesian</w:t>
      </w:r>
      <w:r w:rsidRPr="00DF46FE">
        <w:rPr>
          <w:noProof/>
        </w:rPr>
        <w:t xml:space="preserve"> market. The </w:t>
      </w:r>
      <w:r w:rsidR="005116A1">
        <w:rPr>
          <w:noProof/>
        </w:rPr>
        <w:t>CEPA</w:t>
      </w:r>
      <w:r w:rsidRPr="00DF46FE">
        <w:rPr>
          <w:noProof/>
        </w:rPr>
        <w:t xml:space="preserve"> also promotes transparency and the use of international standards to facilitate market access and lower costs of compliance.</w:t>
      </w:r>
    </w:p>
    <w:p w:rsidR="00896269" w:rsidRDefault="00896269" w:rsidP="0006154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896269" w:rsidRPr="00044058" w:rsidRDefault="005D61CA" w:rsidP="0006154B">
      <w:pPr>
        <w:pBdr>
          <w:top w:val="nil"/>
          <w:left w:val="nil"/>
          <w:bottom w:val="nil"/>
          <w:right w:val="nil"/>
          <w:between w:val="nil"/>
          <w:bar w:val="nil"/>
        </w:pBdr>
        <w:spacing w:before="0" w:after="240"/>
        <w:rPr>
          <w:rFonts w:eastAsia="Arial Unicode MS"/>
          <w:noProof/>
        </w:rPr>
      </w:pPr>
      <w:r w:rsidRPr="00DF46FE">
        <w:rPr>
          <w:noProof/>
        </w:rPr>
        <w:t>The proposal does not affect the protection of fundamental rights in the Union</w:t>
      </w:r>
      <w:r>
        <w:rPr>
          <w:noProof/>
        </w:rPr>
        <w:t>.</w:t>
      </w:r>
    </w:p>
    <w:p w:rsidR="00896269" w:rsidRDefault="00896269" w:rsidP="0006154B">
      <w:pPr>
        <w:pStyle w:val="ManualHeading1"/>
        <w:rPr>
          <w:noProof/>
        </w:rPr>
      </w:pPr>
      <w:r w:rsidRPr="00550536">
        <w:rPr>
          <w:noProof/>
        </w:rPr>
        <w:t>4.</w:t>
      </w:r>
      <w:r w:rsidRPr="00550536">
        <w:rPr>
          <w:noProof/>
        </w:rPr>
        <w:tab/>
        <w:t>BUDGETARY IMPLICATIONS</w:t>
      </w:r>
    </w:p>
    <w:p w:rsidR="00753DE9" w:rsidRPr="00753DE9" w:rsidRDefault="00753DE9" w:rsidP="002C7D4D">
      <w:pPr>
        <w:rPr>
          <w:b/>
          <w:smallCaps/>
          <w:noProof/>
        </w:rPr>
      </w:pPr>
      <w:r w:rsidRPr="00753DE9">
        <w:rPr>
          <w:noProof/>
        </w:rPr>
        <w:t>The CEPA will have a financial impact on the EU’s budget on the side of the revenues. It is</w:t>
      </w:r>
      <w:r>
        <w:rPr>
          <w:noProof/>
        </w:rPr>
        <w:t xml:space="preserve"> </w:t>
      </w:r>
      <w:r w:rsidRPr="00753DE9">
        <w:rPr>
          <w:noProof/>
        </w:rPr>
        <w:t xml:space="preserve">estimated that foregone duties could reach an amount of between EUR 630 </w:t>
      </w:r>
      <w:r>
        <w:rPr>
          <w:noProof/>
        </w:rPr>
        <w:t xml:space="preserve">million </w:t>
      </w:r>
      <w:r w:rsidRPr="00753DE9">
        <w:rPr>
          <w:noProof/>
        </w:rPr>
        <w:t>and EUR 700 million a year upon full implementation of the CEPA. The estimate is based on average imports projected for 2041 in the absence of an FTA.</w:t>
      </w:r>
    </w:p>
    <w:p w:rsidR="00896269" w:rsidRPr="00550536" w:rsidRDefault="00896269" w:rsidP="0006154B">
      <w:pPr>
        <w:pStyle w:val="ManualHeading1"/>
        <w:rPr>
          <w:noProof/>
        </w:rPr>
      </w:pPr>
      <w:r w:rsidRPr="00550536">
        <w:rPr>
          <w:noProof/>
        </w:rPr>
        <w:t>5.</w:t>
      </w:r>
      <w:r w:rsidRPr="00550536">
        <w:rPr>
          <w:noProof/>
        </w:rPr>
        <w:tab/>
        <w:t>OTHER ELEMENTS</w:t>
      </w:r>
    </w:p>
    <w:p w:rsidR="00896269" w:rsidRDefault="00896269" w:rsidP="0006154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D31381" w:rsidRPr="00DF46FE" w:rsidRDefault="00D31381" w:rsidP="00D31381">
      <w:pPr>
        <w:autoSpaceDE w:val="0"/>
        <w:autoSpaceDN w:val="0"/>
        <w:adjustRightInd w:val="0"/>
        <w:spacing w:after="240"/>
        <w:rPr>
          <w:noProof/>
        </w:rPr>
      </w:pPr>
      <w:r w:rsidRPr="00DF46FE">
        <w:rPr>
          <w:noProof/>
        </w:rPr>
        <w:t xml:space="preserve">The </w:t>
      </w:r>
      <w:r>
        <w:rPr>
          <w:noProof/>
        </w:rPr>
        <w:t>CEPA</w:t>
      </w:r>
      <w:r w:rsidRPr="00DF46FE">
        <w:rPr>
          <w:noProof/>
        </w:rPr>
        <w:t xml:space="preserve"> includes institutional provisions that lay down the structure for the implementing bodies to continuously monitor </w:t>
      </w:r>
      <w:r w:rsidR="00A62E90">
        <w:rPr>
          <w:noProof/>
        </w:rPr>
        <w:t>the</w:t>
      </w:r>
      <w:r w:rsidR="00A62E90" w:rsidRPr="00DF46FE">
        <w:rPr>
          <w:noProof/>
        </w:rPr>
        <w:t xml:space="preserve"> </w:t>
      </w:r>
      <w:r w:rsidRPr="00DF46FE">
        <w:rPr>
          <w:noProof/>
        </w:rPr>
        <w:t xml:space="preserve">implementation, operation and impact of the </w:t>
      </w:r>
      <w:r>
        <w:rPr>
          <w:noProof/>
        </w:rPr>
        <w:t>CEPA</w:t>
      </w:r>
      <w:r w:rsidRPr="00DF46FE">
        <w:rPr>
          <w:noProof/>
        </w:rPr>
        <w:t xml:space="preserve">. </w:t>
      </w:r>
    </w:p>
    <w:p w:rsidR="00D31381" w:rsidRDefault="00D31381" w:rsidP="00D31381">
      <w:pPr>
        <w:autoSpaceDE w:val="0"/>
        <w:autoSpaceDN w:val="0"/>
        <w:adjustRightInd w:val="0"/>
        <w:spacing w:after="240"/>
        <w:rPr>
          <w:noProof/>
        </w:rPr>
      </w:pPr>
      <w:r w:rsidRPr="00DF46FE">
        <w:rPr>
          <w:noProof/>
        </w:rPr>
        <w:t xml:space="preserve">The institutional chapter of the </w:t>
      </w:r>
      <w:r>
        <w:rPr>
          <w:noProof/>
        </w:rPr>
        <w:t>CEPA</w:t>
      </w:r>
      <w:r w:rsidRPr="00DF46FE">
        <w:rPr>
          <w:noProof/>
        </w:rPr>
        <w:t xml:space="preserve"> establishes a Trade Committee that has as its main task to supervise and facilitate the implementation and application of the </w:t>
      </w:r>
      <w:r>
        <w:rPr>
          <w:noProof/>
        </w:rPr>
        <w:t>CEPA</w:t>
      </w:r>
      <w:r w:rsidRPr="00DF46FE">
        <w:rPr>
          <w:noProof/>
        </w:rPr>
        <w:t xml:space="preserve">. The Trade Committee will be in charge of supervising the work of all specialised committees and working groups established under the </w:t>
      </w:r>
      <w:r>
        <w:rPr>
          <w:noProof/>
        </w:rPr>
        <w:t>CEPA.</w:t>
      </w:r>
    </w:p>
    <w:p w:rsidR="00D31381" w:rsidRPr="00DF46FE" w:rsidRDefault="00D31381" w:rsidP="00D31381">
      <w:pPr>
        <w:autoSpaceDE w:val="0"/>
        <w:autoSpaceDN w:val="0"/>
        <w:adjustRightInd w:val="0"/>
        <w:spacing w:after="240"/>
        <w:rPr>
          <w:noProof/>
        </w:rPr>
      </w:pPr>
      <w:r>
        <w:rPr>
          <w:noProof/>
        </w:rPr>
        <w:t>The Trade Committee will exchange views on topics linked to the implementation of the agreement with civil society representatives participating in a Civil Society Dialogue.</w:t>
      </w:r>
      <w:r w:rsidRPr="00DF46FE">
        <w:rPr>
          <w:noProof/>
        </w:rPr>
        <w:t xml:space="preserve"> </w:t>
      </w:r>
    </w:p>
    <w:p w:rsidR="00D31381" w:rsidRDefault="00D31381" w:rsidP="6721725C">
      <w:pPr>
        <w:pBdr>
          <w:top w:val="nil"/>
          <w:left w:val="nil"/>
          <w:bottom w:val="nil"/>
          <w:right w:val="nil"/>
          <w:between w:val="nil"/>
          <w:bar w:val="nil"/>
        </w:pBdr>
        <w:spacing w:before="0" w:after="240"/>
        <w:rPr>
          <w:rFonts w:eastAsia="Arial Unicode MS"/>
          <w:noProof/>
        </w:rPr>
      </w:pPr>
      <w:r w:rsidRPr="6721725C">
        <w:rPr>
          <w:noProof/>
        </w:rPr>
        <w:t>The CEPA also establishes Domestic Advisory Groups comprising of a balanced representation of independent civil society organisations including non-governmental organisations, business and employers' organisations as well as trade unions</w:t>
      </w:r>
      <w:r w:rsidR="00A62E90" w:rsidRPr="6721725C">
        <w:rPr>
          <w:noProof/>
        </w:rPr>
        <w:t>,</w:t>
      </w:r>
      <w:r w:rsidRPr="6721725C">
        <w:rPr>
          <w:noProof/>
        </w:rPr>
        <w:t xml:space="preserve"> active </w:t>
      </w:r>
      <w:r w:rsidR="00041A3A" w:rsidRPr="6721725C">
        <w:rPr>
          <w:noProof/>
        </w:rPr>
        <w:t>i</w:t>
      </w:r>
      <w:r w:rsidRPr="6721725C">
        <w:rPr>
          <w:noProof/>
        </w:rPr>
        <w:t xml:space="preserve">n economic, social and environmental matters. The Domestic Advisory Groups may submit views and recommendations concerning the functioning and implementation of the </w:t>
      </w:r>
      <w:r w:rsidR="005D48B8" w:rsidRPr="6721725C">
        <w:rPr>
          <w:noProof/>
        </w:rPr>
        <w:t>CEPA</w:t>
      </w:r>
      <w:r w:rsidRPr="6721725C">
        <w:rPr>
          <w:noProof/>
        </w:rPr>
        <w:t xml:space="preserve"> and shall meet at least once a year.</w:t>
      </w:r>
    </w:p>
    <w:p w:rsidR="00003C9B" w:rsidRPr="00550536" w:rsidRDefault="00003C9B" w:rsidP="0006154B">
      <w:pPr>
        <w:pBdr>
          <w:top w:val="nil"/>
          <w:left w:val="nil"/>
          <w:bottom w:val="nil"/>
          <w:right w:val="nil"/>
          <w:between w:val="nil"/>
          <w:bar w:val="nil"/>
        </w:pBdr>
        <w:spacing w:before="0" w:after="240"/>
        <w:rPr>
          <w:rFonts w:eastAsia="Arial Unicode MS"/>
          <w:noProof/>
        </w:rPr>
      </w:pPr>
      <w:r w:rsidRPr="00DF46FE">
        <w:rPr>
          <w:noProof/>
        </w:rPr>
        <w:t xml:space="preserve">As emphasised in the “Trade for All” Communication, the Commission is dedicating increasing resources to the effective implementation and enforcement of trade and investment agreements. </w:t>
      </w:r>
      <w:r>
        <w:rPr>
          <w:noProof/>
        </w:rPr>
        <w:t>In November 2025</w:t>
      </w:r>
      <w:r w:rsidRPr="00DF46FE">
        <w:rPr>
          <w:noProof/>
        </w:rPr>
        <w:t xml:space="preserve">, the Commission published its </w:t>
      </w:r>
      <w:r>
        <w:rPr>
          <w:noProof/>
        </w:rPr>
        <w:t>fifth</w:t>
      </w:r>
      <w:r w:rsidRPr="00DF46FE">
        <w:rPr>
          <w:noProof/>
        </w:rPr>
        <w:t xml:space="preserve"> annual Implementation and Enforcement Report. The main purpose of the report is to convey an objective picture on the implementation of EU FTAs, highlighting the progress made and the shortcomings that need to be addressed. The objective is for the report to serve as the basis for open debate and engagement with Member States, the European Parliament and the civil society at large on the functioning of the FTAs and their implementation. As an annual exercise, the publication of the report will allow regular monitoring of developments, registering also how identified priority issues have been addressed. The report will cover the EU-</w:t>
      </w:r>
      <w:r>
        <w:rPr>
          <w:noProof/>
        </w:rPr>
        <w:t>Indonesia CEPA</w:t>
      </w:r>
      <w:r w:rsidRPr="00DF46FE">
        <w:rPr>
          <w:noProof/>
        </w:rPr>
        <w:t xml:space="preserve"> as of its entry into force</w:t>
      </w:r>
      <w:r w:rsidR="008175B1">
        <w:rPr>
          <w:noProof/>
        </w:rPr>
        <w:t>.</w:t>
      </w:r>
    </w:p>
    <w:p w:rsidR="00896269" w:rsidRDefault="00896269" w:rsidP="0006154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896269" w:rsidRPr="009F1C2B" w:rsidRDefault="009F1C2B" w:rsidP="0006154B">
      <w:pPr>
        <w:pBdr>
          <w:top w:val="nil"/>
          <w:left w:val="nil"/>
          <w:bottom w:val="nil"/>
          <w:right w:val="nil"/>
          <w:between w:val="nil"/>
          <w:bar w:val="nil"/>
        </w:pBdr>
        <w:spacing w:before="0" w:after="240"/>
        <w:rPr>
          <w:rFonts w:eastAsia="Arial Unicode MS"/>
          <w:noProof/>
        </w:rPr>
      </w:pPr>
      <w:r w:rsidRPr="00FC2A32">
        <w:rPr>
          <w:noProof/>
        </w:rPr>
        <w:t>Not applicable.</w:t>
      </w:r>
    </w:p>
    <w:p w:rsidR="00896269" w:rsidRDefault="00896269" w:rsidP="0006154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C85CE7" w:rsidRPr="00C85CE7" w:rsidRDefault="00C85CE7"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 xml:space="preserve">As a result of </w:t>
      </w:r>
      <w:r w:rsidR="00D52DBD" w:rsidRPr="6721725C">
        <w:rPr>
          <w:rFonts w:eastAsia="Arial Unicode MS"/>
          <w:noProof/>
          <w:lang w:val="en-IE"/>
        </w:rPr>
        <w:t xml:space="preserve">Chapter 2 of the </w:t>
      </w:r>
      <w:r w:rsidRPr="6721725C">
        <w:rPr>
          <w:rFonts w:eastAsia="Arial Unicode MS"/>
          <w:noProof/>
          <w:lang w:val="en-IE"/>
        </w:rPr>
        <w:t>CEPA, the EU and Indonesia will eliminate tariffs on over 98% of tariff lines, and close to 100% in terms of value. 80% will be liberalised already at entry into force</w:t>
      </w:r>
      <w:r w:rsidR="00D01829" w:rsidRPr="6721725C">
        <w:rPr>
          <w:rFonts w:eastAsia="Arial Unicode MS"/>
          <w:noProof/>
          <w:lang w:val="en-IE"/>
        </w:rPr>
        <w:t>. A</w:t>
      </w:r>
      <w:r w:rsidRPr="6721725C">
        <w:rPr>
          <w:rFonts w:eastAsia="Arial Unicode MS"/>
          <w:noProof/>
          <w:lang w:val="en-IE"/>
        </w:rPr>
        <w:t>fter a 5-year phase-out, liberalisation will reach 96% of bilateral trade. For example, Indonesia will remove high duties on industrial products, such as motor vehicles (current tariffs up to 50%), machinery and electrical equipment, pharmaceuticals and chemicals, agri-food products. The agreement will also eliminate or substantially reduce EU duties on most Indonesian goods exported to the EU.</w:t>
      </w:r>
    </w:p>
    <w:p w:rsidR="00F069E1" w:rsidRDefault="005C784C"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Chapter 3 of t</w:t>
      </w:r>
      <w:r w:rsidR="00E07417" w:rsidRPr="6721725C">
        <w:rPr>
          <w:rFonts w:eastAsia="Arial Unicode MS"/>
          <w:noProof/>
          <w:lang w:val="en-IE"/>
        </w:rPr>
        <w:t>he CEPA</w:t>
      </w:r>
      <w:r w:rsidR="00A30C4B" w:rsidRPr="6721725C">
        <w:rPr>
          <w:rFonts w:eastAsia="Arial Unicode MS"/>
          <w:noProof/>
          <w:lang w:val="en-IE"/>
        </w:rPr>
        <w:t xml:space="preserve"> </w:t>
      </w:r>
      <w:r w:rsidR="0015728C" w:rsidRPr="6721725C">
        <w:rPr>
          <w:rFonts w:eastAsia="Arial Unicode MS"/>
          <w:noProof/>
          <w:lang w:val="en-IE"/>
        </w:rPr>
        <w:t>contains</w:t>
      </w:r>
      <w:r w:rsidR="00C85CE7" w:rsidRPr="6721725C">
        <w:rPr>
          <w:rFonts w:eastAsia="Arial Unicode MS"/>
          <w:noProof/>
          <w:lang w:val="en-IE"/>
        </w:rPr>
        <w:t xml:space="preserve"> rules of origin that ensure that only products that have been significantly processed in </w:t>
      </w:r>
      <w:r w:rsidR="0015728C" w:rsidRPr="6721725C">
        <w:rPr>
          <w:rFonts w:eastAsia="Arial Unicode MS"/>
          <w:noProof/>
          <w:lang w:val="en-IE"/>
        </w:rPr>
        <w:t>the EU or Indonesia</w:t>
      </w:r>
      <w:r w:rsidR="00C85CE7" w:rsidRPr="6721725C">
        <w:rPr>
          <w:rFonts w:eastAsia="Arial Unicode MS"/>
          <w:noProof/>
          <w:lang w:val="en-IE"/>
        </w:rPr>
        <w:t xml:space="preserve"> can benefit from the tariff preferences of the agreement. </w:t>
      </w:r>
    </w:p>
    <w:p w:rsidR="00F069E1" w:rsidRPr="00F069E1" w:rsidRDefault="00F069E1" w:rsidP="00F069E1">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4 of the CEPA </w:t>
      </w:r>
      <w:r w:rsidRPr="00F069E1">
        <w:rPr>
          <w:rFonts w:eastAsia="Arial Unicode MS"/>
          <w:noProof/>
          <w:lang w:val="en-IE"/>
        </w:rPr>
        <w:t xml:space="preserve">will help companies trading goods between the EU and Indonesia get their </w:t>
      </w:r>
      <w:r>
        <w:rPr>
          <w:rFonts w:eastAsia="Arial Unicode MS"/>
          <w:noProof/>
          <w:lang w:val="en-IE"/>
        </w:rPr>
        <w:t>products</w:t>
      </w:r>
      <w:r w:rsidRPr="00F069E1">
        <w:rPr>
          <w:rFonts w:eastAsia="Arial Unicode MS"/>
          <w:noProof/>
          <w:lang w:val="en-IE"/>
        </w:rPr>
        <w:t xml:space="preserve"> easier and faster through customs.</w:t>
      </w:r>
      <w:r>
        <w:rPr>
          <w:rFonts w:eastAsia="Arial Unicode MS"/>
          <w:noProof/>
          <w:lang w:val="en-IE"/>
        </w:rPr>
        <w:t xml:space="preserve"> </w:t>
      </w:r>
      <w:r w:rsidRPr="00F069E1">
        <w:rPr>
          <w:rFonts w:eastAsia="Arial Unicode MS"/>
          <w:noProof/>
          <w:lang w:val="en-IE"/>
        </w:rPr>
        <w:t xml:space="preserve">It will </w:t>
      </w:r>
      <w:r w:rsidR="00182031">
        <w:rPr>
          <w:rFonts w:eastAsia="Arial Unicode MS"/>
          <w:noProof/>
          <w:lang w:val="en-IE"/>
        </w:rPr>
        <w:t xml:space="preserve">help to </w:t>
      </w:r>
      <w:r w:rsidRPr="00F069E1">
        <w:rPr>
          <w:rFonts w:eastAsia="Arial Unicode MS"/>
          <w:noProof/>
          <w:lang w:val="en-IE"/>
        </w:rPr>
        <w:t>ensure effective customs control, so that imported goods meet all the rules of the importing country including requirements related to safety, security and respect of intellectual property rights.</w:t>
      </w:r>
      <w:r>
        <w:rPr>
          <w:rFonts w:eastAsia="Arial Unicode MS"/>
          <w:noProof/>
          <w:lang w:val="en-IE"/>
        </w:rPr>
        <w:t xml:space="preserve"> </w:t>
      </w:r>
      <w:r w:rsidRPr="00F069E1">
        <w:rPr>
          <w:rFonts w:eastAsia="Arial Unicode MS"/>
          <w:noProof/>
          <w:lang w:val="en-IE"/>
        </w:rPr>
        <w:t xml:space="preserve">The agreement </w:t>
      </w:r>
      <w:r>
        <w:rPr>
          <w:rFonts w:eastAsia="Arial Unicode MS"/>
          <w:noProof/>
          <w:lang w:val="en-IE"/>
        </w:rPr>
        <w:t xml:space="preserve">notably </w:t>
      </w:r>
      <w:r w:rsidRPr="00F069E1">
        <w:rPr>
          <w:rFonts w:eastAsia="Arial Unicode MS"/>
          <w:noProof/>
          <w:lang w:val="en-IE"/>
        </w:rPr>
        <w:t>includes </w:t>
      </w:r>
      <w:r w:rsidR="00182031">
        <w:rPr>
          <w:rFonts w:eastAsia="Arial Unicode MS"/>
          <w:noProof/>
          <w:lang w:val="en-IE"/>
        </w:rPr>
        <w:t xml:space="preserve">provisions on customs </w:t>
      </w:r>
      <w:r w:rsidRPr="00F069E1">
        <w:rPr>
          <w:rFonts w:eastAsia="Arial Unicode MS"/>
          <w:noProof/>
          <w:lang w:val="en-IE"/>
        </w:rPr>
        <w:t>procedures</w:t>
      </w:r>
      <w:r>
        <w:rPr>
          <w:rFonts w:eastAsia="Arial Unicode MS"/>
          <w:noProof/>
          <w:lang w:val="en-IE"/>
        </w:rPr>
        <w:t xml:space="preserve"> to</w:t>
      </w:r>
      <w:r w:rsidRPr="00F069E1">
        <w:rPr>
          <w:rFonts w:eastAsia="Arial Unicode MS"/>
          <w:noProof/>
          <w:lang w:val="en-IE"/>
        </w:rPr>
        <w:t xml:space="preserve"> be complied with at the border</w:t>
      </w:r>
      <w:r>
        <w:rPr>
          <w:rFonts w:eastAsia="Arial Unicode MS"/>
          <w:noProof/>
          <w:lang w:val="en-IE"/>
        </w:rPr>
        <w:t xml:space="preserve">, </w:t>
      </w:r>
      <w:r w:rsidRPr="00F069E1">
        <w:rPr>
          <w:rFonts w:eastAsia="Arial Unicode MS"/>
          <w:noProof/>
          <w:lang w:val="en-IE"/>
        </w:rPr>
        <w:t>commitments to provide easy access to information on applied tariffs,</w:t>
      </w:r>
      <w:r>
        <w:rPr>
          <w:rFonts w:eastAsia="Arial Unicode MS"/>
          <w:noProof/>
          <w:lang w:val="en-IE"/>
        </w:rPr>
        <w:t xml:space="preserve"> and </w:t>
      </w:r>
      <w:r w:rsidRPr="00F069E1">
        <w:rPr>
          <w:rFonts w:eastAsia="Arial Unicode MS"/>
          <w:noProof/>
          <w:lang w:val="en-IE"/>
        </w:rPr>
        <w:t>common principles for customs legislation</w:t>
      </w:r>
      <w:r w:rsidR="00182031">
        <w:rPr>
          <w:rFonts w:eastAsia="Arial Unicode MS"/>
          <w:noProof/>
          <w:lang w:val="en-IE"/>
        </w:rPr>
        <w:t>.</w:t>
      </w:r>
    </w:p>
    <w:p w:rsidR="00C85CE7" w:rsidRDefault="006D7D5F"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 xml:space="preserve">Chapter 5 of the </w:t>
      </w:r>
      <w:r w:rsidR="00E07417" w:rsidRPr="6721725C">
        <w:rPr>
          <w:rFonts w:eastAsia="Arial Unicode MS"/>
          <w:noProof/>
          <w:lang w:val="en-IE"/>
        </w:rPr>
        <w:t xml:space="preserve">CEPA </w:t>
      </w:r>
      <w:r w:rsidR="00C85CE7" w:rsidRPr="6721725C">
        <w:rPr>
          <w:rFonts w:eastAsia="Arial Unicode MS"/>
          <w:noProof/>
          <w:lang w:val="en-IE"/>
        </w:rPr>
        <w:t>also includes a bilateral safeguard mechanism, which allows the EU and Indonesia to impose temporary measures in case a significant increase of preferential imports causes, or threatens to cause, serious injury to their domestic industry.</w:t>
      </w:r>
    </w:p>
    <w:p w:rsidR="00F069E1" w:rsidRPr="00C85CE7" w:rsidRDefault="00F069E1" w:rsidP="6721725C">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6 of the CEPA </w:t>
      </w:r>
      <w:r w:rsidRPr="00F069E1">
        <w:rPr>
          <w:rFonts w:eastAsia="Arial Unicode MS"/>
          <w:noProof/>
          <w:lang w:val="en-IE"/>
        </w:rPr>
        <w:t>on Sanitary and Phytosanitary (SPS) matters, covers food safety and animal and plant health</w:t>
      </w:r>
      <w:r>
        <w:rPr>
          <w:rFonts w:eastAsia="Arial Unicode MS"/>
          <w:noProof/>
          <w:lang w:val="en-IE"/>
        </w:rPr>
        <w:t>. It</w:t>
      </w:r>
      <w:r w:rsidRPr="00F069E1">
        <w:rPr>
          <w:rFonts w:eastAsia="Arial Unicode MS"/>
          <w:noProof/>
          <w:lang w:val="en-IE"/>
        </w:rPr>
        <w:t xml:space="preserve"> preserves the way the EU adopts and enforces its food safety rules, be it for domestically produced or imported products.</w:t>
      </w:r>
      <w:r>
        <w:rPr>
          <w:rFonts w:eastAsia="Arial Unicode MS"/>
          <w:noProof/>
          <w:lang w:val="en-IE"/>
        </w:rPr>
        <w:t xml:space="preserve"> </w:t>
      </w:r>
      <w:r w:rsidRPr="00F069E1">
        <w:rPr>
          <w:rFonts w:eastAsia="Arial Unicode MS"/>
          <w:noProof/>
          <w:lang w:val="en-IE"/>
        </w:rPr>
        <w:t>The agreement reaffirms the principles of the WTO SPS Agreement.</w:t>
      </w:r>
      <w:r>
        <w:rPr>
          <w:rFonts w:eastAsia="Arial Unicode MS"/>
          <w:noProof/>
          <w:lang w:val="en-IE"/>
        </w:rPr>
        <w:t xml:space="preserve"> </w:t>
      </w:r>
      <w:r w:rsidRPr="00F069E1">
        <w:rPr>
          <w:rFonts w:eastAsia="Arial Unicode MS"/>
          <w:noProof/>
          <w:lang w:val="en-IE"/>
        </w:rPr>
        <w:t xml:space="preserve">The EU and Indonesia will reinforce joint work on SPS matters to ensure rapid intervention in emergencies related to imports and exports of agriculture and fishery products. </w:t>
      </w:r>
    </w:p>
    <w:p w:rsidR="00C85CE7" w:rsidRPr="00C85CE7" w:rsidRDefault="002C576C"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Chapter 7 of the</w:t>
      </w:r>
      <w:r w:rsidR="00C85CE7" w:rsidRPr="6721725C">
        <w:rPr>
          <w:rFonts w:eastAsia="Arial Unicode MS"/>
          <w:noProof/>
          <w:lang w:val="en-IE"/>
        </w:rPr>
        <w:t xml:space="preserve"> CEPA aims to remove technical barriers to trade in goods between the EU and Indonesia. For key sectors like electronics, machinery, and energy-efficient products, certificates and test reports from EU-based, accredited bodie</w:t>
      </w:r>
      <w:r w:rsidR="008A76BD" w:rsidRPr="6721725C">
        <w:rPr>
          <w:rFonts w:eastAsia="Arial Unicode MS"/>
          <w:noProof/>
          <w:lang w:val="en-IE"/>
        </w:rPr>
        <w:t>s are recognised, which</w:t>
      </w:r>
      <w:r w:rsidR="00C85CE7" w:rsidRPr="6721725C">
        <w:rPr>
          <w:rFonts w:eastAsia="Arial Unicode MS"/>
          <w:noProof/>
          <w:lang w:val="en-IE"/>
        </w:rPr>
        <w:t xml:space="preserve"> eliminates the need for expensive and time-consuming re-testing and re-certification in Indonesia.</w:t>
      </w:r>
      <w:r w:rsidR="00D37718" w:rsidRPr="6721725C">
        <w:rPr>
          <w:rFonts w:eastAsia="Arial Unicode MS"/>
          <w:noProof/>
          <w:lang w:val="en-IE"/>
        </w:rPr>
        <w:t xml:space="preserve"> The </w:t>
      </w:r>
      <w:r w:rsidR="004E5C35" w:rsidRPr="6721725C">
        <w:rPr>
          <w:rFonts w:eastAsia="Arial Unicode MS"/>
          <w:noProof/>
          <w:lang w:val="en-IE"/>
        </w:rPr>
        <w:t xml:space="preserve">CEPA </w:t>
      </w:r>
      <w:r w:rsidR="00D37718" w:rsidRPr="6721725C">
        <w:rPr>
          <w:rFonts w:eastAsia="Arial Unicode MS"/>
          <w:noProof/>
          <w:lang w:val="en-IE"/>
        </w:rPr>
        <w:t>also contains streamlined labelling procedures.</w:t>
      </w:r>
      <w:r w:rsidRPr="6721725C">
        <w:rPr>
          <w:rFonts w:eastAsia="Arial Unicode MS"/>
          <w:noProof/>
          <w:lang w:val="en-IE"/>
        </w:rPr>
        <w:t xml:space="preserve"> </w:t>
      </w:r>
      <w:r w:rsidR="00D37718" w:rsidRPr="6721725C">
        <w:rPr>
          <w:rFonts w:eastAsia="Arial Unicode MS"/>
          <w:noProof/>
          <w:lang w:val="en-IE"/>
        </w:rPr>
        <w:t>The CEPA provides for better</w:t>
      </w:r>
      <w:r w:rsidR="00C85CE7" w:rsidRPr="6721725C">
        <w:rPr>
          <w:rFonts w:eastAsia="Arial Unicode MS"/>
          <w:noProof/>
          <w:lang w:val="en-IE"/>
        </w:rPr>
        <w:t xml:space="preserve"> </w:t>
      </w:r>
      <w:r w:rsidR="00D37718" w:rsidRPr="6721725C">
        <w:rPr>
          <w:rFonts w:eastAsia="Arial Unicode MS"/>
          <w:noProof/>
          <w:lang w:val="en-IE"/>
        </w:rPr>
        <w:t>r</w:t>
      </w:r>
      <w:r w:rsidR="00C85CE7" w:rsidRPr="6721725C">
        <w:rPr>
          <w:rFonts w:eastAsia="Arial Unicode MS"/>
          <w:noProof/>
          <w:lang w:val="en-IE"/>
        </w:rPr>
        <w:t xml:space="preserve">egulatory </w:t>
      </w:r>
      <w:r w:rsidR="00D37718" w:rsidRPr="6721725C">
        <w:rPr>
          <w:rFonts w:eastAsia="Arial Unicode MS"/>
          <w:noProof/>
          <w:lang w:val="en-IE"/>
        </w:rPr>
        <w:t>t</w:t>
      </w:r>
      <w:r w:rsidR="00C85CE7" w:rsidRPr="6721725C">
        <w:rPr>
          <w:rFonts w:eastAsia="Arial Unicode MS"/>
          <w:noProof/>
          <w:lang w:val="en-IE"/>
        </w:rPr>
        <w:t xml:space="preserve">ransparency </w:t>
      </w:r>
      <w:r w:rsidR="004E5C35" w:rsidRPr="6721725C">
        <w:rPr>
          <w:rFonts w:eastAsia="Arial Unicode MS"/>
          <w:noProof/>
          <w:lang w:val="en-IE"/>
        </w:rPr>
        <w:t>and</w:t>
      </w:r>
      <w:r w:rsidR="00C85CE7" w:rsidRPr="6721725C">
        <w:rPr>
          <w:rFonts w:eastAsia="Arial Unicode MS"/>
          <w:noProof/>
          <w:lang w:val="en-IE"/>
        </w:rPr>
        <w:t xml:space="preserve"> </w:t>
      </w:r>
      <w:r w:rsidR="00D37718" w:rsidRPr="6721725C">
        <w:rPr>
          <w:rFonts w:eastAsia="Arial Unicode MS"/>
          <w:noProof/>
          <w:lang w:val="en-IE"/>
        </w:rPr>
        <w:t>p</w:t>
      </w:r>
      <w:r w:rsidR="00C85CE7" w:rsidRPr="6721725C">
        <w:rPr>
          <w:rFonts w:eastAsia="Arial Unicode MS"/>
          <w:noProof/>
          <w:lang w:val="en-IE"/>
        </w:rPr>
        <w:t>redictability</w:t>
      </w:r>
      <w:r w:rsidR="00D37718" w:rsidRPr="6721725C">
        <w:rPr>
          <w:rFonts w:eastAsia="Arial Unicode MS"/>
          <w:noProof/>
          <w:lang w:val="en-IE"/>
        </w:rPr>
        <w:t xml:space="preserve"> improving the possibilities for stakeholders</w:t>
      </w:r>
      <w:r w:rsidR="00C85CE7" w:rsidRPr="6721725C">
        <w:rPr>
          <w:rFonts w:eastAsia="Arial Unicode MS"/>
          <w:noProof/>
          <w:lang w:val="en-IE"/>
        </w:rPr>
        <w:t xml:space="preserve"> and authorities</w:t>
      </w:r>
      <w:r w:rsidR="00D37718" w:rsidRPr="6721725C">
        <w:rPr>
          <w:rFonts w:eastAsia="Arial Unicode MS"/>
          <w:noProof/>
          <w:lang w:val="en-IE"/>
        </w:rPr>
        <w:t xml:space="preserve"> to</w:t>
      </w:r>
      <w:r w:rsidR="00C85CE7" w:rsidRPr="6721725C">
        <w:rPr>
          <w:rFonts w:eastAsia="Arial Unicode MS"/>
          <w:noProof/>
          <w:lang w:val="en-IE"/>
        </w:rPr>
        <w:t xml:space="preserve"> provide feedback </w:t>
      </w:r>
      <w:r w:rsidR="00D37718" w:rsidRPr="6721725C">
        <w:rPr>
          <w:rFonts w:eastAsia="Arial Unicode MS"/>
          <w:noProof/>
          <w:lang w:val="en-IE"/>
        </w:rPr>
        <w:t>on draft technical regulations of the other party</w:t>
      </w:r>
      <w:r w:rsidR="00D6229C" w:rsidRPr="6721725C">
        <w:rPr>
          <w:rFonts w:eastAsia="Arial Unicode MS"/>
          <w:noProof/>
          <w:lang w:val="en-IE"/>
        </w:rPr>
        <w:t xml:space="preserve"> and leaving sufficient time to adapt before their entry into force. It also </w:t>
      </w:r>
      <w:r w:rsidR="00C85CE7" w:rsidRPr="6721725C">
        <w:rPr>
          <w:rFonts w:eastAsia="Arial Unicode MS"/>
          <w:noProof/>
          <w:lang w:val="en-IE"/>
        </w:rPr>
        <w:t>mandates that both parties adopt and apply relevant international</w:t>
      </w:r>
      <w:r w:rsidR="00D6229C" w:rsidRPr="6721725C">
        <w:rPr>
          <w:rFonts w:eastAsia="Arial Unicode MS"/>
          <w:noProof/>
          <w:lang w:val="en-IE"/>
        </w:rPr>
        <w:t>ly recogni</w:t>
      </w:r>
      <w:r w:rsidR="008D5A9A" w:rsidRPr="6721725C">
        <w:rPr>
          <w:rFonts w:eastAsia="Arial Unicode MS"/>
          <w:noProof/>
          <w:lang w:val="en-IE"/>
        </w:rPr>
        <w:t>s</w:t>
      </w:r>
      <w:r w:rsidR="00D6229C" w:rsidRPr="6721725C">
        <w:rPr>
          <w:rFonts w:eastAsia="Arial Unicode MS"/>
          <w:noProof/>
          <w:lang w:val="en-IE"/>
        </w:rPr>
        <w:t>ed</w:t>
      </w:r>
      <w:r w:rsidR="00C85CE7" w:rsidRPr="6721725C">
        <w:rPr>
          <w:rFonts w:eastAsia="Arial Unicode MS"/>
          <w:noProof/>
          <w:lang w:val="en-IE"/>
        </w:rPr>
        <w:t xml:space="preserve"> standards as the basis for their technical regulations.</w:t>
      </w:r>
      <w:r w:rsidR="00EB2CCC" w:rsidRPr="6721725C">
        <w:rPr>
          <w:rFonts w:eastAsia="Arial Unicode MS"/>
          <w:noProof/>
          <w:lang w:val="en-IE"/>
        </w:rPr>
        <w:t xml:space="preserve"> </w:t>
      </w:r>
      <w:r w:rsidR="00D6229C" w:rsidRPr="6721725C">
        <w:rPr>
          <w:rFonts w:eastAsia="Arial Unicode MS"/>
          <w:noProof/>
          <w:lang w:val="en-IE"/>
        </w:rPr>
        <w:t>A dedicated</w:t>
      </w:r>
      <w:r w:rsidR="00C85CE7" w:rsidRPr="6721725C">
        <w:rPr>
          <w:rFonts w:eastAsia="Arial Unicode MS"/>
          <w:noProof/>
          <w:lang w:val="en-IE"/>
        </w:rPr>
        <w:t xml:space="preserve"> automotive </w:t>
      </w:r>
      <w:r w:rsidR="00D6229C" w:rsidRPr="6721725C">
        <w:rPr>
          <w:rFonts w:eastAsia="Arial Unicode MS"/>
          <w:noProof/>
          <w:lang w:val="en-IE"/>
        </w:rPr>
        <w:t>annex</w:t>
      </w:r>
      <w:r w:rsidR="00C85CE7" w:rsidRPr="6721725C">
        <w:rPr>
          <w:rFonts w:eastAsia="Arial Unicode MS"/>
          <w:noProof/>
          <w:lang w:val="en-IE"/>
        </w:rPr>
        <w:t xml:space="preserve"> </w:t>
      </w:r>
      <w:r w:rsidR="008D5A9A" w:rsidRPr="6721725C">
        <w:rPr>
          <w:rFonts w:eastAsia="Arial Unicode MS"/>
          <w:noProof/>
          <w:lang w:val="en-IE"/>
        </w:rPr>
        <w:t xml:space="preserve">to the CEPA </w:t>
      </w:r>
      <w:r w:rsidR="00C85CE7" w:rsidRPr="6721725C">
        <w:rPr>
          <w:rFonts w:eastAsia="Arial Unicode MS"/>
          <w:noProof/>
          <w:lang w:val="en-IE"/>
        </w:rPr>
        <w:t>ensures that EU vehicles with UN type-approval certificates identified in the agreement do not face additional testing or marking requirements in Indonesia, reducing costs and time-to-market.</w:t>
      </w:r>
    </w:p>
    <w:p w:rsidR="00CA3947" w:rsidRPr="00EB2CCC" w:rsidRDefault="00C5577F"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Chapter 8 of t</w:t>
      </w:r>
      <w:r w:rsidR="00C85CE7" w:rsidRPr="6721725C">
        <w:rPr>
          <w:rFonts w:eastAsia="Arial Unicode MS"/>
          <w:noProof/>
          <w:lang w:val="en-IE"/>
        </w:rPr>
        <w:t xml:space="preserve">he </w:t>
      </w:r>
      <w:r w:rsidR="00C8505F" w:rsidRPr="6721725C">
        <w:rPr>
          <w:rFonts w:eastAsia="Arial Unicode MS"/>
          <w:noProof/>
          <w:lang w:val="en-IE"/>
        </w:rPr>
        <w:t xml:space="preserve">CEPA </w:t>
      </w:r>
      <w:r w:rsidR="00C85CE7" w:rsidRPr="6721725C">
        <w:rPr>
          <w:rFonts w:eastAsia="Arial Unicode MS"/>
          <w:noProof/>
          <w:lang w:val="en-IE"/>
        </w:rPr>
        <w:t>will</w:t>
      </w:r>
      <w:r w:rsidR="00EB2CCC" w:rsidRPr="6721725C">
        <w:rPr>
          <w:rFonts w:eastAsia="Arial Unicode MS"/>
          <w:noProof/>
          <w:lang w:val="en-IE"/>
        </w:rPr>
        <w:t xml:space="preserve"> also</w:t>
      </w:r>
      <w:r w:rsidR="00C85CE7" w:rsidRPr="6721725C">
        <w:rPr>
          <w:rFonts w:eastAsia="Arial Unicode MS"/>
          <w:noProof/>
          <w:lang w:val="en-IE"/>
        </w:rPr>
        <w:t> expand opportunities for EU and Indonesia</w:t>
      </w:r>
      <w:r w:rsidR="00CA3947" w:rsidRPr="6721725C">
        <w:rPr>
          <w:rFonts w:eastAsia="Arial Unicode MS"/>
          <w:noProof/>
          <w:lang w:val="en-IE"/>
        </w:rPr>
        <w:t>n</w:t>
      </w:r>
      <w:r w:rsidR="00C85CE7" w:rsidRPr="6721725C">
        <w:rPr>
          <w:rFonts w:eastAsia="Arial Unicode MS"/>
          <w:noProof/>
          <w:lang w:val="en-IE"/>
        </w:rPr>
        <w:t xml:space="preserve"> services suppliers and investors, and ensure a more predictable trade environment. It will in particular</w:t>
      </w:r>
      <w:r w:rsidR="00CA3947" w:rsidRPr="6721725C">
        <w:rPr>
          <w:rFonts w:eastAsia="Arial Unicode MS"/>
          <w:noProof/>
          <w:lang w:val="en-IE"/>
        </w:rPr>
        <w:t xml:space="preserve"> </w:t>
      </w:r>
      <w:r w:rsidR="00C85CE7" w:rsidRPr="6721725C">
        <w:rPr>
          <w:rFonts w:eastAsia="Arial Unicode MS"/>
          <w:noProof/>
          <w:lang w:val="en-IE"/>
        </w:rPr>
        <w:t xml:space="preserve">guarantee that EU service providers and investors in sectors identified in the </w:t>
      </w:r>
      <w:r w:rsidR="00BD529A" w:rsidRPr="6721725C">
        <w:rPr>
          <w:rFonts w:eastAsia="Arial Unicode MS"/>
          <w:noProof/>
          <w:lang w:val="en-IE"/>
        </w:rPr>
        <w:t xml:space="preserve">CEPA </w:t>
      </w:r>
      <w:r w:rsidR="00C85CE7" w:rsidRPr="6721725C">
        <w:rPr>
          <w:rFonts w:eastAsia="Arial Unicode MS"/>
          <w:noProof/>
          <w:lang w:val="en-IE"/>
        </w:rPr>
        <w:t>will not be discriminated vis-a-vis their Indonesian counterparts.</w:t>
      </w:r>
      <w:r w:rsidR="00CA3947" w:rsidRPr="6721725C">
        <w:rPr>
          <w:rFonts w:eastAsia="Arial Unicode MS"/>
          <w:noProof/>
          <w:lang w:val="en-IE"/>
        </w:rPr>
        <w:t xml:space="preserve"> It will </w:t>
      </w:r>
      <w:r w:rsidR="00C85CE7" w:rsidRPr="6721725C">
        <w:rPr>
          <w:rFonts w:eastAsia="Arial Unicode MS"/>
          <w:noProof/>
          <w:lang w:val="en-IE"/>
        </w:rPr>
        <w:t>make it easier for EU operators to acquire the licenses or qualifications necessary to supply their services, through clear, fair, and timely processes.</w:t>
      </w:r>
      <w:r w:rsidR="00CA3947" w:rsidRPr="6721725C">
        <w:rPr>
          <w:rFonts w:eastAsia="Arial Unicode MS"/>
          <w:noProof/>
          <w:lang w:val="en-IE"/>
        </w:rPr>
        <w:t xml:space="preserve"> It will </w:t>
      </w:r>
      <w:r w:rsidR="00C85CE7" w:rsidRPr="6721725C">
        <w:rPr>
          <w:rFonts w:eastAsia="Arial Unicode MS"/>
          <w:noProof/>
          <w:lang w:val="en-IE"/>
        </w:rPr>
        <w:t xml:space="preserve">ensure that EU service suppliers </w:t>
      </w:r>
      <w:r w:rsidR="00EB2CCC" w:rsidRPr="6721725C">
        <w:rPr>
          <w:rFonts w:eastAsia="Arial Unicode MS"/>
          <w:noProof/>
          <w:lang w:val="en-IE"/>
        </w:rPr>
        <w:t xml:space="preserve">in certain sectors </w:t>
      </w:r>
      <w:r w:rsidR="00C85CE7" w:rsidRPr="6721725C">
        <w:rPr>
          <w:rFonts w:eastAsia="Arial Unicode MS"/>
          <w:noProof/>
          <w:lang w:val="en-IE"/>
        </w:rPr>
        <w:lastRenderedPageBreak/>
        <w:t>will not be required to have local presence (such as a branch)</w:t>
      </w:r>
      <w:r w:rsidR="00EB2CCC" w:rsidRPr="6721725C">
        <w:rPr>
          <w:rFonts w:eastAsia="Arial Unicode MS"/>
          <w:noProof/>
          <w:lang w:val="en-IE"/>
        </w:rPr>
        <w:t xml:space="preserve">, a certain </w:t>
      </w:r>
      <w:r w:rsidR="00C85CE7" w:rsidRPr="6721725C">
        <w:rPr>
          <w:rFonts w:eastAsia="Arial Unicode MS"/>
          <w:noProof/>
          <w:lang w:val="en-IE"/>
        </w:rPr>
        <w:t xml:space="preserve">number of operators </w:t>
      </w:r>
      <w:r w:rsidR="00EB2CCC" w:rsidRPr="6721725C">
        <w:rPr>
          <w:rFonts w:eastAsia="Arial Unicode MS"/>
          <w:noProof/>
          <w:lang w:val="en-IE"/>
        </w:rPr>
        <w:t>or a certain</w:t>
      </w:r>
      <w:r w:rsidR="00C85CE7" w:rsidRPr="6721725C">
        <w:rPr>
          <w:rFonts w:eastAsia="Arial Unicode MS"/>
          <w:noProof/>
          <w:lang w:val="en-IE"/>
        </w:rPr>
        <w:t xml:space="preserve"> value of transactions</w:t>
      </w:r>
      <w:r w:rsidR="00EB2CCC" w:rsidRPr="6721725C">
        <w:rPr>
          <w:rFonts w:eastAsia="Arial Unicode MS"/>
          <w:noProof/>
          <w:lang w:val="en-IE"/>
        </w:rPr>
        <w:t xml:space="preserve"> in Indonesia</w:t>
      </w:r>
      <w:r w:rsidR="00BD529A" w:rsidRPr="6721725C">
        <w:rPr>
          <w:rFonts w:eastAsia="Arial Unicode MS"/>
          <w:noProof/>
          <w:lang w:val="en-IE"/>
        </w:rPr>
        <w:t>.</w:t>
      </w:r>
    </w:p>
    <w:p w:rsidR="00C85CE7" w:rsidRDefault="00C85CE7"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 xml:space="preserve">While the </w:t>
      </w:r>
      <w:r w:rsidR="005D48B8" w:rsidRPr="6721725C">
        <w:rPr>
          <w:rFonts w:eastAsia="Arial Unicode MS"/>
          <w:noProof/>
          <w:lang w:val="en-IE"/>
        </w:rPr>
        <w:t>CEPA</w:t>
      </w:r>
      <w:r w:rsidRPr="6721725C">
        <w:rPr>
          <w:rFonts w:eastAsia="Arial Unicode MS"/>
          <w:noProof/>
          <w:lang w:val="en-IE"/>
        </w:rPr>
        <w:t xml:space="preserve"> promotes trade and investment flows between the EU and Indonesia, it explicitly safeguards each party’s right to regulate in pursuit of legitimate policy objectives. </w:t>
      </w:r>
    </w:p>
    <w:p w:rsidR="00F069E1" w:rsidRPr="00C85CE7" w:rsidRDefault="00F069E1" w:rsidP="6721725C">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9 of the CEPA ensures that the capital needed to carry out the transactions </w:t>
      </w:r>
      <w:r w:rsidRPr="00F069E1">
        <w:rPr>
          <w:rFonts w:eastAsia="Arial Unicode MS"/>
          <w:noProof/>
        </w:rPr>
        <w:t xml:space="preserve">liberalised under the agreement – for example, setting up a foreign-owned business – </w:t>
      </w:r>
      <w:r>
        <w:rPr>
          <w:rFonts w:eastAsia="Arial Unicode MS"/>
          <w:noProof/>
        </w:rPr>
        <w:t>is</w:t>
      </w:r>
      <w:r w:rsidR="004348BC">
        <w:rPr>
          <w:rFonts w:eastAsia="Arial Unicode MS"/>
          <w:noProof/>
        </w:rPr>
        <w:t xml:space="preserve"> in practice</w:t>
      </w:r>
      <w:r w:rsidRPr="00F069E1">
        <w:rPr>
          <w:rFonts w:eastAsia="Arial Unicode MS"/>
          <w:noProof/>
        </w:rPr>
        <w:t xml:space="preserve"> allowed to move </w:t>
      </w:r>
      <w:r>
        <w:rPr>
          <w:rFonts w:eastAsia="Arial Unicode MS"/>
          <w:noProof/>
        </w:rPr>
        <w:t>from the EU to Indonesia and vice versa</w:t>
      </w:r>
      <w:r w:rsidRPr="00F069E1">
        <w:rPr>
          <w:rFonts w:eastAsia="Arial Unicode MS"/>
          <w:noProof/>
        </w:rPr>
        <w:t>. At the same time, both sides can still apply their own laws and rules where necessary, for example in cases of bankruptcy or when dealing with securities.</w:t>
      </w:r>
    </w:p>
    <w:p w:rsidR="00C85CE7" w:rsidRPr="00C85CE7" w:rsidRDefault="00EB20FE"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Chapter 10 of t</w:t>
      </w:r>
      <w:r w:rsidR="00C85CE7" w:rsidRPr="6721725C">
        <w:rPr>
          <w:rFonts w:eastAsia="Arial Unicode MS"/>
          <w:noProof/>
          <w:lang w:val="en-IE"/>
        </w:rPr>
        <w:t xml:space="preserve">he </w:t>
      </w:r>
      <w:r w:rsidR="00C8505F" w:rsidRPr="6721725C">
        <w:rPr>
          <w:rFonts w:eastAsia="Arial Unicode MS"/>
          <w:noProof/>
          <w:lang w:val="en-IE"/>
        </w:rPr>
        <w:t xml:space="preserve">CEPA </w:t>
      </w:r>
      <w:r w:rsidR="00C85CE7" w:rsidRPr="6721725C">
        <w:rPr>
          <w:rFonts w:eastAsia="Arial Unicode MS"/>
          <w:noProof/>
          <w:lang w:val="en-IE"/>
        </w:rPr>
        <w:t xml:space="preserve">creates a predictable, secure, and fair digital trade environment. </w:t>
      </w:r>
      <w:r w:rsidR="00EB2CCC" w:rsidRPr="6721725C">
        <w:rPr>
          <w:rFonts w:eastAsia="Arial Unicode MS"/>
          <w:noProof/>
          <w:lang w:val="en-IE"/>
        </w:rPr>
        <w:t xml:space="preserve">It notably ensures free cross-border data flows by prohibiting unjustified localisation requirements and prohibits customs duties on electronic transmissions. </w:t>
      </w:r>
      <w:r w:rsidR="00C85CE7" w:rsidRPr="6721725C">
        <w:rPr>
          <w:rFonts w:eastAsia="Arial Unicode MS"/>
          <w:noProof/>
          <w:lang w:val="en-IE"/>
        </w:rPr>
        <w:t>It provides for binding rules that build consumer trust and ensure legal certainty for business and support innovation</w:t>
      </w:r>
      <w:r w:rsidR="00EB2CCC" w:rsidRPr="6721725C">
        <w:rPr>
          <w:rFonts w:eastAsia="Arial Unicode MS"/>
          <w:noProof/>
          <w:lang w:val="en-IE"/>
        </w:rPr>
        <w:t>.</w:t>
      </w:r>
    </w:p>
    <w:p w:rsidR="00C85CE7" w:rsidRPr="00C85CE7" w:rsidRDefault="009606F6"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 xml:space="preserve">Chapter 11 of the </w:t>
      </w:r>
      <w:r w:rsidR="00C85CE7" w:rsidRPr="6721725C">
        <w:rPr>
          <w:rFonts w:eastAsia="Arial Unicode MS"/>
          <w:noProof/>
          <w:lang w:val="en-IE"/>
        </w:rPr>
        <w:t xml:space="preserve">he </w:t>
      </w:r>
      <w:r w:rsidR="002F72D0" w:rsidRPr="6721725C">
        <w:rPr>
          <w:rFonts w:eastAsia="Arial Unicode MS"/>
          <w:noProof/>
          <w:lang w:val="en-IE"/>
        </w:rPr>
        <w:t xml:space="preserve">CEPA </w:t>
      </w:r>
      <w:r w:rsidR="00C85CE7" w:rsidRPr="6721725C">
        <w:rPr>
          <w:rFonts w:eastAsia="Arial Unicode MS"/>
          <w:noProof/>
          <w:lang w:val="en-IE"/>
        </w:rPr>
        <w:t>sets out rules ensuring that procedures to award public contracts are transparent, fair and non-discriminatory</w:t>
      </w:r>
      <w:r w:rsidR="00CA3947" w:rsidRPr="6721725C">
        <w:rPr>
          <w:rFonts w:eastAsia="Arial Unicode MS"/>
          <w:noProof/>
          <w:lang w:val="en-IE"/>
        </w:rPr>
        <w:t xml:space="preserve"> </w:t>
      </w:r>
      <w:r w:rsidR="00EB2CCC" w:rsidRPr="6721725C">
        <w:rPr>
          <w:rFonts w:eastAsia="Arial Unicode MS"/>
          <w:noProof/>
          <w:lang w:val="en-IE"/>
        </w:rPr>
        <w:t>for EU businesses.</w:t>
      </w:r>
    </w:p>
    <w:p w:rsidR="00C85CE7" w:rsidRDefault="00C85CE7"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 xml:space="preserve">The EU and Indonesia have agreed on the effective protection and enforcement of </w:t>
      </w:r>
      <w:r w:rsidR="00676F74" w:rsidRPr="6721725C">
        <w:rPr>
          <w:rFonts w:eastAsia="Arial Unicode MS"/>
          <w:noProof/>
          <w:lang w:val="en-IE"/>
        </w:rPr>
        <w:t>intellectual proper</w:t>
      </w:r>
      <w:r w:rsidR="00622E5D" w:rsidRPr="6721725C">
        <w:rPr>
          <w:rFonts w:eastAsia="Arial Unicode MS"/>
          <w:noProof/>
          <w:lang w:val="en-IE"/>
        </w:rPr>
        <w:t>ty</w:t>
      </w:r>
      <w:r w:rsidRPr="6721725C">
        <w:rPr>
          <w:rFonts w:eastAsia="Arial Unicode MS"/>
          <w:noProof/>
          <w:lang w:val="en-IE"/>
        </w:rPr>
        <w:t xml:space="preserve"> rights</w:t>
      </w:r>
      <w:r w:rsidR="009606F6" w:rsidRPr="6721725C">
        <w:rPr>
          <w:rFonts w:eastAsia="Arial Unicode MS"/>
          <w:noProof/>
          <w:lang w:val="en-IE"/>
        </w:rPr>
        <w:t xml:space="preserve"> in Chapter </w:t>
      </w:r>
      <w:r w:rsidR="006B2D3E" w:rsidRPr="6721725C">
        <w:rPr>
          <w:rFonts w:eastAsia="Arial Unicode MS"/>
          <w:noProof/>
          <w:lang w:val="en-IE"/>
        </w:rPr>
        <w:t>12</w:t>
      </w:r>
      <w:r w:rsidRPr="6721725C">
        <w:rPr>
          <w:rFonts w:eastAsia="Arial Unicode MS"/>
          <w:noProof/>
          <w:lang w:val="en-IE"/>
        </w:rPr>
        <w:t>. The CEPA</w:t>
      </w:r>
      <w:r w:rsidR="00EB2CCC" w:rsidRPr="6721725C">
        <w:rPr>
          <w:rFonts w:eastAsia="Arial Unicode MS"/>
          <w:noProof/>
          <w:lang w:val="en-IE"/>
        </w:rPr>
        <w:t xml:space="preserve"> notably</w:t>
      </w:r>
      <w:r w:rsidRPr="6721725C">
        <w:rPr>
          <w:rFonts w:eastAsia="Arial Unicode MS"/>
          <w:noProof/>
          <w:lang w:val="en-IE"/>
        </w:rPr>
        <w:t xml:space="preserve"> provides direct protection for 221 EU and 72 Indonesian G</w:t>
      </w:r>
      <w:r w:rsidR="00EB2CCC" w:rsidRPr="6721725C">
        <w:rPr>
          <w:rFonts w:eastAsia="Arial Unicode MS"/>
          <w:noProof/>
          <w:lang w:val="en-IE"/>
        </w:rPr>
        <w:t xml:space="preserve">eographical </w:t>
      </w:r>
      <w:r w:rsidRPr="6721725C">
        <w:rPr>
          <w:rFonts w:eastAsia="Arial Unicode MS"/>
          <w:noProof/>
          <w:lang w:val="en-IE"/>
        </w:rPr>
        <w:t>I</w:t>
      </w:r>
      <w:r w:rsidR="00EB2CCC" w:rsidRPr="6721725C">
        <w:rPr>
          <w:rFonts w:eastAsia="Arial Unicode MS"/>
          <w:noProof/>
          <w:lang w:val="en-IE"/>
        </w:rPr>
        <w:t>ndication</w:t>
      </w:r>
      <w:r w:rsidRPr="6721725C">
        <w:rPr>
          <w:rFonts w:eastAsia="Arial Unicode MS"/>
          <w:noProof/>
          <w:lang w:val="en-IE"/>
        </w:rPr>
        <w:t>s</w:t>
      </w:r>
      <w:r w:rsidR="00EB2CCC" w:rsidRPr="6721725C">
        <w:rPr>
          <w:rFonts w:eastAsia="Arial Unicode MS"/>
          <w:noProof/>
          <w:lang w:val="en-IE"/>
        </w:rPr>
        <w:t xml:space="preserve"> (</w:t>
      </w:r>
      <w:r w:rsidR="00622E5D" w:rsidRPr="6721725C">
        <w:rPr>
          <w:rFonts w:eastAsia="Arial Unicode MS"/>
          <w:noProof/>
          <w:lang w:val="en-IE"/>
        </w:rPr>
        <w:t>“</w:t>
      </w:r>
      <w:r w:rsidR="00EB2CCC" w:rsidRPr="6721725C">
        <w:rPr>
          <w:rFonts w:eastAsia="Arial Unicode MS"/>
          <w:noProof/>
          <w:lang w:val="en-IE"/>
        </w:rPr>
        <w:t>G</w:t>
      </w:r>
      <w:r w:rsidR="00E07417" w:rsidRPr="6721725C">
        <w:rPr>
          <w:rFonts w:eastAsia="Arial Unicode MS"/>
          <w:noProof/>
          <w:lang w:val="en-IE"/>
        </w:rPr>
        <w:t>I</w:t>
      </w:r>
      <w:r w:rsidR="00EB2CCC" w:rsidRPr="6721725C">
        <w:rPr>
          <w:rFonts w:eastAsia="Arial Unicode MS"/>
          <w:noProof/>
          <w:lang w:val="en-IE"/>
        </w:rPr>
        <w:t>s</w:t>
      </w:r>
      <w:r w:rsidR="00622E5D" w:rsidRPr="6721725C">
        <w:rPr>
          <w:rFonts w:eastAsia="Arial Unicode MS"/>
          <w:noProof/>
          <w:lang w:val="en-IE"/>
        </w:rPr>
        <w:t>”</w:t>
      </w:r>
      <w:r w:rsidR="00EB2CCC" w:rsidRPr="6721725C">
        <w:rPr>
          <w:rFonts w:eastAsia="Arial Unicode MS"/>
          <w:noProof/>
          <w:lang w:val="en-IE"/>
        </w:rPr>
        <w:t>)</w:t>
      </w:r>
      <w:r w:rsidRPr="6721725C">
        <w:rPr>
          <w:rFonts w:eastAsia="Arial Unicode MS"/>
          <w:noProof/>
          <w:lang w:val="en-IE"/>
        </w:rPr>
        <w:t>, covering agri-food products such as EU meats and cheeses and Indonesian spices and coffees. This high level of GI protection strengthens the export potential in high-value agri-food sectors, ensuring exclusive designation and helping producers market premium products.</w:t>
      </w:r>
    </w:p>
    <w:p w:rsidR="00DC1EFA" w:rsidRPr="00C85CE7" w:rsidRDefault="00DC1EFA" w:rsidP="6721725C">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13 of the CEPA ensures that </w:t>
      </w:r>
      <w:r w:rsidRPr="00DC1EFA">
        <w:rPr>
          <w:rFonts w:eastAsia="Arial Unicode MS"/>
          <w:noProof/>
          <w:lang w:val="en-IE"/>
        </w:rPr>
        <w:t>effective competition laws are maintained in both jurisdictions, which are implemented by operationally independent authorities</w:t>
      </w:r>
      <w:r>
        <w:rPr>
          <w:rFonts w:eastAsia="Arial Unicode MS"/>
          <w:noProof/>
          <w:lang w:val="en-IE"/>
        </w:rPr>
        <w:t xml:space="preserve">, that </w:t>
      </w:r>
      <w:r w:rsidRPr="00DC1EFA">
        <w:rPr>
          <w:rFonts w:eastAsia="Arial Unicode MS"/>
          <w:noProof/>
          <w:lang w:val="en-IE"/>
        </w:rPr>
        <w:t>are to act in a transparent and non-discriminatory manner, respecting the rights of defence. The agreement also foresees cooperation between the authorities.</w:t>
      </w:r>
      <w:r>
        <w:rPr>
          <w:rFonts w:eastAsia="Arial Unicode MS"/>
          <w:noProof/>
          <w:lang w:val="en-IE"/>
        </w:rPr>
        <w:t xml:space="preserve"> It contains rules on subsidies, antitrust and state-owned enteprises.</w:t>
      </w:r>
    </w:p>
    <w:p w:rsidR="00C85CE7" w:rsidRPr="00C85CE7" w:rsidRDefault="000F01ED"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 xml:space="preserve">Chapter 14 of the </w:t>
      </w:r>
      <w:r w:rsidR="00C85CE7" w:rsidRPr="6721725C">
        <w:rPr>
          <w:rFonts w:eastAsia="Arial Unicode MS"/>
          <w:noProof/>
          <w:lang w:val="en-IE"/>
        </w:rPr>
        <w:t xml:space="preserve">CEPA </w:t>
      </w:r>
      <w:r w:rsidR="00CA3947" w:rsidRPr="6721725C">
        <w:rPr>
          <w:rFonts w:eastAsia="Arial Unicode MS"/>
          <w:noProof/>
          <w:lang w:val="en-IE"/>
        </w:rPr>
        <w:t>also represent</w:t>
      </w:r>
      <w:r w:rsidR="00EB2CCC" w:rsidRPr="6721725C">
        <w:rPr>
          <w:rFonts w:eastAsia="Arial Unicode MS"/>
          <w:noProof/>
          <w:lang w:val="en-IE"/>
        </w:rPr>
        <w:t>s</w:t>
      </w:r>
      <w:r w:rsidR="00C85CE7" w:rsidRPr="6721725C">
        <w:rPr>
          <w:rFonts w:eastAsia="Arial Unicode MS"/>
          <w:noProof/>
          <w:lang w:val="en-IE"/>
        </w:rPr>
        <w:t xml:space="preserve"> a major step in opening trade and investment and securing supply chains between the EU and Indonesia in energy and raw materials. </w:t>
      </w:r>
    </w:p>
    <w:p w:rsidR="00896269" w:rsidRDefault="000F01ED" w:rsidP="6721725C">
      <w:pPr>
        <w:pBdr>
          <w:top w:val="nil"/>
          <w:left w:val="nil"/>
          <w:bottom w:val="nil"/>
          <w:right w:val="nil"/>
          <w:between w:val="nil"/>
          <w:bar w:val="nil"/>
        </w:pBdr>
        <w:spacing w:before="0" w:after="240"/>
        <w:rPr>
          <w:rFonts w:eastAsia="Arial Unicode MS"/>
          <w:noProof/>
          <w:lang w:val="en-IE"/>
        </w:rPr>
      </w:pPr>
      <w:r w:rsidRPr="6721725C">
        <w:rPr>
          <w:rFonts w:eastAsia="Arial Unicode MS"/>
          <w:noProof/>
          <w:lang w:val="en-IE"/>
        </w:rPr>
        <w:t xml:space="preserve">Chapter 15 </w:t>
      </w:r>
      <w:r w:rsidR="008D2086" w:rsidRPr="6721725C">
        <w:rPr>
          <w:rFonts w:eastAsia="Arial Unicode MS"/>
          <w:noProof/>
          <w:lang w:val="en-IE"/>
        </w:rPr>
        <w:t xml:space="preserve">provides </w:t>
      </w:r>
      <w:r w:rsidR="00C85CE7" w:rsidRPr="6721725C">
        <w:rPr>
          <w:rFonts w:eastAsia="Arial Unicode MS"/>
          <w:noProof/>
          <w:lang w:val="en-IE"/>
        </w:rPr>
        <w:t>a comprehensive framework on trade and sustainable growth and development</w:t>
      </w:r>
      <w:r w:rsidR="00EB2CCC" w:rsidRPr="6721725C">
        <w:rPr>
          <w:rFonts w:eastAsia="Arial Unicode MS"/>
          <w:noProof/>
          <w:lang w:val="en-IE"/>
        </w:rPr>
        <w:t xml:space="preserve">, with legally binding commitments enforceable through the </w:t>
      </w:r>
      <w:r w:rsidR="008D2086" w:rsidRPr="6721725C">
        <w:rPr>
          <w:rFonts w:eastAsia="Arial Unicode MS"/>
          <w:noProof/>
          <w:lang w:val="en-IE"/>
        </w:rPr>
        <w:t>CEPA’s</w:t>
      </w:r>
      <w:r w:rsidR="00EB2CCC" w:rsidRPr="6721725C">
        <w:rPr>
          <w:rFonts w:eastAsia="Arial Unicode MS"/>
          <w:noProof/>
          <w:lang w:val="en-IE"/>
        </w:rPr>
        <w:t xml:space="preserve"> dispute settlement mechanism. The CEPA also</w:t>
      </w:r>
      <w:r w:rsidR="00CA3947" w:rsidRPr="6721725C">
        <w:rPr>
          <w:rFonts w:eastAsia="Arial Unicode MS"/>
          <w:noProof/>
          <w:lang w:val="en-IE"/>
        </w:rPr>
        <w:t xml:space="preserve"> </w:t>
      </w:r>
      <w:r w:rsidR="00EB2CCC" w:rsidRPr="6721725C">
        <w:rPr>
          <w:rFonts w:eastAsia="Arial Unicode MS"/>
          <w:noProof/>
          <w:lang w:val="en-IE"/>
        </w:rPr>
        <w:t>provides</w:t>
      </w:r>
      <w:r w:rsidR="00C85CE7" w:rsidRPr="6721725C">
        <w:rPr>
          <w:rFonts w:eastAsia="Arial Unicode MS"/>
          <w:noProof/>
          <w:lang w:val="en-IE"/>
        </w:rPr>
        <w:t xml:space="preserve"> for a platform for dialogue and cooperation on trade</w:t>
      </w:r>
      <w:r w:rsidR="00CA3947" w:rsidRPr="6721725C">
        <w:rPr>
          <w:rFonts w:eastAsia="Arial Unicode MS"/>
          <w:noProof/>
          <w:lang w:val="en-IE"/>
        </w:rPr>
        <w:t>-</w:t>
      </w:r>
      <w:r w:rsidR="00C85CE7" w:rsidRPr="6721725C">
        <w:rPr>
          <w:rFonts w:eastAsia="Arial Unicode MS"/>
          <w:noProof/>
          <w:lang w:val="en-IE"/>
        </w:rPr>
        <w:t>related environmental and climate issues, including in the palm oil sector</w:t>
      </w:r>
      <w:r w:rsidR="00CA3947" w:rsidRPr="6721725C">
        <w:rPr>
          <w:rFonts w:eastAsia="Arial Unicode MS"/>
          <w:noProof/>
          <w:lang w:val="en-IE"/>
        </w:rPr>
        <w:t>.</w:t>
      </w:r>
      <w:r w:rsidR="00EB2CCC" w:rsidRPr="6721725C">
        <w:rPr>
          <w:rFonts w:eastAsia="Arial Unicode MS"/>
          <w:noProof/>
          <w:lang w:val="en-IE"/>
        </w:rPr>
        <w:t xml:space="preserve"> It </w:t>
      </w:r>
      <w:r w:rsidR="00C85CE7" w:rsidRPr="6721725C">
        <w:rPr>
          <w:rFonts w:eastAsia="Arial Unicode MS"/>
          <w:noProof/>
          <w:lang w:val="en-IE"/>
        </w:rPr>
        <w:t>includes dedicated provisions on the protection and management of natural resources, setting commitments with respect to</w:t>
      </w:r>
      <w:r w:rsidR="00CA3947" w:rsidRPr="6721725C">
        <w:rPr>
          <w:rFonts w:eastAsia="Arial Unicode MS"/>
          <w:noProof/>
          <w:lang w:val="en-IE"/>
        </w:rPr>
        <w:t xml:space="preserve"> f</w:t>
      </w:r>
      <w:r w:rsidR="00C85CE7" w:rsidRPr="6721725C">
        <w:rPr>
          <w:rFonts w:eastAsia="Arial Unicode MS"/>
          <w:noProof/>
          <w:lang w:val="en-IE"/>
        </w:rPr>
        <w:t>orest conservation</w:t>
      </w:r>
      <w:r w:rsidR="00CA3947" w:rsidRPr="6721725C">
        <w:rPr>
          <w:rFonts w:eastAsia="Arial Unicode MS"/>
          <w:noProof/>
          <w:lang w:val="en-IE"/>
        </w:rPr>
        <w:t xml:space="preserve">, </w:t>
      </w:r>
      <w:r w:rsidR="00C85CE7" w:rsidRPr="6721725C">
        <w:rPr>
          <w:rFonts w:eastAsia="Arial Unicode MS"/>
          <w:noProof/>
          <w:lang w:val="en-IE"/>
        </w:rPr>
        <w:t>biodiversity</w:t>
      </w:r>
      <w:r w:rsidR="00CA3947" w:rsidRPr="6721725C">
        <w:rPr>
          <w:rFonts w:eastAsia="Arial Unicode MS"/>
          <w:noProof/>
          <w:lang w:val="en-IE"/>
        </w:rPr>
        <w:t>, c</w:t>
      </w:r>
      <w:r w:rsidR="00C85CE7" w:rsidRPr="6721725C">
        <w:rPr>
          <w:rFonts w:eastAsia="Arial Unicode MS"/>
          <w:noProof/>
          <w:lang w:val="en-IE"/>
        </w:rPr>
        <w:t>ombatting illegal wildlife trade</w:t>
      </w:r>
      <w:r w:rsidR="00CA3947" w:rsidRPr="6721725C">
        <w:rPr>
          <w:rFonts w:eastAsia="Arial Unicode MS"/>
          <w:noProof/>
          <w:lang w:val="en-IE"/>
        </w:rPr>
        <w:t>, and c</w:t>
      </w:r>
      <w:r w:rsidR="00C85CE7" w:rsidRPr="6721725C">
        <w:rPr>
          <w:rFonts w:eastAsia="Arial Unicode MS"/>
          <w:noProof/>
          <w:lang w:val="en-IE"/>
        </w:rPr>
        <w:t>ombatting Illegal, Unreported, and Unregulated (IUU) fishing</w:t>
      </w:r>
      <w:r w:rsidR="00CA3947" w:rsidRPr="6721725C">
        <w:rPr>
          <w:rFonts w:eastAsia="Arial Unicode MS"/>
          <w:noProof/>
          <w:lang w:val="en-IE"/>
        </w:rPr>
        <w:t>.</w:t>
      </w:r>
    </w:p>
    <w:p w:rsidR="00DC1EFA" w:rsidRPr="00DC1EFA" w:rsidRDefault="00DC1EFA" w:rsidP="00DC1EFA">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16 of the </w:t>
      </w:r>
      <w:r w:rsidRPr="00DC1EFA">
        <w:rPr>
          <w:rFonts w:eastAsia="Arial Unicode MS"/>
          <w:noProof/>
          <w:lang w:val="en-IE"/>
        </w:rPr>
        <w:t>CEPA creates a framework for the EU and Indonesia to cooperate on strengthening policies and defining programmes that contribute to the development of sustainable, inclusive, healthy and resilient food systems.</w:t>
      </w:r>
    </w:p>
    <w:p w:rsidR="00DC1EFA" w:rsidRDefault="00DC1EFA" w:rsidP="00DC1EFA">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w:t>
      </w:r>
      <w:r w:rsidRPr="00DC1EFA">
        <w:rPr>
          <w:rFonts w:eastAsia="Arial Unicode MS"/>
          <w:noProof/>
          <w:lang w:val="en-IE"/>
        </w:rPr>
        <w:t xml:space="preserve"> Agreement</w:t>
      </w:r>
      <w:r>
        <w:rPr>
          <w:rFonts w:eastAsia="Arial Unicode MS"/>
          <w:noProof/>
          <w:lang w:val="en-IE"/>
        </w:rPr>
        <w:t xml:space="preserve"> in its chapter 17</w:t>
      </w:r>
      <w:r w:rsidRPr="00DC1EFA">
        <w:rPr>
          <w:rFonts w:eastAsia="Arial Unicode MS"/>
          <w:noProof/>
          <w:lang w:val="en-IE"/>
        </w:rPr>
        <w:t xml:space="preserve"> sets out basic principles and operational guidelines for economic cooperation and capacity building in areas covered under its scope. </w:t>
      </w:r>
    </w:p>
    <w:p w:rsidR="00AD39B7" w:rsidRPr="00DC1EFA" w:rsidRDefault="00DC1EFA" w:rsidP="00AD39B7">
      <w:pPr>
        <w:pBdr>
          <w:top w:val="nil"/>
          <w:left w:val="nil"/>
          <w:bottom w:val="nil"/>
          <w:right w:val="nil"/>
          <w:between w:val="nil"/>
          <w:bar w:val="nil"/>
        </w:pBdr>
        <w:spacing w:before="0" w:after="240"/>
        <w:rPr>
          <w:rFonts w:eastAsia="Arial Unicode MS"/>
          <w:noProof/>
          <w:lang w:val="en-IE"/>
        </w:rPr>
      </w:pPr>
      <w:r>
        <w:rPr>
          <w:rFonts w:eastAsia="Arial Unicode MS"/>
          <w:noProof/>
          <w:lang w:val="en-IE"/>
        </w:rPr>
        <w:lastRenderedPageBreak/>
        <w:t xml:space="preserve">It also has a chapter 18 </w:t>
      </w:r>
      <w:r w:rsidRPr="00DC1EFA">
        <w:rPr>
          <w:rFonts w:eastAsia="Arial Unicode MS"/>
          <w:noProof/>
          <w:lang w:val="en-IE"/>
        </w:rPr>
        <w:t>dedicated to SMEs and a number of other provisions which benefit s</w:t>
      </w:r>
      <w:r w:rsidR="00AD39B7">
        <w:rPr>
          <w:rFonts w:eastAsia="Arial Unicode MS"/>
          <w:noProof/>
          <w:lang w:val="en-IE"/>
        </w:rPr>
        <w:t xml:space="preserve">uch undertakings, e.g setting-up of a single </w:t>
      </w:r>
      <w:r w:rsidR="00AD39B7" w:rsidRPr="00DC1EFA">
        <w:rPr>
          <w:rFonts w:eastAsia="Arial Unicode MS"/>
          <w:noProof/>
          <w:lang w:val="en-IE"/>
        </w:rPr>
        <w:t>publicly</w:t>
      </w:r>
      <w:r w:rsidR="00C1203A">
        <w:rPr>
          <w:rFonts w:eastAsia="Arial Unicode MS"/>
          <w:noProof/>
          <w:lang w:val="en-IE"/>
        </w:rPr>
        <w:t xml:space="preserve"> </w:t>
      </w:r>
      <w:r w:rsidR="00AD39B7" w:rsidRPr="00DC1EFA">
        <w:rPr>
          <w:rFonts w:eastAsia="Arial Unicode MS"/>
          <w:noProof/>
          <w:lang w:val="en-IE"/>
        </w:rPr>
        <w:t>accessible digital platform</w:t>
      </w:r>
      <w:r w:rsidR="00AD39B7">
        <w:rPr>
          <w:rFonts w:eastAsia="Arial Unicode MS"/>
          <w:noProof/>
          <w:lang w:val="en-IE"/>
        </w:rPr>
        <w:t xml:space="preserve"> providing</w:t>
      </w:r>
      <w:r w:rsidRPr="00DC1EFA">
        <w:rPr>
          <w:rFonts w:eastAsia="Arial Unicode MS"/>
          <w:noProof/>
          <w:lang w:val="en-IE"/>
        </w:rPr>
        <w:t xml:space="preserve"> information on how to access and do business on each other’s markets, </w:t>
      </w:r>
      <w:r w:rsidR="00AD39B7">
        <w:rPr>
          <w:rFonts w:eastAsia="Arial Unicode MS"/>
          <w:noProof/>
          <w:lang w:val="en-IE"/>
        </w:rPr>
        <w:t>creation of</w:t>
      </w:r>
      <w:r w:rsidRPr="00DC1EFA">
        <w:rPr>
          <w:rFonts w:eastAsia="Arial Unicode MS"/>
          <w:noProof/>
          <w:lang w:val="en-IE"/>
        </w:rPr>
        <w:t xml:space="preserve"> SME contact points,</w:t>
      </w:r>
      <w:r w:rsidR="00AD39B7">
        <w:rPr>
          <w:rFonts w:eastAsia="Arial Unicode MS"/>
          <w:noProof/>
          <w:lang w:val="en-IE"/>
        </w:rPr>
        <w:t xml:space="preserve"> digitization of commercial operations, etc.</w:t>
      </w:r>
    </w:p>
    <w:p w:rsidR="00DC1EFA" w:rsidRPr="00DC1EFA" w:rsidRDefault="00AD39B7" w:rsidP="00DC1EFA">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19 of the CEPA </w:t>
      </w:r>
      <w:r w:rsidR="00DC1EFA" w:rsidRPr="00DC1EFA">
        <w:rPr>
          <w:rFonts w:eastAsia="Arial Unicode MS"/>
          <w:noProof/>
          <w:lang w:val="en-IE"/>
        </w:rPr>
        <w:t xml:space="preserve">promotes transparent, coordinated, and evidence-based regulations that respect domestic laws, support public policy goals, and consider the interests of businesses and stakeholders. Parties must </w:t>
      </w:r>
      <w:r>
        <w:rPr>
          <w:rFonts w:eastAsia="Arial Unicode MS"/>
          <w:noProof/>
          <w:lang w:val="en-IE"/>
        </w:rPr>
        <w:t xml:space="preserve">notably </w:t>
      </w:r>
      <w:r w:rsidR="00DC1EFA" w:rsidRPr="00DC1EFA">
        <w:rPr>
          <w:rFonts w:eastAsia="Arial Unicode MS"/>
          <w:noProof/>
          <w:lang w:val="en-IE"/>
        </w:rPr>
        <w:t>publish an annual list of major planned regulations, explaining their purpose and timelines.</w:t>
      </w:r>
    </w:p>
    <w:p w:rsidR="00DC1EFA" w:rsidRPr="00DC1EFA" w:rsidRDefault="00AD39B7" w:rsidP="00DC1EFA">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w:t>
      </w:r>
      <w:r w:rsidR="00DC1EFA" w:rsidRPr="00DC1EFA">
        <w:rPr>
          <w:rFonts w:eastAsia="Arial Unicode MS"/>
          <w:noProof/>
          <w:lang w:val="en-IE"/>
        </w:rPr>
        <w:t xml:space="preserve">hapter </w:t>
      </w:r>
      <w:r>
        <w:rPr>
          <w:rFonts w:eastAsia="Arial Unicode MS"/>
          <w:noProof/>
          <w:lang w:val="en-IE"/>
        </w:rPr>
        <w:t xml:space="preserve">20 of the CEPA </w:t>
      </w:r>
      <w:r w:rsidR="00DC1EFA" w:rsidRPr="00DC1EFA">
        <w:rPr>
          <w:rFonts w:eastAsia="Arial Unicode MS"/>
          <w:noProof/>
          <w:lang w:val="en-IE"/>
        </w:rPr>
        <w:t>enhances predictability, accountability, and fairness in trade-related regulation. By guaranteeing timely publication, open access to information, fair administrative processes, and independent avenues of appeal, it strengthens trust in regulatory systems and lowers uncertainty for businesses operating across borders.</w:t>
      </w:r>
    </w:p>
    <w:p w:rsidR="007428B5" w:rsidRPr="007428B5" w:rsidRDefault="007428B5" w:rsidP="007428B5">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sidRPr="005E7699">
        <w:rPr>
          <w:rStyle w:val="normaltextrun"/>
          <w:bCs/>
          <w:noProof/>
        </w:rPr>
        <w:t>Signing and text of the Agreement</w:t>
      </w:r>
      <w:r w:rsidRPr="005E7699">
        <w:rPr>
          <w:rStyle w:val="eop"/>
          <w:bCs/>
          <w:noProof/>
        </w:rPr>
        <w:t> </w:t>
      </w:r>
    </w:p>
    <w:p w:rsidR="007428B5" w:rsidRPr="007428B5" w:rsidRDefault="007428B5" w:rsidP="00A83AD7">
      <w:pPr>
        <w:rPr>
          <w:noProof/>
          <w:sz w:val="18"/>
          <w:szCs w:val="18"/>
        </w:rPr>
      </w:pPr>
      <w:r w:rsidRPr="005E7699">
        <w:rPr>
          <w:noProof/>
          <w:lang w:eastAsia="en-GB"/>
        </w:rPr>
        <w:t>The text of the Agreement is submitted to the Council together with this proposal.</w:t>
      </w:r>
    </w:p>
    <w:p w:rsidR="007428B5" w:rsidRPr="005E7699" w:rsidRDefault="007428B5" w:rsidP="00A83AD7">
      <w:pPr>
        <w:rPr>
          <w:noProof/>
          <w:lang w:val="en-IE"/>
        </w:rPr>
      </w:pPr>
      <w:r w:rsidRPr="005E7699">
        <w:rPr>
          <w:noProof/>
          <w:lang w:val="en-IE"/>
        </w:rPr>
        <w:t>In accordance with the Treaties, it is for the Commission to ensure the signing of the Agreement, subject to its conclusion at a later date</w:t>
      </w:r>
      <w:r w:rsidRPr="005E7699">
        <w:rPr>
          <w:noProof/>
          <w:lang w:val="en-IE" w:eastAsia="en-GB"/>
        </w:rPr>
        <w:t>.</w:t>
      </w:r>
    </w:p>
    <w:p w:rsidR="00AD761A" w:rsidRPr="00EB2CCC" w:rsidRDefault="00AD761A" w:rsidP="00EB2CCC">
      <w:pPr>
        <w:pBdr>
          <w:top w:val="nil"/>
          <w:left w:val="nil"/>
          <w:bottom w:val="nil"/>
          <w:right w:val="nil"/>
          <w:between w:val="nil"/>
          <w:bar w:val="nil"/>
        </w:pBdr>
        <w:spacing w:before="0" w:after="240"/>
        <w:rPr>
          <w:rFonts w:eastAsia="Arial Unicode MS"/>
          <w:noProof/>
          <w:lang w:val="en-IE"/>
        </w:rPr>
        <w:sectPr w:rsidR="00AD761A" w:rsidRPr="00EB2CCC" w:rsidSect="00A9447B">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08"/>
          <w:docGrid w:linePitch="360"/>
        </w:sectPr>
      </w:pPr>
    </w:p>
    <w:p w:rsidR="0029361D" w:rsidRDefault="00A80897">
      <w:pPr>
        <w:pStyle w:val="Rfrenceinterinstitutionnelle"/>
        <w:rPr>
          <w:noProof/>
        </w:rPr>
      </w:pPr>
      <w:r>
        <w:rPr>
          <w:noProof/>
        </w:rPr>
        <w:lastRenderedPageBreak/>
        <w:t>2026/0183 (NLE)</w:t>
      </w:r>
    </w:p>
    <w:p w:rsidR="00896269" w:rsidRPr="00FD40BA" w:rsidRDefault="00F2722F" w:rsidP="00F2722F">
      <w:pPr>
        <w:pStyle w:val="Statut"/>
        <w:rPr>
          <w:noProof/>
        </w:rPr>
      </w:pPr>
      <w:r w:rsidRPr="00F2722F">
        <w:rPr>
          <w:noProof/>
        </w:rPr>
        <w:t>Proposal for a</w:t>
      </w:r>
    </w:p>
    <w:p w:rsidR="00896269" w:rsidRPr="00FD40BA" w:rsidRDefault="00F2722F" w:rsidP="00F2722F">
      <w:pPr>
        <w:pStyle w:val="Typedudocument"/>
        <w:rPr>
          <w:noProof/>
        </w:rPr>
      </w:pPr>
      <w:r w:rsidRPr="00F2722F">
        <w:rPr>
          <w:noProof/>
        </w:rPr>
        <w:t>COUNCIL DECISION</w:t>
      </w:r>
    </w:p>
    <w:p w:rsidR="00896269" w:rsidRPr="00FD40BA" w:rsidRDefault="00F2722F" w:rsidP="00F2722F">
      <w:pPr>
        <w:pStyle w:val="Titreobjet"/>
        <w:rPr>
          <w:noProof/>
        </w:rPr>
      </w:pPr>
      <w:r w:rsidRPr="00F2722F">
        <w:rPr>
          <w:noProof/>
        </w:rPr>
        <w:t>on the signing of the Comprehensive Economic Partnership Agreement between the European Union and Indonesia</w:t>
      </w:r>
    </w:p>
    <w:p w:rsidR="00896269" w:rsidRPr="00FD40BA" w:rsidRDefault="00896269" w:rsidP="0006154B">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2C4F08" w:rsidRDefault="00896269" w:rsidP="0006154B">
      <w:pPr>
        <w:rPr>
          <w:noProof/>
        </w:rPr>
      </w:pPr>
      <w:r>
        <w:rPr>
          <w:noProof/>
        </w:rPr>
        <w:t>Having regard to the Treaty on the Functioning of the European Union, and in particular Article</w:t>
      </w:r>
      <w:r w:rsidR="00433B07">
        <w:rPr>
          <w:noProof/>
        </w:rPr>
        <w:t>s</w:t>
      </w:r>
      <w:r w:rsidR="00090EA5">
        <w:rPr>
          <w:noProof/>
        </w:rPr>
        <w:t xml:space="preserve"> 91(1), 100(2) and 207(4), first subparagraph, in conjunction with Article 218(5)</w:t>
      </w:r>
      <w:r>
        <w:rPr>
          <w:noProof/>
        </w:rPr>
        <w:t xml:space="preserve"> thereof,</w:t>
      </w:r>
    </w:p>
    <w:p w:rsidR="00896269" w:rsidRPr="00FD40BA" w:rsidRDefault="00896269" w:rsidP="0006154B">
      <w:pPr>
        <w:rPr>
          <w:noProof/>
        </w:rPr>
      </w:pPr>
      <w:r w:rsidRPr="00FD40BA">
        <w:rPr>
          <w:noProof/>
        </w:rPr>
        <w:t>Having regard to the proposal from the European Commission,</w:t>
      </w:r>
    </w:p>
    <w:p w:rsidR="00896269" w:rsidRPr="00FD40BA" w:rsidRDefault="00896269" w:rsidP="0006154B">
      <w:pPr>
        <w:rPr>
          <w:noProof/>
        </w:rPr>
      </w:pPr>
      <w:r w:rsidRPr="00FD40BA">
        <w:rPr>
          <w:noProof/>
        </w:rPr>
        <w:t>Whereas:</w:t>
      </w:r>
    </w:p>
    <w:p w:rsidR="00896269" w:rsidRPr="00C56575" w:rsidRDefault="0A59928E" w:rsidP="00A40F3D">
      <w:pPr>
        <w:pStyle w:val="ManualConsidrant"/>
        <w:rPr>
          <w:noProof/>
        </w:rPr>
      </w:pPr>
      <w:r>
        <w:rPr>
          <w:noProof/>
        </w:rPr>
        <w:t>(1)</w:t>
      </w:r>
      <w:r>
        <w:rPr>
          <w:noProof/>
        </w:rPr>
        <w:tab/>
      </w:r>
      <w:r w:rsidRPr="00FC2A32">
        <w:rPr>
          <w:noProof/>
        </w:rPr>
        <w:t>T</w:t>
      </w:r>
      <w:r w:rsidR="55B2F86E" w:rsidRPr="00FC2A32">
        <w:rPr>
          <w:noProof/>
        </w:rPr>
        <w:t xml:space="preserve">he Commission </w:t>
      </w:r>
      <w:r w:rsidRPr="00FC2A32">
        <w:rPr>
          <w:noProof/>
        </w:rPr>
        <w:t xml:space="preserve">has </w:t>
      </w:r>
      <w:r w:rsidR="35C71540" w:rsidRPr="00FC2A32">
        <w:rPr>
          <w:noProof/>
        </w:rPr>
        <w:t>negotiated</w:t>
      </w:r>
      <w:r w:rsidR="55B2F86E" w:rsidRPr="00FC2A32">
        <w:rPr>
          <w:noProof/>
        </w:rPr>
        <w:t xml:space="preserve"> a Comprehensive Economic Partnership Agreement </w:t>
      </w:r>
      <w:r w:rsidR="614E00FE" w:rsidRPr="00FC2A32">
        <w:rPr>
          <w:noProof/>
        </w:rPr>
        <w:t xml:space="preserve">(the </w:t>
      </w:r>
      <w:r w:rsidR="310FB342" w:rsidRPr="00FC2A32">
        <w:rPr>
          <w:noProof/>
        </w:rPr>
        <w:t>“</w:t>
      </w:r>
      <w:r w:rsidR="614E00FE" w:rsidRPr="00FC2A32">
        <w:rPr>
          <w:noProof/>
        </w:rPr>
        <w:t>Agreement</w:t>
      </w:r>
      <w:r w:rsidR="310FB342" w:rsidRPr="00FC2A32">
        <w:rPr>
          <w:noProof/>
        </w:rPr>
        <w:t>”</w:t>
      </w:r>
      <w:r w:rsidR="614E00FE" w:rsidRPr="00FC2A32">
        <w:rPr>
          <w:noProof/>
        </w:rPr>
        <w:t>)</w:t>
      </w:r>
      <w:r w:rsidR="614E00FE" w:rsidRPr="00C56575">
        <w:rPr>
          <w:noProof/>
        </w:rPr>
        <w:t xml:space="preserve"> </w:t>
      </w:r>
      <w:r w:rsidR="55B2F86E" w:rsidRPr="00FC2A32">
        <w:rPr>
          <w:noProof/>
        </w:rPr>
        <w:t>with Indonesia</w:t>
      </w:r>
      <w:r w:rsidR="614E00FE" w:rsidRPr="00FC2A32">
        <w:rPr>
          <w:noProof/>
        </w:rPr>
        <w:t>.</w:t>
      </w:r>
      <w:r w:rsidR="55B2F86E" w:rsidRPr="00FC2A32">
        <w:rPr>
          <w:noProof/>
        </w:rPr>
        <w:t xml:space="preserve"> </w:t>
      </w:r>
    </w:p>
    <w:p w:rsidR="34B28D26" w:rsidRPr="00FC2A32" w:rsidRDefault="34B28D26" w:rsidP="00C56575">
      <w:pPr>
        <w:pStyle w:val="ManualConsidrant"/>
        <w:rPr>
          <w:noProof/>
        </w:rPr>
      </w:pPr>
      <w:r>
        <w:rPr>
          <w:noProof/>
        </w:rPr>
        <w:t>(2)</w:t>
      </w:r>
      <w:r>
        <w:rPr>
          <w:noProof/>
        </w:rPr>
        <w:tab/>
      </w:r>
      <w:r w:rsidRPr="00FC2A32">
        <w:rPr>
          <w:noProof/>
        </w:rPr>
        <w:t xml:space="preserve">The Agreement should ensure the furtherance of the Union’s common commercial policy by putting in place a comprehensive economic partnership with Indonesia. </w:t>
      </w:r>
    </w:p>
    <w:p w:rsidR="55B2F86E" w:rsidRPr="00FC2A32" w:rsidRDefault="55B2F86E" w:rsidP="00C56575">
      <w:pPr>
        <w:pStyle w:val="ManualConsidrant"/>
        <w:rPr>
          <w:noProof/>
        </w:rPr>
      </w:pPr>
      <w:r>
        <w:rPr>
          <w:noProof/>
        </w:rPr>
        <w:t>(3)</w:t>
      </w:r>
      <w:r>
        <w:rPr>
          <w:noProof/>
        </w:rPr>
        <w:tab/>
      </w:r>
      <w:r w:rsidRPr="00FC2A32">
        <w:rPr>
          <w:noProof/>
        </w:rPr>
        <w:t>Therefore, the Agreement should be signed</w:t>
      </w:r>
      <w:r w:rsidR="00AD39B7" w:rsidRPr="00FC2A32">
        <w:rPr>
          <w:noProof/>
        </w:rPr>
        <w:t>,</w:t>
      </w:r>
    </w:p>
    <w:p w:rsidR="00896269" w:rsidRPr="005D4AB7" w:rsidRDefault="00896269" w:rsidP="00E95944">
      <w:pPr>
        <w:pStyle w:val="Formuledadoption"/>
        <w:rPr>
          <w:noProof/>
        </w:rPr>
      </w:pPr>
      <w:r w:rsidRPr="005D4AB7">
        <w:rPr>
          <w:noProof/>
        </w:rPr>
        <w:t xml:space="preserve">HAS ADOPTED THIS DECISION: </w:t>
      </w:r>
    </w:p>
    <w:p w:rsidR="00896269" w:rsidRPr="00AA1F01" w:rsidRDefault="00896269" w:rsidP="0006154B">
      <w:pPr>
        <w:pStyle w:val="Titrearticle"/>
        <w:rPr>
          <w:noProof/>
          <w:color w:val="000000" w:themeColor="text1"/>
        </w:rPr>
      </w:pPr>
      <w:r w:rsidRPr="00AA1F01">
        <w:rPr>
          <w:noProof/>
          <w:color w:val="000000" w:themeColor="text1"/>
        </w:rPr>
        <w:t>Article 1</w:t>
      </w:r>
    </w:p>
    <w:p w:rsidR="00896269" w:rsidRPr="00AA1F01" w:rsidRDefault="00090EA5" w:rsidP="0006154B">
      <w:pPr>
        <w:rPr>
          <w:noProof/>
          <w:color w:val="000000" w:themeColor="text1"/>
        </w:rPr>
      </w:pPr>
      <w:r w:rsidRPr="00FC2A32">
        <w:rPr>
          <w:noProof/>
        </w:rPr>
        <w:t xml:space="preserve">The signing of the Comprehensive Economic Partnership Agreement between the European Union and Indonesia (the </w:t>
      </w:r>
      <w:r w:rsidR="00AB2D19" w:rsidRPr="00FC2A32">
        <w:rPr>
          <w:noProof/>
        </w:rPr>
        <w:t>“</w:t>
      </w:r>
      <w:r w:rsidRPr="00FC2A32">
        <w:rPr>
          <w:noProof/>
        </w:rPr>
        <w:t>Agreement</w:t>
      </w:r>
      <w:r w:rsidR="00AB2D19" w:rsidRPr="00FC2A32">
        <w:rPr>
          <w:noProof/>
        </w:rPr>
        <w:t>”</w:t>
      </w:r>
      <w:r w:rsidRPr="00FC2A32">
        <w:rPr>
          <w:noProof/>
        </w:rPr>
        <w:t xml:space="preserve">) is hereby </w:t>
      </w:r>
      <w:r w:rsidR="005D4AB7" w:rsidRPr="00FC2A32">
        <w:rPr>
          <w:noProof/>
        </w:rPr>
        <w:t>authorised</w:t>
      </w:r>
      <w:r w:rsidRPr="00FC2A32">
        <w:rPr>
          <w:noProof/>
        </w:rPr>
        <w:t>, subject to the conclusion of th</w:t>
      </w:r>
      <w:r w:rsidR="002F09B8" w:rsidRPr="00FC2A32">
        <w:rPr>
          <w:noProof/>
        </w:rPr>
        <w:t>at</w:t>
      </w:r>
      <w:r w:rsidRPr="00FC2A32">
        <w:rPr>
          <w:noProof/>
        </w:rPr>
        <w:t xml:space="preserve"> Agreement.</w:t>
      </w:r>
    </w:p>
    <w:p w:rsidR="00896269" w:rsidRPr="00FD40BA" w:rsidRDefault="00896269" w:rsidP="000E0D8A">
      <w:pPr>
        <w:pStyle w:val="Titrearticle"/>
        <w:rPr>
          <w:noProof/>
        </w:rPr>
      </w:pPr>
      <w:r w:rsidRPr="00FD40BA">
        <w:rPr>
          <w:noProof/>
        </w:rPr>
        <w:t xml:space="preserve">Article </w:t>
      </w:r>
      <w:bookmarkStart w:id="1" w:name="_Hlk126129799"/>
      <w:r w:rsidR="00090EA5" w:rsidRPr="00FC2A32">
        <w:rPr>
          <w:noProof/>
        </w:rPr>
        <w:t>2</w:t>
      </w:r>
      <w:bookmarkEnd w:id="1"/>
    </w:p>
    <w:p w:rsidR="00896269" w:rsidRPr="00FD40BA" w:rsidRDefault="00896269" w:rsidP="0006154B">
      <w:pPr>
        <w:keepLines/>
        <w:rPr>
          <w:noProof/>
        </w:rPr>
      </w:pPr>
      <w:r w:rsidRPr="00FD40BA">
        <w:rPr>
          <w:noProof/>
        </w:rPr>
        <w:t xml:space="preserve">This Decision shall enter into force on </w:t>
      </w:r>
      <w:r w:rsidRPr="00AA1F01">
        <w:rPr>
          <w:noProof/>
        </w:rPr>
        <w:t xml:space="preserve">the </w:t>
      </w:r>
      <w:r w:rsidR="00AA1F01" w:rsidRPr="00AA1F01">
        <w:rPr>
          <w:noProof/>
        </w:rPr>
        <w:t>date of its adoption</w:t>
      </w:r>
      <w:r w:rsidRPr="00FD40BA">
        <w:rPr>
          <w:noProof/>
        </w:rPr>
        <w:t>.</w:t>
      </w:r>
    </w:p>
    <w:p w:rsidR="00896269" w:rsidRDefault="00F2722F" w:rsidP="000E0D8A">
      <w:pPr>
        <w:pStyle w:val="Fait"/>
        <w:rPr>
          <w:noProof/>
        </w:rPr>
      </w:pPr>
      <w:r>
        <w:rPr>
          <w:noProof/>
        </w:rPr>
        <w:t>Done at Brussels,</w:t>
      </w:r>
    </w:p>
    <w:p w:rsidR="00896269" w:rsidRDefault="00896269" w:rsidP="000E0D8A">
      <w:pPr>
        <w:pStyle w:val="Institutionquisigne"/>
        <w:rPr>
          <w:noProof/>
        </w:rPr>
      </w:pPr>
      <w:r w:rsidRPr="00896269">
        <w:rPr>
          <w:noProof/>
        </w:rPr>
        <w:tab/>
        <w:t>For the Council</w:t>
      </w:r>
    </w:p>
    <w:p w:rsidR="0009257B" w:rsidRDefault="00896269" w:rsidP="00896269">
      <w:pPr>
        <w:pStyle w:val="Personnequisigne"/>
        <w:rPr>
          <w:noProof/>
        </w:rPr>
      </w:pPr>
      <w:r w:rsidRPr="00896269">
        <w:rPr>
          <w:noProof/>
        </w:rPr>
        <w:tab/>
        <w:t>The President</w:t>
      </w:r>
    </w:p>
    <w:p w:rsidR="0009257B" w:rsidRDefault="0009257B" w:rsidP="0009257B">
      <w:pPr>
        <w:rPr>
          <w:noProof/>
        </w:rPr>
        <w:sectPr w:rsidR="0009257B" w:rsidSect="00A9447B">
          <w:pgSz w:w="11907" w:h="16839"/>
          <w:pgMar w:top="1134" w:right="1417" w:bottom="1134" w:left="1417" w:header="709" w:footer="709" w:gutter="0"/>
          <w:cols w:space="708"/>
          <w:docGrid w:linePitch="360"/>
        </w:sectPr>
      </w:pPr>
    </w:p>
    <w:p w:rsidR="0009257B" w:rsidRPr="0009257B" w:rsidRDefault="0009257B" w:rsidP="0009257B">
      <w:pPr>
        <w:pStyle w:val="Fichefinanciretitre"/>
        <w:keepNext/>
        <w:rPr>
          <w:noProof/>
        </w:rPr>
      </w:pPr>
      <w:r w:rsidRPr="005136E6">
        <w:rPr>
          <w:noProof/>
        </w:rPr>
        <w:lastRenderedPageBreak/>
        <w:t>LEGISLATIVE FINANCIAL STATEMENT ‘REVENUE’- FOR PROPOSALS HAVING BUDGETARY IMPACT ON THE REVENUE SIDE OF THE BUDGET</w:t>
      </w:r>
    </w:p>
    <w:p w:rsidR="0009257B" w:rsidRDefault="0009257B" w:rsidP="0009257B">
      <w:pPr>
        <w:pStyle w:val="ManualHeading1"/>
        <w:rPr>
          <w:bCs/>
          <w:noProof/>
        </w:rPr>
      </w:pPr>
      <w:r w:rsidRPr="000001F1">
        <w:rPr>
          <w:noProof/>
        </w:rPr>
        <w:t>1.</w:t>
      </w:r>
      <w:r w:rsidRPr="000001F1">
        <w:rPr>
          <w:noProof/>
        </w:rPr>
        <w:tab/>
      </w:r>
      <w:r>
        <w:rPr>
          <w:noProof/>
        </w:rPr>
        <w:t>NAME OF THE PROPOSAL:</w:t>
      </w:r>
    </w:p>
    <w:p w:rsidR="0009257B" w:rsidRDefault="006740F6" w:rsidP="006740F6">
      <w:pPr>
        <w:pStyle w:val="Text1"/>
        <w:rPr>
          <w:noProof/>
        </w:rPr>
      </w:pPr>
      <w:r>
        <w:rPr>
          <w:noProof/>
        </w:rPr>
        <w:t>Proposal for a COUNCIL DECISION on the signing of the Comprehensive Economic Partnership Agreement between the European Union and Indonesia</w:t>
      </w:r>
    </w:p>
    <w:p w:rsidR="0009257B" w:rsidRDefault="0009257B" w:rsidP="0009257B">
      <w:pPr>
        <w:pStyle w:val="ManualHeading1"/>
        <w:rPr>
          <w:bCs/>
          <w:noProof/>
        </w:rPr>
      </w:pPr>
      <w:r w:rsidRPr="000001F1">
        <w:rPr>
          <w:noProof/>
        </w:rPr>
        <w:t>2.</w:t>
      </w:r>
      <w:r w:rsidRPr="000001F1">
        <w:rPr>
          <w:noProof/>
        </w:rPr>
        <w:tab/>
      </w:r>
      <w:r>
        <w:rPr>
          <w:noProof/>
        </w:rPr>
        <w:t>BUDGET LINES:</w:t>
      </w:r>
    </w:p>
    <w:p w:rsidR="0009257B" w:rsidRDefault="0009257B" w:rsidP="0009257B">
      <w:pPr>
        <w:pStyle w:val="Text1"/>
        <w:rPr>
          <w:noProof/>
        </w:rPr>
      </w:pPr>
      <w:r>
        <w:rPr>
          <w:noProof/>
        </w:rPr>
        <w:t xml:space="preserve">Revenue line (Chapter/Article/Item): </w:t>
      </w:r>
      <w:r w:rsidR="006A4A92">
        <w:rPr>
          <w:noProof/>
        </w:rPr>
        <w:t>Chapter 12, Article 120</w:t>
      </w:r>
    </w:p>
    <w:p w:rsidR="0009257B" w:rsidRDefault="0009257B" w:rsidP="00225CA8">
      <w:pPr>
        <w:pStyle w:val="Text1"/>
        <w:rPr>
          <w:noProof/>
        </w:rPr>
      </w:pPr>
      <w:r>
        <w:rPr>
          <w:noProof/>
        </w:rPr>
        <w:t>Amount budgeted for the year concerned:</w:t>
      </w:r>
      <w:r w:rsidR="00225CA8">
        <w:rPr>
          <w:noProof/>
        </w:rPr>
        <w:t xml:space="preserve"> </w:t>
      </w:r>
      <w:r w:rsidR="00225CA8" w:rsidRPr="00251890">
        <w:rPr>
          <w:i/>
          <w:iCs/>
          <w:noProof/>
          <w:lang w:val="en-IE"/>
        </w:rPr>
        <w:t xml:space="preserve">(2026) </w:t>
      </w:r>
      <w:r w:rsidR="00225CA8" w:rsidRPr="00251890">
        <w:rPr>
          <w:b/>
          <w:bCs/>
          <w:i/>
          <w:iCs/>
          <w:noProof/>
          <w:lang w:val="en-IE"/>
        </w:rPr>
        <w:t>EUR 21 368 300 000</w:t>
      </w:r>
      <w:r w:rsidR="00225CA8" w:rsidRPr="00251890">
        <w:rPr>
          <w:noProof/>
          <w:lang w:val="en-IE"/>
        </w:rPr>
        <w:t xml:space="preserve">. Budget available here: </w:t>
      </w:r>
      <w:hyperlink r:id="rId22" w:history="1">
        <w:r w:rsidR="00225CA8" w:rsidRPr="00251890">
          <w:rPr>
            <w:rStyle w:val="Hyperlink"/>
            <w:noProof/>
            <w:lang w:val="en-IE"/>
          </w:rPr>
          <w:t>Draft budget 2026 - GENERAL STATEMENT OF REVENUE</w:t>
        </w:r>
      </w:hyperlink>
    </w:p>
    <w:p w:rsidR="0009257B" w:rsidRDefault="0009257B" w:rsidP="0009257B">
      <w:pPr>
        <w:pStyle w:val="Text1"/>
        <w:ind w:left="851"/>
        <w:rPr>
          <w:i/>
          <w:noProof/>
        </w:rPr>
      </w:pPr>
      <w:r w:rsidRPr="00467DDC">
        <w:rPr>
          <w:i/>
          <w:noProof/>
        </w:rPr>
        <w:t>(only in case of assigned revenues)</w:t>
      </w:r>
      <w:r>
        <w:rPr>
          <w:i/>
          <w:noProof/>
        </w:rPr>
        <w:t>:</w:t>
      </w:r>
      <w:r w:rsidRPr="00467DDC">
        <w:rPr>
          <w:i/>
          <w:noProof/>
        </w:rPr>
        <w:t xml:space="preserve"> </w:t>
      </w:r>
    </w:p>
    <w:p w:rsidR="0009257B" w:rsidRPr="00E32A51" w:rsidRDefault="0009257B" w:rsidP="0009257B">
      <w:pPr>
        <w:pStyle w:val="Text1"/>
        <w:ind w:left="851"/>
        <w:rPr>
          <w:noProof/>
        </w:rPr>
      </w:pPr>
      <w:r w:rsidRPr="00E32A51">
        <w:rPr>
          <w:noProof/>
        </w:rPr>
        <w:t xml:space="preserve">The revenues will be assigned to the following expenditure </w:t>
      </w:r>
      <w:r>
        <w:rPr>
          <w:noProof/>
        </w:rPr>
        <w:t>line (C</w:t>
      </w:r>
      <w:r w:rsidRPr="00E32A51">
        <w:rPr>
          <w:noProof/>
        </w:rPr>
        <w:t>hapter</w:t>
      </w:r>
      <w:r>
        <w:rPr>
          <w:noProof/>
        </w:rPr>
        <w:t>/Article/Item)</w:t>
      </w:r>
      <w:r w:rsidRPr="00E32A51">
        <w:rPr>
          <w:noProof/>
        </w:rPr>
        <w:t xml:space="preserve">: </w:t>
      </w:r>
    </w:p>
    <w:p w:rsidR="0009257B" w:rsidRDefault="0009257B" w:rsidP="0009257B">
      <w:pPr>
        <w:pStyle w:val="ManualHeading1"/>
        <w:rPr>
          <w:bCs/>
          <w:noProof/>
        </w:rPr>
      </w:pPr>
      <w:r w:rsidRPr="000001F1">
        <w:rPr>
          <w:noProof/>
        </w:rPr>
        <w:t>3.</w:t>
      </w:r>
      <w:r w:rsidRPr="000001F1">
        <w:rPr>
          <w:noProof/>
        </w:rPr>
        <w:tab/>
      </w:r>
      <w:r>
        <w:rPr>
          <w:noProof/>
        </w:rPr>
        <w:t>FINANCIAL IMPACT</w:t>
      </w:r>
    </w:p>
    <w:p w:rsidR="0009257B" w:rsidRDefault="0009257B" w:rsidP="0009257B">
      <w:pPr>
        <w:pStyle w:val="Text1"/>
        <w:rPr>
          <w:noProof/>
        </w:rPr>
      </w:pPr>
      <w:r>
        <w:rPr>
          <w:noProof/>
        </w:rPr>
        <w:sym w:font="Wingdings" w:char="F0A8"/>
      </w:r>
      <w:r>
        <w:rPr>
          <w:noProof/>
        </w:rPr>
        <w:tab/>
        <w:t>Proposal has no financial implications</w:t>
      </w:r>
    </w:p>
    <w:p w:rsidR="0009257B" w:rsidRDefault="00E97FC6" w:rsidP="0009257B">
      <w:pPr>
        <w:pStyle w:val="Text1"/>
        <w:ind w:left="1435" w:hanging="585"/>
        <w:rPr>
          <w:noProof/>
        </w:rPr>
      </w:pPr>
      <w:r>
        <w:rPr>
          <w:noProof/>
        </w:rPr>
        <w:t>x</w:t>
      </w:r>
      <w:r w:rsidR="0009257B">
        <w:rPr>
          <w:noProof/>
        </w:rPr>
        <w:t xml:space="preserve"> </w:t>
      </w:r>
      <w:r w:rsidR="0009257B">
        <w:rPr>
          <w:noProof/>
        </w:rPr>
        <w:tab/>
        <w:t>Proposal has no financial impact on expenditure but has a financial impact on revenue</w:t>
      </w:r>
    </w:p>
    <w:p w:rsidR="0009257B" w:rsidRDefault="0009257B" w:rsidP="0009257B">
      <w:pPr>
        <w:pStyle w:val="Text1"/>
        <w:rPr>
          <w:noProof/>
        </w:rPr>
      </w:pPr>
      <w:r>
        <w:rPr>
          <w:noProof/>
        </w:rPr>
        <w:sym w:font="Wingdings" w:char="F0A8"/>
      </w:r>
      <w:r>
        <w:rPr>
          <w:noProof/>
        </w:rPr>
        <w:tab/>
        <w:t>Proposal has a financial impact on assigned revenue</w:t>
      </w:r>
    </w:p>
    <w:p w:rsidR="0009257B" w:rsidRDefault="0009257B" w:rsidP="0009257B">
      <w:pPr>
        <w:spacing w:before="240"/>
        <w:ind w:firstLine="720"/>
        <w:rPr>
          <w:i/>
          <w:noProof/>
          <w:sz w:val="20"/>
          <w:szCs w:val="20"/>
        </w:rPr>
      </w:pPr>
      <w:r w:rsidRPr="00467DDC">
        <w:rPr>
          <w:noProof/>
          <w:szCs w:val="24"/>
        </w:rPr>
        <w:t>T</w:t>
      </w:r>
      <w:r w:rsidRPr="00C047EA">
        <w:rPr>
          <w:noProof/>
        </w:rPr>
        <w:t xml:space="preserve">he </w:t>
      </w:r>
      <w:r>
        <w:rPr>
          <w:noProof/>
        </w:rPr>
        <w:t>effect is as follows:</w:t>
      </w:r>
      <w:r w:rsidRPr="00C047EA">
        <w:rPr>
          <w:i/>
          <w:noProof/>
          <w:sz w:val="20"/>
          <w:szCs w:val="20"/>
        </w:rPr>
        <w:t xml:space="preserve"> </w:t>
      </w:r>
    </w:p>
    <w:p w:rsidR="0009257B" w:rsidRPr="00467DDC" w:rsidRDefault="0009257B" w:rsidP="0009257B">
      <w:pPr>
        <w:ind w:firstLine="720"/>
        <w:jc w:val="right"/>
        <w:rPr>
          <w:i/>
          <w:noProof/>
          <w:sz w:val="20"/>
          <w:szCs w:val="20"/>
        </w:rPr>
      </w:pPr>
      <w:r w:rsidRPr="00467DDC">
        <w:rPr>
          <w:i/>
          <w:noProof/>
          <w:sz w:val="20"/>
          <w:szCs w:val="20"/>
        </w:rPr>
        <w:t>(EUR million to one decimal place)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09257B" w:rsidTr="00B70FA0">
        <w:trPr>
          <w:cantSplit/>
        </w:trPr>
        <w:tc>
          <w:tcPr>
            <w:tcW w:w="2074" w:type="dxa"/>
          </w:tcPr>
          <w:p w:rsidR="0009257B" w:rsidRDefault="0009257B" w:rsidP="00B70FA0">
            <w:pPr>
              <w:rPr>
                <w:noProof/>
              </w:rPr>
            </w:pPr>
            <w:r>
              <w:rPr>
                <w:noProof/>
                <w:sz w:val="22"/>
              </w:rPr>
              <w:t>Revenue line</w:t>
            </w:r>
          </w:p>
        </w:tc>
        <w:tc>
          <w:tcPr>
            <w:tcW w:w="1984" w:type="dxa"/>
          </w:tcPr>
          <w:p w:rsidR="0009257B" w:rsidRDefault="0009257B" w:rsidP="00B70FA0">
            <w:pPr>
              <w:jc w:val="center"/>
              <w:rPr>
                <w:noProof/>
              </w:rPr>
            </w:pPr>
            <w:r>
              <w:rPr>
                <w:noProof/>
                <w:sz w:val="22"/>
              </w:rPr>
              <w:t>Impact on revenue</w:t>
            </w:r>
            <w:r>
              <w:rPr>
                <w:rStyle w:val="FootnoteReference"/>
                <w:noProof/>
                <w:sz w:val="22"/>
              </w:rPr>
              <w:footnoteReference w:id="1"/>
            </w:r>
            <w:r>
              <w:rPr>
                <w:rStyle w:val="FootnoteReference"/>
                <w:noProof/>
                <w:sz w:val="22"/>
              </w:rPr>
              <w:footnoteReference w:id="2"/>
            </w:r>
          </w:p>
        </w:tc>
        <w:tc>
          <w:tcPr>
            <w:tcW w:w="2694" w:type="dxa"/>
          </w:tcPr>
          <w:p w:rsidR="0009257B" w:rsidRPr="00467DDC" w:rsidRDefault="00E97FC6" w:rsidP="00B70FA0">
            <w:pPr>
              <w:jc w:val="center"/>
              <w:rPr>
                <w:i/>
                <w:noProof/>
                <w:snapToGrid w:val="0"/>
                <w:sz w:val="20"/>
                <w:szCs w:val="20"/>
              </w:rPr>
            </w:pPr>
            <w:r>
              <w:rPr>
                <w:noProof/>
                <w:snapToGrid w:val="0"/>
                <w:sz w:val="22"/>
              </w:rPr>
              <w:t>12 months</w:t>
            </w:r>
          </w:p>
        </w:tc>
        <w:tc>
          <w:tcPr>
            <w:tcW w:w="1590" w:type="dxa"/>
          </w:tcPr>
          <w:p w:rsidR="0009257B" w:rsidRDefault="0009257B" w:rsidP="00B70FA0">
            <w:pPr>
              <w:jc w:val="center"/>
              <w:rPr>
                <w:noProof/>
                <w:snapToGrid w:val="0"/>
              </w:rPr>
            </w:pPr>
            <w:r>
              <w:rPr>
                <w:noProof/>
                <w:snapToGrid w:val="0"/>
                <w:sz w:val="22"/>
              </w:rPr>
              <w:t xml:space="preserve">Year </w:t>
            </w:r>
            <w:r w:rsidR="00E97FC6">
              <w:rPr>
                <w:noProof/>
                <w:snapToGrid w:val="0"/>
                <w:sz w:val="22"/>
              </w:rPr>
              <w:t>2027</w:t>
            </w:r>
          </w:p>
          <w:p w:rsidR="0009257B" w:rsidRDefault="0009257B" w:rsidP="00B70FA0">
            <w:pPr>
              <w:jc w:val="center"/>
              <w:rPr>
                <w:noProof/>
              </w:rPr>
            </w:pPr>
          </w:p>
        </w:tc>
      </w:tr>
      <w:tr w:rsidR="0009257B" w:rsidTr="00B70FA0">
        <w:trPr>
          <w:cantSplit/>
        </w:trPr>
        <w:tc>
          <w:tcPr>
            <w:tcW w:w="2074" w:type="dxa"/>
            <w:shd w:val="clear" w:color="auto" w:fill="auto"/>
          </w:tcPr>
          <w:p w:rsidR="0009257B" w:rsidRPr="00467DDC" w:rsidRDefault="0009257B" w:rsidP="00B70FA0">
            <w:pPr>
              <w:rPr>
                <w:noProof/>
                <w:sz w:val="20"/>
                <w:szCs w:val="20"/>
              </w:rPr>
            </w:pPr>
            <w:r w:rsidRPr="00467DDC">
              <w:rPr>
                <w:noProof/>
                <w:sz w:val="20"/>
                <w:szCs w:val="20"/>
              </w:rPr>
              <w:t>Chapter</w:t>
            </w:r>
            <w:r w:rsidR="00E97FC6">
              <w:rPr>
                <w:noProof/>
                <w:sz w:val="20"/>
                <w:szCs w:val="20"/>
              </w:rPr>
              <w:t xml:space="preserve"> 12</w:t>
            </w:r>
            <w:r w:rsidRPr="00467DDC">
              <w:rPr>
                <w:noProof/>
                <w:sz w:val="20"/>
                <w:szCs w:val="20"/>
              </w:rPr>
              <w:t>/Article</w:t>
            </w:r>
            <w:r w:rsidR="00E97FC6">
              <w:rPr>
                <w:noProof/>
                <w:sz w:val="20"/>
                <w:szCs w:val="20"/>
              </w:rPr>
              <w:t xml:space="preserve"> 120</w:t>
            </w:r>
          </w:p>
        </w:tc>
        <w:tc>
          <w:tcPr>
            <w:tcW w:w="1984" w:type="dxa"/>
          </w:tcPr>
          <w:p w:rsidR="0009257B" w:rsidRPr="00467DDC" w:rsidRDefault="00E97FC6" w:rsidP="00B70FA0">
            <w:pPr>
              <w:jc w:val="center"/>
              <w:rPr>
                <w:i/>
                <w:noProof/>
                <w:sz w:val="20"/>
                <w:szCs w:val="20"/>
              </w:rPr>
            </w:pPr>
            <w:r>
              <w:rPr>
                <w:i/>
                <w:noProof/>
                <w:sz w:val="20"/>
                <w:szCs w:val="20"/>
              </w:rPr>
              <w:t>EUR 630 mn</w:t>
            </w:r>
          </w:p>
        </w:tc>
        <w:tc>
          <w:tcPr>
            <w:tcW w:w="2694" w:type="dxa"/>
          </w:tcPr>
          <w:p w:rsidR="0009257B" w:rsidRDefault="00E97FC6" w:rsidP="00B70FA0">
            <w:pPr>
              <w:spacing w:before="0" w:after="0"/>
              <w:jc w:val="left"/>
              <w:rPr>
                <w:noProof/>
                <w:snapToGrid w:val="0"/>
              </w:rPr>
            </w:pPr>
            <w:r>
              <w:rPr>
                <w:noProof/>
                <w:snapToGrid w:val="0"/>
              </w:rPr>
              <w:t>Entry into force expected in the first half of 2027</w:t>
            </w:r>
          </w:p>
        </w:tc>
        <w:tc>
          <w:tcPr>
            <w:tcW w:w="1590" w:type="dxa"/>
            <w:shd w:val="clear" w:color="auto" w:fill="auto"/>
          </w:tcPr>
          <w:p w:rsidR="0009257B" w:rsidRDefault="00E97FC6" w:rsidP="00B70FA0">
            <w:pPr>
              <w:spacing w:before="0" w:after="0"/>
              <w:jc w:val="left"/>
              <w:rPr>
                <w:noProof/>
                <w:snapToGrid w:val="0"/>
              </w:rPr>
            </w:pPr>
            <w:r>
              <w:rPr>
                <w:noProof/>
                <w:snapToGrid w:val="0"/>
              </w:rPr>
              <w:t>0</w:t>
            </w:r>
          </w:p>
        </w:tc>
      </w:tr>
    </w:tbl>
    <w:p w:rsidR="0009257B" w:rsidRDefault="0009257B" w:rsidP="0009257B">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09257B" w:rsidTr="00B70FA0">
        <w:trPr>
          <w:cantSplit/>
        </w:trPr>
        <w:tc>
          <w:tcPr>
            <w:tcW w:w="8342" w:type="dxa"/>
            <w:gridSpan w:val="6"/>
          </w:tcPr>
          <w:p w:rsidR="0009257B" w:rsidRDefault="0009257B" w:rsidP="00B70FA0">
            <w:pPr>
              <w:jc w:val="center"/>
              <w:rPr>
                <w:noProof/>
              </w:rPr>
            </w:pPr>
            <w:r>
              <w:rPr>
                <w:noProof/>
                <w:sz w:val="18"/>
              </w:rPr>
              <w:t>Situation following action</w:t>
            </w:r>
          </w:p>
        </w:tc>
      </w:tr>
      <w:tr w:rsidR="006D2B84" w:rsidRPr="006D2B84" w:rsidTr="00B70FA0">
        <w:trPr>
          <w:cantSplit/>
        </w:trPr>
        <w:tc>
          <w:tcPr>
            <w:tcW w:w="2074" w:type="dxa"/>
          </w:tcPr>
          <w:p w:rsidR="0009257B" w:rsidRPr="006D2B84" w:rsidRDefault="0009257B" w:rsidP="00B70FA0">
            <w:pPr>
              <w:jc w:val="center"/>
              <w:rPr>
                <w:noProof/>
                <w:sz w:val="18"/>
              </w:rPr>
            </w:pPr>
            <w:r w:rsidRPr="006D2B84">
              <w:rPr>
                <w:noProof/>
                <w:sz w:val="22"/>
              </w:rPr>
              <w:t>Revenue line</w:t>
            </w:r>
          </w:p>
        </w:tc>
        <w:tc>
          <w:tcPr>
            <w:tcW w:w="1276" w:type="dxa"/>
          </w:tcPr>
          <w:p w:rsidR="0009257B" w:rsidRPr="006D2B84" w:rsidRDefault="0009257B" w:rsidP="00B70FA0">
            <w:pPr>
              <w:jc w:val="center"/>
              <w:rPr>
                <w:noProof/>
              </w:rPr>
            </w:pPr>
            <w:r w:rsidRPr="00E97FC6">
              <w:rPr>
                <w:noProof/>
                <w:sz w:val="18"/>
              </w:rPr>
              <w:t>[N+1</w:t>
            </w:r>
            <w:r w:rsidR="00346DD7">
              <w:rPr>
                <w:noProof/>
                <w:sz w:val="18"/>
              </w:rPr>
              <w:t>1</w:t>
            </w:r>
            <w:r w:rsidRPr="00E97FC6">
              <w:rPr>
                <w:noProof/>
                <w:sz w:val="18"/>
              </w:rPr>
              <w:t>]</w:t>
            </w:r>
          </w:p>
        </w:tc>
        <w:tc>
          <w:tcPr>
            <w:tcW w:w="1275" w:type="dxa"/>
          </w:tcPr>
          <w:p w:rsidR="0009257B" w:rsidRPr="006D2B84" w:rsidRDefault="0009257B" w:rsidP="00B70FA0">
            <w:pPr>
              <w:jc w:val="center"/>
              <w:rPr>
                <w:noProof/>
              </w:rPr>
            </w:pPr>
            <w:r w:rsidRPr="00E97FC6">
              <w:rPr>
                <w:noProof/>
                <w:sz w:val="18"/>
              </w:rPr>
              <w:t>[N+</w:t>
            </w:r>
            <w:r w:rsidR="00E97FC6">
              <w:rPr>
                <w:noProof/>
                <w:sz w:val="18"/>
              </w:rPr>
              <w:t>1</w:t>
            </w:r>
            <w:r w:rsidR="00346DD7">
              <w:rPr>
                <w:noProof/>
                <w:sz w:val="18"/>
              </w:rPr>
              <w:t>2</w:t>
            </w:r>
            <w:r w:rsidRPr="00E97FC6">
              <w:rPr>
                <w:noProof/>
                <w:sz w:val="18"/>
              </w:rPr>
              <w:t>]</w:t>
            </w:r>
          </w:p>
        </w:tc>
        <w:tc>
          <w:tcPr>
            <w:tcW w:w="1276" w:type="dxa"/>
          </w:tcPr>
          <w:p w:rsidR="0009257B" w:rsidRPr="006D2B84" w:rsidRDefault="0009257B" w:rsidP="00B70FA0">
            <w:pPr>
              <w:jc w:val="center"/>
              <w:rPr>
                <w:noProof/>
              </w:rPr>
            </w:pPr>
            <w:r w:rsidRPr="00E97FC6">
              <w:rPr>
                <w:noProof/>
                <w:sz w:val="18"/>
              </w:rPr>
              <w:t>[N+</w:t>
            </w:r>
            <w:r w:rsidR="00E97FC6">
              <w:rPr>
                <w:noProof/>
                <w:sz w:val="18"/>
              </w:rPr>
              <w:t>1</w:t>
            </w:r>
            <w:r w:rsidR="00346DD7">
              <w:rPr>
                <w:noProof/>
                <w:sz w:val="18"/>
              </w:rPr>
              <w:t>3</w:t>
            </w:r>
            <w:r w:rsidRPr="00E97FC6">
              <w:rPr>
                <w:noProof/>
                <w:sz w:val="18"/>
              </w:rPr>
              <w:t>]</w:t>
            </w:r>
          </w:p>
        </w:tc>
        <w:tc>
          <w:tcPr>
            <w:tcW w:w="1276" w:type="dxa"/>
          </w:tcPr>
          <w:p w:rsidR="0009257B" w:rsidRPr="006D2B84" w:rsidRDefault="0009257B" w:rsidP="00B70FA0">
            <w:pPr>
              <w:jc w:val="center"/>
              <w:rPr>
                <w:noProof/>
              </w:rPr>
            </w:pPr>
            <w:r w:rsidRPr="00E97FC6">
              <w:rPr>
                <w:noProof/>
                <w:sz w:val="18"/>
              </w:rPr>
              <w:t>[N+</w:t>
            </w:r>
            <w:r w:rsidR="00E97FC6">
              <w:rPr>
                <w:noProof/>
                <w:sz w:val="18"/>
              </w:rPr>
              <w:t>1</w:t>
            </w:r>
            <w:r w:rsidR="00346DD7">
              <w:rPr>
                <w:noProof/>
                <w:sz w:val="18"/>
              </w:rPr>
              <w:t>4</w:t>
            </w:r>
            <w:r w:rsidRPr="00E97FC6">
              <w:rPr>
                <w:noProof/>
                <w:sz w:val="18"/>
              </w:rPr>
              <w:t>]</w:t>
            </w:r>
          </w:p>
        </w:tc>
        <w:tc>
          <w:tcPr>
            <w:tcW w:w="1165" w:type="dxa"/>
          </w:tcPr>
          <w:p w:rsidR="0009257B" w:rsidRPr="006D2B84" w:rsidRDefault="0009257B" w:rsidP="00B70FA0">
            <w:pPr>
              <w:jc w:val="center"/>
              <w:rPr>
                <w:noProof/>
              </w:rPr>
            </w:pPr>
            <w:r w:rsidRPr="00E97FC6">
              <w:rPr>
                <w:noProof/>
                <w:sz w:val="18"/>
              </w:rPr>
              <w:t>[N+</w:t>
            </w:r>
            <w:r w:rsidR="00E97FC6">
              <w:rPr>
                <w:noProof/>
                <w:sz w:val="18"/>
              </w:rPr>
              <w:t>1</w:t>
            </w:r>
            <w:r w:rsidR="00346DD7">
              <w:rPr>
                <w:noProof/>
                <w:sz w:val="18"/>
              </w:rPr>
              <w:t>5</w:t>
            </w:r>
            <w:r w:rsidRPr="00E97FC6">
              <w:rPr>
                <w:noProof/>
                <w:sz w:val="18"/>
              </w:rPr>
              <w:t>]</w:t>
            </w:r>
          </w:p>
        </w:tc>
      </w:tr>
      <w:tr w:rsidR="0009257B" w:rsidTr="00B70FA0">
        <w:trPr>
          <w:cantSplit/>
        </w:trPr>
        <w:tc>
          <w:tcPr>
            <w:tcW w:w="2074" w:type="dxa"/>
          </w:tcPr>
          <w:p w:rsidR="0009257B" w:rsidRPr="00467DDC" w:rsidRDefault="0009257B" w:rsidP="00B70FA0">
            <w:pPr>
              <w:rPr>
                <w:noProof/>
                <w:sz w:val="20"/>
                <w:szCs w:val="20"/>
              </w:rPr>
            </w:pPr>
            <w:r w:rsidRPr="00467DDC">
              <w:rPr>
                <w:noProof/>
                <w:sz w:val="20"/>
                <w:szCs w:val="20"/>
              </w:rPr>
              <w:t>Chapter/Article/Item</w:t>
            </w:r>
            <w:r>
              <w:rPr>
                <w:noProof/>
                <w:sz w:val="20"/>
                <w:szCs w:val="20"/>
              </w:rPr>
              <w:t xml:space="preserve"> …</w:t>
            </w:r>
          </w:p>
        </w:tc>
        <w:tc>
          <w:tcPr>
            <w:tcW w:w="1276" w:type="dxa"/>
          </w:tcPr>
          <w:p w:rsidR="0009257B" w:rsidRPr="00E97FC6" w:rsidRDefault="00E97FC6" w:rsidP="00B70FA0">
            <w:pPr>
              <w:jc w:val="center"/>
              <w:rPr>
                <w:noProof/>
                <w:sz w:val="20"/>
                <w:szCs w:val="20"/>
              </w:rPr>
            </w:pPr>
            <w:r w:rsidRPr="00E97FC6">
              <w:rPr>
                <w:noProof/>
                <w:sz w:val="20"/>
                <w:szCs w:val="20"/>
              </w:rPr>
              <w:t>EUR 700 mn</w:t>
            </w:r>
          </w:p>
        </w:tc>
        <w:tc>
          <w:tcPr>
            <w:tcW w:w="1275" w:type="dxa"/>
          </w:tcPr>
          <w:p w:rsidR="0009257B" w:rsidRDefault="00E97FC6" w:rsidP="00B70FA0">
            <w:pPr>
              <w:jc w:val="center"/>
              <w:rPr>
                <w:noProof/>
              </w:rPr>
            </w:pPr>
            <w:r w:rsidRPr="00E97FC6">
              <w:rPr>
                <w:noProof/>
                <w:sz w:val="20"/>
                <w:szCs w:val="20"/>
              </w:rPr>
              <w:t>EUR 700 mn</w:t>
            </w:r>
          </w:p>
        </w:tc>
        <w:tc>
          <w:tcPr>
            <w:tcW w:w="1276" w:type="dxa"/>
          </w:tcPr>
          <w:p w:rsidR="0009257B" w:rsidRDefault="00E97FC6" w:rsidP="00B70FA0">
            <w:pPr>
              <w:jc w:val="center"/>
              <w:rPr>
                <w:noProof/>
              </w:rPr>
            </w:pPr>
            <w:r w:rsidRPr="00E97FC6">
              <w:rPr>
                <w:noProof/>
                <w:sz w:val="20"/>
                <w:szCs w:val="20"/>
              </w:rPr>
              <w:t>EUR 700 mn</w:t>
            </w:r>
          </w:p>
        </w:tc>
        <w:tc>
          <w:tcPr>
            <w:tcW w:w="1276" w:type="dxa"/>
          </w:tcPr>
          <w:p w:rsidR="0009257B" w:rsidRDefault="00E97FC6" w:rsidP="00B70FA0">
            <w:pPr>
              <w:jc w:val="center"/>
              <w:rPr>
                <w:noProof/>
              </w:rPr>
            </w:pPr>
            <w:r w:rsidRPr="00E97FC6">
              <w:rPr>
                <w:noProof/>
                <w:sz w:val="20"/>
                <w:szCs w:val="20"/>
              </w:rPr>
              <w:t>EUR 700 mn</w:t>
            </w:r>
          </w:p>
        </w:tc>
        <w:tc>
          <w:tcPr>
            <w:tcW w:w="1165" w:type="dxa"/>
          </w:tcPr>
          <w:p w:rsidR="0009257B" w:rsidRDefault="00E97FC6" w:rsidP="00B70FA0">
            <w:pPr>
              <w:jc w:val="center"/>
              <w:rPr>
                <w:noProof/>
              </w:rPr>
            </w:pPr>
            <w:r w:rsidRPr="00E97FC6">
              <w:rPr>
                <w:noProof/>
                <w:sz w:val="20"/>
                <w:szCs w:val="20"/>
              </w:rPr>
              <w:t>EUR 700 mn</w:t>
            </w:r>
          </w:p>
        </w:tc>
      </w:tr>
    </w:tbl>
    <w:p w:rsidR="0009257B" w:rsidRDefault="0009257B" w:rsidP="0009257B">
      <w:pPr>
        <w:rPr>
          <w:i/>
          <w:noProof/>
        </w:rPr>
      </w:pPr>
    </w:p>
    <w:p w:rsidR="0009257B" w:rsidRDefault="0009257B" w:rsidP="0009257B">
      <w:pPr>
        <w:ind w:left="709" w:firstLine="11"/>
        <w:rPr>
          <w:noProof/>
        </w:rPr>
      </w:pPr>
      <w:r>
        <w:rPr>
          <w:i/>
          <w:noProof/>
        </w:rPr>
        <w:t>(Only in case of assigned revenues, under the condition that the budget line is already known):</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09257B" w:rsidTr="00B70FA0">
        <w:trPr>
          <w:cantSplit/>
        </w:trPr>
        <w:tc>
          <w:tcPr>
            <w:tcW w:w="1129" w:type="pct"/>
          </w:tcPr>
          <w:p w:rsidR="0009257B" w:rsidRDefault="0009257B" w:rsidP="00B70FA0">
            <w:pPr>
              <w:rPr>
                <w:noProof/>
              </w:rPr>
            </w:pPr>
            <w:r>
              <w:rPr>
                <w:noProof/>
                <w:sz w:val="22"/>
              </w:rPr>
              <w:t>Expenditure line</w:t>
            </w:r>
            <w:r>
              <w:rPr>
                <w:rStyle w:val="FootnoteReference"/>
                <w:noProof/>
                <w:sz w:val="22"/>
              </w:rPr>
              <w:footnoteReference w:id="3"/>
            </w:r>
          </w:p>
        </w:tc>
        <w:tc>
          <w:tcPr>
            <w:tcW w:w="2009" w:type="pct"/>
          </w:tcPr>
          <w:p w:rsidR="0009257B" w:rsidRDefault="0009257B" w:rsidP="00B70FA0">
            <w:pPr>
              <w:jc w:val="center"/>
              <w:rPr>
                <w:noProof/>
              </w:rPr>
            </w:pPr>
            <w:r>
              <w:rPr>
                <w:noProof/>
                <w:sz w:val="22"/>
              </w:rPr>
              <w:t>Year N</w:t>
            </w:r>
          </w:p>
        </w:tc>
        <w:tc>
          <w:tcPr>
            <w:tcW w:w="1863" w:type="pct"/>
          </w:tcPr>
          <w:p w:rsidR="0009257B" w:rsidRDefault="0009257B" w:rsidP="00B70FA0">
            <w:pPr>
              <w:jc w:val="center"/>
              <w:rPr>
                <w:noProof/>
              </w:rPr>
            </w:pPr>
            <w:r>
              <w:rPr>
                <w:noProof/>
                <w:snapToGrid w:val="0"/>
                <w:sz w:val="22"/>
              </w:rPr>
              <w:t>Year N+1</w:t>
            </w:r>
          </w:p>
        </w:tc>
      </w:tr>
      <w:tr w:rsidR="0009257B" w:rsidTr="00B70FA0">
        <w:trPr>
          <w:cantSplit/>
        </w:trPr>
        <w:tc>
          <w:tcPr>
            <w:tcW w:w="1129" w:type="pct"/>
          </w:tcPr>
          <w:p w:rsidR="0009257B" w:rsidRPr="00467DDC" w:rsidRDefault="0009257B" w:rsidP="00B70FA0">
            <w:pPr>
              <w:rPr>
                <w:noProof/>
                <w:sz w:val="20"/>
                <w:szCs w:val="20"/>
              </w:rPr>
            </w:pPr>
            <w:r w:rsidRPr="00467DDC">
              <w:rPr>
                <w:noProof/>
                <w:sz w:val="20"/>
                <w:szCs w:val="20"/>
              </w:rPr>
              <w:t>Chapter/Article/Item</w:t>
            </w:r>
            <w:r>
              <w:rPr>
                <w:noProof/>
                <w:sz w:val="20"/>
                <w:szCs w:val="20"/>
              </w:rPr>
              <w:t xml:space="preserve"> …</w:t>
            </w:r>
          </w:p>
        </w:tc>
        <w:tc>
          <w:tcPr>
            <w:tcW w:w="2009" w:type="pct"/>
          </w:tcPr>
          <w:p w:rsidR="0009257B" w:rsidRDefault="0009257B" w:rsidP="00B70FA0">
            <w:pPr>
              <w:jc w:val="center"/>
              <w:rPr>
                <w:noProof/>
              </w:rPr>
            </w:pPr>
          </w:p>
        </w:tc>
        <w:tc>
          <w:tcPr>
            <w:tcW w:w="1863" w:type="pct"/>
          </w:tcPr>
          <w:p w:rsidR="0009257B" w:rsidRDefault="0009257B" w:rsidP="00B70FA0">
            <w:pPr>
              <w:jc w:val="center"/>
              <w:rPr>
                <w:noProof/>
              </w:rPr>
            </w:pPr>
          </w:p>
        </w:tc>
      </w:tr>
      <w:tr w:rsidR="0009257B" w:rsidTr="00B70FA0">
        <w:trPr>
          <w:cantSplit/>
        </w:trPr>
        <w:tc>
          <w:tcPr>
            <w:tcW w:w="1129" w:type="pct"/>
          </w:tcPr>
          <w:p w:rsidR="0009257B" w:rsidRPr="004A2D32" w:rsidRDefault="0009257B" w:rsidP="00B70FA0">
            <w:pPr>
              <w:rPr>
                <w:noProof/>
                <w:sz w:val="20"/>
                <w:szCs w:val="20"/>
              </w:rPr>
            </w:pPr>
            <w:r w:rsidRPr="00467DDC">
              <w:rPr>
                <w:noProof/>
                <w:sz w:val="20"/>
                <w:szCs w:val="20"/>
              </w:rPr>
              <w:t>Chapter/Article/Item</w:t>
            </w:r>
            <w:r>
              <w:rPr>
                <w:noProof/>
                <w:sz w:val="20"/>
                <w:szCs w:val="20"/>
              </w:rPr>
              <w:t xml:space="preserve"> …</w:t>
            </w:r>
          </w:p>
        </w:tc>
        <w:tc>
          <w:tcPr>
            <w:tcW w:w="2009" w:type="pct"/>
          </w:tcPr>
          <w:p w:rsidR="0009257B" w:rsidRDefault="0009257B" w:rsidP="00B70FA0">
            <w:pPr>
              <w:jc w:val="center"/>
              <w:rPr>
                <w:noProof/>
              </w:rPr>
            </w:pPr>
          </w:p>
        </w:tc>
        <w:tc>
          <w:tcPr>
            <w:tcW w:w="1863" w:type="pct"/>
          </w:tcPr>
          <w:p w:rsidR="0009257B" w:rsidRDefault="0009257B" w:rsidP="00B70FA0">
            <w:pPr>
              <w:jc w:val="center"/>
              <w:rPr>
                <w:noProof/>
              </w:rPr>
            </w:pPr>
          </w:p>
        </w:tc>
      </w:tr>
    </w:tbl>
    <w:p w:rsidR="0009257B" w:rsidRDefault="0009257B" w:rsidP="0009257B">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6D2B84" w:rsidRPr="006D2B84" w:rsidTr="00B70FA0">
        <w:trPr>
          <w:cantSplit/>
        </w:trPr>
        <w:tc>
          <w:tcPr>
            <w:tcW w:w="1790" w:type="dxa"/>
          </w:tcPr>
          <w:p w:rsidR="0009257B" w:rsidRPr="006D2B84" w:rsidRDefault="0009257B" w:rsidP="00B70FA0">
            <w:pPr>
              <w:jc w:val="center"/>
              <w:rPr>
                <w:noProof/>
                <w:sz w:val="18"/>
              </w:rPr>
            </w:pPr>
            <w:r w:rsidRPr="006D2B84">
              <w:rPr>
                <w:noProof/>
                <w:sz w:val="22"/>
              </w:rPr>
              <w:t>Expenditure line</w:t>
            </w:r>
          </w:p>
        </w:tc>
        <w:tc>
          <w:tcPr>
            <w:tcW w:w="1440" w:type="dxa"/>
          </w:tcPr>
          <w:p w:rsidR="0009257B" w:rsidRPr="006D2B84" w:rsidRDefault="0009257B" w:rsidP="00B70FA0">
            <w:pPr>
              <w:jc w:val="center"/>
              <w:rPr>
                <w:noProof/>
              </w:rPr>
            </w:pPr>
            <w:r w:rsidRPr="00E97FC6">
              <w:rPr>
                <w:noProof/>
                <w:sz w:val="18"/>
              </w:rPr>
              <w:t>[N+2]</w:t>
            </w:r>
          </w:p>
        </w:tc>
        <w:tc>
          <w:tcPr>
            <w:tcW w:w="1260" w:type="dxa"/>
          </w:tcPr>
          <w:p w:rsidR="0009257B" w:rsidRPr="006D2B84" w:rsidRDefault="0009257B" w:rsidP="00B70FA0">
            <w:pPr>
              <w:jc w:val="center"/>
              <w:rPr>
                <w:noProof/>
              </w:rPr>
            </w:pPr>
            <w:r w:rsidRPr="00E97FC6">
              <w:rPr>
                <w:noProof/>
                <w:sz w:val="18"/>
              </w:rPr>
              <w:t>[N+3]</w:t>
            </w:r>
          </w:p>
        </w:tc>
        <w:tc>
          <w:tcPr>
            <w:tcW w:w="1440" w:type="dxa"/>
          </w:tcPr>
          <w:p w:rsidR="0009257B" w:rsidRPr="006D2B84" w:rsidRDefault="0009257B" w:rsidP="00B70FA0">
            <w:pPr>
              <w:jc w:val="center"/>
              <w:rPr>
                <w:noProof/>
              </w:rPr>
            </w:pPr>
            <w:r w:rsidRPr="00E97FC6">
              <w:rPr>
                <w:noProof/>
                <w:sz w:val="18"/>
              </w:rPr>
              <w:t>[N+4]</w:t>
            </w:r>
          </w:p>
        </w:tc>
        <w:tc>
          <w:tcPr>
            <w:tcW w:w="1440" w:type="dxa"/>
          </w:tcPr>
          <w:p w:rsidR="0009257B" w:rsidRPr="006D2B84" w:rsidRDefault="0009257B" w:rsidP="00B70FA0">
            <w:pPr>
              <w:jc w:val="center"/>
              <w:rPr>
                <w:noProof/>
              </w:rPr>
            </w:pPr>
            <w:r w:rsidRPr="00E97FC6">
              <w:rPr>
                <w:noProof/>
                <w:sz w:val="18"/>
              </w:rPr>
              <w:t>[N+5]</w:t>
            </w:r>
          </w:p>
        </w:tc>
      </w:tr>
      <w:tr w:rsidR="0009257B" w:rsidTr="00B70FA0">
        <w:trPr>
          <w:cantSplit/>
        </w:trPr>
        <w:tc>
          <w:tcPr>
            <w:tcW w:w="1790" w:type="dxa"/>
          </w:tcPr>
          <w:p w:rsidR="0009257B" w:rsidRPr="00467DDC" w:rsidRDefault="0009257B" w:rsidP="00B70FA0">
            <w:pPr>
              <w:rPr>
                <w:noProof/>
                <w:sz w:val="20"/>
                <w:szCs w:val="20"/>
              </w:rPr>
            </w:pPr>
            <w:r w:rsidRPr="00467DDC">
              <w:rPr>
                <w:noProof/>
                <w:sz w:val="20"/>
                <w:szCs w:val="20"/>
              </w:rPr>
              <w:t>Chapter/Article/Item</w:t>
            </w:r>
            <w:r>
              <w:rPr>
                <w:noProof/>
                <w:sz w:val="20"/>
                <w:szCs w:val="20"/>
              </w:rPr>
              <w:t xml:space="preserve"> …</w:t>
            </w:r>
          </w:p>
        </w:tc>
        <w:tc>
          <w:tcPr>
            <w:tcW w:w="1440" w:type="dxa"/>
          </w:tcPr>
          <w:p w:rsidR="0009257B" w:rsidRDefault="0009257B" w:rsidP="00B70FA0">
            <w:pPr>
              <w:jc w:val="center"/>
              <w:rPr>
                <w:noProof/>
              </w:rPr>
            </w:pPr>
          </w:p>
        </w:tc>
        <w:tc>
          <w:tcPr>
            <w:tcW w:w="1260" w:type="dxa"/>
          </w:tcPr>
          <w:p w:rsidR="0009257B" w:rsidRDefault="0009257B" w:rsidP="00B70FA0">
            <w:pPr>
              <w:jc w:val="center"/>
              <w:rPr>
                <w:noProof/>
              </w:rPr>
            </w:pPr>
          </w:p>
        </w:tc>
        <w:tc>
          <w:tcPr>
            <w:tcW w:w="1440" w:type="dxa"/>
          </w:tcPr>
          <w:p w:rsidR="0009257B" w:rsidRDefault="0009257B" w:rsidP="00B70FA0">
            <w:pPr>
              <w:jc w:val="center"/>
              <w:rPr>
                <w:noProof/>
              </w:rPr>
            </w:pPr>
          </w:p>
        </w:tc>
        <w:tc>
          <w:tcPr>
            <w:tcW w:w="1440" w:type="dxa"/>
          </w:tcPr>
          <w:p w:rsidR="0009257B" w:rsidRDefault="0009257B" w:rsidP="00B70FA0">
            <w:pPr>
              <w:jc w:val="center"/>
              <w:rPr>
                <w:noProof/>
              </w:rPr>
            </w:pPr>
          </w:p>
        </w:tc>
      </w:tr>
      <w:tr w:rsidR="0009257B" w:rsidTr="00B70FA0">
        <w:trPr>
          <w:cantSplit/>
        </w:trPr>
        <w:tc>
          <w:tcPr>
            <w:tcW w:w="1790" w:type="dxa"/>
          </w:tcPr>
          <w:p w:rsidR="0009257B" w:rsidRPr="004A2D32" w:rsidRDefault="0009257B" w:rsidP="00B70FA0">
            <w:pPr>
              <w:rPr>
                <w:noProof/>
                <w:sz w:val="20"/>
                <w:szCs w:val="20"/>
              </w:rPr>
            </w:pPr>
            <w:r w:rsidRPr="008A3955">
              <w:rPr>
                <w:noProof/>
                <w:sz w:val="20"/>
                <w:szCs w:val="20"/>
              </w:rPr>
              <w:t>Chapter/Article/Item</w:t>
            </w:r>
            <w:r>
              <w:rPr>
                <w:noProof/>
                <w:sz w:val="20"/>
                <w:szCs w:val="20"/>
              </w:rPr>
              <w:t xml:space="preserve"> …</w:t>
            </w:r>
          </w:p>
        </w:tc>
        <w:tc>
          <w:tcPr>
            <w:tcW w:w="1440" w:type="dxa"/>
          </w:tcPr>
          <w:p w:rsidR="0009257B" w:rsidRDefault="0009257B" w:rsidP="00B70FA0">
            <w:pPr>
              <w:jc w:val="center"/>
              <w:rPr>
                <w:noProof/>
              </w:rPr>
            </w:pPr>
          </w:p>
        </w:tc>
        <w:tc>
          <w:tcPr>
            <w:tcW w:w="1260" w:type="dxa"/>
          </w:tcPr>
          <w:p w:rsidR="0009257B" w:rsidRDefault="0009257B" w:rsidP="00B70FA0">
            <w:pPr>
              <w:jc w:val="center"/>
              <w:rPr>
                <w:noProof/>
              </w:rPr>
            </w:pPr>
          </w:p>
        </w:tc>
        <w:tc>
          <w:tcPr>
            <w:tcW w:w="1440" w:type="dxa"/>
          </w:tcPr>
          <w:p w:rsidR="0009257B" w:rsidRDefault="0009257B" w:rsidP="00B70FA0">
            <w:pPr>
              <w:jc w:val="center"/>
              <w:rPr>
                <w:noProof/>
              </w:rPr>
            </w:pPr>
          </w:p>
        </w:tc>
        <w:tc>
          <w:tcPr>
            <w:tcW w:w="1440" w:type="dxa"/>
          </w:tcPr>
          <w:p w:rsidR="0009257B" w:rsidRDefault="0009257B" w:rsidP="00B70FA0">
            <w:pPr>
              <w:jc w:val="center"/>
              <w:rPr>
                <w:noProof/>
              </w:rPr>
            </w:pPr>
          </w:p>
        </w:tc>
      </w:tr>
    </w:tbl>
    <w:p w:rsidR="0009257B" w:rsidRDefault="0009257B" w:rsidP="0009257B">
      <w:pPr>
        <w:pStyle w:val="Text1"/>
        <w:rPr>
          <w:noProof/>
        </w:rPr>
      </w:pPr>
    </w:p>
    <w:p w:rsidR="0009257B" w:rsidRDefault="0009257B" w:rsidP="0009257B">
      <w:pPr>
        <w:pStyle w:val="ManualHeading1"/>
        <w:rPr>
          <w:bCs/>
          <w:noProof/>
        </w:rPr>
      </w:pPr>
      <w:r w:rsidRPr="000001F1">
        <w:rPr>
          <w:noProof/>
        </w:rPr>
        <w:t>4.</w:t>
      </w:r>
      <w:r w:rsidRPr="000001F1">
        <w:rPr>
          <w:noProof/>
        </w:rPr>
        <w:tab/>
      </w:r>
      <w:r>
        <w:rPr>
          <w:noProof/>
        </w:rPr>
        <w:t>ANTI-FRAUD MEASURES</w:t>
      </w:r>
    </w:p>
    <w:p w:rsidR="0009257B" w:rsidRDefault="0009257B" w:rsidP="0009257B">
      <w:pPr>
        <w:pStyle w:val="ManualHeading1"/>
        <w:rPr>
          <w:bCs/>
          <w:noProof/>
        </w:rPr>
      </w:pPr>
      <w:r w:rsidRPr="000001F1">
        <w:rPr>
          <w:noProof/>
        </w:rPr>
        <w:t>5.</w:t>
      </w:r>
      <w:r w:rsidRPr="000001F1">
        <w:rPr>
          <w:noProof/>
        </w:rPr>
        <w:tab/>
      </w:r>
      <w:r>
        <w:rPr>
          <w:noProof/>
        </w:rPr>
        <w:t>OTHER REMARKS</w:t>
      </w:r>
    </w:p>
    <w:p w:rsidR="00E97FC6" w:rsidRDefault="00E97FC6" w:rsidP="00DA784F">
      <w:pPr>
        <w:rPr>
          <w:noProof/>
        </w:rPr>
      </w:pPr>
      <w:r w:rsidRPr="006957F1">
        <w:rPr>
          <w:noProof/>
        </w:rPr>
        <w:t>The propos</w:t>
      </w:r>
      <w:r w:rsidR="00C25EC6">
        <w:rPr>
          <w:noProof/>
        </w:rPr>
        <w:t xml:space="preserve">al </w:t>
      </w:r>
      <w:r w:rsidRPr="006957F1">
        <w:rPr>
          <w:noProof/>
        </w:rPr>
        <w:t xml:space="preserve">does not incur additional costs </w:t>
      </w:r>
      <w:r>
        <w:rPr>
          <w:noProof/>
        </w:rPr>
        <w:t xml:space="preserve">(expenditure) </w:t>
      </w:r>
      <w:r w:rsidRPr="006957F1">
        <w:rPr>
          <w:noProof/>
        </w:rPr>
        <w:t xml:space="preserve">in the EU budget. </w:t>
      </w:r>
    </w:p>
    <w:p w:rsidR="00E97FC6" w:rsidRDefault="00E97FC6" w:rsidP="00DA784F">
      <w:pPr>
        <w:rPr>
          <w:noProof/>
        </w:rPr>
      </w:pPr>
      <w:r w:rsidRPr="00753DE9">
        <w:rPr>
          <w:noProof/>
        </w:rPr>
        <w:t>The CEPA will have a financial impact on the EU’s budget on the side of the revenues. It is</w:t>
      </w:r>
      <w:r>
        <w:rPr>
          <w:noProof/>
        </w:rPr>
        <w:t xml:space="preserve"> </w:t>
      </w:r>
      <w:r w:rsidRPr="00753DE9">
        <w:rPr>
          <w:noProof/>
        </w:rPr>
        <w:t xml:space="preserve">estimated that foregone duties could reach an amount of between EUR 630 </w:t>
      </w:r>
      <w:r>
        <w:rPr>
          <w:noProof/>
        </w:rPr>
        <w:t xml:space="preserve">million </w:t>
      </w:r>
      <w:r w:rsidRPr="00753DE9">
        <w:rPr>
          <w:noProof/>
        </w:rPr>
        <w:t>and EUR 700 million a year upon full implementation of the CEPA. The estimate is based on average imports projected for 204</w:t>
      </w:r>
      <w:r w:rsidR="00346DD7">
        <w:rPr>
          <w:noProof/>
        </w:rPr>
        <w:t>2</w:t>
      </w:r>
      <w:r w:rsidRPr="00753DE9">
        <w:rPr>
          <w:noProof/>
        </w:rPr>
        <w:t xml:space="preserve"> in the absence of an FTA.</w:t>
      </w:r>
    </w:p>
    <w:p w:rsidR="0009257B" w:rsidRPr="0009257B" w:rsidRDefault="00E97FC6" w:rsidP="00DA784F">
      <w:pPr>
        <w:rPr>
          <w:noProof/>
        </w:rPr>
      </w:pPr>
      <w:r w:rsidRPr="00280AC5">
        <w:rPr>
          <w:noProof/>
        </w:rPr>
        <w:t>Indirect positive impacts are expected in terms of increases in resources linked to value added tax and gross national income.</w:t>
      </w:r>
    </w:p>
    <w:sectPr w:rsidR="0009257B" w:rsidRPr="0009257B" w:rsidSect="00A9447B">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2C4" w:rsidRDefault="009652C4" w:rsidP="00896269">
      <w:pPr>
        <w:spacing w:before="0" w:after="0"/>
      </w:pPr>
      <w:r>
        <w:separator/>
      </w:r>
    </w:p>
  </w:endnote>
  <w:endnote w:type="continuationSeparator" w:id="0">
    <w:p w:rsidR="009652C4" w:rsidRDefault="009652C4"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7B" w:rsidRPr="00A9447B" w:rsidRDefault="00A9447B" w:rsidP="00A9447B">
    <w:pPr>
      <w:pStyle w:val="Footer"/>
      <w:rPr>
        <w:rFonts w:ascii="Arial" w:hAnsi="Arial" w:cs="Arial"/>
        <w:b/>
        <w:sz w:val="48"/>
      </w:rPr>
    </w:pPr>
    <w:r w:rsidRPr="00A9447B">
      <w:rPr>
        <w:rFonts w:ascii="Arial" w:hAnsi="Arial" w:cs="Arial"/>
        <w:b/>
        <w:sz w:val="48"/>
      </w:rPr>
      <w:t>EN</w:t>
    </w:r>
    <w:r w:rsidRPr="00A9447B">
      <w:rPr>
        <w:rFonts w:ascii="Arial" w:hAnsi="Arial" w:cs="Arial"/>
        <w:b/>
        <w:sz w:val="48"/>
      </w:rPr>
      <w:tab/>
    </w:r>
    <w:r w:rsidRPr="00A9447B">
      <w:rPr>
        <w:rFonts w:ascii="Arial" w:hAnsi="Arial" w:cs="Arial"/>
        <w:b/>
        <w:sz w:val="48"/>
      </w:rPr>
      <w:tab/>
    </w:r>
    <w:r w:rsidRPr="00A9447B">
      <w:tab/>
    </w:r>
    <w:r w:rsidRPr="00A9447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7B" w:rsidRPr="00A9447B" w:rsidRDefault="00A9447B" w:rsidP="00A9447B">
    <w:pPr>
      <w:pStyle w:val="Footer"/>
      <w:rPr>
        <w:rFonts w:ascii="Arial" w:hAnsi="Arial" w:cs="Arial"/>
        <w:b/>
        <w:sz w:val="48"/>
      </w:rPr>
    </w:pPr>
    <w:r w:rsidRPr="00A9447B">
      <w:rPr>
        <w:rFonts w:ascii="Arial" w:hAnsi="Arial" w:cs="Arial"/>
        <w:b/>
        <w:sz w:val="48"/>
      </w:rPr>
      <w:t>EN</w:t>
    </w:r>
    <w:r w:rsidRPr="00A9447B">
      <w:rPr>
        <w:rFonts w:ascii="Arial" w:hAnsi="Arial" w:cs="Arial"/>
        <w:b/>
        <w:sz w:val="48"/>
      </w:rPr>
      <w:tab/>
    </w:r>
    <w:r w:rsidRPr="00A9447B">
      <w:rPr>
        <w:rFonts w:ascii="Arial" w:hAnsi="Arial" w:cs="Arial"/>
        <w:b/>
        <w:sz w:val="48"/>
      </w:rPr>
      <w:tab/>
    </w:r>
    <w:r w:rsidRPr="00A9447B">
      <w:tab/>
    </w:r>
    <w:r w:rsidRPr="00A9447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7B" w:rsidRDefault="00A944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7B" w:rsidRPr="00A9447B" w:rsidRDefault="00A9447B" w:rsidP="00A9447B">
    <w:pPr>
      <w:pStyle w:val="Footer"/>
      <w:rPr>
        <w:rFonts w:ascii="Arial" w:hAnsi="Arial" w:cs="Arial"/>
        <w:b/>
        <w:sz w:val="48"/>
      </w:rPr>
    </w:pPr>
    <w:r w:rsidRPr="00A9447B">
      <w:rPr>
        <w:rFonts w:ascii="Arial" w:hAnsi="Arial" w:cs="Arial"/>
        <w:b/>
        <w:sz w:val="48"/>
      </w:rPr>
      <w:t>EN</w:t>
    </w:r>
    <w:r w:rsidRPr="00A9447B">
      <w:rPr>
        <w:rFonts w:ascii="Arial" w:hAnsi="Arial" w:cs="Arial"/>
        <w:b/>
        <w:sz w:val="48"/>
      </w:rPr>
      <w:tab/>
    </w:r>
    <w:r>
      <w:fldChar w:fldCharType="begin"/>
    </w:r>
    <w:r>
      <w:instrText xml:space="preserve"> PAGE  \* MERGEFORMAT </w:instrText>
    </w:r>
    <w:r>
      <w:fldChar w:fldCharType="separate"/>
    </w:r>
    <w:r w:rsidR="000E0D8A">
      <w:rPr>
        <w:noProof/>
      </w:rPr>
      <w:t>10</w:t>
    </w:r>
    <w:r>
      <w:fldChar w:fldCharType="end"/>
    </w:r>
    <w:r>
      <w:tab/>
    </w:r>
    <w:r w:rsidRPr="00A9447B">
      <w:tab/>
    </w:r>
    <w:r w:rsidRPr="00A9447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7B" w:rsidRDefault="00A9447B" w:rsidP="00A94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2C4" w:rsidRDefault="009652C4" w:rsidP="00896269">
      <w:pPr>
        <w:spacing w:before="0" w:after="0"/>
      </w:pPr>
      <w:r>
        <w:separator/>
      </w:r>
    </w:p>
  </w:footnote>
  <w:footnote w:type="continuationSeparator" w:id="0">
    <w:p w:rsidR="009652C4" w:rsidRDefault="009652C4" w:rsidP="00896269">
      <w:pPr>
        <w:spacing w:before="0" w:after="0"/>
      </w:pPr>
      <w:r>
        <w:continuationSeparator/>
      </w:r>
    </w:p>
  </w:footnote>
  <w:footnote w:id="1">
    <w:p w:rsidR="0009257B" w:rsidRDefault="0009257B" w:rsidP="0009257B">
      <w:pPr>
        <w:pStyle w:val="FootnoteText"/>
      </w:pPr>
      <w:r>
        <w:rPr>
          <w:rStyle w:val="FootnoteReference"/>
        </w:rPr>
        <w:footnoteRef/>
      </w:r>
      <w:r>
        <w:tab/>
      </w:r>
      <w:r w:rsidRPr="00467DDC">
        <w:t>The amounts per year need to be an estimation based on the formula</w:t>
      </w:r>
      <w:r>
        <w:t xml:space="preserve"> or method</w:t>
      </w:r>
      <w:r w:rsidRPr="00467DDC">
        <w:t xml:space="preserve"> defined under section 5</w:t>
      </w:r>
      <w:r>
        <w:t xml:space="preserve">. </w:t>
      </w:r>
      <w:r w:rsidRPr="00467DDC">
        <w:t>For the starting year, the yearly amount is normally paid without a reduction or prorata.</w:t>
      </w:r>
    </w:p>
  </w:footnote>
  <w:footnote w:id="2">
    <w:p w:rsidR="0009257B" w:rsidRPr="007B497E" w:rsidRDefault="0009257B" w:rsidP="0009257B">
      <w:pPr>
        <w:pStyle w:val="FootnoteText"/>
      </w:pPr>
      <w:r>
        <w:rPr>
          <w:rStyle w:val="FootnoteReference"/>
        </w:rPr>
        <w:footnoteRef/>
      </w:r>
      <w:r>
        <w:tab/>
      </w:r>
      <w:r w:rsidR="00A86F54" w:rsidRPr="00A86F54">
        <w:t>The indicated amounts are customs duties (gross amounts). As regards the corresponding traditional own resources due to the EU budget, the collection costs need to be deducted (25 % retained by Member States until 2027 included, and of 10% afterwards, as proposed in COM(2025)574)</w:t>
      </w:r>
      <w:r w:rsidR="00D35F96" w:rsidRPr="00D35F96">
        <w:t>)</w:t>
      </w:r>
      <w:r>
        <w:t>.</w:t>
      </w:r>
    </w:p>
  </w:footnote>
  <w:footnote w:id="3">
    <w:p w:rsidR="0009257B" w:rsidRDefault="0009257B" w:rsidP="0009257B">
      <w:pPr>
        <w:pStyle w:val="FootnoteText"/>
      </w:pPr>
      <w:r>
        <w:rPr>
          <w:rStyle w:val="FootnoteReference"/>
        </w:rPr>
        <w:footnoteRef/>
      </w:r>
      <w:r>
        <w:tab/>
      </w:r>
      <w:r w:rsidRPr="00E75C59">
        <w:t>To be used only if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7B" w:rsidRDefault="00A94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7B" w:rsidRDefault="00A94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2E44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03A3D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AA3F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05A33A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30"/>
    <w:lvlOverride w:ilvl="0">
      <w:startOverride w:val="1"/>
    </w:lvlOverride>
  </w:num>
  <w:num w:numId="6">
    <w:abstractNumId w:val="16"/>
    <w:lvlOverride w:ilvl="0">
      <w:startOverride w:val="1"/>
    </w:lvlOverride>
  </w:num>
  <w:num w:numId="7">
    <w:abstractNumId w:val="4"/>
  </w:num>
  <w:num w:numId="8">
    <w:abstractNumId w:val="12"/>
  </w:num>
  <w:num w:numId="9">
    <w:abstractNumId w:val="21"/>
  </w:num>
  <w:num w:numId="10">
    <w:abstractNumId w:val="20"/>
  </w:num>
  <w:num w:numId="11">
    <w:abstractNumId w:val="29"/>
  </w:num>
  <w:num w:numId="12">
    <w:abstractNumId w:val="5"/>
  </w:num>
  <w:num w:numId="13">
    <w:abstractNumId w:val="14"/>
  </w:num>
  <w:num w:numId="14">
    <w:abstractNumId w:val="6"/>
  </w:num>
  <w:num w:numId="15">
    <w:abstractNumId w:val="15"/>
  </w:num>
  <w:num w:numId="16">
    <w:abstractNumId w:val="13"/>
  </w:num>
  <w:num w:numId="17">
    <w:abstractNumId w:val="22"/>
  </w:num>
  <w:num w:numId="18">
    <w:abstractNumId w:val="11"/>
  </w:num>
  <w:num w:numId="19">
    <w:abstractNumId w:val="26"/>
  </w:num>
  <w:num w:numId="20">
    <w:abstractNumId w:val="16"/>
  </w:num>
  <w:num w:numId="21">
    <w:abstractNumId w:val="28"/>
  </w:num>
  <w:num w:numId="22">
    <w:abstractNumId w:val="10"/>
  </w:num>
  <w:num w:numId="23">
    <w:abstractNumId w:val="17"/>
  </w:num>
  <w:num w:numId="24">
    <w:abstractNumId w:val="18"/>
  </w:num>
  <w:num w:numId="25">
    <w:abstractNumId w:val="8"/>
  </w:num>
  <w:num w:numId="26">
    <w:abstractNumId w:val="27"/>
  </w:num>
  <w:num w:numId="27">
    <w:abstractNumId w:val="7"/>
  </w:num>
  <w:num w:numId="28">
    <w:abstractNumId w:val="19"/>
  </w:num>
  <w:num w:numId="29">
    <w:abstractNumId w:val="24"/>
  </w:num>
  <w:num w:numId="30">
    <w:abstractNumId w:val="25"/>
  </w:num>
  <w:num w:numId="31">
    <w:abstractNumId w:val="9"/>
  </w:num>
  <w:num w:numId="32">
    <w:abstractNumId w:val="23"/>
  </w:num>
  <w:num w:numId="33">
    <w:abstractNumId w:val="30"/>
  </w:num>
  <w:num w:numId="34">
    <w:abstractNumId w:val="26"/>
  </w:num>
  <w:num w:numId="35">
    <w:abstractNumId w:val="16"/>
  </w:num>
  <w:num w:numId="36">
    <w:abstractNumId w:val="28"/>
  </w:num>
  <w:num w:numId="37">
    <w:abstractNumId w:val="10"/>
  </w:num>
  <w:num w:numId="38">
    <w:abstractNumId w:val="17"/>
  </w:num>
  <w:num w:numId="39">
    <w:abstractNumId w:val="18"/>
  </w:num>
  <w:num w:numId="40">
    <w:abstractNumId w:val="8"/>
  </w:num>
  <w:num w:numId="41">
    <w:abstractNumId w:val="27"/>
  </w:num>
  <w:num w:numId="42">
    <w:abstractNumId w:val="7"/>
  </w:num>
  <w:num w:numId="43">
    <w:abstractNumId w:val="19"/>
  </w:num>
  <w:num w:numId="44">
    <w:abstractNumId w:val="24"/>
  </w:num>
  <w:num w:numId="45">
    <w:abstractNumId w:val="25"/>
  </w:num>
  <w:num w:numId="46">
    <w:abstractNumId w:val="9"/>
  </w:num>
  <w:num w:numId="47">
    <w:abstractNumId w:val="23"/>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5 10:17: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D49F04A-894C-466B-A2CF-3A2124CC21C2"/>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83"/>
    <w:docVar w:name="LW_REF.II.NEW.CP_YEAR" w:val="2026"/>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f the Comprehensive Economic Partnership Agreement between the European Union and Indonesia"/>
    <w:docVar w:name="LW_TYPE.DOC.CP" w:val="COUNCIL DECISION"/>
    <w:docVar w:name="LwApiVersions" w:val="LW4CoDe 1.24.5.0; LW 9.2, Build 20251112"/>
  </w:docVars>
  <w:rsids>
    <w:rsidRoot w:val="00896269"/>
    <w:rsid w:val="00000ECA"/>
    <w:rsid w:val="00003C9B"/>
    <w:rsid w:val="00022022"/>
    <w:rsid w:val="0003102C"/>
    <w:rsid w:val="000333EF"/>
    <w:rsid w:val="00036664"/>
    <w:rsid w:val="00041A3A"/>
    <w:rsid w:val="0006154B"/>
    <w:rsid w:val="000643B5"/>
    <w:rsid w:val="00066693"/>
    <w:rsid w:val="00090EA5"/>
    <w:rsid w:val="0009257B"/>
    <w:rsid w:val="000A0A43"/>
    <w:rsid w:val="000A308B"/>
    <w:rsid w:val="000B0468"/>
    <w:rsid w:val="000D121A"/>
    <w:rsid w:val="000D6275"/>
    <w:rsid w:val="000E0D8A"/>
    <w:rsid w:val="000F01ED"/>
    <w:rsid w:val="000F3A1B"/>
    <w:rsid w:val="001019BD"/>
    <w:rsid w:val="00104704"/>
    <w:rsid w:val="001057FD"/>
    <w:rsid w:val="001065F5"/>
    <w:rsid w:val="001238EF"/>
    <w:rsid w:val="00134283"/>
    <w:rsid w:val="0014503E"/>
    <w:rsid w:val="00147F5D"/>
    <w:rsid w:val="0015728C"/>
    <w:rsid w:val="00157705"/>
    <w:rsid w:val="00163BBD"/>
    <w:rsid w:val="00173345"/>
    <w:rsid w:val="00182031"/>
    <w:rsid w:val="001845AC"/>
    <w:rsid w:val="00184C47"/>
    <w:rsid w:val="00197613"/>
    <w:rsid w:val="001A6169"/>
    <w:rsid w:val="001B379E"/>
    <w:rsid w:val="001B7F4D"/>
    <w:rsid w:val="001C1249"/>
    <w:rsid w:val="001C2683"/>
    <w:rsid w:val="001C365B"/>
    <w:rsid w:val="001D04E6"/>
    <w:rsid w:val="001D4ABC"/>
    <w:rsid w:val="001D6C97"/>
    <w:rsid w:val="001F4946"/>
    <w:rsid w:val="00203055"/>
    <w:rsid w:val="00214775"/>
    <w:rsid w:val="00216E2E"/>
    <w:rsid w:val="0022046A"/>
    <w:rsid w:val="00224A33"/>
    <w:rsid w:val="002257BF"/>
    <w:rsid w:val="00225CA8"/>
    <w:rsid w:val="00233035"/>
    <w:rsid w:val="00233DC7"/>
    <w:rsid w:val="002424F8"/>
    <w:rsid w:val="00247779"/>
    <w:rsid w:val="00255FCB"/>
    <w:rsid w:val="00257888"/>
    <w:rsid w:val="00261E6E"/>
    <w:rsid w:val="0026242E"/>
    <w:rsid w:val="0027298D"/>
    <w:rsid w:val="0027464D"/>
    <w:rsid w:val="0027792D"/>
    <w:rsid w:val="0028357D"/>
    <w:rsid w:val="00285BEE"/>
    <w:rsid w:val="0029361D"/>
    <w:rsid w:val="0029533F"/>
    <w:rsid w:val="002B30AF"/>
    <w:rsid w:val="002B3EB9"/>
    <w:rsid w:val="002B463B"/>
    <w:rsid w:val="002B64F8"/>
    <w:rsid w:val="002B70E7"/>
    <w:rsid w:val="002C4F08"/>
    <w:rsid w:val="002C576C"/>
    <w:rsid w:val="002C7D4D"/>
    <w:rsid w:val="002D3270"/>
    <w:rsid w:val="002D591B"/>
    <w:rsid w:val="002D5F19"/>
    <w:rsid w:val="002E7B3E"/>
    <w:rsid w:val="002F09B8"/>
    <w:rsid w:val="002F17FD"/>
    <w:rsid w:val="002F72D0"/>
    <w:rsid w:val="003011F0"/>
    <w:rsid w:val="003120B0"/>
    <w:rsid w:val="003134BE"/>
    <w:rsid w:val="0033344A"/>
    <w:rsid w:val="0034235F"/>
    <w:rsid w:val="00343E78"/>
    <w:rsid w:val="00346DD7"/>
    <w:rsid w:val="003552AC"/>
    <w:rsid w:val="00355FB1"/>
    <w:rsid w:val="003711D1"/>
    <w:rsid w:val="00390B54"/>
    <w:rsid w:val="00397F66"/>
    <w:rsid w:val="003A2436"/>
    <w:rsid w:val="003A57E6"/>
    <w:rsid w:val="003C1A19"/>
    <w:rsid w:val="003D416B"/>
    <w:rsid w:val="003E4E7D"/>
    <w:rsid w:val="004017DC"/>
    <w:rsid w:val="0042648E"/>
    <w:rsid w:val="00431C56"/>
    <w:rsid w:val="00433B07"/>
    <w:rsid w:val="004348BC"/>
    <w:rsid w:val="0043764A"/>
    <w:rsid w:val="004413E7"/>
    <w:rsid w:val="00457787"/>
    <w:rsid w:val="00466E2B"/>
    <w:rsid w:val="0047229E"/>
    <w:rsid w:val="004936D2"/>
    <w:rsid w:val="00496FEE"/>
    <w:rsid w:val="004C0748"/>
    <w:rsid w:val="004D3077"/>
    <w:rsid w:val="004E5C35"/>
    <w:rsid w:val="004F18A5"/>
    <w:rsid w:val="0050152D"/>
    <w:rsid w:val="0050677C"/>
    <w:rsid w:val="005074DE"/>
    <w:rsid w:val="005116A1"/>
    <w:rsid w:val="00511ED7"/>
    <w:rsid w:val="00536F14"/>
    <w:rsid w:val="005448DD"/>
    <w:rsid w:val="005542CE"/>
    <w:rsid w:val="005603AD"/>
    <w:rsid w:val="00560E01"/>
    <w:rsid w:val="0056268F"/>
    <w:rsid w:val="00584121"/>
    <w:rsid w:val="0059324D"/>
    <w:rsid w:val="005A2BB2"/>
    <w:rsid w:val="005A3F04"/>
    <w:rsid w:val="005B1EB6"/>
    <w:rsid w:val="005B2AFD"/>
    <w:rsid w:val="005C4CD6"/>
    <w:rsid w:val="005C784C"/>
    <w:rsid w:val="005D1F90"/>
    <w:rsid w:val="005D48B8"/>
    <w:rsid w:val="005D4AB7"/>
    <w:rsid w:val="005D61CA"/>
    <w:rsid w:val="005E0F6F"/>
    <w:rsid w:val="005E7013"/>
    <w:rsid w:val="005F63AE"/>
    <w:rsid w:val="005F65B1"/>
    <w:rsid w:val="00600E10"/>
    <w:rsid w:val="006041C8"/>
    <w:rsid w:val="00622E5D"/>
    <w:rsid w:val="0062596C"/>
    <w:rsid w:val="006328B7"/>
    <w:rsid w:val="006740F6"/>
    <w:rsid w:val="00676F74"/>
    <w:rsid w:val="00680658"/>
    <w:rsid w:val="0068620D"/>
    <w:rsid w:val="00696BDF"/>
    <w:rsid w:val="006A1C2E"/>
    <w:rsid w:val="006A4866"/>
    <w:rsid w:val="006A4A92"/>
    <w:rsid w:val="006B2D3E"/>
    <w:rsid w:val="006B3EE1"/>
    <w:rsid w:val="006C2F75"/>
    <w:rsid w:val="006D08FD"/>
    <w:rsid w:val="006D2B84"/>
    <w:rsid w:val="006D7D5F"/>
    <w:rsid w:val="00712424"/>
    <w:rsid w:val="00713D88"/>
    <w:rsid w:val="007144AD"/>
    <w:rsid w:val="00716AE1"/>
    <w:rsid w:val="00727F3E"/>
    <w:rsid w:val="00736170"/>
    <w:rsid w:val="00736412"/>
    <w:rsid w:val="0074231B"/>
    <w:rsid w:val="007428B5"/>
    <w:rsid w:val="0075084A"/>
    <w:rsid w:val="00753DE9"/>
    <w:rsid w:val="0076051D"/>
    <w:rsid w:val="00760FEE"/>
    <w:rsid w:val="007619D1"/>
    <w:rsid w:val="00773331"/>
    <w:rsid w:val="007735D8"/>
    <w:rsid w:val="00774A94"/>
    <w:rsid w:val="00784EEF"/>
    <w:rsid w:val="007932EF"/>
    <w:rsid w:val="007C4199"/>
    <w:rsid w:val="007D102E"/>
    <w:rsid w:val="007E05B0"/>
    <w:rsid w:val="007E2678"/>
    <w:rsid w:val="007E605B"/>
    <w:rsid w:val="007F06AE"/>
    <w:rsid w:val="00802A5F"/>
    <w:rsid w:val="00803842"/>
    <w:rsid w:val="00811A44"/>
    <w:rsid w:val="008175B1"/>
    <w:rsid w:val="0082122B"/>
    <w:rsid w:val="00836B78"/>
    <w:rsid w:val="00836D91"/>
    <w:rsid w:val="00847EFF"/>
    <w:rsid w:val="00852C2B"/>
    <w:rsid w:val="00852F24"/>
    <w:rsid w:val="00853AE0"/>
    <w:rsid w:val="00874D22"/>
    <w:rsid w:val="00890A99"/>
    <w:rsid w:val="00896269"/>
    <w:rsid w:val="00897788"/>
    <w:rsid w:val="008A2914"/>
    <w:rsid w:val="008A66DC"/>
    <w:rsid w:val="008A76BD"/>
    <w:rsid w:val="008C0613"/>
    <w:rsid w:val="008C77FA"/>
    <w:rsid w:val="008D2086"/>
    <w:rsid w:val="008D5A9A"/>
    <w:rsid w:val="008D7989"/>
    <w:rsid w:val="008E0417"/>
    <w:rsid w:val="008E0833"/>
    <w:rsid w:val="008E3B15"/>
    <w:rsid w:val="008E4D8E"/>
    <w:rsid w:val="00906B80"/>
    <w:rsid w:val="00923DE6"/>
    <w:rsid w:val="0093769C"/>
    <w:rsid w:val="009539BB"/>
    <w:rsid w:val="00957C34"/>
    <w:rsid w:val="009606F6"/>
    <w:rsid w:val="009613F9"/>
    <w:rsid w:val="009618F4"/>
    <w:rsid w:val="00963439"/>
    <w:rsid w:val="00963AA6"/>
    <w:rsid w:val="009652C4"/>
    <w:rsid w:val="00970B2F"/>
    <w:rsid w:val="00983AA2"/>
    <w:rsid w:val="00987551"/>
    <w:rsid w:val="009915DE"/>
    <w:rsid w:val="009B3E6B"/>
    <w:rsid w:val="009B74E8"/>
    <w:rsid w:val="009C2845"/>
    <w:rsid w:val="009D1562"/>
    <w:rsid w:val="009D65C5"/>
    <w:rsid w:val="009E0AD3"/>
    <w:rsid w:val="009E497A"/>
    <w:rsid w:val="009F05B5"/>
    <w:rsid w:val="009F1C2B"/>
    <w:rsid w:val="00A0251F"/>
    <w:rsid w:val="00A1740C"/>
    <w:rsid w:val="00A24680"/>
    <w:rsid w:val="00A3032B"/>
    <w:rsid w:val="00A30C4B"/>
    <w:rsid w:val="00A40F3D"/>
    <w:rsid w:val="00A42980"/>
    <w:rsid w:val="00A42B25"/>
    <w:rsid w:val="00A478A4"/>
    <w:rsid w:val="00A54866"/>
    <w:rsid w:val="00A62A86"/>
    <w:rsid w:val="00A62E90"/>
    <w:rsid w:val="00A672AC"/>
    <w:rsid w:val="00A707ED"/>
    <w:rsid w:val="00A83AD7"/>
    <w:rsid w:val="00A86F54"/>
    <w:rsid w:val="00A92E5D"/>
    <w:rsid w:val="00A9447B"/>
    <w:rsid w:val="00AA1F01"/>
    <w:rsid w:val="00AA325D"/>
    <w:rsid w:val="00AA4AAD"/>
    <w:rsid w:val="00AA5242"/>
    <w:rsid w:val="00AB2D19"/>
    <w:rsid w:val="00AB7C45"/>
    <w:rsid w:val="00AC7646"/>
    <w:rsid w:val="00AD39B7"/>
    <w:rsid w:val="00AD4088"/>
    <w:rsid w:val="00AD55B9"/>
    <w:rsid w:val="00AD761A"/>
    <w:rsid w:val="00AE6A77"/>
    <w:rsid w:val="00B031F2"/>
    <w:rsid w:val="00B13ED8"/>
    <w:rsid w:val="00B14303"/>
    <w:rsid w:val="00B21917"/>
    <w:rsid w:val="00B36D83"/>
    <w:rsid w:val="00B620AD"/>
    <w:rsid w:val="00B6586B"/>
    <w:rsid w:val="00B65ACE"/>
    <w:rsid w:val="00B660FC"/>
    <w:rsid w:val="00B67534"/>
    <w:rsid w:val="00B70C64"/>
    <w:rsid w:val="00B821D7"/>
    <w:rsid w:val="00B82A96"/>
    <w:rsid w:val="00B86E04"/>
    <w:rsid w:val="00B92AB7"/>
    <w:rsid w:val="00BB002B"/>
    <w:rsid w:val="00BC1A7B"/>
    <w:rsid w:val="00BD529A"/>
    <w:rsid w:val="00BE2725"/>
    <w:rsid w:val="00BF104C"/>
    <w:rsid w:val="00BF6E60"/>
    <w:rsid w:val="00C07672"/>
    <w:rsid w:val="00C07F65"/>
    <w:rsid w:val="00C1203A"/>
    <w:rsid w:val="00C12301"/>
    <w:rsid w:val="00C12D43"/>
    <w:rsid w:val="00C25EC6"/>
    <w:rsid w:val="00C2656C"/>
    <w:rsid w:val="00C302D6"/>
    <w:rsid w:val="00C33BD1"/>
    <w:rsid w:val="00C34D91"/>
    <w:rsid w:val="00C43894"/>
    <w:rsid w:val="00C52958"/>
    <w:rsid w:val="00C545F8"/>
    <w:rsid w:val="00C54B49"/>
    <w:rsid w:val="00C5577F"/>
    <w:rsid w:val="00C56575"/>
    <w:rsid w:val="00C634FA"/>
    <w:rsid w:val="00C6626F"/>
    <w:rsid w:val="00C8505F"/>
    <w:rsid w:val="00C85CE7"/>
    <w:rsid w:val="00C9297A"/>
    <w:rsid w:val="00C95392"/>
    <w:rsid w:val="00C974EA"/>
    <w:rsid w:val="00CA0CE3"/>
    <w:rsid w:val="00CA10FD"/>
    <w:rsid w:val="00CA3947"/>
    <w:rsid w:val="00CB02E5"/>
    <w:rsid w:val="00CB4FC8"/>
    <w:rsid w:val="00CB6071"/>
    <w:rsid w:val="00CE6A18"/>
    <w:rsid w:val="00D01829"/>
    <w:rsid w:val="00D02C02"/>
    <w:rsid w:val="00D13ED5"/>
    <w:rsid w:val="00D20381"/>
    <w:rsid w:val="00D25A04"/>
    <w:rsid w:val="00D31381"/>
    <w:rsid w:val="00D3421C"/>
    <w:rsid w:val="00D35F96"/>
    <w:rsid w:val="00D3607F"/>
    <w:rsid w:val="00D37718"/>
    <w:rsid w:val="00D4649E"/>
    <w:rsid w:val="00D4674A"/>
    <w:rsid w:val="00D51F91"/>
    <w:rsid w:val="00D52DBD"/>
    <w:rsid w:val="00D6229C"/>
    <w:rsid w:val="00D839AC"/>
    <w:rsid w:val="00D90FC3"/>
    <w:rsid w:val="00D937EF"/>
    <w:rsid w:val="00DA11FD"/>
    <w:rsid w:val="00DA3F9D"/>
    <w:rsid w:val="00DA784F"/>
    <w:rsid w:val="00DB59FF"/>
    <w:rsid w:val="00DB5DAA"/>
    <w:rsid w:val="00DC1EFA"/>
    <w:rsid w:val="00DC5327"/>
    <w:rsid w:val="00DC6E11"/>
    <w:rsid w:val="00DD7CA3"/>
    <w:rsid w:val="00DD7DB4"/>
    <w:rsid w:val="00E07417"/>
    <w:rsid w:val="00E07818"/>
    <w:rsid w:val="00E33F06"/>
    <w:rsid w:val="00E42310"/>
    <w:rsid w:val="00E46F87"/>
    <w:rsid w:val="00E50C5D"/>
    <w:rsid w:val="00E526BF"/>
    <w:rsid w:val="00E61227"/>
    <w:rsid w:val="00E622A6"/>
    <w:rsid w:val="00E63C69"/>
    <w:rsid w:val="00E664ED"/>
    <w:rsid w:val="00E87A95"/>
    <w:rsid w:val="00E9120D"/>
    <w:rsid w:val="00E91351"/>
    <w:rsid w:val="00E95944"/>
    <w:rsid w:val="00E97FC6"/>
    <w:rsid w:val="00EA1B89"/>
    <w:rsid w:val="00EA2120"/>
    <w:rsid w:val="00EA37F1"/>
    <w:rsid w:val="00EA550F"/>
    <w:rsid w:val="00EB20FE"/>
    <w:rsid w:val="00EB2CCC"/>
    <w:rsid w:val="00EB74DD"/>
    <w:rsid w:val="00EC2545"/>
    <w:rsid w:val="00ED3E43"/>
    <w:rsid w:val="00ED46A9"/>
    <w:rsid w:val="00ED4E7E"/>
    <w:rsid w:val="00ED4F2E"/>
    <w:rsid w:val="00EF3A4F"/>
    <w:rsid w:val="00F02FE2"/>
    <w:rsid w:val="00F069E1"/>
    <w:rsid w:val="00F22724"/>
    <w:rsid w:val="00F266E3"/>
    <w:rsid w:val="00F2722F"/>
    <w:rsid w:val="00F352DE"/>
    <w:rsid w:val="00F41480"/>
    <w:rsid w:val="00F664C1"/>
    <w:rsid w:val="00F92F00"/>
    <w:rsid w:val="00F9388D"/>
    <w:rsid w:val="00FB25D3"/>
    <w:rsid w:val="00FC2A32"/>
    <w:rsid w:val="00FC38F8"/>
    <w:rsid w:val="00FD28A8"/>
    <w:rsid w:val="00FD3F5F"/>
    <w:rsid w:val="00FD6CB3"/>
    <w:rsid w:val="00FE6075"/>
    <w:rsid w:val="00FF7366"/>
    <w:rsid w:val="0A59928E"/>
    <w:rsid w:val="1140D60F"/>
    <w:rsid w:val="121665D2"/>
    <w:rsid w:val="13FBF94F"/>
    <w:rsid w:val="1481D82A"/>
    <w:rsid w:val="150662C4"/>
    <w:rsid w:val="18BFC809"/>
    <w:rsid w:val="1F39CD75"/>
    <w:rsid w:val="27217E27"/>
    <w:rsid w:val="2C4A9B68"/>
    <w:rsid w:val="2E836D21"/>
    <w:rsid w:val="310FB342"/>
    <w:rsid w:val="34B28D26"/>
    <w:rsid w:val="35C71540"/>
    <w:rsid w:val="36FD16C8"/>
    <w:rsid w:val="39CB8279"/>
    <w:rsid w:val="3B1E8D8B"/>
    <w:rsid w:val="3C273E85"/>
    <w:rsid w:val="3CACD802"/>
    <w:rsid w:val="3E67DBE6"/>
    <w:rsid w:val="3FC303CD"/>
    <w:rsid w:val="456E6C95"/>
    <w:rsid w:val="498CCA04"/>
    <w:rsid w:val="4B78793C"/>
    <w:rsid w:val="4C0DCBB6"/>
    <w:rsid w:val="4DF52A34"/>
    <w:rsid w:val="51D1310D"/>
    <w:rsid w:val="537B5F74"/>
    <w:rsid w:val="54030CF2"/>
    <w:rsid w:val="55B2F86E"/>
    <w:rsid w:val="5A2D470E"/>
    <w:rsid w:val="5C570C54"/>
    <w:rsid w:val="614E00FE"/>
    <w:rsid w:val="628066F5"/>
    <w:rsid w:val="6721725C"/>
    <w:rsid w:val="6916C256"/>
    <w:rsid w:val="6C7738EC"/>
    <w:rsid w:val="7131EA65"/>
    <w:rsid w:val="759506F6"/>
    <w:rsid w:val="7805BC42"/>
    <w:rsid w:val="7B9B0CF1"/>
    <w:rsid w:val="7CFF12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E1768942-BC1C-4D43-A555-FAEB371B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en-GB"/>
    </w:rPr>
  </w:style>
  <w:style w:type="paragraph" w:styleId="Revision">
    <w:name w:val="Revision"/>
    <w:hidden/>
    <w:uiPriority w:val="99"/>
    <w:semiHidden/>
    <w:rsid w:val="00CB4FC8"/>
    <w:pPr>
      <w:spacing w:after="0" w:line="240" w:lineRule="auto"/>
    </w:pPr>
    <w:rPr>
      <w:rFonts w:ascii="Times New Roman" w:hAnsi="Times New Roman" w:cs="Times New Roman"/>
      <w:sz w:val="24"/>
      <w:lang w:val="en-GB"/>
    </w:rPr>
  </w:style>
  <w:style w:type="paragraph" w:customStyle="1" w:styleId="paragraph">
    <w:name w:val="paragraph"/>
    <w:basedOn w:val="Normal"/>
    <w:rsid w:val="007428B5"/>
    <w:pPr>
      <w:spacing w:before="100" w:beforeAutospacing="1" w:after="100" w:afterAutospacing="1"/>
      <w:jc w:val="left"/>
    </w:pPr>
    <w:rPr>
      <w:rFonts w:eastAsia="Times New Roman"/>
      <w:szCs w:val="24"/>
      <w:lang w:val="en-IE" w:eastAsia="en-IE"/>
    </w:rPr>
  </w:style>
  <w:style w:type="character" w:customStyle="1" w:styleId="normaltextrun">
    <w:name w:val="normaltextrun"/>
    <w:rsid w:val="007428B5"/>
  </w:style>
  <w:style w:type="character" w:customStyle="1" w:styleId="eop">
    <w:name w:val="eop"/>
    <w:rsid w:val="007428B5"/>
  </w:style>
  <w:style w:type="character" w:customStyle="1" w:styleId="UnresolvedMention">
    <w:name w:val="Unresolved Mention"/>
    <w:basedOn w:val="DefaultParagraphFont"/>
    <w:uiPriority w:val="99"/>
    <w:semiHidden/>
    <w:unhideWhenUsed/>
    <w:rsid w:val="00EB74DD"/>
    <w:rPr>
      <w:color w:val="605E5C"/>
      <w:shd w:val="clear" w:color="auto" w:fill="E1DFDD"/>
    </w:rPr>
  </w:style>
  <w:style w:type="paragraph" w:styleId="ListParagraph">
    <w:name w:val="List Paragraph"/>
    <w:basedOn w:val="Normal"/>
    <w:uiPriority w:val="34"/>
    <w:qFormat/>
    <w:rsid w:val="7805BC42"/>
    <w:pPr>
      <w:ind w:left="720"/>
      <w:contextualSpacing/>
    </w:pPr>
  </w:style>
  <w:style w:type="paragraph" w:styleId="NormalWeb">
    <w:name w:val="Normal (Web)"/>
    <w:basedOn w:val="Normal"/>
    <w:uiPriority w:val="99"/>
    <w:semiHidden/>
    <w:unhideWhenUsed/>
    <w:rsid w:val="00F069E1"/>
    <w:rPr>
      <w:szCs w:val="24"/>
    </w:rPr>
  </w:style>
  <w:style w:type="paragraph" w:styleId="ListBullet">
    <w:name w:val="List Bullet"/>
    <w:basedOn w:val="Normal"/>
    <w:unhideWhenUsed/>
    <w:rsid w:val="00B70C64"/>
    <w:pPr>
      <w:numPr>
        <w:numId w:val="1"/>
      </w:numPr>
      <w:contextualSpacing/>
    </w:pPr>
  </w:style>
  <w:style w:type="paragraph" w:styleId="ListBullet2">
    <w:name w:val="List Bullet 2"/>
    <w:basedOn w:val="Normal"/>
    <w:unhideWhenUsed/>
    <w:rsid w:val="00B70C64"/>
    <w:pPr>
      <w:numPr>
        <w:numId w:val="2"/>
      </w:numPr>
      <w:contextualSpacing/>
    </w:pPr>
  </w:style>
  <w:style w:type="paragraph" w:styleId="ListBullet3">
    <w:name w:val="List Bullet 3"/>
    <w:basedOn w:val="Normal"/>
    <w:unhideWhenUsed/>
    <w:rsid w:val="00B70C64"/>
    <w:pPr>
      <w:numPr>
        <w:numId w:val="3"/>
      </w:numPr>
      <w:contextualSpacing/>
    </w:pPr>
  </w:style>
  <w:style w:type="paragraph" w:styleId="ListBullet4">
    <w:name w:val="List Bullet 4"/>
    <w:basedOn w:val="Normal"/>
    <w:unhideWhenUsed/>
    <w:rsid w:val="00B70C64"/>
    <w:pPr>
      <w:numPr>
        <w:numId w:val="4"/>
      </w:numPr>
      <w:contextualSpacing/>
    </w:pPr>
  </w:style>
  <w:style w:type="paragraph" w:styleId="ListNumber">
    <w:name w:val="List Number"/>
    <w:basedOn w:val="Normal"/>
    <w:rsid w:val="0009257B"/>
    <w:pPr>
      <w:numPr>
        <w:numId w:val="11"/>
      </w:numPr>
      <w:tabs>
        <w:tab w:val="clear" w:pos="709"/>
      </w:tabs>
      <w:ind w:left="0" w:firstLine="0"/>
    </w:pPr>
    <w:rPr>
      <w:rFonts w:eastAsia="Times New Roman"/>
      <w:lang w:eastAsia="de-DE"/>
    </w:rPr>
  </w:style>
  <w:style w:type="paragraph" w:customStyle="1" w:styleId="ListBullet1">
    <w:name w:val="List Bullet 1"/>
    <w:basedOn w:val="Normal"/>
    <w:rsid w:val="0009257B"/>
    <w:pPr>
      <w:numPr>
        <w:numId w:val="7"/>
      </w:numPr>
      <w:tabs>
        <w:tab w:val="clear" w:pos="1134"/>
      </w:tabs>
      <w:ind w:left="0" w:firstLine="0"/>
    </w:pPr>
    <w:rPr>
      <w:rFonts w:eastAsia="Times New Roman"/>
      <w:lang w:eastAsia="de-DE"/>
    </w:rPr>
  </w:style>
  <w:style w:type="paragraph" w:customStyle="1" w:styleId="ListDash">
    <w:name w:val="List Dash"/>
    <w:basedOn w:val="Normal"/>
    <w:rsid w:val="0009257B"/>
    <w:pPr>
      <w:numPr>
        <w:numId w:val="8"/>
      </w:numPr>
      <w:tabs>
        <w:tab w:val="clear" w:pos="283"/>
      </w:tabs>
      <w:ind w:left="0" w:firstLine="0"/>
    </w:pPr>
    <w:rPr>
      <w:rFonts w:eastAsia="Times New Roman"/>
      <w:lang w:eastAsia="de-DE"/>
    </w:rPr>
  </w:style>
  <w:style w:type="paragraph" w:customStyle="1" w:styleId="ListDash1">
    <w:name w:val="List Dash 1"/>
    <w:basedOn w:val="Normal"/>
    <w:rsid w:val="0009257B"/>
    <w:pPr>
      <w:numPr>
        <w:numId w:val="9"/>
      </w:numPr>
      <w:tabs>
        <w:tab w:val="clear" w:pos="1134"/>
      </w:tabs>
      <w:ind w:left="0" w:firstLine="0"/>
    </w:pPr>
    <w:rPr>
      <w:rFonts w:eastAsia="Times New Roman"/>
      <w:lang w:eastAsia="de-DE"/>
    </w:rPr>
  </w:style>
  <w:style w:type="paragraph" w:customStyle="1" w:styleId="ListDash2">
    <w:name w:val="List Dash 2"/>
    <w:basedOn w:val="Normal"/>
    <w:rsid w:val="0009257B"/>
    <w:pPr>
      <w:numPr>
        <w:numId w:val="10"/>
      </w:numPr>
      <w:tabs>
        <w:tab w:val="clear" w:pos="1134"/>
      </w:tabs>
      <w:ind w:left="0" w:firstLine="0"/>
    </w:pPr>
    <w:rPr>
      <w:rFonts w:eastAsia="Times New Roman"/>
      <w:lang w:eastAsia="de-DE"/>
    </w:rPr>
  </w:style>
  <w:style w:type="paragraph" w:customStyle="1" w:styleId="ListNumberLevel2">
    <w:name w:val="List Number (Level 2)"/>
    <w:basedOn w:val="Normal"/>
    <w:rsid w:val="0009257B"/>
    <w:pPr>
      <w:numPr>
        <w:ilvl w:val="1"/>
        <w:numId w:val="11"/>
      </w:numPr>
      <w:tabs>
        <w:tab w:val="clear" w:pos="1417"/>
      </w:tabs>
      <w:ind w:left="0" w:firstLine="0"/>
    </w:pPr>
    <w:rPr>
      <w:rFonts w:eastAsia="Times New Roman"/>
      <w:lang w:eastAsia="de-DE"/>
    </w:rPr>
  </w:style>
  <w:style w:type="paragraph" w:customStyle="1" w:styleId="ListNumberLevel3">
    <w:name w:val="List Number (Level 3)"/>
    <w:basedOn w:val="Normal"/>
    <w:rsid w:val="0009257B"/>
    <w:pPr>
      <w:numPr>
        <w:ilvl w:val="2"/>
        <w:numId w:val="11"/>
      </w:numPr>
      <w:tabs>
        <w:tab w:val="clear" w:pos="2126"/>
      </w:tabs>
      <w:ind w:left="0" w:firstLine="0"/>
    </w:pPr>
    <w:rPr>
      <w:rFonts w:eastAsia="Times New Roman"/>
      <w:lang w:eastAsia="de-DE"/>
    </w:rPr>
  </w:style>
  <w:style w:type="paragraph" w:customStyle="1" w:styleId="ListNumberLevel4">
    <w:name w:val="List Number (Level 4)"/>
    <w:basedOn w:val="Normal"/>
    <w:rsid w:val="0009257B"/>
    <w:pPr>
      <w:numPr>
        <w:ilvl w:val="3"/>
        <w:numId w:val="11"/>
      </w:numPr>
      <w:tabs>
        <w:tab w:val="clear" w:pos="2835"/>
      </w:tabs>
      <w:ind w:left="0" w:firstLine="0"/>
    </w:pPr>
    <w:rPr>
      <w:rFonts w:eastAsia="Times New Roman"/>
      <w:lang w:eastAsia="de-DE"/>
    </w:rPr>
  </w:style>
  <w:style w:type="table" w:styleId="TableGrid">
    <w:name w:val="Table Grid"/>
    <w:basedOn w:val="TableNormal"/>
    <w:rsid w:val="0009257B"/>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09257B"/>
    <w:pPr>
      <w:numPr>
        <w:numId w:val="15"/>
      </w:numPr>
      <w:tabs>
        <w:tab w:val="clear" w:pos="1560"/>
      </w:tabs>
      <w:ind w:left="0" w:firstLine="0"/>
    </w:pPr>
    <w:rPr>
      <w:rFonts w:eastAsia="Times New Roman"/>
      <w:lang w:val="fr-FR" w:eastAsia="en-GB"/>
    </w:rPr>
  </w:style>
  <w:style w:type="paragraph" w:styleId="ListNumber3">
    <w:name w:val="List Number 3"/>
    <w:basedOn w:val="Normal"/>
    <w:rsid w:val="0009257B"/>
    <w:pPr>
      <w:numPr>
        <w:numId w:val="16"/>
      </w:numPr>
      <w:tabs>
        <w:tab w:val="clear" w:pos="1560"/>
      </w:tabs>
      <w:ind w:left="0" w:firstLine="0"/>
    </w:pPr>
    <w:rPr>
      <w:rFonts w:eastAsia="Times New Roman"/>
      <w:lang w:val="fr-FR" w:eastAsia="en-GB"/>
    </w:rPr>
  </w:style>
  <w:style w:type="paragraph" w:styleId="ListNumber4">
    <w:name w:val="List Number 4"/>
    <w:basedOn w:val="Normal"/>
    <w:rsid w:val="0009257B"/>
    <w:pPr>
      <w:numPr>
        <w:numId w:val="17"/>
      </w:numPr>
      <w:tabs>
        <w:tab w:val="clear" w:pos="1560"/>
      </w:tabs>
      <w:ind w:left="0" w:firstLine="0"/>
    </w:pPr>
    <w:rPr>
      <w:rFonts w:eastAsia="Times New Roman"/>
      <w:lang w:val="fr-FR" w:eastAsia="en-GB"/>
    </w:rPr>
  </w:style>
  <w:style w:type="paragraph" w:customStyle="1" w:styleId="ListDash3">
    <w:name w:val="List Dash 3"/>
    <w:basedOn w:val="Normal"/>
    <w:rsid w:val="0009257B"/>
    <w:pPr>
      <w:numPr>
        <w:numId w:val="12"/>
      </w:numPr>
      <w:tabs>
        <w:tab w:val="clear" w:pos="1134"/>
      </w:tabs>
      <w:ind w:left="0" w:firstLine="0"/>
    </w:pPr>
    <w:rPr>
      <w:rFonts w:eastAsia="Times New Roman"/>
      <w:lang w:val="fr-FR" w:eastAsia="en-GB"/>
    </w:rPr>
  </w:style>
  <w:style w:type="paragraph" w:customStyle="1" w:styleId="ListDash4">
    <w:name w:val="List Dash 4"/>
    <w:basedOn w:val="Normal"/>
    <w:rsid w:val="0009257B"/>
    <w:pPr>
      <w:numPr>
        <w:numId w:val="13"/>
      </w:numPr>
      <w:tabs>
        <w:tab w:val="clear" w:pos="1134"/>
      </w:tabs>
      <w:ind w:left="0" w:firstLine="0"/>
    </w:pPr>
    <w:rPr>
      <w:rFonts w:eastAsia="Times New Roman"/>
      <w:lang w:val="fr-FR" w:eastAsia="en-GB"/>
    </w:rPr>
  </w:style>
  <w:style w:type="paragraph" w:customStyle="1" w:styleId="ListNumber1">
    <w:name w:val="List Number 1"/>
    <w:basedOn w:val="Text1"/>
    <w:rsid w:val="0009257B"/>
    <w:pPr>
      <w:numPr>
        <w:numId w:val="14"/>
      </w:numPr>
      <w:tabs>
        <w:tab w:val="clear" w:pos="1560"/>
      </w:tabs>
      <w:ind w:left="0" w:firstLine="0"/>
    </w:pPr>
    <w:rPr>
      <w:rFonts w:eastAsia="Times New Roman"/>
      <w:lang w:val="fr-FR" w:eastAsia="en-GB"/>
    </w:rPr>
  </w:style>
  <w:style w:type="paragraph" w:customStyle="1" w:styleId="ListNumber1Level2">
    <w:name w:val="List Number 1 (Level 2)"/>
    <w:basedOn w:val="Text1"/>
    <w:rsid w:val="0009257B"/>
    <w:pPr>
      <w:numPr>
        <w:ilvl w:val="1"/>
        <w:numId w:val="14"/>
      </w:numPr>
      <w:tabs>
        <w:tab w:val="clear" w:pos="2268"/>
      </w:tabs>
      <w:ind w:left="0" w:firstLine="0"/>
    </w:pPr>
    <w:rPr>
      <w:rFonts w:eastAsia="Times New Roman"/>
      <w:lang w:val="fr-FR" w:eastAsia="en-GB"/>
    </w:rPr>
  </w:style>
  <w:style w:type="paragraph" w:customStyle="1" w:styleId="ListNumber2Level2">
    <w:name w:val="List Number 2 (Level 2)"/>
    <w:basedOn w:val="Text2"/>
    <w:rsid w:val="0009257B"/>
    <w:pPr>
      <w:numPr>
        <w:ilvl w:val="1"/>
        <w:numId w:val="15"/>
      </w:numPr>
      <w:tabs>
        <w:tab w:val="clear" w:pos="2268"/>
      </w:tabs>
      <w:ind w:left="0" w:firstLine="0"/>
    </w:pPr>
    <w:rPr>
      <w:rFonts w:eastAsia="Times New Roman"/>
      <w:lang w:val="fr-FR" w:eastAsia="en-GB"/>
    </w:rPr>
  </w:style>
  <w:style w:type="paragraph" w:customStyle="1" w:styleId="ListNumber3Level2">
    <w:name w:val="List Number 3 (Level 2)"/>
    <w:basedOn w:val="Text3"/>
    <w:rsid w:val="0009257B"/>
    <w:pPr>
      <w:numPr>
        <w:ilvl w:val="1"/>
        <w:numId w:val="16"/>
      </w:numPr>
      <w:tabs>
        <w:tab w:val="clear" w:pos="2268"/>
      </w:tabs>
      <w:ind w:left="0" w:firstLine="0"/>
    </w:pPr>
    <w:rPr>
      <w:rFonts w:eastAsia="Times New Roman"/>
      <w:lang w:val="fr-FR" w:eastAsia="en-GB"/>
    </w:rPr>
  </w:style>
  <w:style w:type="paragraph" w:customStyle="1" w:styleId="ListNumber4Level2">
    <w:name w:val="List Number 4 (Level 2)"/>
    <w:basedOn w:val="Text4"/>
    <w:rsid w:val="0009257B"/>
    <w:pPr>
      <w:numPr>
        <w:ilvl w:val="1"/>
        <w:numId w:val="17"/>
      </w:numPr>
      <w:tabs>
        <w:tab w:val="clear" w:pos="2268"/>
      </w:tabs>
      <w:ind w:left="0" w:firstLine="0"/>
    </w:pPr>
    <w:rPr>
      <w:rFonts w:eastAsia="Times New Roman"/>
      <w:lang w:val="fr-FR" w:eastAsia="en-GB"/>
    </w:rPr>
  </w:style>
  <w:style w:type="paragraph" w:customStyle="1" w:styleId="ListNumber1Level3">
    <w:name w:val="List Number 1 (Level 3)"/>
    <w:basedOn w:val="Text1"/>
    <w:rsid w:val="0009257B"/>
    <w:pPr>
      <w:numPr>
        <w:ilvl w:val="2"/>
        <w:numId w:val="14"/>
      </w:numPr>
      <w:tabs>
        <w:tab w:val="clear" w:pos="2977"/>
      </w:tabs>
      <w:ind w:left="0" w:firstLine="0"/>
    </w:pPr>
    <w:rPr>
      <w:rFonts w:eastAsia="Times New Roman"/>
      <w:lang w:val="fr-FR" w:eastAsia="en-GB"/>
    </w:rPr>
  </w:style>
  <w:style w:type="paragraph" w:customStyle="1" w:styleId="ListNumber2Level3">
    <w:name w:val="List Number 2 (Level 3)"/>
    <w:basedOn w:val="Text2"/>
    <w:rsid w:val="0009257B"/>
    <w:pPr>
      <w:numPr>
        <w:ilvl w:val="2"/>
        <w:numId w:val="15"/>
      </w:numPr>
      <w:tabs>
        <w:tab w:val="clear" w:pos="2977"/>
      </w:tabs>
      <w:ind w:left="0" w:firstLine="0"/>
    </w:pPr>
    <w:rPr>
      <w:rFonts w:eastAsia="Times New Roman"/>
      <w:lang w:val="fr-FR" w:eastAsia="en-GB"/>
    </w:rPr>
  </w:style>
  <w:style w:type="paragraph" w:customStyle="1" w:styleId="ListNumber3Level3">
    <w:name w:val="List Number 3 (Level 3)"/>
    <w:basedOn w:val="Text3"/>
    <w:rsid w:val="0009257B"/>
    <w:pPr>
      <w:numPr>
        <w:ilvl w:val="2"/>
        <w:numId w:val="16"/>
      </w:numPr>
      <w:tabs>
        <w:tab w:val="clear" w:pos="2977"/>
      </w:tabs>
      <w:ind w:left="0" w:firstLine="0"/>
    </w:pPr>
    <w:rPr>
      <w:rFonts w:eastAsia="Times New Roman"/>
      <w:lang w:val="fr-FR" w:eastAsia="en-GB"/>
    </w:rPr>
  </w:style>
  <w:style w:type="paragraph" w:customStyle="1" w:styleId="ListNumber4Level3">
    <w:name w:val="List Number 4 (Level 3)"/>
    <w:basedOn w:val="Text4"/>
    <w:rsid w:val="0009257B"/>
    <w:pPr>
      <w:numPr>
        <w:ilvl w:val="2"/>
        <w:numId w:val="17"/>
      </w:numPr>
      <w:tabs>
        <w:tab w:val="clear" w:pos="2977"/>
      </w:tabs>
      <w:ind w:left="0" w:firstLine="0"/>
    </w:pPr>
    <w:rPr>
      <w:rFonts w:eastAsia="Times New Roman"/>
      <w:lang w:val="fr-FR" w:eastAsia="en-GB"/>
    </w:rPr>
  </w:style>
  <w:style w:type="paragraph" w:customStyle="1" w:styleId="ListNumber1Level4">
    <w:name w:val="List Number 1 (Level 4)"/>
    <w:basedOn w:val="Text1"/>
    <w:rsid w:val="0009257B"/>
    <w:pPr>
      <w:numPr>
        <w:ilvl w:val="3"/>
        <w:numId w:val="14"/>
      </w:numPr>
      <w:tabs>
        <w:tab w:val="clear" w:pos="3686"/>
      </w:tabs>
      <w:ind w:left="0" w:firstLine="0"/>
    </w:pPr>
    <w:rPr>
      <w:rFonts w:eastAsia="Times New Roman"/>
      <w:lang w:val="fr-FR" w:eastAsia="en-GB"/>
    </w:rPr>
  </w:style>
  <w:style w:type="paragraph" w:customStyle="1" w:styleId="ListNumber2Level4">
    <w:name w:val="List Number 2 (Level 4)"/>
    <w:basedOn w:val="Text2"/>
    <w:rsid w:val="0009257B"/>
    <w:pPr>
      <w:numPr>
        <w:ilvl w:val="3"/>
        <w:numId w:val="15"/>
      </w:numPr>
      <w:tabs>
        <w:tab w:val="clear" w:pos="3686"/>
      </w:tabs>
      <w:ind w:left="0" w:firstLine="0"/>
    </w:pPr>
    <w:rPr>
      <w:rFonts w:eastAsia="Times New Roman"/>
      <w:lang w:val="fr-FR" w:eastAsia="en-GB"/>
    </w:rPr>
  </w:style>
  <w:style w:type="paragraph" w:customStyle="1" w:styleId="ListNumber3Level4">
    <w:name w:val="List Number 3 (Level 4)"/>
    <w:basedOn w:val="Text3"/>
    <w:rsid w:val="0009257B"/>
    <w:pPr>
      <w:numPr>
        <w:ilvl w:val="3"/>
        <w:numId w:val="16"/>
      </w:numPr>
      <w:tabs>
        <w:tab w:val="clear" w:pos="3686"/>
      </w:tabs>
      <w:ind w:left="0" w:firstLine="0"/>
    </w:pPr>
    <w:rPr>
      <w:rFonts w:eastAsia="Times New Roman"/>
      <w:lang w:val="fr-FR" w:eastAsia="en-GB"/>
    </w:rPr>
  </w:style>
  <w:style w:type="paragraph" w:customStyle="1" w:styleId="ListNumber4Level4">
    <w:name w:val="List Number 4 (Level 4)"/>
    <w:basedOn w:val="Text4"/>
    <w:rsid w:val="0009257B"/>
    <w:pPr>
      <w:numPr>
        <w:ilvl w:val="3"/>
        <w:numId w:val="17"/>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09257B"/>
    <w:pPr>
      <w:jc w:val="center"/>
    </w:pPr>
    <w:rPr>
      <w:rFonts w:eastAsia="Times New Roman"/>
      <w:b/>
      <w:u w:val="single"/>
      <w:lang w:val="fr-FR" w:eastAsia="en-GB"/>
    </w:rPr>
  </w:style>
  <w:style w:type="paragraph" w:customStyle="1" w:styleId="Annexetitreexposglobal">
    <w:name w:val="Annexe titre (exposé global)"/>
    <w:basedOn w:val="Normal"/>
    <w:next w:val="Normal"/>
    <w:rsid w:val="0009257B"/>
    <w:pPr>
      <w:jc w:val="center"/>
    </w:pPr>
    <w:rPr>
      <w:rFonts w:eastAsia="Times New Roman"/>
      <w:b/>
      <w:u w:val="single"/>
      <w:lang w:val="fr-FR" w:eastAsia="en-GB"/>
    </w:rPr>
  </w:style>
  <w:style w:type="paragraph" w:customStyle="1" w:styleId="Annexetitrefichefinacte">
    <w:name w:val="Annexe titre (fiche fin. acte)"/>
    <w:basedOn w:val="Normal"/>
    <w:next w:val="Normal"/>
    <w:rsid w:val="0009257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09257B"/>
    <w:pPr>
      <w:jc w:val="center"/>
    </w:pPr>
    <w:rPr>
      <w:rFonts w:eastAsia="Times New Roman"/>
      <w:b/>
      <w:u w:val="single"/>
      <w:lang w:val="fr-FR" w:eastAsia="en-GB"/>
    </w:rPr>
  </w:style>
  <w:style w:type="paragraph" w:customStyle="1" w:styleId="Annexetitreglobale">
    <w:name w:val="Annexe titre (globale)"/>
    <w:basedOn w:val="Normal"/>
    <w:next w:val="Normal"/>
    <w:rsid w:val="0009257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09257B"/>
    <w:pPr>
      <w:jc w:val="center"/>
    </w:pPr>
    <w:rPr>
      <w:rFonts w:eastAsia="Times New Roman"/>
      <w:b/>
      <w:u w:val="single"/>
      <w:lang w:val="fr-FR" w:eastAsia="en-GB"/>
    </w:rPr>
  </w:style>
  <w:style w:type="paragraph" w:customStyle="1" w:styleId="Langueoriginale">
    <w:name w:val="Langue originale"/>
    <w:basedOn w:val="Normal"/>
    <w:rsid w:val="0009257B"/>
    <w:pPr>
      <w:spacing w:before="360"/>
      <w:jc w:val="center"/>
    </w:pPr>
    <w:rPr>
      <w:rFonts w:eastAsia="Times New Roman"/>
      <w:caps/>
      <w:lang w:val="fr-FR" w:eastAsia="en-GB"/>
    </w:rPr>
  </w:style>
  <w:style w:type="paragraph" w:customStyle="1" w:styleId="Phrasefinale">
    <w:name w:val="Phrase finale"/>
    <w:basedOn w:val="Normal"/>
    <w:next w:val="Normal"/>
    <w:rsid w:val="0009257B"/>
    <w:pPr>
      <w:spacing w:before="360" w:after="0"/>
      <w:jc w:val="center"/>
    </w:pPr>
    <w:rPr>
      <w:rFonts w:eastAsia="Times New Roman"/>
      <w:lang w:val="fr-FR" w:eastAsia="en-GB"/>
    </w:rPr>
  </w:style>
  <w:style w:type="paragraph" w:customStyle="1" w:styleId="Prliminairetitre">
    <w:name w:val="Préliminaire titre"/>
    <w:basedOn w:val="Normal"/>
    <w:next w:val="Normal"/>
    <w:rsid w:val="0009257B"/>
    <w:pPr>
      <w:spacing w:before="360" w:after="360"/>
      <w:jc w:val="center"/>
    </w:pPr>
    <w:rPr>
      <w:rFonts w:eastAsia="Times New Roman"/>
      <w:b/>
      <w:lang w:val="fr-FR" w:eastAsia="en-GB"/>
    </w:rPr>
  </w:style>
  <w:style w:type="paragraph" w:customStyle="1" w:styleId="Prliminairetype">
    <w:name w:val="Préliminaire type"/>
    <w:basedOn w:val="Normal"/>
    <w:next w:val="Normal"/>
    <w:rsid w:val="0009257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09257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09257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09257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09257B"/>
    <w:pPr>
      <w:spacing w:before="0" w:after="0"/>
      <w:jc w:val="center"/>
    </w:pPr>
    <w:rPr>
      <w:rFonts w:eastAsia="Times New Roman"/>
      <w:b/>
      <w:lang w:val="fr-FR" w:eastAsia="en-GB"/>
    </w:rPr>
  </w:style>
  <w:style w:type="paragraph" w:customStyle="1" w:styleId="Statutprliminaire">
    <w:name w:val="Statut (préliminaire)"/>
    <w:basedOn w:val="Normal"/>
    <w:next w:val="Normal"/>
    <w:rsid w:val="0009257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09257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09257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09257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09257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09257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09257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09257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09257B"/>
    <w:pPr>
      <w:jc w:val="center"/>
    </w:pPr>
    <w:rPr>
      <w:rFonts w:eastAsia="Times New Roman"/>
      <w:b/>
      <w:u w:val="single"/>
      <w:lang w:val="fr-FR" w:eastAsia="en-GB"/>
    </w:rPr>
  </w:style>
  <w:style w:type="paragraph" w:styleId="BalloonText">
    <w:name w:val="Balloon Text"/>
    <w:basedOn w:val="Normal"/>
    <w:link w:val="BalloonTextChar"/>
    <w:rsid w:val="0009257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09257B"/>
    <w:rPr>
      <w:rFonts w:ascii="Tahoma" w:eastAsia="Times New Roman" w:hAnsi="Tahoma" w:cs="Tahoma"/>
      <w:sz w:val="16"/>
      <w:szCs w:val="16"/>
      <w:lang w:val="fr-FR" w:eastAsia="en-GB"/>
    </w:rPr>
  </w:style>
  <w:style w:type="paragraph" w:styleId="Caption">
    <w:name w:val="caption"/>
    <w:basedOn w:val="Normal"/>
    <w:next w:val="Normal"/>
    <w:qFormat/>
    <w:rsid w:val="0009257B"/>
    <w:rPr>
      <w:rFonts w:eastAsia="Times New Roman"/>
      <w:b/>
      <w:bCs/>
      <w:sz w:val="20"/>
      <w:szCs w:val="20"/>
      <w:lang w:val="fr-FR" w:eastAsia="en-GB"/>
    </w:rPr>
  </w:style>
  <w:style w:type="paragraph" w:styleId="TableofFigures">
    <w:name w:val="table of figures"/>
    <w:basedOn w:val="Normal"/>
    <w:next w:val="Normal"/>
    <w:rsid w:val="0009257B"/>
    <w:rPr>
      <w:rFonts w:eastAsia="Times New Roman"/>
      <w:lang w:val="fr-FR" w:eastAsia="en-GB"/>
    </w:rPr>
  </w:style>
  <w:style w:type="character" w:styleId="PageNumber">
    <w:name w:val="page number"/>
    <w:rsid w:val="0009257B"/>
  </w:style>
  <w:style w:type="character" w:customStyle="1" w:styleId="tw4winMark">
    <w:name w:val="tw4winMark"/>
    <w:rsid w:val="0009257B"/>
    <w:rPr>
      <w:vanish/>
      <w:color w:val="800080"/>
      <w:vertAlign w:val="subscript"/>
    </w:rPr>
  </w:style>
  <w:style w:type="character" w:styleId="FollowedHyperlink">
    <w:name w:val="FollowedHyperlink"/>
    <w:rsid w:val="0009257B"/>
    <w:rPr>
      <w:color w:val="800080"/>
      <w:u w:val="single"/>
    </w:rPr>
  </w:style>
  <w:style w:type="paragraph" w:customStyle="1" w:styleId="Sous-titreobjet">
    <w:name w:val="Sous-titre objet"/>
    <w:basedOn w:val="Normal"/>
    <w:rsid w:val="000925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9257B"/>
  </w:style>
  <w:style w:type="paragraph" w:customStyle="1" w:styleId="FooterCoverPage">
    <w:name w:val="Footer Cover Page"/>
    <w:basedOn w:val="Normal"/>
    <w:link w:val="FooterCoverPageChar"/>
    <w:rsid w:val="000925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9257B"/>
    <w:rPr>
      <w:rFonts w:ascii="Times New Roman" w:hAnsi="Times New Roman" w:cs="Times New Roman"/>
      <w:b/>
      <w:sz w:val="28"/>
      <w:lang w:val="en-GB"/>
    </w:rPr>
  </w:style>
  <w:style w:type="character" w:customStyle="1" w:styleId="FooterCoverPageChar">
    <w:name w:val="Footer Cover Page Char"/>
    <w:link w:val="FooterCoverPage"/>
    <w:rsid w:val="0009257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0925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9257B"/>
    <w:rPr>
      <w:rFonts w:ascii="Times New Roman" w:eastAsia="Calibri" w:hAnsi="Times New Roman" w:cs="Times New Roman"/>
      <w:sz w:val="24"/>
      <w:lang w:val="en-GB" w:eastAsia="en-GB"/>
    </w:rPr>
  </w:style>
  <w:style w:type="character" w:customStyle="1" w:styleId="FooterSensitivityChar">
    <w:name w:val="Footer Sensitivity Char"/>
    <w:rsid w:val="0009257B"/>
    <w:rPr>
      <w:rFonts w:ascii="Times New Roman" w:hAnsi="Times New Roman" w:cs="Times New Roman"/>
      <w:b/>
      <w:sz w:val="32"/>
      <w:lang w:val="en-GB"/>
    </w:rPr>
  </w:style>
  <w:style w:type="character" w:customStyle="1" w:styleId="HeaderSensitivityChar">
    <w:name w:val="Header Sensitivity Char"/>
    <w:rsid w:val="0009257B"/>
    <w:rPr>
      <w:rFonts w:ascii="Times New Roman" w:hAnsi="Times New Roman" w:cs="Times New Roman"/>
      <w:b/>
      <w:sz w:val="32"/>
      <w:lang w:val="en-GB"/>
    </w:rPr>
  </w:style>
  <w:style w:type="character" w:customStyle="1" w:styleId="HeaderSensitivityRightChar">
    <w:name w:val="Header Sensitivity Right Char"/>
    <w:rsid w:val="0009257B"/>
    <w:rPr>
      <w:rFonts w:ascii="Times New Roman" w:hAnsi="Times New Roman" w:cs="Times New Roman"/>
      <w:sz w:val="28"/>
      <w:lang w:val="en-GB"/>
    </w:rPr>
  </w:style>
  <w:style w:type="paragraph" w:customStyle="1" w:styleId="LegalNumPar">
    <w:name w:val="LegalNumPar"/>
    <w:basedOn w:val="Normal"/>
    <w:rsid w:val="0009257B"/>
    <w:pPr>
      <w:numPr>
        <w:numId w:val="18"/>
      </w:numPr>
      <w:spacing w:line="360" w:lineRule="auto"/>
      <w:ind w:left="0" w:firstLine="0"/>
    </w:pPr>
    <w:rPr>
      <w:rFonts w:eastAsia="Times New Roman"/>
      <w:lang w:eastAsia="en-GB"/>
    </w:rPr>
  </w:style>
  <w:style w:type="paragraph" w:customStyle="1" w:styleId="LegalNumPar2">
    <w:name w:val="LegalNumPar2"/>
    <w:basedOn w:val="Normal"/>
    <w:rsid w:val="0009257B"/>
    <w:pPr>
      <w:numPr>
        <w:ilvl w:val="1"/>
        <w:numId w:val="18"/>
      </w:numPr>
      <w:spacing w:line="360" w:lineRule="auto"/>
      <w:ind w:left="0" w:firstLine="0"/>
    </w:pPr>
    <w:rPr>
      <w:rFonts w:eastAsia="Times New Roman"/>
      <w:lang w:eastAsia="en-GB"/>
    </w:rPr>
  </w:style>
  <w:style w:type="paragraph" w:customStyle="1" w:styleId="LegalNumPar3">
    <w:name w:val="LegalNumPar3"/>
    <w:basedOn w:val="Normal"/>
    <w:rsid w:val="0009257B"/>
    <w:pPr>
      <w:numPr>
        <w:ilvl w:val="2"/>
        <w:numId w:val="18"/>
      </w:numPr>
      <w:spacing w:line="360" w:lineRule="auto"/>
      <w:ind w:left="0" w:firstLine="0"/>
    </w:pPr>
    <w:rPr>
      <w:rFonts w:eastAsia="Times New Roman"/>
      <w:lang w:eastAsia="en-GB"/>
    </w:rPr>
  </w:style>
  <w:style w:type="character" w:styleId="Strong">
    <w:name w:val="Strong"/>
    <w:basedOn w:val="DefaultParagraphFont"/>
    <w:qFormat/>
    <w:rsid w:val="0009257B"/>
    <w:rPr>
      <w:b/>
      <w:bCs/>
    </w:rPr>
  </w:style>
  <w:style w:type="character" w:styleId="Emphasis">
    <w:name w:val="Emphasis"/>
    <w:basedOn w:val="DefaultParagraphFont"/>
    <w:qFormat/>
    <w:rsid w:val="0009257B"/>
    <w:rPr>
      <w:i/>
      <w:iCs/>
    </w:rPr>
  </w:style>
  <w:style w:type="character" w:customStyle="1" w:styleId="Mention">
    <w:name w:val="Mention"/>
    <w:basedOn w:val="DefaultParagraphFont"/>
    <w:uiPriority w:val="99"/>
    <w:unhideWhenUsed/>
    <w:rsid w:val="0009257B"/>
    <w:rPr>
      <w:color w:val="2B579A"/>
      <w:shd w:val="clear" w:color="auto" w:fill="E1DFDD"/>
    </w:rPr>
  </w:style>
  <w:style w:type="character" w:customStyle="1" w:styleId="HeaderChar">
    <w:name w:val="Header Char"/>
    <w:basedOn w:val="DefaultParagraphFont"/>
    <w:link w:val="Header"/>
    <w:uiPriority w:val="99"/>
    <w:rsid w:val="00A9447B"/>
    <w:rPr>
      <w:rFonts w:ascii="Times New Roman" w:hAnsi="Times New Roman" w:cs="Times New Roman"/>
      <w:sz w:val="24"/>
      <w:lang w:val="en-GB"/>
    </w:rPr>
  </w:style>
  <w:style w:type="character" w:customStyle="1" w:styleId="FooterChar">
    <w:name w:val="Footer Char"/>
    <w:basedOn w:val="DefaultParagraphFont"/>
    <w:link w:val="Footer"/>
    <w:uiPriority w:val="99"/>
    <w:rsid w:val="00A9447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9447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9447B"/>
    <w:pPr>
      <w:spacing w:before="0"/>
      <w:jc w:val="right"/>
    </w:pPr>
    <w:rPr>
      <w:sz w:val="28"/>
    </w:rPr>
  </w:style>
  <w:style w:type="paragraph" w:customStyle="1" w:styleId="FooterSensitivity">
    <w:name w:val="Footer Sensitivity"/>
    <w:basedOn w:val="Normal"/>
    <w:rsid w:val="00A9447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9447B"/>
    <w:pPr>
      <w:tabs>
        <w:tab w:val="center" w:pos="4535"/>
        <w:tab w:val="right" w:pos="9071"/>
      </w:tabs>
      <w:spacing w:before="0"/>
    </w:pPr>
  </w:style>
  <w:style w:type="paragraph" w:customStyle="1" w:styleId="HeaderLandscape">
    <w:name w:val="HeaderLandscape"/>
    <w:basedOn w:val="Normal"/>
    <w:rsid w:val="00A9447B"/>
    <w:pPr>
      <w:tabs>
        <w:tab w:val="center" w:pos="7285"/>
        <w:tab w:val="right" w:pos="14003"/>
      </w:tabs>
      <w:spacing w:before="0"/>
    </w:pPr>
  </w:style>
  <w:style w:type="paragraph" w:styleId="Footer">
    <w:name w:val="footer"/>
    <w:basedOn w:val="Normal"/>
    <w:link w:val="FooterChar"/>
    <w:uiPriority w:val="99"/>
    <w:unhideWhenUsed/>
    <w:rsid w:val="00A9447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9447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9196">
      <w:bodyDiv w:val="1"/>
      <w:marLeft w:val="0"/>
      <w:marRight w:val="0"/>
      <w:marTop w:val="0"/>
      <w:marBottom w:val="0"/>
      <w:divBdr>
        <w:top w:val="none" w:sz="0" w:space="0" w:color="auto"/>
        <w:left w:val="none" w:sz="0" w:space="0" w:color="auto"/>
        <w:bottom w:val="none" w:sz="0" w:space="0" w:color="auto"/>
        <w:right w:val="none" w:sz="0" w:space="0" w:color="auto"/>
      </w:divBdr>
    </w:div>
    <w:div w:id="214977700">
      <w:bodyDiv w:val="1"/>
      <w:marLeft w:val="0"/>
      <w:marRight w:val="0"/>
      <w:marTop w:val="0"/>
      <w:marBottom w:val="0"/>
      <w:divBdr>
        <w:top w:val="none" w:sz="0" w:space="0" w:color="auto"/>
        <w:left w:val="none" w:sz="0" w:space="0" w:color="auto"/>
        <w:bottom w:val="none" w:sz="0" w:space="0" w:color="auto"/>
        <w:right w:val="none" w:sz="0" w:space="0" w:color="auto"/>
      </w:divBdr>
    </w:div>
    <w:div w:id="216481582">
      <w:bodyDiv w:val="1"/>
      <w:marLeft w:val="0"/>
      <w:marRight w:val="0"/>
      <w:marTop w:val="0"/>
      <w:marBottom w:val="0"/>
      <w:divBdr>
        <w:top w:val="none" w:sz="0" w:space="0" w:color="auto"/>
        <w:left w:val="none" w:sz="0" w:space="0" w:color="auto"/>
        <w:bottom w:val="none" w:sz="0" w:space="0" w:color="auto"/>
        <w:right w:val="none" w:sz="0" w:space="0" w:color="auto"/>
      </w:divBdr>
    </w:div>
    <w:div w:id="410583394">
      <w:bodyDiv w:val="1"/>
      <w:marLeft w:val="0"/>
      <w:marRight w:val="0"/>
      <w:marTop w:val="0"/>
      <w:marBottom w:val="0"/>
      <w:divBdr>
        <w:top w:val="none" w:sz="0" w:space="0" w:color="auto"/>
        <w:left w:val="none" w:sz="0" w:space="0" w:color="auto"/>
        <w:bottom w:val="none" w:sz="0" w:space="0" w:color="auto"/>
        <w:right w:val="none" w:sz="0" w:space="0" w:color="auto"/>
      </w:divBdr>
    </w:div>
    <w:div w:id="706832586">
      <w:bodyDiv w:val="1"/>
      <w:marLeft w:val="0"/>
      <w:marRight w:val="0"/>
      <w:marTop w:val="0"/>
      <w:marBottom w:val="0"/>
      <w:divBdr>
        <w:top w:val="none" w:sz="0" w:space="0" w:color="auto"/>
        <w:left w:val="none" w:sz="0" w:space="0" w:color="auto"/>
        <w:bottom w:val="none" w:sz="0" w:space="0" w:color="auto"/>
        <w:right w:val="none" w:sz="0" w:space="0" w:color="auto"/>
      </w:divBdr>
    </w:div>
    <w:div w:id="813987668">
      <w:bodyDiv w:val="1"/>
      <w:marLeft w:val="0"/>
      <w:marRight w:val="0"/>
      <w:marTop w:val="0"/>
      <w:marBottom w:val="0"/>
      <w:divBdr>
        <w:top w:val="none" w:sz="0" w:space="0" w:color="auto"/>
        <w:left w:val="none" w:sz="0" w:space="0" w:color="auto"/>
        <w:bottom w:val="none" w:sz="0" w:space="0" w:color="auto"/>
        <w:right w:val="none" w:sz="0" w:space="0" w:color="auto"/>
      </w:divBdr>
    </w:div>
    <w:div w:id="838277423">
      <w:bodyDiv w:val="1"/>
      <w:marLeft w:val="0"/>
      <w:marRight w:val="0"/>
      <w:marTop w:val="0"/>
      <w:marBottom w:val="0"/>
      <w:divBdr>
        <w:top w:val="none" w:sz="0" w:space="0" w:color="auto"/>
        <w:left w:val="none" w:sz="0" w:space="0" w:color="auto"/>
        <w:bottom w:val="none" w:sz="0" w:space="0" w:color="auto"/>
        <w:right w:val="none" w:sz="0" w:space="0" w:color="auto"/>
      </w:divBdr>
    </w:div>
    <w:div w:id="1045908138">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081221054">
      <w:bodyDiv w:val="1"/>
      <w:marLeft w:val="0"/>
      <w:marRight w:val="0"/>
      <w:marTop w:val="0"/>
      <w:marBottom w:val="0"/>
      <w:divBdr>
        <w:top w:val="none" w:sz="0" w:space="0" w:color="auto"/>
        <w:left w:val="none" w:sz="0" w:space="0" w:color="auto"/>
        <w:bottom w:val="none" w:sz="0" w:space="0" w:color="auto"/>
        <w:right w:val="none" w:sz="0" w:space="0" w:color="auto"/>
      </w:divBdr>
    </w:div>
    <w:div w:id="1238859516">
      <w:bodyDiv w:val="1"/>
      <w:marLeft w:val="0"/>
      <w:marRight w:val="0"/>
      <w:marTop w:val="0"/>
      <w:marBottom w:val="0"/>
      <w:divBdr>
        <w:top w:val="none" w:sz="0" w:space="0" w:color="auto"/>
        <w:left w:val="none" w:sz="0" w:space="0" w:color="auto"/>
        <w:bottom w:val="none" w:sz="0" w:space="0" w:color="auto"/>
        <w:right w:val="none" w:sz="0" w:space="0" w:color="auto"/>
      </w:divBdr>
    </w:div>
    <w:div w:id="1356730055">
      <w:bodyDiv w:val="1"/>
      <w:marLeft w:val="0"/>
      <w:marRight w:val="0"/>
      <w:marTop w:val="0"/>
      <w:marBottom w:val="0"/>
      <w:divBdr>
        <w:top w:val="none" w:sz="0" w:space="0" w:color="auto"/>
        <w:left w:val="none" w:sz="0" w:space="0" w:color="auto"/>
        <w:bottom w:val="none" w:sz="0" w:space="0" w:color="auto"/>
        <w:right w:val="none" w:sz="0" w:space="0" w:color="auto"/>
      </w:divBdr>
    </w:div>
    <w:div w:id="1426918677">
      <w:bodyDiv w:val="1"/>
      <w:marLeft w:val="0"/>
      <w:marRight w:val="0"/>
      <w:marTop w:val="0"/>
      <w:marBottom w:val="0"/>
      <w:divBdr>
        <w:top w:val="none" w:sz="0" w:space="0" w:color="auto"/>
        <w:left w:val="none" w:sz="0" w:space="0" w:color="auto"/>
        <w:bottom w:val="none" w:sz="0" w:space="0" w:color="auto"/>
        <w:right w:val="none" w:sz="0" w:space="0" w:color="auto"/>
      </w:divBdr>
    </w:div>
    <w:div w:id="1429886081">
      <w:bodyDiv w:val="1"/>
      <w:marLeft w:val="0"/>
      <w:marRight w:val="0"/>
      <w:marTop w:val="0"/>
      <w:marBottom w:val="0"/>
      <w:divBdr>
        <w:top w:val="none" w:sz="0" w:space="0" w:color="auto"/>
        <w:left w:val="none" w:sz="0" w:space="0" w:color="auto"/>
        <w:bottom w:val="none" w:sz="0" w:space="0" w:color="auto"/>
        <w:right w:val="none" w:sz="0" w:space="0" w:color="auto"/>
      </w:divBdr>
    </w:div>
    <w:div w:id="1456867405">
      <w:bodyDiv w:val="1"/>
      <w:marLeft w:val="0"/>
      <w:marRight w:val="0"/>
      <w:marTop w:val="0"/>
      <w:marBottom w:val="0"/>
      <w:divBdr>
        <w:top w:val="none" w:sz="0" w:space="0" w:color="auto"/>
        <w:left w:val="none" w:sz="0" w:space="0" w:color="auto"/>
        <w:bottom w:val="none" w:sz="0" w:space="0" w:color="auto"/>
        <w:right w:val="none" w:sz="0" w:space="0" w:color="auto"/>
      </w:divBdr>
    </w:div>
    <w:div w:id="150801551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27685724">
      <w:bodyDiv w:val="1"/>
      <w:marLeft w:val="0"/>
      <w:marRight w:val="0"/>
      <w:marTop w:val="0"/>
      <w:marBottom w:val="0"/>
      <w:divBdr>
        <w:top w:val="none" w:sz="0" w:space="0" w:color="auto"/>
        <w:left w:val="none" w:sz="0" w:space="0" w:color="auto"/>
        <w:bottom w:val="none" w:sz="0" w:space="0" w:color="auto"/>
        <w:right w:val="none" w:sz="0" w:space="0" w:color="auto"/>
      </w:divBdr>
    </w:div>
    <w:div w:id="20750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searchgate.net/publication/46450119_Trade_Impact_Assessment_Trade_SIA_of_an_EU-ASEAN_Free_Trade_Agreemen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 TargetMode="External"/><Relationship Id="rId22" Type="http://schemas.openxmlformats.org/officeDocument/2006/relationships/hyperlink" Target="https://eur-lex.europa.eu/budget/data/DB/2026/en/GenRev.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04ECB-AD69-4335-BC96-515E9CE9A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0DD318-C2B8-4AC4-B7C3-F0537656E504}">
  <ds:schemaRefs>
    <ds:schemaRef ds:uri="http://schemas.microsoft.com/sharepoint/v3/contenttype/forms"/>
  </ds:schemaRefs>
</ds:datastoreItem>
</file>

<file path=customXml/itemProps3.xml><?xml version="1.0" encoding="utf-8"?>
<ds:datastoreItem xmlns:ds="http://schemas.openxmlformats.org/officeDocument/2006/customXml" ds:itemID="{35FD5360-F623-44F8-9563-B9DB62B8F3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4FADD9-DD4D-4414-935F-3822B6926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12</Pages>
  <Words>4568</Words>
  <Characters>26038</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2026-06-22T16:51:00Z</dcterms:created>
  <dcterms:modified xsi:type="dcterms:W3CDTF">2026-06-25T08:17:00Z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