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269" w:rsidRPr="00A52A39" w:rsidRDefault="00A147BD" w:rsidP="00A147B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A69E7C2-E7B9-4BB2-B05B-AB511219359F" style="width:455.25pt;height:342.75pt">
            <v:imagedata r:id="rId11" o:title=""/>
          </v:shape>
        </w:pict>
      </w:r>
    </w:p>
    <w:p w:rsidR="005D0563" w:rsidRPr="00A52A39" w:rsidRDefault="005D0563" w:rsidP="005D0563">
      <w:pPr>
        <w:pStyle w:val="Pagedecouverture"/>
        <w:rPr>
          <w:noProof/>
        </w:rPr>
        <w:sectPr w:rsidR="005D0563" w:rsidRPr="00A52A39" w:rsidSect="00A147BD">
          <w:footerReference w:type="even" r:id="rId12"/>
          <w:footerReference w:type="default" r:id="rId13"/>
          <w:pgSz w:w="11907" w:h="16839"/>
          <w:pgMar w:top="1134" w:right="1417" w:bottom="1134" w:left="1417" w:header="709" w:footer="709" w:gutter="0"/>
          <w:pgNumType w:start="0"/>
          <w:cols w:space="720"/>
          <w:docGrid w:linePitch="360"/>
        </w:sectPr>
      </w:pPr>
    </w:p>
    <w:p w:rsidR="00BB3091" w:rsidRPr="00A52A39" w:rsidRDefault="00BB3091" w:rsidP="005D0563">
      <w:pPr>
        <w:pStyle w:val="Exposdesmotifstitre"/>
        <w:rPr>
          <w:noProof/>
        </w:rPr>
      </w:pPr>
      <w:bookmarkStart w:id="0" w:name="_GoBack"/>
      <w:bookmarkEnd w:id="0"/>
      <w:r w:rsidRPr="00A52A39">
        <w:rPr>
          <w:noProof/>
        </w:rPr>
        <w:lastRenderedPageBreak/>
        <w:t>EXPOSÉ DES MOTIFS</w:t>
      </w:r>
    </w:p>
    <w:p w:rsidR="00BB3091" w:rsidRPr="00A52A39" w:rsidRDefault="00BB3091" w:rsidP="00EF2AB0">
      <w:pPr>
        <w:pStyle w:val="ManualHeading1"/>
        <w:rPr>
          <w:noProof/>
        </w:rPr>
      </w:pPr>
      <w:r w:rsidRPr="00A52A39">
        <w:rPr>
          <w:noProof/>
        </w:rPr>
        <w:t>1.</w:t>
      </w:r>
      <w:r w:rsidRPr="00A52A39">
        <w:rPr>
          <w:noProof/>
        </w:rPr>
        <w:tab/>
        <w:t>CONTEXTE DE LA PROPOSITION</w:t>
      </w:r>
    </w:p>
    <w:p w:rsidR="00BB3091" w:rsidRPr="00A52A39" w:rsidRDefault="00BB3091" w:rsidP="00EF2AB0">
      <w:pPr>
        <w:pStyle w:val="ManualHeading2"/>
        <w:rPr>
          <w:noProof/>
        </w:rPr>
      </w:pPr>
      <w:r w:rsidRPr="00A52A39">
        <w:rPr>
          <w:noProof/>
        </w:rPr>
        <w:t>•</w:t>
      </w:r>
      <w:r w:rsidRPr="00A52A39">
        <w:rPr>
          <w:noProof/>
        </w:rPr>
        <w:tab/>
        <w:t>Justification et objectifs de la proposition</w:t>
      </w:r>
    </w:p>
    <w:p w:rsidR="00BB3091" w:rsidRPr="00A52A39" w:rsidRDefault="147A79F6" w:rsidP="0130D5B7">
      <w:pPr>
        <w:pBdr>
          <w:top w:val="nil"/>
          <w:left w:val="nil"/>
          <w:bottom w:val="nil"/>
          <w:right w:val="nil"/>
          <w:between w:val="nil"/>
          <w:bar w:val="nil"/>
        </w:pBdr>
        <w:spacing w:before="0" w:after="240"/>
        <w:rPr>
          <w:rFonts w:eastAsia="Arial Unicode MS"/>
          <w:noProof/>
        </w:rPr>
      </w:pPr>
      <w:r w:rsidRPr="00A52A39">
        <w:rPr>
          <w:noProof/>
        </w:rPr>
        <w:t>L’Indonésie est le 30</w:t>
      </w:r>
      <w:r w:rsidRPr="00A52A39">
        <w:rPr>
          <w:noProof/>
          <w:vertAlign w:val="superscript"/>
        </w:rPr>
        <w:t>e</w:t>
      </w:r>
      <w:r w:rsidRPr="00A52A39">
        <w:rPr>
          <w:noProof/>
        </w:rPr>
        <w:t> plus grand partenaire commercial de l’Union européenne (UE) pour les marchandises à l’échelle mondiale et le cinquième partenaire commercial de l’UE au sein de l’Association des nations de l’Asie du Sud-Est (ASEAN) en 2025, tandis que l’UE est le quatrième partenaire commercial de l’Indonésie et représente 6 % du total de ses échanges commerciaux. Les échanges bilatéraux entre les deux partenaires se sont élevés à 28,9 milliards d’EUR en 2025, les exportations de l’UE représentant 10,2 milliards d’EUR et les importations de l’UE 18,7 milliards d’EUR. Les échanges bilatéraux de services entre l’UE et l’Indonésie se sont élevés à 9,3 milliards d’EUR en 2024, les exportations de l’UE se chiffrant à 5,8 milliards d’EUR et les importations à 3,5 milliards d’EUR. En 2024, le stock d’investissements directs étrangers (IDE) de l’UE en Indonésie atteignait 24,7 milliards d’EUR, tandis que le stock d’IDE de l’Indonésie dans l’UE atteignait 1,3 milliard d’EUR.</w:t>
      </w:r>
    </w:p>
    <w:p w:rsidR="08C96592" w:rsidRPr="00A52A39" w:rsidRDefault="2A3D1E3E" w:rsidP="00B078F3">
      <w:pPr>
        <w:rPr>
          <w:noProof/>
        </w:rPr>
      </w:pPr>
      <w:r w:rsidRPr="00A52A39">
        <w:rPr>
          <w:noProof/>
        </w:rPr>
        <w:t>Le 23 avril 2007, le Conseil a autorisé la Commission à négocier un accord de libre-échange avec les États membres de l’ASEAN, dont l’Indonésie fait partie. Cette autorisation prévoyait la possibilité de négociations bilatérales avec les membres de l’ASEAN.</w:t>
      </w:r>
    </w:p>
    <w:p w:rsidR="618A3DC3" w:rsidRPr="00A52A39" w:rsidRDefault="3A83626C" w:rsidP="00B078F3">
      <w:pPr>
        <w:rPr>
          <w:noProof/>
        </w:rPr>
      </w:pPr>
      <w:r w:rsidRPr="00A52A39">
        <w:rPr>
          <w:noProof/>
        </w:rPr>
        <w:t>Le 15 octobre 2013, le Conseil a autorisé la Commission à élargir les négociations bilatérales en cours avec les pays de l’ASEAN afin d’y inclure également la protection des investissements, en vertu d’une nouvelle compétence conférée à l’UE par le traité de Lisbonne.</w:t>
      </w:r>
    </w:p>
    <w:p w:rsidR="08C96592" w:rsidRPr="00A52A39" w:rsidRDefault="524E35BC" w:rsidP="00B078F3">
      <w:pPr>
        <w:rPr>
          <w:noProof/>
        </w:rPr>
      </w:pPr>
      <w:r w:rsidRPr="00A52A39">
        <w:rPr>
          <w:noProof/>
        </w:rPr>
        <w:t>Le 13 juillet 2016, le Conseil a autorisé la Commission à négocier un accord de partenariat économique global</w:t>
      </w:r>
      <w:r w:rsidRPr="00A52A39">
        <w:rPr>
          <w:noProof/>
          <w:color w:val="000000" w:themeColor="text1"/>
        </w:rPr>
        <w:t xml:space="preserve"> </w:t>
      </w:r>
      <w:r w:rsidRPr="00A52A39">
        <w:rPr>
          <w:noProof/>
        </w:rPr>
        <w:t>avec l’Indonésie (ci-après l’«APEG»).</w:t>
      </w:r>
    </w:p>
    <w:p w:rsidR="08C96592" w:rsidRPr="00A52A39" w:rsidRDefault="37341B93" w:rsidP="0130D5B7">
      <w:pPr>
        <w:rPr>
          <w:rFonts w:eastAsia="Times New Roman"/>
          <w:noProof/>
        </w:rPr>
      </w:pPr>
      <w:r w:rsidRPr="00A52A39">
        <w:rPr>
          <w:noProof/>
        </w:rPr>
        <w:t>Les négociations relatives à l’APEG ont été officiellement lancées le 19 juillet 2016 par le ministre indonésien du commerce, Thomas Lembong, et l’ambassadeur de l’UE en Indonésie, Vincent Guérend. Les négociations couvraient la protection des investissements. Toutefois, à la suite de l’avis 2/15 de la Cour de justice du 16 mai 2017, il a été décidé que le volet relatif à la protection des investissements constituerait le fondement d’un accord autonome (l’accord de protection des investissements, ci-après l’«API»). La Commission a informé le comité de la politique commerciale de sa décision de scinder l’APEG et l’API en 2021 après la reprise des négociations à la suite de la pandémie de COVID-19.</w:t>
      </w:r>
    </w:p>
    <w:p w:rsidR="08C96592" w:rsidRPr="00A52A39" w:rsidRDefault="2A3D1E3E" w:rsidP="00B078F3">
      <w:pPr>
        <w:rPr>
          <w:noProof/>
        </w:rPr>
      </w:pPr>
      <w:r w:rsidRPr="00A52A39">
        <w:rPr>
          <w:noProof/>
        </w:rPr>
        <w:t>Les négociations en vue d’un APEG et d’un API entre l’Union européenne et l’Indonésie ont été menées à bonne fin le 23 septembre 2025, avec pour objectif de créer de nouvelles possibilités et d’assurer une sécurité juridique pour le commerce et les investissements entre les deux partenaires.</w:t>
      </w:r>
    </w:p>
    <w:p w:rsidR="00BB3091" w:rsidRPr="00A52A39" w:rsidRDefault="00BB3091" w:rsidP="3057B8D0">
      <w:pPr>
        <w:pBdr>
          <w:top w:val="nil"/>
          <w:left w:val="nil"/>
          <w:bottom w:val="nil"/>
          <w:right w:val="nil"/>
          <w:between w:val="nil"/>
          <w:bar w:val="nil"/>
        </w:pBdr>
        <w:spacing w:before="0" w:after="240"/>
        <w:rPr>
          <w:rFonts w:eastAsia="Arial Unicode MS"/>
          <w:noProof/>
        </w:rPr>
      </w:pPr>
      <w:r w:rsidRPr="00A52A39">
        <w:rPr>
          <w:noProof/>
        </w:rPr>
        <w:t xml:space="preserve">Les textes de l’API intégrant le résultat de l’examen juridique ont été rendus publics et sont disponibles à l’adresse suivante: </w:t>
      </w:r>
    </w:p>
    <w:p w:rsidR="00D56EAA" w:rsidRPr="00A52A39" w:rsidRDefault="009A1C56" w:rsidP="00D56EAA">
      <w:pPr>
        <w:pBdr>
          <w:top w:val="nil"/>
          <w:left w:val="nil"/>
          <w:bottom w:val="nil"/>
          <w:right w:val="nil"/>
          <w:between w:val="nil"/>
          <w:bar w:val="nil"/>
        </w:pBdr>
        <w:spacing w:before="0" w:after="240"/>
        <w:rPr>
          <w:rFonts w:eastAsia="Arial Unicode MS"/>
          <w:noProof/>
        </w:rPr>
      </w:pPr>
      <w:hyperlink r:id="rId14" w:history="1">
        <w:r w:rsidR="00D56EAA" w:rsidRPr="00A52A39">
          <w:rPr>
            <w:rStyle w:val="Hyperlink"/>
            <w:noProof/>
          </w:rPr>
          <w:t>Texte des accords - Commerce et sécurité économique - Commission européenne</w:t>
        </w:r>
      </w:hyperlink>
      <w:r w:rsidR="00D56EAA" w:rsidRPr="00A52A39">
        <w:rPr>
          <w:noProof/>
        </w:rPr>
        <w:t>.</w:t>
      </w:r>
    </w:p>
    <w:p w:rsidR="00BB3091" w:rsidRPr="00A52A39" w:rsidRDefault="147A79F6" w:rsidP="00BB3091">
      <w:pPr>
        <w:pBdr>
          <w:top w:val="nil"/>
          <w:left w:val="nil"/>
          <w:bottom w:val="nil"/>
          <w:right w:val="nil"/>
          <w:between w:val="nil"/>
          <w:bar w:val="nil"/>
        </w:pBdr>
        <w:spacing w:before="0" w:after="240"/>
        <w:rPr>
          <w:rFonts w:eastAsia="Arial Unicode MS"/>
          <w:noProof/>
        </w:rPr>
      </w:pPr>
      <w:r w:rsidRPr="00A52A39">
        <w:rPr>
          <w:noProof/>
        </w:rPr>
        <w:t xml:space="preserve">La Commission présente les propositions suivantes de décisions du Conseil: </w:t>
      </w:r>
    </w:p>
    <w:p w:rsidR="52D4B50C" w:rsidRPr="00A52A39" w:rsidRDefault="52D4B50C" w:rsidP="002C33B5">
      <w:pPr>
        <w:pStyle w:val="Tiret1"/>
        <w:numPr>
          <w:ilvl w:val="0"/>
          <w:numId w:val="6"/>
        </w:numPr>
        <w:rPr>
          <w:noProof/>
        </w:rPr>
      </w:pPr>
      <w:r w:rsidRPr="00A52A39">
        <w:rPr>
          <w:noProof/>
        </w:rPr>
        <w:t xml:space="preserve">proposition de décision du Conseil relative à la signature de l’accord de partenariat économique global entre l’Union européenne et l’Indonésie; </w:t>
      </w:r>
    </w:p>
    <w:p w:rsidR="231A0D0F" w:rsidRPr="00A52A39" w:rsidRDefault="231A0D0F" w:rsidP="00876C4F">
      <w:pPr>
        <w:pStyle w:val="Tiret1"/>
        <w:rPr>
          <w:noProof/>
        </w:rPr>
      </w:pPr>
      <w:r w:rsidRPr="00A52A39">
        <w:rPr>
          <w:noProof/>
        </w:rPr>
        <w:lastRenderedPageBreak/>
        <w:t xml:space="preserve">proposition de décision du Conseil relative à la conclusion de l’accord de partenariat économique global entre l’Union européenne et l’Indonésie; </w:t>
      </w:r>
    </w:p>
    <w:p w:rsidR="00BB3091" w:rsidRPr="00A52A39" w:rsidRDefault="755FAA92" w:rsidP="00876C4F">
      <w:pPr>
        <w:pStyle w:val="Tiret1"/>
        <w:rPr>
          <w:noProof/>
        </w:rPr>
      </w:pPr>
      <w:r w:rsidRPr="00A52A39">
        <w:rPr>
          <w:noProof/>
        </w:rPr>
        <w:t xml:space="preserve">proposition de décision du Conseil relative à la signature de l’accord de protection des investissements entre l’Union européenne et l’Indonésie; </w:t>
      </w:r>
    </w:p>
    <w:p w:rsidR="00BB3091" w:rsidRPr="00A52A39" w:rsidRDefault="00BB3091" w:rsidP="00876C4F">
      <w:pPr>
        <w:pStyle w:val="Tiret1"/>
        <w:rPr>
          <w:noProof/>
        </w:rPr>
      </w:pPr>
      <w:r w:rsidRPr="00A52A39">
        <w:rPr>
          <w:noProof/>
        </w:rPr>
        <w:t>proposition de décision du Conseil relative à la conclusion de l’accord de protection des investissements entre l’Union européenne et l’Indonésie.</w:t>
      </w:r>
    </w:p>
    <w:p w:rsidR="00BB3091" w:rsidRPr="00A52A39" w:rsidRDefault="00BB3091" w:rsidP="3057B8D0">
      <w:pPr>
        <w:pBdr>
          <w:top w:val="nil"/>
          <w:left w:val="nil"/>
          <w:bottom w:val="nil"/>
          <w:right w:val="nil"/>
          <w:between w:val="nil"/>
          <w:bar w:val="nil"/>
        </w:pBdr>
        <w:spacing w:before="0" w:after="240"/>
        <w:rPr>
          <w:rFonts w:eastAsia="Arial Unicode MS"/>
          <w:noProof/>
        </w:rPr>
      </w:pPr>
      <w:r w:rsidRPr="00A52A39">
        <w:rPr>
          <w:noProof/>
        </w:rPr>
        <w:t>La proposition de décision du Conseil ci-jointe constitue l’instrument juridique autorisant la signature de l’API entre l’Union européenne et l’Indonésie.</w:t>
      </w:r>
    </w:p>
    <w:p w:rsidR="00BB3091" w:rsidRPr="00A52A39" w:rsidRDefault="00BB3091" w:rsidP="00EF2AB0">
      <w:pPr>
        <w:pStyle w:val="ManualHeading2"/>
        <w:rPr>
          <w:noProof/>
        </w:rPr>
      </w:pPr>
      <w:r w:rsidRPr="00A52A39">
        <w:rPr>
          <w:noProof/>
        </w:rPr>
        <w:t>•</w:t>
      </w:r>
      <w:r w:rsidRPr="00A52A39">
        <w:rPr>
          <w:noProof/>
        </w:rPr>
        <w:tab/>
        <w:t>Cohérence avec les dispositions existantes dans le domaine d’action</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Avant de conclure les négociations en vue de l’API, l’UE et l’Indonésie avaient négocié un accord de partenariat et de coopération (APC) qui a été signé à Jakarta le 9 novembre 2009 et qui est entré en vigueur le 1</w:t>
      </w:r>
      <w:r w:rsidRPr="00A52A39">
        <w:rPr>
          <w:noProof/>
          <w:vertAlign w:val="superscript"/>
        </w:rPr>
        <w:t>er</w:t>
      </w:r>
      <w:r w:rsidRPr="00A52A39">
        <w:rPr>
          <w:noProof/>
        </w:rPr>
        <w:t> mai 2014. Cet accord jette les bases d’une coopération dans un large éventail de domaines d’action, notamment les droits de l’homme et le commerce, ainsi que d’un dialogue politique et d’une coopération sectorielle</w:t>
      </w:r>
      <w:r w:rsidR="00F67115">
        <w:rPr>
          <w:noProof/>
        </w:rPr>
        <w:t xml:space="preserve"> sur une base régulière</w:t>
      </w:r>
      <w:r w:rsidRPr="00A52A39">
        <w:rPr>
          <w:noProof/>
        </w:rPr>
        <w:t>.</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Une fois qu’il sera entré en vigueur, l’API coexistera avec l’APC sous la forme d’un accord spécifique et fera partie intégrante des relations bilatérales globales entre l’UE et l’Indonésie. Les deux accords ne comportent pas de dispositions contradictoires.</w:t>
      </w:r>
    </w:p>
    <w:p w:rsidR="00BB3091" w:rsidRPr="00A52A39" w:rsidRDefault="00BB3091" w:rsidP="00EF2AB0">
      <w:pPr>
        <w:pStyle w:val="ManualHeading2"/>
        <w:rPr>
          <w:noProof/>
        </w:rPr>
      </w:pPr>
      <w:r w:rsidRPr="00A52A39">
        <w:rPr>
          <w:noProof/>
        </w:rPr>
        <w:t>•</w:t>
      </w:r>
      <w:r w:rsidRPr="00A52A39">
        <w:rPr>
          <w:noProof/>
        </w:rPr>
        <w:tab/>
        <w:t>Cohérence avec les autres politiques de l’Union</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 xml:space="preserve">L’API est parfaitement cohérent avec les politiques de l’Union et ne nécessitera pas que l’UE modifie ses règles, réglementations ou normes dans quelque domaine réglementé que ce soit. En outre, l’API garantit pleinement le droit de l’UE et de l’Indonésie de réglementer sur leurs territoires en vue de répondre à des objectifs </w:t>
      </w:r>
      <w:r w:rsidR="002D23F7">
        <w:rPr>
          <w:noProof/>
        </w:rPr>
        <w:t>d’action</w:t>
      </w:r>
      <w:r w:rsidRPr="00A52A39">
        <w:rPr>
          <w:noProof/>
        </w:rPr>
        <w:t xml:space="preserve"> légitimes, tels que la protection de la moralité publique, la protection sociale ou des consommateurs, la protection de la vie privée et des données, le développement durable ou la promotion et la protection de la diversité culturelle.</w:t>
      </w:r>
    </w:p>
    <w:p w:rsidR="00BB3091" w:rsidRPr="00A52A39" w:rsidRDefault="00BB3091" w:rsidP="00EF2AB0">
      <w:pPr>
        <w:pStyle w:val="ManualHeading1"/>
        <w:rPr>
          <w:noProof/>
        </w:rPr>
      </w:pPr>
      <w:r w:rsidRPr="00A52A39">
        <w:rPr>
          <w:noProof/>
        </w:rPr>
        <w:t>2.</w:t>
      </w:r>
      <w:r w:rsidRPr="00A52A39">
        <w:rPr>
          <w:noProof/>
        </w:rPr>
        <w:tab/>
        <w:t>BASE JURIDIQUE, SUBSIDIARITÉ ET PROPORTIONNALITÉ</w:t>
      </w:r>
    </w:p>
    <w:p w:rsidR="00BB3091" w:rsidRPr="00A52A39" w:rsidRDefault="36D5CA12" w:rsidP="00EF2AB0">
      <w:pPr>
        <w:pStyle w:val="ManualHeading2"/>
        <w:rPr>
          <w:noProof/>
        </w:rPr>
      </w:pPr>
      <w:r w:rsidRPr="00A52A39">
        <w:rPr>
          <w:noProof/>
        </w:rPr>
        <w:t>•</w:t>
      </w:r>
      <w:r w:rsidRPr="00A52A39">
        <w:rPr>
          <w:noProof/>
        </w:rPr>
        <w:tab/>
        <w:t>Base juridique matérielle</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L’article 207 du traité sur le fonctionnement de l’Union européenne (TFUE) prévoit la négociation et la conclusion d’accords commerciaux dans le cadre de la politique commerciale commune de l’Union, qui couvre les investissements directs étrangers.</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Étant donné que l’API a pour principal objectif de créer un meilleur climat pour le développement des investissements directs étrangers entre l’UE et l’Indonésie et d’établir les dispositions nécessaires à la protection de ces investissements, la base juridique matérielle est l’article 207 du TFUE.</w:t>
      </w:r>
    </w:p>
    <w:p w:rsidR="00BB3091" w:rsidRPr="00A52A39" w:rsidRDefault="755FAA92" w:rsidP="0130D5B7">
      <w:pPr>
        <w:pBdr>
          <w:top w:val="nil"/>
          <w:left w:val="nil"/>
          <w:bottom w:val="nil"/>
          <w:right w:val="nil"/>
          <w:between w:val="nil"/>
          <w:bar w:val="nil"/>
        </w:pBdr>
        <w:spacing w:before="0" w:after="240"/>
        <w:rPr>
          <w:rFonts w:eastAsia="Arial Unicode MS"/>
          <w:noProof/>
        </w:rPr>
      </w:pPr>
      <w:r w:rsidRPr="00A52A39">
        <w:rPr>
          <w:noProof/>
        </w:rPr>
        <w:t>Compte tenu de l’objet de l’accord envisagé, il convient que la Commission présente la proposition au Conseil.</w:t>
      </w:r>
    </w:p>
    <w:p w:rsidR="00BB3091" w:rsidRPr="00A52A39" w:rsidRDefault="00EF2AB0" w:rsidP="00EF2AB0">
      <w:pPr>
        <w:pStyle w:val="ManualHeading2"/>
        <w:rPr>
          <w:noProof/>
        </w:rPr>
      </w:pPr>
      <w:r w:rsidRPr="00A52A39">
        <w:rPr>
          <w:noProof/>
        </w:rPr>
        <w:t>•</w:t>
      </w:r>
      <w:r w:rsidRPr="00A52A39">
        <w:rPr>
          <w:noProof/>
        </w:rPr>
        <w:tab/>
        <w:t>Base juridique procédurale</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L’article 218, paragraphe 5, du TFUE prévoit que, lorsque l’accord envisagé ne porte pas exclusivement ou principalement sur la politique étrangère et de sécurité commune, la Commission présente une proposition au Conseil. Celui-ci adopte une décision autorisant la signature de l’accord.</w:t>
      </w:r>
    </w:p>
    <w:p w:rsidR="00BB3091" w:rsidRPr="00A52A39" w:rsidRDefault="755FAA92" w:rsidP="0130D5B7">
      <w:pPr>
        <w:pBdr>
          <w:top w:val="nil"/>
          <w:left w:val="nil"/>
          <w:bottom w:val="nil"/>
          <w:right w:val="nil"/>
          <w:between w:val="nil"/>
          <w:bar w:val="nil"/>
        </w:pBdr>
        <w:spacing w:before="0" w:after="240"/>
        <w:rPr>
          <w:rFonts w:eastAsia="Arial Unicode MS"/>
          <w:noProof/>
        </w:rPr>
      </w:pPr>
      <w:r w:rsidRPr="00A52A39">
        <w:rPr>
          <w:noProof/>
        </w:rPr>
        <w:lastRenderedPageBreak/>
        <w:t>La Commission propose d’autoriser la signature de l’API entre l’Union européenne et l’Indonésie, sous réserve de sa conclusion à une date ultérieure.</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La proposition de décision autorisant la signature de l’accord envisagé a pour base juridique procédurale l’article 218, paragraphe 5, du TFUE.</w:t>
      </w:r>
    </w:p>
    <w:p w:rsidR="00BB3091" w:rsidRPr="00A52A39" w:rsidRDefault="00EF2AB0" w:rsidP="00EF2AB0">
      <w:pPr>
        <w:pStyle w:val="ManualHeading2"/>
        <w:rPr>
          <w:noProof/>
        </w:rPr>
      </w:pPr>
      <w:r w:rsidRPr="00A52A39">
        <w:rPr>
          <w:noProof/>
        </w:rPr>
        <w:t>•</w:t>
      </w:r>
      <w:r w:rsidRPr="00A52A39">
        <w:rPr>
          <w:noProof/>
        </w:rPr>
        <w:tab/>
        <w:t>Compétence de l’Union</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Conformément à l’avis 2/15 de la Cour de justice du 16 mai 2017 relatif à l’ALE UE-Singapour, tous les domaines visés par l’API relèveraient de la compétence exclusive de l’UE et, plus particulièrement, du champ d’application de l’article 207 du TFUE. La Cour a confirmé la compétence exclusive de l’UE au titre de la politique commerciale commune conformément à l’article 207, paragraphe 1, du TFUE et à l’article 3, paragraphe 2, du TFUE.</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Par voie de conséquence, l’API doit être signé par l’Union en vertu d’une décision du Conseil basée sur l’article 218, paragraphe 5, du TFUE et conclu par l’Union en vertu d’une décision du Conseil basée sur l’article 218, paragraphe 6, du TFUE, après approbation du Parlement européen.</w:t>
      </w:r>
    </w:p>
    <w:p w:rsidR="00BB3091" w:rsidRPr="00A52A39" w:rsidRDefault="00BB3091" w:rsidP="00EF2AB0">
      <w:pPr>
        <w:pStyle w:val="ManualHeading2"/>
        <w:rPr>
          <w:noProof/>
        </w:rPr>
      </w:pPr>
      <w:r w:rsidRPr="00A52A39">
        <w:rPr>
          <w:noProof/>
        </w:rPr>
        <w:t>•</w:t>
      </w:r>
      <w:r w:rsidRPr="00A52A39">
        <w:rPr>
          <w:noProof/>
        </w:rPr>
        <w:tab/>
        <w:t>Subsidiarité (en cas de compétence non exclusive)</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L’API, tel que présenté au Conseil, ne porte sur aucune matière ne relevant pas de la compétence exclusive de l’UE.</w:t>
      </w:r>
    </w:p>
    <w:p w:rsidR="00BB3091" w:rsidRPr="00A52A39" w:rsidRDefault="00BB3091" w:rsidP="00EF2AB0">
      <w:pPr>
        <w:pStyle w:val="ManualHeading2"/>
        <w:rPr>
          <w:noProof/>
        </w:rPr>
      </w:pPr>
      <w:r w:rsidRPr="00A52A39">
        <w:rPr>
          <w:noProof/>
        </w:rPr>
        <w:t>•</w:t>
      </w:r>
      <w:r w:rsidRPr="00A52A39">
        <w:rPr>
          <w:noProof/>
        </w:rPr>
        <w:tab/>
        <w:t>Proportionnalité</w:t>
      </w:r>
    </w:p>
    <w:p w:rsidR="00BB3091" w:rsidRPr="00A52A39" w:rsidRDefault="43B115FF" w:rsidP="4790380F">
      <w:pPr>
        <w:pBdr>
          <w:top w:val="nil"/>
          <w:left w:val="nil"/>
          <w:bottom w:val="nil"/>
          <w:right w:val="nil"/>
          <w:between w:val="nil"/>
          <w:bar w:val="nil"/>
        </w:pBdr>
        <w:spacing w:before="0" w:after="240"/>
        <w:rPr>
          <w:rFonts w:eastAsia="Arial Unicode MS"/>
          <w:noProof/>
        </w:rPr>
      </w:pPr>
      <w:r w:rsidRPr="00A52A39">
        <w:rPr>
          <w:noProof/>
        </w:rPr>
        <w:t>Les accords de protection des investissements constituent le moyen approprié de créer un meilleur climat pour le développement des investissements directs étrangers et d’établir les dispositions nécessaires à la protection de ces investissements entre l’UE et un pays tiers. Il n’existe aucune autre solution pour rendre juridiquement contraignants de tels efforts de protection.</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Cette initiative poursuit directement l’objectif de l’Union en matière d’action extérieure et contribue à la priorité politique visant à «renforcer la position de l’UE sur la scène internationale». Elle est conforme aux orientations de la stratégie globale de l’UE visant à engager le dialogue avec les autres parties prenantes et à revoir ses partenariats extérieurs de manière responsable, pour mettre en œuvre les priorités extérieures de l’UE. Elle contribue à la réalisation des objectifs de l’UE en matière de commerce et de développement.</w:t>
      </w:r>
    </w:p>
    <w:p w:rsidR="00BB3091" w:rsidRPr="00A52A39" w:rsidRDefault="00BB3091" w:rsidP="00EF2AB0">
      <w:pPr>
        <w:pStyle w:val="ManualHeading2"/>
        <w:rPr>
          <w:noProof/>
        </w:rPr>
      </w:pPr>
      <w:r w:rsidRPr="00A52A39">
        <w:rPr>
          <w:noProof/>
        </w:rPr>
        <w:t>•</w:t>
      </w:r>
      <w:r w:rsidRPr="00A52A39">
        <w:rPr>
          <w:noProof/>
        </w:rPr>
        <w:tab/>
        <w:t>Choix de l’instrument</w:t>
      </w:r>
    </w:p>
    <w:p w:rsidR="00BB3091" w:rsidRPr="00A52A39" w:rsidRDefault="755FAA92" w:rsidP="0130D5B7">
      <w:pPr>
        <w:pBdr>
          <w:top w:val="nil"/>
          <w:left w:val="nil"/>
          <w:bottom w:val="nil"/>
          <w:right w:val="nil"/>
          <w:between w:val="nil"/>
          <w:bar w:val="nil"/>
        </w:pBdr>
        <w:spacing w:before="0" w:after="240"/>
        <w:rPr>
          <w:rFonts w:eastAsia="Arial Unicode MS"/>
          <w:noProof/>
        </w:rPr>
      </w:pPr>
      <w:r w:rsidRPr="00A52A39">
        <w:rPr>
          <w:noProof/>
        </w:rPr>
        <w:t>La présente proposition est conforme à l’article 218, paragraphe 5, du TFUE, qui prévoit l’adoption par le Conseil de décisions relatives à la signature des accords internationaux. Aucun autre instrument juridique ne permettrait d’atteindre l’objectif énoncé dans la proposition ci-jointe.</w:t>
      </w:r>
    </w:p>
    <w:p w:rsidR="00BB3091" w:rsidRPr="00A52A39" w:rsidRDefault="00BB3091" w:rsidP="00EF2AB0">
      <w:pPr>
        <w:pStyle w:val="ManualHeading1"/>
        <w:rPr>
          <w:noProof/>
        </w:rPr>
      </w:pPr>
      <w:r w:rsidRPr="00A52A39">
        <w:rPr>
          <w:noProof/>
        </w:rPr>
        <w:t>3.</w:t>
      </w:r>
      <w:r w:rsidRPr="00A52A39">
        <w:rPr>
          <w:noProof/>
        </w:rPr>
        <w:tab/>
        <w:t>RÉSULTATS DES ÉVALUATIONS EX POST, DES CONSULTATIONS DES PARTIES INTÉRESSÉES ET DES ANALYSES D’IMPACT</w:t>
      </w:r>
    </w:p>
    <w:p w:rsidR="00BB3091" w:rsidRPr="00A52A39" w:rsidRDefault="00BB3091" w:rsidP="00EF2AB0">
      <w:pPr>
        <w:pStyle w:val="ManualHeading2"/>
        <w:rPr>
          <w:noProof/>
        </w:rPr>
      </w:pPr>
      <w:r w:rsidRPr="00A52A39">
        <w:rPr>
          <w:noProof/>
        </w:rPr>
        <w:t>•</w:t>
      </w:r>
      <w:r w:rsidRPr="00A52A39">
        <w:rPr>
          <w:noProof/>
        </w:rPr>
        <w:tab/>
        <w:t>Consultation des parties intéressées</w:t>
      </w:r>
    </w:p>
    <w:p w:rsidR="00BB3091" w:rsidRPr="00A52A39" w:rsidRDefault="36D5CA12" w:rsidP="4790380F">
      <w:pPr>
        <w:pBdr>
          <w:top w:val="nil"/>
          <w:left w:val="nil"/>
          <w:bottom w:val="nil"/>
          <w:right w:val="nil"/>
          <w:between w:val="nil"/>
          <w:bar w:val="nil"/>
        </w:pBdr>
        <w:spacing w:before="0" w:after="240"/>
        <w:rPr>
          <w:rFonts w:eastAsia="Times New Roman"/>
          <w:noProof/>
        </w:rPr>
      </w:pPr>
      <w:r w:rsidRPr="00A52A39">
        <w:rPr>
          <w:noProof/>
        </w:rPr>
        <w:t xml:space="preserve">Avant et pendant les négociations, les États membres de l’UE ont été régulièrement informés et consultés, oralement et par écrit, au sujet des différents aspects de la négociation par l’intermédiaire du comité de la politique commerciale du Conseil, notamment au sein de son sous-groupe «Services et investissements». Le Parlement européen a aussi été régulièrement </w:t>
      </w:r>
      <w:r w:rsidRPr="00A52A39">
        <w:rPr>
          <w:noProof/>
        </w:rPr>
        <w:lastRenderedPageBreak/>
        <w:t>informé et consulté par l’intermédiaire de sa commission du commerce international (INTA). Les textes reflétant l’avancement des négociations ont été diffusés tout au long du processus auprès des deux institutions.</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 xml:space="preserve">Parallèlement aux négociations, la Commission a demandé la réalisation d’une </w:t>
      </w:r>
      <w:hyperlink r:id="rId15">
        <w:r w:rsidRPr="00A52A39">
          <w:rPr>
            <w:rStyle w:val="Hyperlink"/>
            <w:noProof/>
          </w:rPr>
          <w:t>évaluation de l’impact sur le développement durable</w:t>
        </w:r>
      </w:hyperlink>
      <w:r w:rsidRPr="00A52A39">
        <w:rPr>
          <w:noProof/>
        </w:rPr>
        <w:t xml:space="preserve"> (ci-après l’«EIDD») de l’APEG entre l’UE et l’Indonésie.</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L’EIDD, qui s’est achevée en septembre 2019 pour soutenir les négociations en vue d’un accord de libre-échange et de protection des investissements, a examiné dans quelle mesure les dispositions en matière de commerce et d’investissement de l’APEG en cours de négociation pourraient avoir une incidence sur les plans économique, social, environnemental et des droits de l’homme dans l’UE et en Indonésie. Elle s’est appuyée sur l’analyse présentée dans l’EIDD réalisée en 2009 à l’appui des négociations interrégionales en vue d’un accord commercial UE-ASEAN, en fournissant des informations plus actualisées et en mettant clairement l’accent sur les caractéristiques spécifiques et les incidences potentielles des négociations bilatérales avec l’Indonésie uniquement.</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Dans l’ensemble, l’EIDD a conclu que l’accord devrait avoir des retombées positives pour les deux parties et leurs sociétés, en ce qui concerne tous les indicateurs économiques clés (PIB, bien-être, commerce mondial et bilatéral), l’ampleur de ces retombées étant plus importante en Indonésie que dans l’UE, en raison des différences liées à la taille relative des deux économies.</w:t>
      </w:r>
    </w:p>
    <w:p w:rsidR="00BB3091" w:rsidRPr="00A52A39" w:rsidRDefault="00BB3091" w:rsidP="00BB3091">
      <w:pPr>
        <w:pBdr>
          <w:top w:val="nil"/>
          <w:left w:val="nil"/>
          <w:bottom w:val="nil"/>
          <w:right w:val="nil"/>
          <w:between w:val="nil"/>
          <w:bar w:val="nil"/>
        </w:pBdr>
        <w:spacing w:before="0" w:after="240"/>
        <w:rPr>
          <w:rFonts w:eastAsia="Arial Unicode MS"/>
          <w:noProof/>
        </w:rPr>
      </w:pPr>
      <w:r w:rsidRPr="00A52A39">
        <w:rPr>
          <w:noProof/>
        </w:rPr>
        <w:t>Dans le cadre de l’EIDD et tout au long des négociations, la Commission a donné aux organisations de la société civile la possibilité de faire entendre leur voix, de poser des questions et de contribuer à un débat sociétal solide, transparent et fondé sur des données probantes, notamment dans le cadre de dialogues spécifiques avec la société civile, d’un atelier avec les acteurs locaux en Indonésie, de réunions bilatérales, d’entretiens et d’enquêtes en ligne.</w:t>
      </w:r>
    </w:p>
    <w:p w:rsidR="00BB3091" w:rsidRPr="00A52A39" w:rsidRDefault="00BB3091" w:rsidP="00BB3091">
      <w:pPr>
        <w:pBdr>
          <w:top w:val="nil"/>
          <w:left w:val="nil"/>
          <w:bottom w:val="nil"/>
          <w:right w:val="nil"/>
          <w:between w:val="nil"/>
          <w:bar w:val="nil"/>
        </w:pBdr>
        <w:spacing w:before="0" w:after="240"/>
        <w:rPr>
          <w:rFonts w:eastAsia="Arial Unicode MS"/>
          <w:noProof/>
        </w:rPr>
      </w:pPr>
      <w:r w:rsidRPr="00A52A39">
        <w:rPr>
          <w:noProof/>
        </w:rPr>
        <w:t>Par ailleurs, durant les négociations et conformément à sa politique de transparence, la Commission a publié sur son site web et régulièrement mis à jour des rapports sur les cycles de négociation, les propositions de texte, des communiqués de presse, des fiches d’information et des documents d’information générale.</w:t>
      </w:r>
    </w:p>
    <w:p w:rsidR="00BB3091" w:rsidRPr="00A52A39" w:rsidRDefault="00BB3091" w:rsidP="00EF2AB0">
      <w:pPr>
        <w:pStyle w:val="ManualHeading2"/>
        <w:rPr>
          <w:noProof/>
        </w:rPr>
      </w:pPr>
      <w:r w:rsidRPr="00A52A39">
        <w:rPr>
          <w:noProof/>
        </w:rPr>
        <w:t>•</w:t>
      </w:r>
      <w:r w:rsidRPr="00A52A39">
        <w:rPr>
          <w:noProof/>
        </w:rPr>
        <w:tab/>
        <w:t>Obtention et utilisation d’expertise</w:t>
      </w:r>
    </w:p>
    <w:p w:rsidR="00BB3091" w:rsidRPr="00A52A39" w:rsidRDefault="00BB3091" w:rsidP="00BB3091">
      <w:pPr>
        <w:pBdr>
          <w:top w:val="nil"/>
          <w:left w:val="nil"/>
          <w:bottom w:val="nil"/>
          <w:right w:val="nil"/>
          <w:between w:val="nil"/>
          <w:bar w:val="nil"/>
        </w:pBdr>
        <w:spacing w:before="0" w:after="240"/>
        <w:rPr>
          <w:rFonts w:eastAsia="Arial Unicode MS"/>
          <w:noProof/>
        </w:rPr>
      </w:pPr>
      <w:r w:rsidRPr="00A52A39">
        <w:rPr>
          <w:noProof/>
        </w:rPr>
        <w:t>L’EIDD de l’APEG, dont la direction générale du commerce de la Commission a demandé la réalisation, a été menée à bien par un consortium de sociétés de conseil indépendantes dirigé par Development Solutions.</w:t>
      </w:r>
    </w:p>
    <w:p w:rsidR="00BB3091" w:rsidRPr="00A52A39" w:rsidRDefault="00BB3091" w:rsidP="00EF2AB0">
      <w:pPr>
        <w:pStyle w:val="ManualHeading2"/>
        <w:rPr>
          <w:noProof/>
        </w:rPr>
      </w:pPr>
      <w:r w:rsidRPr="00A52A39">
        <w:rPr>
          <w:noProof/>
        </w:rPr>
        <w:t>•</w:t>
      </w:r>
      <w:r w:rsidRPr="00A52A39">
        <w:rPr>
          <w:noProof/>
        </w:rPr>
        <w:tab/>
        <w:t>Analyse d’impact</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Les négociations relatives aux accords bilatéraux de libre-échange entre l’UE et les pays d’Asie du Sud-Est ont fait l’objet de l’analyse d’impact réalisée lors de la présentation par la Commission de sa proposition de mandat de négociation en vue d’un accord de libre-échange entre l’UE et l’ASEAN.</w:t>
      </w:r>
    </w:p>
    <w:p w:rsidR="00BB3091" w:rsidRPr="00A52A39" w:rsidRDefault="00BB3091" w:rsidP="00EF2AB0">
      <w:pPr>
        <w:pStyle w:val="ManualHeading2"/>
        <w:rPr>
          <w:noProof/>
        </w:rPr>
      </w:pPr>
      <w:r w:rsidRPr="00A52A39">
        <w:rPr>
          <w:noProof/>
        </w:rPr>
        <w:t>•</w:t>
      </w:r>
      <w:r w:rsidRPr="00A52A39">
        <w:rPr>
          <w:noProof/>
        </w:rPr>
        <w:tab/>
        <w:t>Réglementation affûtée et simplification</w:t>
      </w:r>
    </w:p>
    <w:p w:rsidR="00BB3091" w:rsidRPr="00A52A39" w:rsidRDefault="36D5CA12" w:rsidP="4790380F">
      <w:pPr>
        <w:pBdr>
          <w:top w:val="nil"/>
          <w:left w:val="nil"/>
          <w:bottom w:val="nil"/>
          <w:right w:val="nil"/>
          <w:between w:val="nil"/>
          <w:bar w:val="nil"/>
        </w:pBdr>
        <w:spacing w:before="0" w:after="240"/>
        <w:rPr>
          <w:rFonts w:eastAsia="Arial Unicode MS"/>
          <w:noProof/>
        </w:rPr>
      </w:pPr>
      <w:r w:rsidRPr="00A52A39">
        <w:rPr>
          <w:noProof/>
        </w:rPr>
        <w:t>L’API n’est pas soumis aux procédures du programme REFIT.</w:t>
      </w:r>
    </w:p>
    <w:p w:rsidR="00BB3091" w:rsidRPr="00A52A39" w:rsidRDefault="00BB3091" w:rsidP="00EF2AB0">
      <w:pPr>
        <w:pStyle w:val="ManualHeading2"/>
        <w:rPr>
          <w:noProof/>
        </w:rPr>
      </w:pPr>
      <w:r w:rsidRPr="00A52A39">
        <w:rPr>
          <w:noProof/>
        </w:rPr>
        <w:lastRenderedPageBreak/>
        <w:t>•</w:t>
      </w:r>
      <w:r w:rsidRPr="00A52A39">
        <w:rPr>
          <w:noProof/>
        </w:rPr>
        <w:tab/>
        <w:t>Droits fondamentaux</w:t>
      </w:r>
    </w:p>
    <w:p w:rsidR="00BB3091" w:rsidRPr="00A52A39" w:rsidRDefault="00BB3091" w:rsidP="00BB3091">
      <w:pPr>
        <w:pBdr>
          <w:top w:val="nil"/>
          <w:left w:val="nil"/>
          <w:bottom w:val="nil"/>
          <w:right w:val="nil"/>
          <w:between w:val="nil"/>
          <w:bar w:val="nil"/>
        </w:pBdr>
        <w:spacing w:before="0" w:after="240"/>
        <w:rPr>
          <w:rFonts w:eastAsia="Arial Unicode MS"/>
          <w:noProof/>
        </w:rPr>
      </w:pPr>
      <w:r w:rsidRPr="00A52A39">
        <w:rPr>
          <w:noProof/>
        </w:rPr>
        <w:t>La proposition n’a pas d’incidence sur la protection des droits fondamentaux dans l’Union.</w:t>
      </w:r>
    </w:p>
    <w:p w:rsidR="00BB3091" w:rsidRPr="00A52A39" w:rsidRDefault="00BB3091" w:rsidP="00EF2AB0">
      <w:pPr>
        <w:pStyle w:val="ManualHeading1"/>
        <w:rPr>
          <w:noProof/>
        </w:rPr>
      </w:pPr>
      <w:r w:rsidRPr="00A52A39">
        <w:rPr>
          <w:noProof/>
        </w:rPr>
        <w:t>4.</w:t>
      </w:r>
      <w:r w:rsidRPr="00A52A39">
        <w:rPr>
          <w:noProof/>
        </w:rPr>
        <w:tab/>
        <w:t>INCIDENCE BUDGÉTAIRE</w:t>
      </w:r>
    </w:p>
    <w:p w:rsidR="00BB3091" w:rsidRPr="00A52A39" w:rsidRDefault="00BB3091" w:rsidP="3057B8D0">
      <w:pPr>
        <w:pBdr>
          <w:top w:val="nil"/>
          <w:left w:val="nil"/>
          <w:bottom w:val="nil"/>
          <w:right w:val="nil"/>
          <w:between w:val="nil"/>
          <w:bar w:val="nil"/>
        </w:pBdr>
        <w:spacing w:before="0" w:after="240"/>
        <w:rPr>
          <w:rFonts w:eastAsia="Arial Unicode MS"/>
          <w:noProof/>
        </w:rPr>
      </w:pPr>
      <w:r w:rsidRPr="00A52A39">
        <w:rPr>
          <w:noProof/>
        </w:rPr>
        <w:t>L’API n’aura pas d’incidence financière sur le budget de l’UE.</w:t>
      </w:r>
    </w:p>
    <w:p w:rsidR="00BB3091" w:rsidRPr="00A52A39" w:rsidRDefault="00BB3091" w:rsidP="00EF2AB0">
      <w:pPr>
        <w:pStyle w:val="ManualHeading1"/>
        <w:rPr>
          <w:noProof/>
        </w:rPr>
      </w:pPr>
      <w:r w:rsidRPr="00A52A39">
        <w:rPr>
          <w:noProof/>
        </w:rPr>
        <w:t>5.</w:t>
      </w:r>
      <w:r w:rsidRPr="00A52A39">
        <w:rPr>
          <w:noProof/>
        </w:rPr>
        <w:tab/>
        <w:t>AUTRES ÉLÉMENTS</w:t>
      </w:r>
    </w:p>
    <w:p w:rsidR="00BB3091" w:rsidRPr="00A52A39" w:rsidRDefault="00BB3091" w:rsidP="00EF2AB0">
      <w:pPr>
        <w:pStyle w:val="ManualHeading2"/>
        <w:rPr>
          <w:noProof/>
        </w:rPr>
      </w:pPr>
      <w:r w:rsidRPr="00A52A39">
        <w:rPr>
          <w:noProof/>
        </w:rPr>
        <w:t>•</w:t>
      </w:r>
      <w:r w:rsidRPr="00A52A39">
        <w:rPr>
          <w:noProof/>
        </w:rPr>
        <w:tab/>
        <w:t>Plans de mise en œuvre et modalités de suivi, d’évaluation et d’information</w:t>
      </w:r>
    </w:p>
    <w:p w:rsidR="00BB3091" w:rsidRPr="00A52A39" w:rsidRDefault="00BB3091" w:rsidP="3057B8D0">
      <w:pPr>
        <w:pBdr>
          <w:top w:val="nil"/>
          <w:left w:val="nil"/>
          <w:bottom w:val="nil"/>
          <w:right w:val="nil"/>
          <w:between w:val="nil"/>
          <w:bar w:val="nil"/>
        </w:pBdr>
        <w:spacing w:before="0" w:after="240"/>
        <w:rPr>
          <w:rFonts w:eastAsia="Arial Unicode MS"/>
          <w:noProof/>
        </w:rPr>
      </w:pPr>
      <w:r w:rsidRPr="00A52A39">
        <w:rPr>
          <w:noProof/>
        </w:rPr>
        <w:t>L’API comprend des dispositions institutionnelles qui définissent la structure des organismes d’exécution chargés du suivi continu de la mise en œuvre, du fonctionnement et de l’incidence de l’API.</w:t>
      </w:r>
    </w:p>
    <w:p w:rsidR="00BB3091" w:rsidRPr="00A52A39" w:rsidRDefault="00BB3091" w:rsidP="3057B8D0">
      <w:pPr>
        <w:pBdr>
          <w:top w:val="nil"/>
          <w:left w:val="nil"/>
          <w:bottom w:val="nil"/>
          <w:right w:val="nil"/>
          <w:between w:val="nil"/>
          <w:bar w:val="nil"/>
        </w:pBdr>
        <w:spacing w:before="0" w:after="240"/>
        <w:rPr>
          <w:rFonts w:eastAsia="Arial Unicode MS"/>
          <w:noProof/>
        </w:rPr>
      </w:pPr>
      <w:r w:rsidRPr="00A52A39">
        <w:rPr>
          <w:noProof/>
        </w:rPr>
        <w:t>Le chapitre institutionnel de l’API établit un comité qui a pour tâche principale de surveiller et de faciliter la mise en œuvre et l’application de l’API.</w:t>
      </w:r>
    </w:p>
    <w:p w:rsidR="00BB3091" w:rsidRPr="00A52A39" w:rsidRDefault="147A79F6" w:rsidP="0130D5B7">
      <w:pPr>
        <w:pBdr>
          <w:top w:val="nil"/>
          <w:left w:val="nil"/>
          <w:bottom w:val="nil"/>
          <w:right w:val="nil"/>
          <w:between w:val="nil"/>
          <w:bar w:val="nil"/>
        </w:pBdr>
        <w:spacing w:before="0" w:after="240"/>
        <w:rPr>
          <w:rFonts w:eastAsia="Arial Unicode MS"/>
          <w:noProof/>
        </w:rPr>
      </w:pPr>
      <w:r w:rsidRPr="00A52A39">
        <w:rPr>
          <w:noProof/>
        </w:rPr>
        <w:t>Ce comité procédera à un échange de vues sur des sujets liés à la mise en œuvre de l’accord avec des représentants de la société civile dans le cadre d’un dialogue avec celle-ci.</w:t>
      </w:r>
    </w:p>
    <w:p w:rsidR="00BB3091" w:rsidRPr="00A52A39" w:rsidRDefault="147A79F6" w:rsidP="0130D5B7">
      <w:pPr>
        <w:pBdr>
          <w:top w:val="nil"/>
          <w:left w:val="nil"/>
          <w:bottom w:val="nil"/>
          <w:right w:val="nil"/>
          <w:between w:val="nil"/>
          <w:bar w:val="nil"/>
        </w:pBdr>
        <w:spacing w:before="0" w:after="240"/>
        <w:rPr>
          <w:rFonts w:eastAsia="Arial Unicode MS"/>
          <w:noProof/>
        </w:rPr>
      </w:pPr>
      <w:r w:rsidRPr="00A52A39">
        <w:rPr>
          <w:noProof/>
        </w:rPr>
        <w:t>L’API met également en place des groupes consultatifs internes composés d’une représentation équilibrée d’organisations indépendantes de la société civile, selon une approche multipartite qui inclut les groupes d’intérêt concernés par les questions économiques, sociales et environnementales. Les groupes consultatifs internes peuvent présenter des avis et des recommandations concernant le fonctionnement et la mise en œuvre de l’API et se réunissent au moins une fois par an.</w:t>
      </w:r>
    </w:p>
    <w:p w:rsidR="00BB3091" w:rsidRPr="00A52A39" w:rsidRDefault="00BB3091" w:rsidP="00EF2AB0">
      <w:pPr>
        <w:pStyle w:val="ManualHeading2"/>
        <w:rPr>
          <w:noProof/>
        </w:rPr>
      </w:pPr>
      <w:r w:rsidRPr="00A52A39">
        <w:rPr>
          <w:noProof/>
        </w:rPr>
        <w:t>•</w:t>
      </w:r>
      <w:r w:rsidRPr="00A52A39">
        <w:rPr>
          <w:noProof/>
        </w:rPr>
        <w:tab/>
        <w:t>Documents explicatifs (pour les directives)</w:t>
      </w:r>
    </w:p>
    <w:p w:rsidR="00BB3091" w:rsidRPr="00A52A39" w:rsidRDefault="00BB3091" w:rsidP="00BB3091">
      <w:pPr>
        <w:pBdr>
          <w:top w:val="nil"/>
          <w:left w:val="nil"/>
          <w:bottom w:val="nil"/>
          <w:right w:val="nil"/>
          <w:between w:val="nil"/>
          <w:bar w:val="nil"/>
        </w:pBdr>
        <w:spacing w:before="0" w:after="240"/>
        <w:rPr>
          <w:rFonts w:eastAsia="Arial Unicode MS"/>
          <w:noProof/>
        </w:rPr>
      </w:pPr>
      <w:r w:rsidRPr="00A52A39">
        <w:rPr>
          <w:noProof/>
        </w:rPr>
        <w:t>Sans objet.</w:t>
      </w:r>
    </w:p>
    <w:p w:rsidR="00BB3091" w:rsidRPr="00A52A39" w:rsidRDefault="00BB3091" w:rsidP="00EF2AB0">
      <w:pPr>
        <w:pStyle w:val="ManualHeading2"/>
        <w:rPr>
          <w:noProof/>
        </w:rPr>
      </w:pPr>
      <w:r w:rsidRPr="00A52A39">
        <w:rPr>
          <w:noProof/>
        </w:rPr>
        <w:t>•</w:t>
      </w:r>
      <w:r w:rsidRPr="00A52A39">
        <w:rPr>
          <w:noProof/>
        </w:rPr>
        <w:tab/>
        <w:t>Explication détaillée de certaines dispositions de la proposition</w:t>
      </w:r>
    </w:p>
    <w:p w:rsidR="1EA7CFA0" w:rsidRPr="00A52A39" w:rsidRDefault="7D92D58A" w:rsidP="00EF2AB0">
      <w:pPr>
        <w:rPr>
          <w:noProof/>
        </w:rPr>
      </w:pPr>
      <w:r w:rsidRPr="00A52A39">
        <w:rPr>
          <w:noProof/>
        </w:rPr>
        <w:t>Les dispositions de l’API établissent le cadre juridique pour la protection des investisseurs et de leurs investissements sur les territoires respectifs de l’UE et de l’Indonésie. L’API garantit un juste équilibre entre la protection des investisseurs et de leurs investissements, d’une part, et le droit des gouvernements de réglementer dans l’intérêt général, d’autre part.</w:t>
      </w:r>
    </w:p>
    <w:p w:rsidR="1EA7CFA0" w:rsidRPr="00A52A39" w:rsidRDefault="1EA7CFA0" w:rsidP="00EF2AB0">
      <w:pPr>
        <w:rPr>
          <w:noProof/>
          <w:szCs w:val="24"/>
        </w:rPr>
      </w:pPr>
      <w:r w:rsidRPr="00A52A39">
        <w:rPr>
          <w:noProof/>
        </w:rPr>
        <w:t>Les obligations de fond prévues dans la section relative à la protection des investissements reflètent fidèlement l’approche réformée de l’UE, telle qu’elle a été intégrée dans tous les accords conclus à ce jour par l’UE. En particulier, les dispositions pertinentes réaffirment le droit des parties de réglementer et confirment que le cadre réglementaire applicable aux investissements peut évoluer, y compris d’une manière susceptible d’avoir des effets négatifs sur certains investissements.</w:t>
      </w:r>
    </w:p>
    <w:p w:rsidR="1EA7CFA0" w:rsidRPr="00A52A39" w:rsidRDefault="1EA7CFA0" w:rsidP="00EF2AB0">
      <w:pPr>
        <w:rPr>
          <w:noProof/>
        </w:rPr>
      </w:pPr>
      <w:r w:rsidRPr="00A52A39">
        <w:rPr>
          <w:noProof/>
        </w:rPr>
        <w:t xml:space="preserve">Les dispositions relatives à la protection des investissements reposent sur des normes claires et précises qui offrent des garanties fondamentales aux investisseurs étrangers lorsqu’ils décident d’investir respectivement dans l’UE ou en Indonésie. Outre les obligations en matière de non-discrimination, ces garanties comprennent la protection contre l’expropriation sans indemnisation, les engagements relatifs au traitement juste et équitable et à la sécurité physique, l’indemnisation des pertes subies en raison de situations de guerre ou de conflit armé, ainsi que le libre transfert de fonds. Il importe de noter que ces dispositions définissent avec précision les circonstances dans lesquelles il peut être constaté qu’une partie a enfreint la </w:t>
      </w:r>
      <w:r w:rsidRPr="00A52A39">
        <w:rPr>
          <w:noProof/>
        </w:rPr>
        <w:lastRenderedPageBreak/>
        <w:t>règle du traitement juste et équitable, limitant ainsi considérablement la marge d’interprétation discrétionnaire en cas de différends.</w:t>
      </w:r>
    </w:p>
    <w:p w:rsidR="1EA7CFA0" w:rsidRPr="00A52A39" w:rsidRDefault="1EA7CFA0" w:rsidP="00EF2AB0">
      <w:pPr>
        <w:rPr>
          <w:noProof/>
        </w:rPr>
      </w:pPr>
      <w:r w:rsidRPr="00A52A39">
        <w:rPr>
          <w:noProof/>
        </w:rPr>
        <w:t>Ces normes de protection font en outre l’objet de certaines exceptions visant à préserver une marge de manœuvre supplémentaire si nécessaire, y compris au moyen d’exceptions prudentielles, d’exceptions en matière de sécurité et d’exceptions générales.</w:t>
      </w:r>
    </w:p>
    <w:p w:rsidR="1EA7CFA0" w:rsidRPr="00A52A39" w:rsidRDefault="1EA7CFA0" w:rsidP="00EF2AB0">
      <w:pPr>
        <w:rPr>
          <w:noProof/>
        </w:rPr>
      </w:pPr>
      <w:r w:rsidRPr="00A52A39">
        <w:rPr>
          <w:noProof/>
        </w:rPr>
        <w:t>L’API est en outre soutenu par un mécanisme solide de règlement des différends qui consiste en a)</w:t>
      </w:r>
      <w:r w:rsidR="009C4023">
        <w:rPr>
          <w:noProof/>
        </w:rPr>
        <w:t xml:space="preserve"> </w:t>
      </w:r>
      <w:r w:rsidRPr="00A52A39">
        <w:rPr>
          <w:noProof/>
        </w:rPr>
        <w:t>une médiation entre investisseurs et États et b)</w:t>
      </w:r>
      <w:r w:rsidR="009C4023">
        <w:rPr>
          <w:noProof/>
        </w:rPr>
        <w:t xml:space="preserve"> </w:t>
      </w:r>
      <w:r w:rsidRPr="00A52A39">
        <w:rPr>
          <w:noProof/>
        </w:rPr>
        <w:t>un règlement des différends entre États. Le mécanisme de règlement des différends entre États garantit le respect des droits et obligations prévus par l’accord. L’UE et l’Indonésie s’engagent également à reprendre les négociations sur le règlement des différends relatifs aux investissements entre une partie et un investisseur de l’autre partie, ainsi que sur des orientations interprétatives concernant les mesures fiscales et l’expropriation, au plus tard à la date d’entrée en vigueur de l’API. Ce faisant, les deux parties conviennent de tenir compte des progrès accomplis concernant la réforme du règlement des différends relatifs aux investissements dans les instances internationales compétentes.</w:t>
      </w:r>
    </w:p>
    <w:p w:rsidR="00BB3091" w:rsidRPr="00A52A39" w:rsidRDefault="00BB3091" w:rsidP="00EF2AB0">
      <w:pPr>
        <w:pStyle w:val="ManualHeading2"/>
        <w:rPr>
          <w:noProof/>
        </w:rPr>
      </w:pPr>
      <w:r w:rsidRPr="00A52A39">
        <w:rPr>
          <w:noProof/>
        </w:rPr>
        <w:t>•</w:t>
      </w:r>
      <w:r w:rsidRPr="00A52A39">
        <w:rPr>
          <w:noProof/>
        </w:rPr>
        <w:tab/>
        <w:t>Signature et texte de l’accord</w:t>
      </w:r>
    </w:p>
    <w:p w:rsidR="00BB3091" w:rsidRPr="00A52A39" w:rsidRDefault="00BB3091" w:rsidP="00BB3091">
      <w:pPr>
        <w:pBdr>
          <w:top w:val="nil"/>
          <w:left w:val="nil"/>
          <w:bottom w:val="nil"/>
          <w:right w:val="nil"/>
          <w:between w:val="nil"/>
          <w:bar w:val="nil"/>
        </w:pBdr>
        <w:spacing w:before="0" w:after="240"/>
        <w:rPr>
          <w:rFonts w:eastAsia="Arial Unicode MS"/>
          <w:noProof/>
        </w:rPr>
      </w:pPr>
      <w:r w:rsidRPr="00A52A39">
        <w:rPr>
          <w:noProof/>
        </w:rPr>
        <w:t>Le texte de l’API est soumis au Conseil en même temps que la proposition ci-jointe.</w:t>
      </w:r>
    </w:p>
    <w:p w:rsidR="00BB3091" w:rsidRPr="00A52A39" w:rsidRDefault="00BB3091" w:rsidP="00BB3091">
      <w:pPr>
        <w:pBdr>
          <w:top w:val="nil"/>
          <w:left w:val="nil"/>
          <w:bottom w:val="nil"/>
          <w:right w:val="nil"/>
          <w:between w:val="nil"/>
          <w:bar w:val="nil"/>
        </w:pBdr>
        <w:spacing w:before="0" w:after="240"/>
        <w:rPr>
          <w:rFonts w:eastAsia="Arial Unicode MS"/>
          <w:noProof/>
        </w:rPr>
      </w:pPr>
      <w:r w:rsidRPr="00A52A39">
        <w:rPr>
          <w:noProof/>
        </w:rPr>
        <w:t>Conformément aux traités, il appartient à la Commission d’assurer la signature de l’API, sous réserve de sa conclusion à une date ultérieure.</w:t>
      </w:r>
    </w:p>
    <w:p w:rsidR="00EB2CCC" w:rsidRPr="00A52A39" w:rsidRDefault="00EB2CCC" w:rsidP="00EB2CCC">
      <w:pPr>
        <w:pBdr>
          <w:top w:val="nil"/>
          <w:left w:val="nil"/>
          <w:bottom w:val="nil"/>
          <w:right w:val="nil"/>
          <w:between w:val="nil"/>
          <w:bar w:val="nil"/>
        </w:pBdr>
        <w:spacing w:before="0" w:after="240"/>
        <w:rPr>
          <w:rFonts w:eastAsia="Arial Unicode MS"/>
          <w:noProof/>
        </w:rPr>
        <w:sectPr w:rsidR="00EB2CCC" w:rsidRPr="00A52A39" w:rsidSect="00A147BD">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cols w:space="708"/>
          <w:docGrid w:linePitch="360"/>
        </w:sectPr>
      </w:pPr>
    </w:p>
    <w:p w:rsidR="007873CA" w:rsidRDefault="009A1C56">
      <w:pPr>
        <w:pStyle w:val="Rfrenceinterinstitutionnelle"/>
        <w:rPr>
          <w:noProof/>
        </w:rPr>
      </w:pPr>
      <w:r>
        <w:rPr>
          <w:noProof/>
        </w:rPr>
        <w:lastRenderedPageBreak/>
        <w:t>2026/0184 (NLE)</w:t>
      </w:r>
    </w:p>
    <w:p w:rsidR="00896269" w:rsidRPr="00A52A39" w:rsidRDefault="00A52A39" w:rsidP="00A52A39">
      <w:pPr>
        <w:pStyle w:val="Statut"/>
        <w:rPr>
          <w:noProof/>
        </w:rPr>
      </w:pPr>
      <w:r w:rsidRPr="00A52A39">
        <w:rPr>
          <w:noProof/>
        </w:rPr>
        <w:t>Proposition de</w:t>
      </w:r>
    </w:p>
    <w:p w:rsidR="00896269" w:rsidRPr="00A52A39" w:rsidRDefault="00A52A39" w:rsidP="00A52A39">
      <w:pPr>
        <w:pStyle w:val="Typedudocument"/>
        <w:rPr>
          <w:noProof/>
        </w:rPr>
      </w:pPr>
      <w:r w:rsidRPr="00A52A39">
        <w:rPr>
          <w:noProof/>
        </w:rPr>
        <w:t>DÉCISION DU CONSEIL</w:t>
      </w:r>
    </w:p>
    <w:p w:rsidR="00896269" w:rsidRPr="00A52A39" w:rsidRDefault="00A52A39" w:rsidP="00A52A39">
      <w:pPr>
        <w:pStyle w:val="Titreobjet"/>
        <w:rPr>
          <w:noProof/>
        </w:rPr>
      </w:pPr>
      <w:r w:rsidRPr="00A52A39">
        <w:rPr>
          <w:noProof/>
        </w:rPr>
        <w:t>relative à la signature de l’accord de protection des investissements entre l’Union européenne et l’Indonésie</w:t>
      </w:r>
    </w:p>
    <w:p w:rsidR="00896269" w:rsidRPr="00A52A39" w:rsidRDefault="00896269" w:rsidP="0088406D">
      <w:pPr>
        <w:pStyle w:val="Institutionquiagit"/>
        <w:rPr>
          <w:noProof/>
        </w:rPr>
      </w:pPr>
      <w:r w:rsidRPr="00A52A39">
        <w:rPr>
          <w:noProof/>
        </w:rPr>
        <w:t>LE CONSEIL DE L’UNION EUROPÉENNE,</w:t>
      </w:r>
    </w:p>
    <w:p w:rsidR="00896269" w:rsidRPr="00A52A39" w:rsidRDefault="00896269" w:rsidP="0088406D">
      <w:pPr>
        <w:rPr>
          <w:noProof/>
        </w:rPr>
      </w:pPr>
      <w:r w:rsidRPr="00A52A39">
        <w:rPr>
          <w:noProof/>
        </w:rPr>
        <w:t>vu le traité sur le fonctionnement de l’Union européenne, et notamment son article 207, paragraphe 4, premier alinéa, en liaison avec son article 218, paragraphe 5,</w:t>
      </w:r>
    </w:p>
    <w:p w:rsidR="00896269" w:rsidRPr="00A52A39" w:rsidRDefault="00896269" w:rsidP="0088406D">
      <w:pPr>
        <w:rPr>
          <w:noProof/>
        </w:rPr>
      </w:pPr>
      <w:r w:rsidRPr="00A52A39">
        <w:rPr>
          <w:noProof/>
        </w:rPr>
        <w:t>vu la proposition de la Commission européenne,</w:t>
      </w:r>
    </w:p>
    <w:p w:rsidR="00896269" w:rsidRPr="00A52A39" w:rsidRDefault="00896269" w:rsidP="0088406D">
      <w:pPr>
        <w:rPr>
          <w:noProof/>
        </w:rPr>
      </w:pPr>
      <w:r w:rsidRPr="00A52A39">
        <w:rPr>
          <w:noProof/>
        </w:rPr>
        <w:t>considérant ce qui suit:</w:t>
      </w:r>
    </w:p>
    <w:p w:rsidR="004C1F76" w:rsidRPr="00A52A39" w:rsidRDefault="5A2D3B0A" w:rsidP="002C33B5">
      <w:pPr>
        <w:pStyle w:val="ManualConsidrant"/>
        <w:rPr>
          <w:noProof/>
        </w:rPr>
      </w:pPr>
      <w:r>
        <w:rPr>
          <w:noProof/>
        </w:rPr>
        <w:t>(1)</w:t>
      </w:r>
      <w:r>
        <w:rPr>
          <w:noProof/>
        </w:rPr>
        <w:tab/>
      </w:r>
      <w:r w:rsidRPr="00A52A39">
        <w:rPr>
          <w:noProof/>
        </w:rPr>
        <w:t>Le 23 avril 2007, le Conseil a autorisé la Commission à négocier un accord de libre-échange avec les États membres de l’Association des nations de l’Asie du Sud-Est (ASEAN), dont l’Indonésie fait partie. Cette autorisation prévoyait la possibilité de négociations bilatérales.</w:t>
      </w:r>
    </w:p>
    <w:p w:rsidR="00CB29A3" w:rsidRPr="00A52A39" w:rsidRDefault="003752A1" w:rsidP="0088406D">
      <w:pPr>
        <w:pStyle w:val="ManualConsidrant"/>
        <w:rPr>
          <w:noProof/>
        </w:rPr>
      </w:pPr>
      <w:r>
        <w:rPr>
          <w:noProof/>
        </w:rPr>
        <w:t>(2)</w:t>
      </w:r>
      <w:r>
        <w:rPr>
          <w:noProof/>
        </w:rPr>
        <w:tab/>
      </w:r>
      <w:r w:rsidRPr="00A52A39">
        <w:rPr>
          <w:noProof/>
          <w:color w:val="000000" w:themeColor="text1"/>
        </w:rPr>
        <w:t>En octobre 2013, le Conseil a étendu le champ d’application de ses directives de négociation afin d’y inclure des dispositions relatives à la protection des investissements.</w:t>
      </w:r>
    </w:p>
    <w:p w:rsidR="00896269" w:rsidRPr="00A52A39" w:rsidRDefault="37EF6252" w:rsidP="4790380F">
      <w:pPr>
        <w:pStyle w:val="ManualConsidrant"/>
        <w:rPr>
          <w:noProof/>
        </w:rPr>
      </w:pPr>
      <w:r>
        <w:rPr>
          <w:noProof/>
        </w:rPr>
        <w:t>(3)</w:t>
      </w:r>
      <w:r>
        <w:rPr>
          <w:noProof/>
        </w:rPr>
        <w:tab/>
      </w:r>
      <w:r w:rsidRPr="00A52A39">
        <w:rPr>
          <w:noProof/>
        </w:rPr>
        <w:t>Le 13 juillet 2016, le Conseil a autorisé la Commission à négocier un accord de partenariat économique global</w:t>
      </w:r>
      <w:r w:rsidRPr="00A52A39">
        <w:rPr>
          <w:noProof/>
          <w:color w:val="000000" w:themeColor="text1"/>
        </w:rPr>
        <w:t xml:space="preserve"> </w:t>
      </w:r>
      <w:r w:rsidRPr="00A52A39">
        <w:rPr>
          <w:noProof/>
        </w:rPr>
        <w:t>avec l’Indonésie, portant notamment sur la protection des investissements. Compte tenu de l’avis 2/15 de la Cour de justice de l’Union européenne du 16 mai 2017, il a été décidé de conclure un accord de protection des investissements distinct.</w:t>
      </w:r>
    </w:p>
    <w:p w:rsidR="00896269" w:rsidRPr="00A52A39" w:rsidRDefault="5F911D9E" w:rsidP="0088406D">
      <w:pPr>
        <w:pStyle w:val="ManualConsidrant"/>
        <w:rPr>
          <w:noProof/>
          <w:color w:val="000000" w:themeColor="text1"/>
        </w:rPr>
      </w:pPr>
      <w:r>
        <w:rPr>
          <w:noProof/>
        </w:rPr>
        <w:t>(4)</w:t>
      </w:r>
      <w:r>
        <w:rPr>
          <w:noProof/>
        </w:rPr>
        <w:tab/>
      </w:r>
      <w:r w:rsidRPr="00A52A39">
        <w:rPr>
          <w:noProof/>
        </w:rPr>
        <w:t>Les négociations en vue d’un accord de protection des investissements (ci-après l’«accord») entre l’Union européenne et l’Indonésie ont été menées à bonne fin le 23 septembre 2025, de même que les négociations en vue d’un accord de partenariat économique global</w:t>
      </w:r>
      <w:r w:rsidRPr="00A52A39">
        <w:rPr>
          <w:noProof/>
          <w:color w:val="000000" w:themeColor="text1"/>
        </w:rPr>
        <w:t>.</w:t>
      </w:r>
    </w:p>
    <w:p w:rsidR="001C6FB6" w:rsidRPr="00A52A39" w:rsidRDefault="60AE38AF" w:rsidP="0088406D">
      <w:pPr>
        <w:pStyle w:val="ManualConsidrant"/>
        <w:rPr>
          <w:noProof/>
          <w:color w:val="000000" w:themeColor="text1"/>
        </w:rPr>
      </w:pPr>
      <w:r>
        <w:rPr>
          <w:noProof/>
        </w:rPr>
        <w:t>(5)</w:t>
      </w:r>
      <w:r>
        <w:rPr>
          <w:noProof/>
        </w:rPr>
        <w:tab/>
      </w:r>
      <w:r w:rsidRPr="00A52A39">
        <w:rPr>
          <w:noProof/>
          <w:color w:val="000000" w:themeColor="text1"/>
        </w:rPr>
        <w:t>L’accord devrait garantir la poursuite de la politique commerciale commune de l’Union grâce à la mise en place d’un accord de protection des investissements avec l’Indonésie.</w:t>
      </w:r>
    </w:p>
    <w:p w:rsidR="00090EA5" w:rsidRPr="00A52A39" w:rsidRDefault="37EF6252" w:rsidP="4790380F">
      <w:pPr>
        <w:pStyle w:val="ManualConsidrant"/>
        <w:rPr>
          <w:noProof/>
        </w:rPr>
      </w:pPr>
      <w:r>
        <w:rPr>
          <w:noProof/>
        </w:rPr>
        <w:t>(6)</w:t>
      </w:r>
      <w:r>
        <w:rPr>
          <w:noProof/>
        </w:rPr>
        <w:tab/>
      </w:r>
      <w:r w:rsidRPr="00A52A39">
        <w:rPr>
          <w:noProof/>
        </w:rPr>
        <w:t>Il convient dès lors de signer l’accord,</w:t>
      </w:r>
    </w:p>
    <w:p w:rsidR="00896269" w:rsidRPr="00A52A39" w:rsidRDefault="00896269" w:rsidP="0088406D">
      <w:pPr>
        <w:pStyle w:val="Formuledadoption"/>
        <w:rPr>
          <w:noProof/>
          <w:color w:val="000000" w:themeColor="text1"/>
        </w:rPr>
      </w:pPr>
      <w:r w:rsidRPr="00A52A39">
        <w:rPr>
          <w:noProof/>
          <w:color w:val="000000" w:themeColor="text1"/>
        </w:rPr>
        <w:t xml:space="preserve">A ADOPTÉ LA PRÉSENTE DÉCISION: </w:t>
      </w:r>
    </w:p>
    <w:p w:rsidR="00896269" w:rsidRPr="00A52A39" w:rsidRDefault="00896269" w:rsidP="0088406D">
      <w:pPr>
        <w:pStyle w:val="Titrearticle"/>
        <w:rPr>
          <w:noProof/>
          <w:color w:val="000000" w:themeColor="text1"/>
        </w:rPr>
      </w:pPr>
      <w:r w:rsidRPr="00A52A39">
        <w:rPr>
          <w:noProof/>
          <w:color w:val="000000" w:themeColor="text1"/>
        </w:rPr>
        <w:t>Article premier</w:t>
      </w:r>
    </w:p>
    <w:p w:rsidR="00896269" w:rsidRPr="00A52A39" w:rsidRDefault="00090EA5" w:rsidP="0088406D">
      <w:pPr>
        <w:rPr>
          <w:noProof/>
          <w:color w:val="000000" w:themeColor="text1"/>
        </w:rPr>
      </w:pPr>
      <w:r w:rsidRPr="00A52A39">
        <w:rPr>
          <w:noProof/>
        </w:rPr>
        <w:t>La signature de l’accord de protection des investissements entre l’Union européenne et l’Indonésie est autorisée, sous réserve de la conclusion dudit accord.</w:t>
      </w:r>
    </w:p>
    <w:p w:rsidR="00896269" w:rsidRPr="00A52A39" w:rsidRDefault="00896269" w:rsidP="00CB3A6B">
      <w:pPr>
        <w:pStyle w:val="Titrearticle"/>
        <w:rPr>
          <w:noProof/>
        </w:rPr>
      </w:pPr>
      <w:r w:rsidRPr="00A52A39">
        <w:rPr>
          <w:noProof/>
        </w:rPr>
        <w:lastRenderedPageBreak/>
        <w:t>Article </w:t>
      </w:r>
      <w:bookmarkStart w:id="1" w:name="_Hlk126129799"/>
      <w:r w:rsidRPr="00A52A39">
        <w:rPr>
          <w:noProof/>
        </w:rPr>
        <w:t>2</w:t>
      </w:r>
      <w:bookmarkEnd w:id="1"/>
    </w:p>
    <w:p w:rsidR="00896269" w:rsidRPr="00A52A39" w:rsidRDefault="00896269" w:rsidP="00CB3A6B">
      <w:pPr>
        <w:keepNext/>
        <w:keepLines/>
        <w:rPr>
          <w:noProof/>
        </w:rPr>
      </w:pPr>
      <w:r w:rsidRPr="00A52A39">
        <w:rPr>
          <w:noProof/>
        </w:rPr>
        <w:t>La présente décision entre en vigueur le jour de son adoption.</w:t>
      </w:r>
    </w:p>
    <w:p w:rsidR="00896269" w:rsidRPr="00A52A39" w:rsidRDefault="00A52A39" w:rsidP="00CB3A6B">
      <w:pPr>
        <w:pStyle w:val="Fait"/>
        <w:rPr>
          <w:noProof/>
        </w:rPr>
      </w:pPr>
      <w:r>
        <w:rPr>
          <w:noProof/>
        </w:rPr>
        <w:t>Fait à Bruxelles, le</w:t>
      </w:r>
    </w:p>
    <w:p w:rsidR="00896269" w:rsidRPr="00A52A39" w:rsidRDefault="00896269" w:rsidP="00CB3A6B">
      <w:pPr>
        <w:pStyle w:val="Institutionquisigne"/>
        <w:rPr>
          <w:noProof/>
        </w:rPr>
      </w:pPr>
      <w:r w:rsidRPr="00A52A39">
        <w:rPr>
          <w:noProof/>
        </w:rPr>
        <w:tab/>
        <w:t>Par le Conseil</w:t>
      </w:r>
    </w:p>
    <w:p w:rsidR="00896269" w:rsidRPr="00A52A39" w:rsidRDefault="00896269" w:rsidP="00896269">
      <w:pPr>
        <w:pStyle w:val="Personnequisigne"/>
        <w:rPr>
          <w:noProof/>
        </w:rPr>
      </w:pPr>
      <w:r w:rsidRPr="00A52A39">
        <w:rPr>
          <w:noProof/>
        </w:rPr>
        <w:tab/>
        <w:t>Le président/La présidente</w:t>
      </w:r>
    </w:p>
    <w:sectPr w:rsidR="00896269" w:rsidRPr="00A52A39" w:rsidSect="00A147B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8C6" w:rsidRDefault="006C58C6" w:rsidP="00896269">
      <w:pPr>
        <w:spacing w:before="0" w:after="0"/>
      </w:pPr>
      <w:r>
        <w:separator/>
      </w:r>
    </w:p>
  </w:endnote>
  <w:endnote w:type="continuationSeparator" w:id="0">
    <w:p w:rsidR="006C58C6" w:rsidRDefault="006C58C6" w:rsidP="0089626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7BD" w:rsidRPr="00A147BD" w:rsidRDefault="00A147BD" w:rsidP="00A147BD">
    <w:pPr>
      <w:pStyle w:val="Footer"/>
      <w:rPr>
        <w:rFonts w:ascii="Arial" w:hAnsi="Arial" w:cs="Arial"/>
        <w:b/>
        <w:sz w:val="48"/>
      </w:rPr>
    </w:pPr>
    <w:r w:rsidRPr="00A147BD">
      <w:rPr>
        <w:rFonts w:ascii="Arial" w:hAnsi="Arial" w:cs="Arial"/>
        <w:b/>
        <w:sz w:val="48"/>
      </w:rPr>
      <w:t>FR</w:t>
    </w:r>
    <w:r w:rsidRPr="00A147BD">
      <w:rPr>
        <w:rFonts w:ascii="Arial" w:hAnsi="Arial" w:cs="Arial"/>
        <w:b/>
        <w:sz w:val="48"/>
      </w:rPr>
      <w:tab/>
    </w:r>
    <w:r w:rsidRPr="00A147BD">
      <w:rPr>
        <w:rFonts w:ascii="Arial" w:hAnsi="Arial" w:cs="Arial"/>
        <w:b/>
        <w:sz w:val="48"/>
      </w:rPr>
      <w:tab/>
    </w:r>
    <w:r w:rsidRPr="00A147BD">
      <w:tab/>
    </w:r>
    <w:r w:rsidRPr="00A147B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7BD" w:rsidRPr="00A147BD" w:rsidRDefault="00A147BD" w:rsidP="00A147BD">
    <w:pPr>
      <w:pStyle w:val="Footer"/>
      <w:rPr>
        <w:rFonts w:ascii="Arial" w:hAnsi="Arial" w:cs="Arial"/>
        <w:b/>
        <w:sz w:val="48"/>
      </w:rPr>
    </w:pPr>
    <w:r w:rsidRPr="00A147BD">
      <w:rPr>
        <w:rFonts w:ascii="Arial" w:hAnsi="Arial" w:cs="Arial"/>
        <w:b/>
        <w:sz w:val="48"/>
      </w:rPr>
      <w:t>FR</w:t>
    </w:r>
    <w:r w:rsidRPr="00A147BD">
      <w:rPr>
        <w:rFonts w:ascii="Arial" w:hAnsi="Arial" w:cs="Arial"/>
        <w:b/>
        <w:sz w:val="48"/>
      </w:rPr>
      <w:tab/>
    </w:r>
    <w:r w:rsidRPr="00A147BD">
      <w:rPr>
        <w:rFonts w:ascii="Arial" w:hAnsi="Arial" w:cs="Arial"/>
        <w:b/>
        <w:sz w:val="48"/>
      </w:rPr>
      <w:tab/>
    </w:r>
    <w:r w:rsidRPr="00A147BD">
      <w:tab/>
    </w:r>
    <w:r w:rsidRPr="00A147B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7BD" w:rsidRDefault="00A147B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7BD" w:rsidRPr="00A147BD" w:rsidRDefault="00A147BD" w:rsidP="00A147BD">
    <w:pPr>
      <w:pStyle w:val="Footer"/>
      <w:rPr>
        <w:rFonts w:ascii="Arial" w:hAnsi="Arial" w:cs="Arial"/>
        <w:b/>
        <w:sz w:val="48"/>
      </w:rPr>
    </w:pPr>
    <w:r w:rsidRPr="00A147BD">
      <w:rPr>
        <w:rFonts w:ascii="Arial" w:hAnsi="Arial" w:cs="Arial"/>
        <w:b/>
        <w:sz w:val="48"/>
      </w:rPr>
      <w:t>FR</w:t>
    </w:r>
    <w:r w:rsidRPr="00A147BD">
      <w:rPr>
        <w:rFonts w:ascii="Arial" w:hAnsi="Arial" w:cs="Arial"/>
        <w:b/>
        <w:sz w:val="48"/>
      </w:rPr>
      <w:tab/>
    </w:r>
    <w:r>
      <w:fldChar w:fldCharType="begin"/>
    </w:r>
    <w:r>
      <w:instrText xml:space="preserve"> PAGE  \* MERGEFORMAT </w:instrText>
    </w:r>
    <w:r>
      <w:fldChar w:fldCharType="separate"/>
    </w:r>
    <w:r w:rsidR="00CB3A6B">
      <w:rPr>
        <w:noProof/>
      </w:rPr>
      <w:t>8</w:t>
    </w:r>
    <w:r>
      <w:fldChar w:fldCharType="end"/>
    </w:r>
    <w:r>
      <w:tab/>
    </w:r>
    <w:r w:rsidRPr="00A147BD">
      <w:tab/>
    </w:r>
    <w:r w:rsidRPr="00A147B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7BD" w:rsidRDefault="00A147BD" w:rsidP="00A14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8C6" w:rsidRDefault="006C58C6" w:rsidP="00896269">
      <w:pPr>
        <w:spacing w:before="0" w:after="0"/>
      </w:pPr>
      <w:r>
        <w:separator/>
      </w:r>
    </w:p>
  </w:footnote>
  <w:footnote w:type="continuationSeparator" w:id="0">
    <w:p w:rsidR="006C58C6" w:rsidRDefault="006C58C6" w:rsidP="0089626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7BD" w:rsidRDefault="00A147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7BD" w:rsidRDefault="00A147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C9ECFC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494C62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BF67A2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1F2F57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30 13:16: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A69E7C2-E7B9-4BB2-B05B-AB511219359F"/>
    <w:docVar w:name="LW_COVERPAGE_TYPE" w:val="1"/>
    <w:docVar w:name="LW_CreatedUtc" w:val="2026-03-03T16:06:47.1943977Z"/>
    <w:docVar w:name="LW_CROSSREFERENCE" w:val="&lt;UNUSED&gt;"/>
    <w:docVar w:name="LW_DocType" w:val="COM"/>
    <w:docVar w:name="LW_EMISSION" w:val="29.6.2026"/>
    <w:docVar w:name="LW_EMISSION_ISODATE" w:val="2026-06-29"/>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84"/>
    <w:docVar w:name="LW_REF.II.NEW.CP_YEAR" w:val="2026"/>
    <w:docVar w:name="LW_REF.INST.NEW" w:val="COM"/>
    <w:docVar w:name="LW_REF.INST.NEW_ADOPTED" w:val="final"/>
    <w:docVar w:name="LW_REF.INST.NEW_TEXT" w:val="(2026) 3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signature de l\u8217?accord de protection des investissements entre l\u8217?Union européenne et l\u8217?Indonésie"/>
    <w:docVar w:name="LW_TYPE.DOC.CP" w:val="DÉCISION DU CONSEIL"/>
    <w:docVar w:name="LwApiVersions" w:val="LW4CoDe 1.24.5.0; LW 9.2, Build 20251112"/>
  </w:docVars>
  <w:rsids>
    <w:rsidRoot w:val="00896269"/>
    <w:rsid w:val="0000118D"/>
    <w:rsid w:val="00003C9B"/>
    <w:rsid w:val="00022022"/>
    <w:rsid w:val="00022A13"/>
    <w:rsid w:val="0003102C"/>
    <w:rsid w:val="000333EF"/>
    <w:rsid w:val="00033FCB"/>
    <w:rsid w:val="00036664"/>
    <w:rsid w:val="00044A91"/>
    <w:rsid w:val="00046E9D"/>
    <w:rsid w:val="00051113"/>
    <w:rsid w:val="000548D1"/>
    <w:rsid w:val="000621C0"/>
    <w:rsid w:val="00063CBC"/>
    <w:rsid w:val="0006748B"/>
    <w:rsid w:val="000747BE"/>
    <w:rsid w:val="0008458C"/>
    <w:rsid w:val="0008551E"/>
    <w:rsid w:val="00090EA5"/>
    <w:rsid w:val="000913AA"/>
    <w:rsid w:val="000921FE"/>
    <w:rsid w:val="000A2D0D"/>
    <w:rsid w:val="000B30A5"/>
    <w:rsid w:val="000C6FF1"/>
    <w:rsid w:val="000D121A"/>
    <w:rsid w:val="000D28C0"/>
    <w:rsid w:val="000E051C"/>
    <w:rsid w:val="000E3316"/>
    <w:rsid w:val="000E4665"/>
    <w:rsid w:val="000F2B76"/>
    <w:rsid w:val="000F77DE"/>
    <w:rsid w:val="001065F5"/>
    <w:rsid w:val="00107FA2"/>
    <w:rsid w:val="001238EF"/>
    <w:rsid w:val="00123CCE"/>
    <w:rsid w:val="00125F34"/>
    <w:rsid w:val="00131F73"/>
    <w:rsid w:val="001338FE"/>
    <w:rsid w:val="00134283"/>
    <w:rsid w:val="001360A9"/>
    <w:rsid w:val="001410CB"/>
    <w:rsid w:val="00145BD0"/>
    <w:rsid w:val="001503BC"/>
    <w:rsid w:val="00151C63"/>
    <w:rsid w:val="0015234A"/>
    <w:rsid w:val="0015728C"/>
    <w:rsid w:val="00157705"/>
    <w:rsid w:val="001604E3"/>
    <w:rsid w:val="00162A03"/>
    <w:rsid w:val="001648F4"/>
    <w:rsid w:val="00170648"/>
    <w:rsid w:val="0017447B"/>
    <w:rsid w:val="001845AC"/>
    <w:rsid w:val="00185EA1"/>
    <w:rsid w:val="0019440E"/>
    <w:rsid w:val="00194C71"/>
    <w:rsid w:val="00194D31"/>
    <w:rsid w:val="00197613"/>
    <w:rsid w:val="001B7361"/>
    <w:rsid w:val="001C6FB6"/>
    <w:rsid w:val="001D04E6"/>
    <w:rsid w:val="001D7511"/>
    <w:rsid w:val="001E5E4B"/>
    <w:rsid w:val="001F6B89"/>
    <w:rsid w:val="00203055"/>
    <w:rsid w:val="002056F0"/>
    <w:rsid w:val="00207950"/>
    <w:rsid w:val="002250F0"/>
    <w:rsid w:val="002257BF"/>
    <w:rsid w:val="00231B8D"/>
    <w:rsid w:val="00232789"/>
    <w:rsid w:val="00233DC7"/>
    <w:rsid w:val="00234313"/>
    <w:rsid w:val="0023645A"/>
    <w:rsid w:val="00241F29"/>
    <w:rsid w:val="00242105"/>
    <w:rsid w:val="002424F8"/>
    <w:rsid w:val="002459F6"/>
    <w:rsid w:val="00247498"/>
    <w:rsid w:val="00247779"/>
    <w:rsid w:val="00251B52"/>
    <w:rsid w:val="00252210"/>
    <w:rsid w:val="00254A53"/>
    <w:rsid w:val="00261E6E"/>
    <w:rsid w:val="0027538F"/>
    <w:rsid w:val="00285BEE"/>
    <w:rsid w:val="00290EFE"/>
    <w:rsid w:val="0029533F"/>
    <w:rsid w:val="002A48B1"/>
    <w:rsid w:val="002B1248"/>
    <w:rsid w:val="002B30AF"/>
    <w:rsid w:val="002B463B"/>
    <w:rsid w:val="002C0247"/>
    <w:rsid w:val="002C0315"/>
    <w:rsid w:val="002C300C"/>
    <w:rsid w:val="002C33B5"/>
    <w:rsid w:val="002C5F27"/>
    <w:rsid w:val="002C63EE"/>
    <w:rsid w:val="002D23F7"/>
    <w:rsid w:val="002F0E76"/>
    <w:rsid w:val="002F4F74"/>
    <w:rsid w:val="002F5075"/>
    <w:rsid w:val="002F6B47"/>
    <w:rsid w:val="00300B46"/>
    <w:rsid w:val="00306962"/>
    <w:rsid w:val="003105B4"/>
    <w:rsid w:val="003120B0"/>
    <w:rsid w:val="00312412"/>
    <w:rsid w:val="00314C4E"/>
    <w:rsid w:val="003202D5"/>
    <w:rsid w:val="0033344A"/>
    <w:rsid w:val="00343E78"/>
    <w:rsid w:val="0034542F"/>
    <w:rsid w:val="0035792E"/>
    <w:rsid w:val="003638D7"/>
    <w:rsid w:val="00367133"/>
    <w:rsid w:val="003677A4"/>
    <w:rsid w:val="00367D6C"/>
    <w:rsid w:val="00371F0B"/>
    <w:rsid w:val="003752A1"/>
    <w:rsid w:val="00385ADB"/>
    <w:rsid w:val="00385F29"/>
    <w:rsid w:val="003902D1"/>
    <w:rsid w:val="00397F66"/>
    <w:rsid w:val="003A35FA"/>
    <w:rsid w:val="003A57E6"/>
    <w:rsid w:val="003D03AA"/>
    <w:rsid w:val="003E1FA4"/>
    <w:rsid w:val="003E4E7D"/>
    <w:rsid w:val="003F15E6"/>
    <w:rsid w:val="003F51A0"/>
    <w:rsid w:val="003F5EF9"/>
    <w:rsid w:val="00400943"/>
    <w:rsid w:val="00403EE8"/>
    <w:rsid w:val="00423F1A"/>
    <w:rsid w:val="00424C44"/>
    <w:rsid w:val="0042648E"/>
    <w:rsid w:val="00431C56"/>
    <w:rsid w:val="0043764A"/>
    <w:rsid w:val="00452812"/>
    <w:rsid w:val="00457CD3"/>
    <w:rsid w:val="004775BD"/>
    <w:rsid w:val="004839D9"/>
    <w:rsid w:val="004861D7"/>
    <w:rsid w:val="00489594"/>
    <w:rsid w:val="00491A62"/>
    <w:rsid w:val="00492AC3"/>
    <w:rsid w:val="004936D2"/>
    <w:rsid w:val="004B6B22"/>
    <w:rsid w:val="004C1F76"/>
    <w:rsid w:val="004D1754"/>
    <w:rsid w:val="004E6A98"/>
    <w:rsid w:val="004F18A5"/>
    <w:rsid w:val="004F2B7E"/>
    <w:rsid w:val="004F2EE5"/>
    <w:rsid w:val="00503983"/>
    <w:rsid w:val="0050677C"/>
    <w:rsid w:val="005116A1"/>
    <w:rsid w:val="00512B02"/>
    <w:rsid w:val="00516364"/>
    <w:rsid w:val="00521297"/>
    <w:rsid w:val="005275DA"/>
    <w:rsid w:val="00530C31"/>
    <w:rsid w:val="0053232F"/>
    <w:rsid w:val="005374C1"/>
    <w:rsid w:val="00544928"/>
    <w:rsid w:val="005543DF"/>
    <w:rsid w:val="00560E01"/>
    <w:rsid w:val="0056268F"/>
    <w:rsid w:val="0056581E"/>
    <w:rsid w:val="00575D1B"/>
    <w:rsid w:val="00582CB9"/>
    <w:rsid w:val="00584121"/>
    <w:rsid w:val="00585D87"/>
    <w:rsid w:val="005903C2"/>
    <w:rsid w:val="005A59A3"/>
    <w:rsid w:val="005B1EB6"/>
    <w:rsid w:val="005C458D"/>
    <w:rsid w:val="005D0563"/>
    <w:rsid w:val="005D1F90"/>
    <w:rsid w:val="005D48B8"/>
    <w:rsid w:val="005D4995"/>
    <w:rsid w:val="005D61CA"/>
    <w:rsid w:val="005E0F6F"/>
    <w:rsid w:val="005F2D74"/>
    <w:rsid w:val="005F53FF"/>
    <w:rsid w:val="005F5DCB"/>
    <w:rsid w:val="005F7955"/>
    <w:rsid w:val="0060119C"/>
    <w:rsid w:val="00604017"/>
    <w:rsid w:val="00634FEC"/>
    <w:rsid w:val="00641F22"/>
    <w:rsid w:val="00656F9A"/>
    <w:rsid w:val="006731F8"/>
    <w:rsid w:val="00673C8C"/>
    <w:rsid w:val="00686A24"/>
    <w:rsid w:val="00687CAE"/>
    <w:rsid w:val="00690933"/>
    <w:rsid w:val="006A0A8B"/>
    <w:rsid w:val="006A1235"/>
    <w:rsid w:val="006A4914"/>
    <w:rsid w:val="006B0A95"/>
    <w:rsid w:val="006B4812"/>
    <w:rsid w:val="006B66EF"/>
    <w:rsid w:val="006C4290"/>
    <w:rsid w:val="006C58C6"/>
    <w:rsid w:val="006D5D31"/>
    <w:rsid w:val="006F17D7"/>
    <w:rsid w:val="007027B6"/>
    <w:rsid w:val="00705A03"/>
    <w:rsid w:val="00710A13"/>
    <w:rsid w:val="00714BB6"/>
    <w:rsid w:val="00716920"/>
    <w:rsid w:val="00716AE1"/>
    <w:rsid w:val="007210FA"/>
    <w:rsid w:val="00724A69"/>
    <w:rsid w:val="00736412"/>
    <w:rsid w:val="00737684"/>
    <w:rsid w:val="00747032"/>
    <w:rsid w:val="00752714"/>
    <w:rsid w:val="0076051D"/>
    <w:rsid w:val="00760A9E"/>
    <w:rsid w:val="0076269F"/>
    <w:rsid w:val="00764865"/>
    <w:rsid w:val="0076750B"/>
    <w:rsid w:val="00773331"/>
    <w:rsid w:val="00784653"/>
    <w:rsid w:val="007873CA"/>
    <w:rsid w:val="007909F4"/>
    <w:rsid w:val="007932EF"/>
    <w:rsid w:val="00793768"/>
    <w:rsid w:val="007A65A8"/>
    <w:rsid w:val="007B63A6"/>
    <w:rsid w:val="007C6066"/>
    <w:rsid w:val="007D098F"/>
    <w:rsid w:val="007D102E"/>
    <w:rsid w:val="007E05B0"/>
    <w:rsid w:val="007E1E24"/>
    <w:rsid w:val="007E2C44"/>
    <w:rsid w:val="007E605B"/>
    <w:rsid w:val="007F0CA8"/>
    <w:rsid w:val="007F489F"/>
    <w:rsid w:val="0080715F"/>
    <w:rsid w:val="00807F8D"/>
    <w:rsid w:val="008100D4"/>
    <w:rsid w:val="00811A44"/>
    <w:rsid w:val="00831FA3"/>
    <w:rsid w:val="0083505D"/>
    <w:rsid w:val="00836632"/>
    <w:rsid w:val="00836D91"/>
    <w:rsid w:val="00840796"/>
    <w:rsid w:val="008517FE"/>
    <w:rsid w:val="00852C2B"/>
    <w:rsid w:val="00864220"/>
    <w:rsid w:val="0086609C"/>
    <w:rsid w:val="00874D22"/>
    <w:rsid w:val="00876C4F"/>
    <w:rsid w:val="00877585"/>
    <w:rsid w:val="008826E5"/>
    <w:rsid w:val="0088406D"/>
    <w:rsid w:val="00885A4E"/>
    <w:rsid w:val="00896269"/>
    <w:rsid w:val="00896D4D"/>
    <w:rsid w:val="008A2914"/>
    <w:rsid w:val="008A76BD"/>
    <w:rsid w:val="008B0E32"/>
    <w:rsid w:val="008B483B"/>
    <w:rsid w:val="008C0613"/>
    <w:rsid w:val="008D2F05"/>
    <w:rsid w:val="008E0417"/>
    <w:rsid w:val="008E0833"/>
    <w:rsid w:val="008E0A06"/>
    <w:rsid w:val="008E168A"/>
    <w:rsid w:val="008E30C0"/>
    <w:rsid w:val="008E4896"/>
    <w:rsid w:val="008E4D8E"/>
    <w:rsid w:val="009033F3"/>
    <w:rsid w:val="00911F00"/>
    <w:rsid w:val="009131F7"/>
    <w:rsid w:val="0092247A"/>
    <w:rsid w:val="00926B95"/>
    <w:rsid w:val="00932598"/>
    <w:rsid w:val="00933861"/>
    <w:rsid w:val="009349D3"/>
    <w:rsid w:val="00941E87"/>
    <w:rsid w:val="00946F2C"/>
    <w:rsid w:val="00956399"/>
    <w:rsid w:val="0095784A"/>
    <w:rsid w:val="009832EE"/>
    <w:rsid w:val="00987551"/>
    <w:rsid w:val="00987D46"/>
    <w:rsid w:val="009945D1"/>
    <w:rsid w:val="00995534"/>
    <w:rsid w:val="009A2543"/>
    <w:rsid w:val="009A31BB"/>
    <w:rsid w:val="009A3407"/>
    <w:rsid w:val="009A5EF7"/>
    <w:rsid w:val="009B0837"/>
    <w:rsid w:val="009B3AB8"/>
    <w:rsid w:val="009B7ABD"/>
    <w:rsid w:val="009C07EA"/>
    <w:rsid w:val="009C2845"/>
    <w:rsid w:val="009C3ABE"/>
    <w:rsid w:val="009C4023"/>
    <w:rsid w:val="009C4D45"/>
    <w:rsid w:val="009C7C37"/>
    <w:rsid w:val="009E0AD3"/>
    <w:rsid w:val="009E32F8"/>
    <w:rsid w:val="009E491E"/>
    <w:rsid w:val="009E497A"/>
    <w:rsid w:val="009F0012"/>
    <w:rsid w:val="009F1C2B"/>
    <w:rsid w:val="00A0731D"/>
    <w:rsid w:val="00A147BD"/>
    <w:rsid w:val="00A26748"/>
    <w:rsid w:val="00A300B0"/>
    <w:rsid w:val="00A3032B"/>
    <w:rsid w:val="00A36463"/>
    <w:rsid w:val="00A477A2"/>
    <w:rsid w:val="00A5013F"/>
    <w:rsid w:val="00A52A39"/>
    <w:rsid w:val="00A531AF"/>
    <w:rsid w:val="00A5397A"/>
    <w:rsid w:val="00A57321"/>
    <w:rsid w:val="00A574FF"/>
    <w:rsid w:val="00A6642F"/>
    <w:rsid w:val="00A70840"/>
    <w:rsid w:val="00A71EA9"/>
    <w:rsid w:val="00A7381B"/>
    <w:rsid w:val="00A74E8B"/>
    <w:rsid w:val="00A92E5D"/>
    <w:rsid w:val="00AA180E"/>
    <w:rsid w:val="00AA1F01"/>
    <w:rsid w:val="00AA4AAD"/>
    <w:rsid w:val="00AB4526"/>
    <w:rsid w:val="00AB5430"/>
    <w:rsid w:val="00AC7646"/>
    <w:rsid w:val="00AE0A08"/>
    <w:rsid w:val="00AE1C63"/>
    <w:rsid w:val="00AE6FC8"/>
    <w:rsid w:val="00AF2E5B"/>
    <w:rsid w:val="00B078F3"/>
    <w:rsid w:val="00B1288D"/>
    <w:rsid w:val="00B17CA3"/>
    <w:rsid w:val="00B20286"/>
    <w:rsid w:val="00B210B7"/>
    <w:rsid w:val="00B22D7B"/>
    <w:rsid w:val="00B24FC8"/>
    <w:rsid w:val="00B31AA3"/>
    <w:rsid w:val="00B459F4"/>
    <w:rsid w:val="00B45A7B"/>
    <w:rsid w:val="00B63920"/>
    <w:rsid w:val="00B704DD"/>
    <w:rsid w:val="00B714DC"/>
    <w:rsid w:val="00B72436"/>
    <w:rsid w:val="00B73353"/>
    <w:rsid w:val="00B741B1"/>
    <w:rsid w:val="00B74C0B"/>
    <w:rsid w:val="00B86E04"/>
    <w:rsid w:val="00B90B5A"/>
    <w:rsid w:val="00B9132E"/>
    <w:rsid w:val="00B91340"/>
    <w:rsid w:val="00B96276"/>
    <w:rsid w:val="00BA0EE8"/>
    <w:rsid w:val="00BA187C"/>
    <w:rsid w:val="00BA6B9A"/>
    <w:rsid w:val="00BB2614"/>
    <w:rsid w:val="00BB3091"/>
    <w:rsid w:val="00BB3201"/>
    <w:rsid w:val="00BB6D09"/>
    <w:rsid w:val="00BC1049"/>
    <w:rsid w:val="00BC1BFB"/>
    <w:rsid w:val="00BC6864"/>
    <w:rsid w:val="00BD0AE5"/>
    <w:rsid w:val="00BD1321"/>
    <w:rsid w:val="00BD7104"/>
    <w:rsid w:val="00BE3A15"/>
    <w:rsid w:val="00BE4C4A"/>
    <w:rsid w:val="00BE7B2F"/>
    <w:rsid w:val="00BF3F75"/>
    <w:rsid w:val="00BF5D57"/>
    <w:rsid w:val="00C07B67"/>
    <w:rsid w:val="00C12301"/>
    <w:rsid w:val="00C249D3"/>
    <w:rsid w:val="00C26305"/>
    <w:rsid w:val="00C27EB8"/>
    <w:rsid w:val="00C35419"/>
    <w:rsid w:val="00C35ABC"/>
    <w:rsid w:val="00C37C2E"/>
    <w:rsid w:val="00C40894"/>
    <w:rsid w:val="00C456E3"/>
    <w:rsid w:val="00C51164"/>
    <w:rsid w:val="00C547BC"/>
    <w:rsid w:val="00C55B0F"/>
    <w:rsid w:val="00C6626F"/>
    <w:rsid w:val="00C77C48"/>
    <w:rsid w:val="00C8229D"/>
    <w:rsid w:val="00C85CE7"/>
    <w:rsid w:val="00CA020A"/>
    <w:rsid w:val="00CA10FD"/>
    <w:rsid w:val="00CA1818"/>
    <w:rsid w:val="00CA1F55"/>
    <w:rsid w:val="00CA38C1"/>
    <w:rsid w:val="00CA3947"/>
    <w:rsid w:val="00CA3AF3"/>
    <w:rsid w:val="00CB29A3"/>
    <w:rsid w:val="00CB3A6B"/>
    <w:rsid w:val="00CE058E"/>
    <w:rsid w:val="00CE6A18"/>
    <w:rsid w:val="00CE7BFB"/>
    <w:rsid w:val="00D01829"/>
    <w:rsid w:val="00D11FF9"/>
    <w:rsid w:val="00D136C0"/>
    <w:rsid w:val="00D20381"/>
    <w:rsid w:val="00D23CBF"/>
    <w:rsid w:val="00D31381"/>
    <w:rsid w:val="00D353D8"/>
    <w:rsid w:val="00D35F2B"/>
    <w:rsid w:val="00D3607F"/>
    <w:rsid w:val="00D37718"/>
    <w:rsid w:val="00D423B7"/>
    <w:rsid w:val="00D52A81"/>
    <w:rsid w:val="00D56EAA"/>
    <w:rsid w:val="00D6229C"/>
    <w:rsid w:val="00D634A5"/>
    <w:rsid w:val="00D63E66"/>
    <w:rsid w:val="00D72C06"/>
    <w:rsid w:val="00D82172"/>
    <w:rsid w:val="00D8380B"/>
    <w:rsid w:val="00D83B8C"/>
    <w:rsid w:val="00D84BD9"/>
    <w:rsid w:val="00D85A4E"/>
    <w:rsid w:val="00D937EF"/>
    <w:rsid w:val="00D975F7"/>
    <w:rsid w:val="00DA37EB"/>
    <w:rsid w:val="00DB5752"/>
    <w:rsid w:val="00DB59FF"/>
    <w:rsid w:val="00DC5327"/>
    <w:rsid w:val="00DD47D0"/>
    <w:rsid w:val="00DD7CA3"/>
    <w:rsid w:val="00DD7DB4"/>
    <w:rsid w:val="00DE985A"/>
    <w:rsid w:val="00DF450B"/>
    <w:rsid w:val="00DF5639"/>
    <w:rsid w:val="00E01459"/>
    <w:rsid w:val="00E07818"/>
    <w:rsid w:val="00E22796"/>
    <w:rsid w:val="00E25DFD"/>
    <w:rsid w:val="00E3387C"/>
    <w:rsid w:val="00E33F06"/>
    <w:rsid w:val="00E4281C"/>
    <w:rsid w:val="00E4553C"/>
    <w:rsid w:val="00E458DA"/>
    <w:rsid w:val="00E5420D"/>
    <w:rsid w:val="00E61227"/>
    <w:rsid w:val="00E664ED"/>
    <w:rsid w:val="00E6739C"/>
    <w:rsid w:val="00E76F04"/>
    <w:rsid w:val="00E82237"/>
    <w:rsid w:val="00E82824"/>
    <w:rsid w:val="00E87A95"/>
    <w:rsid w:val="00E93F58"/>
    <w:rsid w:val="00EA1B89"/>
    <w:rsid w:val="00EA2120"/>
    <w:rsid w:val="00EA226E"/>
    <w:rsid w:val="00EA37F1"/>
    <w:rsid w:val="00EB2CCC"/>
    <w:rsid w:val="00EC1D4E"/>
    <w:rsid w:val="00EC2246"/>
    <w:rsid w:val="00EC26CA"/>
    <w:rsid w:val="00EC2EF5"/>
    <w:rsid w:val="00EC3E28"/>
    <w:rsid w:val="00EC428F"/>
    <w:rsid w:val="00EC7618"/>
    <w:rsid w:val="00ED19F5"/>
    <w:rsid w:val="00ED4E7E"/>
    <w:rsid w:val="00ED650D"/>
    <w:rsid w:val="00EF0C58"/>
    <w:rsid w:val="00EF0DBB"/>
    <w:rsid w:val="00EF27F7"/>
    <w:rsid w:val="00EF2AB0"/>
    <w:rsid w:val="00F0412C"/>
    <w:rsid w:val="00F06364"/>
    <w:rsid w:val="00F068C5"/>
    <w:rsid w:val="00F20569"/>
    <w:rsid w:val="00F21FA8"/>
    <w:rsid w:val="00F41480"/>
    <w:rsid w:val="00F467C2"/>
    <w:rsid w:val="00F468A4"/>
    <w:rsid w:val="00F53885"/>
    <w:rsid w:val="00F542FB"/>
    <w:rsid w:val="00F6096B"/>
    <w:rsid w:val="00F65131"/>
    <w:rsid w:val="00F66E7A"/>
    <w:rsid w:val="00F67115"/>
    <w:rsid w:val="00F71F20"/>
    <w:rsid w:val="00F738F1"/>
    <w:rsid w:val="00F8021D"/>
    <w:rsid w:val="00F84A4C"/>
    <w:rsid w:val="00F867F6"/>
    <w:rsid w:val="00F92F00"/>
    <w:rsid w:val="00F9388D"/>
    <w:rsid w:val="00FA0C3A"/>
    <w:rsid w:val="00FA6261"/>
    <w:rsid w:val="00FB122F"/>
    <w:rsid w:val="00FC08EF"/>
    <w:rsid w:val="00FC38F8"/>
    <w:rsid w:val="00FC42AD"/>
    <w:rsid w:val="00FD28A8"/>
    <w:rsid w:val="00FD3F5F"/>
    <w:rsid w:val="00FD6CB3"/>
    <w:rsid w:val="00FE53CF"/>
    <w:rsid w:val="00FE6983"/>
    <w:rsid w:val="00FF6E9E"/>
    <w:rsid w:val="013032A6"/>
    <w:rsid w:val="0130D5B7"/>
    <w:rsid w:val="016FEE23"/>
    <w:rsid w:val="022DB9D1"/>
    <w:rsid w:val="02B8F93E"/>
    <w:rsid w:val="02E8DFB1"/>
    <w:rsid w:val="03DE3175"/>
    <w:rsid w:val="05798BE9"/>
    <w:rsid w:val="05F9ED64"/>
    <w:rsid w:val="060F6714"/>
    <w:rsid w:val="07D5893E"/>
    <w:rsid w:val="086CDF11"/>
    <w:rsid w:val="08C93674"/>
    <w:rsid w:val="08C96592"/>
    <w:rsid w:val="08D4F0B0"/>
    <w:rsid w:val="0984A02D"/>
    <w:rsid w:val="09C9B4DB"/>
    <w:rsid w:val="0AB3AB57"/>
    <w:rsid w:val="0B088DD9"/>
    <w:rsid w:val="0BCEF1BC"/>
    <w:rsid w:val="0C8AC026"/>
    <w:rsid w:val="0CF62B02"/>
    <w:rsid w:val="0CFF8CEC"/>
    <w:rsid w:val="0D0922BB"/>
    <w:rsid w:val="0E1D5F4C"/>
    <w:rsid w:val="0E296C91"/>
    <w:rsid w:val="0E7BF79B"/>
    <w:rsid w:val="0E9E7563"/>
    <w:rsid w:val="0FD86B5E"/>
    <w:rsid w:val="10328797"/>
    <w:rsid w:val="10848198"/>
    <w:rsid w:val="116C0CA0"/>
    <w:rsid w:val="121F7641"/>
    <w:rsid w:val="123C8204"/>
    <w:rsid w:val="127822BC"/>
    <w:rsid w:val="12A2D5B7"/>
    <w:rsid w:val="13862A65"/>
    <w:rsid w:val="13FE6919"/>
    <w:rsid w:val="1422F1C4"/>
    <w:rsid w:val="147A79F6"/>
    <w:rsid w:val="14CA24AC"/>
    <w:rsid w:val="152CBE36"/>
    <w:rsid w:val="1593A2DD"/>
    <w:rsid w:val="159FC28A"/>
    <w:rsid w:val="15FD9009"/>
    <w:rsid w:val="162CF25B"/>
    <w:rsid w:val="16DB9772"/>
    <w:rsid w:val="16F90448"/>
    <w:rsid w:val="173B2E8D"/>
    <w:rsid w:val="17D4AE54"/>
    <w:rsid w:val="180675A6"/>
    <w:rsid w:val="181C3928"/>
    <w:rsid w:val="18C7169D"/>
    <w:rsid w:val="1A3493E4"/>
    <w:rsid w:val="1AF19CBF"/>
    <w:rsid w:val="1AFEF541"/>
    <w:rsid w:val="1B062843"/>
    <w:rsid w:val="1B11AB45"/>
    <w:rsid w:val="1CBB419A"/>
    <w:rsid w:val="1CDB73E3"/>
    <w:rsid w:val="1E2C3DDE"/>
    <w:rsid w:val="1EA7CFA0"/>
    <w:rsid w:val="1F31E30D"/>
    <w:rsid w:val="1F5D0AEE"/>
    <w:rsid w:val="1FD6AE48"/>
    <w:rsid w:val="20D3E529"/>
    <w:rsid w:val="21479B07"/>
    <w:rsid w:val="22F0BFD3"/>
    <w:rsid w:val="231A0D0F"/>
    <w:rsid w:val="231C90FE"/>
    <w:rsid w:val="24763091"/>
    <w:rsid w:val="249F92D0"/>
    <w:rsid w:val="2590F66C"/>
    <w:rsid w:val="26D1CEAB"/>
    <w:rsid w:val="26DE1AFC"/>
    <w:rsid w:val="26E066C9"/>
    <w:rsid w:val="27711542"/>
    <w:rsid w:val="279FD99D"/>
    <w:rsid w:val="27CF93F9"/>
    <w:rsid w:val="27F1672E"/>
    <w:rsid w:val="28BBF1DB"/>
    <w:rsid w:val="293D6B93"/>
    <w:rsid w:val="2A3D1E3E"/>
    <w:rsid w:val="2A8CCE4D"/>
    <w:rsid w:val="2A95CD3B"/>
    <w:rsid w:val="2AD8B657"/>
    <w:rsid w:val="2B460E73"/>
    <w:rsid w:val="2B4D2296"/>
    <w:rsid w:val="2BAF8809"/>
    <w:rsid w:val="2BCBFD4F"/>
    <w:rsid w:val="2BF46541"/>
    <w:rsid w:val="2C2F7C1B"/>
    <w:rsid w:val="2C629ADF"/>
    <w:rsid w:val="2CA0AB03"/>
    <w:rsid w:val="2CDFB3DC"/>
    <w:rsid w:val="2D46CD48"/>
    <w:rsid w:val="2DDC9B5E"/>
    <w:rsid w:val="2DE04C0D"/>
    <w:rsid w:val="2E15E10A"/>
    <w:rsid w:val="2E2EE87F"/>
    <w:rsid w:val="2EA8BF40"/>
    <w:rsid w:val="2FD6C88D"/>
    <w:rsid w:val="2FF3086A"/>
    <w:rsid w:val="3057B8D0"/>
    <w:rsid w:val="30714658"/>
    <w:rsid w:val="30879AD5"/>
    <w:rsid w:val="30A15841"/>
    <w:rsid w:val="30DEF08B"/>
    <w:rsid w:val="310B1044"/>
    <w:rsid w:val="313E51D3"/>
    <w:rsid w:val="314F09BA"/>
    <w:rsid w:val="318026F9"/>
    <w:rsid w:val="31DBF663"/>
    <w:rsid w:val="32378458"/>
    <w:rsid w:val="32B0B449"/>
    <w:rsid w:val="333C58A5"/>
    <w:rsid w:val="336E11F4"/>
    <w:rsid w:val="345C4059"/>
    <w:rsid w:val="3481F8EE"/>
    <w:rsid w:val="35D7FA08"/>
    <w:rsid w:val="36357340"/>
    <w:rsid w:val="36D056F3"/>
    <w:rsid w:val="36D5CA12"/>
    <w:rsid w:val="36E570B3"/>
    <w:rsid w:val="37189347"/>
    <w:rsid w:val="37341B93"/>
    <w:rsid w:val="3759A3D2"/>
    <w:rsid w:val="37819D42"/>
    <w:rsid w:val="37EF6252"/>
    <w:rsid w:val="37FA398C"/>
    <w:rsid w:val="38159802"/>
    <w:rsid w:val="38509172"/>
    <w:rsid w:val="38B1F56F"/>
    <w:rsid w:val="391AEBE6"/>
    <w:rsid w:val="396B7E5D"/>
    <w:rsid w:val="39C5D106"/>
    <w:rsid w:val="39C6F77C"/>
    <w:rsid w:val="3A27F105"/>
    <w:rsid w:val="3A83626C"/>
    <w:rsid w:val="3B1A446E"/>
    <w:rsid w:val="3C097F4F"/>
    <w:rsid w:val="3CA28A16"/>
    <w:rsid w:val="3CC4538B"/>
    <w:rsid w:val="3D1D6955"/>
    <w:rsid w:val="3D1E0107"/>
    <w:rsid w:val="3D521B77"/>
    <w:rsid w:val="3F25919B"/>
    <w:rsid w:val="3F6763DA"/>
    <w:rsid w:val="3FA318AF"/>
    <w:rsid w:val="406C3ABE"/>
    <w:rsid w:val="40AE0D92"/>
    <w:rsid w:val="40AF031D"/>
    <w:rsid w:val="40BE7F80"/>
    <w:rsid w:val="40F66654"/>
    <w:rsid w:val="411FB311"/>
    <w:rsid w:val="41B2E98F"/>
    <w:rsid w:val="41E5B75C"/>
    <w:rsid w:val="42038259"/>
    <w:rsid w:val="42E6AEB4"/>
    <w:rsid w:val="43B115FF"/>
    <w:rsid w:val="43DE4786"/>
    <w:rsid w:val="44D6D7F7"/>
    <w:rsid w:val="45807D8D"/>
    <w:rsid w:val="45DCA7EA"/>
    <w:rsid w:val="4606AAA2"/>
    <w:rsid w:val="47156803"/>
    <w:rsid w:val="4790380F"/>
    <w:rsid w:val="48586740"/>
    <w:rsid w:val="48BE75E3"/>
    <w:rsid w:val="48EE4B83"/>
    <w:rsid w:val="4A3E5D77"/>
    <w:rsid w:val="4A5293DB"/>
    <w:rsid w:val="4A5B2568"/>
    <w:rsid w:val="4A670A37"/>
    <w:rsid w:val="4AD19CDD"/>
    <w:rsid w:val="4B27B21E"/>
    <w:rsid w:val="4BB87548"/>
    <w:rsid w:val="4BC7D5D4"/>
    <w:rsid w:val="4D25C9E5"/>
    <w:rsid w:val="4DDF39BE"/>
    <w:rsid w:val="4E05C8A7"/>
    <w:rsid w:val="4E800CEC"/>
    <w:rsid w:val="4E90742F"/>
    <w:rsid w:val="4EF00BBA"/>
    <w:rsid w:val="4F02F7A9"/>
    <w:rsid w:val="4F5EEC05"/>
    <w:rsid w:val="50270C76"/>
    <w:rsid w:val="50329007"/>
    <w:rsid w:val="507D9693"/>
    <w:rsid w:val="508441B4"/>
    <w:rsid w:val="51FB9922"/>
    <w:rsid w:val="524E35BC"/>
    <w:rsid w:val="52A1DDCA"/>
    <w:rsid w:val="52A98DE8"/>
    <w:rsid w:val="52D4B50C"/>
    <w:rsid w:val="530467F0"/>
    <w:rsid w:val="53107F64"/>
    <w:rsid w:val="53163516"/>
    <w:rsid w:val="53A70DDA"/>
    <w:rsid w:val="53ADFC7C"/>
    <w:rsid w:val="53E50D30"/>
    <w:rsid w:val="5460F6C9"/>
    <w:rsid w:val="5494776F"/>
    <w:rsid w:val="54A3946B"/>
    <w:rsid w:val="54AE2D6D"/>
    <w:rsid w:val="54F5C809"/>
    <w:rsid w:val="55762CF9"/>
    <w:rsid w:val="559CEBF4"/>
    <w:rsid w:val="55E87D1A"/>
    <w:rsid w:val="566CCE20"/>
    <w:rsid w:val="56944636"/>
    <w:rsid w:val="569FB708"/>
    <w:rsid w:val="56C9756D"/>
    <w:rsid w:val="57A59B86"/>
    <w:rsid w:val="57C66C46"/>
    <w:rsid w:val="588FB304"/>
    <w:rsid w:val="599440F7"/>
    <w:rsid w:val="59A965F4"/>
    <w:rsid w:val="5A2D3B0A"/>
    <w:rsid w:val="5ADB536D"/>
    <w:rsid w:val="5B0F3B9D"/>
    <w:rsid w:val="5B345C75"/>
    <w:rsid w:val="5B4EE963"/>
    <w:rsid w:val="5B5F1008"/>
    <w:rsid w:val="5C6A904D"/>
    <w:rsid w:val="5D217A6F"/>
    <w:rsid w:val="5D25AFCD"/>
    <w:rsid w:val="5D9B21BE"/>
    <w:rsid w:val="5DA5FDA9"/>
    <w:rsid w:val="5DFEB896"/>
    <w:rsid w:val="5E0D19DD"/>
    <w:rsid w:val="5E9B1A61"/>
    <w:rsid w:val="5ED43F27"/>
    <w:rsid w:val="5ED46701"/>
    <w:rsid w:val="5F094157"/>
    <w:rsid w:val="5F522AA7"/>
    <w:rsid w:val="5F6F29BB"/>
    <w:rsid w:val="5F911D9E"/>
    <w:rsid w:val="5F9C7B42"/>
    <w:rsid w:val="5FA22EB3"/>
    <w:rsid w:val="600A6CCB"/>
    <w:rsid w:val="6030F93D"/>
    <w:rsid w:val="60548440"/>
    <w:rsid w:val="60AE38AF"/>
    <w:rsid w:val="618A3DC3"/>
    <w:rsid w:val="61E0E824"/>
    <w:rsid w:val="62377995"/>
    <w:rsid w:val="62BC7CBB"/>
    <w:rsid w:val="62C3AE11"/>
    <w:rsid w:val="630405F8"/>
    <w:rsid w:val="631666E1"/>
    <w:rsid w:val="6348E56D"/>
    <w:rsid w:val="63FCB258"/>
    <w:rsid w:val="6484A933"/>
    <w:rsid w:val="652F239A"/>
    <w:rsid w:val="6607EB7E"/>
    <w:rsid w:val="6657B977"/>
    <w:rsid w:val="66B7CCC4"/>
    <w:rsid w:val="66D269DD"/>
    <w:rsid w:val="68045039"/>
    <w:rsid w:val="687E4FCA"/>
    <w:rsid w:val="69137066"/>
    <w:rsid w:val="69D3C076"/>
    <w:rsid w:val="6ACB3156"/>
    <w:rsid w:val="6B627DCB"/>
    <w:rsid w:val="6B981B0C"/>
    <w:rsid w:val="6C821C65"/>
    <w:rsid w:val="6D17DC54"/>
    <w:rsid w:val="6D9C8178"/>
    <w:rsid w:val="6E1B93CF"/>
    <w:rsid w:val="6E5FC319"/>
    <w:rsid w:val="6E6C948F"/>
    <w:rsid w:val="6F1E8F39"/>
    <w:rsid w:val="701ACD71"/>
    <w:rsid w:val="7032A774"/>
    <w:rsid w:val="7070E066"/>
    <w:rsid w:val="70854063"/>
    <w:rsid w:val="70C30698"/>
    <w:rsid w:val="70F27A26"/>
    <w:rsid w:val="70FFEE42"/>
    <w:rsid w:val="7115C41E"/>
    <w:rsid w:val="716397C5"/>
    <w:rsid w:val="71801CDD"/>
    <w:rsid w:val="719632C9"/>
    <w:rsid w:val="72A15E48"/>
    <w:rsid w:val="731321C4"/>
    <w:rsid w:val="73702106"/>
    <w:rsid w:val="740CACC6"/>
    <w:rsid w:val="749C6833"/>
    <w:rsid w:val="74DDCEDB"/>
    <w:rsid w:val="755FAA92"/>
    <w:rsid w:val="763AF0E8"/>
    <w:rsid w:val="76617AC0"/>
    <w:rsid w:val="76634D74"/>
    <w:rsid w:val="76C9A2D5"/>
    <w:rsid w:val="7799878A"/>
    <w:rsid w:val="77F97671"/>
    <w:rsid w:val="7828E663"/>
    <w:rsid w:val="795B963C"/>
    <w:rsid w:val="7AC546CF"/>
    <w:rsid w:val="7AEB98D1"/>
    <w:rsid w:val="7B09EC77"/>
    <w:rsid w:val="7B5DD7AA"/>
    <w:rsid w:val="7B7FBC0B"/>
    <w:rsid w:val="7C1BE2AC"/>
    <w:rsid w:val="7CBB09C0"/>
    <w:rsid w:val="7D3FEE95"/>
    <w:rsid w:val="7D92D58A"/>
    <w:rsid w:val="7DF72F0A"/>
    <w:rsid w:val="7E2658C3"/>
    <w:rsid w:val="7E5A8214"/>
    <w:rsid w:val="7F4DF9FA"/>
    <w:rsid w:val="7F76F2D2"/>
    <w:rsid w:val="7FB0D26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5:docId w15:val="{9A9C1A79-5EF4-46A3-A75A-7B675C85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iPriority w:val="99"/>
    <w:semiHidden/>
    <w:unhideWhenUsed/>
    <w:rsid w:val="00DB59FF"/>
    <w:rPr>
      <w:sz w:val="16"/>
      <w:szCs w:val="16"/>
    </w:rPr>
  </w:style>
  <w:style w:type="paragraph" w:styleId="CommentText">
    <w:name w:val="annotation text"/>
    <w:basedOn w:val="Normal"/>
    <w:link w:val="CommentTextChar"/>
    <w:uiPriority w:val="99"/>
    <w:unhideWhenUsed/>
    <w:rsid w:val="00DB59FF"/>
    <w:rPr>
      <w:sz w:val="20"/>
      <w:szCs w:val="20"/>
    </w:rPr>
  </w:style>
  <w:style w:type="character" w:customStyle="1" w:styleId="CommentTextChar">
    <w:name w:val="Comment Text Char"/>
    <w:basedOn w:val="DefaultParagraphFont"/>
    <w:link w:val="CommentText"/>
    <w:uiPriority w:val="99"/>
    <w:rsid w:val="00DB59FF"/>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DB59FF"/>
    <w:rPr>
      <w:b/>
      <w:bCs/>
    </w:rPr>
  </w:style>
  <w:style w:type="character" w:customStyle="1" w:styleId="CommentSubjectChar">
    <w:name w:val="Comment Subject Char"/>
    <w:basedOn w:val="CommentTextChar"/>
    <w:link w:val="CommentSubject"/>
    <w:uiPriority w:val="99"/>
    <w:semiHidden/>
    <w:rsid w:val="00DB59FF"/>
    <w:rPr>
      <w:rFonts w:ascii="Times New Roman" w:hAnsi="Times New Roman" w:cs="Times New Roman"/>
      <w:b/>
      <w:bCs/>
      <w:sz w:val="20"/>
      <w:szCs w:val="20"/>
      <w:lang w:val="fr-FR"/>
    </w:rPr>
  </w:style>
  <w:style w:type="paragraph" w:styleId="Revision">
    <w:name w:val="Revision"/>
    <w:hidden/>
    <w:uiPriority w:val="99"/>
    <w:semiHidden/>
    <w:rsid w:val="00F468A4"/>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BB3091"/>
    <w:rPr>
      <w:color w:val="605E5C"/>
      <w:shd w:val="clear" w:color="auto" w:fill="E1DFDD"/>
    </w:rPr>
  </w:style>
  <w:style w:type="paragraph" w:styleId="ListBullet">
    <w:name w:val="List Bullet"/>
    <w:basedOn w:val="Normal"/>
    <w:uiPriority w:val="99"/>
    <w:semiHidden/>
    <w:unhideWhenUsed/>
    <w:rsid w:val="005D4995"/>
    <w:pPr>
      <w:numPr>
        <w:numId w:val="1"/>
      </w:numPr>
      <w:contextualSpacing/>
    </w:pPr>
  </w:style>
  <w:style w:type="paragraph" w:styleId="ListBullet2">
    <w:name w:val="List Bullet 2"/>
    <w:basedOn w:val="Normal"/>
    <w:uiPriority w:val="99"/>
    <w:semiHidden/>
    <w:unhideWhenUsed/>
    <w:rsid w:val="005D4995"/>
    <w:pPr>
      <w:numPr>
        <w:numId w:val="2"/>
      </w:numPr>
      <w:contextualSpacing/>
    </w:pPr>
  </w:style>
  <w:style w:type="paragraph" w:styleId="ListBullet3">
    <w:name w:val="List Bullet 3"/>
    <w:basedOn w:val="Normal"/>
    <w:uiPriority w:val="99"/>
    <w:semiHidden/>
    <w:unhideWhenUsed/>
    <w:rsid w:val="005D4995"/>
    <w:pPr>
      <w:numPr>
        <w:numId w:val="3"/>
      </w:numPr>
      <w:contextualSpacing/>
    </w:pPr>
  </w:style>
  <w:style w:type="paragraph" w:styleId="ListBullet4">
    <w:name w:val="List Bullet 4"/>
    <w:basedOn w:val="Normal"/>
    <w:uiPriority w:val="99"/>
    <w:semiHidden/>
    <w:unhideWhenUsed/>
    <w:rsid w:val="005D4995"/>
    <w:pPr>
      <w:numPr>
        <w:numId w:val="4"/>
      </w:numPr>
      <w:contextualSpacing/>
    </w:pPr>
  </w:style>
  <w:style w:type="character" w:customStyle="1" w:styleId="HeaderChar">
    <w:name w:val="Header Char"/>
    <w:basedOn w:val="DefaultParagraphFont"/>
    <w:link w:val="Header"/>
    <w:uiPriority w:val="99"/>
    <w:rsid w:val="00A147BD"/>
    <w:rPr>
      <w:rFonts w:ascii="Times New Roman" w:hAnsi="Times New Roman" w:cs="Times New Roman"/>
      <w:sz w:val="24"/>
      <w:lang w:val="fr-FR"/>
    </w:rPr>
  </w:style>
  <w:style w:type="character" w:customStyle="1" w:styleId="FooterChar">
    <w:name w:val="Footer Char"/>
    <w:basedOn w:val="DefaultParagraphFont"/>
    <w:link w:val="Footer"/>
    <w:uiPriority w:val="99"/>
    <w:rsid w:val="00A147B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147B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147BD"/>
    <w:pPr>
      <w:spacing w:before="0"/>
      <w:jc w:val="right"/>
    </w:pPr>
    <w:rPr>
      <w:sz w:val="28"/>
    </w:rPr>
  </w:style>
  <w:style w:type="paragraph" w:customStyle="1" w:styleId="FooterSensitivity">
    <w:name w:val="Footer Sensitivity"/>
    <w:basedOn w:val="Normal"/>
    <w:rsid w:val="00A147B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147BD"/>
    <w:pPr>
      <w:tabs>
        <w:tab w:val="center" w:pos="4535"/>
        <w:tab w:val="right" w:pos="9071"/>
      </w:tabs>
      <w:spacing w:before="0"/>
    </w:pPr>
  </w:style>
  <w:style w:type="paragraph" w:customStyle="1" w:styleId="HeaderLandscape">
    <w:name w:val="HeaderLandscape"/>
    <w:basedOn w:val="Normal"/>
    <w:rsid w:val="00A147BD"/>
    <w:pPr>
      <w:tabs>
        <w:tab w:val="center" w:pos="7285"/>
        <w:tab w:val="right" w:pos="14003"/>
      </w:tabs>
      <w:spacing w:before="0"/>
    </w:pPr>
  </w:style>
  <w:style w:type="paragraph" w:styleId="Footer">
    <w:name w:val="footer"/>
    <w:basedOn w:val="Normal"/>
    <w:link w:val="FooterChar"/>
    <w:uiPriority w:val="99"/>
    <w:unhideWhenUsed/>
    <w:rsid w:val="00A147B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147B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08956">
      <w:bodyDiv w:val="1"/>
      <w:marLeft w:val="0"/>
      <w:marRight w:val="0"/>
      <w:marTop w:val="0"/>
      <w:marBottom w:val="0"/>
      <w:divBdr>
        <w:top w:val="none" w:sz="0" w:space="0" w:color="auto"/>
        <w:left w:val="none" w:sz="0" w:space="0" w:color="auto"/>
        <w:bottom w:val="none" w:sz="0" w:space="0" w:color="auto"/>
        <w:right w:val="none" w:sz="0" w:space="0" w:color="auto"/>
      </w:divBdr>
      <w:divsChild>
        <w:div w:id="18625634">
          <w:marLeft w:val="0"/>
          <w:marRight w:val="0"/>
          <w:marTop w:val="0"/>
          <w:marBottom w:val="0"/>
          <w:divBdr>
            <w:top w:val="none" w:sz="0" w:space="0" w:color="auto"/>
            <w:left w:val="none" w:sz="0" w:space="0" w:color="auto"/>
            <w:bottom w:val="none" w:sz="0" w:space="0" w:color="auto"/>
            <w:right w:val="none" w:sz="0" w:space="0" w:color="auto"/>
          </w:divBdr>
        </w:div>
        <w:div w:id="71129461">
          <w:marLeft w:val="0"/>
          <w:marRight w:val="0"/>
          <w:marTop w:val="0"/>
          <w:marBottom w:val="0"/>
          <w:divBdr>
            <w:top w:val="none" w:sz="0" w:space="0" w:color="auto"/>
            <w:left w:val="none" w:sz="0" w:space="0" w:color="auto"/>
            <w:bottom w:val="none" w:sz="0" w:space="0" w:color="auto"/>
            <w:right w:val="none" w:sz="0" w:space="0" w:color="auto"/>
          </w:divBdr>
          <w:divsChild>
            <w:div w:id="7367403">
              <w:marLeft w:val="0"/>
              <w:marRight w:val="0"/>
              <w:marTop w:val="0"/>
              <w:marBottom w:val="0"/>
              <w:divBdr>
                <w:top w:val="none" w:sz="0" w:space="0" w:color="auto"/>
                <w:left w:val="none" w:sz="0" w:space="0" w:color="auto"/>
                <w:bottom w:val="none" w:sz="0" w:space="0" w:color="auto"/>
                <w:right w:val="none" w:sz="0" w:space="0" w:color="auto"/>
              </w:divBdr>
            </w:div>
            <w:div w:id="247545733">
              <w:marLeft w:val="0"/>
              <w:marRight w:val="0"/>
              <w:marTop w:val="0"/>
              <w:marBottom w:val="0"/>
              <w:divBdr>
                <w:top w:val="none" w:sz="0" w:space="0" w:color="auto"/>
                <w:left w:val="none" w:sz="0" w:space="0" w:color="auto"/>
                <w:bottom w:val="none" w:sz="0" w:space="0" w:color="auto"/>
                <w:right w:val="none" w:sz="0" w:space="0" w:color="auto"/>
              </w:divBdr>
            </w:div>
            <w:div w:id="324481329">
              <w:marLeft w:val="0"/>
              <w:marRight w:val="0"/>
              <w:marTop w:val="0"/>
              <w:marBottom w:val="0"/>
              <w:divBdr>
                <w:top w:val="none" w:sz="0" w:space="0" w:color="auto"/>
                <w:left w:val="none" w:sz="0" w:space="0" w:color="auto"/>
                <w:bottom w:val="none" w:sz="0" w:space="0" w:color="auto"/>
                <w:right w:val="none" w:sz="0" w:space="0" w:color="auto"/>
              </w:divBdr>
            </w:div>
            <w:div w:id="538129562">
              <w:marLeft w:val="0"/>
              <w:marRight w:val="0"/>
              <w:marTop w:val="0"/>
              <w:marBottom w:val="0"/>
              <w:divBdr>
                <w:top w:val="none" w:sz="0" w:space="0" w:color="auto"/>
                <w:left w:val="none" w:sz="0" w:space="0" w:color="auto"/>
                <w:bottom w:val="none" w:sz="0" w:space="0" w:color="auto"/>
                <w:right w:val="none" w:sz="0" w:space="0" w:color="auto"/>
              </w:divBdr>
            </w:div>
            <w:div w:id="540821728">
              <w:marLeft w:val="0"/>
              <w:marRight w:val="0"/>
              <w:marTop w:val="0"/>
              <w:marBottom w:val="0"/>
              <w:divBdr>
                <w:top w:val="none" w:sz="0" w:space="0" w:color="auto"/>
                <w:left w:val="none" w:sz="0" w:space="0" w:color="auto"/>
                <w:bottom w:val="none" w:sz="0" w:space="0" w:color="auto"/>
                <w:right w:val="none" w:sz="0" w:space="0" w:color="auto"/>
              </w:divBdr>
            </w:div>
            <w:div w:id="796147498">
              <w:marLeft w:val="0"/>
              <w:marRight w:val="0"/>
              <w:marTop w:val="0"/>
              <w:marBottom w:val="0"/>
              <w:divBdr>
                <w:top w:val="none" w:sz="0" w:space="0" w:color="auto"/>
                <w:left w:val="none" w:sz="0" w:space="0" w:color="auto"/>
                <w:bottom w:val="none" w:sz="0" w:space="0" w:color="auto"/>
                <w:right w:val="none" w:sz="0" w:space="0" w:color="auto"/>
              </w:divBdr>
            </w:div>
            <w:div w:id="1014303106">
              <w:marLeft w:val="0"/>
              <w:marRight w:val="0"/>
              <w:marTop w:val="0"/>
              <w:marBottom w:val="0"/>
              <w:divBdr>
                <w:top w:val="none" w:sz="0" w:space="0" w:color="auto"/>
                <w:left w:val="none" w:sz="0" w:space="0" w:color="auto"/>
                <w:bottom w:val="none" w:sz="0" w:space="0" w:color="auto"/>
                <w:right w:val="none" w:sz="0" w:space="0" w:color="auto"/>
              </w:divBdr>
            </w:div>
            <w:div w:id="1116950527">
              <w:marLeft w:val="0"/>
              <w:marRight w:val="0"/>
              <w:marTop w:val="0"/>
              <w:marBottom w:val="0"/>
              <w:divBdr>
                <w:top w:val="none" w:sz="0" w:space="0" w:color="auto"/>
                <w:left w:val="none" w:sz="0" w:space="0" w:color="auto"/>
                <w:bottom w:val="none" w:sz="0" w:space="0" w:color="auto"/>
                <w:right w:val="none" w:sz="0" w:space="0" w:color="auto"/>
              </w:divBdr>
            </w:div>
            <w:div w:id="1172722383">
              <w:marLeft w:val="0"/>
              <w:marRight w:val="0"/>
              <w:marTop w:val="0"/>
              <w:marBottom w:val="0"/>
              <w:divBdr>
                <w:top w:val="none" w:sz="0" w:space="0" w:color="auto"/>
                <w:left w:val="none" w:sz="0" w:space="0" w:color="auto"/>
                <w:bottom w:val="none" w:sz="0" w:space="0" w:color="auto"/>
                <w:right w:val="none" w:sz="0" w:space="0" w:color="auto"/>
              </w:divBdr>
            </w:div>
            <w:div w:id="1286235315">
              <w:marLeft w:val="0"/>
              <w:marRight w:val="0"/>
              <w:marTop w:val="0"/>
              <w:marBottom w:val="0"/>
              <w:divBdr>
                <w:top w:val="none" w:sz="0" w:space="0" w:color="auto"/>
                <w:left w:val="none" w:sz="0" w:space="0" w:color="auto"/>
                <w:bottom w:val="none" w:sz="0" w:space="0" w:color="auto"/>
                <w:right w:val="none" w:sz="0" w:space="0" w:color="auto"/>
              </w:divBdr>
            </w:div>
            <w:div w:id="1290622718">
              <w:marLeft w:val="0"/>
              <w:marRight w:val="0"/>
              <w:marTop w:val="0"/>
              <w:marBottom w:val="0"/>
              <w:divBdr>
                <w:top w:val="none" w:sz="0" w:space="0" w:color="auto"/>
                <w:left w:val="none" w:sz="0" w:space="0" w:color="auto"/>
                <w:bottom w:val="none" w:sz="0" w:space="0" w:color="auto"/>
                <w:right w:val="none" w:sz="0" w:space="0" w:color="auto"/>
              </w:divBdr>
            </w:div>
            <w:div w:id="1291741186">
              <w:marLeft w:val="0"/>
              <w:marRight w:val="0"/>
              <w:marTop w:val="0"/>
              <w:marBottom w:val="0"/>
              <w:divBdr>
                <w:top w:val="none" w:sz="0" w:space="0" w:color="auto"/>
                <w:left w:val="none" w:sz="0" w:space="0" w:color="auto"/>
                <w:bottom w:val="none" w:sz="0" w:space="0" w:color="auto"/>
                <w:right w:val="none" w:sz="0" w:space="0" w:color="auto"/>
              </w:divBdr>
            </w:div>
            <w:div w:id="1344668928">
              <w:marLeft w:val="0"/>
              <w:marRight w:val="0"/>
              <w:marTop w:val="0"/>
              <w:marBottom w:val="0"/>
              <w:divBdr>
                <w:top w:val="none" w:sz="0" w:space="0" w:color="auto"/>
                <w:left w:val="none" w:sz="0" w:space="0" w:color="auto"/>
                <w:bottom w:val="none" w:sz="0" w:space="0" w:color="auto"/>
                <w:right w:val="none" w:sz="0" w:space="0" w:color="auto"/>
              </w:divBdr>
            </w:div>
            <w:div w:id="1424453829">
              <w:marLeft w:val="0"/>
              <w:marRight w:val="0"/>
              <w:marTop w:val="0"/>
              <w:marBottom w:val="0"/>
              <w:divBdr>
                <w:top w:val="none" w:sz="0" w:space="0" w:color="auto"/>
                <w:left w:val="none" w:sz="0" w:space="0" w:color="auto"/>
                <w:bottom w:val="none" w:sz="0" w:space="0" w:color="auto"/>
                <w:right w:val="none" w:sz="0" w:space="0" w:color="auto"/>
              </w:divBdr>
            </w:div>
            <w:div w:id="1475760428">
              <w:marLeft w:val="0"/>
              <w:marRight w:val="0"/>
              <w:marTop w:val="0"/>
              <w:marBottom w:val="0"/>
              <w:divBdr>
                <w:top w:val="none" w:sz="0" w:space="0" w:color="auto"/>
                <w:left w:val="none" w:sz="0" w:space="0" w:color="auto"/>
                <w:bottom w:val="none" w:sz="0" w:space="0" w:color="auto"/>
                <w:right w:val="none" w:sz="0" w:space="0" w:color="auto"/>
              </w:divBdr>
            </w:div>
            <w:div w:id="1505702575">
              <w:marLeft w:val="0"/>
              <w:marRight w:val="0"/>
              <w:marTop w:val="0"/>
              <w:marBottom w:val="0"/>
              <w:divBdr>
                <w:top w:val="none" w:sz="0" w:space="0" w:color="auto"/>
                <w:left w:val="none" w:sz="0" w:space="0" w:color="auto"/>
                <w:bottom w:val="none" w:sz="0" w:space="0" w:color="auto"/>
                <w:right w:val="none" w:sz="0" w:space="0" w:color="auto"/>
              </w:divBdr>
            </w:div>
            <w:div w:id="1534489979">
              <w:marLeft w:val="0"/>
              <w:marRight w:val="0"/>
              <w:marTop w:val="0"/>
              <w:marBottom w:val="0"/>
              <w:divBdr>
                <w:top w:val="none" w:sz="0" w:space="0" w:color="auto"/>
                <w:left w:val="none" w:sz="0" w:space="0" w:color="auto"/>
                <w:bottom w:val="none" w:sz="0" w:space="0" w:color="auto"/>
                <w:right w:val="none" w:sz="0" w:space="0" w:color="auto"/>
              </w:divBdr>
            </w:div>
            <w:div w:id="1846551094">
              <w:marLeft w:val="0"/>
              <w:marRight w:val="0"/>
              <w:marTop w:val="0"/>
              <w:marBottom w:val="0"/>
              <w:divBdr>
                <w:top w:val="none" w:sz="0" w:space="0" w:color="auto"/>
                <w:left w:val="none" w:sz="0" w:space="0" w:color="auto"/>
                <w:bottom w:val="none" w:sz="0" w:space="0" w:color="auto"/>
                <w:right w:val="none" w:sz="0" w:space="0" w:color="auto"/>
              </w:divBdr>
            </w:div>
            <w:div w:id="1906331402">
              <w:marLeft w:val="0"/>
              <w:marRight w:val="0"/>
              <w:marTop w:val="0"/>
              <w:marBottom w:val="0"/>
              <w:divBdr>
                <w:top w:val="none" w:sz="0" w:space="0" w:color="auto"/>
                <w:left w:val="none" w:sz="0" w:space="0" w:color="auto"/>
                <w:bottom w:val="none" w:sz="0" w:space="0" w:color="auto"/>
                <w:right w:val="none" w:sz="0" w:space="0" w:color="auto"/>
              </w:divBdr>
            </w:div>
            <w:div w:id="2119371166">
              <w:marLeft w:val="0"/>
              <w:marRight w:val="0"/>
              <w:marTop w:val="0"/>
              <w:marBottom w:val="0"/>
              <w:divBdr>
                <w:top w:val="none" w:sz="0" w:space="0" w:color="auto"/>
                <w:left w:val="none" w:sz="0" w:space="0" w:color="auto"/>
                <w:bottom w:val="none" w:sz="0" w:space="0" w:color="auto"/>
                <w:right w:val="none" w:sz="0" w:space="0" w:color="auto"/>
              </w:divBdr>
            </w:div>
          </w:divsChild>
        </w:div>
        <w:div w:id="296645881">
          <w:marLeft w:val="0"/>
          <w:marRight w:val="0"/>
          <w:marTop w:val="0"/>
          <w:marBottom w:val="0"/>
          <w:divBdr>
            <w:top w:val="none" w:sz="0" w:space="0" w:color="auto"/>
            <w:left w:val="none" w:sz="0" w:space="0" w:color="auto"/>
            <w:bottom w:val="none" w:sz="0" w:space="0" w:color="auto"/>
            <w:right w:val="none" w:sz="0" w:space="0" w:color="auto"/>
          </w:divBdr>
          <w:divsChild>
            <w:div w:id="114982125">
              <w:marLeft w:val="0"/>
              <w:marRight w:val="0"/>
              <w:marTop w:val="0"/>
              <w:marBottom w:val="0"/>
              <w:divBdr>
                <w:top w:val="none" w:sz="0" w:space="0" w:color="auto"/>
                <w:left w:val="none" w:sz="0" w:space="0" w:color="auto"/>
                <w:bottom w:val="none" w:sz="0" w:space="0" w:color="auto"/>
                <w:right w:val="none" w:sz="0" w:space="0" w:color="auto"/>
              </w:divBdr>
            </w:div>
            <w:div w:id="140315210">
              <w:marLeft w:val="0"/>
              <w:marRight w:val="0"/>
              <w:marTop w:val="0"/>
              <w:marBottom w:val="0"/>
              <w:divBdr>
                <w:top w:val="none" w:sz="0" w:space="0" w:color="auto"/>
                <w:left w:val="none" w:sz="0" w:space="0" w:color="auto"/>
                <w:bottom w:val="none" w:sz="0" w:space="0" w:color="auto"/>
                <w:right w:val="none" w:sz="0" w:space="0" w:color="auto"/>
              </w:divBdr>
            </w:div>
            <w:div w:id="244919167">
              <w:marLeft w:val="0"/>
              <w:marRight w:val="0"/>
              <w:marTop w:val="0"/>
              <w:marBottom w:val="0"/>
              <w:divBdr>
                <w:top w:val="none" w:sz="0" w:space="0" w:color="auto"/>
                <w:left w:val="none" w:sz="0" w:space="0" w:color="auto"/>
                <w:bottom w:val="none" w:sz="0" w:space="0" w:color="auto"/>
                <w:right w:val="none" w:sz="0" w:space="0" w:color="auto"/>
              </w:divBdr>
            </w:div>
            <w:div w:id="293870007">
              <w:marLeft w:val="0"/>
              <w:marRight w:val="0"/>
              <w:marTop w:val="0"/>
              <w:marBottom w:val="0"/>
              <w:divBdr>
                <w:top w:val="none" w:sz="0" w:space="0" w:color="auto"/>
                <w:left w:val="none" w:sz="0" w:space="0" w:color="auto"/>
                <w:bottom w:val="none" w:sz="0" w:space="0" w:color="auto"/>
                <w:right w:val="none" w:sz="0" w:space="0" w:color="auto"/>
              </w:divBdr>
            </w:div>
            <w:div w:id="348264506">
              <w:marLeft w:val="0"/>
              <w:marRight w:val="0"/>
              <w:marTop w:val="0"/>
              <w:marBottom w:val="0"/>
              <w:divBdr>
                <w:top w:val="none" w:sz="0" w:space="0" w:color="auto"/>
                <w:left w:val="none" w:sz="0" w:space="0" w:color="auto"/>
                <w:bottom w:val="none" w:sz="0" w:space="0" w:color="auto"/>
                <w:right w:val="none" w:sz="0" w:space="0" w:color="auto"/>
              </w:divBdr>
            </w:div>
            <w:div w:id="637996939">
              <w:marLeft w:val="0"/>
              <w:marRight w:val="0"/>
              <w:marTop w:val="0"/>
              <w:marBottom w:val="0"/>
              <w:divBdr>
                <w:top w:val="none" w:sz="0" w:space="0" w:color="auto"/>
                <w:left w:val="none" w:sz="0" w:space="0" w:color="auto"/>
                <w:bottom w:val="none" w:sz="0" w:space="0" w:color="auto"/>
                <w:right w:val="none" w:sz="0" w:space="0" w:color="auto"/>
              </w:divBdr>
            </w:div>
            <w:div w:id="786394460">
              <w:marLeft w:val="0"/>
              <w:marRight w:val="0"/>
              <w:marTop w:val="0"/>
              <w:marBottom w:val="0"/>
              <w:divBdr>
                <w:top w:val="none" w:sz="0" w:space="0" w:color="auto"/>
                <w:left w:val="none" w:sz="0" w:space="0" w:color="auto"/>
                <w:bottom w:val="none" w:sz="0" w:space="0" w:color="auto"/>
                <w:right w:val="none" w:sz="0" w:space="0" w:color="auto"/>
              </w:divBdr>
            </w:div>
            <w:div w:id="902907465">
              <w:marLeft w:val="0"/>
              <w:marRight w:val="0"/>
              <w:marTop w:val="0"/>
              <w:marBottom w:val="0"/>
              <w:divBdr>
                <w:top w:val="none" w:sz="0" w:space="0" w:color="auto"/>
                <w:left w:val="none" w:sz="0" w:space="0" w:color="auto"/>
                <w:bottom w:val="none" w:sz="0" w:space="0" w:color="auto"/>
                <w:right w:val="none" w:sz="0" w:space="0" w:color="auto"/>
              </w:divBdr>
            </w:div>
            <w:div w:id="983654540">
              <w:marLeft w:val="0"/>
              <w:marRight w:val="0"/>
              <w:marTop w:val="0"/>
              <w:marBottom w:val="0"/>
              <w:divBdr>
                <w:top w:val="none" w:sz="0" w:space="0" w:color="auto"/>
                <w:left w:val="none" w:sz="0" w:space="0" w:color="auto"/>
                <w:bottom w:val="none" w:sz="0" w:space="0" w:color="auto"/>
                <w:right w:val="none" w:sz="0" w:space="0" w:color="auto"/>
              </w:divBdr>
            </w:div>
            <w:div w:id="1043554186">
              <w:marLeft w:val="0"/>
              <w:marRight w:val="0"/>
              <w:marTop w:val="0"/>
              <w:marBottom w:val="0"/>
              <w:divBdr>
                <w:top w:val="none" w:sz="0" w:space="0" w:color="auto"/>
                <w:left w:val="none" w:sz="0" w:space="0" w:color="auto"/>
                <w:bottom w:val="none" w:sz="0" w:space="0" w:color="auto"/>
                <w:right w:val="none" w:sz="0" w:space="0" w:color="auto"/>
              </w:divBdr>
            </w:div>
            <w:div w:id="1092354820">
              <w:marLeft w:val="0"/>
              <w:marRight w:val="0"/>
              <w:marTop w:val="0"/>
              <w:marBottom w:val="0"/>
              <w:divBdr>
                <w:top w:val="none" w:sz="0" w:space="0" w:color="auto"/>
                <w:left w:val="none" w:sz="0" w:space="0" w:color="auto"/>
                <w:bottom w:val="none" w:sz="0" w:space="0" w:color="auto"/>
                <w:right w:val="none" w:sz="0" w:space="0" w:color="auto"/>
              </w:divBdr>
            </w:div>
            <w:div w:id="1097941885">
              <w:marLeft w:val="0"/>
              <w:marRight w:val="0"/>
              <w:marTop w:val="0"/>
              <w:marBottom w:val="0"/>
              <w:divBdr>
                <w:top w:val="none" w:sz="0" w:space="0" w:color="auto"/>
                <w:left w:val="none" w:sz="0" w:space="0" w:color="auto"/>
                <w:bottom w:val="none" w:sz="0" w:space="0" w:color="auto"/>
                <w:right w:val="none" w:sz="0" w:space="0" w:color="auto"/>
              </w:divBdr>
            </w:div>
            <w:div w:id="1296134153">
              <w:marLeft w:val="0"/>
              <w:marRight w:val="0"/>
              <w:marTop w:val="0"/>
              <w:marBottom w:val="0"/>
              <w:divBdr>
                <w:top w:val="none" w:sz="0" w:space="0" w:color="auto"/>
                <w:left w:val="none" w:sz="0" w:space="0" w:color="auto"/>
                <w:bottom w:val="none" w:sz="0" w:space="0" w:color="auto"/>
                <w:right w:val="none" w:sz="0" w:space="0" w:color="auto"/>
              </w:divBdr>
            </w:div>
            <w:div w:id="1328827330">
              <w:marLeft w:val="0"/>
              <w:marRight w:val="0"/>
              <w:marTop w:val="0"/>
              <w:marBottom w:val="0"/>
              <w:divBdr>
                <w:top w:val="none" w:sz="0" w:space="0" w:color="auto"/>
                <w:left w:val="none" w:sz="0" w:space="0" w:color="auto"/>
                <w:bottom w:val="none" w:sz="0" w:space="0" w:color="auto"/>
                <w:right w:val="none" w:sz="0" w:space="0" w:color="auto"/>
              </w:divBdr>
            </w:div>
            <w:div w:id="1388409549">
              <w:marLeft w:val="0"/>
              <w:marRight w:val="0"/>
              <w:marTop w:val="0"/>
              <w:marBottom w:val="0"/>
              <w:divBdr>
                <w:top w:val="none" w:sz="0" w:space="0" w:color="auto"/>
                <w:left w:val="none" w:sz="0" w:space="0" w:color="auto"/>
                <w:bottom w:val="none" w:sz="0" w:space="0" w:color="auto"/>
                <w:right w:val="none" w:sz="0" w:space="0" w:color="auto"/>
              </w:divBdr>
            </w:div>
            <w:div w:id="1474298073">
              <w:marLeft w:val="0"/>
              <w:marRight w:val="0"/>
              <w:marTop w:val="0"/>
              <w:marBottom w:val="0"/>
              <w:divBdr>
                <w:top w:val="none" w:sz="0" w:space="0" w:color="auto"/>
                <w:left w:val="none" w:sz="0" w:space="0" w:color="auto"/>
                <w:bottom w:val="none" w:sz="0" w:space="0" w:color="auto"/>
                <w:right w:val="none" w:sz="0" w:space="0" w:color="auto"/>
              </w:divBdr>
            </w:div>
            <w:div w:id="1672567914">
              <w:marLeft w:val="0"/>
              <w:marRight w:val="0"/>
              <w:marTop w:val="0"/>
              <w:marBottom w:val="0"/>
              <w:divBdr>
                <w:top w:val="none" w:sz="0" w:space="0" w:color="auto"/>
                <w:left w:val="none" w:sz="0" w:space="0" w:color="auto"/>
                <w:bottom w:val="none" w:sz="0" w:space="0" w:color="auto"/>
                <w:right w:val="none" w:sz="0" w:space="0" w:color="auto"/>
              </w:divBdr>
            </w:div>
            <w:div w:id="1795170305">
              <w:marLeft w:val="0"/>
              <w:marRight w:val="0"/>
              <w:marTop w:val="0"/>
              <w:marBottom w:val="0"/>
              <w:divBdr>
                <w:top w:val="none" w:sz="0" w:space="0" w:color="auto"/>
                <w:left w:val="none" w:sz="0" w:space="0" w:color="auto"/>
                <w:bottom w:val="none" w:sz="0" w:space="0" w:color="auto"/>
                <w:right w:val="none" w:sz="0" w:space="0" w:color="auto"/>
              </w:divBdr>
            </w:div>
            <w:div w:id="1825197183">
              <w:marLeft w:val="0"/>
              <w:marRight w:val="0"/>
              <w:marTop w:val="0"/>
              <w:marBottom w:val="0"/>
              <w:divBdr>
                <w:top w:val="none" w:sz="0" w:space="0" w:color="auto"/>
                <w:left w:val="none" w:sz="0" w:space="0" w:color="auto"/>
                <w:bottom w:val="none" w:sz="0" w:space="0" w:color="auto"/>
                <w:right w:val="none" w:sz="0" w:space="0" w:color="auto"/>
              </w:divBdr>
            </w:div>
            <w:div w:id="2066298134">
              <w:marLeft w:val="0"/>
              <w:marRight w:val="0"/>
              <w:marTop w:val="0"/>
              <w:marBottom w:val="0"/>
              <w:divBdr>
                <w:top w:val="none" w:sz="0" w:space="0" w:color="auto"/>
                <w:left w:val="none" w:sz="0" w:space="0" w:color="auto"/>
                <w:bottom w:val="none" w:sz="0" w:space="0" w:color="auto"/>
                <w:right w:val="none" w:sz="0" w:space="0" w:color="auto"/>
              </w:divBdr>
            </w:div>
          </w:divsChild>
        </w:div>
        <w:div w:id="394747064">
          <w:marLeft w:val="0"/>
          <w:marRight w:val="0"/>
          <w:marTop w:val="0"/>
          <w:marBottom w:val="0"/>
          <w:divBdr>
            <w:top w:val="none" w:sz="0" w:space="0" w:color="auto"/>
            <w:left w:val="none" w:sz="0" w:space="0" w:color="auto"/>
            <w:bottom w:val="none" w:sz="0" w:space="0" w:color="auto"/>
            <w:right w:val="none" w:sz="0" w:space="0" w:color="auto"/>
          </w:divBdr>
        </w:div>
        <w:div w:id="396787259">
          <w:marLeft w:val="0"/>
          <w:marRight w:val="0"/>
          <w:marTop w:val="0"/>
          <w:marBottom w:val="0"/>
          <w:divBdr>
            <w:top w:val="none" w:sz="0" w:space="0" w:color="auto"/>
            <w:left w:val="none" w:sz="0" w:space="0" w:color="auto"/>
            <w:bottom w:val="none" w:sz="0" w:space="0" w:color="auto"/>
            <w:right w:val="none" w:sz="0" w:space="0" w:color="auto"/>
          </w:divBdr>
        </w:div>
        <w:div w:id="496726368">
          <w:marLeft w:val="0"/>
          <w:marRight w:val="0"/>
          <w:marTop w:val="0"/>
          <w:marBottom w:val="0"/>
          <w:divBdr>
            <w:top w:val="none" w:sz="0" w:space="0" w:color="auto"/>
            <w:left w:val="none" w:sz="0" w:space="0" w:color="auto"/>
            <w:bottom w:val="none" w:sz="0" w:space="0" w:color="auto"/>
            <w:right w:val="none" w:sz="0" w:space="0" w:color="auto"/>
          </w:divBdr>
        </w:div>
        <w:div w:id="517548560">
          <w:marLeft w:val="0"/>
          <w:marRight w:val="0"/>
          <w:marTop w:val="0"/>
          <w:marBottom w:val="0"/>
          <w:divBdr>
            <w:top w:val="none" w:sz="0" w:space="0" w:color="auto"/>
            <w:left w:val="none" w:sz="0" w:space="0" w:color="auto"/>
            <w:bottom w:val="none" w:sz="0" w:space="0" w:color="auto"/>
            <w:right w:val="none" w:sz="0" w:space="0" w:color="auto"/>
          </w:divBdr>
        </w:div>
        <w:div w:id="524288230">
          <w:marLeft w:val="0"/>
          <w:marRight w:val="0"/>
          <w:marTop w:val="0"/>
          <w:marBottom w:val="0"/>
          <w:divBdr>
            <w:top w:val="none" w:sz="0" w:space="0" w:color="auto"/>
            <w:left w:val="none" w:sz="0" w:space="0" w:color="auto"/>
            <w:bottom w:val="none" w:sz="0" w:space="0" w:color="auto"/>
            <w:right w:val="none" w:sz="0" w:space="0" w:color="auto"/>
          </w:divBdr>
        </w:div>
        <w:div w:id="552816087">
          <w:marLeft w:val="0"/>
          <w:marRight w:val="0"/>
          <w:marTop w:val="0"/>
          <w:marBottom w:val="0"/>
          <w:divBdr>
            <w:top w:val="none" w:sz="0" w:space="0" w:color="auto"/>
            <w:left w:val="none" w:sz="0" w:space="0" w:color="auto"/>
            <w:bottom w:val="none" w:sz="0" w:space="0" w:color="auto"/>
            <w:right w:val="none" w:sz="0" w:space="0" w:color="auto"/>
          </w:divBdr>
        </w:div>
        <w:div w:id="563684613">
          <w:marLeft w:val="0"/>
          <w:marRight w:val="0"/>
          <w:marTop w:val="0"/>
          <w:marBottom w:val="0"/>
          <w:divBdr>
            <w:top w:val="none" w:sz="0" w:space="0" w:color="auto"/>
            <w:left w:val="none" w:sz="0" w:space="0" w:color="auto"/>
            <w:bottom w:val="none" w:sz="0" w:space="0" w:color="auto"/>
            <w:right w:val="none" w:sz="0" w:space="0" w:color="auto"/>
          </w:divBdr>
        </w:div>
        <w:div w:id="571240575">
          <w:marLeft w:val="0"/>
          <w:marRight w:val="0"/>
          <w:marTop w:val="0"/>
          <w:marBottom w:val="0"/>
          <w:divBdr>
            <w:top w:val="none" w:sz="0" w:space="0" w:color="auto"/>
            <w:left w:val="none" w:sz="0" w:space="0" w:color="auto"/>
            <w:bottom w:val="none" w:sz="0" w:space="0" w:color="auto"/>
            <w:right w:val="none" w:sz="0" w:space="0" w:color="auto"/>
          </w:divBdr>
        </w:div>
        <w:div w:id="574363161">
          <w:marLeft w:val="0"/>
          <w:marRight w:val="0"/>
          <w:marTop w:val="0"/>
          <w:marBottom w:val="0"/>
          <w:divBdr>
            <w:top w:val="none" w:sz="0" w:space="0" w:color="auto"/>
            <w:left w:val="none" w:sz="0" w:space="0" w:color="auto"/>
            <w:bottom w:val="none" w:sz="0" w:space="0" w:color="auto"/>
            <w:right w:val="none" w:sz="0" w:space="0" w:color="auto"/>
          </w:divBdr>
        </w:div>
        <w:div w:id="613370579">
          <w:marLeft w:val="0"/>
          <w:marRight w:val="0"/>
          <w:marTop w:val="0"/>
          <w:marBottom w:val="0"/>
          <w:divBdr>
            <w:top w:val="none" w:sz="0" w:space="0" w:color="auto"/>
            <w:left w:val="none" w:sz="0" w:space="0" w:color="auto"/>
            <w:bottom w:val="none" w:sz="0" w:space="0" w:color="auto"/>
            <w:right w:val="none" w:sz="0" w:space="0" w:color="auto"/>
          </w:divBdr>
        </w:div>
        <w:div w:id="616718903">
          <w:marLeft w:val="0"/>
          <w:marRight w:val="0"/>
          <w:marTop w:val="0"/>
          <w:marBottom w:val="0"/>
          <w:divBdr>
            <w:top w:val="none" w:sz="0" w:space="0" w:color="auto"/>
            <w:left w:val="none" w:sz="0" w:space="0" w:color="auto"/>
            <w:bottom w:val="none" w:sz="0" w:space="0" w:color="auto"/>
            <w:right w:val="none" w:sz="0" w:space="0" w:color="auto"/>
          </w:divBdr>
        </w:div>
        <w:div w:id="633875584">
          <w:marLeft w:val="0"/>
          <w:marRight w:val="0"/>
          <w:marTop w:val="0"/>
          <w:marBottom w:val="0"/>
          <w:divBdr>
            <w:top w:val="none" w:sz="0" w:space="0" w:color="auto"/>
            <w:left w:val="none" w:sz="0" w:space="0" w:color="auto"/>
            <w:bottom w:val="none" w:sz="0" w:space="0" w:color="auto"/>
            <w:right w:val="none" w:sz="0" w:space="0" w:color="auto"/>
          </w:divBdr>
        </w:div>
        <w:div w:id="641037092">
          <w:marLeft w:val="0"/>
          <w:marRight w:val="0"/>
          <w:marTop w:val="0"/>
          <w:marBottom w:val="0"/>
          <w:divBdr>
            <w:top w:val="none" w:sz="0" w:space="0" w:color="auto"/>
            <w:left w:val="none" w:sz="0" w:space="0" w:color="auto"/>
            <w:bottom w:val="none" w:sz="0" w:space="0" w:color="auto"/>
            <w:right w:val="none" w:sz="0" w:space="0" w:color="auto"/>
          </w:divBdr>
        </w:div>
        <w:div w:id="703217560">
          <w:marLeft w:val="0"/>
          <w:marRight w:val="0"/>
          <w:marTop w:val="0"/>
          <w:marBottom w:val="0"/>
          <w:divBdr>
            <w:top w:val="none" w:sz="0" w:space="0" w:color="auto"/>
            <w:left w:val="none" w:sz="0" w:space="0" w:color="auto"/>
            <w:bottom w:val="none" w:sz="0" w:space="0" w:color="auto"/>
            <w:right w:val="none" w:sz="0" w:space="0" w:color="auto"/>
          </w:divBdr>
        </w:div>
        <w:div w:id="703402548">
          <w:marLeft w:val="0"/>
          <w:marRight w:val="0"/>
          <w:marTop w:val="0"/>
          <w:marBottom w:val="0"/>
          <w:divBdr>
            <w:top w:val="none" w:sz="0" w:space="0" w:color="auto"/>
            <w:left w:val="none" w:sz="0" w:space="0" w:color="auto"/>
            <w:bottom w:val="none" w:sz="0" w:space="0" w:color="auto"/>
            <w:right w:val="none" w:sz="0" w:space="0" w:color="auto"/>
          </w:divBdr>
        </w:div>
        <w:div w:id="728505006">
          <w:marLeft w:val="0"/>
          <w:marRight w:val="0"/>
          <w:marTop w:val="0"/>
          <w:marBottom w:val="0"/>
          <w:divBdr>
            <w:top w:val="none" w:sz="0" w:space="0" w:color="auto"/>
            <w:left w:val="none" w:sz="0" w:space="0" w:color="auto"/>
            <w:bottom w:val="none" w:sz="0" w:space="0" w:color="auto"/>
            <w:right w:val="none" w:sz="0" w:space="0" w:color="auto"/>
          </w:divBdr>
        </w:div>
        <w:div w:id="744453670">
          <w:marLeft w:val="0"/>
          <w:marRight w:val="0"/>
          <w:marTop w:val="0"/>
          <w:marBottom w:val="0"/>
          <w:divBdr>
            <w:top w:val="none" w:sz="0" w:space="0" w:color="auto"/>
            <w:left w:val="none" w:sz="0" w:space="0" w:color="auto"/>
            <w:bottom w:val="none" w:sz="0" w:space="0" w:color="auto"/>
            <w:right w:val="none" w:sz="0" w:space="0" w:color="auto"/>
          </w:divBdr>
        </w:div>
        <w:div w:id="745956255">
          <w:marLeft w:val="0"/>
          <w:marRight w:val="0"/>
          <w:marTop w:val="0"/>
          <w:marBottom w:val="0"/>
          <w:divBdr>
            <w:top w:val="none" w:sz="0" w:space="0" w:color="auto"/>
            <w:left w:val="none" w:sz="0" w:space="0" w:color="auto"/>
            <w:bottom w:val="none" w:sz="0" w:space="0" w:color="auto"/>
            <w:right w:val="none" w:sz="0" w:space="0" w:color="auto"/>
          </w:divBdr>
        </w:div>
        <w:div w:id="852840751">
          <w:marLeft w:val="0"/>
          <w:marRight w:val="0"/>
          <w:marTop w:val="0"/>
          <w:marBottom w:val="0"/>
          <w:divBdr>
            <w:top w:val="none" w:sz="0" w:space="0" w:color="auto"/>
            <w:left w:val="none" w:sz="0" w:space="0" w:color="auto"/>
            <w:bottom w:val="none" w:sz="0" w:space="0" w:color="auto"/>
            <w:right w:val="none" w:sz="0" w:space="0" w:color="auto"/>
          </w:divBdr>
        </w:div>
        <w:div w:id="921528952">
          <w:marLeft w:val="0"/>
          <w:marRight w:val="0"/>
          <w:marTop w:val="0"/>
          <w:marBottom w:val="0"/>
          <w:divBdr>
            <w:top w:val="none" w:sz="0" w:space="0" w:color="auto"/>
            <w:left w:val="none" w:sz="0" w:space="0" w:color="auto"/>
            <w:bottom w:val="none" w:sz="0" w:space="0" w:color="auto"/>
            <w:right w:val="none" w:sz="0" w:space="0" w:color="auto"/>
          </w:divBdr>
        </w:div>
        <w:div w:id="958730133">
          <w:marLeft w:val="0"/>
          <w:marRight w:val="0"/>
          <w:marTop w:val="0"/>
          <w:marBottom w:val="0"/>
          <w:divBdr>
            <w:top w:val="none" w:sz="0" w:space="0" w:color="auto"/>
            <w:left w:val="none" w:sz="0" w:space="0" w:color="auto"/>
            <w:bottom w:val="none" w:sz="0" w:space="0" w:color="auto"/>
            <w:right w:val="none" w:sz="0" w:space="0" w:color="auto"/>
          </w:divBdr>
        </w:div>
        <w:div w:id="1012532406">
          <w:marLeft w:val="0"/>
          <w:marRight w:val="0"/>
          <w:marTop w:val="0"/>
          <w:marBottom w:val="0"/>
          <w:divBdr>
            <w:top w:val="none" w:sz="0" w:space="0" w:color="auto"/>
            <w:left w:val="none" w:sz="0" w:space="0" w:color="auto"/>
            <w:bottom w:val="none" w:sz="0" w:space="0" w:color="auto"/>
            <w:right w:val="none" w:sz="0" w:space="0" w:color="auto"/>
          </w:divBdr>
        </w:div>
        <w:div w:id="1029454641">
          <w:marLeft w:val="0"/>
          <w:marRight w:val="0"/>
          <w:marTop w:val="0"/>
          <w:marBottom w:val="0"/>
          <w:divBdr>
            <w:top w:val="none" w:sz="0" w:space="0" w:color="auto"/>
            <w:left w:val="none" w:sz="0" w:space="0" w:color="auto"/>
            <w:bottom w:val="none" w:sz="0" w:space="0" w:color="auto"/>
            <w:right w:val="none" w:sz="0" w:space="0" w:color="auto"/>
          </w:divBdr>
        </w:div>
        <w:div w:id="1213738198">
          <w:marLeft w:val="0"/>
          <w:marRight w:val="0"/>
          <w:marTop w:val="0"/>
          <w:marBottom w:val="0"/>
          <w:divBdr>
            <w:top w:val="none" w:sz="0" w:space="0" w:color="auto"/>
            <w:left w:val="none" w:sz="0" w:space="0" w:color="auto"/>
            <w:bottom w:val="none" w:sz="0" w:space="0" w:color="auto"/>
            <w:right w:val="none" w:sz="0" w:space="0" w:color="auto"/>
          </w:divBdr>
        </w:div>
        <w:div w:id="1216088040">
          <w:marLeft w:val="0"/>
          <w:marRight w:val="0"/>
          <w:marTop w:val="0"/>
          <w:marBottom w:val="0"/>
          <w:divBdr>
            <w:top w:val="none" w:sz="0" w:space="0" w:color="auto"/>
            <w:left w:val="none" w:sz="0" w:space="0" w:color="auto"/>
            <w:bottom w:val="none" w:sz="0" w:space="0" w:color="auto"/>
            <w:right w:val="none" w:sz="0" w:space="0" w:color="auto"/>
          </w:divBdr>
        </w:div>
        <w:div w:id="1260022319">
          <w:marLeft w:val="0"/>
          <w:marRight w:val="0"/>
          <w:marTop w:val="0"/>
          <w:marBottom w:val="0"/>
          <w:divBdr>
            <w:top w:val="none" w:sz="0" w:space="0" w:color="auto"/>
            <w:left w:val="none" w:sz="0" w:space="0" w:color="auto"/>
            <w:bottom w:val="none" w:sz="0" w:space="0" w:color="auto"/>
            <w:right w:val="none" w:sz="0" w:space="0" w:color="auto"/>
          </w:divBdr>
        </w:div>
        <w:div w:id="1278097707">
          <w:marLeft w:val="0"/>
          <w:marRight w:val="0"/>
          <w:marTop w:val="0"/>
          <w:marBottom w:val="0"/>
          <w:divBdr>
            <w:top w:val="none" w:sz="0" w:space="0" w:color="auto"/>
            <w:left w:val="none" w:sz="0" w:space="0" w:color="auto"/>
            <w:bottom w:val="none" w:sz="0" w:space="0" w:color="auto"/>
            <w:right w:val="none" w:sz="0" w:space="0" w:color="auto"/>
          </w:divBdr>
        </w:div>
        <w:div w:id="1279147146">
          <w:marLeft w:val="0"/>
          <w:marRight w:val="0"/>
          <w:marTop w:val="0"/>
          <w:marBottom w:val="0"/>
          <w:divBdr>
            <w:top w:val="none" w:sz="0" w:space="0" w:color="auto"/>
            <w:left w:val="none" w:sz="0" w:space="0" w:color="auto"/>
            <w:bottom w:val="none" w:sz="0" w:space="0" w:color="auto"/>
            <w:right w:val="none" w:sz="0" w:space="0" w:color="auto"/>
          </w:divBdr>
        </w:div>
        <w:div w:id="1320188103">
          <w:marLeft w:val="0"/>
          <w:marRight w:val="0"/>
          <w:marTop w:val="0"/>
          <w:marBottom w:val="0"/>
          <w:divBdr>
            <w:top w:val="none" w:sz="0" w:space="0" w:color="auto"/>
            <w:left w:val="none" w:sz="0" w:space="0" w:color="auto"/>
            <w:bottom w:val="none" w:sz="0" w:space="0" w:color="auto"/>
            <w:right w:val="none" w:sz="0" w:space="0" w:color="auto"/>
          </w:divBdr>
        </w:div>
        <w:div w:id="1376656854">
          <w:marLeft w:val="0"/>
          <w:marRight w:val="0"/>
          <w:marTop w:val="0"/>
          <w:marBottom w:val="0"/>
          <w:divBdr>
            <w:top w:val="none" w:sz="0" w:space="0" w:color="auto"/>
            <w:left w:val="none" w:sz="0" w:space="0" w:color="auto"/>
            <w:bottom w:val="none" w:sz="0" w:space="0" w:color="auto"/>
            <w:right w:val="none" w:sz="0" w:space="0" w:color="auto"/>
          </w:divBdr>
        </w:div>
        <w:div w:id="1383599927">
          <w:marLeft w:val="0"/>
          <w:marRight w:val="0"/>
          <w:marTop w:val="0"/>
          <w:marBottom w:val="0"/>
          <w:divBdr>
            <w:top w:val="none" w:sz="0" w:space="0" w:color="auto"/>
            <w:left w:val="none" w:sz="0" w:space="0" w:color="auto"/>
            <w:bottom w:val="none" w:sz="0" w:space="0" w:color="auto"/>
            <w:right w:val="none" w:sz="0" w:space="0" w:color="auto"/>
          </w:divBdr>
        </w:div>
        <w:div w:id="1385786542">
          <w:marLeft w:val="0"/>
          <w:marRight w:val="0"/>
          <w:marTop w:val="0"/>
          <w:marBottom w:val="0"/>
          <w:divBdr>
            <w:top w:val="none" w:sz="0" w:space="0" w:color="auto"/>
            <w:left w:val="none" w:sz="0" w:space="0" w:color="auto"/>
            <w:bottom w:val="none" w:sz="0" w:space="0" w:color="auto"/>
            <w:right w:val="none" w:sz="0" w:space="0" w:color="auto"/>
          </w:divBdr>
        </w:div>
        <w:div w:id="1389575385">
          <w:marLeft w:val="0"/>
          <w:marRight w:val="0"/>
          <w:marTop w:val="0"/>
          <w:marBottom w:val="0"/>
          <w:divBdr>
            <w:top w:val="none" w:sz="0" w:space="0" w:color="auto"/>
            <w:left w:val="none" w:sz="0" w:space="0" w:color="auto"/>
            <w:bottom w:val="none" w:sz="0" w:space="0" w:color="auto"/>
            <w:right w:val="none" w:sz="0" w:space="0" w:color="auto"/>
          </w:divBdr>
        </w:div>
        <w:div w:id="1402943492">
          <w:marLeft w:val="0"/>
          <w:marRight w:val="0"/>
          <w:marTop w:val="0"/>
          <w:marBottom w:val="0"/>
          <w:divBdr>
            <w:top w:val="none" w:sz="0" w:space="0" w:color="auto"/>
            <w:left w:val="none" w:sz="0" w:space="0" w:color="auto"/>
            <w:bottom w:val="none" w:sz="0" w:space="0" w:color="auto"/>
            <w:right w:val="none" w:sz="0" w:space="0" w:color="auto"/>
          </w:divBdr>
        </w:div>
        <w:div w:id="1415590623">
          <w:marLeft w:val="0"/>
          <w:marRight w:val="0"/>
          <w:marTop w:val="0"/>
          <w:marBottom w:val="0"/>
          <w:divBdr>
            <w:top w:val="none" w:sz="0" w:space="0" w:color="auto"/>
            <w:left w:val="none" w:sz="0" w:space="0" w:color="auto"/>
            <w:bottom w:val="none" w:sz="0" w:space="0" w:color="auto"/>
            <w:right w:val="none" w:sz="0" w:space="0" w:color="auto"/>
          </w:divBdr>
        </w:div>
        <w:div w:id="1466047726">
          <w:marLeft w:val="0"/>
          <w:marRight w:val="0"/>
          <w:marTop w:val="0"/>
          <w:marBottom w:val="0"/>
          <w:divBdr>
            <w:top w:val="none" w:sz="0" w:space="0" w:color="auto"/>
            <w:left w:val="none" w:sz="0" w:space="0" w:color="auto"/>
            <w:bottom w:val="none" w:sz="0" w:space="0" w:color="auto"/>
            <w:right w:val="none" w:sz="0" w:space="0" w:color="auto"/>
          </w:divBdr>
        </w:div>
        <w:div w:id="1477837660">
          <w:marLeft w:val="0"/>
          <w:marRight w:val="0"/>
          <w:marTop w:val="0"/>
          <w:marBottom w:val="0"/>
          <w:divBdr>
            <w:top w:val="none" w:sz="0" w:space="0" w:color="auto"/>
            <w:left w:val="none" w:sz="0" w:space="0" w:color="auto"/>
            <w:bottom w:val="none" w:sz="0" w:space="0" w:color="auto"/>
            <w:right w:val="none" w:sz="0" w:space="0" w:color="auto"/>
          </w:divBdr>
        </w:div>
        <w:div w:id="1554807339">
          <w:marLeft w:val="0"/>
          <w:marRight w:val="0"/>
          <w:marTop w:val="0"/>
          <w:marBottom w:val="0"/>
          <w:divBdr>
            <w:top w:val="none" w:sz="0" w:space="0" w:color="auto"/>
            <w:left w:val="none" w:sz="0" w:space="0" w:color="auto"/>
            <w:bottom w:val="none" w:sz="0" w:space="0" w:color="auto"/>
            <w:right w:val="none" w:sz="0" w:space="0" w:color="auto"/>
          </w:divBdr>
        </w:div>
        <w:div w:id="1567717673">
          <w:marLeft w:val="0"/>
          <w:marRight w:val="0"/>
          <w:marTop w:val="0"/>
          <w:marBottom w:val="0"/>
          <w:divBdr>
            <w:top w:val="none" w:sz="0" w:space="0" w:color="auto"/>
            <w:left w:val="none" w:sz="0" w:space="0" w:color="auto"/>
            <w:bottom w:val="none" w:sz="0" w:space="0" w:color="auto"/>
            <w:right w:val="none" w:sz="0" w:space="0" w:color="auto"/>
          </w:divBdr>
        </w:div>
        <w:div w:id="1581521892">
          <w:marLeft w:val="0"/>
          <w:marRight w:val="0"/>
          <w:marTop w:val="0"/>
          <w:marBottom w:val="0"/>
          <w:divBdr>
            <w:top w:val="none" w:sz="0" w:space="0" w:color="auto"/>
            <w:left w:val="none" w:sz="0" w:space="0" w:color="auto"/>
            <w:bottom w:val="none" w:sz="0" w:space="0" w:color="auto"/>
            <w:right w:val="none" w:sz="0" w:space="0" w:color="auto"/>
          </w:divBdr>
        </w:div>
        <w:div w:id="1582249748">
          <w:marLeft w:val="0"/>
          <w:marRight w:val="0"/>
          <w:marTop w:val="0"/>
          <w:marBottom w:val="0"/>
          <w:divBdr>
            <w:top w:val="none" w:sz="0" w:space="0" w:color="auto"/>
            <w:left w:val="none" w:sz="0" w:space="0" w:color="auto"/>
            <w:bottom w:val="none" w:sz="0" w:space="0" w:color="auto"/>
            <w:right w:val="none" w:sz="0" w:space="0" w:color="auto"/>
          </w:divBdr>
        </w:div>
        <w:div w:id="1661108170">
          <w:marLeft w:val="0"/>
          <w:marRight w:val="0"/>
          <w:marTop w:val="0"/>
          <w:marBottom w:val="0"/>
          <w:divBdr>
            <w:top w:val="none" w:sz="0" w:space="0" w:color="auto"/>
            <w:left w:val="none" w:sz="0" w:space="0" w:color="auto"/>
            <w:bottom w:val="none" w:sz="0" w:space="0" w:color="auto"/>
            <w:right w:val="none" w:sz="0" w:space="0" w:color="auto"/>
          </w:divBdr>
        </w:div>
        <w:div w:id="1677414865">
          <w:marLeft w:val="0"/>
          <w:marRight w:val="0"/>
          <w:marTop w:val="0"/>
          <w:marBottom w:val="0"/>
          <w:divBdr>
            <w:top w:val="none" w:sz="0" w:space="0" w:color="auto"/>
            <w:left w:val="none" w:sz="0" w:space="0" w:color="auto"/>
            <w:bottom w:val="none" w:sz="0" w:space="0" w:color="auto"/>
            <w:right w:val="none" w:sz="0" w:space="0" w:color="auto"/>
          </w:divBdr>
        </w:div>
        <w:div w:id="1694649357">
          <w:marLeft w:val="0"/>
          <w:marRight w:val="0"/>
          <w:marTop w:val="0"/>
          <w:marBottom w:val="0"/>
          <w:divBdr>
            <w:top w:val="none" w:sz="0" w:space="0" w:color="auto"/>
            <w:left w:val="none" w:sz="0" w:space="0" w:color="auto"/>
            <w:bottom w:val="none" w:sz="0" w:space="0" w:color="auto"/>
            <w:right w:val="none" w:sz="0" w:space="0" w:color="auto"/>
          </w:divBdr>
        </w:div>
        <w:div w:id="1715734776">
          <w:marLeft w:val="0"/>
          <w:marRight w:val="0"/>
          <w:marTop w:val="0"/>
          <w:marBottom w:val="0"/>
          <w:divBdr>
            <w:top w:val="none" w:sz="0" w:space="0" w:color="auto"/>
            <w:left w:val="none" w:sz="0" w:space="0" w:color="auto"/>
            <w:bottom w:val="none" w:sz="0" w:space="0" w:color="auto"/>
            <w:right w:val="none" w:sz="0" w:space="0" w:color="auto"/>
          </w:divBdr>
        </w:div>
        <w:div w:id="1824002970">
          <w:marLeft w:val="0"/>
          <w:marRight w:val="0"/>
          <w:marTop w:val="0"/>
          <w:marBottom w:val="0"/>
          <w:divBdr>
            <w:top w:val="none" w:sz="0" w:space="0" w:color="auto"/>
            <w:left w:val="none" w:sz="0" w:space="0" w:color="auto"/>
            <w:bottom w:val="none" w:sz="0" w:space="0" w:color="auto"/>
            <w:right w:val="none" w:sz="0" w:space="0" w:color="auto"/>
          </w:divBdr>
        </w:div>
        <w:div w:id="1882550403">
          <w:marLeft w:val="0"/>
          <w:marRight w:val="0"/>
          <w:marTop w:val="0"/>
          <w:marBottom w:val="0"/>
          <w:divBdr>
            <w:top w:val="none" w:sz="0" w:space="0" w:color="auto"/>
            <w:left w:val="none" w:sz="0" w:space="0" w:color="auto"/>
            <w:bottom w:val="none" w:sz="0" w:space="0" w:color="auto"/>
            <w:right w:val="none" w:sz="0" w:space="0" w:color="auto"/>
          </w:divBdr>
        </w:div>
        <w:div w:id="1985544861">
          <w:marLeft w:val="0"/>
          <w:marRight w:val="0"/>
          <w:marTop w:val="0"/>
          <w:marBottom w:val="0"/>
          <w:divBdr>
            <w:top w:val="none" w:sz="0" w:space="0" w:color="auto"/>
            <w:left w:val="none" w:sz="0" w:space="0" w:color="auto"/>
            <w:bottom w:val="none" w:sz="0" w:space="0" w:color="auto"/>
            <w:right w:val="none" w:sz="0" w:space="0" w:color="auto"/>
          </w:divBdr>
        </w:div>
        <w:div w:id="1987277431">
          <w:marLeft w:val="0"/>
          <w:marRight w:val="0"/>
          <w:marTop w:val="0"/>
          <w:marBottom w:val="0"/>
          <w:divBdr>
            <w:top w:val="none" w:sz="0" w:space="0" w:color="auto"/>
            <w:left w:val="none" w:sz="0" w:space="0" w:color="auto"/>
            <w:bottom w:val="none" w:sz="0" w:space="0" w:color="auto"/>
            <w:right w:val="none" w:sz="0" w:space="0" w:color="auto"/>
          </w:divBdr>
        </w:div>
        <w:div w:id="2065907664">
          <w:marLeft w:val="0"/>
          <w:marRight w:val="0"/>
          <w:marTop w:val="0"/>
          <w:marBottom w:val="0"/>
          <w:divBdr>
            <w:top w:val="none" w:sz="0" w:space="0" w:color="auto"/>
            <w:left w:val="none" w:sz="0" w:space="0" w:color="auto"/>
            <w:bottom w:val="none" w:sz="0" w:space="0" w:color="auto"/>
            <w:right w:val="none" w:sz="0" w:space="0" w:color="auto"/>
          </w:divBdr>
        </w:div>
        <w:div w:id="2080440750">
          <w:marLeft w:val="0"/>
          <w:marRight w:val="0"/>
          <w:marTop w:val="0"/>
          <w:marBottom w:val="0"/>
          <w:divBdr>
            <w:top w:val="none" w:sz="0" w:space="0" w:color="auto"/>
            <w:left w:val="none" w:sz="0" w:space="0" w:color="auto"/>
            <w:bottom w:val="none" w:sz="0" w:space="0" w:color="auto"/>
            <w:right w:val="none" w:sz="0" w:space="0" w:color="auto"/>
          </w:divBdr>
        </w:div>
        <w:div w:id="2085226268">
          <w:marLeft w:val="0"/>
          <w:marRight w:val="0"/>
          <w:marTop w:val="0"/>
          <w:marBottom w:val="0"/>
          <w:divBdr>
            <w:top w:val="none" w:sz="0" w:space="0" w:color="auto"/>
            <w:left w:val="none" w:sz="0" w:space="0" w:color="auto"/>
            <w:bottom w:val="none" w:sz="0" w:space="0" w:color="auto"/>
            <w:right w:val="none" w:sz="0" w:space="0" w:color="auto"/>
          </w:divBdr>
        </w:div>
        <w:div w:id="2098744417">
          <w:marLeft w:val="0"/>
          <w:marRight w:val="0"/>
          <w:marTop w:val="0"/>
          <w:marBottom w:val="0"/>
          <w:divBdr>
            <w:top w:val="none" w:sz="0" w:space="0" w:color="auto"/>
            <w:left w:val="none" w:sz="0" w:space="0" w:color="auto"/>
            <w:bottom w:val="none" w:sz="0" w:space="0" w:color="auto"/>
            <w:right w:val="none" w:sz="0" w:space="0" w:color="auto"/>
          </w:divBdr>
        </w:div>
      </w:divsChild>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236358132">
      <w:bodyDiv w:val="1"/>
      <w:marLeft w:val="0"/>
      <w:marRight w:val="0"/>
      <w:marTop w:val="0"/>
      <w:marBottom w:val="0"/>
      <w:divBdr>
        <w:top w:val="none" w:sz="0" w:space="0" w:color="auto"/>
        <w:left w:val="none" w:sz="0" w:space="0" w:color="auto"/>
        <w:bottom w:val="none" w:sz="0" w:space="0" w:color="auto"/>
        <w:right w:val="none" w:sz="0" w:space="0" w:color="auto"/>
      </w:divBdr>
    </w:div>
    <w:div w:id="1320158226">
      <w:bodyDiv w:val="1"/>
      <w:marLeft w:val="0"/>
      <w:marRight w:val="0"/>
      <w:marTop w:val="0"/>
      <w:marBottom w:val="0"/>
      <w:divBdr>
        <w:top w:val="none" w:sz="0" w:space="0" w:color="auto"/>
        <w:left w:val="none" w:sz="0" w:space="0" w:color="auto"/>
        <w:bottom w:val="none" w:sz="0" w:space="0" w:color="auto"/>
        <w:right w:val="none" w:sz="0" w:space="0" w:color="auto"/>
      </w:divBdr>
      <w:divsChild>
        <w:div w:id="11148904">
          <w:marLeft w:val="0"/>
          <w:marRight w:val="0"/>
          <w:marTop w:val="0"/>
          <w:marBottom w:val="0"/>
          <w:divBdr>
            <w:top w:val="none" w:sz="0" w:space="0" w:color="auto"/>
            <w:left w:val="none" w:sz="0" w:space="0" w:color="auto"/>
            <w:bottom w:val="none" w:sz="0" w:space="0" w:color="auto"/>
            <w:right w:val="none" w:sz="0" w:space="0" w:color="auto"/>
          </w:divBdr>
        </w:div>
        <w:div w:id="13658748">
          <w:marLeft w:val="0"/>
          <w:marRight w:val="0"/>
          <w:marTop w:val="0"/>
          <w:marBottom w:val="0"/>
          <w:divBdr>
            <w:top w:val="none" w:sz="0" w:space="0" w:color="auto"/>
            <w:left w:val="none" w:sz="0" w:space="0" w:color="auto"/>
            <w:bottom w:val="none" w:sz="0" w:space="0" w:color="auto"/>
            <w:right w:val="none" w:sz="0" w:space="0" w:color="auto"/>
          </w:divBdr>
        </w:div>
        <w:div w:id="60980861">
          <w:marLeft w:val="0"/>
          <w:marRight w:val="0"/>
          <w:marTop w:val="0"/>
          <w:marBottom w:val="0"/>
          <w:divBdr>
            <w:top w:val="none" w:sz="0" w:space="0" w:color="auto"/>
            <w:left w:val="none" w:sz="0" w:space="0" w:color="auto"/>
            <w:bottom w:val="none" w:sz="0" w:space="0" w:color="auto"/>
            <w:right w:val="none" w:sz="0" w:space="0" w:color="auto"/>
          </w:divBdr>
        </w:div>
        <w:div w:id="62724036">
          <w:marLeft w:val="0"/>
          <w:marRight w:val="0"/>
          <w:marTop w:val="0"/>
          <w:marBottom w:val="0"/>
          <w:divBdr>
            <w:top w:val="none" w:sz="0" w:space="0" w:color="auto"/>
            <w:left w:val="none" w:sz="0" w:space="0" w:color="auto"/>
            <w:bottom w:val="none" w:sz="0" w:space="0" w:color="auto"/>
            <w:right w:val="none" w:sz="0" w:space="0" w:color="auto"/>
          </w:divBdr>
        </w:div>
        <w:div w:id="68769085">
          <w:marLeft w:val="0"/>
          <w:marRight w:val="0"/>
          <w:marTop w:val="0"/>
          <w:marBottom w:val="0"/>
          <w:divBdr>
            <w:top w:val="none" w:sz="0" w:space="0" w:color="auto"/>
            <w:left w:val="none" w:sz="0" w:space="0" w:color="auto"/>
            <w:bottom w:val="none" w:sz="0" w:space="0" w:color="auto"/>
            <w:right w:val="none" w:sz="0" w:space="0" w:color="auto"/>
          </w:divBdr>
        </w:div>
        <w:div w:id="110714212">
          <w:marLeft w:val="0"/>
          <w:marRight w:val="0"/>
          <w:marTop w:val="0"/>
          <w:marBottom w:val="0"/>
          <w:divBdr>
            <w:top w:val="none" w:sz="0" w:space="0" w:color="auto"/>
            <w:left w:val="none" w:sz="0" w:space="0" w:color="auto"/>
            <w:bottom w:val="none" w:sz="0" w:space="0" w:color="auto"/>
            <w:right w:val="none" w:sz="0" w:space="0" w:color="auto"/>
          </w:divBdr>
        </w:div>
        <w:div w:id="117797253">
          <w:marLeft w:val="0"/>
          <w:marRight w:val="0"/>
          <w:marTop w:val="0"/>
          <w:marBottom w:val="0"/>
          <w:divBdr>
            <w:top w:val="none" w:sz="0" w:space="0" w:color="auto"/>
            <w:left w:val="none" w:sz="0" w:space="0" w:color="auto"/>
            <w:bottom w:val="none" w:sz="0" w:space="0" w:color="auto"/>
            <w:right w:val="none" w:sz="0" w:space="0" w:color="auto"/>
          </w:divBdr>
        </w:div>
        <w:div w:id="143788935">
          <w:marLeft w:val="0"/>
          <w:marRight w:val="0"/>
          <w:marTop w:val="0"/>
          <w:marBottom w:val="0"/>
          <w:divBdr>
            <w:top w:val="none" w:sz="0" w:space="0" w:color="auto"/>
            <w:left w:val="none" w:sz="0" w:space="0" w:color="auto"/>
            <w:bottom w:val="none" w:sz="0" w:space="0" w:color="auto"/>
            <w:right w:val="none" w:sz="0" w:space="0" w:color="auto"/>
          </w:divBdr>
        </w:div>
        <w:div w:id="176651832">
          <w:marLeft w:val="0"/>
          <w:marRight w:val="0"/>
          <w:marTop w:val="0"/>
          <w:marBottom w:val="0"/>
          <w:divBdr>
            <w:top w:val="none" w:sz="0" w:space="0" w:color="auto"/>
            <w:left w:val="none" w:sz="0" w:space="0" w:color="auto"/>
            <w:bottom w:val="none" w:sz="0" w:space="0" w:color="auto"/>
            <w:right w:val="none" w:sz="0" w:space="0" w:color="auto"/>
          </w:divBdr>
        </w:div>
        <w:div w:id="240020227">
          <w:marLeft w:val="0"/>
          <w:marRight w:val="0"/>
          <w:marTop w:val="0"/>
          <w:marBottom w:val="0"/>
          <w:divBdr>
            <w:top w:val="none" w:sz="0" w:space="0" w:color="auto"/>
            <w:left w:val="none" w:sz="0" w:space="0" w:color="auto"/>
            <w:bottom w:val="none" w:sz="0" w:space="0" w:color="auto"/>
            <w:right w:val="none" w:sz="0" w:space="0" w:color="auto"/>
          </w:divBdr>
          <w:divsChild>
            <w:div w:id="154609558">
              <w:marLeft w:val="0"/>
              <w:marRight w:val="0"/>
              <w:marTop w:val="0"/>
              <w:marBottom w:val="0"/>
              <w:divBdr>
                <w:top w:val="none" w:sz="0" w:space="0" w:color="auto"/>
                <w:left w:val="none" w:sz="0" w:space="0" w:color="auto"/>
                <w:bottom w:val="none" w:sz="0" w:space="0" w:color="auto"/>
                <w:right w:val="none" w:sz="0" w:space="0" w:color="auto"/>
              </w:divBdr>
            </w:div>
            <w:div w:id="217206226">
              <w:marLeft w:val="0"/>
              <w:marRight w:val="0"/>
              <w:marTop w:val="0"/>
              <w:marBottom w:val="0"/>
              <w:divBdr>
                <w:top w:val="none" w:sz="0" w:space="0" w:color="auto"/>
                <w:left w:val="none" w:sz="0" w:space="0" w:color="auto"/>
                <w:bottom w:val="none" w:sz="0" w:space="0" w:color="auto"/>
                <w:right w:val="none" w:sz="0" w:space="0" w:color="auto"/>
              </w:divBdr>
            </w:div>
            <w:div w:id="325403856">
              <w:marLeft w:val="0"/>
              <w:marRight w:val="0"/>
              <w:marTop w:val="0"/>
              <w:marBottom w:val="0"/>
              <w:divBdr>
                <w:top w:val="none" w:sz="0" w:space="0" w:color="auto"/>
                <w:left w:val="none" w:sz="0" w:space="0" w:color="auto"/>
                <w:bottom w:val="none" w:sz="0" w:space="0" w:color="auto"/>
                <w:right w:val="none" w:sz="0" w:space="0" w:color="auto"/>
              </w:divBdr>
            </w:div>
            <w:div w:id="330523517">
              <w:marLeft w:val="0"/>
              <w:marRight w:val="0"/>
              <w:marTop w:val="0"/>
              <w:marBottom w:val="0"/>
              <w:divBdr>
                <w:top w:val="none" w:sz="0" w:space="0" w:color="auto"/>
                <w:left w:val="none" w:sz="0" w:space="0" w:color="auto"/>
                <w:bottom w:val="none" w:sz="0" w:space="0" w:color="auto"/>
                <w:right w:val="none" w:sz="0" w:space="0" w:color="auto"/>
              </w:divBdr>
            </w:div>
            <w:div w:id="336081874">
              <w:marLeft w:val="0"/>
              <w:marRight w:val="0"/>
              <w:marTop w:val="0"/>
              <w:marBottom w:val="0"/>
              <w:divBdr>
                <w:top w:val="none" w:sz="0" w:space="0" w:color="auto"/>
                <w:left w:val="none" w:sz="0" w:space="0" w:color="auto"/>
                <w:bottom w:val="none" w:sz="0" w:space="0" w:color="auto"/>
                <w:right w:val="none" w:sz="0" w:space="0" w:color="auto"/>
              </w:divBdr>
            </w:div>
            <w:div w:id="610237725">
              <w:marLeft w:val="0"/>
              <w:marRight w:val="0"/>
              <w:marTop w:val="0"/>
              <w:marBottom w:val="0"/>
              <w:divBdr>
                <w:top w:val="none" w:sz="0" w:space="0" w:color="auto"/>
                <w:left w:val="none" w:sz="0" w:space="0" w:color="auto"/>
                <w:bottom w:val="none" w:sz="0" w:space="0" w:color="auto"/>
                <w:right w:val="none" w:sz="0" w:space="0" w:color="auto"/>
              </w:divBdr>
            </w:div>
            <w:div w:id="666785062">
              <w:marLeft w:val="0"/>
              <w:marRight w:val="0"/>
              <w:marTop w:val="0"/>
              <w:marBottom w:val="0"/>
              <w:divBdr>
                <w:top w:val="none" w:sz="0" w:space="0" w:color="auto"/>
                <w:left w:val="none" w:sz="0" w:space="0" w:color="auto"/>
                <w:bottom w:val="none" w:sz="0" w:space="0" w:color="auto"/>
                <w:right w:val="none" w:sz="0" w:space="0" w:color="auto"/>
              </w:divBdr>
            </w:div>
            <w:div w:id="972828043">
              <w:marLeft w:val="0"/>
              <w:marRight w:val="0"/>
              <w:marTop w:val="0"/>
              <w:marBottom w:val="0"/>
              <w:divBdr>
                <w:top w:val="none" w:sz="0" w:space="0" w:color="auto"/>
                <w:left w:val="none" w:sz="0" w:space="0" w:color="auto"/>
                <w:bottom w:val="none" w:sz="0" w:space="0" w:color="auto"/>
                <w:right w:val="none" w:sz="0" w:space="0" w:color="auto"/>
              </w:divBdr>
            </w:div>
            <w:div w:id="975648371">
              <w:marLeft w:val="0"/>
              <w:marRight w:val="0"/>
              <w:marTop w:val="0"/>
              <w:marBottom w:val="0"/>
              <w:divBdr>
                <w:top w:val="none" w:sz="0" w:space="0" w:color="auto"/>
                <w:left w:val="none" w:sz="0" w:space="0" w:color="auto"/>
                <w:bottom w:val="none" w:sz="0" w:space="0" w:color="auto"/>
                <w:right w:val="none" w:sz="0" w:space="0" w:color="auto"/>
              </w:divBdr>
            </w:div>
            <w:div w:id="1069428788">
              <w:marLeft w:val="0"/>
              <w:marRight w:val="0"/>
              <w:marTop w:val="0"/>
              <w:marBottom w:val="0"/>
              <w:divBdr>
                <w:top w:val="none" w:sz="0" w:space="0" w:color="auto"/>
                <w:left w:val="none" w:sz="0" w:space="0" w:color="auto"/>
                <w:bottom w:val="none" w:sz="0" w:space="0" w:color="auto"/>
                <w:right w:val="none" w:sz="0" w:space="0" w:color="auto"/>
              </w:divBdr>
            </w:div>
            <w:div w:id="1084449513">
              <w:marLeft w:val="0"/>
              <w:marRight w:val="0"/>
              <w:marTop w:val="0"/>
              <w:marBottom w:val="0"/>
              <w:divBdr>
                <w:top w:val="none" w:sz="0" w:space="0" w:color="auto"/>
                <w:left w:val="none" w:sz="0" w:space="0" w:color="auto"/>
                <w:bottom w:val="none" w:sz="0" w:space="0" w:color="auto"/>
                <w:right w:val="none" w:sz="0" w:space="0" w:color="auto"/>
              </w:divBdr>
            </w:div>
            <w:div w:id="1089959898">
              <w:marLeft w:val="0"/>
              <w:marRight w:val="0"/>
              <w:marTop w:val="0"/>
              <w:marBottom w:val="0"/>
              <w:divBdr>
                <w:top w:val="none" w:sz="0" w:space="0" w:color="auto"/>
                <w:left w:val="none" w:sz="0" w:space="0" w:color="auto"/>
                <w:bottom w:val="none" w:sz="0" w:space="0" w:color="auto"/>
                <w:right w:val="none" w:sz="0" w:space="0" w:color="auto"/>
              </w:divBdr>
            </w:div>
            <w:div w:id="1198350451">
              <w:marLeft w:val="0"/>
              <w:marRight w:val="0"/>
              <w:marTop w:val="0"/>
              <w:marBottom w:val="0"/>
              <w:divBdr>
                <w:top w:val="none" w:sz="0" w:space="0" w:color="auto"/>
                <w:left w:val="none" w:sz="0" w:space="0" w:color="auto"/>
                <w:bottom w:val="none" w:sz="0" w:space="0" w:color="auto"/>
                <w:right w:val="none" w:sz="0" w:space="0" w:color="auto"/>
              </w:divBdr>
            </w:div>
            <w:div w:id="1282610535">
              <w:marLeft w:val="0"/>
              <w:marRight w:val="0"/>
              <w:marTop w:val="0"/>
              <w:marBottom w:val="0"/>
              <w:divBdr>
                <w:top w:val="none" w:sz="0" w:space="0" w:color="auto"/>
                <w:left w:val="none" w:sz="0" w:space="0" w:color="auto"/>
                <w:bottom w:val="none" w:sz="0" w:space="0" w:color="auto"/>
                <w:right w:val="none" w:sz="0" w:space="0" w:color="auto"/>
              </w:divBdr>
            </w:div>
            <w:div w:id="1299610307">
              <w:marLeft w:val="0"/>
              <w:marRight w:val="0"/>
              <w:marTop w:val="0"/>
              <w:marBottom w:val="0"/>
              <w:divBdr>
                <w:top w:val="none" w:sz="0" w:space="0" w:color="auto"/>
                <w:left w:val="none" w:sz="0" w:space="0" w:color="auto"/>
                <w:bottom w:val="none" w:sz="0" w:space="0" w:color="auto"/>
                <w:right w:val="none" w:sz="0" w:space="0" w:color="auto"/>
              </w:divBdr>
            </w:div>
            <w:div w:id="1433278429">
              <w:marLeft w:val="0"/>
              <w:marRight w:val="0"/>
              <w:marTop w:val="0"/>
              <w:marBottom w:val="0"/>
              <w:divBdr>
                <w:top w:val="none" w:sz="0" w:space="0" w:color="auto"/>
                <w:left w:val="none" w:sz="0" w:space="0" w:color="auto"/>
                <w:bottom w:val="none" w:sz="0" w:space="0" w:color="auto"/>
                <w:right w:val="none" w:sz="0" w:space="0" w:color="auto"/>
              </w:divBdr>
            </w:div>
            <w:div w:id="1574194363">
              <w:marLeft w:val="0"/>
              <w:marRight w:val="0"/>
              <w:marTop w:val="0"/>
              <w:marBottom w:val="0"/>
              <w:divBdr>
                <w:top w:val="none" w:sz="0" w:space="0" w:color="auto"/>
                <w:left w:val="none" w:sz="0" w:space="0" w:color="auto"/>
                <w:bottom w:val="none" w:sz="0" w:space="0" w:color="auto"/>
                <w:right w:val="none" w:sz="0" w:space="0" w:color="auto"/>
              </w:divBdr>
            </w:div>
            <w:div w:id="1606041296">
              <w:marLeft w:val="0"/>
              <w:marRight w:val="0"/>
              <w:marTop w:val="0"/>
              <w:marBottom w:val="0"/>
              <w:divBdr>
                <w:top w:val="none" w:sz="0" w:space="0" w:color="auto"/>
                <w:left w:val="none" w:sz="0" w:space="0" w:color="auto"/>
                <w:bottom w:val="none" w:sz="0" w:space="0" w:color="auto"/>
                <w:right w:val="none" w:sz="0" w:space="0" w:color="auto"/>
              </w:divBdr>
            </w:div>
            <w:div w:id="1862280182">
              <w:marLeft w:val="0"/>
              <w:marRight w:val="0"/>
              <w:marTop w:val="0"/>
              <w:marBottom w:val="0"/>
              <w:divBdr>
                <w:top w:val="none" w:sz="0" w:space="0" w:color="auto"/>
                <w:left w:val="none" w:sz="0" w:space="0" w:color="auto"/>
                <w:bottom w:val="none" w:sz="0" w:space="0" w:color="auto"/>
                <w:right w:val="none" w:sz="0" w:space="0" w:color="auto"/>
              </w:divBdr>
            </w:div>
            <w:div w:id="2109109529">
              <w:marLeft w:val="0"/>
              <w:marRight w:val="0"/>
              <w:marTop w:val="0"/>
              <w:marBottom w:val="0"/>
              <w:divBdr>
                <w:top w:val="none" w:sz="0" w:space="0" w:color="auto"/>
                <w:left w:val="none" w:sz="0" w:space="0" w:color="auto"/>
                <w:bottom w:val="none" w:sz="0" w:space="0" w:color="auto"/>
                <w:right w:val="none" w:sz="0" w:space="0" w:color="auto"/>
              </w:divBdr>
            </w:div>
          </w:divsChild>
        </w:div>
        <w:div w:id="253363652">
          <w:marLeft w:val="0"/>
          <w:marRight w:val="0"/>
          <w:marTop w:val="0"/>
          <w:marBottom w:val="0"/>
          <w:divBdr>
            <w:top w:val="none" w:sz="0" w:space="0" w:color="auto"/>
            <w:left w:val="none" w:sz="0" w:space="0" w:color="auto"/>
            <w:bottom w:val="none" w:sz="0" w:space="0" w:color="auto"/>
            <w:right w:val="none" w:sz="0" w:space="0" w:color="auto"/>
          </w:divBdr>
        </w:div>
        <w:div w:id="291904723">
          <w:marLeft w:val="0"/>
          <w:marRight w:val="0"/>
          <w:marTop w:val="0"/>
          <w:marBottom w:val="0"/>
          <w:divBdr>
            <w:top w:val="none" w:sz="0" w:space="0" w:color="auto"/>
            <w:left w:val="none" w:sz="0" w:space="0" w:color="auto"/>
            <w:bottom w:val="none" w:sz="0" w:space="0" w:color="auto"/>
            <w:right w:val="none" w:sz="0" w:space="0" w:color="auto"/>
          </w:divBdr>
        </w:div>
        <w:div w:id="298536736">
          <w:marLeft w:val="0"/>
          <w:marRight w:val="0"/>
          <w:marTop w:val="0"/>
          <w:marBottom w:val="0"/>
          <w:divBdr>
            <w:top w:val="none" w:sz="0" w:space="0" w:color="auto"/>
            <w:left w:val="none" w:sz="0" w:space="0" w:color="auto"/>
            <w:bottom w:val="none" w:sz="0" w:space="0" w:color="auto"/>
            <w:right w:val="none" w:sz="0" w:space="0" w:color="auto"/>
          </w:divBdr>
        </w:div>
        <w:div w:id="325861059">
          <w:marLeft w:val="0"/>
          <w:marRight w:val="0"/>
          <w:marTop w:val="0"/>
          <w:marBottom w:val="0"/>
          <w:divBdr>
            <w:top w:val="none" w:sz="0" w:space="0" w:color="auto"/>
            <w:left w:val="none" w:sz="0" w:space="0" w:color="auto"/>
            <w:bottom w:val="none" w:sz="0" w:space="0" w:color="auto"/>
            <w:right w:val="none" w:sz="0" w:space="0" w:color="auto"/>
          </w:divBdr>
        </w:div>
        <w:div w:id="330912949">
          <w:marLeft w:val="0"/>
          <w:marRight w:val="0"/>
          <w:marTop w:val="0"/>
          <w:marBottom w:val="0"/>
          <w:divBdr>
            <w:top w:val="none" w:sz="0" w:space="0" w:color="auto"/>
            <w:left w:val="none" w:sz="0" w:space="0" w:color="auto"/>
            <w:bottom w:val="none" w:sz="0" w:space="0" w:color="auto"/>
            <w:right w:val="none" w:sz="0" w:space="0" w:color="auto"/>
          </w:divBdr>
        </w:div>
        <w:div w:id="402141421">
          <w:marLeft w:val="0"/>
          <w:marRight w:val="0"/>
          <w:marTop w:val="0"/>
          <w:marBottom w:val="0"/>
          <w:divBdr>
            <w:top w:val="none" w:sz="0" w:space="0" w:color="auto"/>
            <w:left w:val="none" w:sz="0" w:space="0" w:color="auto"/>
            <w:bottom w:val="none" w:sz="0" w:space="0" w:color="auto"/>
            <w:right w:val="none" w:sz="0" w:space="0" w:color="auto"/>
          </w:divBdr>
        </w:div>
        <w:div w:id="445588772">
          <w:marLeft w:val="0"/>
          <w:marRight w:val="0"/>
          <w:marTop w:val="0"/>
          <w:marBottom w:val="0"/>
          <w:divBdr>
            <w:top w:val="none" w:sz="0" w:space="0" w:color="auto"/>
            <w:left w:val="none" w:sz="0" w:space="0" w:color="auto"/>
            <w:bottom w:val="none" w:sz="0" w:space="0" w:color="auto"/>
            <w:right w:val="none" w:sz="0" w:space="0" w:color="auto"/>
          </w:divBdr>
        </w:div>
        <w:div w:id="495999281">
          <w:marLeft w:val="0"/>
          <w:marRight w:val="0"/>
          <w:marTop w:val="0"/>
          <w:marBottom w:val="0"/>
          <w:divBdr>
            <w:top w:val="none" w:sz="0" w:space="0" w:color="auto"/>
            <w:left w:val="none" w:sz="0" w:space="0" w:color="auto"/>
            <w:bottom w:val="none" w:sz="0" w:space="0" w:color="auto"/>
            <w:right w:val="none" w:sz="0" w:space="0" w:color="auto"/>
          </w:divBdr>
        </w:div>
        <w:div w:id="530068869">
          <w:marLeft w:val="0"/>
          <w:marRight w:val="0"/>
          <w:marTop w:val="0"/>
          <w:marBottom w:val="0"/>
          <w:divBdr>
            <w:top w:val="none" w:sz="0" w:space="0" w:color="auto"/>
            <w:left w:val="none" w:sz="0" w:space="0" w:color="auto"/>
            <w:bottom w:val="none" w:sz="0" w:space="0" w:color="auto"/>
            <w:right w:val="none" w:sz="0" w:space="0" w:color="auto"/>
          </w:divBdr>
        </w:div>
        <w:div w:id="551498754">
          <w:marLeft w:val="0"/>
          <w:marRight w:val="0"/>
          <w:marTop w:val="0"/>
          <w:marBottom w:val="0"/>
          <w:divBdr>
            <w:top w:val="none" w:sz="0" w:space="0" w:color="auto"/>
            <w:left w:val="none" w:sz="0" w:space="0" w:color="auto"/>
            <w:bottom w:val="none" w:sz="0" w:space="0" w:color="auto"/>
            <w:right w:val="none" w:sz="0" w:space="0" w:color="auto"/>
          </w:divBdr>
        </w:div>
        <w:div w:id="634527783">
          <w:marLeft w:val="0"/>
          <w:marRight w:val="0"/>
          <w:marTop w:val="0"/>
          <w:marBottom w:val="0"/>
          <w:divBdr>
            <w:top w:val="none" w:sz="0" w:space="0" w:color="auto"/>
            <w:left w:val="none" w:sz="0" w:space="0" w:color="auto"/>
            <w:bottom w:val="none" w:sz="0" w:space="0" w:color="auto"/>
            <w:right w:val="none" w:sz="0" w:space="0" w:color="auto"/>
          </w:divBdr>
        </w:div>
        <w:div w:id="662901963">
          <w:marLeft w:val="0"/>
          <w:marRight w:val="0"/>
          <w:marTop w:val="0"/>
          <w:marBottom w:val="0"/>
          <w:divBdr>
            <w:top w:val="none" w:sz="0" w:space="0" w:color="auto"/>
            <w:left w:val="none" w:sz="0" w:space="0" w:color="auto"/>
            <w:bottom w:val="none" w:sz="0" w:space="0" w:color="auto"/>
            <w:right w:val="none" w:sz="0" w:space="0" w:color="auto"/>
          </w:divBdr>
        </w:div>
        <w:div w:id="757022724">
          <w:marLeft w:val="0"/>
          <w:marRight w:val="0"/>
          <w:marTop w:val="0"/>
          <w:marBottom w:val="0"/>
          <w:divBdr>
            <w:top w:val="none" w:sz="0" w:space="0" w:color="auto"/>
            <w:left w:val="none" w:sz="0" w:space="0" w:color="auto"/>
            <w:bottom w:val="none" w:sz="0" w:space="0" w:color="auto"/>
            <w:right w:val="none" w:sz="0" w:space="0" w:color="auto"/>
          </w:divBdr>
        </w:div>
        <w:div w:id="799229350">
          <w:marLeft w:val="0"/>
          <w:marRight w:val="0"/>
          <w:marTop w:val="0"/>
          <w:marBottom w:val="0"/>
          <w:divBdr>
            <w:top w:val="none" w:sz="0" w:space="0" w:color="auto"/>
            <w:left w:val="none" w:sz="0" w:space="0" w:color="auto"/>
            <w:bottom w:val="none" w:sz="0" w:space="0" w:color="auto"/>
            <w:right w:val="none" w:sz="0" w:space="0" w:color="auto"/>
          </w:divBdr>
        </w:div>
        <w:div w:id="873494449">
          <w:marLeft w:val="0"/>
          <w:marRight w:val="0"/>
          <w:marTop w:val="0"/>
          <w:marBottom w:val="0"/>
          <w:divBdr>
            <w:top w:val="none" w:sz="0" w:space="0" w:color="auto"/>
            <w:left w:val="none" w:sz="0" w:space="0" w:color="auto"/>
            <w:bottom w:val="none" w:sz="0" w:space="0" w:color="auto"/>
            <w:right w:val="none" w:sz="0" w:space="0" w:color="auto"/>
          </w:divBdr>
        </w:div>
        <w:div w:id="907035092">
          <w:marLeft w:val="0"/>
          <w:marRight w:val="0"/>
          <w:marTop w:val="0"/>
          <w:marBottom w:val="0"/>
          <w:divBdr>
            <w:top w:val="none" w:sz="0" w:space="0" w:color="auto"/>
            <w:left w:val="none" w:sz="0" w:space="0" w:color="auto"/>
            <w:bottom w:val="none" w:sz="0" w:space="0" w:color="auto"/>
            <w:right w:val="none" w:sz="0" w:space="0" w:color="auto"/>
          </w:divBdr>
        </w:div>
        <w:div w:id="918948530">
          <w:marLeft w:val="0"/>
          <w:marRight w:val="0"/>
          <w:marTop w:val="0"/>
          <w:marBottom w:val="0"/>
          <w:divBdr>
            <w:top w:val="none" w:sz="0" w:space="0" w:color="auto"/>
            <w:left w:val="none" w:sz="0" w:space="0" w:color="auto"/>
            <w:bottom w:val="none" w:sz="0" w:space="0" w:color="auto"/>
            <w:right w:val="none" w:sz="0" w:space="0" w:color="auto"/>
          </w:divBdr>
        </w:div>
        <w:div w:id="957954188">
          <w:marLeft w:val="0"/>
          <w:marRight w:val="0"/>
          <w:marTop w:val="0"/>
          <w:marBottom w:val="0"/>
          <w:divBdr>
            <w:top w:val="none" w:sz="0" w:space="0" w:color="auto"/>
            <w:left w:val="none" w:sz="0" w:space="0" w:color="auto"/>
            <w:bottom w:val="none" w:sz="0" w:space="0" w:color="auto"/>
            <w:right w:val="none" w:sz="0" w:space="0" w:color="auto"/>
          </w:divBdr>
        </w:div>
        <w:div w:id="1026173006">
          <w:marLeft w:val="0"/>
          <w:marRight w:val="0"/>
          <w:marTop w:val="0"/>
          <w:marBottom w:val="0"/>
          <w:divBdr>
            <w:top w:val="none" w:sz="0" w:space="0" w:color="auto"/>
            <w:left w:val="none" w:sz="0" w:space="0" w:color="auto"/>
            <w:bottom w:val="none" w:sz="0" w:space="0" w:color="auto"/>
            <w:right w:val="none" w:sz="0" w:space="0" w:color="auto"/>
          </w:divBdr>
        </w:div>
        <w:div w:id="1141340433">
          <w:marLeft w:val="0"/>
          <w:marRight w:val="0"/>
          <w:marTop w:val="0"/>
          <w:marBottom w:val="0"/>
          <w:divBdr>
            <w:top w:val="none" w:sz="0" w:space="0" w:color="auto"/>
            <w:left w:val="none" w:sz="0" w:space="0" w:color="auto"/>
            <w:bottom w:val="none" w:sz="0" w:space="0" w:color="auto"/>
            <w:right w:val="none" w:sz="0" w:space="0" w:color="auto"/>
          </w:divBdr>
        </w:div>
        <w:div w:id="1172842219">
          <w:marLeft w:val="0"/>
          <w:marRight w:val="0"/>
          <w:marTop w:val="0"/>
          <w:marBottom w:val="0"/>
          <w:divBdr>
            <w:top w:val="none" w:sz="0" w:space="0" w:color="auto"/>
            <w:left w:val="none" w:sz="0" w:space="0" w:color="auto"/>
            <w:bottom w:val="none" w:sz="0" w:space="0" w:color="auto"/>
            <w:right w:val="none" w:sz="0" w:space="0" w:color="auto"/>
          </w:divBdr>
        </w:div>
        <w:div w:id="1208762469">
          <w:marLeft w:val="0"/>
          <w:marRight w:val="0"/>
          <w:marTop w:val="0"/>
          <w:marBottom w:val="0"/>
          <w:divBdr>
            <w:top w:val="none" w:sz="0" w:space="0" w:color="auto"/>
            <w:left w:val="none" w:sz="0" w:space="0" w:color="auto"/>
            <w:bottom w:val="none" w:sz="0" w:space="0" w:color="auto"/>
            <w:right w:val="none" w:sz="0" w:space="0" w:color="auto"/>
          </w:divBdr>
        </w:div>
        <w:div w:id="1213419184">
          <w:marLeft w:val="0"/>
          <w:marRight w:val="0"/>
          <w:marTop w:val="0"/>
          <w:marBottom w:val="0"/>
          <w:divBdr>
            <w:top w:val="none" w:sz="0" w:space="0" w:color="auto"/>
            <w:left w:val="none" w:sz="0" w:space="0" w:color="auto"/>
            <w:bottom w:val="none" w:sz="0" w:space="0" w:color="auto"/>
            <w:right w:val="none" w:sz="0" w:space="0" w:color="auto"/>
          </w:divBdr>
        </w:div>
        <w:div w:id="1237783321">
          <w:marLeft w:val="0"/>
          <w:marRight w:val="0"/>
          <w:marTop w:val="0"/>
          <w:marBottom w:val="0"/>
          <w:divBdr>
            <w:top w:val="none" w:sz="0" w:space="0" w:color="auto"/>
            <w:left w:val="none" w:sz="0" w:space="0" w:color="auto"/>
            <w:bottom w:val="none" w:sz="0" w:space="0" w:color="auto"/>
            <w:right w:val="none" w:sz="0" w:space="0" w:color="auto"/>
          </w:divBdr>
        </w:div>
        <w:div w:id="1242060796">
          <w:marLeft w:val="0"/>
          <w:marRight w:val="0"/>
          <w:marTop w:val="0"/>
          <w:marBottom w:val="0"/>
          <w:divBdr>
            <w:top w:val="none" w:sz="0" w:space="0" w:color="auto"/>
            <w:left w:val="none" w:sz="0" w:space="0" w:color="auto"/>
            <w:bottom w:val="none" w:sz="0" w:space="0" w:color="auto"/>
            <w:right w:val="none" w:sz="0" w:space="0" w:color="auto"/>
          </w:divBdr>
        </w:div>
        <w:div w:id="1242638961">
          <w:marLeft w:val="0"/>
          <w:marRight w:val="0"/>
          <w:marTop w:val="0"/>
          <w:marBottom w:val="0"/>
          <w:divBdr>
            <w:top w:val="none" w:sz="0" w:space="0" w:color="auto"/>
            <w:left w:val="none" w:sz="0" w:space="0" w:color="auto"/>
            <w:bottom w:val="none" w:sz="0" w:space="0" w:color="auto"/>
            <w:right w:val="none" w:sz="0" w:space="0" w:color="auto"/>
          </w:divBdr>
        </w:div>
        <w:div w:id="1315179893">
          <w:marLeft w:val="0"/>
          <w:marRight w:val="0"/>
          <w:marTop w:val="0"/>
          <w:marBottom w:val="0"/>
          <w:divBdr>
            <w:top w:val="none" w:sz="0" w:space="0" w:color="auto"/>
            <w:left w:val="none" w:sz="0" w:space="0" w:color="auto"/>
            <w:bottom w:val="none" w:sz="0" w:space="0" w:color="auto"/>
            <w:right w:val="none" w:sz="0" w:space="0" w:color="auto"/>
          </w:divBdr>
        </w:div>
        <w:div w:id="1335646394">
          <w:marLeft w:val="0"/>
          <w:marRight w:val="0"/>
          <w:marTop w:val="0"/>
          <w:marBottom w:val="0"/>
          <w:divBdr>
            <w:top w:val="none" w:sz="0" w:space="0" w:color="auto"/>
            <w:left w:val="none" w:sz="0" w:space="0" w:color="auto"/>
            <w:bottom w:val="none" w:sz="0" w:space="0" w:color="auto"/>
            <w:right w:val="none" w:sz="0" w:space="0" w:color="auto"/>
          </w:divBdr>
        </w:div>
        <w:div w:id="1336877772">
          <w:marLeft w:val="0"/>
          <w:marRight w:val="0"/>
          <w:marTop w:val="0"/>
          <w:marBottom w:val="0"/>
          <w:divBdr>
            <w:top w:val="none" w:sz="0" w:space="0" w:color="auto"/>
            <w:left w:val="none" w:sz="0" w:space="0" w:color="auto"/>
            <w:bottom w:val="none" w:sz="0" w:space="0" w:color="auto"/>
            <w:right w:val="none" w:sz="0" w:space="0" w:color="auto"/>
          </w:divBdr>
        </w:div>
        <w:div w:id="1363439086">
          <w:marLeft w:val="0"/>
          <w:marRight w:val="0"/>
          <w:marTop w:val="0"/>
          <w:marBottom w:val="0"/>
          <w:divBdr>
            <w:top w:val="none" w:sz="0" w:space="0" w:color="auto"/>
            <w:left w:val="none" w:sz="0" w:space="0" w:color="auto"/>
            <w:bottom w:val="none" w:sz="0" w:space="0" w:color="auto"/>
            <w:right w:val="none" w:sz="0" w:space="0" w:color="auto"/>
          </w:divBdr>
        </w:div>
        <w:div w:id="1491171213">
          <w:marLeft w:val="0"/>
          <w:marRight w:val="0"/>
          <w:marTop w:val="0"/>
          <w:marBottom w:val="0"/>
          <w:divBdr>
            <w:top w:val="none" w:sz="0" w:space="0" w:color="auto"/>
            <w:left w:val="none" w:sz="0" w:space="0" w:color="auto"/>
            <w:bottom w:val="none" w:sz="0" w:space="0" w:color="auto"/>
            <w:right w:val="none" w:sz="0" w:space="0" w:color="auto"/>
          </w:divBdr>
        </w:div>
        <w:div w:id="1532494352">
          <w:marLeft w:val="0"/>
          <w:marRight w:val="0"/>
          <w:marTop w:val="0"/>
          <w:marBottom w:val="0"/>
          <w:divBdr>
            <w:top w:val="none" w:sz="0" w:space="0" w:color="auto"/>
            <w:left w:val="none" w:sz="0" w:space="0" w:color="auto"/>
            <w:bottom w:val="none" w:sz="0" w:space="0" w:color="auto"/>
            <w:right w:val="none" w:sz="0" w:space="0" w:color="auto"/>
          </w:divBdr>
        </w:div>
        <w:div w:id="1539856186">
          <w:marLeft w:val="0"/>
          <w:marRight w:val="0"/>
          <w:marTop w:val="0"/>
          <w:marBottom w:val="0"/>
          <w:divBdr>
            <w:top w:val="none" w:sz="0" w:space="0" w:color="auto"/>
            <w:left w:val="none" w:sz="0" w:space="0" w:color="auto"/>
            <w:bottom w:val="none" w:sz="0" w:space="0" w:color="auto"/>
            <w:right w:val="none" w:sz="0" w:space="0" w:color="auto"/>
          </w:divBdr>
        </w:div>
        <w:div w:id="1551725600">
          <w:marLeft w:val="0"/>
          <w:marRight w:val="0"/>
          <w:marTop w:val="0"/>
          <w:marBottom w:val="0"/>
          <w:divBdr>
            <w:top w:val="none" w:sz="0" w:space="0" w:color="auto"/>
            <w:left w:val="none" w:sz="0" w:space="0" w:color="auto"/>
            <w:bottom w:val="none" w:sz="0" w:space="0" w:color="auto"/>
            <w:right w:val="none" w:sz="0" w:space="0" w:color="auto"/>
          </w:divBdr>
        </w:div>
        <w:div w:id="1566842978">
          <w:marLeft w:val="0"/>
          <w:marRight w:val="0"/>
          <w:marTop w:val="0"/>
          <w:marBottom w:val="0"/>
          <w:divBdr>
            <w:top w:val="none" w:sz="0" w:space="0" w:color="auto"/>
            <w:left w:val="none" w:sz="0" w:space="0" w:color="auto"/>
            <w:bottom w:val="none" w:sz="0" w:space="0" w:color="auto"/>
            <w:right w:val="none" w:sz="0" w:space="0" w:color="auto"/>
          </w:divBdr>
        </w:div>
        <w:div w:id="1574661728">
          <w:marLeft w:val="0"/>
          <w:marRight w:val="0"/>
          <w:marTop w:val="0"/>
          <w:marBottom w:val="0"/>
          <w:divBdr>
            <w:top w:val="none" w:sz="0" w:space="0" w:color="auto"/>
            <w:left w:val="none" w:sz="0" w:space="0" w:color="auto"/>
            <w:bottom w:val="none" w:sz="0" w:space="0" w:color="auto"/>
            <w:right w:val="none" w:sz="0" w:space="0" w:color="auto"/>
          </w:divBdr>
        </w:div>
        <w:div w:id="1612787610">
          <w:marLeft w:val="0"/>
          <w:marRight w:val="0"/>
          <w:marTop w:val="0"/>
          <w:marBottom w:val="0"/>
          <w:divBdr>
            <w:top w:val="none" w:sz="0" w:space="0" w:color="auto"/>
            <w:left w:val="none" w:sz="0" w:space="0" w:color="auto"/>
            <w:bottom w:val="none" w:sz="0" w:space="0" w:color="auto"/>
            <w:right w:val="none" w:sz="0" w:space="0" w:color="auto"/>
          </w:divBdr>
        </w:div>
        <w:div w:id="1616256651">
          <w:marLeft w:val="0"/>
          <w:marRight w:val="0"/>
          <w:marTop w:val="0"/>
          <w:marBottom w:val="0"/>
          <w:divBdr>
            <w:top w:val="none" w:sz="0" w:space="0" w:color="auto"/>
            <w:left w:val="none" w:sz="0" w:space="0" w:color="auto"/>
            <w:bottom w:val="none" w:sz="0" w:space="0" w:color="auto"/>
            <w:right w:val="none" w:sz="0" w:space="0" w:color="auto"/>
          </w:divBdr>
        </w:div>
        <w:div w:id="1689526214">
          <w:marLeft w:val="0"/>
          <w:marRight w:val="0"/>
          <w:marTop w:val="0"/>
          <w:marBottom w:val="0"/>
          <w:divBdr>
            <w:top w:val="none" w:sz="0" w:space="0" w:color="auto"/>
            <w:left w:val="none" w:sz="0" w:space="0" w:color="auto"/>
            <w:bottom w:val="none" w:sz="0" w:space="0" w:color="auto"/>
            <w:right w:val="none" w:sz="0" w:space="0" w:color="auto"/>
          </w:divBdr>
        </w:div>
        <w:div w:id="1749114991">
          <w:marLeft w:val="0"/>
          <w:marRight w:val="0"/>
          <w:marTop w:val="0"/>
          <w:marBottom w:val="0"/>
          <w:divBdr>
            <w:top w:val="none" w:sz="0" w:space="0" w:color="auto"/>
            <w:left w:val="none" w:sz="0" w:space="0" w:color="auto"/>
            <w:bottom w:val="none" w:sz="0" w:space="0" w:color="auto"/>
            <w:right w:val="none" w:sz="0" w:space="0" w:color="auto"/>
          </w:divBdr>
        </w:div>
        <w:div w:id="1860312834">
          <w:marLeft w:val="0"/>
          <w:marRight w:val="0"/>
          <w:marTop w:val="0"/>
          <w:marBottom w:val="0"/>
          <w:divBdr>
            <w:top w:val="none" w:sz="0" w:space="0" w:color="auto"/>
            <w:left w:val="none" w:sz="0" w:space="0" w:color="auto"/>
            <w:bottom w:val="none" w:sz="0" w:space="0" w:color="auto"/>
            <w:right w:val="none" w:sz="0" w:space="0" w:color="auto"/>
          </w:divBdr>
          <w:divsChild>
            <w:div w:id="20715183">
              <w:marLeft w:val="0"/>
              <w:marRight w:val="0"/>
              <w:marTop w:val="0"/>
              <w:marBottom w:val="0"/>
              <w:divBdr>
                <w:top w:val="none" w:sz="0" w:space="0" w:color="auto"/>
                <w:left w:val="none" w:sz="0" w:space="0" w:color="auto"/>
                <w:bottom w:val="none" w:sz="0" w:space="0" w:color="auto"/>
                <w:right w:val="none" w:sz="0" w:space="0" w:color="auto"/>
              </w:divBdr>
            </w:div>
            <w:div w:id="192769935">
              <w:marLeft w:val="0"/>
              <w:marRight w:val="0"/>
              <w:marTop w:val="0"/>
              <w:marBottom w:val="0"/>
              <w:divBdr>
                <w:top w:val="none" w:sz="0" w:space="0" w:color="auto"/>
                <w:left w:val="none" w:sz="0" w:space="0" w:color="auto"/>
                <w:bottom w:val="none" w:sz="0" w:space="0" w:color="auto"/>
                <w:right w:val="none" w:sz="0" w:space="0" w:color="auto"/>
              </w:divBdr>
            </w:div>
            <w:div w:id="450364132">
              <w:marLeft w:val="0"/>
              <w:marRight w:val="0"/>
              <w:marTop w:val="0"/>
              <w:marBottom w:val="0"/>
              <w:divBdr>
                <w:top w:val="none" w:sz="0" w:space="0" w:color="auto"/>
                <w:left w:val="none" w:sz="0" w:space="0" w:color="auto"/>
                <w:bottom w:val="none" w:sz="0" w:space="0" w:color="auto"/>
                <w:right w:val="none" w:sz="0" w:space="0" w:color="auto"/>
              </w:divBdr>
            </w:div>
            <w:div w:id="917446198">
              <w:marLeft w:val="0"/>
              <w:marRight w:val="0"/>
              <w:marTop w:val="0"/>
              <w:marBottom w:val="0"/>
              <w:divBdr>
                <w:top w:val="none" w:sz="0" w:space="0" w:color="auto"/>
                <w:left w:val="none" w:sz="0" w:space="0" w:color="auto"/>
                <w:bottom w:val="none" w:sz="0" w:space="0" w:color="auto"/>
                <w:right w:val="none" w:sz="0" w:space="0" w:color="auto"/>
              </w:divBdr>
            </w:div>
            <w:div w:id="924076747">
              <w:marLeft w:val="0"/>
              <w:marRight w:val="0"/>
              <w:marTop w:val="0"/>
              <w:marBottom w:val="0"/>
              <w:divBdr>
                <w:top w:val="none" w:sz="0" w:space="0" w:color="auto"/>
                <w:left w:val="none" w:sz="0" w:space="0" w:color="auto"/>
                <w:bottom w:val="none" w:sz="0" w:space="0" w:color="auto"/>
                <w:right w:val="none" w:sz="0" w:space="0" w:color="auto"/>
              </w:divBdr>
            </w:div>
            <w:div w:id="958492416">
              <w:marLeft w:val="0"/>
              <w:marRight w:val="0"/>
              <w:marTop w:val="0"/>
              <w:marBottom w:val="0"/>
              <w:divBdr>
                <w:top w:val="none" w:sz="0" w:space="0" w:color="auto"/>
                <w:left w:val="none" w:sz="0" w:space="0" w:color="auto"/>
                <w:bottom w:val="none" w:sz="0" w:space="0" w:color="auto"/>
                <w:right w:val="none" w:sz="0" w:space="0" w:color="auto"/>
              </w:divBdr>
            </w:div>
            <w:div w:id="1110395826">
              <w:marLeft w:val="0"/>
              <w:marRight w:val="0"/>
              <w:marTop w:val="0"/>
              <w:marBottom w:val="0"/>
              <w:divBdr>
                <w:top w:val="none" w:sz="0" w:space="0" w:color="auto"/>
                <w:left w:val="none" w:sz="0" w:space="0" w:color="auto"/>
                <w:bottom w:val="none" w:sz="0" w:space="0" w:color="auto"/>
                <w:right w:val="none" w:sz="0" w:space="0" w:color="auto"/>
              </w:divBdr>
            </w:div>
            <w:div w:id="1134711847">
              <w:marLeft w:val="0"/>
              <w:marRight w:val="0"/>
              <w:marTop w:val="0"/>
              <w:marBottom w:val="0"/>
              <w:divBdr>
                <w:top w:val="none" w:sz="0" w:space="0" w:color="auto"/>
                <w:left w:val="none" w:sz="0" w:space="0" w:color="auto"/>
                <w:bottom w:val="none" w:sz="0" w:space="0" w:color="auto"/>
                <w:right w:val="none" w:sz="0" w:space="0" w:color="auto"/>
              </w:divBdr>
            </w:div>
            <w:div w:id="1217400035">
              <w:marLeft w:val="0"/>
              <w:marRight w:val="0"/>
              <w:marTop w:val="0"/>
              <w:marBottom w:val="0"/>
              <w:divBdr>
                <w:top w:val="none" w:sz="0" w:space="0" w:color="auto"/>
                <w:left w:val="none" w:sz="0" w:space="0" w:color="auto"/>
                <w:bottom w:val="none" w:sz="0" w:space="0" w:color="auto"/>
                <w:right w:val="none" w:sz="0" w:space="0" w:color="auto"/>
              </w:divBdr>
            </w:div>
            <w:div w:id="1223130421">
              <w:marLeft w:val="0"/>
              <w:marRight w:val="0"/>
              <w:marTop w:val="0"/>
              <w:marBottom w:val="0"/>
              <w:divBdr>
                <w:top w:val="none" w:sz="0" w:space="0" w:color="auto"/>
                <w:left w:val="none" w:sz="0" w:space="0" w:color="auto"/>
                <w:bottom w:val="none" w:sz="0" w:space="0" w:color="auto"/>
                <w:right w:val="none" w:sz="0" w:space="0" w:color="auto"/>
              </w:divBdr>
            </w:div>
            <w:div w:id="1303123188">
              <w:marLeft w:val="0"/>
              <w:marRight w:val="0"/>
              <w:marTop w:val="0"/>
              <w:marBottom w:val="0"/>
              <w:divBdr>
                <w:top w:val="none" w:sz="0" w:space="0" w:color="auto"/>
                <w:left w:val="none" w:sz="0" w:space="0" w:color="auto"/>
                <w:bottom w:val="none" w:sz="0" w:space="0" w:color="auto"/>
                <w:right w:val="none" w:sz="0" w:space="0" w:color="auto"/>
              </w:divBdr>
            </w:div>
            <w:div w:id="1439519225">
              <w:marLeft w:val="0"/>
              <w:marRight w:val="0"/>
              <w:marTop w:val="0"/>
              <w:marBottom w:val="0"/>
              <w:divBdr>
                <w:top w:val="none" w:sz="0" w:space="0" w:color="auto"/>
                <w:left w:val="none" w:sz="0" w:space="0" w:color="auto"/>
                <w:bottom w:val="none" w:sz="0" w:space="0" w:color="auto"/>
                <w:right w:val="none" w:sz="0" w:space="0" w:color="auto"/>
              </w:divBdr>
            </w:div>
            <w:div w:id="1507817855">
              <w:marLeft w:val="0"/>
              <w:marRight w:val="0"/>
              <w:marTop w:val="0"/>
              <w:marBottom w:val="0"/>
              <w:divBdr>
                <w:top w:val="none" w:sz="0" w:space="0" w:color="auto"/>
                <w:left w:val="none" w:sz="0" w:space="0" w:color="auto"/>
                <w:bottom w:val="none" w:sz="0" w:space="0" w:color="auto"/>
                <w:right w:val="none" w:sz="0" w:space="0" w:color="auto"/>
              </w:divBdr>
            </w:div>
            <w:div w:id="1523397822">
              <w:marLeft w:val="0"/>
              <w:marRight w:val="0"/>
              <w:marTop w:val="0"/>
              <w:marBottom w:val="0"/>
              <w:divBdr>
                <w:top w:val="none" w:sz="0" w:space="0" w:color="auto"/>
                <w:left w:val="none" w:sz="0" w:space="0" w:color="auto"/>
                <w:bottom w:val="none" w:sz="0" w:space="0" w:color="auto"/>
                <w:right w:val="none" w:sz="0" w:space="0" w:color="auto"/>
              </w:divBdr>
            </w:div>
            <w:div w:id="1663005309">
              <w:marLeft w:val="0"/>
              <w:marRight w:val="0"/>
              <w:marTop w:val="0"/>
              <w:marBottom w:val="0"/>
              <w:divBdr>
                <w:top w:val="none" w:sz="0" w:space="0" w:color="auto"/>
                <w:left w:val="none" w:sz="0" w:space="0" w:color="auto"/>
                <w:bottom w:val="none" w:sz="0" w:space="0" w:color="auto"/>
                <w:right w:val="none" w:sz="0" w:space="0" w:color="auto"/>
              </w:divBdr>
            </w:div>
            <w:div w:id="1663925085">
              <w:marLeft w:val="0"/>
              <w:marRight w:val="0"/>
              <w:marTop w:val="0"/>
              <w:marBottom w:val="0"/>
              <w:divBdr>
                <w:top w:val="none" w:sz="0" w:space="0" w:color="auto"/>
                <w:left w:val="none" w:sz="0" w:space="0" w:color="auto"/>
                <w:bottom w:val="none" w:sz="0" w:space="0" w:color="auto"/>
                <w:right w:val="none" w:sz="0" w:space="0" w:color="auto"/>
              </w:divBdr>
            </w:div>
            <w:div w:id="1984967654">
              <w:marLeft w:val="0"/>
              <w:marRight w:val="0"/>
              <w:marTop w:val="0"/>
              <w:marBottom w:val="0"/>
              <w:divBdr>
                <w:top w:val="none" w:sz="0" w:space="0" w:color="auto"/>
                <w:left w:val="none" w:sz="0" w:space="0" w:color="auto"/>
                <w:bottom w:val="none" w:sz="0" w:space="0" w:color="auto"/>
                <w:right w:val="none" w:sz="0" w:space="0" w:color="auto"/>
              </w:divBdr>
            </w:div>
            <w:div w:id="2074884118">
              <w:marLeft w:val="0"/>
              <w:marRight w:val="0"/>
              <w:marTop w:val="0"/>
              <w:marBottom w:val="0"/>
              <w:divBdr>
                <w:top w:val="none" w:sz="0" w:space="0" w:color="auto"/>
                <w:left w:val="none" w:sz="0" w:space="0" w:color="auto"/>
                <w:bottom w:val="none" w:sz="0" w:space="0" w:color="auto"/>
                <w:right w:val="none" w:sz="0" w:space="0" w:color="auto"/>
              </w:divBdr>
            </w:div>
            <w:div w:id="2084522132">
              <w:marLeft w:val="0"/>
              <w:marRight w:val="0"/>
              <w:marTop w:val="0"/>
              <w:marBottom w:val="0"/>
              <w:divBdr>
                <w:top w:val="none" w:sz="0" w:space="0" w:color="auto"/>
                <w:left w:val="none" w:sz="0" w:space="0" w:color="auto"/>
                <w:bottom w:val="none" w:sz="0" w:space="0" w:color="auto"/>
                <w:right w:val="none" w:sz="0" w:space="0" w:color="auto"/>
              </w:divBdr>
            </w:div>
            <w:div w:id="2087220631">
              <w:marLeft w:val="0"/>
              <w:marRight w:val="0"/>
              <w:marTop w:val="0"/>
              <w:marBottom w:val="0"/>
              <w:divBdr>
                <w:top w:val="none" w:sz="0" w:space="0" w:color="auto"/>
                <w:left w:val="none" w:sz="0" w:space="0" w:color="auto"/>
                <w:bottom w:val="none" w:sz="0" w:space="0" w:color="auto"/>
                <w:right w:val="none" w:sz="0" w:space="0" w:color="auto"/>
              </w:divBdr>
            </w:div>
          </w:divsChild>
        </w:div>
        <w:div w:id="1903052937">
          <w:marLeft w:val="0"/>
          <w:marRight w:val="0"/>
          <w:marTop w:val="0"/>
          <w:marBottom w:val="0"/>
          <w:divBdr>
            <w:top w:val="none" w:sz="0" w:space="0" w:color="auto"/>
            <w:left w:val="none" w:sz="0" w:space="0" w:color="auto"/>
            <w:bottom w:val="none" w:sz="0" w:space="0" w:color="auto"/>
            <w:right w:val="none" w:sz="0" w:space="0" w:color="auto"/>
          </w:divBdr>
        </w:div>
        <w:div w:id="1952392195">
          <w:marLeft w:val="0"/>
          <w:marRight w:val="0"/>
          <w:marTop w:val="0"/>
          <w:marBottom w:val="0"/>
          <w:divBdr>
            <w:top w:val="none" w:sz="0" w:space="0" w:color="auto"/>
            <w:left w:val="none" w:sz="0" w:space="0" w:color="auto"/>
            <w:bottom w:val="none" w:sz="0" w:space="0" w:color="auto"/>
            <w:right w:val="none" w:sz="0" w:space="0" w:color="auto"/>
          </w:divBdr>
        </w:div>
        <w:div w:id="1952935399">
          <w:marLeft w:val="0"/>
          <w:marRight w:val="0"/>
          <w:marTop w:val="0"/>
          <w:marBottom w:val="0"/>
          <w:divBdr>
            <w:top w:val="none" w:sz="0" w:space="0" w:color="auto"/>
            <w:left w:val="none" w:sz="0" w:space="0" w:color="auto"/>
            <w:bottom w:val="none" w:sz="0" w:space="0" w:color="auto"/>
            <w:right w:val="none" w:sz="0" w:space="0" w:color="auto"/>
          </w:divBdr>
        </w:div>
        <w:div w:id="1968121899">
          <w:marLeft w:val="0"/>
          <w:marRight w:val="0"/>
          <w:marTop w:val="0"/>
          <w:marBottom w:val="0"/>
          <w:divBdr>
            <w:top w:val="none" w:sz="0" w:space="0" w:color="auto"/>
            <w:left w:val="none" w:sz="0" w:space="0" w:color="auto"/>
            <w:bottom w:val="none" w:sz="0" w:space="0" w:color="auto"/>
            <w:right w:val="none" w:sz="0" w:space="0" w:color="auto"/>
          </w:divBdr>
        </w:div>
        <w:div w:id="2053921809">
          <w:marLeft w:val="0"/>
          <w:marRight w:val="0"/>
          <w:marTop w:val="0"/>
          <w:marBottom w:val="0"/>
          <w:divBdr>
            <w:top w:val="none" w:sz="0" w:space="0" w:color="auto"/>
            <w:left w:val="none" w:sz="0" w:space="0" w:color="auto"/>
            <w:bottom w:val="none" w:sz="0" w:space="0" w:color="auto"/>
            <w:right w:val="none" w:sz="0" w:space="0" w:color="auto"/>
          </w:divBdr>
        </w:div>
      </w:divsChild>
    </w:div>
    <w:div w:id="1638101574">
      <w:bodyDiv w:val="1"/>
      <w:marLeft w:val="0"/>
      <w:marRight w:val="0"/>
      <w:marTop w:val="0"/>
      <w:marBottom w:val="0"/>
      <w:divBdr>
        <w:top w:val="none" w:sz="0" w:space="0" w:color="auto"/>
        <w:left w:val="none" w:sz="0" w:space="0" w:color="auto"/>
        <w:bottom w:val="none" w:sz="0" w:space="0" w:color="auto"/>
        <w:right w:val="none" w:sz="0" w:space="0" w:color="auto"/>
      </w:divBdr>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 w:id="201372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circabc.europa.eu/ui/group/09242a36-a438-40fd-a7af-fe32e36cbd0e/library/76dcefc4-692c-421d-8a5e-54955bb486aa/details?download=true"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trade.ec.europa.eu/eu-trade-relationships-country-and-region/countries-and-regions/indonesia/eu-indonesia-agreements/text-agreements_en?prefLang=fr"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45505-E656-4AEC-8BC3-607F01F772C8}">
  <ds:schemaRefs>
    <ds:schemaRef ds:uri="http://schemas.microsoft.com/sharepoint/v3/contenttype/forms"/>
  </ds:schemaRefs>
</ds:datastoreItem>
</file>

<file path=customXml/itemProps2.xml><?xml version="1.0" encoding="utf-8"?>
<ds:datastoreItem xmlns:ds="http://schemas.openxmlformats.org/officeDocument/2006/customXml" ds:itemID="{E7DE1F1A-7C59-478A-BB33-2949A18BB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91529F-2609-4F24-BE0B-E026B86B5D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98E261F-6BF8-4D4E-AD39-20AD4950F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48</TotalTime>
  <Pages>9</Pages>
  <Words>2867</Words>
  <Characters>16344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19173</CharactersWithSpaces>
  <SharedDoc>false</SharedDoc>
  <HLinks>
    <vt:vector size="6" baseType="variant">
      <vt:variant>
        <vt:i4>2097198</vt:i4>
      </vt:variant>
      <vt:variant>
        <vt:i4>0</vt:i4>
      </vt:variant>
      <vt:variant>
        <vt:i4>0</vt:i4>
      </vt:variant>
      <vt:variant>
        <vt:i4>5</vt:i4>
      </vt:variant>
      <vt:variant>
        <vt:lpwstr>https://circabc.europa.eu/ui/group/09242a36-a438-40fd-a7af-fe32e36cbd0e/library/76dcefc4-692c-421d-8a5e-54955bb486aa/details?download=true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32</cp:revision>
  <cp:lastPrinted>2026-06-29T13:08:00Z</cp:lastPrinted>
  <dcterms:created xsi:type="dcterms:W3CDTF">2026-06-22T16:41:00Z</dcterms:created>
  <dcterms:modified xsi:type="dcterms:W3CDTF">2026-06-30T11:16:00Z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Green (DQC version 03)</vt:lpwstr>
  </property>
</Properties>
</file>