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Pr="00FF6DE0" w:rsidRDefault="00673584" w:rsidP="0067358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D7AF01-D67C-455D-9F35-0422BC370BB9" style="width:455.25pt;height:342.75pt">
            <v:imagedata r:id="rId11" o:title=""/>
          </v:shape>
        </w:pict>
      </w:r>
    </w:p>
    <w:p w:rsidR="005D0563" w:rsidRPr="00FF6DE0" w:rsidRDefault="005D0563" w:rsidP="005D0563">
      <w:pPr>
        <w:pStyle w:val="Pagedecouverture"/>
        <w:rPr>
          <w:noProof/>
        </w:rPr>
        <w:sectPr w:rsidR="005D0563" w:rsidRPr="00FF6DE0" w:rsidSect="00673584">
          <w:footerReference w:type="even" r:id="rId12"/>
          <w:footerReference w:type="default" r:id="rId13"/>
          <w:pgSz w:w="11907" w:h="16839"/>
          <w:pgMar w:top="1134" w:right="1417" w:bottom="1134" w:left="1417" w:header="709" w:footer="709" w:gutter="0"/>
          <w:pgNumType w:start="0"/>
          <w:cols w:space="720"/>
          <w:docGrid w:linePitch="360"/>
        </w:sectPr>
      </w:pPr>
    </w:p>
    <w:p w:rsidR="00BB3091" w:rsidRPr="00FF6DE0" w:rsidRDefault="00BB3091" w:rsidP="005D0563">
      <w:pPr>
        <w:pStyle w:val="Exposdesmotifstitre"/>
        <w:rPr>
          <w:noProof/>
        </w:rPr>
      </w:pPr>
      <w:bookmarkStart w:id="0" w:name="_GoBack"/>
      <w:bookmarkEnd w:id="0"/>
      <w:r w:rsidRPr="00FF6DE0">
        <w:rPr>
          <w:noProof/>
        </w:rPr>
        <w:lastRenderedPageBreak/>
        <w:t xml:space="preserve">EXPUNERE DE MOTIVE </w:t>
      </w:r>
    </w:p>
    <w:p w:rsidR="00BB3091" w:rsidRPr="00FF6DE0" w:rsidRDefault="00BB3091" w:rsidP="00EF2AB0">
      <w:pPr>
        <w:pStyle w:val="ManualHeading1"/>
        <w:rPr>
          <w:noProof/>
        </w:rPr>
      </w:pPr>
      <w:r w:rsidRPr="00FF6DE0">
        <w:rPr>
          <w:noProof/>
        </w:rPr>
        <w:t>1.</w:t>
      </w:r>
      <w:r w:rsidRPr="00FF6DE0">
        <w:rPr>
          <w:noProof/>
        </w:rPr>
        <w:tab/>
        <w:t xml:space="preserve">CONTEXTUL PROPUNERII </w:t>
      </w:r>
    </w:p>
    <w:p w:rsidR="00BB3091" w:rsidRPr="00FF6DE0" w:rsidRDefault="00BB3091" w:rsidP="00EF2AB0">
      <w:pPr>
        <w:pStyle w:val="ManualHeading2"/>
        <w:rPr>
          <w:noProof/>
        </w:rPr>
      </w:pPr>
      <w:r w:rsidRPr="00FF6DE0">
        <w:rPr>
          <w:noProof/>
        </w:rPr>
        <w:t>•</w:t>
      </w:r>
      <w:r w:rsidRPr="00FF6DE0">
        <w:rPr>
          <w:noProof/>
        </w:rPr>
        <w:tab/>
        <w:t xml:space="preserve">Motivele și obiectivele propunerii </w:t>
      </w:r>
    </w:p>
    <w:p w:rsidR="00BB3091" w:rsidRPr="00FF6DE0" w:rsidRDefault="147A79F6" w:rsidP="0130D5B7">
      <w:pPr>
        <w:pBdr>
          <w:top w:val="nil"/>
          <w:left w:val="nil"/>
          <w:bottom w:val="nil"/>
          <w:right w:val="nil"/>
          <w:between w:val="nil"/>
          <w:bar w:val="nil"/>
        </w:pBdr>
        <w:spacing w:before="0" w:after="240"/>
        <w:rPr>
          <w:rFonts w:eastAsia="Arial Unicode MS"/>
          <w:noProof/>
        </w:rPr>
      </w:pPr>
      <w:r w:rsidRPr="00FF6DE0">
        <w:rPr>
          <w:noProof/>
        </w:rPr>
        <w:t>Indonezia este al 30-lea partener comercial al UE ca mărime pentru mărfuri la nivel mondial și al cincilea partener comercial al UE în cadrul Asociației Națiunilor din Asia de Sud-Est (ASEAN) în 2025, în timp ce UE este al patrulea partener comercial al Indoneziei ca mărime, reprezentând 6 % din comerțul său total. Comerțul bilateral dintre cei doi parteneri s-a ridicat la 28,9 miliarde EUR în 2025, exporturile UE ridicându-se la 10,2 miliarde EUR, iar importurile UE la 18,7 miliarde EUR. Comerțul bilateral cu servicii dintre UE și Indonezia s-a ridicat la 9,3 miliarde EUR în 2024, exporturile UE ridicându-se la 5,8 miliarde EUR, iar importurile la 3,5 miliarde EUR. În 2024, stocul de investiții străine directe (ISD) ale UE în Indonezia s-a ridicat la 24,7 miliarde EUR, în timp ce stocul de ISD ale Indoneziei în UE a fost de 1,3 miliarde EUR.</w:t>
      </w:r>
    </w:p>
    <w:p w:rsidR="08C96592" w:rsidRPr="00FF6DE0" w:rsidRDefault="2A3D1E3E" w:rsidP="00B078F3">
      <w:pPr>
        <w:rPr>
          <w:noProof/>
        </w:rPr>
      </w:pPr>
      <w:r w:rsidRPr="00FF6DE0">
        <w:rPr>
          <w:noProof/>
        </w:rPr>
        <w:t>La 23 aprilie 2007, Consiliul a autorizat Comisia să negocieze un acord de liber schimb cu statele membre ale ASEAN, din care Indonezia face parte. Această autorizare prevedea posibilitatea unor negocieri bilaterale cu membrii ASEAN.</w:t>
      </w:r>
    </w:p>
    <w:p w:rsidR="618A3DC3" w:rsidRPr="00FF6DE0" w:rsidRDefault="3A83626C" w:rsidP="00B078F3">
      <w:pPr>
        <w:rPr>
          <w:noProof/>
        </w:rPr>
      </w:pPr>
      <w:r w:rsidRPr="00FF6DE0">
        <w:rPr>
          <w:noProof/>
        </w:rPr>
        <w:t>La 15 octombrie 2013, pe baza unei noi competențe a UE cuprinse în Tratatul de la Lisabona, Consiliul a autorizat Comisia să extindă negocierile bilaterale în curs de desfășurare cu țările ASEAN în scopul de a include și protecția investițiilor.</w:t>
      </w:r>
    </w:p>
    <w:p w:rsidR="08C96592" w:rsidRPr="00FF6DE0" w:rsidRDefault="524E35BC" w:rsidP="00B078F3">
      <w:pPr>
        <w:rPr>
          <w:noProof/>
        </w:rPr>
      </w:pPr>
      <w:r w:rsidRPr="00FF6DE0">
        <w:rPr>
          <w:noProof/>
        </w:rPr>
        <w:t>La 13 iulie 2016, Consiliul a autorizat Comisia să negocieze un acord de parteneriat economic cuprinzător cu Indonezia (denumit în continuare „CEPA”).</w:t>
      </w:r>
    </w:p>
    <w:p w:rsidR="08C96592" w:rsidRPr="00FF6DE0" w:rsidRDefault="37341B93" w:rsidP="0130D5B7">
      <w:pPr>
        <w:rPr>
          <w:rFonts w:eastAsia="Times New Roman"/>
          <w:noProof/>
        </w:rPr>
      </w:pPr>
      <w:r w:rsidRPr="00FF6DE0">
        <w:rPr>
          <w:noProof/>
        </w:rPr>
        <w:t>Negocierile privind CEPA au fost lansate oficial la 19 iulie 2016 de ministrul indonezian al comerțului, Thomas Lembong, și de ambasadorul UE în Indonezia, Vincent Guérend. Negocierile au inclus protecția investițiilor. Cu toate acestea, în urma Avizului 2/15 al Curții de Justiție din 16 mai 2017, s-a decis că partea referitoare la protecția investițiilor va constitui baza unui acord de sine stătător (Acordul privind protecția investițiilor, denumit în continuare „IPA”). Comisia a informat Comitetul pentru politică comercială cu privire la decizia sa de a împărți CEPA și IPA în 2021, după reluarea negocierilor în urma pandemiei de COVID-19.</w:t>
      </w:r>
    </w:p>
    <w:p w:rsidR="08C96592" w:rsidRPr="00FF6DE0" w:rsidRDefault="2A3D1E3E" w:rsidP="00B078F3">
      <w:pPr>
        <w:rPr>
          <w:noProof/>
        </w:rPr>
      </w:pPr>
      <w:r w:rsidRPr="00FF6DE0">
        <w:rPr>
          <w:noProof/>
        </w:rPr>
        <w:t xml:space="preserve">Negocierile pentru un CEPA și un IPA între Uniunea Europeană și Indonezia s-au încheiat cu succes la 23 septembrie 2025, în vederea creării de noi oportunități și a asigurării unei securități juridice pentru comerț și investiții între cei doi parteneri. </w:t>
      </w:r>
    </w:p>
    <w:p w:rsidR="00BB3091" w:rsidRPr="00FF6DE0" w:rsidRDefault="00BB3091" w:rsidP="3057B8D0">
      <w:pPr>
        <w:pBdr>
          <w:top w:val="nil"/>
          <w:left w:val="nil"/>
          <w:bottom w:val="nil"/>
          <w:right w:val="nil"/>
          <w:between w:val="nil"/>
          <w:bar w:val="nil"/>
        </w:pBdr>
        <w:spacing w:before="0" w:after="240"/>
        <w:rPr>
          <w:rFonts w:eastAsia="Arial Unicode MS"/>
          <w:noProof/>
        </w:rPr>
      </w:pPr>
      <w:r w:rsidRPr="00FF6DE0">
        <w:rPr>
          <w:noProof/>
        </w:rPr>
        <w:t xml:space="preserve">Textele revizuite din punct de vedere juridic ale IPA au fost făcute publice și pot fi consultate la următoarea adresă de internet: </w:t>
      </w:r>
    </w:p>
    <w:p w:rsidR="00D56EAA" w:rsidRPr="00FF6DE0" w:rsidRDefault="00B10461" w:rsidP="00D56EAA">
      <w:pPr>
        <w:pBdr>
          <w:top w:val="nil"/>
          <w:left w:val="nil"/>
          <w:bottom w:val="nil"/>
          <w:right w:val="nil"/>
          <w:between w:val="nil"/>
          <w:bar w:val="nil"/>
        </w:pBdr>
        <w:spacing w:before="0" w:after="240"/>
        <w:rPr>
          <w:rFonts w:eastAsia="Arial Unicode MS"/>
          <w:noProof/>
        </w:rPr>
      </w:pPr>
      <w:hyperlink r:id="rId14" w:history="1">
        <w:r w:rsidR="00D56EAA" w:rsidRPr="00FF6DE0">
          <w:rPr>
            <w:rStyle w:val="Hyperlink"/>
            <w:noProof/>
          </w:rPr>
          <w:t>Textul acordurilor - Comerț și securitate economică - Comisia Europeană</w:t>
        </w:r>
      </w:hyperlink>
    </w:p>
    <w:p w:rsidR="00BB3091" w:rsidRPr="00FF6DE0" w:rsidRDefault="147A79F6" w:rsidP="00BB3091">
      <w:pPr>
        <w:pBdr>
          <w:top w:val="nil"/>
          <w:left w:val="nil"/>
          <w:bottom w:val="nil"/>
          <w:right w:val="nil"/>
          <w:between w:val="nil"/>
          <w:bar w:val="nil"/>
        </w:pBdr>
        <w:spacing w:before="0" w:after="240"/>
        <w:rPr>
          <w:rFonts w:eastAsia="Arial Unicode MS"/>
          <w:noProof/>
        </w:rPr>
      </w:pPr>
      <w:r w:rsidRPr="00FF6DE0">
        <w:rPr>
          <w:noProof/>
        </w:rPr>
        <w:t xml:space="preserve">Comisia înaintează următoarele propuneri de decizii ale Consiliului: </w:t>
      </w:r>
    </w:p>
    <w:p w:rsidR="52D4B50C" w:rsidRPr="00FF6DE0" w:rsidRDefault="52D4B50C" w:rsidP="002C33B5">
      <w:pPr>
        <w:pStyle w:val="Tiret1"/>
        <w:numPr>
          <w:ilvl w:val="0"/>
          <w:numId w:val="6"/>
        </w:numPr>
        <w:rPr>
          <w:noProof/>
        </w:rPr>
      </w:pPr>
      <w:r w:rsidRPr="00FF6DE0">
        <w:rPr>
          <w:noProof/>
        </w:rPr>
        <w:t xml:space="preserve">propunere de decizie a Consiliului privind semnarea Acordului de parteneriat economic cuprinzător dintre Uniunea Europeană și Indonezia; </w:t>
      </w:r>
    </w:p>
    <w:p w:rsidR="231A0D0F" w:rsidRPr="00FF6DE0" w:rsidRDefault="231A0D0F" w:rsidP="00876C4F">
      <w:pPr>
        <w:pStyle w:val="Tiret1"/>
        <w:rPr>
          <w:noProof/>
        </w:rPr>
      </w:pPr>
      <w:r w:rsidRPr="00FF6DE0">
        <w:rPr>
          <w:noProof/>
        </w:rPr>
        <w:t xml:space="preserve">propunere de decizie a Consiliului privind încheierea Acordului de parteneriat economic cuprinzător dintre Uniunea Europeană și Indonezia; </w:t>
      </w:r>
    </w:p>
    <w:p w:rsidR="00BB3091" w:rsidRPr="00FF6DE0" w:rsidRDefault="755FAA92" w:rsidP="00876C4F">
      <w:pPr>
        <w:pStyle w:val="Tiret1"/>
        <w:rPr>
          <w:noProof/>
        </w:rPr>
      </w:pPr>
      <w:r w:rsidRPr="00FF6DE0">
        <w:rPr>
          <w:noProof/>
        </w:rPr>
        <w:t xml:space="preserve">propunere de decizie a Consiliului privind semnarea Acordului privind protecția investițiilor dintre Uniunea Europeană și Indonezia; </w:t>
      </w:r>
    </w:p>
    <w:p w:rsidR="00BB3091" w:rsidRPr="00FF6DE0" w:rsidRDefault="00BB3091" w:rsidP="00876C4F">
      <w:pPr>
        <w:pStyle w:val="Tiret1"/>
        <w:rPr>
          <w:noProof/>
        </w:rPr>
      </w:pPr>
      <w:r w:rsidRPr="00FF6DE0">
        <w:rPr>
          <w:noProof/>
        </w:rPr>
        <w:lastRenderedPageBreak/>
        <w:t xml:space="preserve">propunere de decizie a Consiliului privind încheierea Acordului privind protecția investițiilor dintre Uniunea Europeană și Indonezia. </w:t>
      </w:r>
    </w:p>
    <w:p w:rsidR="00BB3091" w:rsidRPr="00FF6DE0" w:rsidRDefault="00BB3091" w:rsidP="3057B8D0">
      <w:pPr>
        <w:pBdr>
          <w:top w:val="nil"/>
          <w:left w:val="nil"/>
          <w:bottom w:val="nil"/>
          <w:right w:val="nil"/>
          <w:between w:val="nil"/>
          <w:bar w:val="nil"/>
        </w:pBdr>
        <w:spacing w:before="0" w:after="240"/>
        <w:rPr>
          <w:rFonts w:eastAsia="Arial Unicode MS"/>
          <w:noProof/>
        </w:rPr>
      </w:pPr>
      <w:r w:rsidRPr="00FF6DE0">
        <w:rPr>
          <w:noProof/>
        </w:rPr>
        <w:t xml:space="preserve">Propunerea de decizie a Consiliului anexată constituie instrumentul juridic care autorizează semnarea IPA dintre Uniunea Europeană și Indonezia. </w:t>
      </w:r>
    </w:p>
    <w:p w:rsidR="00BB3091" w:rsidRPr="00FF6DE0" w:rsidRDefault="00BB3091" w:rsidP="00EF2AB0">
      <w:pPr>
        <w:pStyle w:val="ManualHeading2"/>
        <w:rPr>
          <w:noProof/>
        </w:rPr>
      </w:pPr>
      <w:r w:rsidRPr="00FF6DE0">
        <w:rPr>
          <w:noProof/>
        </w:rPr>
        <w:t>•</w:t>
      </w:r>
      <w:r w:rsidRPr="00FF6DE0">
        <w:rPr>
          <w:noProof/>
        </w:rPr>
        <w:tab/>
        <w:t xml:space="preserve">Coerența cu dispozițiile de politică deja existente în domeniul de politică vizat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 xml:space="preserve">Înainte de încheierea negocierilor pentru IPA, UE și Indonezia au negociat un acord de parteneriat și cooperare (APC), care a fost semnat la Jakarta la 9 noiembrie 2009 și a intrat în vigoare la 1 mai 2014. Acordul oferă baza pentru cooperarea într-o gamă largă de domenii de politică, inclusiv drepturile omului și comerțul, precum și pentru desfășurarea unui dialog politic periodic și a unei cooperări sectoriale.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Odată cu intrarea în vigoare a IPA, acesta va coexista cu APC ca acord specific și ca parte integrantă a relațiilor bilaterale globale dintre UE și Indonezia. Cele două acorduri nu conțin dispoziții contradictorii.</w:t>
      </w:r>
    </w:p>
    <w:p w:rsidR="00BB3091" w:rsidRPr="00FF6DE0" w:rsidRDefault="00BB3091" w:rsidP="00EF2AB0">
      <w:pPr>
        <w:pStyle w:val="ManualHeading2"/>
        <w:rPr>
          <w:noProof/>
        </w:rPr>
      </w:pPr>
      <w:r w:rsidRPr="00FF6DE0">
        <w:rPr>
          <w:noProof/>
        </w:rPr>
        <w:t>•</w:t>
      </w:r>
      <w:r w:rsidRPr="00FF6DE0">
        <w:rPr>
          <w:noProof/>
        </w:rPr>
        <w:tab/>
        <w:t xml:space="preserve">Coerența cu alte politici ale Uniunii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 xml:space="preserve">IPA este pe deplin coerent cu politicile Uniunii și nu va fi necesar ca UE să își modifice normele, reglementările sau standardele în niciun domeniu reglementat. În plus, IPA garantează pe deplin dreptul UE și al Indoneziei de a reglementa pe teritoriile lor pentru a atinge obiective de politică legitime, cum ar fi protecția moralității publice, protecția socială sau a consumatorilor, protecția vieții private și a datelor, dezvoltarea durabilă sau promovarea și protecția diversității culturale. </w:t>
      </w:r>
    </w:p>
    <w:p w:rsidR="00BB3091" w:rsidRPr="00FF6DE0" w:rsidRDefault="00BB3091" w:rsidP="00EF2AB0">
      <w:pPr>
        <w:pStyle w:val="ManualHeading1"/>
        <w:rPr>
          <w:noProof/>
        </w:rPr>
      </w:pPr>
      <w:r w:rsidRPr="00FF6DE0">
        <w:rPr>
          <w:noProof/>
        </w:rPr>
        <w:t>2.</w:t>
      </w:r>
      <w:r w:rsidRPr="00FF6DE0">
        <w:rPr>
          <w:noProof/>
        </w:rPr>
        <w:tab/>
        <w:t xml:space="preserve">TEMEIUL JURIDIC, SUBSIDIARITATEA ȘI PROPORȚIONALITATEA </w:t>
      </w:r>
    </w:p>
    <w:p w:rsidR="00BB3091" w:rsidRPr="00FF6DE0" w:rsidRDefault="36D5CA12" w:rsidP="00EF2AB0">
      <w:pPr>
        <w:pStyle w:val="ManualHeading2"/>
        <w:rPr>
          <w:noProof/>
        </w:rPr>
      </w:pPr>
      <w:r w:rsidRPr="00FF6DE0">
        <w:rPr>
          <w:noProof/>
        </w:rPr>
        <w:t>•</w:t>
      </w:r>
      <w:r w:rsidRPr="00FF6DE0">
        <w:rPr>
          <w:noProof/>
        </w:rPr>
        <w:tab/>
        <w:t xml:space="preserve">Temeiul juridic material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Articolul 207 din Tratatul privind funcționarea Uniunii Europene (TFUE) prevede negocierea și încheierea de acorduri comerciale în cadrul politicii comerciale comune a Uniunii, care acoperă investițiile străine directe.</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 xml:space="preserve">Având în vedere că principalul obiectiv al IPA este de a crea un climat mai bun pentru dezvoltarea investițiilor străine directe între UE și Indonezia și de a stabili dispozițiile necesare pentru protejarea acestor investiții, temeiul juridic material este articolul 207 din TFUE. </w:t>
      </w:r>
    </w:p>
    <w:p w:rsidR="00BB3091" w:rsidRPr="00FF6DE0" w:rsidRDefault="755FAA92" w:rsidP="0130D5B7">
      <w:pPr>
        <w:pBdr>
          <w:top w:val="nil"/>
          <w:left w:val="nil"/>
          <w:bottom w:val="nil"/>
          <w:right w:val="nil"/>
          <w:between w:val="nil"/>
          <w:bar w:val="nil"/>
        </w:pBdr>
        <w:spacing w:before="0" w:after="240"/>
        <w:rPr>
          <w:rFonts w:eastAsia="Arial Unicode MS"/>
          <w:noProof/>
        </w:rPr>
      </w:pPr>
      <w:r w:rsidRPr="00FF6DE0">
        <w:rPr>
          <w:noProof/>
        </w:rPr>
        <w:t>Având în vedere obiectul acordului avut în vedere, este oportună prezentarea de către Comisie a unei propuneri adresate Consiliului. </w:t>
      </w:r>
    </w:p>
    <w:p w:rsidR="00BB3091" w:rsidRPr="00FF6DE0" w:rsidRDefault="00EF2AB0" w:rsidP="00EF2AB0">
      <w:pPr>
        <w:pStyle w:val="ManualHeading2"/>
        <w:rPr>
          <w:noProof/>
        </w:rPr>
      </w:pPr>
      <w:r w:rsidRPr="00FF6DE0">
        <w:rPr>
          <w:noProof/>
        </w:rPr>
        <w:t>•</w:t>
      </w:r>
      <w:r w:rsidRPr="00FF6DE0">
        <w:rPr>
          <w:noProof/>
        </w:rPr>
        <w:tab/>
        <w:t xml:space="preserve">Temeiul juridic procedural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Articolul 218 alineatul (5) din TFUE prevede că, în cazul în care acordul preconizat nu se referă exclusiv sau în principal la politica externă și de securitate comună, Comisia prezintă o propunere Consiliului. Consiliul adoptă o decizie de autorizare a semnării acordului.</w:t>
      </w:r>
    </w:p>
    <w:p w:rsidR="00BB3091" w:rsidRPr="00FF6DE0" w:rsidRDefault="755FAA92" w:rsidP="0130D5B7">
      <w:pPr>
        <w:pBdr>
          <w:top w:val="nil"/>
          <w:left w:val="nil"/>
          <w:bottom w:val="nil"/>
          <w:right w:val="nil"/>
          <w:between w:val="nil"/>
          <w:bar w:val="nil"/>
        </w:pBdr>
        <w:spacing w:before="0" w:after="240"/>
        <w:rPr>
          <w:rFonts w:eastAsia="Arial Unicode MS"/>
          <w:noProof/>
        </w:rPr>
      </w:pPr>
      <w:r w:rsidRPr="00FF6DE0">
        <w:rPr>
          <w:noProof/>
        </w:rPr>
        <w:t>Comisia propune autorizarea semnării IPA dintre Uniunea Europeană și Indonezia, sub rezerva încheierii sale la o dată ulterioară.</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Temeiul juridic procedural al deciziei propuse de autorizare a semnării acordului avut în vedere este articolul 218 alineatul (5) din TFUE.</w:t>
      </w:r>
    </w:p>
    <w:p w:rsidR="00BB3091" w:rsidRPr="00FF6DE0" w:rsidRDefault="00EF2AB0" w:rsidP="00EF2AB0">
      <w:pPr>
        <w:pStyle w:val="ManualHeading2"/>
        <w:rPr>
          <w:noProof/>
        </w:rPr>
      </w:pPr>
      <w:r w:rsidRPr="00FF6DE0">
        <w:rPr>
          <w:noProof/>
        </w:rPr>
        <w:lastRenderedPageBreak/>
        <w:t>•</w:t>
      </w:r>
      <w:r w:rsidRPr="00FF6DE0">
        <w:rPr>
          <w:noProof/>
        </w:rPr>
        <w:tab/>
        <w:t xml:space="preserve">Competența Uniunii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 xml:space="preserve">În conformitate cu Avizul 2/15 privind ALS UE-Singapore al Curții de Justiție din 16 mai 2017, toate domeniile acoperite de IPA ar intra în sfera de competență exclusivă a UE și, în special, în domeniul de aplicare al articolului 207 din TFUE. Curtea a confirmat competența exclusivă a UE în cadrul politicii comerciale comune în temeiul articolului 207 alineatul (1) din TFUE și al articolului 3 alineatul (2) din TFUE.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Ca urmare a acestui fapt, IPA trebuie să fie semnat de Uniune în temeiul unei decizii a Consiliului pe baza articolului 218 alineatul (5) din TFUE și să fie încheiat de Uniune în temeiul unei decizii a Consiliului pe baza articolului 218 alineatul (6) din TFUE, după aprobarea Parlamentului European.</w:t>
      </w:r>
    </w:p>
    <w:p w:rsidR="00BB3091" w:rsidRPr="00FF6DE0" w:rsidRDefault="00BB3091" w:rsidP="00EF2AB0">
      <w:pPr>
        <w:pStyle w:val="ManualHeading2"/>
        <w:rPr>
          <w:noProof/>
        </w:rPr>
      </w:pPr>
      <w:r w:rsidRPr="00FF6DE0">
        <w:rPr>
          <w:noProof/>
        </w:rPr>
        <w:t>•</w:t>
      </w:r>
      <w:r w:rsidRPr="00FF6DE0">
        <w:rPr>
          <w:noProof/>
        </w:rPr>
        <w:tab/>
        <w:t>Subsidiaritatea (în cazul competențelor neexclusive)</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 xml:space="preserve">IPA, astfel cum a fost prezentat Consiliului, nu vizează niciun fel de chestiuni care nu sunt de competența exclusivă a UE. </w:t>
      </w:r>
    </w:p>
    <w:p w:rsidR="00BB3091" w:rsidRPr="00FF6DE0" w:rsidRDefault="00BB3091" w:rsidP="00EF2AB0">
      <w:pPr>
        <w:pStyle w:val="ManualHeading2"/>
        <w:rPr>
          <w:noProof/>
        </w:rPr>
      </w:pPr>
      <w:r w:rsidRPr="00FF6DE0">
        <w:rPr>
          <w:noProof/>
        </w:rPr>
        <w:t>•</w:t>
      </w:r>
      <w:r w:rsidRPr="00FF6DE0">
        <w:rPr>
          <w:noProof/>
        </w:rPr>
        <w:tab/>
        <w:t xml:space="preserve">Proporționalitatea </w:t>
      </w:r>
    </w:p>
    <w:p w:rsidR="00BB3091" w:rsidRPr="00FF6DE0" w:rsidRDefault="43B115FF" w:rsidP="4790380F">
      <w:pPr>
        <w:pBdr>
          <w:top w:val="nil"/>
          <w:left w:val="nil"/>
          <w:bottom w:val="nil"/>
          <w:right w:val="nil"/>
          <w:between w:val="nil"/>
          <w:bar w:val="nil"/>
        </w:pBdr>
        <w:spacing w:before="0" w:after="240"/>
        <w:rPr>
          <w:rFonts w:eastAsia="Arial Unicode MS"/>
          <w:noProof/>
        </w:rPr>
      </w:pPr>
      <w:r w:rsidRPr="00FF6DE0">
        <w:rPr>
          <w:noProof/>
        </w:rPr>
        <w:t xml:space="preserve">Acordurile de protecție a investițiilor constituie mijloacele adecvate pentru a crea un climat mai bun pentru dezvoltarea investițiilor străine directe și pentru a stabili dispozițiile necesare pentru protejarea acestor investiții între UE și o țară terță. Nu există nicio altă soluție pentru ca astfel de eforturi de protecție să devină obligatorii din punct de vedere juridic.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Inițiativa urmărește în mod direct obiectivul Uniunii din domeniul acțiunii externe și contribuie la prioritatea politică „O UE mai puternică pe plan internațional”. Inițiativa este conformă cu orientările Strategiei globale a UE referitoare la colaborarea cu alte părți și la reînnoirea parteneriatelor externe într-un mod responsabil, astfel încât să se atingă prioritățile externe ale UE. Ea contribuie la obiectivele comerciale și de dezvoltare ale UE.</w:t>
      </w:r>
    </w:p>
    <w:p w:rsidR="00BB3091" w:rsidRPr="00FF6DE0" w:rsidRDefault="00BB3091" w:rsidP="00EF2AB0">
      <w:pPr>
        <w:pStyle w:val="ManualHeading2"/>
        <w:rPr>
          <w:noProof/>
        </w:rPr>
      </w:pPr>
      <w:r w:rsidRPr="00FF6DE0">
        <w:rPr>
          <w:noProof/>
        </w:rPr>
        <w:t>•</w:t>
      </w:r>
      <w:r w:rsidRPr="00FF6DE0">
        <w:rPr>
          <w:noProof/>
        </w:rPr>
        <w:tab/>
        <w:t xml:space="preserve">Alegerea instrumentului </w:t>
      </w:r>
    </w:p>
    <w:p w:rsidR="00BB3091" w:rsidRPr="00FF6DE0" w:rsidRDefault="755FAA92" w:rsidP="0130D5B7">
      <w:pPr>
        <w:pBdr>
          <w:top w:val="nil"/>
          <w:left w:val="nil"/>
          <w:bottom w:val="nil"/>
          <w:right w:val="nil"/>
          <w:between w:val="nil"/>
          <w:bar w:val="nil"/>
        </w:pBdr>
        <w:spacing w:before="0" w:after="240"/>
        <w:rPr>
          <w:rFonts w:eastAsia="Arial Unicode MS"/>
          <w:noProof/>
        </w:rPr>
      </w:pPr>
      <w:r w:rsidRPr="00FF6DE0">
        <w:rPr>
          <w:noProof/>
        </w:rPr>
        <w:t xml:space="preserve">Prezenta propunere este conformă cu articolul 218 alineatul (5) din TFUE, care prevede adoptarea de către Consiliu a deciziilor privind semnarea acordurilor internaționale. Nu există un alt instrument juridic care ar putea fi folosit în scopul realizării obiectivului exprimat în prezenta propunere. </w:t>
      </w:r>
    </w:p>
    <w:p w:rsidR="00BB3091" w:rsidRPr="00FF6DE0" w:rsidRDefault="00BB3091" w:rsidP="00EF2AB0">
      <w:pPr>
        <w:pStyle w:val="ManualHeading1"/>
        <w:rPr>
          <w:noProof/>
        </w:rPr>
      </w:pPr>
      <w:r w:rsidRPr="00FF6DE0">
        <w:rPr>
          <w:noProof/>
        </w:rPr>
        <w:t>3.</w:t>
      </w:r>
      <w:r w:rsidRPr="00FF6DE0">
        <w:rPr>
          <w:noProof/>
        </w:rPr>
        <w:tab/>
        <w:t xml:space="preserve">REZULTATELE EVALUĂRILOR </w:t>
      </w:r>
      <w:r w:rsidRPr="00FF6DE0">
        <w:rPr>
          <w:i/>
          <w:iCs/>
          <w:noProof/>
        </w:rPr>
        <w:t>EX POST</w:t>
      </w:r>
      <w:r w:rsidRPr="00FF6DE0">
        <w:rPr>
          <w:noProof/>
        </w:rPr>
        <w:t xml:space="preserve">, ALE CONSULTĂRILOR CU PĂRȚILE INTERESATE ȘI ALE EVALUĂRILOR IMPACTULUI </w:t>
      </w:r>
    </w:p>
    <w:p w:rsidR="00BB3091" w:rsidRPr="00FF6DE0" w:rsidRDefault="00BB3091" w:rsidP="00EF2AB0">
      <w:pPr>
        <w:pStyle w:val="ManualHeading2"/>
        <w:rPr>
          <w:noProof/>
        </w:rPr>
      </w:pPr>
      <w:r w:rsidRPr="00FF6DE0">
        <w:rPr>
          <w:noProof/>
        </w:rPr>
        <w:t>•</w:t>
      </w:r>
      <w:r w:rsidRPr="00FF6DE0">
        <w:rPr>
          <w:noProof/>
        </w:rPr>
        <w:tab/>
        <w:t xml:space="preserve">Consultarea cu părțile interesate </w:t>
      </w:r>
    </w:p>
    <w:p w:rsidR="00BB3091" w:rsidRPr="00FF6DE0" w:rsidRDefault="36D5CA12" w:rsidP="4790380F">
      <w:pPr>
        <w:pBdr>
          <w:top w:val="nil"/>
          <w:left w:val="nil"/>
          <w:bottom w:val="nil"/>
          <w:right w:val="nil"/>
          <w:between w:val="nil"/>
          <w:bar w:val="nil"/>
        </w:pBdr>
        <w:spacing w:before="0" w:after="240"/>
        <w:rPr>
          <w:rFonts w:eastAsia="Times New Roman"/>
          <w:noProof/>
        </w:rPr>
      </w:pPr>
      <w:r w:rsidRPr="00FF6DE0">
        <w:rPr>
          <w:noProof/>
        </w:rPr>
        <w:t>Înainte și în timpul negocierilor, statele membre ale UE au fost informate și consultate în mod regulat, pe cale orală și în scris, cu privire la diferitele aspecte ale negocierii prin intermediul Comitetului pentru politică comercială al Consiliului, inclusiv în cadrul subgrupului său privind serviciile și investițiile. De asemenea, Parlamentul European a fost informat și consultat periodic, prin intermediul Comisiei sale pentru comerț internațional („INTA”). Textele care au rezultat progresiv în urma negocierilor au fost transmise ambelor instituții pe parcursul procesului.</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 xml:space="preserve">În paralel cu negocierile, Comisia a comandat o </w:t>
      </w:r>
      <w:hyperlink r:id="rId15">
        <w:r w:rsidRPr="00FF6DE0">
          <w:rPr>
            <w:rStyle w:val="Hyperlink"/>
            <w:noProof/>
          </w:rPr>
          <w:t>evaluare a impactului asupra dezvoltării durabile</w:t>
        </w:r>
      </w:hyperlink>
      <w:r w:rsidRPr="00FF6DE0">
        <w:rPr>
          <w:noProof/>
        </w:rPr>
        <w:t xml:space="preserve"> a CEPA dintre UE și Indonezia.</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lastRenderedPageBreak/>
        <w:t>Evaluarea impactului asupra dezvoltării durabile, care a fost finalizată în septembrie 2019 pentru a sprijini negocierile privind un acord de liber schimb și de protecție a investițiilor, a examinat modul în care dispozițiile privind comerțul și investițiile ale CEPA în curs de negociere ar putea afecta aspectele economice, sociale, legate de drepturile omului și de mediu în UE și în Indonezia. Ea s-a bazat pe analiza prezentată în evaluarea impactului asupra dezvoltării durabile efectuată în 2009 în sprijinul negocierilor interregionale pentru un acord comercial UE-ASEAN, oferind informații mai actualizate și punând un accent clar pe caracteristicile specifice și impactul potențial al negocierilor bilaterale numai cu Indonezia.</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În ansamblu, evaluarea impactului asupra dezvoltării durabile a concluzionat că se preconiza că acordul va avea un impact pozitiv asupra ambelor părți și a societăților acestora, asupra tuturor indicatorilor-cheie economici (PIB, bunăstare, comerț mondial și comerț bilateral), amploarea lor comparativă fiind mai mare în Indonezia decât în UE din cauza diferențelor în ceea ce privește dimensiunile relative ale celor două economii.</w:t>
      </w:r>
    </w:p>
    <w:p w:rsidR="00BB3091" w:rsidRPr="00FF6DE0" w:rsidRDefault="00BB3091" w:rsidP="00BB3091">
      <w:pPr>
        <w:pBdr>
          <w:top w:val="nil"/>
          <w:left w:val="nil"/>
          <w:bottom w:val="nil"/>
          <w:right w:val="nil"/>
          <w:between w:val="nil"/>
          <w:bar w:val="nil"/>
        </w:pBdr>
        <w:spacing w:before="0" w:after="240"/>
        <w:rPr>
          <w:rFonts w:eastAsia="Arial Unicode MS"/>
          <w:noProof/>
        </w:rPr>
      </w:pPr>
      <w:r w:rsidRPr="00FF6DE0">
        <w:rPr>
          <w:noProof/>
        </w:rPr>
        <w:t xml:space="preserve">În contextul evaluării impactului asupra dezvoltării durabile și pe parcursul negocierilor, Comisia a oferit organizațiilor societății civile posibilitatea de a-și face auzită vocea, de a adresa întrebări și de a contribui la o dezbatere societală solidă, bazată pe dovezi și transparentă, inclusiv prin dialoguri specifice cu societatea civilă, un atelier cu părțile interesate locale din Indonezia, reuniuni bilaterale, interviuri și sondaje online. </w:t>
      </w:r>
    </w:p>
    <w:p w:rsidR="00BB3091" w:rsidRPr="00FF6DE0" w:rsidRDefault="00BB3091" w:rsidP="00BB3091">
      <w:pPr>
        <w:pBdr>
          <w:top w:val="nil"/>
          <w:left w:val="nil"/>
          <w:bottom w:val="nil"/>
          <w:right w:val="nil"/>
          <w:between w:val="nil"/>
          <w:bar w:val="nil"/>
        </w:pBdr>
        <w:spacing w:before="0" w:after="240"/>
        <w:rPr>
          <w:rFonts w:eastAsia="Arial Unicode MS"/>
          <w:noProof/>
        </w:rPr>
      </w:pPr>
      <w:r w:rsidRPr="00FF6DE0">
        <w:rPr>
          <w:noProof/>
        </w:rPr>
        <w:t>În plus, în cursul negocierilor și în conformitate cu politica de transparență, Comisia a publicat pe site-ul său web rapoarte actualizate periodic privind rundele de negocieri, propunerile de text, comunicatele de presă, fișele informative și materialele de informare generală.</w:t>
      </w:r>
    </w:p>
    <w:p w:rsidR="00BB3091" w:rsidRPr="00FF6DE0" w:rsidRDefault="00BB3091" w:rsidP="00EF2AB0">
      <w:pPr>
        <w:pStyle w:val="ManualHeading2"/>
        <w:rPr>
          <w:noProof/>
        </w:rPr>
      </w:pPr>
      <w:r w:rsidRPr="00FF6DE0">
        <w:rPr>
          <w:noProof/>
        </w:rPr>
        <w:t>•</w:t>
      </w:r>
      <w:r w:rsidRPr="00FF6DE0">
        <w:rPr>
          <w:noProof/>
        </w:rPr>
        <w:tab/>
        <w:t xml:space="preserve">Obținerea și utilizarea expertizei </w:t>
      </w:r>
    </w:p>
    <w:p w:rsidR="00BB3091" w:rsidRPr="00FF6DE0" w:rsidRDefault="00BB3091" w:rsidP="00BB3091">
      <w:pPr>
        <w:pBdr>
          <w:top w:val="nil"/>
          <w:left w:val="nil"/>
          <w:bottom w:val="nil"/>
          <w:right w:val="nil"/>
          <w:between w:val="nil"/>
          <w:bar w:val="nil"/>
        </w:pBdr>
        <w:spacing w:before="0" w:after="240"/>
        <w:rPr>
          <w:rFonts w:eastAsia="Arial Unicode MS"/>
          <w:noProof/>
        </w:rPr>
      </w:pPr>
      <w:r w:rsidRPr="00FF6DE0">
        <w:rPr>
          <w:noProof/>
        </w:rPr>
        <w:t xml:space="preserve">Evaluarea impactului asupra dezvoltării durabile a CEPA, comandată de Direcția Generală Comerț a Comisiei, a fost efectuată de un consorțiu de societăți independente de consultanță condus de Development Solutions. </w:t>
      </w:r>
    </w:p>
    <w:p w:rsidR="00BB3091" w:rsidRPr="00FF6DE0" w:rsidRDefault="00BB3091" w:rsidP="00EF2AB0">
      <w:pPr>
        <w:pStyle w:val="ManualHeading2"/>
        <w:rPr>
          <w:noProof/>
        </w:rPr>
      </w:pPr>
      <w:r w:rsidRPr="00FF6DE0">
        <w:rPr>
          <w:noProof/>
        </w:rPr>
        <w:t>•</w:t>
      </w:r>
      <w:r w:rsidRPr="00FF6DE0">
        <w:rPr>
          <w:noProof/>
        </w:rPr>
        <w:tab/>
        <w:t xml:space="preserve">Evaluarea impactului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 xml:space="preserve">Negocierile referitoare la acordurile bilaterale de liber schimb dintre UE și țările din Asia de Sud-Est au făcut obiectul evaluării impactului efectuate la momentul propunerii Comisiei privind un mandat de negociere pentru un acord de liber schimb UE-ASEAN. </w:t>
      </w:r>
    </w:p>
    <w:p w:rsidR="00BB3091" w:rsidRPr="00FF6DE0" w:rsidRDefault="00BB3091" w:rsidP="00EF2AB0">
      <w:pPr>
        <w:pStyle w:val="ManualHeading2"/>
        <w:rPr>
          <w:noProof/>
        </w:rPr>
      </w:pPr>
      <w:r w:rsidRPr="00FF6DE0">
        <w:rPr>
          <w:noProof/>
        </w:rPr>
        <w:t>•</w:t>
      </w:r>
      <w:r w:rsidRPr="00FF6DE0">
        <w:rPr>
          <w:noProof/>
        </w:rPr>
        <w:tab/>
        <w:t xml:space="preserve">Adecvarea reglementărilor și simplificarea </w:t>
      </w:r>
    </w:p>
    <w:p w:rsidR="00BB3091" w:rsidRPr="00FF6DE0" w:rsidRDefault="36D5CA12" w:rsidP="4790380F">
      <w:pPr>
        <w:pBdr>
          <w:top w:val="nil"/>
          <w:left w:val="nil"/>
          <w:bottom w:val="nil"/>
          <w:right w:val="nil"/>
          <w:between w:val="nil"/>
          <w:bar w:val="nil"/>
        </w:pBdr>
        <w:spacing w:before="0" w:after="240"/>
        <w:rPr>
          <w:rFonts w:eastAsia="Arial Unicode MS"/>
          <w:noProof/>
        </w:rPr>
      </w:pPr>
      <w:r w:rsidRPr="00FF6DE0">
        <w:rPr>
          <w:noProof/>
        </w:rPr>
        <w:t>IPA nu face obiectul procedurilor REFIT.</w:t>
      </w:r>
    </w:p>
    <w:p w:rsidR="00BB3091" w:rsidRPr="00FF6DE0" w:rsidRDefault="00BB3091" w:rsidP="00EF2AB0">
      <w:pPr>
        <w:pStyle w:val="ManualHeading2"/>
        <w:rPr>
          <w:noProof/>
        </w:rPr>
      </w:pPr>
      <w:r w:rsidRPr="00FF6DE0">
        <w:rPr>
          <w:noProof/>
        </w:rPr>
        <w:t>•</w:t>
      </w:r>
      <w:r w:rsidRPr="00FF6DE0">
        <w:rPr>
          <w:noProof/>
        </w:rPr>
        <w:tab/>
        <w:t xml:space="preserve">Drepturile fundamentale </w:t>
      </w:r>
    </w:p>
    <w:p w:rsidR="00BB3091" w:rsidRPr="00FF6DE0" w:rsidRDefault="00BB3091" w:rsidP="00BB3091">
      <w:pPr>
        <w:pBdr>
          <w:top w:val="nil"/>
          <w:left w:val="nil"/>
          <w:bottom w:val="nil"/>
          <w:right w:val="nil"/>
          <w:between w:val="nil"/>
          <w:bar w:val="nil"/>
        </w:pBdr>
        <w:spacing w:before="0" w:after="240"/>
        <w:rPr>
          <w:rFonts w:eastAsia="Arial Unicode MS"/>
          <w:noProof/>
        </w:rPr>
      </w:pPr>
      <w:r w:rsidRPr="00FF6DE0">
        <w:rPr>
          <w:noProof/>
        </w:rPr>
        <w:t xml:space="preserve">Propunerea nu aduce atingere protecției drepturilor fundamentale în Uniune. </w:t>
      </w:r>
    </w:p>
    <w:p w:rsidR="00BB3091" w:rsidRPr="00FF6DE0" w:rsidRDefault="00BB3091" w:rsidP="00EF2AB0">
      <w:pPr>
        <w:pStyle w:val="ManualHeading1"/>
        <w:rPr>
          <w:noProof/>
        </w:rPr>
      </w:pPr>
      <w:r w:rsidRPr="00FF6DE0">
        <w:rPr>
          <w:noProof/>
        </w:rPr>
        <w:t>4.</w:t>
      </w:r>
      <w:r w:rsidRPr="00FF6DE0">
        <w:rPr>
          <w:noProof/>
        </w:rPr>
        <w:tab/>
        <w:t xml:space="preserve">IMPLICAȚII BUGETARE </w:t>
      </w:r>
    </w:p>
    <w:p w:rsidR="00BB3091" w:rsidRPr="00FF6DE0" w:rsidRDefault="00BB3091" w:rsidP="3057B8D0">
      <w:pPr>
        <w:pBdr>
          <w:top w:val="nil"/>
          <w:left w:val="nil"/>
          <w:bottom w:val="nil"/>
          <w:right w:val="nil"/>
          <w:between w:val="nil"/>
          <w:bar w:val="nil"/>
        </w:pBdr>
        <w:spacing w:before="0" w:after="240"/>
        <w:rPr>
          <w:rFonts w:eastAsia="Arial Unicode MS"/>
          <w:noProof/>
        </w:rPr>
      </w:pPr>
      <w:r w:rsidRPr="00FF6DE0">
        <w:rPr>
          <w:noProof/>
        </w:rPr>
        <w:t>IPA nu va avea niciun impact financiar asupra bugetului UE.</w:t>
      </w:r>
    </w:p>
    <w:p w:rsidR="00BB3091" w:rsidRPr="00FF6DE0" w:rsidRDefault="00BB3091" w:rsidP="00EF2AB0">
      <w:pPr>
        <w:pStyle w:val="ManualHeading1"/>
        <w:rPr>
          <w:noProof/>
        </w:rPr>
      </w:pPr>
      <w:r w:rsidRPr="00FF6DE0">
        <w:rPr>
          <w:noProof/>
        </w:rPr>
        <w:lastRenderedPageBreak/>
        <w:t>5.</w:t>
      </w:r>
      <w:r w:rsidRPr="00FF6DE0">
        <w:rPr>
          <w:noProof/>
        </w:rPr>
        <w:tab/>
        <w:t xml:space="preserve">ALTE ELEMENTE </w:t>
      </w:r>
    </w:p>
    <w:p w:rsidR="00BB3091" w:rsidRPr="00FF6DE0" w:rsidRDefault="00BB3091" w:rsidP="00EF2AB0">
      <w:pPr>
        <w:pStyle w:val="ManualHeading2"/>
        <w:rPr>
          <w:noProof/>
        </w:rPr>
      </w:pPr>
      <w:r w:rsidRPr="00FF6DE0">
        <w:rPr>
          <w:noProof/>
        </w:rPr>
        <w:t>•</w:t>
      </w:r>
      <w:r w:rsidRPr="00FF6DE0">
        <w:rPr>
          <w:noProof/>
        </w:rPr>
        <w:tab/>
        <w:t xml:space="preserve">Planurile de punere în aplicare și măsurile de monitorizare, evaluare și raportare </w:t>
      </w:r>
    </w:p>
    <w:p w:rsidR="00BB3091" w:rsidRPr="00FF6DE0" w:rsidRDefault="00BB3091" w:rsidP="3057B8D0">
      <w:pPr>
        <w:pBdr>
          <w:top w:val="nil"/>
          <w:left w:val="nil"/>
          <w:bottom w:val="nil"/>
          <w:right w:val="nil"/>
          <w:between w:val="nil"/>
          <w:bar w:val="nil"/>
        </w:pBdr>
        <w:spacing w:before="0" w:after="240"/>
        <w:rPr>
          <w:rFonts w:eastAsia="Arial Unicode MS"/>
          <w:noProof/>
        </w:rPr>
      </w:pPr>
      <w:r w:rsidRPr="00FF6DE0">
        <w:rPr>
          <w:noProof/>
        </w:rPr>
        <w:t>IPA prevede dispoziții instituționale care stabilesc structura organismelor de punere în aplicare responsabile cu monitorizarea continuă a punerii în aplicare, a funcționării și a impactului IPA.</w:t>
      </w:r>
    </w:p>
    <w:p w:rsidR="00BB3091" w:rsidRPr="00FF6DE0" w:rsidRDefault="00BB3091" w:rsidP="3057B8D0">
      <w:pPr>
        <w:pBdr>
          <w:top w:val="nil"/>
          <w:left w:val="nil"/>
          <w:bottom w:val="nil"/>
          <w:right w:val="nil"/>
          <w:between w:val="nil"/>
          <w:bar w:val="nil"/>
        </w:pBdr>
        <w:spacing w:before="0" w:after="240"/>
        <w:rPr>
          <w:rFonts w:eastAsia="Arial Unicode MS"/>
          <w:noProof/>
        </w:rPr>
      </w:pPr>
      <w:r w:rsidRPr="00FF6DE0">
        <w:rPr>
          <w:noProof/>
        </w:rPr>
        <w:t xml:space="preserve">Capitolul din IPA referitor la instituții instituie un comitet a cărui sarcină principală este să monitorizeze și să faciliteze punerea în aplicare și executarea IPA. </w:t>
      </w:r>
    </w:p>
    <w:p w:rsidR="00BB3091" w:rsidRPr="00FF6DE0" w:rsidRDefault="147A79F6" w:rsidP="0130D5B7">
      <w:pPr>
        <w:pBdr>
          <w:top w:val="nil"/>
          <w:left w:val="nil"/>
          <w:bottom w:val="nil"/>
          <w:right w:val="nil"/>
          <w:between w:val="nil"/>
          <w:bar w:val="nil"/>
        </w:pBdr>
        <w:spacing w:before="0" w:after="240"/>
        <w:rPr>
          <w:rFonts w:eastAsia="Arial Unicode MS"/>
          <w:noProof/>
        </w:rPr>
      </w:pPr>
      <w:r w:rsidRPr="00FF6DE0">
        <w:rPr>
          <w:noProof/>
        </w:rPr>
        <w:t>Comitetul va desfășura un schimb de opinii pe teme legate de punerea în aplicare a acordului cu reprezentanții societății civile care participă la un dialog cu societatea civilă.</w:t>
      </w:r>
    </w:p>
    <w:p w:rsidR="00BB3091" w:rsidRPr="00FF6DE0" w:rsidRDefault="147A79F6" w:rsidP="0130D5B7">
      <w:pPr>
        <w:pBdr>
          <w:top w:val="nil"/>
          <w:left w:val="nil"/>
          <w:bottom w:val="nil"/>
          <w:right w:val="nil"/>
          <w:between w:val="nil"/>
          <w:bar w:val="nil"/>
        </w:pBdr>
        <w:spacing w:before="0" w:after="240"/>
        <w:rPr>
          <w:rFonts w:eastAsia="Arial Unicode MS"/>
          <w:noProof/>
        </w:rPr>
      </w:pPr>
      <w:r w:rsidRPr="00FF6DE0">
        <w:rPr>
          <w:noProof/>
        </w:rPr>
        <w:t xml:space="preserve">IPA instituie, de asemenea, grupuri consultative interne care asigură o reprezentare echilibrată a organizațiilor independente ale societății civile, pe baza unei abordări multipartite care include grupuri de interese relevante în domeniul economic, social și al mediului. Grupurile consultative interne pot prezenta opinii și recomandări cu privire la funcționarea și punerea în aplicare a IPA și se reunesc cel puțin o dată pe an. </w:t>
      </w:r>
    </w:p>
    <w:p w:rsidR="00BB3091" w:rsidRPr="00FF6DE0" w:rsidRDefault="00BB3091" w:rsidP="00EF2AB0">
      <w:pPr>
        <w:pStyle w:val="ManualHeading2"/>
        <w:rPr>
          <w:noProof/>
        </w:rPr>
      </w:pPr>
      <w:r w:rsidRPr="00FF6DE0">
        <w:rPr>
          <w:noProof/>
        </w:rPr>
        <w:t>•</w:t>
      </w:r>
      <w:r w:rsidRPr="00FF6DE0">
        <w:rPr>
          <w:noProof/>
        </w:rPr>
        <w:tab/>
        <w:t xml:space="preserve">Documente explicative (în cazul directivelor) </w:t>
      </w:r>
    </w:p>
    <w:p w:rsidR="00BB3091" w:rsidRPr="00FF6DE0" w:rsidRDefault="00BB3091" w:rsidP="00BB3091">
      <w:pPr>
        <w:pBdr>
          <w:top w:val="nil"/>
          <w:left w:val="nil"/>
          <w:bottom w:val="nil"/>
          <w:right w:val="nil"/>
          <w:between w:val="nil"/>
          <w:bar w:val="nil"/>
        </w:pBdr>
        <w:spacing w:before="0" w:after="240"/>
        <w:rPr>
          <w:rFonts w:eastAsia="Arial Unicode MS"/>
          <w:noProof/>
        </w:rPr>
      </w:pPr>
      <w:r w:rsidRPr="00FF6DE0">
        <w:rPr>
          <w:noProof/>
        </w:rPr>
        <w:t xml:space="preserve">Nu se aplică. </w:t>
      </w:r>
    </w:p>
    <w:p w:rsidR="00BB3091" w:rsidRPr="00FF6DE0" w:rsidRDefault="00BB3091" w:rsidP="00EF2AB0">
      <w:pPr>
        <w:pStyle w:val="ManualHeading2"/>
        <w:rPr>
          <w:noProof/>
        </w:rPr>
      </w:pPr>
      <w:r w:rsidRPr="00FF6DE0">
        <w:rPr>
          <w:noProof/>
        </w:rPr>
        <w:t>•</w:t>
      </w:r>
      <w:r w:rsidRPr="00FF6DE0">
        <w:rPr>
          <w:noProof/>
        </w:rPr>
        <w:tab/>
        <w:t xml:space="preserve">Explicarea detaliată a dispozițiilor specifice ale propunerii </w:t>
      </w:r>
    </w:p>
    <w:p w:rsidR="1EA7CFA0" w:rsidRPr="00FF6DE0" w:rsidRDefault="7D92D58A" w:rsidP="00EF2AB0">
      <w:pPr>
        <w:rPr>
          <w:noProof/>
        </w:rPr>
      </w:pPr>
      <w:r w:rsidRPr="00FF6DE0">
        <w:rPr>
          <w:noProof/>
        </w:rPr>
        <w:t>Dispozițiile IPA stabilesc cadrul juridic pentru protecția investitorilor și a investițiilor acestora pe teritoriile respective ale UE și ale Indoneziei. IPA asigură un echilibru adecvat între protecția investitorilor și a investițiilor acestora, pe de o parte, și dreptul guvernelor de a reglementa în interes public, pe de altă parte.</w:t>
      </w:r>
    </w:p>
    <w:p w:rsidR="1EA7CFA0" w:rsidRPr="00FF6DE0" w:rsidRDefault="1EA7CFA0" w:rsidP="00EF2AB0">
      <w:pPr>
        <w:rPr>
          <w:noProof/>
          <w:szCs w:val="24"/>
        </w:rPr>
      </w:pPr>
      <w:r w:rsidRPr="00FF6DE0">
        <w:rPr>
          <w:noProof/>
        </w:rPr>
        <w:t>Obligațiile de fond cuprinse în secțiunea privind protecția investițiilor reflectă îndeaproape abordarea reformată a UE, astfel cum a fost încorporată în toate acordurile UE încheiate până în prezent. În special, dispozițiile relevante reafirmă dreptul părților de a reglementa și de a confirma faptul că respectivul cadru de reglementare aplicabil investițiilor poate evolua, inclusiv în moduri care pot afecta în mod negativ anumite investiții.</w:t>
      </w:r>
    </w:p>
    <w:p w:rsidR="1EA7CFA0" w:rsidRPr="00FF6DE0" w:rsidRDefault="1EA7CFA0" w:rsidP="00EF2AB0">
      <w:pPr>
        <w:rPr>
          <w:noProof/>
        </w:rPr>
      </w:pPr>
      <w:r w:rsidRPr="00FF6DE0">
        <w:rPr>
          <w:noProof/>
        </w:rPr>
        <w:t>Dispozițiile privind protecția investițiilor se bazează pe standarde clare și precise care oferă garanții fundamentale investitorilor străini atunci când decid să investească în UE sau, respectiv, în Indonezia. Pe lângă obligațiile de nediscriminare, aceste garanții includ protecția împotriva exproprierii fără compensație, angajamente privind tratamentul corect și echitabil și securitatea fizică, compensarea pierderilor cauzate de război sau de alte conflicte armate, precum și transferul liber de fonduri. Este important de remarcat faptul că dispozițiile definesc cu precizie circumstanțele în care se poate constata că o parte a încălcat standardul privind tratamentul corect și echitabil, limitând astfel în mod semnificativ marja de interpretare discreționară în caz de litigii.</w:t>
      </w:r>
    </w:p>
    <w:p w:rsidR="1EA7CFA0" w:rsidRPr="00FF6DE0" w:rsidRDefault="1EA7CFA0" w:rsidP="00EF2AB0">
      <w:pPr>
        <w:rPr>
          <w:noProof/>
        </w:rPr>
      </w:pPr>
      <w:r w:rsidRPr="00FF6DE0">
        <w:rPr>
          <w:noProof/>
        </w:rPr>
        <w:t>Aceste standarde de protecție fac, de asemenea, obiectul unor excepții specifice menite să mențină o marjă de manevră suplimentară atunci când este necesar, inclusiv prin excepții prudențiale, excepții în materie de securitate și excepții generale.</w:t>
      </w:r>
    </w:p>
    <w:p w:rsidR="1EA7CFA0" w:rsidRPr="00FF6DE0" w:rsidRDefault="1EA7CFA0" w:rsidP="00EF2AB0">
      <w:pPr>
        <w:rPr>
          <w:noProof/>
        </w:rPr>
      </w:pPr>
      <w:r w:rsidRPr="00FF6DE0">
        <w:rPr>
          <w:noProof/>
        </w:rPr>
        <w:t xml:space="preserve">IPA este sprijinit, de asemenea, de un mecanism solid de soluționare a litigiilor, care constă în a) medierea între investitori și stat și în b) soluționarea litigiilor între state. Mecanismul de soluționare a litigiilor între state garantează respectarea drepturilor și a obligațiilor prevăzute în acord. UE și Indonezia se angajează, de asemenea, să reînceapă negocierile cu privire la </w:t>
      </w:r>
      <w:r w:rsidRPr="00FF6DE0">
        <w:rPr>
          <w:noProof/>
        </w:rPr>
        <w:lastRenderedPageBreak/>
        <w:t>soluționarea litigiilor în materie de investiții dintre o parte și un investitor al celeilalte părți, precum și cu privire la orientări interpretative privind măsurile fiscale și exproprierea, cel târziu la data intrării în vigoare a IPA. În acest sens, cele două părți convin să țină seama de progresele înregistrate în cadrul forurilor internaționale relevante în ceea ce privește reforma soluționării litigiilor în materie de investiții.</w:t>
      </w:r>
    </w:p>
    <w:p w:rsidR="00BB3091" w:rsidRPr="00FF6DE0" w:rsidRDefault="00BB3091" w:rsidP="00EF2AB0">
      <w:pPr>
        <w:pStyle w:val="ManualHeading2"/>
        <w:rPr>
          <w:noProof/>
        </w:rPr>
      </w:pPr>
      <w:r w:rsidRPr="00FF6DE0">
        <w:rPr>
          <w:noProof/>
        </w:rPr>
        <w:t>•</w:t>
      </w:r>
      <w:r w:rsidRPr="00FF6DE0">
        <w:rPr>
          <w:noProof/>
        </w:rPr>
        <w:tab/>
        <w:t xml:space="preserve">Semnarea și textul acordului  </w:t>
      </w:r>
    </w:p>
    <w:p w:rsidR="00BB3091" w:rsidRPr="00FF6DE0" w:rsidRDefault="00BB3091" w:rsidP="00BB3091">
      <w:pPr>
        <w:pBdr>
          <w:top w:val="nil"/>
          <w:left w:val="nil"/>
          <w:bottom w:val="nil"/>
          <w:right w:val="nil"/>
          <w:between w:val="nil"/>
          <w:bar w:val="nil"/>
        </w:pBdr>
        <w:spacing w:before="0" w:after="240"/>
        <w:rPr>
          <w:rFonts w:eastAsia="Arial Unicode MS"/>
          <w:noProof/>
        </w:rPr>
      </w:pPr>
      <w:r w:rsidRPr="00FF6DE0">
        <w:rPr>
          <w:noProof/>
        </w:rPr>
        <w:t>Textul IPA este transmis Consiliului împreună cu prezenta propunere. </w:t>
      </w:r>
    </w:p>
    <w:p w:rsidR="00BB3091" w:rsidRPr="00FF6DE0" w:rsidRDefault="00BB3091" w:rsidP="00BB3091">
      <w:pPr>
        <w:pBdr>
          <w:top w:val="nil"/>
          <w:left w:val="nil"/>
          <w:bottom w:val="nil"/>
          <w:right w:val="nil"/>
          <w:between w:val="nil"/>
          <w:bar w:val="nil"/>
        </w:pBdr>
        <w:spacing w:before="0" w:after="240"/>
        <w:rPr>
          <w:rFonts w:eastAsia="Arial Unicode MS"/>
          <w:noProof/>
        </w:rPr>
      </w:pPr>
      <w:r w:rsidRPr="00FF6DE0">
        <w:rPr>
          <w:noProof/>
        </w:rPr>
        <w:t>În conformitate cu tratatele, Comisiei îi revine sarcina de a asigura semnarea IPA, sub rezerva încheierii sale la o dată ulterioară.</w:t>
      </w:r>
    </w:p>
    <w:p w:rsidR="00EB2CCC" w:rsidRPr="00FF6DE0" w:rsidRDefault="00EB2CCC" w:rsidP="00EB2CCC">
      <w:pPr>
        <w:pBdr>
          <w:top w:val="nil"/>
          <w:left w:val="nil"/>
          <w:bottom w:val="nil"/>
          <w:right w:val="nil"/>
          <w:between w:val="nil"/>
          <w:bar w:val="nil"/>
        </w:pBdr>
        <w:spacing w:before="0" w:after="240"/>
        <w:rPr>
          <w:rFonts w:eastAsia="Arial Unicode MS"/>
          <w:noProof/>
        </w:rPr>
        <w:sectPr w:rsidR="00EB2CCC" w:rsidRPr="00FF6DE0" w:rsidSect="00673584">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08"/>
          <w:docGrid w:linePitch="360"/>
        </w:sectPr>
      </w:pPr>
    </w:p>
    <w:p w:rsidR="000A1E08" w:rsidRDefault="00B10461">
      <w:pPr>
        <w:pStyle w:val="Rfrenceinterinstitutionnelle"/>
        <w:rPr>
          <w:noProof/>
        </w:rPr>
      </w:pPr>
      <w:r>
        <w:rPr>
          <w:noProof/>
        </w:rPr>
        <w:lastRenderedPageBreak/>
        <w:t>2026/0184 (NLE)</w:t>
      </w:r>
    </w:p>
    <w:p w:rsidR="00896269" w:rsidRPr="00FF6DE0" w:rsidRDefault="00D045B1" w:rsidP="00D045B1">
      <w:pPr>
        <w:pStyle w:val="Statut"/>
        <w:rPr>
          <w:noProof/>
        </w:rPr>
      </w:pPr>
      <w:r w:rsidRPr="00FF6DE0">
        <w:rPr>
          <w:noProof/>
        </w:rPr>
        <w:t>Propunere de</w:t>
      </w:r>
    </w:p>
    <w:p w:rsidR="00896269" w:rsidRPr="00FF6DE0" w:rsidRDefault="00D045B1" w:rsidP="00D045B1">
      <w:pPr>
        <w:pStyle w:val="Typedudocument"/>
        <w:rPr>
          <w:noProof/>
        </w:rPr>
      </w:pPr>
      <w:r w:rsidRPr="00FF6DE0">
        <w:rPr>
          <w:noProof/>
        </w:rPr>
        <w:t>DECIZIE A CONSILIULUI</w:t>
      </w:r>
    </w:p>
    <w:p w:rsidR="00896269" w:rsidRPr="00FF6DE0" w:rsidRDefault="00D045B1" w:rsidP="00D045B1">
      <w:pPr>
        <w:pStyle w:val="Titreobjet"/>
        <w:rPr>
          <w:noProof/>
        </w:rPr>
      </w:pPr>
      <w:r w:rsidRPr="00FF6DE0">
        <w:rPr>
          <w:noProof/>
        </w:rPr>
        <w:t>privind semnarea Acordului privind protecția investițiilor dintre Uniunea Europeană și Indonezia</w:t>
      </w:r>
    </w:p>
    <w:p w:rsidR="00896269" w:rsidRPr="00FF6DE0" w:rsidRDefault="00896269" w:rsidP="0088406D">
      <w:pPr>
        <w:pStyle w:val="Institutionquiagit"/>
        <w:rPr>
          <w:noProof/>
        </w:rPr>
      </w:pPr>
      <w:r w:rsidRPr="00FF6DE0">
        <w:rPr>
          <w:noProof/>
        </w:rPr>
        <w:t>CONSILIUL UNIUNII EUROPENE,</w:t>
      </w:r>
    </w:p>
    <w:p w:rsidR="00896269" w:rsidRPr="00FF6DE0" w:rsidRDefault="00896269" w:rsidP="0088406D">
      <w:pPr>
        <w:rPr>
          <w:noProof/>
        </w:rPr>
      </w:pPr>
      <w:r w:rsidRPr="00FF6DE0">
        <w:rPr>
          <w:noProof/>
        </w:rPr>
        <w:t>având în vedere Tratatul privind funcționarea Uniunii Europene, în special articolul 207 alineatul (4) primul paragraf coroborat cu articolul 218 alineatul (5),</w:t>
      </w:r>
    </w:p>
    <w:p w:rsidR="00896269" w:rsidRPr="00FF6DE0" w:rsidRDefault="00896269" w:rsidP="0088406D">
      <w:pPr>
        <w:rPr>
          <w:noProof/>
        </w:rPr>
      </w:pPr>
      <w:r w:rsidRPr="00FF6DE0">
        <w:rPr>
          <w:noProof/>
        </w:rPr>
        <w:t>având în vedere propunerea Comisiei Europene,</w:t>
      </w:r>
    </w:p>
    <w:p w:rsidR="00896269" w:rsidRPr="00FF6DE0" w:rsidRDefault="00896269" w:rsidP="0088406D">
      <w:pPr>
        <w:rPr>
          <w:noProof/>
        </w:rPr>
      </w:pPr>
      <w:r w:rsidRPr="00FF6DE0">
        <w:rPr>
          <w:noProof/>
        </w:rPr>
        <w:t>întrucât:</w:t>
      </w:r>
    </w:p>
    <w:p w:rsidR="004C1F76" w:rsidRPr="00FF6DE0" w:rsidRDefault="5A2D3B0A" w:rsidP="002C33B5">
      <w:pPr>
        <w:pStyle w:val="ManualConsidrant"/>
        <w:rPr>
          <w:noProof/>
        </w:rPr>
      </w:pPr>
      <w:r>
        <w:rPr>
          <w:noProof/>
        </w:rPr>
        <w:t>(1)</w:t>
      </w:r>
      <w:r>
        <w:rPr>
          <w:noProof/>
        </w:rPr>
        <w:tab/>
      </w:r>
      <w:r w:rsidRPr="00FF6DE0">
        <w:rPr>
          <w:noProof/>
        </w:rPr>
        <w:t>La 23 aprilie 2007, Consiliul a autorizat Comisia să negocieze un acord de liber schimb cu statele membre ale Asociației Națiunilor din Asia de Sud-Est (ASEAN), din care Indonezia face parte. Această autorizare prevedea posibilitatea unor negocieri bilaterale.</w:t>
      </w:r>
    </w:p>
    <w:p w:rsidR="00CB29A3" w:rsidRPr="00FF6DE0" w:rsidRDefault="003752A1" w:rsidP="0088406D">
      <w:pPr>
        <w:pStyle w:val="ManualConsidrant"/>
        <w:rPr>
          <w:noProof/>
        </w:rPr>
      </w:pPr>
      <w:r>
        <w:rPr>
          <w:noProof/>
        </w:rPr>
        <w:t>(2)</w:t>
      </w:r>
      <w:r>
        <w:rPr>
          <w:noProof/>
        </w:rPr>
        <w:tab/>
      </w:r>
      <w:r w:rsidRPr="00FF6DE0">
        <w:rPr>
          <w:noProof/>
          <w:color w:val="000000" w:themeColor="text1"/>
        </w:rPr>
        <w:t>În octombrie 2013, Consiliul a extins domeniul de aplicare al directivelor sale de negociere pentru a include dispoziții privind protecția investițiilor.</w:t>
      </w:r>
    </w:p>
    <w:p w:rsidR="00896269" w:rsidRPr="00FF6DE0" w:rsidRDefault="37EF6252" w:rsidP="4790380F">
      <w:pPr>
        <w:pStyle w:val="ManualConsidrant"/>
        <w:rPr>
          <w:noProof/>
        </w:rPr>
      </w:pPr>
      <w:r>
        <w:rPr>
          <w:noProof/>
        </w:rPr>
        <w:t>(3)</w:t>
      </w:r>
      <w:r>
        <w:rPr>
          <w:noProof/>
        </w:rPr>
        <w:tab/>
      </w:r>
      <w:r w:rsidRPr="00FF6DE0">
        <w:rPr>
          <w:noProof/>
        </w:rPr>
        <w:t xml:space="preserve">La 13 iulie 2016, Consiliul a autorizat Comisia să negocieze un acord de parteneriat economic cuprinzător cu Indonezia, care să includă protecția investițiilor. Având în vedere Avizul 2/15 al Curții de Justiție a Uniunii Europene din 16 mai 2017, s-a decis încheierea unui acord separat privind protecția investițiilor. </w:t>
      </w:r>
    </w:p>
    <w:p w:rsidR="00896269" w:rsidRPr="00FF6DE0" w:rsidRDefault="5F911D9E" w:rsidP="0088406D">
      <w:pPr>
        <w:pStyle w:val="ManualConsidrant"/>
        <w:rPr>
          <w:noProof/>
          <w:color w:val="000000" w:themeColor="text1"/>
        </w:rPr>
      </w:pPr>
      <w:r>
        <w:rPr>
          <w:noProof/>
        </w:rPr>
        <w:t>(4)</w:t>
      </w:r>
      <w:r>
        <w:rPr>
          <w:noProof/>
        </w:rPr>
        <w:tab/>
      </w:r>
      <w:r w:rsidRPr="00FF6DE0">
        <w:rPr>
          <w:noProof/>
        </w:rPr>
        <w:t>Negocierile referitoare la un acord privind protecția investițiilor (denumit în continuare „acordul”) între Uniunea Europeană și Indonezia s-au încheiat cu succes la 23 septembrie 2025, împreună cu negocierile referitoare la un acord de parteneriat economic cuprinzător.</w:t>
      </w:r>
    </w:p>
    <w:p w:rsidR="001C6FB6" w:rsidRPr="00FF6DE0" w:rsidRDefault="60AE38AF" w:rsidP="0088406D">
      <w:pPr>
        <w:pStyle w:val="ManualConsidrant"/>
        <w:rPr>
          <w:noProof/>
          <w:color w:val="000000" w:themeColor="text1"/>
        </w:rPr>
      </w:pPr>
      <w:r>
        <w:rPr>
          <w:noProof/>
        </w:rPr>
        <w:t>(5)</w:t>
      </w:r>
      <w:r>
        <w:rPr>
          <w:noProof/>
        </w:rPr>
        <w:tab/>
      </w:r>
      <w:r w:rsidRPr="00FF6DE0">
        <w:rPr>
          <w:noProof/>
          <w:color w:val="000000" w:themeColor="text1"/>
        </w:rPr>
        <w:t>Acordul trebuie să asigure promovarea politicii comerciale comune a Uniunii prin instituirea unui acord de protecție a investițiilor cu Indonezia.</w:t>
      </w:r>
    </w:p>
    <w:p w:rsidR="00090EA5" w:rsidRPr="00FF6DE0" w:rsidRDefault="37EF6252" w:rsidP="4790380F">
      <w:pPr>
        <w:pStyle w:val="ManualConsidrant"/>
        <w:rPr>
          <w:noProof/>
        </w:rPr>
      </w:pPr>
      <w:r>
        <w:rPr>
          <w:noProof/>
        </w:rPr>
        <w:t>(6)</w:t>
      </w:r>
      <w:r>
        <w:rPr>
          <w:noProof/>
        </w:rPr>
        <w:tab/>
      </w:r>
      <w:r w:rsidRPr="00FF6DE0">
        <w:rPr>
          <w:noProof/>
        </w:rPr>
        <w:t>Prin urmare, acordul trebuie să fie semnat,</w:t>
      </w:r>
    </w:p>
    <w:p w:rsidR="00896269" w:rsidRPr="00FF6DE0" w:rsidRDefault="00896269" w:rsidP="0088406D">
      <w:pPr>
        <w:pStyle w:val="Formuledadoption"/>
        <w:rPr>
          <w:noProof/>
          <w:color w:val="000000" w:themeColor="text1"/>
        </w:rPr>
      </w:pPr>
      <w:r w:rsidRPr="00FF6DE0">
        <w:rPr>
          <w:noProof/>
          <w:color w:val="000000" w:themeColor="text1"/>
        </w:rPr>
        <w:t xml:space="preserve">ADOPTĂ PREZENTA DECIZIE: </w:t>
      </w:r>
    </w:p>
    <w:p w:rsidR="00896269" w:rsidRPr="00FF6DE0" w:rsidRDefault="00896269" w:rsidP="0088406D">
      <w:pPr>
        <w:pStyle w:val="Titrearticle"/>
        <w:rPr>
          <w:noProof/>
          <w:color w:val="000000" w:themeColor="text1"/>
        </w:rPr>
      </w:pPr>
      <w:r w:rsidRPr="00FF6DE0">
        <w:rPr>
          <w:noProof/>
          <w:color w:val="000000" w:themeColor="text1"/>
        </w:rPr>
        <w:t>Articolul 1</w:t>
      </w:r>
    </w:p>
    <w:p w:rsidR="00896269" w:rsidRPr="00FF6DE0" w:rsidRDefault="00090EA5" w:rsidP="0088406D">
      <w:pPr>
        <w:rPr>
          <w:noProof/>
          <w:color w:val="000000" w:themeColor="text1"/>
        </w:rPr>
      </w:pPr>
      <w:r w:rsidRPr="00FF6DE0">
        <w:rPr>
          <w:noProof/>
        </w:rPr>
        <w:t>Se autorizează semnarea Acordului privind protecția investițiilor dintre Uniunea Europeană și Indonezia, sub rezerva încheierii acestuia.</w:t>
      </w:r>
    </w:p>
    <w:p w:rsidR="00896269" w:rsidRPr="00FF6DE0" w:rsidRDefault="00896269" w:rsidP="003D1E93">
      <w:pPr>
        <w:pStyle w:val="Titrearticle"/>
        <w:rPr>
          <w:noProof/>
        </w:rPr>
      </w:pPr>
      <w:r w:rsidRPr="00FF6DE0">
        <w:rPr>
          <w:noProof/>
        </w:rPr>
        <w:lastRenderedPageBreak/>
        <w:t xml:space="preserve">Articolul </w:t>
      </w:r>
      <w:bookmarkStart w:id="1" w:name="_Hlk126129799"/>
      <w:r w:rsidRPr="00FF6DE0">
        <w:rPr>
          <w:noProof/>
        </w:rPr>
        <w:t>2</w:t>
      </w:r>
      <w:bookmarkEnd w:id="1"/>
    </w:p>
    <w:p w:rsidR="00896269" w:rsidRPr="00FF6DE0" w:rsidRDefault="00896269" w:rsidP="003D1E93">
      <w:pPr>
        <w:keepNext/>
        <w:keepLines/>
        <w:rPr>
          <w:noProof/>
        </w:rPr>
      </w:pPr>
      <w:r w:rsidRPr="00FF6DE0">
        <w:rPr>
          <w:noProof/>
        </w:rPr>
        <w:t>Prezenta decizie intră în vigoare la data adoptării sale.</w:t>
      </w:r>
    </w:p>
    <w:p w:rsidR="00896269" w:rsidRPr="00FF6DE0" w:rsidRDefault="00D045B1" w:rsidP="003D1E93">
      <w:pPr>
        <w:pStyle w:val="Fait"/>
        <w:rPr>
          <w:noProof/>
        </w:rPr>
      </w:pPr>
      <w:r>
        <w:rPr>
          <w:noProof/>
        </w:rPr>
        <w:t>Adoptată la Bruxelles,</w:t>
      </w:r>
    </w:p>
    <w:p w:rsidR="00896269" w:rsidRPr="00FF6DE0" w:rsidRDefault="00896269" w:rsidP="003D1E93">
      <w:pPr>
        <w:pStyle w:val="Institutionquisigne"/>
        <w:rPr>
          <w:noProof/>
        </w:rPr>
      </w:pPr>
      <w:r w:rsidRPr="00FF6DE0">
        <w:rPr>
          <w:noProof/>
        </w:rPr>
        <w:tab/>
        <w:t>Pentru Consiliu</w:t>
      </w:r>
    </w:p>
    <w:p w:rsidR="00896269" w:rsidRPr="00FF6DE0" w:rsidRDefault="00896269" w:rsidP="00896269">
      <w:pPr>
        <w:pStyle w:val="Personnequisigne"/>
        <w:rPr>
          <w:noProof/>
        </w:rPr>
      </w:pPr>
      <w:r w:rsidRPr="00FF6DE0">
        <w:rPr>
          <w:noProof/>
        </w:rPr>
        <w:tab/>
        <w:t>Președintele</w:t>
      </w:r>
    </w:p>
    <w:sectPr w:rsidR="00896269" w:rsidRPr="00FF6DE0" w:rsidSect="0067358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8C6" w:rsidRPr="00FF6DE0" w:rsidRDefault="006C58C6" w:rsidP="00896269">
      <w:pPr>
        <w:spacing w:before="0" w:after="0"/>
      </w:pPr>
      <w:r w:rsidRPr="00FF6DE0">
        <w:separator/>
      </w:r>
    </w:p>
  </w:endnote>
  <w:endnote w:type="continuationSeparator" w:id="0">
    <w:p w:rsidR="006C58C6" w:rsidRPr="00FF6DE0" w:rsidRDefault="006C58C6" w:rsidP="00896269">
      <w:pPr>
        <w:spacing w:before="0" w:after="0"/>
      </w:pPr>
      <w:r w:rsidRPr="00FF6D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584" w:rsidRPr="00673584" w:rsidRDefault="00673584" w:rsidP="00673584">
    <w:pPr>
      <w:pStyle w:val="Footer"/>
      <w:rPr>
        <w:rFonts w:ascii="Arial" w:hAnsi="Arial" w:cs="Arial"/>
        <w:b/>
        <w:sz w:val="48"/>
      </w:rPr>
    </w:pPr>
    <w:r w:rsidRPr="00673584">
      <w:rPr>
        <w:rFonts w:ascii="Arial" w:hAnsi="Arial" w:cs="Arial"/>
        <w:b/>
        <w:sz w:val="48"/>
      </w:rPr>
      <w:t>RO</w:t>
    </w:r>
    <w:r w:rsidRPr="00673584">
      <w:rPr>
        <w:rFonts w:ascii="Arial" w:hAnsi="Arial" w:cs="Arial"/>
        <w:b/>
        <w:sz w:val="48"/>
      </w:rPr>
      <w:tab/>
    </w:r>
    <w:r w:rsidRPr="00673584">
      <w:rPr>
        <w:rFonts w:ascii="Arial" w:hAnsi="Arial" w:cs="Arial"/>
        <w:b/>
        <w:sz w:val="48"/>
      </w:rPr>
      <w:tab/>
    </w:r>
    <w:r w:rsidRPr="00673584">
      <w:tab/>
    </w:r>
    <w:r w:rsidRPr="0067358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584" w:rsidRPr="00673584" w:rsidRDefault="00673584" w:rsidP="00673584">
    <w:pPr>
      <w:pStyle w:val="Footer"/>
      <w:rPr>
        <w:rFonts w:ascii="Arial" w:hAnsi="Arial" w:cs="Arial"/>
        <w:b/>
        <w:sz w:val="48"/>
      </w:rPr>
    </w:pPr>
    <w:r w:rsidRPr="00673584">
      <w:rPr>
        <w:rFonts w:ascii="Arial" w:hAnsi="Arial" w:cs="Arial"/>
        <w:b/>
        <w:sz w:val="48"/>
      </w:rPr>
      <w:t>RO</w:t>
    </w:r>
    <w:r w:rsidRPr="00673584">
      <w:rPr>
        <w:rFonts w:ascii="Arial" w:hAnsi="Arial" w:cs="Arial"/>
        <w:b/>
        <w:sz w:val="48"/>
      </w:rPr>
      <w:tab/>
    </w:r>
    <w:r w:rsidRPr="00673584">
      <w:rPr>
        <w:rFonts w:ascii="Arial" w:hAnsi="Arial" w:cs="Arial"/>
        <w:b/>
        <w:sz w:val="48"/>
      </w:rPr>
      <w:tab/>
    </w:r>
    <w:r w:rsidRPr="00673584">
      <w:tab/>
    </w:r>
    <w:r w:rsidRPr="0067358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584" w:rsidRDefault="006735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584" w:rsidRPr="00673584" w:rsidRDefault="00673584" w:rsidP="00673584">
    <w:pPr>
      <w:pStyle w:val="Footer"/>
      <w:rPr>
        <w:rFonts w:ascii="Arial" w:hAnsi="Arial" w:cs="Arial"/>
        <w:b/>
        <w:sz w:val="48"/>
      </w:rPr>
    </w:pPr>
    <w:r w:rsidRPr="00673584">
      <w:rPr>
        <w:rFonts w:ascii="Arial" w:hAnsi="Arial" w:cs="Arial"/>
        <w:b/>
        <w:sz w:val="48"/>
      </w:rPr>
      <w:t>RO</w:t>
    </w:r>
    <w:r w:rsidRPr="00673584">
      <w:rPr>
        <w:rFonts w:ascii="Arial" w:hAnsi="Arial" w:cs="Arial"/>
        <w:b/>
        <w:sz w:val="48"/>
      </w:rPr>
      <w:tab/>
    </w:r>
    <w:r>
      <w:fldChar w:fldCharType="begin"/>
    </w:r>
    <w:r>
      <w:instrText xml:space="preserve"> PAGE  \* MERGEFORMAT </w:instrText>
    </w:r>
    <w:r>
      <w:fldChar w:fldCharType="separate"/>
    </w:r>
    <w:r w:rsidR="00B10461">
      <w:rPr>
        <w:noProof/>
      </w:rPr>
      <w:t>1</w:t>
    </w:r>
    <w:r>
      <w:fldChar w:fldCharType="end"/>
    </w:r>
    <w:r>
      <w:tab/>
    </w:r>
    <w:r w:rsidRPr="00673584">
      <w:tab/>
    </w:r>
    <w:r w:rsidRPr="0067358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584" w:rsidRDefault="00673584" w:rsidP="00673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8C6" w:rsidRPr="00FF6DE0" w:rsidRDefault="006C58C6" w:rsidP="00896269">
      <w:pPr>
        <w:spacing w:before="0" w:after="0"/>
      </w:pPr>
      <w:r w:rsidRPr="00FF6DE0">
        <w:separator/>
      </w:r>
    </w:p>
  </w:footnote>
  <w:footnote w:type="continuationSeparator" w:id="0">
    <w:p w:rsidR="006C58C6" w:rsidRPr="00FF6DE0" w:rsidRDefault="006C58C6" w:rsidP="00896269">
      <w:pPr>
        <w:spacing w:before="0" w:after="0"/>
      </w:pPr>
      <w:r w:rsidRPr="00FF6D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584" w:rsidRDefault="00673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584" w:rsidRDefault="00673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C9ECF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494C62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BF67A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F2F57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3:16: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D7AF01-D67C-455D-9F35-0422BC370BB9"/>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84"/>
    <w:docVar w:name="LW_REF.II.NEW.CP_YEAR" w:val="2026"/>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Acordului privind protec\u539?ia investi\u539?iilor dintre Uniunea European\u259? \u537?i Indonezia"/>
    <w:docVar w:name="LW_TYPE.DOC.CP" w:val="DECIZIE A CONSILIULUI"/>
    <w:docVar w:name="LwApiVersions" w:val="LW4CoDe 1.24.5.0; LW 9.2, Build 20251112"/>
  </w:docVars>
  <w:rsids>
    <w:rsidRoot w:val="00896269"/>
    <w:rsid w:val="0000118D"/>
    <w:rsid w:val="00003C9B"/>
    <w:rsid w:val="00022022"/>
    <w:rsid w:val="00022A13"/>
    <w:rsid w:val="00026D97"/>
    <w:rsid w:val="0003102C"/>
    <w:rsid w:val="000333EF"/>
    <w:rsid w:val="00033FCB"/>
    <w:rsid w:val="00036664"/>
    <w:rsid w:val="00044A91"/>
    <w:rsid w:val="00046E9D"/>
    <w:rsid w:val="000548D1"/>
    <w:rsid w:val="000621C0"/>
    <w:rsid w:val="00063CBC"/>
    <w:rsid w:val="0006748B"/>
    <w:rsid w:val="000747BE"/>
    <w:rsid w:val="0008458C"/>
    <w:rsid w:val="00090EA5"/>
    <w:rsid w:val="000913AA"/>
    <w:rsid w:val="000921FE"/>
    <w:rsid w:val="000A1E08"/>
    <w:rsid w:val="000A2D0D"/>
    <w:rsid w:val="000B30A5"/>
    <w:rsid w:val="000C6FF1"/>
    <w:rsid w:val="000D121A"/>
    <w:rsid w:val="000D28C0"/>
    <w:rsid w:val="000E051C"/>
    <w:rsid w:val="000E3316"/>
    <w:rsid w:val="000F2B76"/>
    <w:rsid w:val="000F77DE"/>
    <w:rsid w:val="001065F5"/>
    <w:rsid w:val="00107FA2"/>
    <w:rsid w:val="001238EF"/>
    <w:rsid w:val="00123CCE"/>
    <w:rsid w:val="00125F34"/>
    <w:rsid w:val="00131F73"/>
    <w:rsid w:val="001338FE"/>
    <w:rsid w:val="00134283"/>
    <w:rsid w:val="001360A9"/>
    <w:rsid w:val="001410CB"/>
    <w:rsid w:val="00145BD0"/>
    <w:rsid w:val="001503BC"/>
    <w:rsid w:val="00151C63"/>
    <w:rsid w:val="0015234A"/>
    <w:rsid w:val="0015728C"/>
    <w:rsid w:val="00157705"/>
    <w:rsid w:val="001604E3"/>
    <w:rsid w:val="001648F4"/>
    <w:rsid w:val="00170648"/>
    <w:rsid w:val="0017447B"/>
    <w:rsid w:val="001845AC"/>
    <w:rsid w:val="00185EA1"/>
    <w:rsid w:val="0019440E"/>
    <w:rsid w:val="00194C71"/>
    <w:rsid w:val="00194D31"/>
    <w:rsid w:val="00197613"/>
    <w:rsid w:val="001B7361"/>
    <w:rsid w:val="001C6FB6"/>
    <w:rsid w:val="001D04E6"/>
    <w:rsid w:val="001D7511"/>
    <w:rsid w:val="001E5E4B"/>
    <w:rsid w:val="001F6B89"/>
    <w:rsid w:val="00203055"/>
    <w:rsid w:val="00207950"/>
    <w:rsid w:val="002250F0"/>
    <w:rsid w:val="002257BF"/>
    <w:rsid w:val="00231B8D"/>
    <w:rsid w:val="00232789"/>
    <w:rsid w:val="00233DC7"/>
    <w:rsid w:val="00234313"/>
    <w:rsid w:val="0023645A"/>
    <w:rsid w:val="00241F29"/>
    <w:rsid w:val="00242105"/>
    <w:rsid w:val="002424F8"/>
    <w:rsid w:val="002459F6"/>
    <w:rsid w:val="00247498"/>
    <w:rsid w:val="00247779"/>
    <w:rsid w:val="00251B52"/>
    <w:rsid w:val="00252210"/>
    <w:rsid w:val="00254A53"/>
    <w:rsid w:val="00261E6E"/>
    <w:rsid w:val="0027538F"/>
    <w:rsid w:val="00285BEE"/>
    <w:rsid w:val="00290EFE"/>
    <w:rsid w:val="0029533F"/>
    <w:rsid w:val="002A48B1"/>
    <w:rsid w:val="002B1248"/>
    <w:rsid w:val="002B30AF"/>
    <w:rsid w:val="002B463B"/>
    <w:rsid w:val="002C0247"/>
    <w:rsid w:val="002C0315"/>
    <w:rsid w:val="002C300C"/>
    <w:rsid w:val="002C33B5"/>
    <w:rsid w:val="002C5F27"/>
    <w:rsid w:val="002C63EE"/>
    <w:rsid w:val="002F0E76"/>
    <w:rsid w:val="002F4F74"/>
    <w:rsid w:val="002F5075"/>
    <w:rsid w:val="002F6B47"/>
    <w:rsid w:val="00300B46"/>
    <w:rsid w:val="00306962"/>
    <w:rsid w:val="003105B4"/>
    <w:rsid w:val="003106AF"/>
    <w:rsid w:val="003120B0"/>
    <w:rsid w:val="00312412"/>
    <w:rsid w:val="00314C4E"/>
    <w:rsid w:val="003202D5"/>
    <w:rsid w:val="0033344A"/>
    <w:rsid w:val="00343E78"/>
    <w:rsid w:val="0034542F"/>
    <w:rsid w:val="0035792E"/>
    <w:rsid w:val="003638D7"/>
    <w:rsid w:val="00367133"/>
    <w:rsid w:val="00367D6C"/>
    <w:rsid w:val="00371F0B"/>
    <w:rsid w:val="003752A1"/>
    <w:rsid w:val="00385ADB"/>
    <w:rsid w:val="00385F29"/>
    <w:rsid w:val="003902D1"/>
    <w:rsid w:val="00397F66"/>
    <w:rsid w:val="003A35FA"/>
    <w:rsid w:val="003A57E6"/>
    <w:rsid w:val="003A79ED"/>
    <w:rsid w:val="003D03AA"/>
    <w:rsid w:val="003D1E93"/>
    <w:rsid w:val="003E1FA4"/>
    <w:rsid w:val="003E4E7D"/>
    <w:rsid w:val="003F15E6"/>
    <w:rsid w:val="003F51A0"/>
    <w:rsid w:val="003F5EF9"/>
    <w:rsid w:val="00400943"/>
    <w:rsid w:val="00403EE8"/>
    <w:rsid w:val="00423F1A"/>
    <w:rsid w:val="00424C44"/>
    <w:rsid w:val="0042648E"/>
    <w:rsid w:val="00431C56"/>
    <w:rsid w:val="0043764A"/>
    <w:rsid w:val="00452812"/>
    <w:rsid w:val="00457CD3"/>
    <w:rsid w:val="004775BD"/>
    <w:rsid w:val="004839D9"/>
    <w:rsid w:val="004861D7"/>
    <w:rsid w:val="00489594"/>
    <w:rsid w:val="00491A62"/>
    <w:rsid w:val="00492AC3"/>
    <w:rsid w:val="004936D2"/>
    <w:rsid w:val="004B6B22"/>
    <w:rsid w:val="004C1F76"/>
    <w:rsid w:val="004D1754"/>
    <w:rsid w:val="004E6A98"/>
    <w:rsid w:val="004F18A5"/>
    <w:rsid w:val="004F2B7E"/>
    <w:rsid w:val="004F2EE5"/>
    <w:rsid w:val="004F6F95"/>
    <w:rsid w:val="00503983"/>
    <w:rsid w:val="0050677C"/>
    <w:rsid w:val="005116A1"/>
    <w:rsid w:val="00512B02"/>
    <w:rsid w:val="00516364"/>
    <w:rsid w:val="00521297"/>
    <w:rsid w:val="0053232F"/>
    <w:rsid w:val="005374C1"/>
    <w:rsid w:val="00544928"/>
    <w:rsid w:val="005543DF"/>
    <w:rsid w:val="00560E01"/>
    <w:rsid w:val="0056268F"/>
    <w:rsid w:val="0056581E"/>
    <w:rsid w:val="00575D1B"/>
    <w:rsid w:val="00582CB9"/>
    <w:rsid w:val="00584121"/>
    <w:rsid w:val="00585D87"/>
    <w:rsid w:val="005903C2"/>
    <w:rsid w:val="005A59A3"/>
    <w:rsid w:val="005B1EB6"/>
    <w:rsid w:val="005C458D"/>
    <w:rsid w:val="005D0563"/>
    <w:rsid w:val="005D1F90"/>
    <w:rsid w:val="005D48B8"/>
    <w:rsid w:val="005D4995"/>
    <w:rsid w:val="005D61CA"/>
    <w:rsid w:val="005E0F6F"/>
    <w:rsid w:val="005F2D74"/>
    <w:rsid w:val="005F53FF"/>
    <w:rsid w:val="005F5DCB"/>
    <w:rsid w:val="005F7955"/>
    <w:rsid w:val="00600F67"/>
    <w:rsid w:val="0060119C"/>
    <w:rsid w:val="00604017"/>
    <w:rsid w:val="00634FEC"/>
    <w:rsid w:val="00652A5A"/>
    <w:rsid w:val="00656F9A"/>
    <w:rsid w:val="00657417"/>
    <w:rsid w:val="006731F8"/>
    <w:rsid w:val="00673584"/>
    <w:rsid w:val="00673C8C"/>
    <w:rsid w:val="00686A24"/>
    <w:rsid w:val="00687CAE"/>
    <w:rsid w:val="00690933"/>
    <w:rsid w:val="006A0A8B"/>
    <w:rsid w:val="006A1235"/>
    <w:rsid w:val="006A4914"/>
    <w:rsid w:val="006B0A95"/>
    <w:rsid w:val="006B4812"/>
    <w:rsid w:val="006B66EF"/>
    <w:rsid w:val="006C4290"/>
    <w:rsid w:val="006C58C6"/>
    <w:rsid w:val="006D5D31"/>
    <w:rsid w:val="007027B6"/>
    <w:rsid w:val="00705A03"/>
    <w:rsid w:val="00710A13"/>
    <w:rsid w:val="00714BB6"/>
    <w:rsid w:val="00716920"/>
    <w:rsid w:val="00716AE1"/>
    <w:rsid w:val="007210FA"/>
    <w:rsid w:val="00724A69"/>
    <w:rsid w:val="00736412"/>
    <w:rsid w:val="00737684"/>
    <w:rsid w:val="00752714"/>
    <w:rsid w:val="0076051D"/>
    <w:rsid w:val="00760A9E"/>
    <w:rsid w:val="0076269F"/>
    <w:rsid w:val="00764865"/>
    <w:rsid w:val="00773331"/>
    <w:rsid w:val="00784653"/>
    <w:rsid w:val="007909F4"/>
    <w:rsid w:val="007932EF"/>
    <w:rsid w:val="007A65A8"/>
    <w:rsid w:val="007B63A6"/>
    <w:rsid w:val="007C6066"/>
    <w:rsid w:val="007D098F"/>
    <w:rsid w:val="007D102E"/>
    <w:rsid w:val="007E05B0"/>
    <w:rsid w:val="007E1E24"/>
    <w:rsid w:val="007E2C44"/>
    <w:rsid w:val="007E605B"/>
    <w:rsid w:val="007F0CA8"/>
    <w:rsid w:val="007F489F"/>
    <w:rsid w:val="0080715F"/>
    <w:rsid w:val="008100D4"/>
    <w:rsid w:val="00811A44"/>
    <w:rsid w:val="00831FA3"/>
    <w:rsid w:val="0083505D"/>
    <w:rsid w:val="00836632"/>
    <w:rsid w:val="00836D91"/>
    <w:rsid w:val="00840796"/>
    <w:rsid w:val="008517FE"/>
    <w:rsid w:val="00852C2B"/>
    <w:rsid w:val="00864220"/>
    <w:rsid w:val="0086609C"/>
    <w:rsid w:val="00874D22"/>
    <w:rsid w:val="00876C4F"/>
    <w:rsid w:val="00877585"/>
    <w:rsid w:val="008826E5"/>
    <w:rsid w:val="0088406D"/>
    <w:rsid w:val="00885A4E"/>
    <w:rsid w:val="00896269"/>
    <w:rsid w:val="00896D4D"/>
    <w:rsid w:val="008A2914"/>
    <w:rsid w:val="008A76BD"/>
    <w:rsid w:val="008B0E32"/>
    <w:rsid w:val="008B483B"/>
    <w:rsid w:val="008C0613"/>
    <w:rsid w:val="008D2F05"/>
    <w:rsid w:val="008E0417"/>
    <w:rsid w:val="008E0833"/>
    <w:rsid w:val="008E0A06"/>
    <w:rsid w:val="008E168A"/>
    <w:rsid w:val="008E30C0"/>
    <w:rsid w:val="008E4896"/>
    <w:rsid w:val="008E4D8E"/>
    <w:rsid w:val="009033F3"/>
    <w:rsid w:val="00911F00"/>
    <w:rsid w:val="009131F7"/>
    <w:rsid w:val="0092247A"/>
    <w:rsid w:val="00926B95"/>
    <w:rsid w:val="00932598"/>
    <w:rsid w:val="009349D3"/>
    <w:rsid w:val="00941E87"/>
    <w:rsid w:val="00946F2C"/>
    <w:rsid w:val="00956399"/>
    <w:rsid w:val="0095784A"/>
    <w:rsid w:val="009832EE"/>
    <w:rsid w:val="00987551"/>
    <w:rsid w:val="00987D46"/>
    <w:rsid w:val="009945D1"/>
    <w:rsid w:val="00995534"/>
    <w:rsid w:val="009A2543"/>
    <w:rsid w:val="009A31BB"/>
    <w:rsid w:val="009A3407"/>
    <w:rsid w:val="009A5EF7"/>
    <w:rsid w:val="009B0837"/>
    <w:rsid w:val="009B3AB8"/>
    <w:rsid w:val="009B7ABD"/>
    <w:rsid w:val="009C07EA"/>
    <w:rsid w:val="009C2845"/>
    <w:rsid w:val="009C3ABE"/>
    <w:rsid w:val="009C4D45"/>
    <w:rsid w:val="009C7C37"/>
    <w:rsid w:val="009E0AD3"/>
    <w:rsid w:val="009E32F8"/>
    <w:rsid w:val="009E491E"/>
    <w:rsid w:val="009E497A"/>
    <w:rsid w:val="009F0012"/>
    <w:rsid w:val="009F1C2B"/>
    <w:rsid w:val="00A0731D"/>
    <w:rsid w:val="00A14E48"/>
    <w:rsid w:val="00A26748"/>
    <w:rsid w:val="00A300B0"/>
    <w:rsid w:val="00A3032B"/>
    <w:rsid w:val="00A36463"/>
    <w:rsid w:val="00A477A2"/>
    <w:rsid w:val="00A5013F"/>
    <w:rsid w:val="00A531AF"/>
    <w:rsid w:val="00A5397A"/>
    <w:rsid w:val="00A57321"/>
    <w:rsid w:val="00A6642F"/>
    <w:rsid w:val="00A70840"/>
    <w:rsid w:val="00A71EA9"/>
    <w:rsid w:val="00A7381B"/>
    <w:rsid w:val="00A74E8B"/>
    <w:rsid w:val="00A92E5D"/>
    <w:rsid w:val="00AA180E"/>
    <w:rsid w:val="00AA1F01"/>
    <w:rsid w:val="00AA4AAD"/>
    <w:rsid w:val="00AB4526"/>
    <w:rsid w:val="00AB5430"/>
    <w:rsid w:val="00AC7646"/>
    <w:rsid w:val="00AE0A08"/>
    <w:rsid w:val="00AE1C63"/>
    <w:rsid w:val="00AE6FC8"/>
    <w:rsid w:val="00AF2E5B"/>
    <w:rsid w:val="00B078F3"/>
    <w:rsid w:val="00B10461"/>
    <w:rsid w:val="00B1288D"/>
    <w:rsid w:val="00B17CA3"/>
    <w:rsid w:val="00B20286"/>
    <w:rsid w:val="00B210B7"/>
    <w:rsid w:val="00B22D7B"/>
    <w:rsid w:val="00B24FC8"/>
    <w:rsid w:val="00B31AA3"/>
    <w:rsid w:val="00B459F4"/>
    <w:rsid w:val="00B63920"/>
    <w:rsid w:val="00B704DD"/>
    <w:rsid w:val="00B714DC"/>
    <w:rsid w:val="00B73353"/>
    <w:rsid w:val="00B741B1"/>
    <w:rsid w:val="00B74C0B"/>
    <w:rsid w:val="00B86E04"/>
    <w:rsid w:val="00B87A23"/>
    <w:rsid w:val="00B90B5A"/>
    <w:rsid w:val="00B9132E"/>
    <w:rsid w:val="00B91340"/>
    <w:rsid w:val="00B96276"/>
    <w:rsid w:val="00BA0EE8"/>
    <w:rsid w:val="00BA187C"/>
    <w:rsid w:val="00BA6B9A"/>
    <w:rsid w:val="00BB2A80"/>
    <w:rsid w:val="00BB3091"/>
    <w:rsid w:val="00BB3201"/>
    <w:rsid w:val="00BB6D09"/>
    <w:rsid w:val="00BC1049"/>
    <w:rsid w:val="00BC1BFB"/>
    <w:rsid w:val="00BC6864"/>
    <w:rsid w:val="00BD0AE5"/>
    <w:rsid w:val="00BD1321"/>
    <w:rsid w:val="00BD7104"/>
    <w:rsid w:val="00BE21AB"/>
    <w:rsid w:val="00BE3A15"/>
    <w:rsid w:val="00BE4C4A"/>
    <w:rsid w:val="00BE7B2F"/>
    <w:rsid w:val="00BF3F75"/>
    <w:rsid w:val="00BF5D57"/>
    <w:rsid w:val="00C07B67"/>
    <w:rsid w:val="00C12301"/>
    <w:rsid w:val="00C249D3"/>
    <w:rsid w:val="00C26305"/>
    <w:rsid w:val="00C27EB8"/>
    <w:rsid w:val="00C35419"/>
    <w:rsid w:val="00C35ABC"/>
    <w:rsid w:val="00C37C2E"/>
    <w:rsid w:val="00C40894"/>
    <w:rsid w:val="00C456E3"/>
    <w:rsid w:val="00C51164"/>
    <w:rsid w:val="00C547BC"/>
    <w:rsid w:val="00C55B0F"/>
    <w:rsid w:val="00C6626F"/>
    <w:rsid w:val="00C77C48"/>
    <w:rsid w:val="00C8229D"/>
    <w:rsid w:val="00C85CE7"/>
    <w:rsid w:val="00CA020A"/>
    <w:rsid w:val="00CA10FD"/>
    <w:rsid w:val="00CA1818"/>
    <w:rsid w:val="00CA1F55"/>
    <w:rsid w:val="00CA38C1"/>
    <w:rsid w:val="00CA3947"/>
    <w:rsid w:val="00CA3AF3"/>
    <w:rsid w:val="00CB29A3"/>
    <w:rsid w:val="00CB57E2"/>
    <w:rsid w:val="00CC2FEA"/>
    <w:rsid w:val="00CE058E"/>
    <w:rsid w:val="00CE6A18"/>
    <w:rsid w:val="00CE7BFB"/>
    <w:rsid w:val="00D01829"/>
    <w:rsid w:val="00D045B1"/>
    <w:rsid w:val="00D11FF9"/>
    <w:rsid w:val="00D136C0"/>
    <w:rsid w:val="00D20381"/>
    <w:rsid w:val="00D23CBF"/>
    <w:rsid w:val="00D31381"/>
    <w:rsid w:val="00D353D8"/>
    <w:rsid w:val="00D35F2B"/>
    <w:rsid w:val="00D3607F"/>
    <w:rsid w:val="00D37718"/>
    <w:rsid w:val="00D423B7"/>
    <w:rsid w:val="00D52A81"/>
    <w:rsid w:val="00D56EAA"/>
    <w:rsid w:val="00D6229C"/>
    <w:rsid w:val="00D634A5"/>
    <w:rsid w:val="00D63E66"/>
    <w:rsid w:val="00D65081"/>
    <w:rsid w:val="00D72C06"/>
    <w:rsid w:val="00D82172"/>
    <w:rsid w:val="00D8380B"/>
    <w:rsid w:val="00D83B8C"/>
    <w:rsid w:val="00D84BD9"/>
    <w:rsid w:val="00D85A4E"/>
    <w:rsid w:val="00D937EF"/>
    <w:rsid w:val="00D975F7"/>
    <w:rsid w:val="00DA37EB"/>
    <w:rsid w:val="00DB3E03"/>
    <w:rsid w:val="00DB5752"/>
    <w:rsid w:val="00DB59FF"/>
    <w:rsid w:val="00DC5327"/>
    <w:rsid w:val="00DD47D0"/>
    <w:rsid w:val="00DD7CA3"/>
    <w:rsid w:val="00DD7DB4"/>
    <w:rsid w:val="00DE985A"/>
    <w:rsid w:val="00DF450B"/>
    <w:rsid w:val="00DF5639"/>
    <w:rsid w:val="00E01459"/>
    <w:rsid w:val="00E07818"/>
    <w:rsid w:val="00E22796"/>
    <w:rsid w:val="00E25DFD"/>
    <w:rsid w:val="00E3387C"/>
    <w:rsid w:val="00E33F06"/>
    <w:rsid w:val="00E4281C"/>
    <w:rsid w:val="00E4553C"/>
    <w:rsid w:val="00E458DA"/>
    <w:rsid w:val="00E53969"/>
    <w:rsid w:val="00E5420D"/>
    <w:rsid w:val="00E61227"/>
    <w:rsid w:val="00E65DBD"/>
    <w:rsid w:val="00E664ED"/>
    <w:rsid w:val="00E6739C"/>
    <w:rsid w:val="00E76F04"/>
    <w:rsid w:val="00E82237"/>
    <w:rsid w:val="00E82824"/>
    <w:rsid w:val="00E87A95"/>
    <w:rsid w:val="00E93F58"/>
    <w:rsid w:val="00EA1B89"/>
    <w:rsid w:val="00EA2120"/>
    <w:rsid w:val="00EA226E"/>
    <w:rsid w:val="00EA37F1"/>
    <w:rsid w:val="00EB2CCC"/>
    <w:rsid w:val="00EC2246"/>
    <w:rsid w:val="00EC26CA"/>
    <w:rsid w:val="00EC2EF5"/>
    <w:rsid w:val="00EC428F"/>
    <w:rsid w:val="00EC7618"/>
    <w:rsid w:val="00ED19F5"/>
    <w:rsid w:val="00ED4E7E"/>
    <w:rsid w:val="00ED650D"/>
    <w:rsid w:val="00EF0DBB"/>
    <w:rsid w:val="00EF27F7"/>
    <w:rsid w:val="00EF2AB0"/>
    <w:rsid w:val="00EF5FC7"/>
    <w:rsid w:val="00F0412C"/>
    <w:rsid w:val="00F06364"/>
    <w:rsid w:val="00F068C5"/>
    <w:rsid w:val="00F20569"/>
    <w:rsid w:val="00F21FA8"/>
    <w:rsid w:val="00F41480"/>
    <w:rsid w:val="00F467C2"/>
    <w:rsid w:val="00F468A4"/>
    <w:rsid w:val="00F53885"/>
    <w:rsid w:val="00F542FB"/>
    <w:rsid w:val="00F6096B"/>
    <w:rsid w:val="00F62EFE"/>
    <w:rsid w:val="00F65131"/>
    <w:rsid w:val="00F66E7A"/>
    <w:rsid w:val="00F71F20"/>
    <w:rsid w:val="00F738F1"/>
    <w:rsid w:val="00F8021D"/>
    <w:rsid w:val="00F84A4C"/>
    <w:rsid w:val="00F867F6"/>
    <w:rsid w:val="00F92F00"/>
    <w:rsid w:val="00F9388D"/>
    <w:rsid w:val="00FA0C3A"/>
    <w:rsid w:val="00FA6261"/>
    <w:rsid w:val="00FB122F"/>
    <w:rsid w:val="00FC08EF"/>
    <w:rsid w:val="00FC38F8"/>
    <w:rsid w:val="00FC42AD"/>
    <w:rsid w:val="00FD28A8"/>
    <w:rsid w:val="00FD3F5F"/>
    <w:rsid w:val="00FD6CB3"/>
    <w:rsid w:val="00FE53CF"/>
    <w:rsid w:val="00FE6983"/>
    <w:rsid w:val="00FF6DE0"/>
    <w:rsid w:val="00FF6E9E"/>
    <w:rsid w:val="013032A6"/>
    <w:rsid w:val="0130D5B7"/>
    <w:rsid w:val="016FEE23"/>
    <w:rsid w:val="022DB9D1"/>
    <w:rsid w:val="02B8F93E"/>
    <w:rsid w:val="02E8DFB1"/>
    <w:rsid w:val="03DE3175"/>
    <w:rsid w:val="05798BE9"/>
    <w:rsid w:val="05F9ED64"/>
    <w:rsid w:val="060F6714"/>
    <w:rsid w:val="07D5893E"/>
    <w:rsid w:val="086CDF11"/>
    <w:rsid w:val="08C93674"/>
    <w:rsid w:val="08C96592"/>
    <w:rsid w:val="08D4F0B0"/>
    <w:rsid w:val="0984A02D"/>
    <w:rsid w:val="09C9B4DB"/>
    <w:rsid w:val="0AB3AB57"/>
    <w:rsid w:val="0B088DD9"/>
    <w:rsid w:val="0BCEF1BC"/>
    <w:rsid w:val="0C8AC026"/>
    <w:rsid w:val="0CF62B02"/>
    <w:rsid w:val="0CFF8CEC"/>
    <w:rsid w:val="0D0922BB"/>
    <w:rsid w:val="0E1D5F4C"/>
    <w:rsid w:val="0E296C91"/>
    <w:rsid w:val="0E7BF79B"/>
    <w:rsid w:val="0E9E7563"/>
    <w:rsid w:val="0FD86B5E"/>
    <w:rsid w:val="10328797"/>
    <w:rsid w:val="10848198"/>
    <w:rsid w:val="116C0CA0"/>
    <w:rsid w:val="121F7641"/>
    <w:rsid w:val="123C8204"/>
    <w:rsid w:val="127822BC"/>
    <w:rsid w:val="12A2D5B7"/>
    <w:rsid w:val="13862A65"/>
    <w:rsid w:val="13FE6919"/>
    <w:rsid w:val="1422F1C4"/>
    <w:rsid w:val="147A79F6"/>
    <w:rsid w:val="14CA24AC"/>
    <w:rsid w:val="152CBE36"/>
    <w:rsid w:val="1593A2DD"/>
    <w:rsid w:val="159FC28A"/>
    <w:rsid w:val="15FD9009"/>
    <w:rsid w:val="162CF25B"/>
    <w:rsid w:val="16DB9772"/>
    <w:rsid w:val="16F90448"/>
    <w:rsid w:val="173B2E8D"/>
    <w:rsid w:val="17D4AE54"/>
    <w:rsid w:val="180675A6"/>
    <w:rsid w:val="181C3928"/>
    <w:rsid w:val="18C7169D"/>
    <w:rsid w:val="1A3493E4"/>
    <w:rsid w:val="1AF19CBF"/>
    <w:rsid w:val="1AFEF541"/>
    <w:rsid w:val="1B062843"/>
    <w:rsid w:val="1B11AB45"/>
    <w:rsid w:val="1CBB419A"/>
    <w:rsid w:val="1CDB73E3"/>
    <w:rsid w:val="1E2C3DDE"/>
    <w:rsid w:val="1EA7CFA0"/>
    <w:rsid w:val="1F31E30D"/>
    <w:rsid w:val="1F5D0AEE"/>
    <w:rsid w:val="1FD6AE48"/>
    <w:rsid w:val="20D3E529"/>
    <w:rsid w:val="21479B07"/>
    <w:rsid w:val="22F0BFD3"/>
    <w:rsid w:val="231A0D0F"/>
    <w:rsid w:val="231C90FE"/>
    <w:rsid w:val="24763091"/>
    <w:rsid w:val="249F92D0"/>
    <w:rsid w:val="2590F66C"/>
    <w:rsid w:val="26D1CEAB"/>
    <w:rsid w:val="26DE1AFC"/>
    <w:rsid w:val="26E066C9"/>
    <w:rsid w:val="27711542"/>
    <w:rsid w:val="279FD99D"/>
    <w:rsid w:val="27CF93F9"/>
    <w:rsid w:val="27F1672E"/>
    <w:rsid w:val="28BBF1DB"/>
    <w:rsid w:val="293D6B93"/>
    <w:rsid w:val="2A3D1E3E"/>
    <w:rsid w:val="2A8CCE4D"/>
    <w:rsid w:val="2A95CD3B"/>
    <w:rsid w:val="2AD8B657"/>
    <w:rsid w:val="2B460E73"/>
    <w:rsid w:val="2B4D2296"/>
    <w:rsid w:val="2BAF8809"/>
    <w:rsid w:val="2BCBFD4F"/>
    <w:rsid w:val="2BF46541"/>
    <w:rsid w:val="2C2F7C1B"/>
    <w:rsid w:val="2C629ADF"/>
    <w:rsid w:val="2CA0AB03"/>
    <w:rsid w:val="2CDFB3DC"/>
    <w:rsid w:val="2D46CD48"/>
    <w:rsid w:val="2DDC9B5E"/>
    <w:rsid w:val="2DE04C0D"/>
    <w:rsid w:val="2E15E10A"/>
    <w:rsid w:val="2E2EE87F"/>
    <w:rsid w:val="2EA8BF40"/>
    <w:rsid w:val="2FD6C88D"/>
    <w:rsid w:val="2FF3086A"/>
    <w:rsid w:val="3057B8D0"/>
    <w:rsid w:val="30714658"/>
    <w:rsid w:val="30879AD5"/>
    <w:rsid w:val="30A15841"/>
    <w:rsid w:val="30DEF08B"/>
    <w:rsid w:val="310B1044"/>
    <w:rsid w:val="313E51D3"/>
    <w:rsid w:val="314F09BA"/>
    <w:rsid w:val="318026F9"/>
    <w:rsid w:val="31DBF663"/>
    <w:rsid w:val="32378458"/>
    <w:rsid w:val="32B0B449"/>
    <w:rsid w:val="333C58A5"/>
    <w:rsid w:val="336E11F4"/>
    <w:rsid w:val="345C4059"/>
    <w:rsid w:val="3481F8EE"/>
    <w:rsid w:val="35D7FA08"/>
    <w:rsid w:val="36357340"/>
    <w:rsid w:val="36D056F3"/>
    <w:rsid w:val="36D5CA12"/>
    <w:rsid w:val="36E570B3"/>
    <w:rsid w:val="37189347"/>
    <w:rsid w:val="37341B93"/>
    <w:rsid w:val="3759A3D2"/>
    <w:rsid w:val="37819D42"/>
    <w:rsid w:val="37EF6252"/>
    <w:rsid w:val="37FA398C"/>
    <w:rsid w:val="38159802"/>
    <w:rsid w:val="38509172"/>
    <w:rsid w:val="38B1F56F"/>
    <w:rsid w:val="391AEBE6"/>
    <w:rsid w:val="396B7E5D"/>
    <w:rsid w:val="39C5D106"/>
    <w:rsid w:val="39C6F77C"/>
    <w:rsid w:val="3A27F105"/>
    <w:rsid w:val="3A83626C"/>
    <w:rsid w:val="3B1A446E"/>
    <w:rsid w:val="3C097F4F"/>
    <w:rsid w:val="3CA28A16"/>
    <w:rsid w:val="3CC4538B"/>
    <w:rsid w:val="3D1D6955"/>
    <w:rsid w:val="3D1E0107"/>
    <w:rsid w:val="3D521B77"/>
    <w:rsid w:val="3F25919B"/>
    <w:rsid w:val="3F6763DA"/>
    <w:rsid w:val="3FA318AF"/>
    <w:rsid w:val="406C3ABE"/>
    <w:rsid w:val="40AE0D92"/>
    <w:rsid w:val="40AF031D"/>
    <w:rsid w:val="40BE7F80"/>
    <w:rsid w:val="40F66654"/>
    <w:rsid w:val="411FB311"/>
    <w:rsid w:val="41B2E98F"/>
    <w:rsid w:val="41E5B75C"/>
    <w:rsid w:val="42038259"/>
    <w:rsid w:val="42E6AEB4"/>
    <w:rsid w:val="43B115FF"/>
    <w:rsid w:val="43DE4786"/>
    <w:rsid w:val="44D6D7F7"/>
    <w:rsid w:val="45807D8D"/>
    <w:rsid w:val="45DCA7EA"/>
    <w:rsid w:val="4606AAA2"/>
    <w:rsid w:val="47156803"/>
    <w:rsid w:val="4790380F"/>
    <w:rsid w:val="48586740"/>
    <w:rsid w:val="48BE75E3"/>
    <w:rsid w:val="48EE4B83"/>
    <w:rsid w:val="4A3E5D77"/>
    <w:rsid w:val="4A5293DB"/>
    <w:rsid w:val="4A5B2568"/>
    <w:rsid w:val="4A670A37"/>
    <w:rsid w:val="4AD19CDD"/>
    <w:rsid w:val="4B27B21E"/>
    <w:rsid w:val="4BB87548"/>
    <w:rsid w:val="4BC7D5D4"/>
    <w:rsid w:val="4D25C9E5"/>
    <w:rsid w:val="4DDF39BE"/>
    <w:rsid w:val="4E05C8A7"/>
    <w:rsid w:val="4E800CEC"/>
    <w:rsid w:val="4E90742F"/>
    <w:rsid w:val="4EF00BBA"/>
    <w:rsid w:val="4F02F7A9"/>
    <w:rsid w:val="4F5EEC05"/>
    <w:rsid w:val="50270C76"/>
    <w:rsid w:val="50329007"/>
    <w:rsid w:val="507D9693"/>
    <w:rsid w:val="508441B4"/>
    <w:rsid w:val="51FB9922"/>
    <w:rsid w:val="524E35BC"/>
    <w:rsid w:val="52A1DDCA"/>
    <w:rsid w:val="52A98DE8"/>
    <w:rsid w:val="52D4B50C"/>
    <w:rsid w:val="530467F0"/>
    <w:rsid w:val="53107F64"/>
    <w:rsid w:val="53163516"/>
    <w:rsid w:val="53A70DDA"/>
    <w:rsid w:val="53ADFC7C"/>
    <w:rsid w:val="53E50D30"/>
    <w:rsid w:val="5460F6C9"/>
    <w:rsid w:val="5494776F"/>
    <w:rsid w:val="54A3946B"/>
    <w:rsid w:val="54AE2D6D"/>
    <w:rsid w:val="54F5C809"/>
    <w:rsid w:val="55762CF9"/>
    <w:rsid w:val="559CEBF4"/>
    <w:rsid w:val="55E87D1A"/>
    <w:rsid w:val="566CCE20"/>
    <w:rsid w:val="56944636"/>
    <w:rsid w:val="569FB708"/>
    <w:rsid w:val="56C9756D"/>
    <w:rsid w:val="57A59B86"/>
    <w:rsid w:val="57C66C46"/>
    <w:rsid w:val="588FB304"/>
    <w:rsid w:val="599440F7"/>
    <w:rsid w:val="59A965F4"/>
    <w:rsid w:val="5A2D3B0A"/>
    <w:rsid w:val="5ADB536D"/>
    <w:rsid w:val="5B0F3B9D"/>
    <w:rsid w:val="5B345C75"/>
    <w:rsid w:val="5B4EE963"/>
    <w:rsid w:val="5B5F1008"/>
    <w:rsid w:val="5C6A904D"/>
    <w:rsid w:val="5D217A6F"/>
    <w:rsid w:val="5D25AFCD"/>
    <w:rsid w:val="5D9B21BE"/>
    <w:rsid w:val="5DA5FDA9"/>
    <w:rsid w:val="5DFEB896"/>
    <w:rsid w:val="5E0D19DD"/>
    <w:rsid w:val="5E9B1A61"/>
    <w:rsid w:val="5ED43F27"/>
    <w:rsid w:val="5ED46701"/>
    <w:rsid w:val="5F094157"/>
    <w:rsid w:val="5F522AA7"/>
    <w:rsid w:val="5F6F29BB"/>
    <w:rsid w:val="5F911D9E"/>
    <w:rsid w:val="5F9C7B42"/>
    <w:rsid w:val="5FA22EB3"/>
    <w:rsid w:val="600A6CCB"/>
    <w:rsid w:val="6030F93D"/>
    <w:rsid w:val="60548440"/>
    <w:rsid w:val="60AE38AF"/>
    <w:rsid w:val="618A3DC3"/>
    <w:rsid w:val="61E0E824"/>
    <w:rsid w:val="62377995"/>
    <w:rsid w:val="62BC7CBB"/>
    <w:rsid w:val="62C3AE11"/>
    <w:rsid w:val="630405F8"/>
    <w:rsid w:val="631666E1"/>
    <w:rsid w:val="6348E56D"/>
    <w:rsid w:val="63FCB258"/>
    <w:rsid w:val="6484A933"/>
    <w:rsid w:val="652F239A"/>
    <w:rsid w:val="6607EB7E"/>
    <w:rsid w:val="6657B977"/>
    <w:rsid w:val="66B7CCC4"/>
    <w:rsid w:val="66D269DD"/>
    <w:rsid w:val="68045039"/>
    <w:rsid w:val="687E4FCA"/>
    <w:rsid w:val="69137066"/>
    <w:rsid w:val="69D3C076"/>
    <w:rsid w:val="6ACB3156"/>
    <w:rsid w:val="6B627DCB"/>
    <w:rsid w:val="6B981B0C"/>
    <w:rsid w:val="6C821C65"/>
    <w:rsid w:val="6D17DC54"/>
    <w:rsid w:val="6D9C8178"/>
    <w:rsid w:val="6E1B93CF"/>
    <w:rsid w:val="6E5FC319"/>
    <w:rsid w:val="6E6C948F"/>
    <w:rsid w:val="6F1E8F39"/>
    <w:rsid w:val="701ACD71"/>
    <w:rsid w:val="7032A774"/>
    <w:rsid w:val="7070E066"/>
    <w:rsid w:val="70854063"/>
    <w:rsid w:val="70C30698"/>
    <w:rsid w:val="70F27A26"/>
    <w:rsid w:val="70FFEE42"/>
    <w:rsid w:val="7115C41E"/>
    <w:rsid w:val="716397C5"/>
    <w:rsid w:val="71801CDD"/>
    <w:rsid w:val="719632C9"/>
    <w:rsid w:val="72A15E48"/>
    <w:rsid w:val="731321C4"/>
    <w:rsid w:val="73702106"/>
    <w:rsid w:val="740CACC6"/>
    <w:rsid w:val="749C6833"/>
    <w:rsid w:val="74DDCEDB"/>
    <w:rsid w:val="755FAA92"/>
    <w:rsid w:val="763AF0E8"/>
    <w:rsid w:val="76617AC0"/>
    <w:rsid w:val="76634D74"/>
    <w:rsid w:val="76C9A2D5"/>
    <w:rsid w:val="7799878A"/>
    <w:rsid w:val="77F97671"/>
    <w:rsid w:val="7828E663"/>
    <w:rsid w:val="795B963C"/>
    <w:rsid w:val="7AC546CF"/>
    <w:rsid w:val="7AEB98D1"/>
    <w:rsid w:val="7B09EC77"/>
    <w:rsid w:val="7B5DD7AA"/>
    <w:rsid w:val="7B7FBC0B"/>
    <w:rsid w:val="7C1BE2AC"/>
    <w:rsid w:val="7CBB09C0"/>
    <w:rsid w:val="7D3FEE95"/>
    <w:rsid w:val="7D92D58A"/>
    <w:rsid w:val="7DF72F0A"/>
    <w:rsid w:val="7E2658C3"/>
    <w:rsid w:val="7E5A8214"/>
    <w:rsid w:val="7F4DF9FA"/>
    <w:rsid w:val="7F76F2D2"/>
    <w:rsid w:val="7FB0D26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5:docId w15:val="{9A9C1A79-5EF4-46A3-A75A-7B675C85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iPriority w:val="99"/>
    <w:semiHidden/>
    <w:unhideWhenUsed/>
    <w:rsid w:val="00DB59FF"/>
    <w:rPr>
      <w:sz w:val="16"/>
      <w:szCs w:val="16"/>
    </w:rPr>
  </w:style>
  <w:style w:type="paragraph" w:styleId="CommentText">
    <w:name w:val="annotation text"/>
    <w:basedOn w:val="Normal"/>
    <w:link w:val="CommentTextChar"/>
    <w:uiPriority w:val="99"/>
    <w:unhideWhenUsed/>
    <w:rsid w:val="00DB59FF"/>
    <w:rPr>
      <w:sz w:val="20"/>
      <w:szCs w:val="20"/>
    </w:rPr>
  </w:style>
  <w:style w:type="character" w:customStyle="1" w:styleId="CommentTextChar">
    <w:name w:val="Comment Text Char"/>
    <w:basedOn w:val="DefaultParagraphFont"/>
    <w:link w:val="CommentText"/>
    <w:uiPriority w:val="99"/>
    <w:rsid w:val="00DB59F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DB59FF"/>
    <w:rPr>
      <w:b/>
      <w:bCs/>
    </w:rPr>
  </w:style>
  <w:style w:type="character" w:customStyle="1" w:styleId="CommentSubjectChar">
    <w:name w:val="Comment Subject Char"/>
    <w:basedOn w:val="CommentTextChar"/>
    <w:link w:val="CommentSubject"/>
    <w:uiPriority w:val="99"/>
    <w:semiHidden/>
    <w:rsid w:val="00DB59FF"/>
    <w:rPr>
      <w:rFonts w:ascii="Times New Roman" w:hAnsi="Times New Roman" w:cs="Times New Roman"/>
      <w:b/>
      <w:bCs/>
      <w:sz w:val="20"/>
      <w:szCs w:val="20"/>
      <w:lang w:val="ro-RO"/>
    </w:rPr>
  </w:style>
  <w:style w:type="paragraph" w:styleId="Revision">
    <w:name w:val="Revision"/>
    <w:hidden/>
    <w:uiPriority w:val="99"/>
    <w:semiHidden/>
    <w:rsid w:val="00F468A4"/>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BB3091"/>
    <w:rPr>
      <w:color w:val="605E5C"/>
      <w:shd w:val="clear" w:color="auto" w:fill="E1DFDD"/>
    </w:rPr>
  </w:style>
  <w:style w:type="paragraph" w:styleId="ListBullet">
    <w:name w:val="List Bullet"/>
    <w:basedOn w:val="Normal"/>
    <w:uiPriority w:val="99"/>
    <w:semiHidden/>
    <w:unhideWhenUsed/>
    <w:rsid w:val="005D4995"/>
    <w:pPr>
      <w:numPr>
        <w:numId w:val="1"/>
      </w:numPr>
      <w:contextualSpacing/>
    </w:pPr>
  </w:style>
  <w:style w:type="paragraph" w:styleId="ListBullet2">
    <w:name w:val="List Bullet 2"/>
    <w:basedOn w:val="Normal"/>
    <w:uiPriority w:val="99"/>
    <w:semiHidden/>
    <w:unhideWhenUsed/>
    <w:rsid w:val="005D4995"/>
    <w:pPr>
      <w:numPr>
        <w:numId w:val="2"/>
      </w:numPr>
      <w:contextualSpacing/>
    </w:pPr>
  </w:style>
  <w:style w:type="paragraph" w:styleId="ListBullet3">
    <w:name w:val="List Bullet 3"/>
    <w:basedOn w:val="Normal"/>
    <w:uiPriority w:val="99"/>
    <w:semiHidden/>
    <w:unhideWhenUsed/>
    <w:rsid w:val="005D4995"/>
    <w:pPr>
      <w:numPr>
        <w:numId w:val="3"/>
      </w:numPr>
      <w:contextualSpacing/>
    </w:pPr>
  </w:style>
  <w:style w:type="paragraph" w:styleId="ListBullet4">
    <w:name w:val="List Bullet 4"/>
    <w:basedOn w:val="Normal"/>
    <w:uiPriority w:val="99"/>
    <w:semiHidden/>
    <w:unhideWhenUsed/>
    <w:rsid w:val="005D4995"/>
    <w:pPr>
      <w:numPr>
        <w:numId w:val="4"/>
      </w:numPr>
      <w:contextualSpacing/>
    </w:pPr>
  </w:style>
  <w:style w:type="character" w:styleId="FollowedHyperlink">
    <w:name w:val="FollowedHyperlink"/>
    <w:basedOn w:val="DefaultParagraphFont"/>
    <w:uiPriority w:val="99"/>
    <w:semiHidden/>
    <w:unhideWhenUsed/>
    <w:rsid w:val="00FF6DE0"/>
    <w:rPr>
      <w:color w:val="800080" w:themeColor="followedHyperlink"/>
      <w:u w:val="single"/>
    </w:rPr>
  </w:style>
  <w:style w:type="character" w:customStyle="1" w:styleId="HeaderChar">
    <w:name w:val="Header Char"/>
    <w:basedOn w:val="DefaultParagraphFont"/>
    <w:link w:val="Header"/>
    <w:uiPriority w:val="99"/>
    <w:rsid w:val="00673584"/>
    <w:rPr>
      <w:rFonts w:ascii="Times New Roman" w:hAnsi="Times New Roman" w:cs="Times New Roman"/>
      <w:sz w:val="24"/>
      <w:lang w:val="ro-RO"/>
    </w:rPr>
  </w:style>
  <w:style w:type="character" w:customStyle="1" w:styleId="FooterChar">
    <w:name w:val="Footer Char"/>
    <w:basedOn w:val="DefaultParagraphFont"/>
    <w:link w:val="Footer"/>
    <w:uiPriority w:val="99"/>
    <w:rsid w:val="0067358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7358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73584"/>
    <w:pPr>
      <w:spacing w:before="0"/>
      <w:jc w:val="right"/>
    </w:pPr>
    <w:rPr>
      <w:sz w:val="28"/>
    </w:rPr>
  </w:style>
  <w:style w:type="paragraph" w:customStyle="1" w:styleId="FooterSensitivity">
    <w:name w:val="Footer Sensitivity"/>
    <w:basedOn w:val="Normal"/>
    <w:rsid w:val="0067358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73584"/>
    <w:pPr>
      <w:tabs>
        <w:tab w:val="center" w:pos="4535"/>
        <w:tab w:val="right" w:pos="9071"/>
      </w:tabs>
      <w:spacing w:before="0"/>
    </w:pPr>
  </w:style>
  <w:style w:type="paragraph" w:customStyle="1" w:styleId="HeaderLandscape">
    <w:name w:val="HeaderLandscape"/>
    <w:basedOn w:val="Normal"/>
    <w:rsid w:val="00673584"/>
    <w:pPr>
      <w:tabs>
        <w:tab w:val="center" w:pos="7285"/>
        <w:tab w:val="right" w:pos="14003"/>
      </w:tabs>
      <w:spacing w:before="0"/>
    </w:pPr>
  </w:style>
  <w:style w:type="paragraph" w:styleId="Footer">
    <w:name w:val="footer"/>
    <w:basedOn w:val="Normal"/>
    <w:link w:val="FooterChar"/>
    <w:uiPriority w:val="99"/>
    <w:unhideWhenUsed/>
    <w:rsid w:val="0067358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7358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08956">
      <w:bodyDiv w:val="1"/>
      <w:marLeft w:val="0"/>
      <w:marRight w:val="0"/>
      <w:marTop w:val="0"/>
      <w:marBottom w:val="0"/>
      <w:divBdr>
        <w:top w:val="none" w:sz="0" w:space="0" w:color="auto"/>
        <w:left w:val="none" w:sz="0" w:space="0" w:color="auto"/>
        <w:bottom w:val="none" w:sz="0" w:space="0" w:color="auto"/>
        <w:right w:val="none" w:sz="0" w:space="0" w:color="auto"/>
      </w:divBdr>
      <w:divsChild>
        <w:div w:id="18625634">
          <w:marLeft w:val="0"/>
          <w:marRight w:val="0"/>
          <w:marTop w:val="0"/>
          <w:marBottom w:val="0"/>
          <w:divBdr>
            <w:top w:val="none" w:sz="0" w:space="0" w:color="auto"/>
            <w:left w:val="none" w:sz="0" w:space="0" w:color="auto"/>
            <w:bottom w:val="none" w:sz="0" w:space="0" w:color="auto"/>
            <w:right w:val="none" w:sz="0" w:space="0" w:color="auto"/>
          </w:divBdr>
        </w:div>
        <w:div w:id="71129461">
          <w:marLeft w:val="0"/>
          <w:marRight w:val="0"/>
          <w:marTop w:val="0"/>
          <w:marBottom w:val="0"/>
          <w:divBdr>
            <w:top w:val="none" w:sz="0" w:space="0" w:color="auto"/>
            <w:left w:val="none" w:sz="0" w:space="0" w:color="auto"/>
            <w:bottom w:val="none" w:sz="0" w:space="0" w:color="auto"/>
            <w:right w:val="none" w:sz="0" w:space="0" w:color="auto"/>
          </w:divBdr>
          <w:divsChild>
            <w:div w:id="7367403">
              <w:marLeft w:val="0"/>
              <w:marRight w:val="0"/>
              <w:marTop w:val="0"/>
              <w:marBottom w:val="0"/>
              <w:divBdr>
                <w:top w:val="none" w:sz="0" w:space="0" w:color="auto"/>
                <w:left w:val="none" w:sz="0" w:space="0" w:color="auto"/>
                <w:bottom w:val="none" w:sz="0" w:space="0" w:color="auto"/>
                <w:right w:val="none" w:sz="0" w:space="0" w:color="auto"/>
              </w:divBdr>
            </w:div>
            <w:div w:id="247545733">
              <w:marLeft w:val="0"/>
              <w:marRight w:val="0"/>
              <w:marTop w:val="0"/>
              <w:marBottom w:val="0"/>
              <w:divBdr>
                <w:top w:val="none" w:sz="0" w:space="0" w:color="auto"/>
                <w:left w:val="none" w:sz="0" w:space="0" w:color="auto"/>
                <w:bottom w:val="none" w:sz="0" w:space="0" w:color="auto"/>
                <w:right w:val="none" w:sz="0" w:space="0" w:color="auto"/>
              </w:divBdr>
            </w:div>
            <w:div w:id="324481329">
              <w:marLeft w:val="0"/>
              <w:marRight w:val="0"/>
              <w:marTop w:val="0"/>
              <w:marBottom w:val="0"/>
              <w:divBdr>
                <w:top w:val="none" w:sz="0" w:space="0" w:color="auto"/>
                <w:left w:val="none" w:sz="0" w:space="0" w:color="auto"/>
                <w:bottom w:val="none" w:sz="0" w:space="0" w:color="auto"/>
                <w:right w:val="none" w:sz="0" w:space="0" w:color="auto"/>
              </w:divBdr>
            </w:div>
            <w:div w:id="538129562">
              <w:marLeft w:val="0"/>
              <w:marRight w:val="0"/>
              <w:marTop w:val="0"/>
              <w:marBottom w:val="0"/>
              <w:divBdr>
                <w:top w:val="none" w:sz="0" w:space="0" w:color="auto"/>
                <w:left w:val="none" w:sz="0" w:space="0" w:color="auto"/>
                <w:bottom w:val="none" w:sz="0" w:space="0" w:color="auto"/>
                <w:right w:val="none" w:sz="0" w:space="0" w:color="auto"/>
              </w:divBdr>
            </w:div>
            <w:div w:id="540821728">
              <w:marLeft w:val="0"/>
              <w:marRight w:val="0"/>
              <w:marTop w:val="0"/>
              <w:marBottom w:val="0"/>
              <w:divBdr>
                <w:top w:val="none" w:sz="0" w:space="0" w:color="auto"/>
                <w:left w:val="none" w:sz="0" w:space="0" w:color="auto"/>
                <w:bottom w:val="none" w:sz="0" w:space="0" w:color="auto"/>
                <w:right w:val="none" w:sz="0" w:space="0" w:color="auto"/>
              </w:divBdr>
            </w:div>
            <w:div w:id="796147498">
              <w:marLeft w:val="0"/>
              <w:marRight w:val="0"/>
              <w:marTop w:val="0"/>
              <w:marBottom w:val="0"/>
              <w:divBdr>
                <w:top w:val="none" w:sz="0" w:space="0" w:color="auto"/>
                <w:left w:val="none" w:sz="0" w:space="0" w:color="auto"/>
                <w:bottom w:val="none" w:sz="0" w:space="0" w:color="auto"/>
                <w:right w:val="none" w:sz="0" w:space="0" w:color="auto"/>
              </w:divBdr>
            </w:div>
            <w:div w:id="1014303106">
              <w:marLeft w:val="0"/>
              <w:marRight w:val="0"/>
              <w:marTop w:val="0"/>
              <w:marBottom w:val="0"/>
              <w:divBdr>
                <w:top w:val="none" w:sz="0" w:space="0" w:color="auto"/>
                <w:left w:val="none" w:sz="0" w:space="0" w:color="auto"/>
                <w:bottom w:val="none" w:sz="0" w:space="0" w:color="auto"/>
                <w:right w:val="none" w:sz="0" w:space="0" w:color="auto"/>
              </w:divBdr>
            </w:div>
            <w:div w:id="1116950527">
              <w:marLeft w:val="0"/>
              <w:marRight w:val="0"/>
              <w:marTop w:val="0"/>
              <w:marBottom w:val="0"/>
              <w:divBdr>
                <w:top w:val="none" w:sz="0" w:space="0" w:color="auto"/>
                <w:left w:val="none" w:sz="0" w:space="0" w:color="auto"/>
                <w:bottom w:val="none" w:sz="0" w:space="0" w:color="auto"/>
                <w:right w:val="none" w:sz="0" w:space="0" w:color="auto"/>
              </w:divBdr>
            </w:div>
            <w:div w:id="1172722383">
              <w:marLeft w:val="0"/>
              <w:marRight w:val="0"/>
              <w:marTop w:val="0"/>
              <w:marBottom w:val="0"/>
              <w:divBdr>
                <w:top w:val="none" w:sz="0" w:space="0" w:color="auto"/>
                <w:left w:val="none" w:sz="0" w:space="0" w:color="auto"/>
                <w:bottom w:val="none" w:sz="0" w:space="0" w:color="auto"/>
                <w:right w:val="none" w:sz="0" w:space="0" w:color="auto"/>
              </w:divBdr>
            </w:div>
            <w:div w:id="1286235315">
              <w:marLeft w:val="0"/>
              <w:marRight w:val="0"/>
              <w:marTop w:val="0"/>
              <w:marBottom w:val="0"/>
              <w:divBdr>
                <w:top w:val="none" w:sz="0" w:space="0" w:color="auto"/>
                <w:left w:val="none" w:sz="0" w:space="0" w:color="auto"/>
                <w:bottom w:val="none" w:sz="0" w:space="0" w:color="auto"/>
                <w:right w:val="none" w:sz="0" w:space="0" w:color="auto"/>
              </w:divBdr>
            </w:div>
            <w:div w:id="1290622718">
              <w:marLeft w:val="0"/>
              <w:marRight w:val="0"/>
              <w:marTop w:val="0"/>
              <w:marBottom w:val="0"/>
              <w:divBdr>
                <w:top w:val="none" w:sz="0" w:space="0" w:color="auto"/>
                <w:left w:val="none" w:sz="0" w:space="0" w:color="auto"/>
                <w:bottom w:val="none" w:sz="0" w:space="0" w:color="auto"/>
                <w:right w:val="none" w:sz="0" w:space="0" w:color="auto"/>
              </w:divBdr>
            </w:div>
            <w:div w:id="1291741186">
              <w:marLeft w:val="0"/>
              <w:marRight w:val="0"/>
              <w:marTop w:val="0"/>
              <w:marBottom w:val="0"/>
              <w:divBdr>
                <w:top w:val="none" w:sz="0" w:space="0" w:color="auto"/>
                <w:left w:val="none" w:sz="0" w:space="0" w:color="auto"/>
                <w:bottom w:val="none" w:sz="0" w:space="0" w:color="auto"/>
                <w:right w:val="none" w:sz="0" w:space="0" w:color="auto"/>
              </w:divBdr>
            </w:div>
            <w:div w:id="1344668928">
              <w:marLeft w:val="0"/>
              <w:marRight w:val="0"/>
              <w:marTop w:val="0"/>
              <w:marBottom w:val="0"/>
              <w:divBdr>
                <w:top w:val="none" w:sz="0" w:space="0" w:color="auto"/>
                <w:left w:val="none" w:sz="0" w:space="0" w:color="auto"/>
                <w:bottom w:val="none" w:sz="0" w:space="0" w:color="auto"/>
                <w:right w:val="none" w:sz="0" w:space="0" w:color="auto"/>
              </w:divBdr>
            </w:div>
            <w:div w:id="1424453829">
              <w:marLeft w:val="0"/>
              <w:marRight w:val="0"/>
              <w:marTop w:val="0"/>
              <w:marBottom w:val="0"/>
              <w:divBdr>
                <w:top w:val="none" w:sz="0" w:space="0" w:color="auto"/>
                <w:left w:val="none" w:sz="0" w:space="0" w:color="auto"/>
                <w:bottom w:val="none" w:sz="0" w:space="0" w:color="auto"/>
                <w:right w:val="none" w:sz="0" w:space="0" w:color="auto"/>
              </w:divBdr>
            </w:div>
            <w:div w:id="1475760428">
              <w:marLeft w:val="0"/>
              <w:marRight w:val="0"/>
              <w:marTop w:val="0"/>
              <w:marBottom w:val="0"/>
              <w:divBdr>
                <w:top w:val="none" w:sz="0" w:space="0" w:color="auto"/>
                <w:left w:val="none" w:sz="0" w:space="0" w:color="auto"/>
                <w:bottom w:val="none" w:sz="0" w:space="0" w:color="auto"/>
                <w:right w:val="none" w:sz="0" w:space="0" w:color="auto"/>
              </w:divBdr>
            </w:div>
            <w:div w:id="1505702575">
              <w:marLeft w:val="0"/>
              <w:marRight w:val="0"/>
              <w:marTop w:val="0"/>
              <w:marBottom w:val="0"/>
              <w:divBdr>
                <w:top w:val="none" w:sz="0" w:space="0" w:color="auto"/>
                <w:left w:val="none" w:sz="0" w:space="0" w:color="auto"/>
                <w:bottom w:val="none" w:sz="0" w:space="0" w:color="auto"/>
                <w:right w:val="none" w:sz="0" w:space="0" w:color="auto"/>
              </w:divBdr>
            </w:div>
            <w:div w:id="1534489979">
              <w:marLeft w:val="0"/>
              <w:marRight w:val="0"/>
              <w:marTop w:val="0"/>
              <w:marBottom w:val="0"/>
              <w:divBdr>
                <w:top w:val="none" w:sz="0" w:space="0" w:color="auto"/>
                <w:left w:val="none" w:sz="0" w:space="0" w:color="auto"/>
                <w:bottom w:val="none" w:sz="0" w:space="0" w:color="auto"/>
                <w:right w:val="none" w:sz="0" w:space="0" w:color="auto"/>
              </w:divBdr>
            </w:div>
            <w:div w:id="1846551094">
              <w:marLeft w:val="0"/>
              <w:marRight w:val="0"/>
              <w:marTop w:val="0"/>
              <w:marBottom w:val="0"/>
              <w:divBdr>
                <w:top w:val="none" w:sz="0" w:space="0" w:color="auto"/>
                <w:left w:val="none" w:sz="0" w:space="0" w:color="auto"/>
                <w:bottom w:val="none" w:sz="0" w:space="0" w:color="auto"/>
                <w:right w:val="none" w:sz="0" w:space="0" w:color="auto"/>
              </w:divBdr>
            </w:div>
            <w:div w:id="1906331402">
              <w:marLeft w:val="0"/>
              <w:marRight w:val="0"/>
              <w:marTop w:val="0"/>
              <w:marBottom w:val="0"/>
              <w:divBdr>
                <w:top w:val="none" w:sz="0" w:space="0" w:color="auto"/>
                <w:left w:val="none" w:sz="0" w:space="0" w:color="auto"/>
                <w:bottom w:val="none" w:sz="0" w:space="0" w:color="auto"/>
                <w:right w:val="none" w:sz="0" w:space="0" w:color="auto"/>
              </w:divBdr>
            </w:div>
            <w:div w:id="2119371166">
              <w:marLeft w:val="0"/>
              <w:marRight w:val="0"/>
              <w:marTop w:val="0"/>
              <w:marBottom w:val="0"/>
              <w:divBdr>
                <w:top w:val="none" w:sz="0" w:space="0" w:color="auto"/>
                <w:left w:val="none" w:sz="0" w:space="0" w:color="auto"/>
                <w:bottom w:val="none" w:sz="0" w:space="0" w:color="auto"/>
                <w:right w:val="none" w:sz="0" w:space="0" w:color="auto"/>
              </w:divBdr>
            </w:div>
          </w:divsChild>
        </w:div>
        <w:div w:id="296645881">
          <w:marLeft w:val="0"/>
          <w:marRight w:val="0"/>
          <w:marTop w:val="0"/>
          <w:marBottom w:val="0"/>
          <w:divBdr>
            <w:top w:val="none" w:sz="0" w:space="0" w:color="auto"/>
            <w:left w:val="none" w:sz="0" w:space="0" w:color="auto"/>
            <w:bottom w:val="none" w:sz="0" w:space="0" w:color="auto"/>
            <w:right w:val="none" w:sz="0" w:space="0" w:color="auto"/>
          </w:divBdr>
          <w:divsChild>
            <w:div w:id="114982125">
              <w:marLeft w:val="0"/>
              <w:marRight w:val="0"/>
              <w:marTop w:val="0"/>
              <w:marBottom w:val="0"/>
              <w:divBdr>
                <w:top w:val="none" w:sz="0" w:space="0" w:color="auto"/>
                <w:left w:val="none" w:sz="0" w:space="0" w:color="auto"/>
                <w:bottom w:val="none" w:sz="0" w:space="0" w:color="auto"/>
                <w:right w:val="none" w:sz="0" w:space="0" w:color="auto"/>
              </w:divBdr>
            </w:div>
            <w:div w:id="140315210">
              <w:marLeft w:val="0"/>
              <w:marRight w:val="0"/>
              <w:marTop w:val="0"/>
              <w:marBottom w:val="0"/>
              <w:divBdr>
                <w:top w:val="none" w:sz="0" w:space="0" w:color="auto"/>
                <w:left w:val="none" w:sz="0" w:space="0" w:color="auto"/>
                <w:bottom w:val="none" w:sz="0" w:space="0" w:color="auto"/>
                <w:right w:val="none" w:sz="0" w:space="0" w:color="auto"/>
              </w:divBdr>
            </w:div>
            <w:div w:id="244919167">
              <w:marLeft w:val="0"/>
              <w:marRight w:val="0"/>
              <w:marTop w:val="0"/>
              <w:marBottom w:val="0"/>
              <w:divBdr>
                <w:top w:val="none" w:sz="0" w:space="0" w:color="auto"/>
                <w:left w:val="none" w:sz="0" w:space="0" w:color="auto"/>
                <w:bottom w:val="none" w:sz="0" w:space="0" w:color="auto"/>
                <w:right w:val="none" w:sz="0" w:space="0" w:color="auto"/>
              </w:divBdr>
            </w:div>
            <w:div w:id="293870007">
              <w:marLeft w:val="0"/>
              <w:marRight w:val="0"/>
              <w:marTop w:val="0"/>
              <w:marBottom w:val="0"/>
              <w:divBdr>
                <w:top w:val="none" w:sz="0" w:space="0" w:color="auto"/>
                <w:left w:val="none" w:sz="0" w:space="0" w:color="auto"/>
                <w:bottom w:val="none" w:sz="0" w:space="0" w:color="auto"/>
                <w:right w:val="none" w:sz="0" w:space="0" w:color="auto"/>
              </w:divBdr>
            </w:div>
            <w:div w:id="348264506">
              <w:marLeft w:val="0"/>
              <w:marRight w:val="0"/>
              <w:marTop w:val="0"/>
              <w:marBottom w:val="0"/>
              <w:divBdr>
                <w:top w:val="none" w:sz="0" w:space="0" w:color="auto"/>
                <w:left w:val="none" w:sz="0" w:space="0" w:color="auto"/>
                <w:bottom w:val="none" w:sz="0" w:space="0" w:color="auto"/>
                <w:right w:val="none" w:sz="0" w:space="0" w:color="auto"/>
              </w:divBdr>
            </w:div>
            <w:div w:id="637996939">
              <w:marLeft w:val="0"/>
              <w:marRight w:val="0"/>
              <w:marTop w:val="0"/>
              <w:marBottom w:val="0"/>
              <w:divBdr>
                <w:top w:val="none" w:sz="0" w:space="0" w:color="auto"/>
                <w:left w:val="none" w:sz="0" w:space="0" w:color="auto"/>
                <w:bottom w:val="none" w:sz="0" w:space="0" w:color="auto"/>
                <w:right w:val="none" w:sz="0" w:space="0" w:color="auto"/>
              </w:divBdr>
            </w:div>
            <w:div w:id="786394460">
              <w:marLeft w:val="0"/>
              <w:marRight w:val="0"/>
              <w:marTop w:val="0"/>
              <w:marBottom w:val="0"/>
              <w:divBdr>
                <w:top w:val="none" w:sz="0" w:space="0" w:color="auto"/>
                <w:left w:val="none" w:sz="0" w:space="0" w:color="auto"/>
                <w:bottom w:val="none" w:sz="0" w:space="0" w:color="auto"/>
                <w:right w:val="none" w:sz="0" w:space="0" w:color="auto"/>
              </w:divBdr>
            </w:div>
            <w:div w:id="902907465">
              <w:marLeft w:val="0"/>
              <w:marRight w:val="0"/>
              <w:marTop w:val="0"/>
              <w:marBottom w:val="0"/>
              <w:divBdr>
                <w:top w:val="none" w:sz="0" w:space="0" w:color="auto"/>
                <w:left w:val="none" w:sz="0" w:space="0" w:color="auto"/>
                <w:bottom w:val="none" w:sz="0" w:space="0" w:color="auto"/>
                <w:right w:val="none" w:sz="0" w:space="0" w:color="auto"/>
              </w:divBdr>
            </w:div>
            <w:div w:id="983654540">
              <w:marLeft w:val="0"/>
              <w:marRight w:val="0"/>
              <w:marTop w:val="0"/>
              <w:marBottom w:val="0"/>
              <w:divBdr>
                <w:top w:val="none" w:sz="0" w:space="0" w:color="auto"/>
                <w:left w:val="none" w:sz="0" w:space="0" w:color="auto"/>
                <w:bottom w:val="none" w:sz="0" w:space="0" w:color="auto"/>
                <w:right w:val="none" w:sz="0" w:space="0" w:color="auto"/>
              </w:divBdr>
            </w:div>
            <w:div w:id="1043554186">
              <w:marLeft w:val="0"/>
              <w:marRight w:val="0"/>
              <w:marTop w:val="0"/>
              <w:marBottom w:val="0"/>
              <w:divBdr>
                <w:top w:val="none" w:sz="0" w:space="0" w:color="auto"/>
                <w:left w:val="none" w:sz="0" w:space="0" w:color="auto"/>
                <w:bottom w:val="none" w:sz="0" w:space="0" w:color="auto"/>
                <w:right w:val="none" w:sz="0" w:space="0" w:color="auto"/>
              </w:divBdr>
            </w:div>
            <w:div w:id="1092354820">
              <w:marLeft w:val="0"/>
              <w:marRight w:val="0"/>
              <w:marTop w:val="0"/>
              <w:marBottom w:val="0"/>
              <w:divBdr>
                <w:top w:val="none" w:sz="0" w:space="0" w:color="auto"/>
                <w:left w:val="none" w:sz="0" w:space="0" w:color="auto"/>
                <w:bottom w:val="none" w:sz="0" w:space="0" w:color="auto"/>
                <w:right w:val="none" w:sz="0" w:space="0" w:color="auto"/>
              </w:divBdr>
            </w:div>
            <w:div w:id="1097941885">
              <w:marLeft w:val="0"/>
              <w:marRight w:val="0"/>
              <w:marTop w:val="0"/>
              <w:marBottom w:val="0"/>
              <w:divBdr>
                <w:top w:val="none" w:sz="0" w:space="0" w:color="auto"/>
                <w:left w:val="none" w:sz="0" w:space="0" w:color="auto"/>
                <w:bottom w:val="none" w:sz="0" w:space="0" w:color="auto"/>
                <w:right w:val="none" w:sz="0" w:space="0" w:color="auto"/>
              </w:divBdr>
            </w:div>
            <w:div w:id="1296134153">
              <w:marLeft w:val="0"/>
              <w:marRight w:val="0"/>
              <w:marTop w:val="0"/>
              <w:marBottom w:val="0"/>
              <w:divBdr>
                <w:top w:val="none" w:sz="0" w:space="0" w:color="auto"/>
                <w:left w:val="none" w:sz="0" w:space="0" w:color="auto"/>
                <w:bottom w:val="none" w:sz="0" w:space="0" w:color="auto"/>
                <w:right w:val="none" w:sz="0" w:space="0" w:color="auto"/>
              </w:divBdr>
            </w:div>
            <w:div w:id="1328827330">
              <w:marLeft w:val="0"/>
              <w:marRight w:val="0"/>
              <w:marTop w:val="0"/>
              <w:marBottom w:val="0"/>
              <w:divBdr>
                <w:top w:val="none" w:sz="0" w:space="0" w:color="auto"/>
                <w:left w:val="none" w:sz="0" w:space="0" w:color="auto"/>
                <w:bottom w:val="none" w:sz="0" w:space="0" w:color="auto"/>
                <w:right w:val="none" w:sz="0" w:space="0" w:color="auto"/>
              </w:divBdr>
            </w:div>
            <w:div w:id="1388409549">
              <w:marLeft w:val="0"/>
              <w:marRight w:val="0"/>
              <w:marTop w:val="0"/>
              <w:marBottom w:val="0"/>
              <w:divBdr>
                <w:top w:val="none" w:sz="0" w:space="0" w:color="auto"/>
                <w:left w:val="none" w:sz="0" w:space="0" w:color="auto"/>
                <w:bottom w:val="none" w:sz="0" w:space="0" w:color="auto"/>
                <w:right w:val="none" w:sz="0" w:space="0" w:color="auto"/>
              </w:divBdr>
            </w:div>
            <w:div w:id="1474298073">
              <w:marLeft w:val="0"/>
              <w:marRight w:val="0"/>
              <w:marTop w:val="0"/>
              <w:marBottom w:val="0"/>
              <w:divBdr>
                <w:top w:val="none" w:sz="0" w:space="0" w:color="auto"/>
                <w:left w:val="none" w:sz="0" w:space="0" w:color="auto"/>
                <w:bottom w:val="none" w:sz="0" w:space="0" w:color="auto"/>
                <w:right w:val="none" w:sz="0" w:space="0" w:color="auto"/>
              </w:divBdr>
            </w:div>
            <w:div w:id="1672567914">
              <w:marLeft w:val="0"/>
              <w:marRight w:val="0"/>
              <w:marTop w:val="0"/>
              <w:marBottom w:val="0"/>
              <w:divBdr>
                <w:top w:val="none" w:sz="0" w:space="0" w:color="auto"/>
                <w:left w:val="none" w:sz="0" w:space="0" w:color="auto"/>
                <w:bottom w:val="none" w:sz="0" w:space="0" w:color="auto"/>
                <w:right w:val="none" w:sz="0" w:space="0" w:color="auto"/>
              </w:divBdr>
            </w:div>
            <w:div w:id="1795170305">
              <w:marLeft w:val="0"/>
              <w:marRight w:val="0"/>
              <w:marTop w:val="0"/>
              <w:marBottom w:val="0"/>
              <w:divBdr>
                <w:top w:val="none" w:sz="0" w:space="0" w:color="auto"/>
                <w:left w:val="none" w:sz="0" w:space="0" w:color="auto"/>
                <w:bottom w:val="none" w:sz="0" w:space="0" w:color="auto"/>
                <w:right w:val="none" w:sz="0" w:space="0" w:color="auto"/>
              </w:divBdr>
            </w:div>
            <w:div w:id="1825197183">
              <w:marLeft w:val="0"/>
              <w:marRight w:val="0"/>
              <w:marTop w:val="0"/>
              <w:marBottom w:val="0"/>
              <w:divBdr>
                <w:top w:val="none" w:sz="0" w:space="0" w:color="auto"/>
                <w:left w:val="none" w:sz="0" w:space="0" w:color="auto"/>
                <w:bottom w:val="none" w:sz="0" w:space="0" w:color="auto"/>
                <w:right w:val="none" w:sz="0" w:space="0" w:color="auto"/>
              </w:divBdr>
            </w:div>
            <w:div w:id="2066298134">
              <w:marLeft w:val="0"/>
              <w:marRight w:val="0"/>
              <w:marTop w:val="0"/>
              <w:marBottom w:val="0"/>
              <w:divBdr>
                <w:top w:val="none" w:sz="0" w:space="0" w:color="auto"/>
                <w:left w:val="none" w:sz="0" w:space="0" w:color="auto"/>
                <w:bottom w:val="none" w:sz="0" w:space="0" w:color="auto"/>
                <w:right w:val="none" w:sz="0" w:space="0" w:color="auto"/>
              </w:divBdr>
            </w:div>
          </w:divsChild>
        </w:div>
        <w:div w:id="394747064">
          <w:marLeft w:val="0"/>
          <w:marRight w:val="0"/>
          <w:marTop w:val="0"/>
          <w:marBottom w:val="0"/>
          <w:divBdr>
            <w:top w:val="none" w:sz="0" w:space="0" w:color="auto"/>
            <w:left w:val="none" w:sz="0" w:space="0" w:color="auto"/>
            <w:bottom w:val="none" w:sz="0" w:space="0" w:color="auto"/>
            <w:right w:val="none" w:sz="0" w:space="0" w:color="auto"/>
          </w:divBdr>
        </w:div>
        <w:div w:id="396787259">
          <w:marLeft w:val="0"/>
          <w:marRight w:val="0"/>
          <w:marTop w:val="0"/>
          <w:marBottom w:val="0"/>
          <w:divBdr>
            <w:top w:val="none" w:sz="0" w:space="0" w:color="auto"/>
            <w:left w:val="none" w:sz="0" w:space="0" w:color="auto"/>
            <w:bottom w:val="none" w:sz="0" w:space="0" w:color="auto"/>
            <w:right w:val="none" w:sz="0" w:space="0" w:color="auto"/>
          </w:divBdr>
        </w:div>
        <w:div w:id="496726368">
          <w:marLeft w:val="0"/>
          <w:marRight w:val="0"/>
          <w:marTop w:val="0"/>
          <w:marBottom w:val="0"/>
          <w:divBdr>
            <w:top w:val="none" w:sz="0" w:space="0" w:color="auto"/>
            <w:left w:val="none" w:sz="0" w:space="0" w:color="auto"/>
            <w:bottom w:val="none" w:sz="0" w:space="0" w:color="auto"/>
            <w:right w:val="none" w:sz="0" w:space="0" w:color="auto"/>
          </w:divBdr>
        </w:div>
        <w:div w:id="517548560">
          <w:marLeft w:val="0"/>
          <w:marRight w:val="0"/>
          <w:marTop w:val="0"/>
          <w:marBottom w:val="0"/>
          <w:divBdr>
            <w:top w:val="none" w:sz="0" w:space="0" w:color="auto"/>
            <w:left w:val="none" w:sz="0" w:space="0" w:color="auto"/>
            <w:bottom w:val="none" w:sz="0" w:space="0" w:color="auto"/>
            <w:right w:val="none" w:sz="0" w:space="0" w:color="auto"/>
          </w:divBdr>
        </w:div>
        <w:div w:id="524288230">
          <w:marLeft w:val="0"/>
          <w:marRight w:val="0"/>
          <w:marTop w:val="0"/>
          <w:marBottom w:val="0"/>
          <w:divBdr>
            <w:top w:val="none" w:sz="0" w:space="0" w:color="auto"/>
            <w:left w:val="none" w:sz="0" w:space="0" w:color="auto"/>
            <w:bottom w:val="none" w:sz="0" w:space="0" w:color="auto"/>
            <w:right w:val="none" w:sz="0" w:space="0" w:color="auto"/>
          </w:divBdr>
        </w:div>
        <w:div w:id="552816087">
          <w:marLeft w:val="0"/>
          <w:marRight w:val="0"/>
          <w:marTop w:val="0"/>
          <w:marBottom w:val="0"/>
          <w:divBdr>
            <w:top w:val="none" w:sz="0" w:space="0" w:color="auto"/>
            <w:left w:val="none" w:sz="0" w:space="0" w:color="auto"/>
            <w:bottom w:val="none" w:sz="0" w:space="0" w:color="auto"/>
            <w:right w:val="none" w:sz="0" w:space="0" w:color="auto"/>
          </w:divBdr>
        </w:div>
        <w:div w:id="563684613">
          <w:marLeft w:val="0"/>
          <w:marRight w:val="0"/>
          <w:marTop w:val="0"/>
          <w:marBottom w:val="0"/>
          <w:divBdr>
            <w:top w:val="none" w:sz="0" w:space="0" w:color="auto"/>
            <w:left w:val="none" w:sz="0" w:space="0" w:color="auto"/>
            <w:bottom w:val="none" w:sz="0" w:space="0" w:color="auto"/>
            <w:right w:val="none" w:sz="0" w:space="0" w:color="auto"/>
          </w:divBdr>
        </w:div>
        <w:div w:id="571240575">
          <w:marLeft w:val="0"/>
          <w:marRight w:val="0"/>
          <w:marTop w:val="0"/>
          <w:marBottom w:val="0"/>
          <w:divBdr>
            <w:top w:val="none" w:sz="0" w:space="0" w:color="auto"/>
            <w:left w:val="none" w:sz="0" w:space="0" w:color="auto"/>
            <w:bottom w:val="none" w:sz="0" w:space="0" w:color="auto"/>
            <w:right w:val="none" w:sz="0" w:space="0" w:color="auto"/>
          </w:divBdr>
        </w:div>
        <w:div w:id="574363161">
          <w:marLeft w:val="0"/>
          <w:marRight w:val="0"/>
          <w:marTop w:val="0"/>
          <w:marBottom w:val="0"/>
          <w:divBdr>
            <w:top w:val="none" w:sz="0" w:space="0" w:color="auto"/>
            <w:left w:val="none" w:sz="0" w:space="0" w:color="auto"/>
            <w:bottom w:val="none" w:sz="0" w:space="0" w:color="auto"/>
            <w:right w:val="none" w:sz="0" w:space="0" w:color="auto"/>
          </w:divBdr>
        </w:div>
        <w:div w:id="613370579">
          <w:marLeft w:val="0"/>
          <w:marRight w:val="0"/>
          <w:marTop w:val="0"/>
          <w:marBottom w:val="0"/>
          <w:divBdr>
            <w:top w:val="none" w:sz="0" w:space="0" w:color="auto"/>
            <w:left w:val="none" w:sz="0" w:space="0" w:color="auto"/>
            <w:bottom w:val="none" w:sz="0" w:space="0" w:color="auto"/>
            <w:right w:val="none" w:sz="0" w:space="0" w:color="auto"/>
          </w:divBdr>
        </w:div>
        <w:div w:id="616718903">
          <w:marLeft w:val="0"/>
          <w:marRight w:val="0"/>
          <w:marTop w:val="0"/>
          <w:marBottom w:val="0"/>
          <w:divBdr>
            <w:top w:val="none" w:sz="0" w:space="0" w:color="auto"/>
            <w:left w:val="none" w:sz="0" w:space="0" w:color="auto"/>
            <w:bottom w:val="none" w:sz="0" w:space="0" w:color="auto"/>
            <w:right w:val="none" w:sz="0" w:space="0" w:color="auto"/>
          </w:divBdr>
        </w:div>
        <w:div w:id="633875584">
          <w:marLeft w:val="0"/>
          <w:marRight w:val="0"/>
          <w:marTop w:val="0"/>
          <w:marBottom w:val="0"/>
          <w:divBdr>
            <w:top w:val="none" w:sz="0" w:space="0" w:color="auto"/>
            <w:left w:val="none" w:sz="0" w:space="0" w:color="auto"/>
            <w:bottom w:val="none" w:sz="0" w:space="0" w:color="auto"/>
            <w:right w:val="none" w:sz="0" w:space="0" w:color="auto"/>
          </w:divBdr>
        </w:div>
        <w:div w:id="641037092">
          <w:marLeft w:val="0"/>
          <w:marRight w:val="0"/>
          <w:marTop w:val="0"/>
          <w:marBottom w:val="0"/>
          <w:divBdr>
            <w:top w:val="none" w:sz="0" w:space="0" w:color="auto"/>
            <w:left w:val="none" w:sz="0" w:space="0" w:color="auto"/>
            <w:bottom w:val="none" w:sz="0" w:space="0" w:color="auto"/>
            <w:right w:val="none" w:sz="0" w:space="0" w:color="auto"/>
          </w:divBdr>
        </w:div>
        <w:div w:id="703217560">
          <w:marLeft w:val="0"/>
          <w:marRight w:val="0"/>
          <w:marTop w:val="0"/>
          <w:marBottom w:val="0"/>
          <w:divBdr>
            <w:top w:val="none" w:sz="0" w:space="0" w:color="auto"/>
            <w:left w:val="none" w:sz="0" w:space="0" w:color="auto"/>
            <w:bottom w:val="none" w:sz="0" w:space="0" w:color="auto"/>
            <w:right w:val="none" w:sz="0" w:space="0" w:color="auto"/>
          </w:divBdr>
        </w:div>
        <w:div w:id="703402548">
          <w:marLeft w:val="0"/>
          <w:marRight w:val="0"/>
          <w:marTop w:val="0"/>
          <w:marBottom w:val="0"/>
          <w:divBdr>
            <w:top w:val="none" w:sz="0" w:space="0" w:color="auto"/>
            <w:left w:val="none" w:sz="0" w:space="0" w:color="auto"/>
            <w:bottom w:val="none" w:sz="0" w:space="0" w:color="auto"/>
            <w:right w:val="none" w:sz="0" w:space="0" w:color="auto"/>
          </w:divBdr>
        </w:div>
        <w:div w:id="728505006">
          <w:marLeft w:val="0"/>
          <w:marRight w:val="0"/>
          <w:marTop w:val="0"/>
          <w:marBottom w:val="0"/>
          <w:divBdr>
            <w:top w:val="none" w:sz="0" w:space="0" w:color="auto"/>
            <w:left w:val="none" w:sz="0" w:space="0" w:color="auto"/>
            <w:bottom w:val="none" w:sz="0" w:space="0" w:color="auto"/>
            <w:right w:val="none" w:sz="0" w:space="0" w:color="auto"/>
          </w:divBdr>
        </w:div>
        <w:div w:id="744453670">
          <w:marLeft w:val="0"/>
          <w:marRight w:val="0"/>
          <w:marTop w:val="0"/>
          <w:marBottom w:val="0"/>
          <w:divBdr>
            <w:top w:val="none" w:sz="0" w:space="0" w:color="auto"/>
            <w:left w:val="none" w:sz="0" w:space="0" w:color="auto"/>
            <w:bottom w:val="none" w:sz="0" w:space="0" w:color="auto"/>
            <w:right w:val="none" w:sz="0" w:space="0" w:color="auto"/>
          </w:divBdr>
        </w:div>
        <w:div w:id="745956255">
          <w:marLeft w:val="0"/>
          <w:marRight w:val="0"/>
          <w:marTop w:val="0"/>
          <w:marBottom w:val="0"/>
          <w:divBdr>
            <w:top w:val="none" w:sz="0" w:space="0" w:color="auto"/>
            <w:left w:val="none" w:sz="0" w:space="0" w:color="auto"/>
            <w:bottom w:val="none" w:sz="0" w:space="0" w:color="auto"/>
            <w:right w:val="none" w:sz="0" w:space="0" w:color="auto"/>
          </w:divBdr>
        </w:div>
        <w:div w:id="852840751">
          <w:marLeft w:val="0"/>
          <w:marRight w:val="0"/>
          <w:marTop w:val="0"/>
          <w:marBottom w:val="0"/>
          <w:divBdr>
            <w:top w:val="none" w:sz="0" w:space="0" w:color="auto"/>
            <w:left w:val="none" w:sz="0" w:space="0" w:color="auto"/>
            <w:bottom w:val="none" w:sz="0" w:space="0" w:color="auto"/>
            <w:right w:val="none" w:sz="0" w:space="0" w:color="auto"/>
          </w:divBdr>
        </w:div>
        <w:div w:id="921528952">
          <w:marLeft w:val="0"/>
          <w:marRight w:val="0"/>
          <w:marTop w:val="0"/>
          <w:marBottom w:val="0"/>
          <w:divBdr>
            <w:top w:val="none" w:sz="0" w:space="0" w:color="auto"/>
            <w:left w:val="none" w:sz="0" w:space="0" w:color="auto"/>
            <w:bottom w:val="none" w:sz="0" w:space="0" w:color="auto"/>
            <w:right w:val="none" w:sz="0" w:space="0" w:color="auto"/>
          </w:divBdr>
        </w:div>
        <w:div w:id="958730133">
          <w:marLeft w:val="0"/>
          <w:marRight w:val="0"/>
          <w:marTop w:val="0"/>
          <w:marBottom w:val="0"/>
          <w:divBdr>
            <w:top w:val="none" w:sz="0" w:space="0" w:color="auto"/>
            <w:left w:val="none" w:sz="0" w:space="0" w:color="auto"/>
            <w:bottom w:val="none" w:sz="0" w:space="0" w:color="auto"/>
            <w:right w:val="none" w:sz="0" w:space="0" w:color="auto"/>
          </w:divBdr>
        </w:div>
        <w:div w:id="1012532406">
          <w:marLeft w:val="0"/>
          <w:marRight w:val="0"/>
          <w:marTop w:val="0"/>
          <w:marBottom w:val="0"/>
          <w:divBdr>
            <w:top w:val="none" w:sz="0" w:space="0" w:color="auto"/>
            <w:left w:val="none" w:sz="0" w:space="0" w:color="auto"/>
            <w:bottom w:val="none" w:sz="0" w:space="0" w:color="auto"/>
            <w:right w:val="none" w:sz="0" w:space="0" w:color="auto"/>
          </w:divBdr>
        </w:div>
        <w:div w:id="1029454641">
          <w:marLeft w:val="0"/>
          <w:marRight w:val="0"/>
          <w:marTop w:val="0"/>
          <w:marBottom w:val="0"/>
          <w:divBdr>
            <w:top w:val="none" w:sz="0" w:space="0" w:color="auto"/>
            <w:left w:val="none" w:sz="0" w:space="0" w:color="auto"/>
            <w:bottom w:val="none" w:sz="0" w:space="0" w:color="auto"/>
            <w:right w:val="none" w:sz="0" w:space="0" w:color="auto"/>
          </w:divBdr>
        </w:div>
        <w:div w:id="1213738198">
          <w:marLeft w:val="0"/>
          <w:marRight w:val="0"/>
          <w:marTop w:val="0"/>
          <w:marBottom w:val="0"/>
          <w:divBdr>
            <w:top w:val="none" w:sz="0" w:space="0" w:color="auto"/>
            <w:left w:val="none" w:sz="0" w:space="0" w:color="auto"/>
            <w:bottom w:val="none" w:sz="0" w:space="0" w:color="auto"/>
            <w:right w:val="none" w:sz="0" w:space="0" w:color="auto"/>
          </w:divBdr>
        </w:div>
        <w:div w:id="1216088040">
          <w:marLeft w:val="0"/>
          <w:marRight w:val="0"/>
          <w:marTop w:val="0"/>
          <w:marBottom w:val="0"/>
          <w:divBdr>
            <w:top w:val="none" w:sz="0" w:space="0" w:color="auto"/>
            <w:left w:val="none" w:sz="0" w:space="0" w:color="auto"/>
            <w:bottom w:val="none" w:sz="0" w:space="0" w:color="auto"/>
            <w:right w:val="none" w:sz="0" w:space="0" w:color="auto"/>
          </w:divBdr>
        </w:div>
        <w:div w:id="1260022319">
          <w:marLeft w:val="0"/>
          <w:marRight w:val="0"/>
          <w:marTop w:val="0"/>
          <w:marBottom w:val="0"/>
          <w:divBdr>
            <w:top w:val="none" w:sz="0" w:space="0" w:color="auto"/>
            <w:left w:val="none" w:sz="0" w:space="0" w:color="auto"/>
            <w:bottom w:val="none" w:sz="0" w:space="0" w:color="auto"/>
            <w:right w:val="none" w:sz="0" w:space="0" w:color="auto"/>
          </w:divBdr>
        </w:div>
        <w:div w:id="1278097707">
          <w:marLeft w:val="0"/>
          <w:marRight w:val="0"/>
          <w:marTop w:val="0"/>
          <w:marBottom w:val="0"/>
          <w:divBdr>
            <w:top w:val="none" w:sz="0" w:space="0" w:color="auto"/>
            <w:left w:val="none" w:sz="0" w:space="0" w:color="auto"/>
            <w:bottom w:val="none" w:sz="0" w:space="0" w:color="auto"/>
            <w:right w:val="none" w:sz="0" w:space="0" w:color="auto"/>
          </w:divBdr>
        </w:div>
        <w:div w:id="1279147146">
          <w:marLeft w:val="0"/>
          <w:marRight w:val="0"/>
          <w:marTop w:val="0"/>
          <w:marBottom w:val="0"/>
          <w:divBdr>
            <w:top w:val="none" w:sz="0" w:space="0" w:color="auto"/>
            <w:left w:val="none" w:sz="0" w:space="0" w:color="auto"/>
            <w:bottom w:val="none" w:sz="0" w:space="0" w:color="auto"/>
            <w:right w:val="none" w:sz="0" w:space="0" w:color="auto"/>
          </w:divBdr>
        </w:div>
        <w:div w:id="1320188103">
          <w:marLeft w:val="0"/>
          <w:marRight w:val="0"/>
          <w:marTop w:val="0"/>
          <w:marBottom w:val="0"/>
          <w:divBdr>
            <w:top w:val="none" w:sz="0" w:space="0" w:color="auto"/>
            <w:left w:val="none" w:sz="0" w:space="0" w:color="auto"/>
            <w:bottom w:val="none" w:sz="0" w:space="0" w:color="auto"/>
            <w:right w:val="none" w:sz="0" w:space="0" w:color="auto"/>
          </w:divBdr>
        </w:div>
        <w:div w:id="1376656854">
          <w:marLeft w:val="0"/>
          <w:marRight w:val="0"/>
          <w:marTop w:val="0"/>
          <w:marBottom w:val="0"/>
          <w:divBdr>
            <w:top w:val="none" w:sz="0" w:space="0" w:color="auto"/>
            <w:left w:val="none" w:sz="0" w:space="0" w:color="auto"/>
            <w:bottom w:val="none" w:sz="0" w:space="0" w:color="auto"/>
            <w:right w:val="none" w:sz="0" w:space="0" w:color="auto"/>
          </w:divBdr>
        </w:div>
        <w:div w:id="1383599927">
          <w:marLeft w:val="0"/>
          <w:marRight w:val="0"/>
          <w:marTop w:val="0"/>
          <w:marBottom w:val="0"/>
          <w:divBdr>
            <w:top w:val="none" w:sz="0" w:space="0" w:color="auto"/>
            <w:left w:val="none" w:sz="0" w:space="0" w:color="auto"/>
            <w:bottom w:val="none" w:sz="0" w:space="0" w:color="auto"/>
            <w:right w:val="none" w:sz="0" w:space="0" w:color="auto"/>
          </w:divBdr>
        </w:div>
        <w:div w:id="1385786542">
          <w:marLeft w:val="0"/>
          <w:marRight w:val="0"/>
          <w:marTop w:val="0"/>
          <w:marBottom w:val="0"/>
          <w:divBdr>
            <w:top w:val="none" w:sz="0" w:space="0" w:color="auto"/>
            <w:left w:val="none" w:sz="0" w:space="0" w:color="auto"/>
            <w:bottom w:val="none" w:sz="0" w:space="0" w:color="auto"/>
            <w:right w:val="none" w:sz="0" w:space="0" w:color="auto"/>
          </w:divBdr>
        </w:div>
        <w:div w:id="1389575385">
          <w:marLeft w:val="0"/>
          <w:marRight w:val="0"/>
          <w:marTop w:val="0"/>
          <w:marBottom w:val="0"/>
          <w:divBdr>
            <w:top w:val="none" w:sz="0" w:space="0" w:color="auto"/>
            <w:left w:val="none" w:sz="0" w:space="0" w:color="auto"/>
            <w:bottom w:val="none" w:sz="0" w:space="0" w:color="auto"/>
            <w:right w:val="none" w:sz="0" w:space="0" w:color="auto"/>
          </w:divBdr>
        </w:div>
        <w:div w:id="1402943492">
          <w:marLeft w:val="0"/>
          <w:marRight w:val="0"/>
          <w:marTop w:val="0"/>
          <w:marBottom w:val="0"/>
          <w:divBdr>
            <w:top w:val="none" w:sz="0" w:space="0" w:color="auto"/>
            <w:left w:val="none" w:sz="0" w:space="0" w:color="auto"/>
            <w:bottom w:val="none" w:sz="0" w:space="0" w:color="auto"/>
            <w:right w:val="none" w:sz="0" w:space="0" w:color="auto"/>
          </w:divBdr>
        </w:div>
        <w:div w:id="1415590623">
          <w:marLeft w:val="0"/>
          <w:marRight w:val="0"/>
          <w:marTop w:val="0"/>
          <w:marBottom w:val="0"/>
          <w:divBdr>
            <w:top w:val="none" w:sz="0" w:space="0" w:color="auto"/>
            <w:left w:val="none" w:sz="0" w:space="0" w:color="auto"/>
            <w:bottom w:val="none" w:sz="0" w:space="0" w:color="auto"/>
            <w:right w:val="none" w:sz="0" w:space="0" w:color="auto"/>
          </w:divBdr>
        </w:div>
        <w:div w:id="1466047726">
          <w:marLeft w:val="0"/>
          <w:marRight w:val="0"/>
          <w:marTop w:val="0"/>
          <w:marBottom w:val="0"/>
          <w:divBdr>
            <w:top w:val="none" w:sz="0" w:space="0" w:color="auto"/>
            <w:left w:val="none" w:sz="0" w:space="0" w:color="auto"/>
            <w:bottom w:val="none" w:sz="0" w:space="0" w:color="auto"/>
            <w:right w:val="none" w:sz="0" w:space="0" w:color="auto"/>
          </w:divBdr>
        </w:div>
        <w:div w:id="1477837660">
          <w:marLeft w:val="0"/>
          <w:marRight w:val="0"/>
          <w:marTop w:val="0"/>
          <w:marBottom w:val="0"/>
          <w:divBdr>
            <w:top w:val="none" w:sz="0" w:space="0" w:color="auto"/>
            <w:left w:val="none" w:sz="0" w:space="0" w:color="auto"/>
            <w:bottom w:val="none" w:sz="0" w:space="0" w:color="auto"/>
            <w:right w:val="none" w:sz="0" w:space="0" w:color="auto"/>
          </w:divBdr>
        </w:div>
        <w:div w:id="1554807339">
          <w:marLeft w:val="0"/>
          <w:marRight w:val="0"/>
          <w:marTop w:val="0"/>
          <w:marBottom w:val="0"/>
          <w:divBdr>
            <w:top w:val="none" w:sz="0" w:space="0" w:color="auto"/>
            <w:left w:val="none" w:sz="0" w:space="0" w:color="auto"/>
            <w:bottom w:val="none" w:sz="0" w:space="0" w:color="auto"/>
            <w:right w:val="none" w:sz="0" w:space="0" w:color="auto"/>
          </w:divBdr>
        </w:div>
        <w:div w:id="1567717673">
          <w:marLeft w:val="0"/>
          <w:marRight w:val="0"/>
          <w:marTop w:val="0"/>
          <w:marBottom w:val="0"/>
          <w:divBdr>
            <w:top w:val="none" w:sz="0" w:space="0" w:color="auto"/>
            <w:left w:val="none" w:sz="0" w:space="0" w:color="auto"/>
            <w:bottom w:val="none" w:sz="0" w:space="0" w:color="auto"/>
            <w:right w:val="none" w:sz="0" w:space="0" w:color="auto"/>
          </w:divBdr>
        </w:div>
        <w:div w:id="1581521892">
          <w:marLeft w:val="0"/>
          <w:marRight w:val="0"/>
          <w:marTop w:val="0"/>
          <w:marBottom w:val="0"/>
          <w:divBdr>
            <w:top w:val="none" w:sz="0" w:space="0" w:color="auto"/>
            <w:left w:val="none" w:sz="0" w:space="0" w:color="auto"/>
            <w:bottom w:val="none" w:sz="0" w:space="0" w:color="auto"/>
            <w:right w:val="none" w:sz="0" w:space="0" w:color="auto"/>
          </w:divBdr>
        </w:div>
        <w:div w:id="1582249748">
          <w:marLeft w:val="0"/>
          <w:marRight w:val="0"/>
          <w:marTop w:val="0"/>
          <w:marBottom w:val="0"/>
          <w:divBdr>
            <w:top w:val="none" w:sz="0" w:space="0" w:color="auto"/>
            <w:left w:val="none" w:sz="0" w:space="0" w:color="auto"/>
            <w:bottom w:val="none" w:sz="0" w:space="0" w:color="auto"/>
            <w:right w:val="none" w:sz="0" w:space="0" w:color="auto"/>
          </w:divBdr>
        </w:div>
        <w:div w:id="1661108170">
          <w:marLeft w:val="0"/>
          <w:marRight w:val="0"/>
          <w:marTop w:val="0"/>
          <w:marBottom w:val="0"/>
          <w:divBdr>
            <w:top w:val="none" w:sz="0" w:space="0" w:color="auto"/>
            <w:left w:val="none" w:sz="0" w:space="0" w:color="auto"/>
            <w:bottom w:val="none" w:sz="0" w:space="0" w:color="auto"/>
            <w:right w:val="none" w:sz="0" w:space="0" w:color="auto"/>
          </w:divBdr>
        </w:div>
        <w:div w:id="1677414865">
          <w:marLeft w:val="0"/>
          <w:marRight w:val="0"/>
          <w:marTop w:val="0"/>
          <w:marBottom w:val="0"/>
          <w:divBdr>
            <w:top w:val="none" w:sz="0" w:space="0" w:color="auto"/>
            <w:left w:val="none" w:sz="0" w:space="0" w:color="auto"/>
            <w:bottom w:val="none" w:sz="0" w:space="0" w:color="auto"/>
            <w:right w:val="none" w:sz="0" w:space="0" w:color="auto"/>
          </w:divBdr>
        </w:div>
        <w:div w:id="1694649357">
          <w:marLeft w:val="0"/>
          <w:marRight w:val="0"/>
          <w:marTop w:val="0"/>
          <w:marBottom w:val="0"/>
          <w:divBdr>
            <w:top w:val="none" w:sz="0" w:space="0" w:color="auto"/>
            <w:left w:val="none" w:sz="0" w:space="0" w:color="auto"/>
            <w:bottom w:val="none" w:sz="0" w:space="0" w:color="auto"/>
            <w:right w:val="none" w:sz="0" w:space="0" w:color="auto"/>
          </w:divBdr>
        </w:div>
        <w:div w:id="1715734776">
          <w:marLeft w:val="0"/>
          <w:marRight w:val="0"/>
          <w:marTop w:val="0"/>
          <w:marBottom w:val="0"/>
          <w:divBdr>
            <w:top w:val="none" w:sz="0" w:space="0" w:color="auto"/>
            <w:left w:val="none" w:sz="0" w:space="0" w:color="auto"/>
            <w:bottom w:val="none" w:sz="0" w:space="0" w:color="auto"/>
            <w:right w:val="none" w:sz="0" w:space="0" w:color="auto"/>
          </w:divBdr>
        </w:div>
        <w:div w:id="1824002970">
          <w:marLeft w:val="0"/>
          <w:marRight w:val="0"/>
          <w:marTop w:val="0"/>
          <w:marBottom w:val="0"/>
          <w:divBdr>
            <w:top w:val="none" w:sz="0" w:space="0" w:color="auto"/>
            <w:left w:val="none" w:sz="0" w:space="0" w:color="auto"/>
            <w:bottom w:val="none" w:sz="0" w:space="0" w:color="auto"/>
            <w:right w:val="none" w:sz="0" w:space="0" w:color="auto"/>
          </w:divBdr>
        </w:div>
        <w:div w:id="1882550403">
          <w:marLeft w:val="0"/>
          <w:marRight w:val="0"/>
          <w:marTop w:val="0"/>
          <w:marBottom w:val="0"/>
          <w:divBdr>
            <w:top w:val="none" w:sz="0" w:space="0" w:color="auto"/>
            <w:left w:val="none" w:sz="0" w:space="0" w:color="auto"/>
            <w:bottom w:val="none" w:sz="0" w:space="0" w:color="auto"/>
            <w:right w:val="none" w:sz="0" w:space="0" w:color="auto"/>
          </w:divBdr>
        </w:div>
        <w:div w:id="1985544861">
          <w:marLeft w:val="0"/>
          <w:marRight w:val="0"/>
          <w:marTop w:val="0"/>
          <w:marBottom w:val="0"/>
          <w:divBdr>
            <w:top w:val="none" w:sz="0" w:space="0" w:color="auto"/>
            <w:left w:val="none" w:sz="0" w:space="0" w:color="auto"/>
            <w:bottom w:val="none" w:sz="0" w:space="0" w:color="auto"/>
            <w:right w:val="none" w:sz="0" w:space="0" w:color="auto"/>
          </w:divBdr>
        </w:div>
        <w:div w:id="1987277431">
          <w:marLeft w:val="0"/>
          <w:marRight w:val="0"/>
          <w:marTop w:val="0"/>
          <w:marBottom w:val="0"/>
          <w:divBdr>
            <w:top w:val="none" w:sz="0" w:space="0" w:color="auto"/>
            <w:left w:val="none" w:sz="0" w:space="0" w:color="auto"/>
            <w:bottom w:val="none" w:sz="0" w:space="0" w:color="auto"/>
            <w:right w:val="none" w:sz="0" w:space="0" w:color="auto"/>
          </w:divBdr>
        </w:div>
        <w:div w:id="2065907664">
          <w:marLeft w:val="0"/>
          <w:marRight w:val="0"/>
          <w:marTop w:val="0"/>
          <w:marBottom w:val="0"/>
          <w:divBdr>
            <w:top w:val="none" w:sz="0" w:space="0" w:color="auto"/>
            <w:left w:val="none" w:sz="0" w:space="0" w:color="auto"/>
            <w:bottom w:val="none" w:sz="0" w:space="0" w:color="auto"/>
            <w:right w:val="none" w:sz="0" w:space="0" w:color="auto"/>
          </w:divBdr>
        </w:div>
        <w:div w:id="2080440750">
          <w:marLeft w:val="0"/>
          <w:marRight w:val="0"/>
          <w:marTop w:val="0"/>
          <w:marBottom w:val="0"/>
          <w:divBdr>
            <w:top w:val="none" w:sz="0" w:space="0" w:color="auto"/>
            <w:left w:val="none" w:sz="0" w:space="0" w:color="auto"/>
            <w:bottom w:val="none" w:sz="0" w:space="0" w:color="auto"/>
            <w:right w:val="none" w:sz="0" w:space="0" w:color="auto"/>
          </w:divBdr>
        </w:div>
        <w:div w:id="2085226268">
          <w:marLeft w:val="0"/>
          <w:marRight w:val="0"/>
          <w:marTop w:val="0"/>
          <w:marBottom w:val="0"/>
          <w:divBdr>
            <w:top w:val="none" w:sz="0" w:space="0" w:color="auto"/>
            <w:left w:val="none" w:sz="0" w:space="0" w:color="auto"/>
            <w:bottom w:val="none" w:sz="0" w:space="0" w:color="auto"/>
            <w:right w:val="none" w:sz="0" w:space="0" w:color="auto"/>
          </w:divBdr>
        </w:div>
        <w:div w:id="2098744417">
          <w:marLeft w:val="0"/>
          <w:marRight w:val="0"/>
          <w:marTop w:val="0"/>
          <w:marBottom w:val="0"/>
          <w:divBdr>
            <w:top w:val="none" w:sz="0" w:space="0" w:color="auto"/>
            <w:left w:val="none" w:sz="0" w:space="0" w:color="auto"/>
            <w:bottom w:val="none" w:sz="0" w:space="0" w:color="auto"/>
            <w:right w:val="none" w:sz="0" w:space="0" w:color="auto"/>
          </w:divBdr>
        </w:div>
      </w:divsChild>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236358132">
      <w:bodyDiv w:val="1"/>
      <w:marLeft w:val="0"/>
      <w:marRight w:val="0"/>
      <w:marTop w:val="0"/>
      <w:marBottom w:val="0"/>
      <w:divBdr>
        <w:top w:val="none" w:sz="0" w:space="0" w:color="auto"/>
        <w:left w:val="none" w:sz="0" w:space="0" w:color="auto"/>
        <w:bottom w:val="none" w:sz="0" w:space="0" w:color="auto"/>
        <w:right w:val="none" w:sz="0" w:space="0" w:color="auto"/>
      </w:divBdr>
    </w:div>
    <w:div w:id="1320158226">
      <w:bodyDiv w:val="1"/>
      <w:marLeft w:val="0"/>
      <w:marRight w:val="0"/>
      <w:marTop w:val="0"/>
      <w:marBottom w:val="0"/>
      <w:divBdr>
        <w:top w:val="none" w:sz="0" w:space="0" w:color="auto"/>
        <w:left w:val="none" w:sz="0" w:space="0" w:color="auto"/>
        <w:bottom w:val="none" w:sz="0" w:space="0" w:color="auto"/>
        <w:right w:val="none" w:sz="0" w:space="0" w:color="auto"/>
      </w:divBdr>
      <w:divsChild>
        <w:div w:id="11148904">
          <w:marLeft w:val="0"/>
          <w:marRight w:val="0"/>
          <w:marTop w:val="0"/>
          <w:marBottom w:val="0"/>
          <w:divBdr>
            <w:top w:val="none" w:sz="0" w:space="0" w:color="auto"/>
            <w:left w:val="none" w:sz="0" w:space="0" w:color="auto"/>
            <w:bottom w:val="none" w:sz="0" w:space="0" w:color="auto"/>
            <w:right w:val="none" w:sz="0" w:space="0" w:color="auto"/>
          </w:divBdr>
        </w:div>
        <w:div w:id="13658748">
          <w:marLeft w:val="0"/>
          <w:marRight w:val="0"/>
          <w:marTop w:val="0"/>
          <w:marBottom w:val="0"/>
          <w:divBdr>
            <w:top w:val="none" w:sz="0" w:space="0" w:color="auto"/>
            <w:left w:val="none" w:sz="0" w:space="0" w:color="auto"/>
            <w:bottom w:val="none" w:sz="0" w:space="0" w:color="auto"/>
            <w:right w:val="none" w:sz="0" w:space="0" w:color="auto"/>
          </w:divBdr>
        </w:div>
        <w:div w:id="60980861">
          <w:marLeft w:val="0"/>
          <w:marRight w:val="0"/>
          <w:marTop w:val="0"/>
          <w:marBottom w:val="0"/>
          <w:divBdr>
            <w:top w:val="none" w:sz="0" w:space="0" w:color="auto"/>
            <w:left w:val="none" w:sz="0" w:space="0" w:color="auto"/>
            <w:bottom w:val="none" w:sz="0" w:space="0" w:color="auto"/>
            <w:right w:val="none" w:sz="0" w:space="0" w:color="auto"/>
          </w:divBdr>
        </w:div>
        <w:div w:id="62724036">
          <w:marLeft w:val="0"/>
          <w:marRight w:val="0"/>
          <w:marTop w:val="0"/>
          <w:marBottom w:val="0"/>
          <w:divBdr>
            <w:top w:val="none" w:sz="0" w:space="0" w:color="auto"/>
            <w:left w:val="none" w:sz="0" w:space="0" w:color="auto"/>
            <w:bottom w:val="none" w:sz="0" w:space="0" w:color="auto"/>
            <w:right w:val="none" w:sz="0" w:space="0" w:color="auto"/>
          </w:divBdr>
        </w:div>
        <w:div w:id="68769085">
          <w:marLeft w:val="0"/>
          <w:marRight w:val="0"/>
          <w:marTop w:val="0"/>
          <w:marBottom w:val="0"/>
          <w:divBdr>
            <w:top w:val="none" w:sz="0" w:space="0" w:color="auto"/>
            <w:left w:val="none" w:sz="0" w:space="0" w:color="auto"/>
            <w:bottom w:val="none" w:sz="0" w:space="0" w:color="auto"/>
            <w:right w:val="none" w:sz="0" w:space="0" w:color="auto"/>
          </w:divBdr>
        </w:div>
        <w:div w:id="110714212">
          <w:marLeft w:val="0"/>
          <w:marRight w:val="0"/>
          <w:marTop w:val="0"/>
          <w:marBottom w:val="0"/>
          <w:divBdr>
            <w:top w:val="none" w:sz="0" w:space="0" w:color="auto"/>
            <w:left w:val="none" w:sz="0" w:space="0" w:color="auto"/>
            <w:bottom w:val="none" w:sz="0" w:space="0" w:color="auto"/>
            <w:right w:val="none" w:sz="0" w:space="0" w:color="auto"/>
          </w:divBdr>
        </w:div>
        <w:div w:id="117797253">
          <w:marLeft w:val="0"/>
          <w:marRight w:val="0"/>
          <w:marTop w:val="0"/>
          <w:marBottom w:val="0"/>
          <w:divBdr>
            <w:top w:val="none" w:sz="0" w:space="0" w:color="auto"/>
            <w:left w:val="none" w:sz="0" w:space="0" w:color="auto"/>
            <w:bottom w:val="none" w:sz="0" w:space="0" w:color="auto"/>
            <w:right w:val="none" w:sz="0" w:space="0" w:color="auto"/>
          </w:divBdr>
        </w:div>
        <w:div w:id="143788935">
          <w:marLeft w:val="0"/>
          <w:marRight w:val="0"/>
          <w:marTop w:val="0"/>
          <w:marBottom w:val="0"/>
          <w:divBdr>
            <w:top w:val="none" w:sz="0" w:space="0" w:color="auto"/>
            <w:left w:val="none" w:sz="0" w:space="0" w:color="auto"/>
            <w:bottom w:val="none" w:sz="0" w:space="0" w:color="auto"/>
            <w:right w:val="none" w:sz="0" w:space="0" w:color="auto"/>
          </w:divBdr>
        </w:div>
        <w:div w:id="176651832">
          <w:marLeft w:val="0"/>
          <w:marRight w:val="0"/>
          <w:marTop w:val="0"/>
          <w:marBottom w:val="0"/>
          <w:divBdr>
            <w:top w:val="none" w:sz="0" w:space="0" w:color="auto"/>
            <w:left w:val="none" w:sz="0" w:space="0" w:color="auto"/>
            <w:bottom w:val="none" w:sz="0" w:space="0" w:color="auto"/>
            <w:right w:val="none" w:sz="0" w:space="0" w:color="auto"/>
          </w:divBdr>
        </w:div>
        <w:div w:id="240020227">
          <w:marLeft w:val="0"/>
          <w:marRight w:val="0"/>
          <w:marTop w:val="0"/>
          <w:marBottom w:val="0"/>
          <w:divBdr>
            <w:top w:val="none" w:sz="0" w:space="0" w:color="auto"/>
            <w:left w:val="none" w:sz="0" w:space="0" w:color="auto"/>
            <w:bottom w:val="none" w:sz="0" w:space="0" w:color="auto"/>
            <w:right w:val="none" w:sz="0" w:space="0" w:color="auto"/>
          </w:divBdr>
          <w:divsChild>
            <w:div w:id="154609558">
              <w:marLeft w:val="0"/>
              <w:marRight w:val="0"/>
              <w:marTop w:val="0"/>
              <w:marBottom w:val="0"/>
              <w:divBdr>
                <w:top w:val="none" w:sz="0" w:space="0" w:color="auto"/>
                <w:left w:val="none" w:sz="0" w:space="0" w:color="auto"/>
                <w:bottom w:val="none" w:sz="0" w:space="0" w:color="auto"/>
                <w:right w:val="none" w:sz="0" w:space="0" w:color="auto"/>
              </w:divBdr>
            </w:div>
            <w:div w:id="217206226">
              <w:marLeft w:val="0"/>
              <w:marRight w:val="0"/>
              <w:marTop w:val="0"/>
              <w:marBottom w:val="0"/>
              <w:divBdr>
                <w:top w:val="none" w:sz="0" w:space="0" w:color="auto"/>
                <w:left w:val="none" w:sz="0" w:space="0" w:color="auto"/>
                <w:bottom w:val="none" w:sz="0" w:space="0" w:color="auto"/>
                <w:right w:val="none" w:sz="0" w:space="0" w:color="auto"/>
              </w:divBdr>
            </w:div>
            <w:div w:id="325403856">
              <w:marLeft w:val="0"/>
              <w:marRight w:val="0"/>
              <w:marTop w:val="0"/>
              <w:marBottom w:val="0"/>
              <w:divBdr>
                <w:top w:val="none" w:sz="0" w:space="0" w:color="auto"/>
                <w:left w:val="none" w:sz="0" w:space="0" w:color="auto"/>
                <w:bottom w:val="none" w:sz="0" w:space="0" w:color="auto"/>
                <w:right w:val="none" w:sz="0" w:space="0" w:color="auto"/>
              </w:divBdr>
            </w:div>
            <w:div w:id="330523517">
              <w:marLeft w:val="0"/>
              <w:marRight w:val="0"/>
              <w:marTop w:val="0"/>
              <w:marBottom w:val="0"/>
              <w:divBdr>
                <w:top w:val="none" w:sz="0" w:space="0" w:color="auto"/>
                <w:left w:val="none" w:sz="0" w:space="0" w:color="auto"/>
                <w:bottom w:val="none" w:sz="0" w:space="0" w:color="auto"/>
                <w:right w:val="none" w:sz="0" w:space="0" w:color="auto"/>
              </w:divBdr>
            </w:div>
            <w:div w:id="336081874">
              <w:marLeft w:val="0"/>
              <w:marRight w:val="0"/>
              <w:marTop w:val="0"/>
              <w:marBottom w:val="0"/>
              <w:divBdr>
                <w:top w:val="none" w:sz="0" w:space="0" w:color="auto"/>
                <w:left w:val="none" w:sz="0" w:space="0" w:color="auto"/>
                <w:bottom w:val="none" w:sz="0" w:space="0" w:color="auto"/>
                <w:right w:val="none" w:sz="0" w:space="0" w:color="auto"/>
              </w:divBdr>
            </w:div>
            <w:div w:id="610237725">
              <w:marLeft w:val="0"/>
              <w:marRight w:val="0"/>
              <w:marTop w:val="0"/>
              <w:marBottom w:val="0"/>
              <w:divBdr>
                <w:top w:val="none" w:sz="0" w:space="0" w:color="auto"/>
                <w:left w:val="none" w:sz="0" w:space="0" w:color="auto"/>
                <w:bottom w:val="none" w:sz="0" w:space="0" w:color="auto"/>
                <w:right w:val="none" w:sz="0" w:space="0" w:color="auto"/>
              </w:divBdr>
            </w:div>
            <w:div w:id="666785062">
              <w:marLeft w:val="0"/>
              <w:marRight w:val="0"/>
              <w:marTop w:val="0"/>
              <w:marBottom w:val="0"/>
              <w:divBdr>
                <w:top w:val="none" w:sz="0" w:space="0" w:color="auto"/>
                <w:left w:val="none" w:sz="0" w:space="0" w:color="auto"/>
                <w:bottom w:val="none" w:sz="0" w:space="0" w:color="auto"/>
                <w:right w:val="none" w:sz="0" w:space="0" w:color="auto"/>
              </w:divBdr>
            </w:div>
            <w:div w:id="972828043">
              <w:marLeft w:val="0"/>
              <w:marRight w:val="0"/>
              <w:marTop w:val="0"/>
              <w:marBottom w:val="0"/>
              <w:divBdr>
                <w:top w:val="none" w:sz="0" w:space="0" w:color="auto"/>
                <w:left w:val="none" w:sz="0" w:space="0" w:color="auto"/>
                <w:bottom w:val="none" w:sz="0" w:space="0" w:color="auto"/>
                <w:right w:val="none" w:sz="0" w:space="0" w:color="auto"/>
              </w:divBdr>
            </w:div>
            <w:div w:id="975648371">
              <w:marLeft w:val="0"/>
              <w:marRight w:val="0"/>
              <w:marTop w:val="0"/>
              <w:marBottom w:val="0"/>
              <w:divBdr>
                <w:top w:val="none" w:sz="0" w:space="0" w:color="auto"/>
                <w:left w:val="none" w:sz="0" w:space="0" w:color="auto"/>
                <w:bottom w:val="none" w:sz="0" w:space="0" w:color="auto"/>
                <w:right w:val="none" w:sz="0" w:space="0" w:color="auto"/>
              </w:divBdr>
            </w:div>
            <w:div w:id="1069428788">
              <w:marLeft w:val="0"/>
              <w:marRight w:val="0"/>
              <w:marTop w:val="0"/>
              <w:marBottom w:val="0"/>
              <w:divBdr>
                <w:top w:val="none" w:sz="0" w:space="0" w:color="auto"/>
                <w:left w:val="none" w:sz="0" w:space="0" w:color="auto"/>
                <w:bottom w:val="none" w:sz="0" w:space="0" w:color="auto"/>
                <w:right w:val="none" w:sz="0" w:space="0" w:color="auto"/>
              </w:divBdr>
            </w:div>
            <w:div w:id="1084449513">
              <w:marLeft w:val="0"/>
              <w:marRight w:val="0"/>
              <w:marTop w:val="0"/>
              <w:marBottom w:val="0"/>
              <w:divBdr>
                <w:top w:val="none" w:sz="0" w:space="0" w:color="auto"/>
                <w:left w:val="none" w:sz="0" w:space="0" w:color="auto"/>
                <w:bottom w:val="none" w:sz="0" w:space="0" w:color="auto"/>
                <w:right w:val="none" w:sz="0" w:space="0" w:color="auto"/>
              </w:divBdr>
            </w:div>
            <w:div w:id="1089959898">
              <w:marLeft w:val="0"/>
              <w:marRight w:val="0"/>
              <w:marTop w:val="0"/>
              <w:marBottom w:val="0"/>
              <w:divBdr>
                <w:top w:val="none" w:sz="0" w:space="0" w:color="auto"/>
                <w:left w:val="none" w:sz="0" w:space="0" w:color="auto"/>
                <w:bottom w:val="none" w:sz="0" w:space="0" w:color="auto"/>
                <w:right w:val="none" w:sz="0" w:space="0" w:color="auto"/>
              </w:divBdr>
            </w:div>
            <w:div w:id="1198350451">
              <w:marLeft w:val="0"/>
              <w:marRight w:val="0"/>
              <w:marTop w:val="0"/>
              <w:marBottom w:val="0"/>
              <w:divBdr>
                <w:top w:val="none" w:sz="0" w:space="0" w:color="auto"/>
                <w:left w:val="none" w:sz="0" w:space="0" w:color="auto"/>
                <w:bottom w:val="none" w:sz="0" w:space="0" w:color="auto"/>
                <w:right w:val="none" w:sz="0" w:space="0" w:color="auto"/>
              </w:divBdr>
            </w:div>
            <w:div w:id="1282610535">
              <w:marLeft w:val="0"/>
              <w:marRight w:val="0"/>
              <w:marTop w:val="0"/>
              <w:marBottom w:val="0"/>
              <w:divBdr>
                <w:top w:val="none" w:sz="0" w:space="0" w:color="auto"/>
                <w:left w:val="none" w:sz="0" w:space="0" w:color="auto"/>
                <w:bottom w:val="none" w:sz="0" w:space="0" w:color="auto"/>
                <w:right w:val="none" w:sz="0" w:space="0" w:color="auto"/>
              </w:divBdr>
            </w:div>
            <w:div w:id="1299610307">
              <w:marLeft w:val="0"/>
              <w:marRight w:val="0"/>
              <w:marTop w:val="0"/>
              <w:marBottom w:val="0"/>
              <w:divBdr>
                <w:top w:val="none" w:sz="0" w:space="0" w:color="auto"/>
                <w:left w:val="none" w:sz="0" w:space="0" w:color="auto"/>
                <w:bottom w:val="none" w:sz="0" w:space="0" w:color="auto"/>
                <w:right w:val="none" w:sz="0" w:space="0" w:color="auto"/>
              </w:divBdr>
            </w:div>
            <w:div w:id="1433278429">
              <w:marLeft w:val="0"/>
              <w:marRight w:val="0"/>
              <w:marTop w:val="0"/>
              <w:marBottom w:val="0"/>
              <w:divBdr>
                <w:top w:val="none" w:sz="0" w:space="0" w:color="auto"/>
                <w:left w:val="none" w:sz="0" w:space="0" w:color="auto"/>
                <w:bottom w:val="none" w:sz="0" w:space="0" w:color="auto"/>
                <w:right w:val="none" w:sz="0" w:space="0" w:color="auto"/>
              </w:divBdr>
            </w:div>
            <w:div w:id="1574194363">
              <w:marLeft w:val="0"/>
              <w:marRight w:val="0"/>
              <w:marTop w:val="0"/>
              <w:marBottom w:val="0"/>
              <w:divBdr>
                <w:top w:val="none" w:sz="0" w:space="0" w:color="auto"/>
                <w:left w:val="none" w:sz="0" w:space="0" w:color="auto"/>
                <w:bottom w:val="none" w:sz="0" w:space="0" w:color="auto"/>
                <w:right w:val="none" w:sz="0" w:space="0" w:color="auto"/>
              </w:divBdr>
            </w:div>
            <w:div w:id="1606041296">
              <w:marLeft w:val="0"/>
              <w:marRight w:val="0"/>
              <w:marTop w:val="0"/>
              <w:marBottom w:val="0"/>
              <w:divBdr>
                <w:top w:val="none" w:sz="0" w:space="0" w:color="auto"/>
                <w:left w:val="none" w:sz="0" w:space="0" w:color="auto"/>
                <w:bottom w:val="none" w:sz="0" w:space="0" w:color="auto"/>
                <w:right w:val="none" w:sz="0" w:space="0" w:color="auto"/>
              </w:divBdr>
            </w:div>
            <w:div w:id="1862280182">
              <w:marLeft w:val="0"/>
              <w:marRight w:val="0"/>
              <w:marTop w:val="0"/>
              <w:marBottom w:val="0"/>
              <w:divBdr>
                <w:top w:val="none" w:sz="0" w:space="0" w:color="auto"/>
                <w:left w:val="none" w:sz="0" w:space="0" w:color="auto"/>
                <w:bottom w:val="none" w:sz="0" w:space="0" w:color="auto"/>
                <w:right w:val="none" w:sz="0" w:space="0" w:color="auto"/>
              </w:divBdr>
            </w:div>
            <w:div w:id="2109109529">
              <w:marLeft w:val="0"/>
              <w:marRight w:val="0"/>
              <w:marTop w:val="0"/>
              <w:marBottom w:val="0"/>
              <w:divBdr>
                <w:top w:val="none" w:sz="0" w:space="0" w:color="auto"/>
                <w:left w:val="none" w:sz="0" w:space="0" w:color="auto"/>
                <w:bottom w:val="none" w:sz="0" w:space="0" w:color="auto"/>
                <w:right w:val="none" w:sz="0" w:space="0" w:color="auto"/>
              </w:divBdr>
            </w:div>
          </w:divsChild>
        </w:div>
        <w:div w:id="253363652">
          <w:marLeft w:val="0"/>
          <w:marRight w:val="0"/>
          <w:marTop w:val="0"/>
          <w:marBottom w:val="0"/>
          <w:divBdr>
            <w:top w:val="none" w:sz="0" w:space="0" w:color="auto"/>
            <w:left w:val="none" w:sz="0" w:space="0" w:color="auto"/>
            <w:bottom w:val="none" w:sz="0" w:space="0" w:color="auto"/>
            <w:right w:val="none" w:sz="0" w:space="0" w:color="auto"/>
          </w:divBdr>
        </w:div>
        <w:div w:id="291904723">
          <w:marLeft w:val="0"/>
          <w:marRight w:val="0"/>
          <w:marTop w:val="0"/>
          <w:marBottom w:val="0"/>
          <w:divBdr>
            <w:top w:val="none" w:sz="0" w:space="0" w:color="auto"/>
            <w:left w:val="none" w:sz="0" w:space="0" w:color="auto"/>
            <w:bottom w:val="none" w:sz="0" w:space="0" w:color="auto"/>
            <w:right w:val="none" w:sz="0" w:space="0" w:color="auto"/>
          </w:divBdr>
        </w:div>
        <w:div w:id="298536736">
          <w:marLeft w:val="0"/>
          <w:marRight w:val="0"/>
          <w:marTop w:val="0"/>
          <w:marBottom w:val="0"/>
          <w:divBdr>
            <w:top w:val="none" w:sz="0" w:space="0" w:color="auto"/>
            <w:left w:val="none" w:sz="0" w:space="0" w:color="auto"/>
            <w:bottom w:val="none" w:sz="0" w:space="0" w:color="auto"/>
            <w:right w:val="none" w:sz="0" w:space="0" w:color="auto"/>
          </w:divBdr>
        </w:div>
        <w:div w:id="325861059">
          <w:marLeft w:val="0"/>
          <w:marRight w:val="0"/>
          <w:marTop w:val="0"/>
          <w:marBottom w:val="0"/>
          <w:divBdr>
            <w:top w:val="none" w:sz="0" w:space="0" w:color="auto"/>
            <w:left w:val="none" w:sz="0" w:space="0" w:color="auto"/>
            <w:bottom w:val="none" w:sz="0" w:space="0" w:color="auto"/>
            <w:right w:val="none" w:sz="0" w:space="0" w:color="auto"/>
          </w:divBdr>
        </w:div>
        <w:div w:id="330912949">
          <w:marLeft w:val="0"/>
          <w:marRight w:val="0"/>
          <w:marTop w:val="0"/>
          <w:marBottom w:val="0"/>
          <w:divBdr>
            <w:top w:val="none" w:sz="0" w:space="0" w:color="auto"/>
            <w:left w:val="none" w:sz="0" w:space="0" w:color="auto"/>
            <w:bottom w:val="none" w:sz="0" w:space="0" w:color="auto"/>
            <w:right w:val="none" w:sz="0" w:space="0" w:color="auto"/>
          </w:divBdr>
        </w:div>
        <w:div w:id="402141421">
          <w:marLeft w:val="0"/>
          <w:marRight w:val="0"/>
          <w:marTop w:val="0"/>
          <w:marBottom w:val="0"/>
          <w:divBdr>
            <w:top w:val="none" w:sz="0" w:space="0" w:color="auto"/>
            <w:left w:val="none" w:sz="0" w:space="0" w:color="auto"/>
            <w:bottom w:val="none" w:sz="0" w:space="0" w:color="auto"/>
            <w:right w:val="none" w:sz="0" w:space="0" w:color="auto"/>
          </w:divBdr>
        </w:div>
        <w:div w:id="445588772">
          <w:marLeft w:val="0"/>
          <w:marRight w:val="0"/>
          <w:marTop w:val="0"/>
          <w:marBottom w:val="0"/>
          <w:divBdr>
            <w:top w:val="none" w:sz="0" w:space="0" w:color="auto"/>
            <w:left w:val="none" w:sz="0" w:space="0" w:color="auto"/>
            <w:bottom w:val="none" w:sz="0" w:space="0" w:color="auto"/>
            <w:right w:val="none" w:sz="0" w:space="0" w:color="auto"/>
          </w:divBdr>
        </w:div>
        <w:div w:id="495999281">
          <w:marLeft w:val="0"/>
          <w:marRight w:val="0"/>
          <w:marTop w:val="0"/>
          <w:marBottom w:val="0"/>
          <w:divBdr>
            <w:top w:val="none" w:sz="0" w:space="0" w:color="auto"/>
            <w:left w:val="none" w:sz="0" w:space="0" w:color="auto"/>
            <w:bottom w:val="none" w:sz="0" w:space="0" w:color="auto"/>
            <w:right w:val="none" w:sz="0" w:space="0" w:color="auto"/>
          </w:divBdr>
        </w:div>
        <w:div w:id="530068869">
          <w:marLeft w:val="0"/>
          <w:marRight w:val="0"/>
          <w:marTop w:val="0"/>
          <w:marBottom w:val="0"/>
          <w:divBdr>
            <w:top w:val="none" w:sz="0" w:space="0" w:color="auto"/>
            <w:left w:val="none" w:sz="0" w:space="0" w:color="auto"/>
            <w:bottom w:val="none" w:sz="0" w:space="0" w:color="auto"/>
            <w:right w:val="none" w:sz="0" w:space="0" w:color="auto"/>
          </w:divBdr>
        </w:div>
        <w:div w:id="551498754">
          <w:marLeft w:val="0"/>
          <w:marRight w:val="0"/>
          <w:marTop w:val="0"/>
          <w:marBottom w:val="0"/>
          <w:divBdr>
            <w:top w:val="none" w:sz="0" w:space="0" w:color="auto"/>
            <w:left w:val="none" w:sz="0" w:space="0" w:color="auto"/>
            <w:bottom w:val="none" w:sz="0" w:space="0" w:color="auto"/>
            <w:right w:val="none" w:sz="0" w:space="0" w:color="auto"/>
          </w:divBdr>
        </w:div>
        <w:div w:id="634527783">
          <w:marLeft w:val="0"/>
          <w:marRight w:val="0"/>
          <w:marTop w:val="0"/>
          <w:marBottom w:val="0"/>
          <w:divBdr>
            <w:top w:val="none" w:sz="0" w:space="0" w:color="auto"/>
            <w:left w:val="none" w:sz="0" w:space="0" w:color="auto"/>
            <w:bottom w:val="none" w:sz="0" w:space="0" w:color="auto"/>
            <w:right w:val="none" w:sz="0" w:space="0" w:color="auto"/>
          </w:divBdr>
        </w:div>
        <w:div w:id="662901963">
          <w:marLeft w:val="0"/>
          <w:marRight w:val="0"/>
          <w:marTop w:val="0"/>
          <w:marBottom w:val="0"/>
          <w:divBdr>
            <w:top w:val="none" w:sz="0" w:space="0" w:color="auto"/>
            <w:left w:val="none" w:sz="0" w:space="0" w:color="auto"/>
            <w:bottom w:val="none" w:sz="0" w:space="0" w:color="auto"/>
            <w:right w:val="none" w:sz="0" w:space="0" w:color="auto"/>
          </w:divBdr>
        </w:div>
        <w:div w:id="757022724">
          <w:marLeft w:val="0"/>
          <w:marRight w:val="0"/>
          <w:marTop w:val="0"/>
          <w:marBottom w:val="0"/>
          <w:divBdr>
            <w:top w:val="none" w:sz="0" w:space="0" w:color="auto"/>
            <w:left w:val="none" w:sz="0" w:space="0" w:color="auto"/>
            <w:bottom w:val="none" w:sz="0" w:space="0" w:color="auto"/>
            <w:right w:val="none" w:sz="0" w:space="0" w:color="auto"/>
          </w:divBdr>
        </w:div>
        <w:div w:id="799229350">
          <w:marLeft w:val="0"/>
          <w:marRight w:val="0"/>
          <w:marTop w:val="0"/>
          <w:marBottom w:val="0"/>
          <w:divBdr>
            <w:top w:val="none" w:sz="0" w:space="0" w:color="auto"/>
            <w:left w:val="none" w:sz="0" w:space="0" w:color="auto"/>
            <w:bottom w:val="none" w:sz="0" w:space="0" w:color="auto"/>
            <w:right w:val="none" w:sz="0" w:space="0" w:color="auto"/>
          </w:divBdr>
        </w:div>
        <w:div w:id="873494449">
          <w:marLeft w:val="0"/>
          <w:marRight w:val="0"/>
          <w:marTop w:val="0"/>
          <w:marBottom w:val="0"/>
          <w:divBdr>
            <w:top w:val="none" w:sz="0" w:space="0" w:color="auto"/>
            <w:left w:val="none" w:sz="0" w:space="0" w:color="auto"/>
            <w:bottom w:val="none" w:sz="0" w:space="0" w:color="auto"/>
            <w:right w:val="none" w:sz="0" w:space="0" w:color="auto"/>
          </w:divBdr>
        </w:div>
        <w:div w:id="907035092">
          <w:marLeft w:val="0"/>
          <w:marRight w:val="0"/>
          <w:marTop w:val="0"/>
          <w:marBottom w:val="0"/>
          <w:divBdr>
            <w:top w:val="none" w:sz="0" w:space="0" w:color="auto"/>
            <w:left w:val="none" w:sz="0" w:space="0" w:color="auto"/>
            <w:bottom w:val="none" w:sz="0" w:space="0" w:color="auto"/>
            <w:right w:val="none" w:sz="0" w:space="0" w:color="auto"/>
          </w:divBdr>
        </w:div>
        <w:div w:id="918948530">
          <w:marLeft w:val="0"/>
          <w:marRight w:val="0"/>
          <w:marTop w:val="0"/>
          <w:marBottom w:val="0"/>
          <w:divBdr>
            <w:top w:val="none" w:sz="0" w:space="0" w:color="auto"/>
            <w:left w:val="none" w:sz="0" w:space="0" w:color="auto"/>
            <w:bottom w:val="none" w:sz="0" w:space="0" w:color="auto"/>
            <w:right w:val="none" w:sz="0" w:space="0" w:color="auto"/>
          </w:divBdr>
        </w:div>
        <w:div w:id="957954188">
          <w:marLeft w:val="0"/>
          <w:marRight w:val="0"/>
          <w:marTop w:val="0"/>
          <w:marBottom w:val="0"/>
          <w:divBdr>
            <w:top w:val="none" w:sz="0" w:space="0" w:color="auto"/>
            <w:left w:val="none" w:sz="0" w:space="0" w:color="auto"/>
            <w:bottom w:val="none" w:sz="0" w:space="0" w:color="auto"/>
            <w:right w:val="none" w:sz="0" w:space="0" w:color="auto"/>
          </w:divBdr>
        </w:div>
        <w:div w:id="1026173006">
          <w:marLeft w:val="0"/>
          <w:marRight w:val="0"/>
          <w:marTop w:val="0"/>
          <w:marBottom w:val="0"/>
          <w:divBdr>
            <w:top w:val="none" w:sz="0" w:space="0" w:color="auto"/>
            <w:left w:val="none" w:sz="0" w:space="0" w:color="auto"/>
            <w:bottom w:val="none" w:sz="0" w:space="0" w:color="auto"/>
            <w:right w:val="none" w:sz="0" w:space="0" w:color="auto"/>
          </w:divBdr>
        </w:div>
        <w:div w:id="1141340433">
          <w:marLeft w:val="0"/>
          <w:marRight w:val="0"/>
          <w:marTop w:val="0"/>
          <w:marBottom w:val="0"/>
          <w:divBdr>
            <w:top w:val="none" w:sz="0" w:space="0" w:color="auto"/>
            <w:left w:val="none" w:sz="0" w:space="0" w:color="auto"/>
            <w:bottom w:val="none" w:sz="0" w:space="0" w:color="auto"/>
            <w:right w:val="none" w:sz="0" w:space="0" w:color="auto"/>
          </w:divBdr>
        </w:div>
        <w:div w:id="1172842219">
          <w:marLeft w:val="0"/>
          <w:marRight w:val="0"/>
          <w:marTop w:val="0"/>
          <w:marBottom w:val="0"/>
          <w:divBdr>
            <w:top w:val="none" w:sz="0" w:space="0" w:color="auto"/>
            <w:left w:val="none" w:sz="0" w:space="0" w:color="auto"/>
            <w:bottom w:val="none" w:sz="0" w:space="0" w:color="auto"/>
            <w:right w:val="none" w:sz="0" w:space="0" w:color="auto"/>
          </w:divBdr>
        </w:div>
        <w:div w:id="1208762469">
          <w:marLeft w:val="0"/>
          <w:marRight w:val="0"/>
          <w:marTop w:val="0"/>
          <w:marBottom w:val="0"/>
          <w:divBdr>
            <w:top w:val="none" w:sz="0" w:space="0" w:color="auto"/>
            <w:left w:val="none" w:sz="0" w:space="0" w:color="auto"/>
            <w:bottom w:val="none" w:sz="0" w:space="0" w:color="auto"/>
            <w:right w:val="none" w:sz="0" w:space="0" w:color="auto"/>
          </w:divBdr>
        </w:div>
        <w:div w:id="1213419184">
          <w:marLeft w:val="0"/>
          <w:marRight w:val="0"/>
          <w:marTop w:val="0"/>
          <w:marBottom w:val="0"/>
          <w:divBdr>
            <w:top w:val="none" w:sz="0" w:space="0" w:color="auto"/>
            <w:left w:val="none" w:sz="0" w:space="0" w:color="auto"/>
            <w:bottom w:val="none" w:sz="0" w:space="0" w:color="auto"/>
            <w:right w:val="none" w:sz="0" w:space="0" w:color="auto"/>
          </w:divBdr>
        </w:div>
        <w:div w:id="1237783321">
          <w:marLeft w:val="0"/>
          <w:marRight w:val="0"/>
          <w:marTop w:val="0"/>
          <w:marBottom w:val="0"/>
          <w:divBdr>
            <w:top w:val="none" w:sz="0" w:space="0" w:color="auto"/>
            <w:left w:val="none" w:sz="0" w:space="0" w:color="auto"/>
            <w:bottom w:val="none" w:sz="0" w:space="0" w:color="auto"/>
            <w:right w:val="none" w:sz="0" w:space="0" w:color="auto"/>
          </w:divBdr>
        </w:div>
        <w:div w:id="1242060796">
          <w:marLeft w:val="0"/>
          <w:marRight w:val="0"/>
          <w:marTop w:val="0"/>
          <w:marBottom w:val="0"/>
          <w:divBdr>
            <w:top w:val="none" w:sz="0" w:space="0" w:color="auto"/>
            <w:left w:val="none" w:sz="0" w:space="0" w:color="auto"/>
            <w:bottom w:val="none" w:sz="0" w:space="0" w:color="auto"/>
            <w:right w:val="none" w:sz="0" w:space="0" w:color="auto"/>
          </w:divBdr>
        </w:div>
        <w:div w:id="1242638961">
          <w:marLeft w:val="0"/>
          <w:marRight w:val="0"/>
          <w:marTop w:val="0"/>
          <w:marBottom w:val="0"/>
          <w:divBdr>
            <w:top w:val="none" w:sz="0" w:space="0" w:color="auto"/>
            <w:left w:val="none" w:sz="0" w:space="0" w:color="auto"/>
            <w:bottom w:val="none" w:sz="0" w:space="0" w:color="auto"/>
            <w:right w:val="none" w:sz="0" w:space="0" w:color="auto"/>
          </w:divBdr>
        </w:div>
        <w:div w:id="1315179893">
          <w:marLeft w:val="0"/>
          <w:marRight w:val="0"/>
          <w:marTop w:val="0"/>
          <w:marBottom w:val="0"/>
          <w:divBdr>
            <w:top w:val="none" w:sz="0" w:space="0" w:color="auto"/>
            <w:left w:val="none" w:sz="0" w:space="0" w:color="auto"/>
            <w:bottom w:val="none" w:sz="0" w:space="0" w:color="auto"/>
            <w:right w:val="none" w:sz="0" w:space="0" w:color="auto"/>
          </w:divBdr>
        </w:div>
        <w:div w:id="1335646394">
          <w:marLeft w:val="0"/>
          <w:marRight w:val="0"/>
          <w:marTop w:val="0"/>
          <w:marBottom w:val="0"/>
          <w:divBdr>
            <w:top w:val="none" w:sz="0" w:space="0" w:color="auto"/>
            <w:left w:val="none" w:sz="0" w:space="0" w:color="auto"/>
            <w:bottom w:val="none" w:sz="0" w:space="0" w:color="auto"/>
            <w:right w:val="none" w:sz="0" w:space="0" w:color="auto"/>
          </w:divBdr>
        </w:div>
        <w:div w:id="1336877772">
          <w:marLeft w:val="0"/>
          <w:marRight w:val="0"/>
          <w:marTop w:val="0"/>
          <w:marBottom w:val="0"/>
          <w:divBdr>
            <w:top w:val="none" w:sz="0" w:space="0" w:color="auto"/>
            <w:left w:val="none" w:sz="0" w:space="0" w:color="auto"/>
            <w:bottom w:val="none" w:sz="0" w:space="0" w:color="auto"/>
            <w:right w:val="none" w:sz="0" w:space="0" w:color="auto"/>
          </w:divBdr>
        </w:div>
        <w:div w:id="1363439086">
          <w:marLeft w:val="0"/>
          <w:marRight w:val="0"/>
          <w:marTop w:val="0"/>
          <w:marBottom w:val="0"/>
          <w:divBdr>
            <w:top w:val="none" w:sz="0" w:space="0" w:color="auto"/>
            <w:left w:val="none" w:sz="0" w:space="0" w:color="auto"/>
            <w:bottom w:val="none" w:sz="0" w:space="0" w:color="auto"/>
            <w:right w:val="none" w:sz="0" w:space="0" w:color="auto"/>
          </w:divBdr>
        </w:div>
        <w:div w:id="1491171213">
          <w:marLeft w:val="0"/>
          <w:marRight w:val="0"/>
          <w:marTop w:val="0"/>
          <w:marBottom w:val="0"/>
          <w:divBdr>
            <w:top w:val="none" w:sz="0" w:space="0" w:color="auto"/>
            <w:left w:val="none" w:sz="0" w:space="0" w:color="auto"/>
            <w:bottom w:val="none" w:sz="0" w:space="0" w:color="auto"/>
            <w:right w:val="none" w:sz="0" w:space="0" w:color="auto"/>
          </w:divBdr>
        </w:div>
        <w:div w:id="1532494352">
          <w:marLeft w:val="0"/>
          <w:marRight w:val="0"/>
          <w:marTop w:val="0"/>
          <w:marBottom w:val="0"/>
          <w:divBdr>
            <w:top w:val="none" w:sz="0" w:space="0" w:color="auto"/>
            <w:left w:val="none" w:sz="0" w:space="0" w:color="auto"/>
            <w:bottom w:val="none" w:sz="0" w:space="0" w:color="auto"/>
            <w:right w:val="none" w:sz="0" w:space="0" w:color="auto"/>
          </w:divBdr>
        </w:div>
        <w:div w:id="1539856186">
          <w:marLeft w:val="0"/>
          <w:marRight w:val="0"/>
          <w:marTop w:val="0"/>
          <w:marBottom w:val="0"/>
          <w:divBdr>
            <w:top w:val="none" w:sz="0" w:space="0" w:color="auto"/>
            <w:left w:val="none" w:sz="0" w:space="0" w:color="auto"/>
            <w:bottom w:val="none" w:sz="0" w:space="0" w:color="auto"/>
            <w:right w:val="none" w:sz="0" w:space="0" w:color="auto"/>
          </w:divBdr>
        </w:div>
        <w:div w:id="1551725600">
          <w:marLeft w:val="0"/>
          <w:marRight w:val="0"/>
          <w:marTop w:val="0"/>
          <w:marBottom w:val="0"/>
          <w:divBdr>
            <w:top w:val="none" w:sz="0" w:space="0" w:color="auto"/>
            <w:left w:val="none" w:sz="0" w:space="0" w:color="auto"/>
            <w:bottom w:val="none" w:sz="0" w:space="0" w:color="auto"/>
            <w:right w:val="none" w:sz="0" w:space="0" w:color="auto"/>
          </w:divBdr>
        </w:div>
        <w:div w:id="1566842978">
          <w:marLeft w:val="0"/>
          <w:marRight w:val="0"/>
          <w:marTop w:val="0"/>
          <w:marBottom w:val="0"/>
          <w:divBdr>
            <w:top w:val="none" w:sz="0" w:space="0" w:color="auto"/>
            <w:left w:val="none" w:sz="0" w:space="0" w:color="auto"/>
            <w:bottom w:val="none" w:sz="0" w:space="0" w:color="auto"/>
            <w:right w:val="none" w:sz="0" w:space="0" w:color="auto"/>
          </w:divBdr>
        </w:div>
        <w:div w:id="1574661728">
          <w:marLeft w:val="0"/>
          <w:marRight w:val="0"/>
          <w:marTop w:val="0"/>
          <w:marBottom w:val="0"/>
          <w:divBdr>
            <w:top w:val="none" w:sz="0" w:space="0" w:color="auto"/>
            <w:left w:val="none" w:sz="0" w:space="0" w:color="auto"/>
            <w:bottom w:val="none" w:sz="0" w:space="0" w:color="auto"/>
            <w:right w:val="none" w:sz="0" w:space="0" w:color="auto"/>
          </w:divBdr>
        </w:div>
        <w:div w:id="1612787610">
          <w:marLeft w:val="0"/>
          <w:marRight w:val="0"/>
          <w:marTop w:val="0"/>
          <w:marBottom w:val="0"/>
          <w:divBdr>
            <w:top w:val="none" w:sz="0" w:space="0" w:color="auto"/>
            <w:left w:val="none" w:sz="0" w:space="0" w:color="auto"/>
            <w:bottom w:val="none" w:sz="0" w:space="0" w:color="auto"/>
            <w:right w:val="none" w:sz="0" w:space="0" w:color="auto"/>
          </w:divBdr>
        </w:div>
        <w:div w:id="1616256651">
          <w:marLeft w:val="0"/>
          <w:marRight w:val="0"/>
          <w:marTop w:val="0"/>
          <w:marBottom w:val="0"/>
          <w:divBdr>
            <w:top w:val="none" w:sz="0" w:space="0" w:color="auto"/>
            <w:left w:val="none" w:sz="0" w:space="0" w:color="auto"/>
            <w:bottom w:val="none" w:sz="0" w:space="0" w:color="auto"/>
            <w:right w:val="none" w:sz="0" w:space="0" w:color="auto"/>
          </w:divBdr>
        </w:div>
        <w:div w:id="1689526214">
          <w:marLeft w:val="0"/>
          <w:marRight w:val="0"/>
          <w:marTop w:val="0"/>
          <w:marBottom w:val="0"/>
          <w:divBdr>
            <w:top w:val="none" w:sz="0" w:space="0" w:color="auto"/>
            <w:left w:val="none" w:sz="0" w:space="0" w:color="auto"/>
            <w:bottom w:val="none" w:sz="0" w:space="0" w:color="auto"/>
            <w:right w:val="none" w:sz="0" w:space="0" w:color="auto"/>
          </w:divBdr>
        </w:div>
        <w:div w:id="1749114991">
          <w:marLeft w:val="0"/>
          <w:marRight w:val="0"/>
          <w:marTop w:val="0"/>
          <w:marBottom w:val="0"/>
          <w:divBdr>
            <w:top w:val="none" w:sz="0" w:space="0" w:color="auto"/>
            <w:left w:val="none" w:sz="0" w:space="0" w:color="auto"/>
            <w:bottom w:val="none" w:sz="0" w:space="0" w:color="auto"/>
            <w:right w:val="none" w:sz="0" w:space="0" w:color="auto"/>
          </w:divBdr>
        </w:div>
        <w:div w:id="1860312834">
          <w:marLeft w:val="0"/>
          <w:marRight w:val="0"/>
          <w:marTop w:val="0"/>
          <w:marBottom w:val="0"/>
          <w:divBdr>
            <w:top w:val="none" w:sz="0" w:space="0" w:color="auto"/>
            <w:left w:val="none" w:sz="0" w:space="0" w:color="auto"/>
            <w:bottom w:val="none" w:sz="0" w:space="0" w:color="auto"/>
            <w:right w:val="none" w:sz="0" w:space="0" w:color="auto"/>
          </w:divBdr>
          <w:divsChild>
            <w:div w:id="20715183">
              <w:marLeft w:val="0"/>
              <w:marRight w:val="0"/>
              <w:marTop w:val="0"/>
              <w:marBottom w:val="0"/>
              <w:divBdr>
                <w:top w:val="none" w:sz="0" w:space="0" w:color="auto"/>
                <w:left w:val="none" w:sz="0" w:space="0" w:color="auto"/>
                <w:bottom w:val="none" w:sz="0" w:space="0" w:color="auto"/>
                <w:right w:val="none" w:sz="0" w:space="0" w:color="auto"/>
              </w:divBdr>
            </w:div>
            <w:div w:id="192769935">
              <w:marLeft w:val="0"/>
              <w:marRight w:val="0"/>
              <w:marTop w:val="0"/>
              <w:marBottom w:val="0"/>
              <w:divBdr>
                <w:top w:val="none" w:sz="0" w:space="0" w:color="auto"/>
                <w:left w:val="none" w:sz="0" w:space="0" w:color="auto"/>
                <w:bottom w:val="none" w:sz="0" w:space="0" w:color="auto"/>
                <w:right w:val="none" w:sz="0" w:space="0" w:color="auto"/>
              </w:divBdr>
            </w:div>
            <w:div w:id="450364132">
              <w:marLeft w:val="0"/>
              <w:marRight w:val="0"/>
              <w:marTop w:val="0"/>
              <w:marBottom w:val="0"/>
              <w:divBdr>
                <w:top w:val="none" w:sz="0" w:space="0" w:color="auto"/>
                <w:left w:val="none" w:sz="0" w:space="0" w:color="auto"/>
                <w:bottom w:val="none" w:sz="0" w:space="0" w:color="auto"/>
                <w:right w:val="none" w:sz="0" w:space="0" w:color="auto"/>
              </w:divBdr>
            </w:div>
            <w:div w:id="917446198">
              <w:marLeft w:val="0"/>
              <w:marRight w:val="0"/>
              <w:marTop w:val="0"/>
              <w:marBottom w:val="0"/>
              <w:divBdr>
                <w:top w:val="none" w:sz="0" w:space="0" w:color="auto"/>
                <w:left w:val="none" w:sz="0" w:space="0" w:color="auto"/>
                <w:bottom w:val="none" w:sz="0" w:space="0" w:color="auto"/>
                <w:right w:val="none" w:sz="0" w:space="0" w:color="auto"/>
              </w:divBdr>
            </w:div>
            <w:div w:id="924076747">
              <w:marLeft w:val="0"/>
              <w:marRight w:val="0"/>
              <w:marTop w:val="0"/>
              <w:marBottom w:val="0"/>
              <w:divBdr>
                <w:top w:val="none" w:sz="0" w:space="0" w:color="auto"/>
                <w:left w:val="none" w:sz="0" w:space="0" w:color="auto"/>
                <w:bottom w:val="none" w:sz="0" w:space="0" w:color="auto"/>
                <w:right w:val="none" w:sz="0" w:space="0" w:color="auto"/>
              </w:divBdr>
            </w:div>
            <w:div w:id="958492416">
              <w:marLeft w:val="0"/>
              <w:marRight w:val="0"/>
              <w:marTop w:val="0"/>
              <w:marBottom w:val="0"/>
              <w:divBdr>
                <w:top w:val="none" w:sz="0" w:space="0" w:color="auto"/>
                <w:left w:val="none" w:sz="0" w:space="0" w:color="auto"/>
                <w:bottom w:val="none" w:sz="0" w:space="0" w:color="auto"/>
                <w:right w:val="none" w:sz="0" w:space="0" w:color="auto"/>
              </w:divBdr>
            </w:div>
            <w:div w:id="1110395826">
              <w:marLeft w:val="0"/>
              <w:marRight w:val="0"/>
              <w:marTop w:val="0"/>
              <w:marBottom w:val="0"/>
              <w:divBdr>
                <w:top w:val="none" w:sz="0" w:space="0" w:color="auto"/>
                <w:left w:val="none" w:sz="0" w:space="0" w:color="auto"/>
                <w:bottom w:val="none" w:sz="0" w:space="0" w:color="auto"/>
                <w:right w:val="none" w:sz="0" w:space="0" w:color="auto"/>
              </w:divBdr>
            </w:div>
            <w:div w:id="1134711847">
              <w:marLeft w:val="0"/>
              <w:marRight w:val="0"/>
              <w:marTop w:val="0"/>
              <w:marBottom w:val="0"/>
              <w:divBdr>
                <w:top w:val="none" w:sz="0" w:space="0" w:color="auto"/>
                <w:left w:val="none" w:sz="0" w:space="0" w:color="auto"/>
                <w:bottom w:val="none" w:sz="0" w:space="0" w:color="auto"/>
                <w:right w:val="none" w:sz="0" w:space="0" w:color="auto"/>
              </w:divBdr>
            </w:div>
            <w:div w:id="1217400035">
              <w:marLeft w:val="0"/>
              <w:marRight w:val="0"/>
              <w:marTop w:val="0"/>
              <w:marBottom w:val="0"/>
              <w:divBdr>
                <w:top w:val="none" w:sz="0" w:space="0" w:color="auto"/>
                <w:left w:val="none" w:sz="0" w:space="0" w:color="auto"/>
                <w:bottom w:val="none" w:sz="0" w:space="0" w:color="auto"/>
                <w:right w:val="none" w:sz="0" w:space="0" w:color="auto"/>
              </w:divBdr>
            </w:div>
            <w:div w:id="1223130421">
              <w:marLeft w:val="0"/>
              <w:marRight w:val="0"/>
              <w:marTop w:val="0"/>
              <w:marBottom w:val="0"/>
              <w:divBdr>
                <w:top w:val="none" w:sz="0" w:space="0" w:color="auto"/>
                <w:left w:val="none" w:sz="0" w:space="0" w:color="auto"/>
                <w:bottom w:val="none" w:sz="0" w:space="0" w:color="auto"/>
                <w:right w:val="none" w:sz="0" w:space="0" w:color="auto"/>
              </w:divBdr>
            </w:div>
            <w:div w:id="1303123188">
              <w:marLeft w:val="0"/>
              <w:marRight w:val="0"/>
              <w:marTop w:val="0"/>
              <w:marBottom w:val="0"/>
              <w:divBdr>
                <w:top w:val="none" w:sz="0" w:space="0" w:color="auto"/>
                <w:left w:val="none" w:sz="0" w:space="0" w:color="auto"/>
                <w:bottom w:val="none" w:sz="0" w:space="0" w:color="auto"/>
                <w:right w:val="none" w:sz="0" w:space="0" w:color="auto"/>
              </w:divBdr>
            </w:div>
            <w:div w:id="1439519225">
              <w:marLeft w:val="0"/>
              <w:marRight w:val="0"/>
              <w:marTop w:val="0"/>
              <w:marBottom w:val="0"/>
              <w:divBdr>
                <w:top w:val="none" w:sz="0" w:space="0" w:color="auto"/>
                <w:left w:val="none" w:sz="0" w:space="0" w:color="auto"/>
                <w:bottom w:val="none" w:sz="0" w:space="0" w:color="auto"/>
                <w:right w:val="none" w:sz="0" w:space="0" w:color="auto"/>
              </w:divBdr>
            </w:div>
            <w:div w:id="1507817855">
              <w:marLeft w:val="0"/>
              <w:marRight w:val="0"/>
              <w:marTop w:val="0"/>
              <w:marBottom w:val="0"/>
              <w:divBdr>
                <w:top w:val="none" w:sz="0" w:space="0" w:color="auto"/>
                <w:left w:val="none" w:sz="0" w:space="0" w:color="auto"/>
                <w:bottom w:val="none" w:sz="0" w:space="0" w:color="auto"/>
                <w:right w:val="none" w:sz="0" w:space="0" w:color="auto"/>
              </w:divBdr>
            </w:div>
            <w:div w:id="1523397822">
              <w:marLeft w:val="0"/>
              <w:marRight w:val="0"/>
              <w:marTop w:val="0"/>
              <w:marBottom w:val="0"/>
              <w:divBdr>
                <w:top w:val="none" w:sz="0" w:space="0" w:color="auto"/>
                <w:left w:val="none" w:sz="0" w:space="0" w:color="auto"/>
                <w:bottom w:val="none" w:sz="0" w:space="0" w:color="auto"/>
                <w:right w:val="none" w:sz="0" w:space="0" w:color="auto"/>
              </w:divBdr>
            </w:div>
            <w:div w:id="1663005309">
              <w:marLeft w:val="0"/>
              <w:marRight w:val="0"/>
              <w:marTop w:val="0"/>
              <w:marBottom w:val="0"/>
              <w:divBdr>
                <w:top w:val="none" w:sz="0" w:space="0" w:color="auto"/>
                <w:left w:val="none" w:sz="0" w:space="0" w:color="auto"/>
                <w:bottom w:val="none" w:sz="0" w:space="0" w:color="auto"/>
                <w:right w:val="none" w:sz="0" w:space="0" w:color="auto"/>
              </w:divBdr>
            </w:div>
            <w:div w:id="1663925085">
              <w:marLeft w:val="0"/>
              <w:marRight w:val="0"/>
              <w:marTop w:val="0"/>
              <w:marBottom w:val="0"/>
              <w:divBdr>
                <w:top w:val="none" w:sz="0" w:space="0" w:color="auto"/>
                <w:left w:val="none" w:sz="0" w:space="0" w:color="auto"/>
                <w:bottom w:val="none" w:sz="0" w:space="0" w:color="auto"/>
                <w:right w:val="none" w:sz="0" w:space="0" w:color="auto"/>
              </w:divBdr>
            </w:div>
            <w:div w:id="1984967654">
              <w:marLeft w:val="0"/>
              <w:marRight w:val="0"/>
              <w:marTop w:val="0"/>
              <w:marBottom w:val="0"/>
              <w:divBdr>
                <w:top w:val="none" w:sz="0" w:space="0" w:color="auto"/>
                <w:left w:val="none" w:sz="0" w:space="0" w:color="auto"/>
                <w:bottom w:val="none" w:sz="0" w:space="0" w:color="auto"/>
                <w:right w:val="none" w:sz="0" w:space="0" w:color="auto"/>
              </w:divBdr>
            </w:div>
            <w:div w:id="2074884118">
              <w:marLeft w:val="0"/>
              <w:marRight w:val="0"/>
              <w:marTop w:val="0"/>
              <w:marBottom w:val="0"/>
              <w:divBdr>
                <w:top w:val="none" w:sz="0" w:space="0" w:color="auto"/>
                <w:left w:val="none" w:sz="0" w:space="0" w:color="auto"/>
                <w:bottom w:val="none" w:sz="0" w:space="0" w:color="auto"/>
                <w:right w:val="none" w:sz="0" w:space="0" w:color="auto"/>
              </w:divBdr>
            </w:div>
            <w:div w:id="2084522132">
              <w:marLeft w:val="0"/>
              <w:marRight w:val="0"/>
              <w:marTop w:val="0"/>
              <w:marBottom w:val="0"/>
              <w:divBdr>
                <w:top w:val="none" w:sz="0" w:space="0" w:color="auto"/>
                <w:left w:val="none" w:sz="0" w:space="0" w:color="auto"/>
                <w:bottom w:val="none" w:sz="0" w:space="0" w:color="auto"/>
                <w:right w:val="none" w:sz="0" w:space="0" w:color="auto"/>
              </w:divBdr>
            </w:div>
            <w:div w:id="2087220631">
              <w:marLeft w:val="0"/>
              <w:marRight w:val="0"/>
              <w:marTop w:val="0"/>
              <w:marBottom w:val="0"/>
              <w:divBdr>
                <w:top w:val="none" w:sz="0" w:space="0" w:color="auto"/>
                <w:left w:val="none" w:sz="0" w:space="0" w:color="auto"/>
                <w:bottom w:val="none" w:sz="0" w:space="0" w:color="auto"/>
                <w:right w:val="none" w:sz="0" w:space="0" w:color="auto"/>
              </w:divBdr>
            </w:div>
          </w:divsChild>
        </w:div>
        <w:div w:id="1903052937">
          <w:marLeft w:val="0"/>
          <w:marRight w:val="0"/>
          <w:marTop w:val="0"/>
          <w:marBottom w:val="0"/>
          <w:divBdr>
            <w:top w:val="none" w:sz="0" w:space="0" w:color="auto"/>
            <w:left w:val="none" w:sz="0" w:space="0" w:color="auto"/>
            <w:bottom w:val="none" w:sz="0" w:space="0" w:color="auto"/>
            <w:right w:val="none" w:sz="0" w:space="0" w:color="auto"/>
          </w:divBdr>
        </w:div>
        <w:div w:id="1952392195">
          <w:marLeft w:val="0"/>
          <w:marRight w:val="0"/>
          <w:marTop w:val="0"/>
          <w:marBottom w:val="0"/>
          <w:divBdr>
            <w:top w:val="none" w:sz="0" w:space="0" w:color="auto"/>
            <w:left w:val="none" w:sz="0" w:space="0" w:color="auto"/>
            <w:bottom w:val="none" w:sz="0" w:space="0" w:color="auto"/>
            <w:right w:val="none" w:sz="0" w:space="0" w:color="auto"/>
          </w:divBdr>
        </w:div>
        <w:div w:id="1952935399">
          <w:marLeft w:val="0"/>
          <w:marRight w:val="0"/>
          <w:marTop w:val="0"/>
          <w:marBottom w:val="0"/>
          <w:divBdr>
            <w:top w:val="none" w:sz="0" w:space="0" w:color="auto"/>
            <w:left w:val="none" w:sz="0" w:space="0" w:color="auto"/>
            <w:bottom w:val="none" w:sz="0" w:space="0" w:color="auto"/>
            <w:right w:val="none" w:sz="0" w:space="0" w:color="auto"/>
          </w:divBdr>
        </w:div>
        <w:div w:id="1968121899">
          <w:marLeft w:val="0"/>
          <w:marRight w:val="0"/>
          <w:marTop w:val="0"/>
          <w:marBottom w:val="0"/>
          <w:divBdr>
            <w:top w:val="none" w:sz="0" w:space="0" w:color="auto"/>
            <w:left w:val="none" w:sz="0" w:space="0" w:color="auto"/>
            <w:bottom w:val="none" w:sz="0" w:space="0" w:color="auto"/>
            <w:right w:val="none" w:sz="0" w:space="0" w:color="auto"/>
          </w:divBdr>
        </w:div>
        <w:div w:id="2053921809">
          <w:marLeft w:val="0"/>
          <w:marRight w:val="0"/>
          <w:marTop w:val="0"/>
          <w:marBottom w:val="0"/>
          <w:divBdr>
            <w:top w:val="none" w:sz="0" w:space="0" w:color="auto"/>
            <w:left w:val="none" w:sz="0" w:space="0" w:color="auto"/>
            <w:bottom w:val="none" w:sz="0" w:space="0" w:color="auto"/>
            <w:right w:val="none" w:sz="0" w:space="0" w:color="auto"/>
          </w:divBdr>
        </w:div>
      </w:divsChild>
    </w:div>
    <w:div w:id="1638101574">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201372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E1F1A-7C59-478A-BB33-2949A18BB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545505-E656-4AEC-8BC3-607F01F772C8}">
  <ds:schemaRefs>
    <ds:schemaRef ds:uri="http://schemas.microsoft.com/sharepoint/v3/contenttype/forms"/>
  </ds:schemaRefs>
</ds:datastoreItem>
</file>

<file path=customXml/itemProps3.xml><?xml version="1.0" encoding="utf-8"?>
<ds:datastoreItem xmlns:ds="http://schemas.openxmlformats.org/officeDocument/2006/customXml" ds:itemID="{7491529F-2609-4F24-BE0B-E026B86B5D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BABFE81-5D91-4A79-A446-B2879B88C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8</Pages>
  <Words>2690</Words>
  <Characters>15335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17990</CharactersWithSpaces>
  <SharedDoc>false</SharedDoc>
  <HLinks>
    <vt:vector size="6" baseType="variant">
      <vt:variant>
        <vt:i4>2097198</vt:i4>
      </vt:variant>
      <vt:variant>
        <vt:i4>0</vt:i4>
      </vt:variant>
      <vt:variant>
        <vt:i4>0</vt:i4>
      </vt:variant>
      <vt:variant>
        <vt:i4>5</vt:i4>
      </vt:variant>
      <vt:variant>
        <vt:lpwstr>https://circabc.europa.eu/ui/group/09242a36-a438-40fd-a7af-fe32e36cbd0e/library/76dcefc4-692c-421d-8a5e-54955bb486aa/details?download=true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2026-06-22T16:41:00Z</dcterms:created>
  <dcterms:modified xsi:type="dcterms:W3CDTF">2026-06-30T11:16:00Z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