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269" w:rsidRDefault="0050314E" w:rsidP="0050314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8D3A3E8-2EA8-4992-BC9A-BF28097C10A9" style="width:455.25pt;height:342.75pt">
            <v:imagedata r:id="rId11" o:title=""/>
          </v:shape>
        </w:pict>
      </w:r>
    </w:p>
    <w:p w:rsidR="00896269" w:rsidRDefault="00896269" w:rsidP="00896269">
      <w:pPr>
        <w:rPr>
          <w:noProof/>
        </w:rPr>
        <w:sectPr w:rsidR="00896269" w:rsidSect="0050314E">
          <w:footerReference w:type="even" r:id="rId12"/>
          <w:footerReference w:type="default" r:id="rId13"/>
          <w:pgSz w:w="11907" w:h="16839"/>
          <w:pgMar w:top="1134" w:right="1417" w:bottom="1134" w:left="1417" w:header="709" w:footer="709" w:gutter="0"/>
          <w:pgNumType w:start="0"/>
          <w:cols w:space="720"/>
          <w:docGrid w:linePitch="360"/>
        </w:sectPr>
      </w:pPr>
    </w:p>
    <w:p w:rsidR="00EB2CCC" w:rsidRPr="00EB2CCC" w:rsidRDefault="4A68D3F3" w:rsidP="003D4FB3">
      <w:pPr>
        <w:pStyle w:val="Exposdesmotifstitre"/>
        <w:rPr>
          <w:noProof/>
          <w:lang w:val="en-IE"/>
        </w:rPr>
      </w:pPr>
      <w:bookmarkStart w:id="0" w:name="_GoBack"/>
      <w:bookmarkEnd w:id="0"/>
      <w:r w:rsidRPr="57097F81">
        <w:rPr>
          <w:noProof/>
          <w:lang w:val="en-IE"/>
        </w:rPr>
        <w:lastRenderedPageBreak/>
        <w:t>EXPLANATORY MEMORANDUM</w:t>
      </w:r>
    </w:p>
    <w:p w:rsidR="2941685E" w:rsidRDefault="003D4FB3" w:rsidP="003D4FB3">
      <w:pPr>
        <w:pStyle w:val="ManualHeading1"/>
        <w:rPr>
          <w:noProof/>
          <w:lang w:val="en-IE"/>
        </w:rPr>
      </w:pPr>
      <w:r w:rsidRPr="003D4FB3">
        <w:rPr>
          <w:noProof/>
        </w:rPr>
        <w:t>1.</w:t>
      </w:r>
      <w:r w:rsidRPr="003D4FB3">
        <w:rPr>
          <w:noProof/>
        </w:rPr>
        <w:tab/>
      </w:r>
      <w:r w:rsidR="2941685E" w:rsidRPr="57097F81">
        <w:rPr>
          <w:noProof/>
        </w:rPr>
        <w:t>CONTEXT OF THE PROPOSAL</w:t>
      </w:r>
      <w:r w:rsidR="2941685E" w:rsidRPr="57097F81">
        <w:rPr>
          <w:noProof/>
          <w:lang w:val="en-IE"/>
        </w:rPr>
        <w:t> </w:t>
      </w:r>
    </w:p>
    <w:p w:rsidR="2941685E" w:rsidRDefault="2941685E" w:rsidP="003D4FB3">
      <w:pPr>
        <w:pStyle w:val="ManualHeading2"/>
        <w:rPr>
          <w:noProof/>
          <w:lang w:val="en-IE"/>
        </w:rPr>
      </w:pPr>
      <w:r w:rsidRPr="57097F81">
        <w:rPr>
          <w:noProof/>
          <w:lang w:val="en-US"/>
        </w:rPr>
        <w:t>•</w:t>
      </w:r>
      <w:r>
        <w:rPr>
          <w:noProof/>
        </w:rPr>
        <w:tab/>
      </w:r>
      <w:r w:rsidRPr="57097F81">
        <w:rPr>
          <w:noProof/>
        </w:rPr>
        <w:t>Reasons for and objectives of the proposal</w:t>
      </w:r>
      <w:r w:rsidRPr="57097F81">
        <w:rPr>
          <w:noProof/>
          <w:lang w:val="en-IE"/>
        </w:rPr>
        <w:t> </w:t>
      </w:r>
    </w:p>
    <w:p w:rsidR="2941685E" w:rsidRDefault="2941685E" w:rsidP="1B83DB66">
      <w:pPr>
        <w:pBdr>
          <w:top w:val="nil"/>
          <w:left w:val="nil"/>
          <w:bottom w:val="nil"/>
          <w:right w:val="nil"/>
          <w:between w:val="nil"/>
        </w:pBdr>
        <w:spacing w:before="0" w:after="240"/>
        <w:rPr>
          <w:rFonts w:eastAsia="Times New Roman"/>
          <w:noProof/>
          <w:color w:val="000000" w:themeColor="text1"/>
          <w:szCs w:val="24"/>
          <w:lang w:val="en-IE"/>
        </w:rPr>
      </w:pPr>
      <w:r w:rsidRPr="57097F81">
        <w:rPr>
          <w:rFonts w:eastAsia="Times New Roman"/>
          <w:noProof/>
          <w:color w:val="000000" w:themeColor="text1"/>
          <w:szCs w:val="24"/>
        </w:rPr>
        <w:t>Indonesia is the EU’s 30</w:t>
      </w:r>
      <w:r w:rsidRPr="57097F81">
        <w:rPr>
          <w:rFonts w:eastAsia="Times New Roman"/>
          <w:noProof/>
          <w:color w:val="000000" w:themeColor="text1"/>
          <w:szCs w:val="24"/>
          <w:vertAlign w:val="superscript"/>
        </w:rPr>
        <w:t>th</w:t>
      </w:r>
      <w:r w:rsidRPr="57097F81">
        <w:rPr>
          <w:rFonts w:eastAsia="Times New Roman"/>
          <w:noProof/>
          <w:color w:val="000000" w:themeColor="text1"/>
          <w:szCs w:val="24"/>
        </w:rPr>
        <w:t xml:space="preserve"> largest trading partner for goods globally and the EU’s fifth trading partner in the </w:t>
      </w:r>
      <w:r w:rsidR="1A3E6E8D" w:rsidRPr="00013581">
        <w:rPr>
          <w:noProof/>
        </w:rPr>
        <w:t>Association of Southeast Asian Nations (</w:t>
      </w:r>
      <w:r w:rsidRPr="57097F81">
        <w:rPr>
          <w:rFonts w:eastAsia="Times New Roman"/>
          <w:noProof/>
          <w:color w:val="000000" w:themeColor="text1"/>
          <w:szCs w:val="24"/>
        </w:rPr>
        <w:t>ASEAN</w:t>
      </w:r>
      <w:r w:rsidR="1A3E6E8D">
        <w:rPr>
          <w:rFonts w:eastAsia="Times New Roman"/>
          <w:noProof/>
          <w:color w:val="000000" w:themeColor="text1"/>
          <w:szCs w:val="24"/>
        </w:rPr>
        <w:t>)</w:t>
      </w:r>
      <w:r w:rsidR="3EA3B438">
        <w:rPr>
          <w:rFonts w:eastAsia="Times New Roman"/>
          <w:noProof/>
          <w:color w:val="000000" w:themeColor="text1"/>
          <w:szCs w:val="24"/>
        </w:rPr>
        <w:t xml:space="preserve"> </w:t>
      </w:r>
      <w:r w:rsidRPr="57097F81">
        <w:rPr>
          <w:rFonts w:eastAsia="Times New Roman"/>
          <w:noProof/>
          <w:color w:val="000000" w:themeColor="text1"/>
          <w:szCs w:val="24"/>
        </w:rPr>
        <w:t>in 2025,</w:t>
      </w:r>
      <w:r w:rsidR="003D4FB3">
        <w:rPr>
          <w:rFonts w:eastAsia="Times New Roman"/>
          <w:noProof/>
          <w:color w:val="000000" w:themeColor="text1"/>
          <w:szCs w:val="24"/>
        </w:rPr>
        <w:t xml:space="preserve"> </w:t>
      </w:r>
      <w:r w:rsidRPr="57097F81">
        <w:rPr>
          <w:rFonts w:eastAsia="Times New Roman"/>
          <w:noProof/>
          <w:color w:val="000000" w:themeColor="text1"/>
          <w:szCs w:val="24"/>
        </w:rPr>
        <w:t>while the EU is Indonesia’s</w:t>
      </w:r>
      <w:r w:rsidR="3EA3B438">
        <w:rPr>
          <w:rFonts w:eastAsia="Times New Roman"/>
          <w:noProof/>
          <w:color w:val="000000" w:themeColor="text1"/>
          <w:szCs w:val="24"/>
        </w:rPr>
        <w:t xml:space="preserve"> </w:t>
      </w:r>
      <w:r w:rsidRPr="57097F81">
        <w:rPr>
          <w:rFonts w:eastAsia="Times New Roman"/>
          <w:noProof/>
          <w:color w:val="000000" w:themeColor="text1"/>
          <w:szCs w:val="24"/>
        </w:rPr>
        <w:t>fourth largest</w:t>
      </w:r>
      <w:r w:rsidR="3EA3B438">
        <w:rPr>
          <w:rFonts w:eastAsia="Times New Roman"/>
          <w:noProof/>
          <w:color w:val="000000" w:themeColor="text1"/>
          <w:szCs w:val="24"/>
        </w:rPr>
        <w:t xml:space="preserve"> </w:t>
      </w:r>
      <w:r w:rsidRPr="57097F81">
        <w:rPr>
          <w:rFonts w:eastAsia="Times New Roman"/>
          <w:noProof/>
          <w:color w:val="000000" w:themeColor="text1"/>
          <w:szCs w:val="24"/>
        </w:rPr>
        <w:t>trading partner, accounting for 6% of its total trade. Bilateral trade between the two partners</w:t>
      </w:r>
      <w:r w:rsidR="3EA3B438">
        <w:rPr>
          <w:rFonts w:eastAsia="Times New Roman"/>
          <w:noProof/>
          <w:color w:val="000000" w:themeColor="text1"/>
          <w:szCs w:val="24"/>
        </w:rPr>
        <w:t xml:space="preserve"> </w:t>
      </w:r>
      <w:r w:rsidRPr="57097F81">
        <w:rPr>
          <w:rFonts w:eastAsia="Times New Roman"/>
          <w:noProof/>
          <w:color w:val="000000" w:themeColor="text1"/>
          <w:szCs w:val="24"/>
        </w:rPr>
        <w:t>amounted to </w:t>
      </w:r>
      <w:r w:rsidR="003D4FB3">
        <w:rPr>
          <w:rFonts w:eastAsia="Times New Roman"/>
          <w:noProof/>
          <w:color w:val="000000" w:themeColor="text1"/>
          <w:szCs w:val="24"/>
        </w:rPr>
        <w:t>EUR </w:t>
      </w:r>
      <w:r w:rsidRPr="57097F81">
        <w:rPr>
          <w:rFonts w:eastAsia="Times New Roman"/>
          <w:noProof/>
          <w:color w:val="000000" w:themeColor="text1"/>
          <w:szCs w:val="24"/>
        </w:rPr>
        <w:t xml:space="preserve">28.9 billion in 2025, with EU exports worth </w:t>
      </w:r>
      <w:r w:rsidR="003D4FB3">
        <w:rPr>
          <w:rFonts w:eastAsia="Times New Roman"/>
          <w:noProof/>
          <w:color w:val="000000" w:themeColor="text1"/>
          <w:szCs w:val="24"/>
        </w:rPr>
        <w:t>EUR </w:t>
      </w:r>
      <w:r w:rsidRPr="57097F81">
        <w:rPr>
          <w:rFonts w:eastAsia="Times New Roman"/>
          <w:noProof/>
          <w:color w:val="000000" w:themeColor="text1"/>
          <w:szCs w:val="24"/>
        </w:rPr>
        <w:t xml:space="preserve">10.2 billion and EU imports worth </w:t>
      </w:r>
      <w:r w:rsidR="003D4FB3">
        <w:rPr>
          <w:rFonts w:eastAsia="Times New Roman"/>
          <w:noProof/>
          <w:color w:val="000000" w:themeColor="text1"/>
          <w:szCs w:val="24"/>
        </w:rPr>
        <w:t>EUR </w:t>
      </w:r>
      <w:r w:rsidRPr="57097F81">
        <w:rPr>
          <w:rFonts w:eastAsia="Times New Roman"/>
          <w:noProof/>
          <w:color w:val="000000" w:themeColor="text1"/>
          <w:szCs w:val="24"/>
        </w:rPr>
        <w:t>18.7 billion.</w:t>
      </w:r>
      <w:r w:rsidR="3EA3B438">
        <w:rPr>
          <w:rFonts w:eastAsia="Times New Roman"/>
          <w:noProof/>
          <w:color w:val="000000" w:themeColor="text1"/>
          <w:szCs w:val="24"/>
        </w:rPr>
        <w:t xml:space="preserve"> </w:t>
      </w:r>
      <w:r w:rsidRPr="57097F81">
        <w:rPr>
          <w:rFonts w:eastAsia="Times New Roman"/>
          <w:noProof/>
          <w:color w:val="000000" w:themeColor="text1"/>
          <w:szCs w:val="24"/>
        </w:rPr>
        <w:t>Indonesia</w:t>
      </w:r>
      <w:r w:rsidR="426D0AF5">
        <w:rPr>
          <w:rFonts w:eastAsia="Times New Roman"/>
          <w:noProof/>
          <w:color w:val="000000" w:themeColor="text1"/>
          <w:szCs w:val="24"/>
        </w:rPr>
        <w:t>n</w:t>
      </w:r>
      <w:r w:rsidRPr="57097F81">
        <w:rPr>
          <w:rFonts w:eastAsia="Times New Roman"/>
          <w:noProof/>
          <w:color w:val="000000" w:themeColor="text1"/>
          <w:szCs w:val="24"/>
        </w:rPr>
        <w:t xml:space="preserve"> exports</w:t>
      </w:r>
      <w:r w:rsidR="426D0AF5">
        <w:rPr>
          <w:rFonts w:eastAsia="Times New Roman"/>
          <w:noProof/>
          <w:color w:val="000000" w:themeColor="text1"/>
          <w:szCs w:val="24"/>
        </w:rPr>
        <w:t xml:space="preserve"> </w:t>
      </w:r>
      <w:r w:rsidRPr="57097F81">
        <w:rPr>
          <w:rFonts w:eastAsia="Times New Roman"/>
          <w:noProof/>
          <w:color w:val="000000" w:themeColor="text1"/>
          <w:szCs w:val="24"/>
        </w:rPr>
        <w:t>to the EU</w:t>
      </w:r>
      <w:r w:rsidR="426D0AF5">
        <w:rPr>
          <w:rFonts w:eastAsia="Times New Roman"/>
          <w:noProof/>
          <w:color w:val="000000" w:themeColor="text1"/>
          <w:szCs w:val="24"/>
        </w:rPr>
        <w:t xml:space="preserve"> </w:t>
      </w:r>
      <w:r w:rsidRPr="57097F81">
        <w:rPr>
          <w:rFonts w:eastAsia="Times New Roman"/>
          <w:noProof/>
          <w:color w:val="000000" w:themeColor="text1"/>
          <w:szCs w:val="24"/>
        </w:rPr>
        <w:t>include</w:t>
      </w:r>
      <w:r w:rsidR="426D0AF5">
        <w:rPr>
          <w:rFonts w:eastAsia="Times New Roman"/>
          <w:noProof/>
          <w:color w:val="000000" w:themeColor="text1"/>
          <w:szCs w:val="24"/>
        </w:rPr>
        <w:t xml:space="preserve"> </w:t>
      </w:r>
      <w:r w:rsidRPr="57097F81">
        <w:rPr>
          <w:rFonts w:eastAsia="Times New Roman"/>
          <w:noProof/>
          <w:color w:val="000000" w:themeColor="text1"/>
          <w:szCs w:val="24"/>
        </w:rPr>
        <w:t>mainly</w:t>
      </w:r>
      <w:r w:rsidR="426D0AF5">
        <w:rPr>
          <w:rFonts w:eastAsia="Times New Roman"/>
          <w:noProof/>
          <w:color w:val="000000" w:themeColor="text1"/>
          <w:szCs w:val="24"/>
        </w:rPr>
        <w:t xml:space="preserve"> </w:t>
      </w:r>
      <w:r w:rsidRPr="57097F81">
        <w:rPr>
          <w:rFonts w:eastAsia="Times New Roman"/>
          <w:noProof/>
          <w:color w:val="000000" w:themeColor="text1"/>
          <w:szCs w:val="24"/>
        </w:rPr>
        <w:t>agricultural</w:t>
      </w:r>
      <w:r w:rsidR="426D0AF5">
        <w:rPr>
          <w:rFonts w:eastAsia="Times New Roman"/>
          <w:noProof/>
          <w:color w:val="000000" w:themeColor="text1"/>
          <w:szCs w:val="24"/>
        </w:rPr>
        <w:t xml:space="preserve"> </w:t>
      </w:r>
      <w:r w:rsidRPr="57097F81">
        <w:rPr>
          <w:rFonts w:eastAsia="Times New Roman"/>
          <w:noProof/>
          <w:color w:val="000000" w:themeColor="text1"/>
          <w:szCs w:val="24"/>
        </w:rPr>
        <w:t>products,</w:t>
      </w:r>
      <w:r w:rsidR="426D0AF5">
        <w:rPr>
          <w:rFonts w:eastAsia="Times New Roman"/>
          <w:noProof/>
          <w:color w:val="000000" w:themeColor="text1"/>
          <w:szCs w:val="24"/>
        </w:rPr>
        <w:t xml:space="preserve"> </w:t>
      </w:r>
      <w:r w:rsidRPr="57097F81">
        <w:rPr>
          <w:rFonts w:eastAsia="Times New Roman"/>
          <w:noProof/>
          <w:color w:val="000000" w:themeColor="text1"/>
          <w:szCs w:val="24"/>
        </w:rPr>
        <w:t>base metals, chemicals, machinery and appliances,</w:t>
      </w:r>
      <w:r w:rsidR="6FDCE435">
        <w:rPr>
          <w:rFonts w:eastAsia="Times New Roman"/>
          <w:noProof/>
          <w:color w:val="000000" w:themeColor="text1"/>
          <w:szCs w:val="24"/>
        </w:rPr>
        <w:t xml:space="preserve"> </w:t>
      </w:r>
      <w:r w:rsidRPr="57097F81">
        <w:rPr>
          <w:rFonts w:eastAsia="Times New Roman"/>
          <w:noProof/>
          <w:color w:val="000000" w:themeColor="text1"/>
          <w:szCs w:val="24"/>
        </w:rPr>
        <w:t>fats</w:t>
      </w:r>
      <w:r w:rsidR="6FDCE435">
        <w:rPr>
          <w:rFonts w:eastAsia="Times New Roman"/>
          <w:noProof/>
          <w:color w:val="000000" w:themeColor="text1"/>
          <w:szCs w:val="24"/>
        </w:rPr>
        <w:t xml:space="preserve"> </w:t>
      </w:r>
      <w:r w:rsidRPr="57097F81">
        <w:rPr>
          <w:rFonts w:eastAsia="Times New Roman"/>
          <w:noProof/>
          <w:color w:val="000000" w:themeColor="text1"/>
          <w:szCs w:val="24"/>
        </w:rPr>
        <w:t>and oils</w:t>
      </w:r>
      <w:r w:rsidR="6FDCE435">
        <w:rPr>
          <w:rFonts w:eastAsia="Times New Roman"/>
          <w:noProof/>
          <w:color w:val="000000" w:themeColor="text1"/>
          <w:szCs w:val="24"/>
        </w:rPr>
        <w:t>,</w:t>
      </w:r>
      <w:r w:rsidRPr="57097F81">
        <w:rPr>
          <w:rFonts w:eastAsia="Times New Roman"/>
          <w:noProof/>
          <w:color w:val="000000" w:themeColor="text1"/>
          <w:szCs w:val="24"/>
        </w:rPr>
        <w:t xml:space="preserve"> as well as footwear. The EU’s exports to Indonesia are</w:t>
      </w:r>
      <w:r w:rsidR="6FDCE435">
        <w:rPr>
          <w:rFonts w:eastAsia="Times New Roman"/>
          <w:noProof/>
          <w:color w:val="000000" w:themeColor="text1"/>
          <w:szCs w:val="24"/>
        </w:rPr>
        <w:t xml:space="preserve"> </w:t>
      </w:r>
      <w:r w:rsidRPr="57097F81">
        <w:rPr>
          <w:rFonts w:eastAsia="Times New Roman"/>
          <w:noProof/>
          <w:color w:val="000000" w:themeColor="text1"/>
          <w:szCs w:val="24"/>
        </w:rPr>
        <w:t>largely dominated</w:t>
      </w:r>
      <w:r w:rsidR="6FDCE435">
        <w:rPr>
          <w:rFonts w:eastAsia="Times New Roman"/>
          <w:noProof/>
          <w:color w:val="000000" w:themeColor="text1"/>
          <w:szCs w:val="24"/>
        </w:rPr>
        <w:t xml:space="preserve"> </w:t>
      </w:r>
      <w:r w:rsidRPr="57097F81">
        <w:rPr>
          <w:rFonts w:eastAsia="Times New Roman"/>
          <w:noProof/>
          <w:color w:val="000000" w:themeColor="text1"/>
          <w:szCs w:val="24"/>
        </w:rPr>
        <w:t>by</w:t>
      </w:r>
      <w:r w:rsidR="6FDCE435">
        <w:rPr>
          <w:rFonts w:eastAsia="Times New Roman"/>
          <w:noProof/>
          <w:color w:val="000000" w:themeColor="text1"/>
          <w:szCs w:val="24"/>
        </w:rPr>
        <w:t xml:space="preserve"> </w:t>
      </w:r>
      <w:r w:rsidRPr="57097F81">
        <w:rPr>
          <w:rFonts w:eastAsia="Times New Roman"/>
          <w:noProof/>
          <w:color w:val="000000" w:themeColor="text1"/>
          <w:szCs w:val="24"/>
        </w:rPr>
        <w:t>industrial products, including</w:t>
      </w:r>
      <w:r w:rsidR="6FDCE435">
        <w:rPr>
          <w:rFonts w:eastAsia="Times New Roman"/>
          <w:noProof/>
          <w:color w:val="000000" w:themeColor="text1"/>
          <w:szCs w:val="24"/>
        </w:rPr>
        <w:t xml:space="preserve"> </w:t>
      </w:r>
      <w:r w:rsidRPr="57097F81">
        <w:rPr>
          <w:rFonts w:eastAsia="Times New Roman"/>
          <w:noProof/>
          <w:color w:val="000000" w:themeColor="text1"/>
          <w:szCs w:val="24"/>
        </w:rPr>
        <w:t>machinery and appliances, transport</w:t>
      </w:r>
      <w:r w:rsidR="272FD219">
        <w:rPr>
          <w:rFonts w:eastAsia="Times New Roman"/>
          <w:noProof/>
          <w:color w:val="000000" w:themeColor="text1"/>
          <w:szCs w:val="24"/>
        </w:rPr>
        <w:t xml:space="preserve"> </w:t>
      </w:r>
      <w:r w:rsidRPr="57097F81">
        <w:rPr>
          <w:rFonts w:eastAsia="Times New Roman"/>
          <w:noProof/>
          <w:color w:val="000000" w:themeColor="text1"/>
          <w:szCs w:val="24"/>
        </w:rPr>
        <w:t>equipment</w:t>
      </w:r>
      <w:r w:rsidR="272FD219">
        <w:rPr>
          <w:rFonts w:eastAsia="Times New Roman"/>
          <w:noProof/>
          <w:color w:val="000000" w:themeColor="text1"/>
          <w:szCs w:val="24"/>
        </w:rPr>
        <w:t xml:space="preserve"> </w:t>
      </w:r>
      <w:r w:rsidRPr="57097F81">
        <w:rPr>
          <w:rFonts w:eastAsia="Times New Roman"/>
          <w:noProof/>
          <w:color w:val="000000" w:themeColor="text1"/>
          <w:szCs w:val="24"/>
        </w:rPr>
        <w:t>and chemical products.</w:t>
      </w:r>
      <w:r w:rsidR="272FD219">
        <w:rPr>
          <w:rFonts w:eastAsia="Times New Roman"/>
          <w:noProof/>
          <w:color w:val="000000" w:themeColor="text1"/>
          <w:szCs w:val="24"/>
        </w:rPr>
        <w:t xml:space="preserve"> </w:t>
      </w:r>
      <w:r w:rsidRPr="57097F81">
        <w:rPr>
          <w:rFonts w:eastAsia="Times New Roman"/>
          <w:noProof/>
          <w:color w:val="000000" w:themeColor="text1"/>
          <w:szCs w:val="24"/>
        </w:rPr>
        <w:t xml:space="preserve">Bilateral trade in services between the EU and Indonesia amounted to </w:t>
      </w:r>
      <w:r w:rsidR="003D4FB3">
        <w:rPr>
          <w:rFonts w:eastAsia="Times New Roman"/>
          <w:noProof/>
          <w:color w:val="000000" w:themeColor="text1"/>
          <w:szCs w:val="24"/>
        </w:rPr>
        <w:t>EUR </w:t>
      </w:r>
      <w:r w:rsidRPr="57097F81">
        <w:rPr>
          <w:rFonts w:eastAsia="Times New Roman"/>
          <w:noProof/>
          <w:color w:val="000000" w:themeColor="text1"/>
          <w:szCs w:val="24"/>
        </w:rPr>
        <w:t xml:space="preserve">9.3 billion in 2024, with EU exports amounting to </w:t>
      </w:r>
      <w:r w:rsidR="003D4FB3">
        <w:rPr>
          <w:rFonts w:eastAsia="Times New Roman"/>
          <w:noProof/>
          <w:color w:val="000000" w:themeColor="text1"/>
          <w:szCs w:val="24"/>
        </w:rPr>
        <w:t>EUR </w:t>
      </w:r>
      <w:r w:rsidRPr="57097F81">
        <w:rPr>
          <w:rFonts w:eastAsia="Times New Roman"/>
          <w:noProof/>
          <w:color w:val="000000" w:themeColor="text1"/>
          <w:szCs w:val="24"/>
        </w:rPr>
        <w:t xml:space="preserve">5.8 billion and imports amounting to </w:t>
      </w:r>
      <w:r w:rsidR="003D4FB3">
        <w:rPr>
          <w:rFonts w:eastAsia="Times New Roman"/>
          <w:noProof/>
          <w:color w:val="000000" w:themeColor="text1"/>
          <w:szCs w:val="24"/>
        </w:rPr>
        <w:t>EUR </w:t>
      </w:r>
      <w:r w:rsidRPr="57097F81">
        <w:rPr>
          <w:rFonts w:eastAsia="Times New Roman"/>
          <w:noProof/>
          <w:color w:val="000000" w:themeColor="text1"/>
          <w:szCs w:val="24"/>
        </w:rPr>
        <w:t>3.5 billion. In 2024, the EU’s foreign direct investment</w:t>
      </w:r>
      <w:r w:rsidR="272FD219">
        <w:rPr>
          <w:rFonts w:eastAsia="Times New Roman"/>
          <w:noProof/>
          <w:color w:val="000000" w:themeColor="text1"/>
          <w:szCs w:val="24"/>
        </w:rPr>
        <w:t xml:space="preserve"> (FDI)</w:t>
      </w:r>
      <w:r w:rsidRPr="57097F81">
        <w:rPr>
          <w:rFonts w:eastAsia="Times New Roman"/>
          <w:noProof/>
          <w:color w:val="000000" w:themeColor="text1"/>
          <w:szCs w:val="24"/>
        </w:rPr>
        <w:t xml:space="preserve"> stock</w:t>
      </w:r>
      <w:r w:rsidR="272FD219">
        <w:rPr>
          <w:rFonts w:eastAsia="Times New Roman"/>
          <w:noProof/>
          <w:color w:val="000000" w:themeColor="text1"/>
          <w:szCs w:val="24"/>
        </w:rPr>
        <w:t xml:space="preserve"> </w:t>
      </w:r>
      <w:r w:rsidRPr="57097F81">
        <w:rPr>
          <w:rFonts w:eastAsia="Times New Roman"/>
          <w:noProof/>
          <w:color w:val="000000" w:themeColor="text1"/>
          <w:szCs w:val="24"/>
        </w:rPr>
        <w:t xml:space="preserve">in Indonesia amounted to </w:t>
      </w:r>
      <w:r w:rsidR="003D4FB3">
        <w:rPr>
          <w:rFonts w:eastAsia="Times New Roman"/>
          <w:noProof/>
          <w:color w:val="000000" w:themeColor="text1"/>
          <w:szCs w:val="24"/>
        </w:rPr>
        <w:t>EUR </w:t>
      </w:r>
      <w:r w:rsidRPr="57097F81">
        <w:rPr>
          <w:rFonts w:eastAsia="Times New Roman"/>
          <w:noProof/>
          <w:color w:val="000000" w:themeColor="text1"/>
          <w:szCs w:val="24"/>
        </w:rPr>
        <w:t>24.7 billion, while Indonesia’s FDI stock in the EU was</w:t>
      </w:r>
      <w:r w:rsidR="272FD219">
        <w:rPr>
          <w:rFonts w:eastAsia="Times New Roman"/>
          <w:noProof/>
          <w:color w:val="000000" w:themeColor="text1"/>
          <w:szCs w:val="24"/>
        </w:rPr>
        <w:t xml:space="preserve"> </w:t>
      </w:r>
      <w:r w:rsidR="003D4FB3">
        <w:rPr>
          <w:rFonts w:eastAsia="Times New Roman"/>
          <w:noProof/>
          <w:color w:val="000000" w:themeColor="text1"/>
          <w:szCs w:val="24"/>
        </w:rPr>
        <w:t>EUR </w:t>
      </w:r>
      <w:r w:rsidRPr="57097F81">
        <w:rPr>
          <w:rFonts w:eastAsia="Times New Roman"/>
          <w:noProof/>
          <w:color w:val="000000" w:themeColor="text1"/>
          <w:szCs w:val="24"/>
        </w:rPr>
        <w:t>1.3 billion.</w:t>
      </w:r>
    </w:p>
    <w:p w:rsidR="2941685E" w:rsidRDefault="2941685E" w:rsidP="1B83DB66">
      <w:pPr>
        <w:pBdr>
          <w:top w:val="nil"/>
          <w:left w:val="nil"/>
          <w:bottom w:val="nil"/>
          <w:right w:val="nil"/>
          <w:between w:val="nil"/>
        </w:pBdr>
        <w:spacing w:before="0" w:after="240"/>
        <w:rPr>
          <w:rFonts w:eastAsia="Times New Roman"/>
          <w:noProof/>
          <w:color w:val="000000" w:themeColor="text1"/>
          <w:szCs w:val="24"/>
          <w:lang w:val="en-IE"/>
        </w:rPr>
      </w:pPr>
      <w:r w:rsidRPr="57097F81">
        <w:rPr>
          <w:rFonts w:eastAsia="Times New Roman"/>
          <w:noProof/>
          <w:color w:val="000000" w:themeColor="text1"/>
          <w:szCs w:val="24"/>
        </w:rPr>
        <w:t>Indonesia, a WTO member since 1995,</w:t>
      </w:r>
      <w:r w:rsidR="272FD219">
        <w:rPr>
          <w:rFonts w:eastAsia="Times New Roman"/>
          <w:noProof/>
          <w:color w:val="000000" w:themeColor="text1"/>
          <w:szCs w:val="24"/>
        </w:rPr>
        <w:t xml:space="preserve"> </w:t>
      </w:r>
      <w:r w:rsidRPr="57097F81">
        <w:rPr>
          <w:rFonts w:eastAsia="Times New Roman"/>
          <w:noProof/>
          <w:color w:val="000000" w:themeColor="text1"/>
          <w:szCs w:val="24"/>
        </w:rPr>
        <w:t>currently enjoys trade preferences with the EU under the Generalised Scheme of Preferences (“GSP</w:t>
      </w:r>
      <w:r w:rsidR="003D4FB3" w:rsidRPr="00013581">
        <w:rPr>
          <w:noProof/>
        </w:rPr>
        <w:t>”</w:t>
      </w:r>
      <w:r w:rsidRPr="57097F81">
        <w:rPr>
          <w:rFonts w:eastAsia="Times New Roman"/>
          <w:noProof/>
          <w:color w:val="000000" w:themeColor="text1"/>
          <w:szCs w:val="24"/>
        </w:rPr>
        <w:t>), of which it</w:t>
      </w:r>
      <w:r w:rsidR="272FD219">
        <w:rPr>
          <w:rFonts w:eastAsia="Times New Roman"/>
          <w:noProof/>
          <w:color w:val="000000" w:themeColor="text1"/>
          <w:szCs w:val="24"/>
        </w:rPr>
        <w:t xml:space="preserve"> </w:t>
      </w:r>
      <w:r w:rsidRPr="57097F81">
        <w:rPr>
          <w:rFonts w:eastAsia="Times New Roman"/>
          <w:noProof/>
          <w:color w:val="000000" w:themeColor="text1"/>
          <w:szCs w:val="24"/>
        </w:rPr>
        <w:t>is the second largest beneficiary. In 2024, 44% of its exports to the EU were eligible for reduced tariffs under the GSP. Indonesia will</w:t>
      </w:r>
      <w:r w:rsidR="272FD219">
        <w:rPr>
          <w:rFonts w:eastAsia="Times New Roman"/>
          <w:noProof/>
          <w:color w:val="000000" w:themeColor="text1"/>
          <w:szCs w:val="24"/>
        </w:rPr>
        <w:t xml:space="preserve"> </w:t>
      </w:r>
      <w:r w:rsidRPr="57097F81">
        <w:rPr>
          <w:rFonts w:eastAsia="Times New Roman"/>
          <w:noProof/>
          <w:color w:val="000000" w:themeColor="text1"/>
          <w:szCs w:val="24"/>
        </w:rPr>
        <w:t>however</w:t>
      </w:r>
      <w:r w:rsidR="272FD219">
        <w:rPr>
          <w:rFonts w:eastAsia="Times New Roman"/>
          <w:noProof/>
          <w:color w:val="000000" w:themeColor="text1"/>
          <w:szCs w:val="24"/>
        </w:rPr>
        <w:t xml:space="preserve"> </w:t>
      </w:r>
      <w:r w:rsidRPr="57097F81">
        <w:rPr>
          <w:rFonts w:eastAsia="Times New Roman"/>
          <w:noProof/>
          <w:color w:val="000000" w:themeColor="text1"/>
          <w:szCs w:val="24"/>
        </w:rPr>
        <w:t>graduate</w:t>
      </w:r>
      <w:r w:rsidR="272FD219">
        <w:rPr>
          <w:rFonts w:eastAsia="Times New Roman"/>
          <w:noProof/>
          <w:color w:val="000000" w:themeColor="text1"/>
          <w:szCs w:val="24"/>
        </w:rPr>
        <w:t xml:space="preserve"> from</w:t>
      </w:r>
      <w:r w:rsidRPr="57097F81">
        <w:rPr>
          <w:rFonts w:eastAsia="Times New Roman"/>
          <w:noProof/>
          <w:color w:val="000000" w:themeColor="text1"/>
          <w:szCs w:val="24"/>
        </w:rPr>
        <w:t xml:space="preserve"> the GSP </w:t>
      </w:r>
      <w:r w:rsidR="272FD219">
        <w:rPr>
          <w:rFonts w:eastAsia="Times New Roman"/>
          <w:noProof/>
          <w:color w:val="000000" w:themeColor="text1"/>
          <w:szCs w:val="24"/>
        </w:rPr>
        <w:t xml:space="preserve">scheme </w:t>
      </w:r>
      <w:r w:rsidRPr="57097F81">
        <w:rPr>
          <w:rFonts w:eastAsia="Times New Roman"/>
          <w:noProof/>
          <w:color w:val="000000" w:themeColor="text1"/>
          <w:szCs w:val="24"/>
        </w:rPr>
        <w:t>on 1 January 2027, due to its upper-middle income status over the last 3 years.</w:t>
      </w:r>
    </w:p>
    <w:p w:rsidR="2941685E" w:rsidRDefault="2941685E" w:rsidP="7B4F22F7">
      <w:pPr>
        <w:rPr>
          <w:rFonts w:eastAsia="Times New Roman"/>
          <w:noProof/>
          <w:color w:val="000000" w:themeColor="text1"/>
          <w:lang w:val="en-IE"/>
        </w:rPr>
      </w:pPr>
      <w:r w:rsidRPr="00013581">
        <w:rPr>
          <w:noProof/>
        </w:rPr>
        <w:t>On 23 April 2007, the Council authorised the Commission to negotiate a free trade agreement with Member States of ASEAN, of which Indonesia is a member. That authorisation provided for the possibility of bilateral negotiations</w:t>
      </w:r>
      <w:r w:rsidRPr="7B4F22F7">
        <w:rPr>
          <w:rFonts w:eastAsia="Times New Roman"/>
          <w:noProof/>
          <w:color w:val="000000" w:themeColor="text1"/>
        </w:rPr>
        <w:t xml:space="preserve"> </w:t>
      </w:r>
      <w:r w:rsidRPr="00013581">
        <w:rPr>
          <w:noProof/>
        </w:rPr>
        <w:t>with members of ASEAN.</w:t>
      </w:r>
    </w:p>
    <w:p w:rsidR="2941685E" w:rsidRDefault="2941685E" w:rsidP="003D4FB3">
      <w:pPr>
        <w:rPr>
          <w:noProof/>
          <w:lang w:val="en-IE"/>
        </w:rPr>
      </w:pPr>
      <w:r w:rsidRPr="57097F81">
        <w:rPr>
          <w:noProof/>
        </w:rPr>
        <w:t>In October 2013, the Council extended the scope of its negotiating directives to include provisions on investment protection.</w:t>
      </w:r>
    </w:p>
    <w:p w:rsidR="2941685E" w:rsidRDefault="2941685E" w:rsidP="7B4F22F7">
      <w:pPr>
        <w:rPr>
          <w:rFonts w:eastAsia="Times New Roman"/>
          <w:noProof/>
          <w:color w:val="000000" w:themeColor="text1"/>
          <w:lang w:val="en-IE"/>
        </w:rPr>
      </w:pPr>
      <w:r w:rsidRPr="00013581">
        <w:rPr>
          <w:noProof/>
        </w:rPr>
        <w:t>On 13 July 2016, the Council authorised the Commission to negotiate a Comprehensive Economic Partnership Agreement</w:t>
      </w:r>
      <w:r w:rsidRPr="7B4F22F7">
        <w:rPr>
          <w:rFonts w:eastAsia="Times New Roman"/>
          <w:noProof/>
          <w:color w:val="000000" w:themeColor="text1"/>
        </w:rPr>
        <w:t xml:space="preserve"> </w:t>
      </w:r>
      <w:r w:rsidRPr="00013581">
        <w:rPr>
          <w:noProof/>
        </w:rPr>
        <w:t>with Indonesia</w:t>
      </w:r>
      <w:r w:rsidRPr="7B4F22F7">
        <w:rPr>
          <w:rFonts w:eastAsia="Times New Roman"/>
          <w:noProof/>
          <w:color w:val="000000" w:themeColor="text1"/>
        </w:rPr>
        <w:t xml:space="preserve"> </w:t>
      </w:r>
      <w:r w:rsidRPr="00013581">
        <w:rPr>
          <w:noProof/>
        </w:rPr>
        <w:t>(“CEPA”).</w:t>
      </w:r>
    </w:p>
    <w:p w:rsidR="2941685E" w:rsidRPr="00A27BBB" w:rsidRDefault="2941685E" w:rsidP="7B4F22F7">
      <w:pPr>
        <w:rPr>
          <w:rFonts w:eastAsia="Times New Roman"/>
          <w:noProof/>
          <w:color w:val="000000" w:themeColor="text1"/>
          <w:lang w:val="en-IE"/>
        </w:rPr>
      </w:pPr>
      <w:r w:rsidRPr="7B4F22F7">
        <w:rPr>
          <w:rFonts w:eastAsia="Times New Roman"/>
          <w:noProof/>
          <w:color w:val="000000" w:themeColor="text1"/>
        </w:rPr>
        <w:t>The CEPA negotiations were officially launched on 19 July 2016 by Indonesian Trade Minister Thomas Lembong and EU ambassador to Indonesia Vincent Gu</w:t>
      </w:r>
      <w:r w:rsidR="00200BFA">
        <w:rPr>
          <w:rFonts w:eastAsia="Times New Roman"/>
          <w:noProof/>
          <w:color w:val="000000" w:themeColor="text1"/>
        </w:rPr>
        <w:t>é</w:t>
      </w:r>
      <w:r w:rsidRPr="7B4F22F7">
        <w:rPr>
          <w:rFonts w:eastAsia="Times New Roman"/>
          <w:noProof/>
          <w:color w:val="000000" w:themeColor="text1"/>
        </w:rPr>
        <w:t xml:space="preserve">rend. The negotiations covered investment protection. However, following Opinion 2/15 of 16 May 2017 of the Court of Justice, it was decided that the investment protection part would form the basis of a stand-alone agreement. The Commission informed the Trade Policy Committee of its decision to split the CEPA and the </w:t>
      </w:r>
      <w:r w:rsidR="00CB30B1" w:rsidRPr="7B4F22F7">
        <w:rPr>
          <w:rFonts w:eastAsia="Times New Roman"/>
          <w:noProof/>
          <w:color w:val="000000" w:themeColor="text1"/>
        </w:rPr>
        <w:t>investment protection agreeme</w:t>
      </w:r>
      <w:r w:rsidR="00961AFF" w:rsidRPr="7B4F22F7">
        <w:rPr>
          <w:rFonts w:eastAsia="Times New Roman"/>
          <w:noProof/>
          <w:color w:val="000000" w:themeColor="text1"/>
        </w:rPr>
        <w:t>nt</w:t>
      </w:r>
      <w:r w:rsidR="00FE26A4" w:rsidRPr="7B4F22F7">
        <w:rPr>
          <w:rFonts w:eastAsia="Times New Roman"/>
          <w:noProof/>
          <w:color w:val="000000" w:themeColor="text1"/>
        </w:rPr>
        <w:t xml:space="preserve"> (“</w:t>
      </w:r>
      <w:r w:rsidRPr="7B4F22F7">
        <w:rPr>
          <w:rFonts w:eastAsia="Times New Roman"/>
          <w:noProof/>
          <w:color w:val="000000" w:themeColor="text1"/>
        </w:rPr>
        <w:t>IPA</w:t>
      </w:r>
      <w:r w:rsidR="00FE26A4" w:rsidRPr="7B4F22F7">
        <w:rPr>
          <w:rFonts w:eastAsia="Times New Roman"/>
          <w:noProof/>
          <w:color w:val="000000" w:themeColor="text1"/>
        </w:rPr>
        <w:t>”)</w:t>
      </w:r>
      <w:r w:rsidRPr="7B4F22F7">
        <w:rPr>
          <w:rFonts w:eastAsia="Times New Roman"/>
          <w:noProof/>
          <w:color w:val="000000" w:themeColor="text1"/>
        </w:rPr>
        <w:t xml:space="preserve"> in 2021 after the resumption of the negotiations following the COVID-19 pandemic.</w:t>
      </w:r>
    </w:p>
    <w:p w:rsidR="2941685E" w:rsidRPr="00A27BBB" w:rsidRDefault="2941685E" w:rsidP="7B4F22F7">
      <w:pPr>
        <w:spacing w:before="0" w:after="0"/>
        <w:rPr>
          <w:rFonts w:eastAsia="Times New Roman"/>
          <w:noProof/>
          <w:color w:val="000000" w:themeColor="text1"/>
          <w:lang w:val="en-IE"/>
        </w:rPr>
      </w:pPr>
      <w:r w:rsidRPr="00013581">
        <w:rPr>
          <w:noProof/>
        </w:rPr>
        <w:t>The negotiations</w:t>
      </w:r>
      <w:r w:rsidRPr="7B4F22F7">
        <w:rPr>
          <w:rFonts w:eastAsia="Times New Roman"/>
          <w:noProof/>
          <w:color w:val="000000" w:themeColor="text1"/>
        </w:rPr>
        <w:t xml:space="preserve"> </w:t>
      </w:r>
      <w:r w:rsidRPr="00013581">
        <w:rPr>
          <w:noProof/>
        </w:rPr>
        <w:t>for an IPA between the European Union and Indonesia were successfully concluded on 23 September 2025, together with the negotiations</w:t>
      </w:r>
      <w:r w:rsidRPr="7B4F22F7">
        <w:rPr>
          <w:rFonts w:eastAsia="Times New Roman"/>
          <w:noProof/>
          <w:color w:val="000000" w:themeColor="text1"/>
        </w:rPr>
        <w:t xml:space="preserve"> </w:t>
      </w:r>
      <w:r w:rsidRPr="00013581">
        <w:rPr>
          <w:noProof/>
        </w:rPr>
        <w:t xml:space="preserve">for </w:t>
      </w:r>
      <w:r w:rsidR="008A263F" w:rsidRPr="00013581">
        <w:rPr>
          <w:noProof/>
        </w:rPr>
        <w:t xml:space="preserve">the </w:t>
      </w:r>
      <w:r w:rsidRPr="00013581">
        <w:rPr>
          <w:noProof/>
        </w:rPr>
        <w:t>CEPA</w:t>
      </w:r>
      <w:r w:rsidRPr="7B4F22F7">
        <w:rPr>
          <w:rFonts w:eastAsia="Times New Roman"/>
          <w:noProof/>
          <w:color w:val="000000" w:themeColor="text1"/>
        </w:rPr>
        <w:t>.</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t xml:space="preserve">The legally </w:t>
      </w:r>
      <w:r w:rsidR="008A263F" w:rsidRPr="7B4F22F7">
        <w:rPr>
          <w:rFonts w:eastAsia="Times New Roman"/>
          <w:noProof/>
          <w:color w:val="000000" w:themeColor="text1"/>
        </w:rPr>
        <w:t xml:space="preserve">revised </w:t>
      </w:r>
      <w:r w:rsidRPr="7B4F22F7">
        <w:rPr>
          <w:rFonts w:eastAsia="Times New Roman"/>
          <w:noProof/>
          <w:color w:val="000000" w:themeColor="text1"/>
        </w:rPr>
        <w:t>texts of the</w:t>
      </w:r>
      <w:r w:rsidR="008A263F" w:rsidRPr="7B4F22F7">
        <w:rPr>
          <w:rFonts w:eastAsia="Times New Roman"/>
          <w:noProof/>
          <w:color w:val="000000" w:themeColor="text1"/>
        </w:rPr>
        <w:t xml:space="preserve"> </w:t>
      </w:r>
      <w:r w:rsidRPr="7B4F22F7">
        <w:rPr>
          <w:rFonts w:eastAsia="Times New Roman"/>
          <w:noProof/>
          <w:color w:val="000000" w:themeColor="text1"/>
        </w:rPr>
        <w:t>IPA have been made public and can</w:t>
      </w:r>
      <w:r w:rsidR="008A263F" w:rsidRPr="7B4F22F7">
        <w:rPr>
          <w:rFonts w:eastAsia="Times New Roman"/>
          <w:noProof/>
          <w:color w:val="000000" w:themeColor="text1"/>
        </w:rPr>
        <w:t xml:space="preserve"> </w:t>
      </w:r>
      <w:r w:rsidRPr="7B4F22F7">
        <w:rPr>
          <w:rFonts w:eastAsia="Times New Roman"/>
          <w:noProof/>
          <w:color w:val="000000" w:themeColor="text1"/>
        </w:rPr>
        <w:t>be found</w:t>
      </w:r>
      <w:r w:rsidR="008A263F" w:rsidRPr="7B4F22F7">
        <w:rPr>
          <w:rFonts w:eastAsia="Times New Roman"/>
          <w:noProof/>
          <w:color w:val="000000" w:themeColor="text1"/>
        </w:rPr>
        <w:t xml:space="preserve"> </w:t>
      </w:r>
      <w:r w:rsidRPr="7B4F22F7">
        <w:rPr>
          <w:rFonts w:eastAsia="Times New Roman"/>
          <w:noProof/>
          <w:color w:val="000000" w:themeColor="text1"/>
        </w:rPr>
        <w:t>at</w:t>
      </w:r>
      <w:r w:rsidR="008A263F" w:rsidRPr="7B4F22F7">
        <w:rPr>
          <w:rFonts w:eastAsia="Times New Roman"/>
          <w:noProof/>
          <w:color w:val="000000" w:themeColor="text1"/>
        </w:rPr>
        <w:t xml:space="preserve"> </w:t>
      </w:r>
      <w:r w:rsidRPr="7B4F22F7">
        <w:rPr>
          <w:rFonts w:eastAsia="Times New Roman"/>
          <w:noProof/>
          <w:color w:val="000000" w:themeColor="text1"/>
        </w:rPr>
        <w:t>the following link:</w:t>
      </w:r>
      <w:r w:rsidRPr="7B4F22F7">
        <w:rPr>
          <w:rFonts w:eastAsia="Times New Roman"/>
          <w:noProof/>
          <w:color w:val="000000" w:themeColor="text1"/>
          <w:lang w:val="en-IE"/>
        </w:rPr>
        <w:t> </w:t>
      </w:r>
    </w:p>
    <w:p w:rsidR="008C3193" w:rsidRPr="002306BC" w:rsidRDefault="00AE5D87" w:rsidP="008C3193">
      <w:pPr>
        <w:pBdr>
          <w:top w:val="nil"/>
          <w:left w:val="nil"/>
          <w:bottom w:val="nil"/>
          <w:right w:val="nil"/>
          <w:between w:val="nil"/>
        </w:pBdr>
        <w:spacing w:before="0" w:after="240"/>
        <w:rPr>
          <w:rFonts w:eastAsia="Times New Roman"/>
          <w:noProof/>
          <w:color w:val="000000" w:themeColor="text1"/>
          <w:szCs w:val="24"/>
        </w:rPr>
      </w:pPr>
      <w:hyperlink r:id="rId14" w:history="1">
        <w:r w:rsidR="008C3193" w:rsidRPr="002306BC">
          <w:rPr>
            <w:rStyle w:val="Hyperlink"/>
            <w:rFonts w:eastAsia="Times New Roman"/>
            <w:noProof/>
            <w:szCs w:val="24"/>
            <w:lang w:val="en-IE"/>
          </w:rPr>
          <w:t>Text of the agreements - Trade and Economic Security - European Commission</w:t>
        </w:r>
      </w:hyperlink>
    </w:p>
    <w:p w:rsidR="2941685E" w:rsidRDefault="2941685E" w:rsidP="57097F81">
      <w:pPr>
        <w:pBdr>
          <w:top w:val="nil"/>
          <w:left w:val="nil"/>
          <w:bottom w:val="nil"/>
          <w:right w:val="nil"/>
          <w:between w:val="nil"/>
        </w:pBdr>
        <w:spacing w:before="0" w:after="240"/>
        <w:rPr>
          <w:rFonts w:eastAsia="Times New Roman"/>
          <w:noProof/>
          <w:color w:val="000000" w:themeColor="text1"/>
          <w:szCs w:val="24"/>
          <w:lang w:val="en-IE"/>
        </w:rPr>
      </w:pPr>
      <w:r w:rsidRPr="57097F81">
        <w:rPr>
          <w:rFonts w:eastAsia="Times New Roman"/>
          <w:noProof/>
          <w:color w:val="000000" w:themeColor="text1"/>
          <w:szCs w:val="24"/>
        </w:rPr>
        <w:t>The Commission is putting forward the following proposals for Council decisions:</w:t>
      </w:r>
      <w:r w:rsidRPr="57097F81">
        <w:rPr>
          <w:rFonts w:eastAsia="Times New Roman"/>
          <w:noProof/>
          <w:color w:val="000000" w:themeColor="text1"/>
          <w:szCs w:val="24"/>
          <w:lang w:val="en-IE"/>
        </w:rPr>
        <w:t> </w:t>
      </w:r>
    </w:p>
    <w:p w:rsidR="70EF161C" w:rsidRPr="00A27BBB" w:rsidRDefault="70EF161C" w:rsidP="00861F65">
      <w:pPr>
        <w:pStyle w:val="Tiret1"/>
        <w:numPr>
          <w:ilvl w:val="0"/>
          <w:numId w:val="5"/>
        </w:numPr>
        <w:rPr>
          <w:noProof/>
          <w:lang w:val="en-IE"/>
        </w:rPr>
      </w:pPr>
      <w:r w:rsidRPr="7B4F22F7">
        <w:rPr>
          <w:noProof/>
          <w:lang w:val="en-IE"/>
        </w:rPr>
        <w:t>Proposal for a Council Decision on the signing of the Comprehensive Economic Partnership Agreement between the E</w:t>
      </w:r>
      <w:r w:rsidRPr="7B4F22F7">
        <w:rPr>
          <w:noProof/>
        </w:rPr>
        <w:t>uropean Union and Indonesia;</w:t>
      </w:r>
      <w:r w:rsidRPr="7B4F22F7">
        <w:rPr>
          <w:noProof/>
          <w:lang w:val="en-IE"/>
        </w:rPr>
        <w:t> </w:t>
      </w:r>
    </w:p>
    <w:p w:rsidR="70EF161C" w:rsidRPr="00A27BBB" w:rsidRDefault="70EF161C" w:rsidP="003D4FB3">
      <w:pPr>
        <w:pStyle w:val="Tiret1"/>
        <w:rPr>
          <w:noProof/>
          <w:lang w:val="en-IE"/>
        </w:rPr>
      </w:pPr>
      <w:r w:rsidRPr="7B4F22F7">
        <w:rPr>
          <w:noProof/>
          <w:lang w:val="en-IE"/>
        </w:rPr>
        <w:lastRenderedPageBreak/>
        <w:t>Proposal for a Council Decision on the conclusion of the Comprehensive Economic Partnership Agreement between the E</w:t>
      </w:r>
      <w:r w:rsidRPr="7B4F22F7">
        <w:rPr>
          <w:noProof/>
        </w:rPr>
        <w:t>uropean Union and Indonesia;</w:t>
      </w:r>
      <w:r w:rsidRPr="7B4F22F7">
        <w:rPr>
          <w:noProof/>
          <w:lang w:val="en-IE"/>
        </w:rPr>
        <w:t> </w:t>
      </w:r>
    </w:p>
    <w:p w:rsidR="70EF161C" w:rsidRPr="00A27BBB" w:rsidRDefault="70EF161C" w:rsidP="003D4FB3">
      <w:pPr>
        <w:pStyle w:val="Tiret1"/>
        <w:rPr>
          <w:noProof/>
          <w:lang w:val="en-IE"/>
        </w:rPr>
      </w:pPr>
      <w:r w:rsidRPr="7B4F22F7">
        <w:rPr>
          <w:noProof/>
        </w:rPr>
        <w:t>Proposal for a Council Decision on the signing of the</w:t>
      </w:r>
      <w:r w:rsidR="00D764A7" w:rsidRPr="7B4F22F7">
        <w:rPr>
          <w:noProof/>
        </w:rPr>
        <w:t xml:space="preserve"> </w:t>
      </w:r>
      <w:r w:rsidRPr="7B4F22F7">
        <w:rPr>
          <w:noProof/>
        </w:rPr>
        <w:t>Investment Protection Agreement between the European Union and Indonesia;</w:t>
      </w:r>
      <w:r w:rsidRPr="7B4F22F7">
        <w:rPr>
          <w:noProof/>
          <w:lang w:val="en-IE"/>
        </w:rPr>
        <w:t> </w:t>
      </w:r>
    </w:p>
    <w:p w:rsidR="70EF161C" w:rsidRPr="00A27BBB" w:rsidRDefault="70EF161C" w:rsidP="003D4FB3">
      <w:pPr>
        <w:pStyle w:val="Tiret1"/>
        <w:rPr>
          <w:noProof/>
          <w:lang w:val="en-IE"/>
        </w:rPr>
      </w:pPr>
      <w:r w:rsidRPr="7B4F22F7">
        <w:rPr>
          <w:noProof/>
        </w:rPr>
        <w:t>Proposal for a Council Decision on the conclusion of the</w:t>
      </w:r>
      <w:r w:rsidR="00D764A7" w:rsidRPr="7B4F22F7">
        <w:rPr>
          <w:noProof/>
        </w:rPr>
        <w:t xml:space="preserve"> </w:t>
      </w:r>
      <w:r w:rsidRPr="7B4F22F7">
        <w:rPr>
          <w:noProof/>
        </w:rPr>
        <w:t>Investment Protection Agreement between the European Union and Indonesia.</w:t>
      </w:r>
      <w:r w:rsidRPr="7B4F22F7">
        <w:rPr>
          <w:noProof/>
          <w:lang w:val="en-IE"/>
        </w:rPr>
        <w:t> </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t xml:space="preserve">The attached proposal for a Council Decision constitutes the legal instrument for the conclusion of the </w:t>
      </w:r>
      <w:r w:rsidR="00FE20F5" w:rsidRPr="7B4F22F7">
        <w:rPr>
          <w:rFonts w:eastAsia="Times New Roman"/>
          <w:noProof/>
          <w:color w:val="000000" w:themeColor="text1"/>
        </w:rPr>
        <w:t>IPA</w:t>
      </w:r>
      <w:r w:rsidRPr="7B4F22F7">
        <w:rPr>
          <w:rFonts w:eastAsia="Times New Roman"/>
          <w:noProof/>
          <w:color w:val="000000" w:themeColor="text1"/>
        </w:rPr>
        <w:t xml:space="preserve"> between the European Union and Indonesia.</w:t>
      </w:r>
      <w:r w:rsidRPr="7B4F22F7">
        <w:rPr>
          <w:rFonts w:eastAsia="Times New Roman"/>
          <w:noProof/>
          <w:color w:val="000000" w:themeColor="text1"/>
          <w:lang w:val="en-IE"/>
        </w:rPr>
        <w:t> </w:t>
      </w:r>
    </w:p>
    <w:p w:rsidR="2941685E" w:rsidRDefault="2941685E" w:rsidP="003D4FB3">
      <w:pPr>
        <w:pStyle w:val="ManualHeading2"/>
        <w:rPr>
          <w:noProof/>
          <w:lang w:val="en-IE"/>
        </w:rPr>
      </w:pPr>
      <w:r w:rsidRPr="7B4F22F7">
        <w:rPr>
          <w:noProof/>
          <w:lang w:val="en-US"/>
        </w:rPr>
        <w:t>•</w:t>
      </w:r>
      <w:r>
        <w:rPr>
          <w:noProof/>
        </w:rPr>
        <w:tab/>
      </w:r>
      <w:r w:rsidRPr="7B4F22F7">
        <w:rPr>
          <w:noProof/>
        </w:rPr>
        <w:t>Consistency with existing policy provisions in the</w:t>
      </w:r>
      <w:r w:rsidR="004E1F85" w:rsidRPr="7B4F22F7">
        <w:rPr>
          <w:noProof/>
        </w:rPr>
        <w:t xml:space="preserve"> </w:t>
      </w:r>
      <w:r w:rsidRPr="7B4F22F7">
        <w:rPr>
          <w:noProof/>
        </w:rPr>
        <w:t>policy area</w:t>
      </w:r>
      <w:r w:rsidRPr="7B4F22F7">
        <w:rPr>
          <w:noProof/>
          <w:lang w:val="en-IE"/>
        </w:rPr>
        <w:t> </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t>Prior to concluding the negotiations for</w:t>
      </w:r>
      <w:r w:rsidR="003B71C0" w:rsidRPr="7B4F22F7">
        <w:rPr>
          <w:rFonts w:eastAsia="Times New Roman"/>
          <w:noProof/>
          <w:color w:val="000000" w:themeColor="text1"/>
        </w:rPr>
        <w:t xml:space="preserve"> </w:t>
      </w:r>
      <w:r w:rsidRPr="7B4F22F7">
        <w:rPr>
          <w:rFonts w:eastAsia="Times New Roman"/>
          <w:noProof/>
          <w:color w:val="000000" w:themeColor="text1"/>
        </w:rPr>
        <w:t>the IPA, the EU and</w:t>
      </w:r>
      <w:r w:rsidR="003B71C0" w:rsidRPr="7B4F22F7">
        <w:rPr>
          <w:rFonts w:eastAsia="Times New Roman"/>
          <w:noProof/>
          <w:color w:val="000000" w:themeColor="text1"/>
        </w:rPr>
        <w:t xml:space="preserve"> </w:t>
      </w:r>
      <w:r w:rsidRPr="7B4F22F7">
        <w:rPr>
          <w:rFonts w:eastAsia="Times New Roman"/>
          <w:noProof/>
          <w:color w:val="000000" w:themeColor="text1"/>
        </w:rPr>
        <w:t>Indonesia</w:t>
      </w:r>
      <w:r w:rsidR="003B71C0" w:rsidRPr="7B4F22F7">
        <w:rPr>
          <w:rFonts w:eastAsia="Times New Roman"/>
          <w:noProof/>
          <w:color w:val="000000" w:themeColor="text1"/>
        </w:rPr>
        <w:t xml:space="preserve"> </w:t>
      </w:r>
      <w:r w:rsidRPr="7B4F22F7">
        <w:rPr>
          <w:rFonts w:eastAsia="Times New Roman"/>
          <w:noProof/>
          <w:color w:val="000000" w:themeColor="text1"/>
        </w:rPr>
        <w:t>had negotiated</w:t>
      </w:r>
      <w:r w:rsidR="003B71C0" w:rsidRPr="7B4F22F7">
        <w:rPr>
          <w:rFonts w:eastAsia="Times New Roman"/>
          <w:noProof/>
          <w:color w:val="000000" w:themeColor="text1"/>
        </w:rPr>
        <w:t xml:space="preserve"> </w:t>
      </w:r>
      <w:r w:rsidRPr="7B4F22F7">
        <w:rPr>
          <w:rFonts w:eastAsia="Times New Roman"/>
          <w:noProof/>
          <w:color w:val="000000" w:themeColor="text1"/>
        </w:rPr>
        <w:t>a</w:t>
      </w:r>
      <w:r w:rsidR="003B71C0" w:rsidRPr="7B4F22F7">
        <w:rPr>
          <w:rFonts w:eastAsia="Times New Roman"/>
          <w:noProof/>
          <w:color w:val="000000" w:themeColor="text1"/>
        </w:rPr>
        <w:t xml:space="preserve"> </w:t>
      </w:r>
      <w:r w:rsidRPr="7B4F22F7">
        <w:rPr>
          <w:rFonts w:eastAsia="Times New Roman"/>
          <w:noProof/>
          <w:color w:val="000000" w:themeColor="text1"/>
          <w:lang w:val="en"/>
        </w:rPr>
        <w:t>Partnership Cooperation Agreement (PCA), which was signed in Jakarta on 9 November 2009 and entered into</w:t>
      </w:r>
      <w:r w:rsidR="003B71C0" w:rsidRPr="7B4F22F7">
        <w:rPr>
          <w:rFonts w:eastAsia="Times New Roman"/>
          <w:noProof/>
          <w:color w:val="000000" w:themeColor="text1"/>
          <w:lang w:val="en"/>
        </w:rPr>
        <w:t xml:space="preserve"> </w:t>
      </w:r>
      <w:r w:rsidRPr="7B4F22F7">
        <w:rPr>
          <w:rFonts w:eastAsia="Times New Roman"/>
          <w:noProof/>
          <w:color w:val="000000" w:themeColor="text1"/>
          <w:lang w:val="en"/>
        </w:rPr>
        <w:t>force on 1 May 2014.</w:t>
      </w:r>
      <w:r w:rsidR="003B71C0" w:rsidRPr="7B4F22F7">
        <w:rPr>
          <w:rFonts w:eastAsia="Times New Roman"/>
          <w:noProof/>
          <w:color w:val="000000" w:themeColor="text1"/>
          <w:lang w:val="en"/>
        </w:rPr>
        <w:t xml:space="preserve"> </w:t>
      </w:r>
      <w:r w:rsidRPr="7B4F22F7">
        <w:rPr>
          <w:rFonts w:eastAsia="Times New Roman"/>
          <w:noProof/>
          <w:color w:val="000000" w:themeColor="text1"/>
        </w:rPr>
        <w:t>The Agreement provides the basis for</w:t>
      </w:r>
      <w:r w:rsidR="003B71C0" w:rsidRPr="7B4F22F7">
        <w:rPr>
          <w:rFonts w:eastAsia="Times New Roman"/>
          <w:noProof/>
          <w:color w:val="000000" w:themeColor="text1"/>
        </w:rPr>
        <w:t xml:space="preserve"> </w:t>
      </w:r>
      <w:r w:rsidRPr="7B4F22F7">
        <w:rPr>
          <w:rFonts w:eastAsia="Times New Roman"/>
          <w:noProof/>
          <w:color w:val="000000" w:themeColor="text1"/>
        </w:rPr>
        <w:t>cooperating across a wide spectrum of policy fields, including human rights and trade, and for</w:t>
      </w:r>
      <w:r w:rsidR="00611CA2" w:rsidRPr="7B4F22F7">
        <w:rPr>
          <w:rFonts w:eastAsia="Times New Roman"/>
          <w:noProof/>
          <w:color w:val="000000" w:themeColor="text1"/>
        </w:rPr>
        <w:t xml:space="preserve"> </w:t>
      </w:r>
      <w:r w:rsidRPr="7B4F22F7">
        <w:rPr>
          <w:rFonts w:eastAsia="Times New Roman"/>
          <w:noProof/>
          <w:color w:val="000000" w:themeColor="text1"/>
        </w:rPr>
        <w:t>holding regular political dialogue and sectoral cooperation.</w:t>
      </w:r>
      <w:r w:rsidRPr="7B4F22F7">
        <w:rPr>
          <w:rFonts w:eastAsia="Times New Roman"/>
          <w:noProof/>
          <w:color w:val="000000" w:themeColor="text1"/>
          <w:lang w:val="en-IE"/>
        </w:rPr>
        <w:t> </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t>Once the</w:t>
      </w:r>
      <w:r w:rsidR="00611CA2" w:rsidRPr="7B4F22F7">
        <w:rPr>
          <w:rFonts w:eastAsia="Times New Roman"/>
          <w:noProof/>
          <w:color w:val="000000" w:themeColor="text1"/>
        </w:rPr>
        <w:t xml:space="preserve"> </w:t>
      </w:r>
      <w:r w:rsidRPr="7B4F22F7">
        <w:rPr>
          <w:rFonts w:eastAsia="Times New Roman"/>
          <w:noProof/>
          <w:color w:val="000000" w:themeColor="text1"/>
        </w:rPr>
        <w:t>IPA enters into force, it will coexist with the</w:t>
      </w:r>
      <w:r w:rsidR="00611CA2" w:rsidRPr="7B4F22F7">
        <w:rPr>
          <w:rFonts w:eastAsia="Times New Roman"/>
          <w:noProof/>
          <w:color w:val="000000" w:themeColor="text1"/>
        </w:rPr>
        <w:t xml:space="preserve"> </w:t>
      </w:r>
      <w:r w:rsidRPr="7B4F22F7">
        <w:rPr>
          <w:rFonts w:eastAsia="Times New Roman"/>
          <w:noProof/>
          <w:color w:val="000000" w:themeColor="text1"/>
        </w:rPr>
        <w:t>PCA</w:t>
      </w:r>
      <w:r w:rsidR="00611CA2" w:rsidRPr="7B4F22F7">
        <w:rPr>
          <w:rFonts w:eastAsia="Times New Roman"/>
          <w:noProof/>
          <w:color w:val="000000" w:themeColor="text1"/>
        </w:rPr>
        <w:t xml:space="preserve"> </w:t>
      </w:r>
      <w:r w:rsidRPr="7B4F22F7">
        <w:rPr>
          <w:rFonts w:eastAsia="Times New Roman"/>
          <w:noProof/>
          <w:color w:val="000000" w:themeColor="text1"/>
        </w:rPr>
        <w:t>as a specific agreement and an integral part of the overall bilateral relations between the EU and</w:t>
      </w:r>
      <w:r w:rsidR="00611CA2" w:rsidRPr="7B4F22F7">
        <w:rPr>
          <w:rFonts w:eastAsia="Times New Roman"/>
          <w:noProof/>
          <w:color w:val="000000" w:themeColor="text1"/>
        </w:rPr>
        <w:t xml:space="preserve"> </w:t>
      </w:r>
      <w:r w:rsidRPr="7B4F22F7">
        <w:rPr>
          <w:rFonts w:eastAsia="Times New Roman"/>
          <w:noProof/>
          <w:color w:val="000000" w:themeColor="text1"/>
        </w:rPr>
        <w:t>Indonesia. The two agreements have no</w:t>
      </w:r>
      <w:r w:rsidR="00611CA2" w:rsidRPr="7B4F22F7">
        <w:rPr>
          <w:rFonts w:eastAsia="Times New Roman"/>
          <w:noProof/>
          <w:color w:val="000000" w:themeColor="text1"/>
        </w:rPr>
        <w:t xml:space="preserve"> </w:t>
      </w:r>
      <w:r w:rsidRPr="7B4F22F7">
        <w:rPr>
          <w:rFonts w:eastAsia="Times New Roman"/>
          <w:noProof/>
          <w:color w:val="000000" w:themeColor="text1"/>
        </w:rPr>
        <w:t>conflicting provisions.</w:t>
      </w:r>
    </w:p>
    <w:p w:rsidR="2941685E" w:rsidRDefault="2941685E" w:rsidP="003D4FB3">
      <w:pPr>
        <w:pStyle w:val="ManualHeading2"/>
        <w:rPr>
          <w:noProof/>
          <w:lang w:val="en-IE"/>
        </w:rPr>
      </w:pPr>
      <w:r w:rsidRPr="57097F81">
        <w:rPr>
          <w:noProof/>
          <w:lang w:val="en-US"/>
        </w:rPr>
        <w:t>•</w:t>
      </w:r>
      <w:r>
        <w:rPr>
          <w:noProof/>
        </w:rPr>
        <w:tab/>
      </w:r>
      <w:r w:rsidRPr="57097F81">
        <w:rPr>
          <w:noProof/>
        </w:rPr>
        <w:t>Consistency with other Union policies</w:t>
      </w:r>
      <w:r w:rsidRPr="57097F81">
        <w:rPr>
          <w:noProof/>
          <w:lang w:val="en-IE"/>
        </w:rPr>
        <w:t> </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t>The</w:t>
      </w:r>
      <w:r w:rsidR="00611CA2" w:rsidRPr="7B4F22F7">
        <w:rPr>
          <w:rFonts w:eastAsia="Times New Roman"/>
          <w:noProof/>
          <w:color w:val="000000" w:themeColor="text1"/>
        </w:rPr>
        <w:t xml:space="preserve"> </w:t>
      </w:r>
      <w:r w:rsidRPr="7B4F22F7">
        <w:rPr>
          <w:rFonts w:eastAsia="Times New Roman"/>
          <w:noProof/>
          <w:color w:val="000000" w:themeColor="text1"/>
        </w:rPr>
        <w:t>IPA is fully consistent with Union policies and will not require the EU to amend its rules, regulations or standards in any regulated area. Furthermore, the</w:t>
      </w:r>
      <w:r w:rsidR="00E82AF0" w:rsidRPr="7B4F22F7">
        <w:rPr>
          <w:rFonts w:eastAsia="Times New Roman"/>
          <w:noProof/>
          <w:color w:val="000000" w:themeColor="text1"/>
        </w:rPr>
        <w:t xml:space="preserve"> </w:t>
      </w:r>
      <w:r w:rsidRPr="7B4F22F7">
        <w:rPr>
          <w:rFonts w:eastAsia="Times New Roman"/>
          <w:noProof/>
          <w:color w:val="000000" w:themeColor="text1"/>
        </w:rPr>
        <w:t>CEPA</w:t>
      </w:r>
      <w:r w:rsidR="00E82AF0" w:rsidRPr="7B4F22F7">
        <w:rPr>
          <w:rFonts w:eastAsia="Times New Roman"/>
          <w:noProof/>
          <w:color w:val="000000" w:themeColor="text1"/>
        </w:rPr>
        <w:t xml:space="preserve"> </w:t>
      </w:r>
      <w:r w:rsidRPr="7B4F22F7">
        <w:rPr>
          <w:rFonts w:eastAsia="Times New Roman"/>
          <w:noProof/>
          <w:color w:val="000000" w:themeColor="text1"/>
        </w:rPr>
        <w:t>fully safeguards the EU’s and Indonesia’s right to regulate within their territories to achieve legitimate policy objectives,</w:t>
      </w:r>
      <w:r w:rsidR="004875D6">
        <w:rPr>
          <w:rFonts w:eastAsia="Times New Roman"/>
          <w:noProof/>
          <w:color w:val="000000" w:themeColor="text1"/>
        </w:rPr>
        <w:t xml:space="preserve"> such as the protection of</w:t>
      </w:r>
      <w:r w:rsidRPr="7B4F22F7">
        <w:rPr>
          <w:rFonts w:eastAsia="Times New Roman"/>
          <w:noProof/>
          <w:color w:val="000000" w:themeColor="text1"/>
        </w:rPr>
        <w:t xml:space="preserve"> public morals, social or consumer protection, privacy and data protection, sustainable development or promotion and protection of cultural diversity.</w:t>
      </w:r>
      <w:r w:rsidRPr="7B4F22F7">
        <w:rPr>
          <w:rFonts w:eastAsia="Times New Roman"/>
          <w:noProof/>
          <w:color w:val="000000" w:themeColor="text1"/>
          <w:lang w:val="en-IE"/>
        </w:rPr>
        <w:t> </w:t>
      </w:r>
    </w:p>
    <w:p w:rsidR="2941685E" w:rsidRDefault="2941685E" w:rsidP="003D4FB3">
      <w:pPr>
        <w:pStyle w:val="ManualHeading1"/>
        <w:rPr>
          <w:noProof/>
          <w:lang w:val="en-IE"/>
        </w:rPr>
      </w:pPr>
      <w:r w:rsidRPr="57097F81">
        <w:rPr>
          <w:noProof/>
        </w:rPr>
        <w:t>2.</w:t>
      </w:r>
      <w:r>
        <w:rPr>
          <w:noProof/>
        </w:rPr>
        <w:tab/>
      </w:r>
      <w:r w:rsidRPr="57097F81">
        <w:rPr>
          <w:noProof/>
        </w:rPr>
        <w:t>LEGAL BASIS, SUBSIDIARITY AND PROPORTIONALITY</w:t>
      </w:r>
      <w:r w:rsidRPr="57097F81">
        <w:rPr>
          <w:noProof/>
          <w:lang w:val="en-IE"/>
        </w:rPr>
        <w:t> </w:t>
      </w:r>
    </w:p>
    <w:p w:rsidR="2941685E" w:rsidRDefault="2941685E" w:rsidP="003D4FB3">
      <w:pPr>
        <w:pStyle w:val="ManualHeading2"/>
        <w:rPr>
          <w:noProof/>
          <w:lang w:val="en-IE"/>
        </w:rPr>
      </w:pPr>
      <w:r w:rsidRPr="57097F81">
        <w:rPr>
          <w:noProof/>
          <w:lang w:val="en-US"/>
        </w:rPr>
        <w:t>•</w:t>
      </w:r>
      <w:r>
        <w:rPr>
          <w:noProof/>
        </w:rPr>
        <w:tab/>
      </w:r>
      <w:r w:rsidRPr="57097F81">
        <w:rPr>
          <w:noProof/>
          <w:lang w:val="en-US"/>
        </w:rPr>
        <w:t>Substantive legal basis</w:t>
      </w:r>
      <w:r w:rsidRPr="57097F81">
        <w:rPr>
          <w:noProof/>
          <w:lang w:val="en-IE"/>
        </w:rPr>
        <w:t> </w:t>
      </w:r>
    </w:p>
    <w:p w:rsidR="2941685E" w:rsidRDefault="2941685E" w:rsidP="57097F81">
      <w:pPr>
        <w:pBdr>
          <w:top w:val="nil"/>
          <w:left w:val="nil"/>
          <w:bottom w:val="nil"/>
          <w:right w:val="nil"/>
          <w:between w:val="nil"/>
        </w:pBdr>
        <w:spacing w:before="0" w:after="240"/>
        <w:rPr>
          <w:rFonts w:eastAsia="Times New Roman"/>
          <w:noProof/>
          <w:color w:val="000000" w:themeColor="text1"/>
          <w:szCs w:val="24"/>
          <w:lang w:val="en-IE"/>
        </w:rPr>
      </w:pPr>
      <w:r w:rsidRPr="57097F81">
        <w:rPr>
          <w:rFonts w:eastAsia="Times New Roman"/>
          <w:noProof/>
          <w:color w:val="000000" w:themeColor="text1"/>
          <w:szCs w:val="24"/>
        </w:rPr>
        <w:t>Article 207 of the Treaty on the Functioning of the European Union (TFEU) provides for the negotiation and conclusion of trade agreements as part of the Union’s common commercial policy, which covers foreign direct investments.</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lang w:val="en-IE"/>
        </w:rPr>
        <w:t>Given that the main</w:t>
      </w:r>
      <w:r w:rsidR="00BC4D63" w:rsidRPr="7B4F22F7">
        <w:rPr>
          <w:rFonts w:eastAsia="Times New Roman"/>
          <w:noProof/>
          <w:color w:val="000000" w:themeColor="text1"/>
          <w:lang w:val="en-IE"/>
        </w:rPr>
        <w:t xml:space="preserve"> </w:t>
      </w:r>
      <w:r w:rsidRPr="7B4F22F7">
        <w:rPr>
          <w:rFonts w:eastAsia="Times New Roman"/>
          <w:noProof/>
          <w:color w:val="000000" w:themeColor="text1"/>
          <w:lang w:val="en-IE"/>
        </w:rPr>
        <w:t>objective</w:t>
      </w:r>
      <w:r w:rsidR="00BC4D63" w:rsidRPr="7B4F22F7">
        <w:rPr>
          <w:rFonts w:eastAsia="Times New Roman"/>
          <w:noProof/>
          <w:color w:val="000000" w:themeColor="text1"/>
          <w:lang w:val="en-IE"/>
        </w:rPr>
        <w:t xml:space="preserve"> </w:t>
      </w:r>
      <w:r w:rsidRPr="7B4F22F7">
        <w:rPr>
          <w:rFonts w:eastAsia="Times New Roman"/>
          <w:noProof/>
          <w:color w:val="000000" w:themeColor="text1"/>
          <w:lang w:val="en-IE"/>
        </w:rPr>
        <w:t>of</w:t>
      </w:r>
      <w:r w:rsidR="00BC4D63" w:rsidRPr="7B4F22F7">
        <w:rPr>
          <w:rFonts w:eastAsia="Times New Roman"/>
          <w:noProof/>
          <w:color w:val="000000" w:themeColor="text1"/>
          <w:lang w:val="en-IE"/>
        </w:rPr>
        <w:t xml:space="preserve"> </w:t>
      </w:r>
      <w:r w:rsidRPr="7B4F22F7">
        <w:rPr>
          <w:rFonts w:eastAsia="Times New Roman"/>
          <w:noProof/>
          <w:color w:val="000000" w:themeColor="text1"/>
          <w:lang w:val="en-IE"/>
        </w:rPr>
        <w:t>the IPA is to create a better climate for the development of foreign direct investments between the EU and Indonesia, and to lay down the necessary arrangements for the protection of such investments, the substantive legal basis is</w:t>
      </w:r>
      <w:r w:rsidR="00C25A91" w:rsidRPr="7B4F22F7">
        <w:rPr>
          <w:rFonts w:eastAsia="Times New Roman"/>
          <w:noProof/>
          <w:color w:val="000000" w:themeColor="text1"/>
        </w:rPr>
        <w:t xml:space="preserve"> </w:t>
      </w:r>
      <w:r w:rsidRPr="7B4F22F7">
        <w:rPr>
          <w:rFonts w:eastAsia="Times New Roman"/>
          <w:noProof/>
          <w:color w:val="000000" w:themeColor="text1"/>
        </w:rPr>
        <w:t>Article</w:t>
      </w:r>
      <w:r w:rsidR="00C25A91" w:rsidRPr="7B4F22F7">
        <w:rPr>
          <w:rFonts w:eastAsia="Times New Roman"/>
          <w:noProof/>
          <w:color w:val="000000" w:themeColor="text1"/>
        </w:rPr>
        <w:t xml:space="preserve"> </w:t>
      </w:r>
      <w:r w:rsidRPr="7B4F22F7">
        <w:rPr>
          <w:rFonts w:eastAsia="Times New Roman"/>
          <w:noProof/>
          <w:color w:val="000000" w:themeColor="text1"/>
        </w:rPr>
        <w:t>207 TFEU.</w:t>
      </w:r>
      <w:r w:rsidRPr="7B4F22F7">
        <w:rPr>
          <w:rFonts w:eastAsia="Times New Roman"/>
          <w:noProof/>
          <w:color w:val="000000" w:themeColor="text1"/>
          <w:lang w:val="en-IE"/>
        </w:rPr>
        <w:t> </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lang w:val="en-IE"/>
        </w:rPr>
        <w:t>Given the subject matter of the envisaged agreement, it is</w:t>
      </w:r>
      <w:r w:rsidR="00C25A91" w:rsidRPr="7B4F22F7">
        <w:rPr>
          <w:rFonts w:eastAsia="Times New Roman"/>
          <w:noProof/>
          <w:color w:val="000000" w:themeColor="text1"/>
          <w:lang w:val="en-IE"/>
        </w:rPr>
        <w:t xml:space="preserve"> </w:t>
      </w:r>
      <w:r w:rsidRPr="7B4F22F7">
        <w:rPr>
          <w:rFonts w:eastAsia="Times New Roman"/>
          <w:noProof/>
          <w:color w:val="000000" w:themeColor="text1"/>
          <w:lang w:val="en-IE"/>
        </w:rPr>
        <w:t>appropriate for</w:t>
      </w:r>
      <w:r w:rsidR="00C25A91" w:rsidRPr="7B4F22F7">
        <w:rPr>
          <w:rFonts w:eastAsia="Times New Roman"/>
          <w:noProof/>
          <w:color w:val="000000" w:themeColor="text1"/>
          <w:lang w:val="en-IE"/>
        </w:rPr>
        <w:t xml:space="preserve"> </w:t>
      </w:r>
      <w:r w:rsidRPr="7B4F22F7">
        <w:rPr>
          <w:rFonts w:eastAsia="Times New Roman"/>
          <w:noProof/>
          <w:color w:val="000000" w:themeColor="text1"/>
          <w:lang w:val="en-IE"/>
        </w:rPr>
        <w:t>the Commission to</w:t>
      </w:r>
      <w:r w:rsidR="00C25A91" w:rsidRPr="7B4F22F7">
        <w:rPr>
          <w:rFonts w:eastAsia="Times New Roman"/>
          <w:noProof/>
          <w:color w:val="000000" w:themeColor="text1"/>
          <w:lang w:val="en-IE"/>
        </w:rPr>
        <w:t xml:space="preserve"> </w:t>
      </w:r>
      <w:r w:rsidRPr="7B4F22F7">
        <w:rPr>
          <w:rFonts w:eastAsia="Times New Roman"/>
          <w:noProof/>
          <w:color w:val="000000" w:themeColor="text1"/>
          <w:lang w:val="en-IE"/>
        </w:rPr>
        <w:t>submit</w:t>
      </w:r>
      <w:r w:rsidR="00C25A91" w:rsidRPr="7B4F22F7">
        <w:rPr>
          <w:rFonts w:eastAsia="Times New Roman"/>
          <w:noProof/>
          <w:color w:val="000000" w:themeColor="text1"/>
          <w:lang w:val="en-IE"/>
        </w:rPr>
        <w:t xml:space="preserve"> </w:t>
      </w:r>
      <w:r w:rsidRPr="7B4F22F7">
        <w:rPr>
          <w:rFonts w:eastAsia="Times New Roman"/>
          <w:noProof/>
          <w:color w:val="000000" w:themeColor="text1"/>
          <w:lang w:val="en-IE"/>
        </w:rPr>
        <w:t>the proposal to the Council. </w:t>
      </w:r>
    </w:p>
    <w:p w:rsidR="2941685E" w:rsidRPr="00A27BBB" w:rsidRDefault="003D4FB3" w:rsidP="003D4FB3">
      <w:pPr>
        <w:pStyle w:val="ManualHeading2"/>
        <w:rPr>
          <w:noProof/>
          <w:lang w:val="en-IE"/>
        </w:rPr>
      </w:pPr>
      <w:r w:rsidRPr="57097F81">
        <w:rPr>
          <w:noProof/>
          <w:lang w:val="en-US"/>
        </w:rPr>
        <w:t>•</w:t>
      </w:r>
      <w:r>
        <w:rPr>
          <w:noProof/>
        </w:rPr>
        <w:tab/>
      </w:r>
      <w:r w:rsidR="2941685E" w:rsidRPr="00A27BBB">
        <w:rPr>
          <w:noProof/>
          <w:lang w:val="en-US"/>
        </w:rPr>
        <w:t>Procedural</w:t>
      </w:r>
      <w:r w:rsidR="00FB11A4" w:rsidRPr="00A27BBB">
        <w:rPr>
          <w:noProof/>
          <w:lang w:val="en-US"/>
        </w:rPr>
        <w:t xml:space="preserve"> </w:t>
      </w:r>
      <w:r w:rsidR="00733C17" w:rsidRPr="00A27BBB">
        <w:rPr>
          <w:noProof/>
          <w:lang w:val="en-US"/>
        </w:rPr>
        <w:t>legal basis</w:t>
      </w:r>
    </w:p>
    <w:p w:rsidR="00733C17" w:rsidRDefault="00733C17" w:rsidP="003D4FB3">
      <w:pPr>
        <w:rPr>
          <w:rStyle w:val="eop"/>
          <w:noProof/>
          <w:color w:val="000000" w:themeColor="text1"/>
        </w:rPr>
      </w:pPr>
      <w:r w:rsidRPr="00876BDC">
        <w:rPr>
          <w:noProof/>
        </w:rPr>
        <w:t xml:space="preserve">Given that </w:t>
      </w:r>
      <w:r>
        <w:rPr>
          <w:noProof/>
        </w:rPr>
        <w:t>Article</w:t>
      </w:r>
      <w:r w:rsidRPr="00876BDC">
        <w:rPr>
          <w:noProof/>
        </w:rPr>
        <w:t xml:space="preserve"> 2</w:t>
      </w:r>
      <w:r>
        <w:rPr>
          <w:noProof/>
        </w:rPr>
        <w:t>07</w:t>
      </w:r>
      <w:r w:rsidRPr="00876BDC">
        <w:rPr>
          <w:noProof/>
        </w:rPr>
        <w:t xml:space="preserve"> TFEU </w:t>
      </w:r>
      <w:r w:rsidRPr="00013581">
        <w:rPr>
          <w:noProof/>
        </w:rPr>
        <w:t>is</w:t>
      </w:r>
      <w:r w:rsidRPr="00876BDC">
        <w:rPr>
          <w:noProof/>
        </w:rPr>
        <w:t xml:space="preserve"> the substantive legal </w:t>
      </w:r>
      <w:r w:rsidRPr="00013581">
        <w:rPr>
          <w:noProof/>
        </w:rPr>
        <w:t>bas</w:t>
      </w:r>
      <w:r w:rsidR="00F53E40" w:rsidRPr="00013581">
        <w:rPr>
          <w:noProof/>
        </w:rPr>
        <w:t>i</w:t>
      </w:r>
      <w:r w:rsidRPr="00013581">
        <w:rPr>
          <w:noProof/>
        </w:rPr>
        <w:t>s,</w:t>
      </w:r>
      <w:r w:rsidRPr="00876BDC">
        <w:rPr>
          <w:noProof/>
        </w:rPr>
        <w:t xml:space="preserve"> </w:t>
      </w:r>
      <w:r w:rsidRPr="00876BDC">
        <w:rPr>
          <w:rStyle w:val="eop"/>
          <w:noProof/>
          <w:color w:val="000000" w:themeColor="text1"/>
        </w:rPr>
        <w:t xml:space="preserve">the Council is to adopt the decision concluding the agreement </w:t>
      </w:r>
      <w:r w:rsidRPr="00013581">
        <w:rPr>
          <w:noProof/>
        </w:rPr>
        <w:t xml:space="preserve">after obtaining the consent of </w:t>
      </w:r>
      <w:r w:rsidRPr="00876BDC">
        <w:rPr>
          <w:rStyle w:val="eop"/>
          <w:noProof/>
          <w:color w:val="000000" w:themeColor="text1"/>
        </w:rPr>
        <w:t xml:space="preserve">the European Parliament, in accordance with </w:t>
      </w:r>
      <w:r w:rsidRPr="00876BDC">
        <w:rPr>
          <w:noProof/>
        </w:rPr>
        <w:t>Article 218(6), point (a) TFEU</w:t>
      </w:r>
      <w:r w:rsidRPr="00876BDC">
        <w:rPr>
          <w:rStyle w:val="eop"/>
          <w:noProof/>
          <w:color w:val="000000" w:themeColor="text1"/>
        </w:rPr>
        <w:t>.</w:t>
      </w:r>
    </w:p>
    <w:p w:rsidR="00733C17" w:rsidRDefault="00733C17" w:rsidP="00733C17">
      <w:pPr>
        <w:pBdr>
          <w:top w:val="nil"/>
          <w:left w:val="nil"/>
          <w:bottom w:val="nil"/>
          <w:right w:val="nil"/>
          <w:between w:val="nil"/>
        </w:pBdr>
        <w:spacing w:before="0" w:after="240"/>
        <w:rPr>
          <w:rFonts w:eastAsia="Times New Roman"/>
          <w:noProof/>
          <w:color w:val="000000" w:themeColor="text1"/>
          <w:lang w:val="en-IE"/>
        </w:rPr>
      </w:pPr>
      <w:r w:rsidRPr="6A2CFF21">
        <w:rPr>
          <w:rFonts w:eastAsia="Arial Unicode MS"/>
          <w:noProof/>
        </w:rPr>
        <w:t>Therefore, the procedural legal basis for the proposed decision on concluding the agreement is Article 218(6), second subparagraph, point (a) TFEU.</w:t>
      </w:r>
    </w:p>
    <w:p w:rsidR="2941685E" w:rsidRPr="003D4FB3" w:rsidRDefault="003D4FB3" w:rsidP="003D4FB3">
      <w:pPr>
        <w:pStyle w:val="ManualHeading2"/>
        <w:rPr>
          <w:noProof/>
          <w:lang w:val="en-IE"/>
        </w:rPr>
      </w:pPr>
      <w:r w:rsidRPr="57097F81">
        <w:rPr>
          <w:noProof/>
          <w:lang w:val="en-US"/>
        </w:rPr>
        <w:lastRenderedPageBreak/>
        <w:t>•</w:t>
      </w:r>
      <w:r>
        <w:rPr>
          <w:noProof/>
        </w:rPr>
        <w:tab/>
      </w:r>
      <w:r w:rsidR="2941685E" w:rsidRPr="003D4FB3">
        <w:rPr>
          <w:noProof/>
          <w:lang w:val="en-US"/>
        </w:rPr>
        <w:t>Union competence</w:t>
      </w:r>
      <w:r w:rsidR="2941685E" w:rsidRPr="003D4FB3">
        <w:rPr>
          <w:noProof/>
          <w:lang w:val="en-IE"/>
        </w:rPr>
        <w:t> </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t>In accordance with Opinion 2/15 on the EU-Singapore FTA of the Court of Justice of 16 May 2017, all the areas covered by the</w:t>
      </w:r>
      <w:r w:rsidR="00526AF0" w:rsidRPr="7B4F22F7">
        <w:rPr>
          <w:rFonts w:eastAsia="Times New Roman"/>
          <w:noProof/>
          <w:color w:val="000000" w:themeColor="text1"/>
        </w:rPr>
        <w:t xml:space="preserve"> </w:t>
      </w:r>
      <w:r w:rsidRPr="7B4F22F7">
        <w:rPr>
          <w:rFonts w:eastAsia="Times New Roman"/>
          <w:noProof/>
          <w:color w:val="000000" w:themeColor="text1"/>
        </w:rPr>
        <w:t xml:space="preserve">IPA would fall within the exclusive competence of the EU and, more particularly, within the scope of Article 207 TFEU. The Court </w:t>
      </w:r>
      <w:r w:rsidR="00526AF0" w:rsidRPr="7B4F22F7">
        <w:rPr>
          <w:rFonts w:eastAsia="Times New Roman"/>
          <w:noProof/>
          <w:color w:val="000000" w:themeColor="text1"/>
        </w:rPr>
        <w:t xml:space="preserve">confirmed </w:t>
      </w:r>
      <w:r w:rsidRPr="7B4F22F7">
        <w:rPr>
          <w:rFonts w:eastAsia="Times New Roman"/>
          <w:noProof/>
          <w:color w:val="000000" w:themeColor="text1"/>
        </w:rPr>
        <w:t>the EU</w:t>
      </w:r>
      <w:r w:rsidR="001B12DD" w:rsidRPr="7B4F22F7">
        <w:rPr>
          <w:rFonts w:eastAsia="Times New Roman"/>
          <w:noProof/>
          <w:color w:val="000000" w:themeColor="text1"/>
        </w:rPr>
        <w:t>’s</w:t>
      </w:r>
      <w:r w:rsidRPr="7B4F22F7">
        <w:rPr>
          <w:rFonts w:eastAsia="Times New Roman"/>
          <w:noProof/>
          <w:color w:val="000000" w:themeColor="text1"/>
        </w:rPr>
        <w:t xml:space="preserve"> exclusive competence</w:t>
      </w:r>
      <w:r w:rsidR="001B12DD" w:rsidRPr="7B4F22F7">
        <w:rPr>
          <w:rFonts w:eastAsia="Times New Roman"/>
          <w:noProof/>
          <w:color w:val="000000" w:themeColor="text1"/>
        </w:rPr>
        <w:t xml:space="preserve"> under</w:t>
      </w:r>
      <w:r w:rsidRPr="7B4F22F7">
        <w:rPr>
          <w:rFonts w:eastAsia="Times New Roman"/>
          <w:noProof/>
          <w:color w:val="000000" w:themeColor="text1"/>
        </w:rPr>
        <w:t xml:space="preserve"> the Common Commercial Policy </w:t>
      </w:r>
      <w:r w:rsidR="001B12DD" w:rsidRPr="7B4F22F7">
        <w:rPr>
          <w:rFonts w:eastAsia="Times New Roman"/>
          <w:noProof/>
          <w:color w:val="000000" w:themeColor="text1"/>
        </w:rPr>
        <w:t>pursuant to</w:t>
      </w:r>
      <w:r w:rsidRPr="7B4F22F7">
        <w:rPr>
          <w:rFonts w:eastAsia="Times New Roman"/>
          <w:noProof/>
          <w:color w:val="000000" w:themeColor="text1"/>
        </w:rPr>
        <w:t xml:space="preserve"> Article 207(1) TFEU and </w:t>
      </w:r>
      <w:r w:rsidR="00D23DAA">
        <w:rPr>
          <w:rFonts w:eastAsia="Times New Roman"/>
          <w:noProof/>
          <w:color w:val="000000" w:themeColor="text1"/>
        </w:rPr>
        <w:t>Article 3(2)</w:t>
      </w:r>
      <w:r w:rsidRPr="7B4F22F7">
        <w:rPr>
          <w:rFonts w:eastAsia="Times New Roman"/>
          <w:noProof/>
          <w:color w:val="000000" w:themeColor="text1"/>
        </w:rPr>
        <w:t xml:space="preserve"> TFEU.</w:t>
      </w:r>
      <w:r w:rsidRPr="7B4F22F7">
        <w:rPr>
          <w:rFonts w:eastAsia="Times New Roman"/>
          <w:noProof/>
          <w:color w:val="000000" w:themeColor="text1"/>
          <w:lang w:val="en-IE"/>
        </w:rPr>
        <w:t> </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t>As a result, the</w:t>
      </w:r>
      <w:r w:rsidR="002C0101" w:rsidRPr="7B4F22F7">
        <w:rPr>
          <w:rFonts w:eastAsia="Times New Roman"/>
          <w:noProof/>
          <w:color w:val="000000" w:themeColor="text1"/>
        </w:rPr>
        <w:t xml:space="preserve"> </w:t>
      </w:r>
      <w:r w:rsidRPr="7B4F22F7">
        <w:rPr>
          <w:rFonts w:eastAsia="Times New Roman"/>
          <w:noProof/>
          <w:color w:val="000000" w:themeColor="text1"/>
        </w:rPr>
        <w:t xml:space="preserve">IPA is to be </w:t>
      </w:r>
      <w:r w:rsidR="002C0101" w:rsidRPr="7B4F22F7">
        <w:rPr>
          <w:rFonts w:eastAsia="Times New Roman"/>
          <w:noProof/>
          <w:color w:val="000000" w:themeColor="text1"/>
        </w:rPr>
        <w:t xml:space="preserve">concluded </w:t>
      </w:r>
      <w:r w:rsidRPr="7B4F22F7">
        <w:rPr>
          <w:rFonts w:eastAsia="Times New Roman"/>
          <w:noProof/>
          <w:color w:val="000000" w:themeColor="text1"/>
        </w:rPr>
        <w:t>by the Union pursuant to a decision of the Council based on Article 218(</w:t>
      </w:r>
      <w:r w:rsidR="006431D5" w:rsidRPr="7B4F22F7">
        <w:rPr>
          <w:rFonts w:eastAsia="Times New Roman"/>
          <w:noProof/>
          <w:color w:val="000000" w:themeColor="text1"/>
        </w:rPr>
        <w:t>6</w:t>
      </w:r>
      <w:r w:rsidRPr="7B4F22F7">
        <w:rPr>
          <w:rFonts w:eastAsia="Times New Roman"/>
          <w:noProof/>
          <w:color w:val="000000" w:themeColor="text1"/>
        </w:rPr>
        <w:t>) TFEU, following the European Parliament’s consent.</w:t>
      </w:r>
    </w:p>
    <w:p w:rsidR="2941685E" w:rsidRDefault="2941685E" w:rsidP="003D4FB3">
      <w:pPr>
        <w:pStyle w:val="ManualHeading2"/>
        <w:rPr>
          <w:noProof/>
          <w:lang w:val="en-IE"/>
        </w:rPr>
      </w:pPr>
      <w:r w:rsidRPr="57097F81">
        <w:rPr>
          <w:noProof/>
          <w:lang w:val="en-US"/>
        </w:rPr>
        <w:t>•</w:t>
      </w:r>
      <w:r>
        <w:rPr>
          <w:noProof/>
        </w:rPr>
        <w:tab/>
      </w:r>
      <w:r w:rsidRPr="57097F81">
        <w:rPr>
          <w:noProof/>
          <w:lang w:val="en-US"/>
        </w:rPr>
        <w:t>Subsidiarity (for non-exclusive competence)</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t>The</w:t>
      </w:r>
      <w:r w:rsidR="00C22975" w:rsidRPr="7B4F22F7">
        <w:rPr>
          <w:rFonts w:eastAsia="Times New Roman"/>
          <w:noProof/>
          <w:color w:val="000000" w:themeColor="text1"/>
        </w:rPr>
        <w:t xml:space="preserve"> </w:t>
      </w:r>
      <w:r w:rsidRPr="7B4F22F7">
        <w:rPr>
          <w:rFonts w:eastAsia="Times New Roman"/>
          <w:noProof/>
          <w:color w:val="000000" w:themeColor="text1"/>
        </w:rPr>
        <w:t>IPA as presented to the Council does not cover any matters that fall outside the EU’s exclusive competence.</w:t>
      </w:r>
      <w:r w:rsidRPr="7B4F22F7">
        <w:rPr>
          <w:rFonts w:eastAsia="Times New Roman"/>
          <w:noProof/>
          <w:color w:val="000000" w:themeColor="text1"/>
          <w:lang w:val="en-IE"/>
        </w:rPr>
        <w:t> </w:t>
      </w:r>
    </w:p>
    <w:p w:rsidR="2941685E" w:rsidRDefault="2941685E" w:rsidP="003D4FB3">
      <w:pPr>
        <w:pStyle w:val="ManualHeading2"/>
        <w:rPr>
          <w:noProof/>
          <w:lang w:val="en-IE"/>
        </w:rPr>
      </w:pPr>
      <w:r w:rsidRPr="57097F81">
        <w:rPr>
          <w:noProof/>
          <w:lang w:val="en-US"/>
        </w:rPr>
        <w:t>•</w:t>
      </w:r>
      <w:r>
        <w:rPr>
          <w:noProof/>
        </w:rPr>
        <w:tab/>
      </w:r>
      <w:r w:rsidRPr="57097F81">
        <w:rPr>
          <w:noProof/>
          <w:lang w:val="en-US"/>
        </w:rPr>
        <w:t>Proportionality</w:t>
      </w:r>
      <w:r w:rsidRPr="57097F81">
        <w:rPr>
          <w:noProof/>
          <w:lang w:val="en-IE"/>
        </w:rPr>
        <w:t> </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t>Investment protection agreements are the appropriate means to create a better climate for the development of foreign direct investments and to lay down the necessary arrangements for the protection of such investments between the EU and a third country. No alternative exists to render such protection efforts legally binding.</w:t>
      </w:r>
      <w:r w:rsidRPr="7B4F22F7">
        <w:rPr>
          <w:rFonts w:eastAsia="Times New Roman"/>
          <w:noProof/>
          <w:color w:val="000000" w:themeColor="text1"/>
          <w:lang w:val="en-IE"/>
        </w:rPr>
        <w:t> </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t xml:space="preserve">This initiative pursues directly the Union's objective in external action and contributes to the political priority of </w:t>
      </w:r>
      <w:r w:rsidR="004C7E62" w:rsidRPr="7B4F22F7">
        <w:rPr>
          <w:rFonts w:eastAsia="Times New Roman"/>
          <w:noProof/>
          <w:color w:val="000000" w:themeColor="text1"/>
        </w:rPr>
        <w:t>the ‘</w:t>
      </w:r>
      <w:r w:rsidRPr="7B4F22F7">
        <w:rPr>
          <w:rFonts w:eastAsia="Times New Roman"/>
          <w:noProof/>
          <w:color w:val="000000" w:themeColor="text1"/>
        </w:rPr>
        <w:t>EU as a stronger global actor’. It is in line with the EU Global Strategy’s orientations to engage with others and revamp its external partnerships in a responsible way, in order to attain the EU</w:t>
      </w:r>
      <w:r w:rsidR="00F01309" w:rsidRPr="7B4F22F7">
        <w:rPr>
          <w:rFonts w:eastAsia="Times New Roman"/>
          <w:noProof/>
          <w:color w:val="000000" w:themeColor="text1"/>
        </w:rPr>
        <w:t>’</w:t>
      </w:r>
      <w:r w:rsidRPr="7B4F22F7">
        <w:rPr>
          <w:rFonts w:eastAsia="Times New Roman"/>
          <w:noProof/>
          <w:color w:val="000000" w:themeColor="text1"/>
        </w:rPr>
        <w:t>s external priorities. It contributes to the EU’s trade and development objectives.</w:t>
      </w:r>
    </w:p>
    <w:p w:rsidR="2941685E" w:rsidRDefault="2941685E" w:rsidP="003D4FB3">
      <w:pPr>
        <w:pStyle w:val="ManualHeading2"/>
        <w:rPr>
          <w:noProof/>
          <w:lang w:val="en-IE"/>
        </w:rPr>
      </w:pPr>
      <w:r w:rsidRPr="57097F81">
        <w:rPr>
          <w:noProof/>
          <w:lang w:val="en-US"/>
        </w:rPr>
        <w:t>•</w:t>
      </w:r>
      <w:r>
        <w:rPr>
          <w:noProof/>
        </w:rPr>
        <w:tab/>
      </w:r>
      <w:r w:rsidRPr="57097F81">
        <w:rPr>
          <w:noProof/>
          <w:lang w:val="en-US"/>
        </w:rPr>
        <w:t>Choice of the instrument</w:t>
      </w:r>
      <w:r w:rsidRPr="57097F81">
        <w:rPr>
          <w:noProof/>
          <w:lang w:val="en-IE"/>
        </w:rPr>
        <w:t> </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t>This proposal is in accordance with Article 218(</w:t>
      </w:r>
      <w:r w:rsidR="00D938B6" w:rsidRPr="7B4F22F7">
        <w:rPr>
          <w:rFonts w:eastAsia="Times New Roman"/>
          <w:noProof/>
          <w:color w:val="000000" w:themeColor="text1"/>
        </w:rPr>
        <w:t>6</w:t>
      </w:r>
      <w:r w:rsidRPr="7B4F22F7">
        <w:rPr>
          <w:rFonts w:eastAsia="Times New Roman"/>
          <w:noProof/>
          <w:color w:val="000000" w:themeColor="text1"/>
        </w:rPr>
        <w:t xml:space="preserve">) TFEU, which envisages the adoption by the Council of decisions on the </w:t>
      </w:r>
      <w:r w:rsidR="00191813" w:rsidRPr="7B4F22F7">
        <w:rPr>
          <w:rFonts w:eastAsia="Times New Roman"/>
          <w:noProof/>
          <w:color w:val="000000" w:themeColor="text1"/>
        </w:rPr>
        <w:t xml:space="preserve">conclusion </w:t>
      </w:r>
      <w:r w:rsidRPr="7B4F22F7">
        <w:rPr>
          <w:rFonts w:eastAsia="Times New Roman"/>
          <w:noProof/>
          <w:color w:val="000000" w:themeColor="text1"/>
        </w:rPr>
        <w:t>of international agreements. No other legal instrument exists that could be used in order to achieve the objective expressed in this proposal.</w:t>
      </w:r>
      <w:r w:rsidR="00417024" w:rsidRPr="7B4F22F7">
        <w:rPr>
          <w:rFonts w:eastAsia="Times New Roman"/>
          <w:noProof/>
          <w:color w:val="000000" w:themeColor="text1"/>
        </w:rPr>
        <w:t xml:space="preserve"> </w:t>
      </w:r>
      <w:r w:rsidRPr="7B4F22F7">
        <w:rPr>
          <w:rFonts w:eastAsia="Times New Roman"/>
          <w:noProof/>
          <w:color w:val="000000" w:themeColor="text1"/>
          <w:lang w:val="en-IE"/>
        </w:rPr>
        <w:t>This proposal for a Council decision is</w:t>
      </w:r>
      <w:r w:rsidR="00417024" w:rsidRPr="7B4F22F7">
        <w:rPr>
          <w:rFonts w:eastAsia="Times New Roman"/>
          <w:noProof/>
          <w:color w:val="000000" w:themeColor="text1"/>
          <w:lang w:val="en-IE"/>
        </w:rPr>
        <w:t xml:space="preserve"> </w:t>
      </w:r>
      <w:r w:rsidRPr="7B4F22F7">
        <w:rPr>
          <w:rFonts w:eastAsia="Times New Roman"/>
          <w:noProof/>
          <w:color w:val="000000" w:themeColor="text1"/>
          <w:lang w:val="en-IE"/>
        </w:rPr>
        <w:t>submitted</w:t>
      </w:r>
      <w:r w:rsidR="00417024" w:rsidRPr="7B4F22F7">
        <w:rPr>
          <w:rFonts w:eastAsia="Times New Roman"/>
          <w:noProof/>
          <w:color w:val="000000" w:themeColor="text1"/>
          <w:lang w:val="en-IE"/>
        </w:rPr>
        <w:t xml:space="preserve"> </w:t>
      </w:r>
      <w:r w:rsidRPr="7B4F22F7">
        <w:rPr>
          <w:rFonts w:eastAsia="Times New Roman"/>
          <w:noProof/>
          <w:color w:val="000000" w:themeColor="text1"/>
          <w:lang w:val="en-IE"/>
        </w:rPr>
        <w:t>in accordance with</w:t>
      </w:r>
      <w:r w:rsidR="00417024" w:rsidRPr="7B4F22F7">
        <w:rPr>
          <w:rFonts w:eastAsia="Times New Roman"/>
          <w:noProof/>
          <w:color w:val="000000" w:themeColor="text1"/>
          <w:lang w:val="en-IE"/>
        </w:rPr>
        <w:t xml:space="preserve"> </w:t>
      </w:r>
      <w:r w:rsidRPr="7B4F22F7">
        <w:rPr>
          <w:rFonts w:eastAsia="Times New Roman"/>
          <w:noProof/>
          <w:color w:val="000000" w:themeColor="text1"/>
          <w:lang w:val="en-IE"/>
        </w:rPr>
        <w:t>Article 218(</w:t>
      </w:r>
      <w:r w:rsidR="00417024" w:rsidRPr="7B4F22F7">
        <w:rPr>
          <w:rFonts w:eastAsia="Times New Roman"/>
          <w:noProof/>
          <w:color w:val="000000" w:themeColor="text1"/>
          <w:lang w:val="en-IE"/>
        </w:rPr>
        <w:t>6</w:t>
      </w:r>
      <w:r w:rsidRPr="7B4F22F7">
        <w:rPr>
          <w:rFonts w:eastAsia="Times New Roman"/>
          <w:noProof/>
          <w:color w:val="000000" w:themeColor="text1"/>
          <w:lang w:val="en-IE"/>
        </w:rPr>
        <w:t xml:space="preserve">) TFEU, which envisages the adoption by the Council of a decision </w:t>
      </w:r>
      <w:r w:rsidR="00417024" w:rsidRPr="7B4F22F7">
        <w:rPr>
          <w:rFonts w:eastAsia="Times New Roman"/>
          <w:noProof/>
          <w:color w:val="000000" w:themeColor="text1"/>
          <w:lang w:val="en-IE"/>
        </w:rPr>
        <w:t xml:space="preserve">concluding the </w:t>
      </w:r>
      <w:r w:rsidRPr="7B4F22F7">
        <w:rPr>
          <w:rFonts w:eastAsia="Times New Roman"/>
          <w:noProof/>
          <w:color w:val="000000" w:themeColor="text1"/>
          <w:lang w:val="en-IE"/>
        </w:rPr>
        <w:t>agreement. There exists no other legal instrument that could be used</w:t>
      </w:r>
      <w:r w:rsidR="00C56F9F" w:rsidRPr="7B4F22F7">
        <w:rPr>
          <w:rFonts w:eastAsia="Times New Roman"/>
          <w:noProof/>
          <w:color w:val="000000" w:themeColor="text1"/>
          <w:lang w:val="en-IE"/>
        </w:rPr>
        <w:t xml:space="preserve"> </w:t>
      </w:r>
      <w:r w:rsidRPr="7B4F22F7">
        <w:rPr>
          <w:rFonts w:eastAsia="Times New Roman"/>
          <w:noProof/>
          <w:color w:val="000000" w:themeColor="text1"/>
          <w:lang w:val="en-IE"/>
        </w:rPr>
        <w:t>in order to</w:t>
      </w:r>
      <w:r w:rsidR="00C56F9F" w:rsidRPr="7B4F22F7">
        <w:rPr>
          <w:rFonts w:eastAsia="Times New Roman"/>
          <w:noProof/>
          <w:color w:val="000000" w:themeColor="text1"/>
          <w:lang w:val="en-IE"/>
        </w:rPr>
        <w:t xml:space="preserve"> </w:t>
      </w:r>
      <w:r w:rsidRPr="7B4F22F7">
        <w:rPr>
          <w:rFonts w:eastAsia="Times New Roman"/>
          <w:noProof/>
          <w:color w:val="000000" w:themeColor="text1"/>
          <w:lang w:val="en-IE"/>
        </w:rPr>
        <w:t>achieve the</w:t>
      </w:r>
      <w:r w:rsidR="00C56F9F" w:rsidRPr="7B4F22F7">
        <w:rPr>
          <w:rFonts w:eastAsia="Times New Roman"/>
          <w:noProof/>
          <w:color w:val="000000" w:themeColor="text1"/>
          <w:lang w:val="en-IE"/>
        </w:rPr>
        <w:t xml:space="preserve"> </w:t>
      </w:r>
      <w:r w:rsidRPr="7B4F22F7">
        <w:rPr>
          <w:rFonts w:eastAsia="Times New Roman"/>
          <w:noProof/>
          <w:color w:val="000000" w:themeColor="text1"/>
          <w:lang w:val="en-IE"/>
        </w:rPr>
        <w:t>objective</w:t>
      </w:r>
      <w:r w:rsidR="00C56F9F" w:rsidRPr="7B4F22F7">
        <w:rPr>
          <w:rFonts w:eastAsia="Times New Roman"/>
          <w:noProof/>
          <w:color w:val="000000" w:themeColor="text1"/>
          <w:lang w:val="en-IE"/>
        </w:rPr>
        <w:t xml:space="preserve"> </w:t>
      </w:r>
      <w:r w:rsidRPr="7B4F22F7">
        <w:rPr>
          <w:rFonts w:eastAsia="Times New Roman"/>
          <w:noProof/>
          <w:color w:val="000000" w:themeColor="text1"/>
          <w:lang w:val="en-IE"/>
        </w:rPr>
        <w:t>expressed in this proposal. </w:t>
      </w:r>
    </w:p>
    <w:p w:rsidR="2941685E" w:rsidRDefault="2941685E" w:rsidP="003D4FB3">
      <w:pPr>
        <w:pStyle w:val="ManualHeading1"/>
        <w:rPr>
          <w:noProof/>
          <w:lang w:val="en-IE"/>
        </w:rPr>
      </w:pPr>
      <w:r w:rsidRPr="7B4F22F7">
        <w:rPr>
          <w:noProof/>
        </w:rPr>
        <w:t>3.</w:t>
      </w:r>
      <w:r>
        <w:rPr>
          <w:noProof/>
        </w:rPr>
        <w:tab/>
      </w:r>
      <w:r w:rsidRPr="7B4F22F7">
        <w:rPr>
          <w:noProof/>
        </w:rPr>
        <w:t>RESULTS OF EX-POST EVALUATIONS, STAKEHOLDER CONSULTATIONS AND IMPACT ASSESSMENTS</w:t>
      </w:r>
      <w:r w:rsidRPr="7B4F22F7">
        <w:rPr>
          <w:noProof/>
          <w:lang w:val="en-IE"/>
        </w:rPr>
        <w:t> </w:t>
      </w:r>
    </w:p>
    <w:p w:rsidR="2941685E" w:rsidRDefault="2941685E" w:rsidP="003D4FB3">
      <w:pPr>
        <w:pStyle w:val="ManualHeading2"/>
        <w:rPr>
          <w:noProof/>
          <w:lang w:val="en-IE"/>
        </w:rPr>
      </w:pPr>
      <w:r w:rsidRPr="57097F81">
        <w:rPr>
          <w:noProof/>
          <w:lang w:val="en-US"/>
        </w:rPr>
        <w:t>•</w:t>
      </w:r>
      <w:r>
        <w:rPr>
          <w:noProof/>
        </w:rPr>
        <w:tab/>
      </w:r>
      <w:r w:rsidRPr="57097F81">
        <w:rPr>
          <w:noProof/>
          <w:lang w:val="en-US"/>
        </w:rPr>
        <w:t>Stakeholder consultations</w:t>
      </w:r>
      <w:r w:rsidRPr="57097F81">
        <w:rPr>
          <w:noProof/>
          <w:lang w:val="en-IE"/>
        </w:rPr>
        <w:t> </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t xml:space="preserve">Prior to and during the negotiations, the EU Member States were regularly informed and consulted orally and in writing on the different aspects of the negotiation via the Council’s Trade Policy Committee, including in its subgroup </w:t>
      </w:r>
      <w:r w:rsidR="00BB4DC0" w:rsidRPr="7B4F22F7">
        <w:rPr>
          <w:rFonts w:eastAsia="Times New Roman"/>
          <w:noProof/>
          <w:color w:val="000000" w:themeColor="text1"/>
        </w:rPr>
        <w:t>for s</w:t>
      </w:r>
      <w:r w:rsidRPr="7B4F22F7">
        <w:rPr>
          <w:rFonts w:eastAsia="Times New Roman"/>
          <w:noProof/>
          <w:color w:val="000000" w:themeColor="text1"/>
        </w:rPr>
        <w:t>ervices and</w:t>
      </w:r>
      <w:r w:rsidR="00BB4DC0" w:rsidRPr="7B4F22F7">
        <w:rPr>
          <w:rFonts w:eastAsia="Times New Roman"/>
          <w:noProof/>
          <w:color w:val="000000" w:themeColor="text1"/>
        </w:rPr>
        <w:t xml:space="preserve"> i</w:t>
      </w:r>
      <w:r w:rsidRPr="7B4F22F7">
        <w:rPr>
          <w:rFonts w:eastAsia="Times New Roman"/>
          <w:noProof/>
          <w:color w:val="000000" w:themeColor="text1"/>
        </w:rPr>
        <w:t>nvestments. The European Parliament was also regularly informed and consulted via its Committee on International Trade (“INTA</w:t>
      </w:r>
      <w:r w:rsidR="00961C58" w:rsidRPr="7B4F22F7">
        <w:rPr>
          <w:rFonts w:eastAsia="Times New Roman"/>
          <w:noProof/>
          <w:color w:val="000000" w:themeColor="text1"/>
        </w:rPr>
        <w:t>”</w:t>
      </w:r>
      <w:r w:rsidRPr="7B4F22F7">
        <w:rPr>
          <w:rFonts w:eastAsia="Times New Roman"/>
          <w:noProof/>
          <w:color w:val="000000" w:themeColor="text1"/>
        </w:rPr>
        <w:t>). The texts progressively resulting from the negotiations were circulated throughout the process to both institutions.</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t>In parallel to the negotiations,</w:t>
      </w:r>
      <w:r w:rsidR="00154974" w:rsidRPr="7B4F22F7">
        <w:rPr>
          <w:rFonts w:eastAsia="Times New Roman"/>
          <w:noProof/>
          <w:color w:val="000000" w:themeColor="text1"/>
        </w:rPr>
        <w:t xml:space="preserve"> </w:t>
      </w:r>
      <w:r w:rsidRPr="7B4F22F7">
        <w:rPr>
          <w:rFonts w:eastAsia="Times New Roman"/>
          <w:noProof/>
          <w:color w:val="000000" w:themeColor="text1"/>
        </w:rPr>
        <w:t>the</w:t>
      </w:r>
      <w:r w:rsidR="00154974" w:rsidRPr="7B4F22F7">
        <w:rPr>
          <w:rFonts w:eastAsia="Times New Roman"/>
          <w:noProof/>
          <w:color w:val="000000" w:themeColor="text1"/>
        </w:rPr>
        <w:t xml:space="preserve"> </w:t>
      </w:r>
      <w:r w:rsidRPr="7B4F22F7">
        <w:rPr>
          <w:rFonts w:eastAsia="Times New Roman"/>
          <w:noProof/>
          <w:color w:val="000000" w:themeColor="text1"/>
        </w:rPr>
        <w:t>Commission commissioned</w:t>
      </w:r>
      <w:r w:rsidR="00154974" w:rsidRPr="7B4F22F7">
        <w:rPr>
          <w:rFonts w:eastAsia="Times New Roman"/>
          <w:noProof/>
          <w:color w:val="000000" w:themeColor="text1"/>
        </w:rPr>
        <w:t xml:space="preserve"> </w:t>
      </w:r>
      <w:r w:rsidRPr="7B4F22F7">
        <w:rPr>
          <w:rFonts w:eastAsia="Times New Roman"/>
          <w:noProof/>
          <w:color w:val="000000" w:themeColor="text1"/>
        </w:rPr>
        <w:t>a</w:t>
      </w:r>
      <w:r w:rsidR="00154974" w:rsidRPr="7B4F22F7">
        <w:rPr>
          <w:rFonts w:eastAsia="Times New Roman"/>
          <w:noProof/>
          <w:color w:val="000000" w:themeColor="text1"/>
        </w:rPr>
        <w:t xml:space="preserve"> </w:t>
      </w:r>
      <w:hyperlink r:id="rId15">
        <w:r w:rsidRPr="7B4F22F7">
          <w:rPr>
            <w:rStyle w:val="Hyperlink"/>
            <w:noProof/>
          </w:rPr>
          <w:t>Sustainability</w:t>
        </w:r>
        <w:r w:rsidR="00154974" w:rsidRPr="7B4F22F7">
          <w:rPr>
            <w:rStyle w:val="Hyperlink"/>
            <w:noProof/>
          </w:rPr>
          <w:t xml:space="preserve"> </w:t>
        </w:r>
        <w:r w:rsidRPr="7B4F22F7">
          <w:rPr>
            <w:rStyle w:val="Hyperlink"/>
            <w:noProof/>
          </w:rPr>
          <w:t>Impact Assessment</w:t>
        </w:r>
      </w:hyperlink>
      <w:r w:rsidR="00154974" w:rsidRPr="7B4F22F7">
        <w:rPr>
          <w:rFonts w:eastAsia="Times New Roman"/>
          <w:noProof/>
          <w:color w:val="000000" w:themeColor="text1"/>
        </w:rPr>
        <w:t xml:space="preserve"> </w:t>
      </w:r>
      <w:r w:rsidRPr="7B4F22F7">
        <w:rPr>
          <w:rFonts w:eastAsia="Times New Roman"/>
          <w:noProof/>
          <w:color w:val="000000" w:themeColor="text1"/>
        </w:rPr>
        <w:t>(“SIA”) of the CEPA between the EU and Indonesia.</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lastRenderedPageBreak/>
        <w:t>The SIA</w:t>
      </w:r>
      <w:r w:rsidRPr="005C3F35">
        <w:rPr>
          <w:rFonts w:eastAsia="Times New Roman"/>
          <w:noProof/>
          <w:color w:val="000000" w:themeColor="text1"/>
        </w:rPr>
        <w:t>,</w:t>
      </w:r>
      <w:r w:rsidR="00154974" w:rsidRPr="7B4F22F7">
        <w:rPr>
          <w:rFonts w:eastAsia="Times New Roman"/>
          <w:noProof/>
          <w:color w:val="000000" w:themeColor="text1"/>
        </w:rPr>
        <w:t xml:space="preserve"> </w:t>
      </w:r>
      <w:r w:rsidRPr="7B4F22F7">
        <w:rPr>
          <w:rFonts w:eastAsia="Times New Roman"/>
          <w:noProof/>
          <w:color w:val="000000" w:themeColor="text1"/>
        </w:rPr>
        <w:t>which was</w:t>
      </w:r>
      <w:r w:rsidR="00154974" w:rsidRPr="7B4F22F7">
        <w:rPr>
          <w:rFonts w:eastAsia="Times New Roman"/>
          <w:noProof/>
          <w:color w:val="000000" w:themeColor="text1"/>
        </w:rPr>
        <w:t xml:space="preserve"> </w:t>
      </w:r>
      <w:r w:rsidRPr="7B4F22F7">
        <w:rPr>
          <w:rFonts w:eastAsia="Times New Roman"/>
          <w:noProof/>
          <w:color w:val="000000" w:themeColor="text1"/>
        </w:rPr>
        <w:t xml:space="preserve">completed in September 2019 to support the negotiations for a </w:t>
      </w:r>
      <w:r w:rsidR="00154974" w:rsidRPr="7B4F22F7">
        <w:rPr>
          <w:rFonts w:eastAsia="Times New Roman"/>
          <w:noProof/>
          <w:color w:val="000000" w:themeColor="text1"/>
        </w:rPr>
        <w:t>f</w:t>
      </w:r>
      <w:r w:rsidRPr="7B4F22F7">
        <w:rPr>
          <w:rFonts w:eastAsia="Times New Roman"/>
          <w:noProof/>
          <w:color w:val="000000" w:themeColor="text1"/>
        </w:rPr>
        <w:t xml:space="preserve">ree </w:t>
      </w:r>
      <w:r w:rsidR="00154974" w:rsidRPr="7B4F22F7">
        <w:rPr>
          <w:rFonts w:eastAsia="Times New Roman"/>
          <w:noProof/>
          <w:color w:val="000000" w:themeColor="text1"/>
        </w:rPr>
        <w:t>t</w:t>
      </w:r>
      <w:r w:rsidRPr="7B4F22F7">
        <w:rPr>
          <w:rFonts w:eastAsia="Times New Roman"/>
          <w:noProof/>
          <w:color w:val="000000" w:themeColor="text1"/>
        </w:rPr>
        <w:t xml:space="preserve">rade and </w:t>
      </w:r>
      <w:r w:rsidR="00154974" w:rsidRPr="7B4F22F7">
        <w:rPr>
          <w:rFonts w:eastAsia="Times New Roman"/>
          <w:noProof/>
          <w:color w:val="000000" w:themeColor="text1"/>
        </w:rPr>
        <w:t>i</w:t>
      </w:r>
      <w:r w:rsidRPr="7B4F22F7">
        <w:rPr>
          <w:rFonts w:eastAsia="Times New Roman"/>
          <w:noProof/>
          <w:color w:val="000000" w:themeColor="text1"/>
        </w:rPr>
        <w:t>nvestment protection agreement, examined how the trade and investment provisions of the CEPA under negotiation could affect economic, social, human rights and environmental issues in the EU and in Indonesia. It built on the analysis presented in the SIA carried out in 2009 in support of the region-to-region negotiations for an EU-ASEAN trade agreement, providing more up-to-date information and a clear focus on the specific features and potential impacts of bilateral negotiations with Indonesia only.</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t>Overall, the</w:t>
      </w:r>
      <w:r w:rsidR="002F5E1E" w:rsidRPr="7B4F22F7">
        <w:rPr>
          <w:rFonts w:eastAsia="Times New Roman"/>
          <w:noProof/>
          <w:color w:val="000000" w:themeColor="text1"/>
        </w:rPr>
        <w:t xml:space="preserve"> </w:t>
      </w:r>
      <w:r w:rsidRPr="7B4F22F7">
        <w:rPr>
          <w:rFonts w:eastAsia="Times New Roman"/>
          <w:noProof/>
          <w:color w:val="000000" w:themeColor="text1"/>
        </w:rPr>
        <w:t>SIA concluded</w:t>
      </w:r>
      <w:r w:rsidR="002F5E1E" w:rsidRPr="7B4F22F7">
        <w:rPr>
          <w:rFonts w:eastAsia="Times New Roman"/>
          <w:noProof/>
          <w:color w:val="000000" w:themeColor="text1"/>
        </w:rPr>
        <w:t xml:space="preserve"> </w:t>
      </w:r>
      <w:r w:rsidRPr="7B4F22F7">
        <w:rPr>
          <w:rFonts w:eastAsia="Times New Roman"/>
          <w:noProof/>
          <w:color w:val="000000" w:themeColor="text1"/>
        </w:rPr>
        <w:t>that the agreement</w:t>
      </w:r>
      <w:r w:rsidR="002F5E1E" w:rsidRPr="7B4F22F7">
        <w:rPr>
          <w:rFonts w:eastAsia="Times New Roman"/>
          <w:noProof/>
          <w:color w:val="000000" w:themeColor="text1"/>
        </w:rPr>
        <w:t xml:space="preserve"> </w:t>
      </w:r>
      <w:r w:rsidRPr="7B4F22F7">
        <w:rPr>
          <w:rFonts w:eastAsia="Times New Roman"/>
          <w:noProof/>
          <w:color w:val="000000" w:themeColor="text1"/>
        </w:rPr>
        <w:t>was</w:t>
      </w:r>
      <w:r w:rsidR="002F5E1E" w:rsidRPr="7B4F22F7">
        <w:rPr>
          <w:rFonts w:eastAsia="Times New Roman"/>
          <w:noProof/>
          <w:color w:val="000000" w:themeColor="text1"/>
        </w:rPr>
        <w:t xml:space="preserve"> </w:t>
      </w:r>
      <w:r w:rsidRPr="7B4F22F7">
        <w:rPr>
          <w:rFonts w:eastAsia="Times New Roman"/>
          <w:noProof/>
          <w:color w:val="000000" w:themeColor="text1"/>
        </w:rPr>
        <w:t>expected to have positive impacts for both Parties</w:t>
      </w:r>
      <w:r w:rsidR="00C07FA2" w:rsidRPr="7B4F22F7">
        <w:rPr>
          <w:rFonts w:eastAsia="Times New Roman"/>
          <w:noProof/>
          <w:color w:val="000000" w:themeColor="text1"/>
        </w:rPr>
        <w:t xml:space="preserve"> </w:t>
      </w:r>
      <w:r w:rsidRPr="7B4F22F7">
        <w:rPr>
          <w:rFonts w:eastAsia="Times New Roman"/>
          <w:noProof/>
          <w:color w:val="000000" w:themeColor="text1"/>
        </w:rPr>
        <w:t>and their societies,</w:t>
      </w:r>
      <w:r w:rsidR="00C07FA2" w:rsidRPr="7B4F22F7">
        <w:rPr>
          <w:rFonts w:eastAsia="Times New Roman"/>
          <w:noProof/>
          <w:color w:val="000000" w:themeColor="text1"/>
        </w:rPr>
        <w:t xml:space="preserve"> </w:t>
      </w:r>
      <w:r w:rsidRPr="7B4F22F7">
        <w:rPr>
          <w:rFonts w:eastAsia="Times New Roman"/>
          <w:noProof/>
          <w:color w:val="000000" w:themeColor="text1"/>
        </w:rPr>
        <w:t>across all the key economic indicators (GDP, welfare, global and bilateral trade), with their comparative magnitude being larger in Indonesia than in the EU</w:t>
      </w:r>
      <w:r w:rsidR="002008CC" w:rsidRPr="7B4F22F7">
        <w:rPr>
          <w:rFonts w:eastAsia="Times New Roman"/>
          <w:noProof/>
          <w:color w:val="000000" w:themeColor="text1"/>
        </w:rPr>
        <w:t>,</w:t>
      </w:r>
      <w:r w:rsidRPr="7B4F22F7">
        <w:rPr>
          <w:rFonts w:eastAsia="Times New Roman"/>
          <w:noProof/>
          <w:color w:val="000000" w:themeColor="text1"/>
        </w:rPr>
        <w:t xml:space="preserve"> due to the differences in the relative size</w:t>
      </w:r>
      <w:r w:rsidR="002008CC" w:rsidRPr="7B4F22F7">
        <w:rPr>
          <w:rFonts w:eastAsia="Times New Roman"/>
          <w:noProof/>
          <w:color w:val="000000" w:themeColor="text1"/>
        </w:rPr>
        <w:t>s</w:t>
      </w:r>
      <w:r w:rsidRPr="7B4F22F7">
        <w:rPr>
          <w:rFonts w:eastAsia="Times New Roman"/>
          <w:noProof/>
          <w:color w:val="000000" w:themeColor="text1"/>
        </w:rPr>
        <w:t xml:space="preserve"> of the two economies.</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t>In the context of the SIA and throughout the</w:t>
      </w:r>
      <w:r w:rsidR="002008CC" w:rsidRPr="7B4F22F7">
        <w:rPr>
          <w:rFonts w:eastAsia="Times New Roman"/>
          <w:noProof/>
          <w:color w:val="000000" w:themeColor="text1"/>
        </w:rPr>
        <w:t xml:space="preserve"> </w:t>
      </w:r>
      <w:r w:rsidRPr="7B4F22F7">
        <w:rPr>
          <w:rFonts w:eastAsia="Times New Roman"/>
          <w:noProof/>
          <w:color w:val="000000" w:themeColor="text1"/>
        </w:rPr>
        <w:t>negotiations, the</w:t>
      </w:r>
      <w:r w:rsidR="002008CC" w:rsidRPr="7B4F22F7">
        <w:rPr>
          <w:rFonts w:eastAsia="Times New Roman"/>
          <w:noProof/>
          <w:color w:val="000000" w:themeColor="text1"/>
        </w:rPr>
        <w:t xml:space="preserve"> </w:t>
      </w:r>
      <w:r w:rsidRPr="7B4F22F7">
        <w:rPr>
          <w:rFonts w:eastAsia="Times New Roman"/>
          <w:noProof/>
          <w:color w:val="000000" w:themeColor="text1"/>
        </w:rPr>
        <w:t>Commission provided the possibility for civil society organisations to have their voice heard,</w:t>
      </w:r>
      <w:r w:rsidR="006929F2" w:rsidRPr="7B4F22F7">
        <w:rPr>
          <w:rFonts w:eastAsia="Times New Roman"/>
          <w:noProof/>
          <w:color w:val="000000" w:themeColor="text1"/>
        </w:rPr>
        <w:t xml:space="preserve"> </w:t>
      </w:r>
      <w:r w:rsidRPr="7B4F22F7">
        <w:rPr>
          <w:rFonts w:eastAsia="Times New Roman"/>
          <w:noProof/>
          <w:color w:val="000000" w:themeColor="text1"/>
        </w:rPr>
        <w:t>ask questions,</w:t>
      </w:r>
      <w:r w:rsidR="006929F2" w:rsidRPr="7B4F22F7">
        <w:rPr>
          <w:rFonts w:eastAsia="Times New Roman"/>
          <w:noProof/>
          <w:color w:val="000000" w:themeColor="text1"/>
        </w:rPr>
        <w:t xml:space="preserve"> </w:t>
      </w:r>
      <w:r w:rsidRPr="7B4F22F7">
        <w:rPr>
          <w:rFonts w:eastAsia="Times New Roman"/>
          <w:noProof/>
          <w:color w:val="000000" w:themeColor="text1"/>
        </w:rPr>
        <w:t>and contribute to a sound, evidence-based and transparent societal debate,</w:t>
      </w:r>
      <w:r w:rsidR="006929F2" w:rsidRPr="7B4F22F7">
        <w:rPr>
          <w:rFonts w:eastAsia="Times New Roman"/>
          <w:noProof/>
          <w:color w:val="000000" w:themeColor="text1"/>
        </w:rPr>
        <w:t xml:space="preserve"> </w:t>
      </w:r>
      <w:r w:rsidRPr="7B4F22F7">
        <w:rPr>
          <w:rFonts w:eastAsia="Times New Roman"/>
          <w:noProof/>
          <w:color w:val="000000" w:themeColor="text1"/>
        </w:rPr>
        <w:t>including through dedicated civil society dialogues,</w:t>
      </w:r>
      <w:r w:rsidR="006929F2" w:rsidRPr="7B4F22F7">
        <w:rPr>
          <w:rFonts w:eastAsia="Times New Roman"/>
          <w:noProof/>
          <w:color w:val="000000" w:themeColor="text1"/>
        </w:rPr>
        <w:t xml:space="preserve"> </w:t>
      </w:r>
      <w:r w:rsidRPr="7B4F22F7">
        <w:rPr>
          <w:rFonts w:eastAsia="Times New Roman"/>
          <w:noProof/>
          <w:color w:val="000000" w:themeColor="text1"/>
        </w:rPr>
        <w:t>a workshop with local stakeholders in Indonesia, bilateral meetings, interviews and web-based surveys.</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t>Furthermore, during the negotiations</w:t>
      </w:r>
      <w:r w:rsidR="006929F2" w:rsidRPr="7B4F22F7">
        <w:rPr>
          <w:rFonts w:eastAsia="Times New Roman"/>
          <w:noProof/>
          <w:color w:val="000000" w:themeColor="text1"/>
        </w:rPr>
        <w:t xml:space="preserve"> </w:t>
      </w:r>
      <w:r w:rsidRPr="7B4F22F7">
        <w:rPr>
          <w:rFonts w:eastAsia="Times New Roman"/>
          <w:noProof/>
          <w:color w:val="000000" w:themeColor="text1"/>
        </w:rPr>
        <w:t>and in line with its transparency policy,</w:t>
      </w:r>
      <w:r w:rsidR="006929F2" w:rsidRPr="7B4F22F7">
        <w:rPr>
          <w:rFonts w:eastAsia="Times New Roman"/>
          <w:noProof/>
          <w:color w:val="000000" w:themeColor="text1"/>
        </w:rPr>
        <w:t xml:space="preserve"> </w:t>
      </w:r>
      <w:r w:rsidRPr="7B4F22F7">
        <w:rPr>
          <w:rFonts w:eastAsia="Times New Roman"/>
          <w:noProof/>
          <w:color w:val="000000" w:themeColor="text1"/>
        </w:rPr>
        <w:t>the Commission has published</w:t>
      </w:r>
      <w:r w:rsidR="006929F2" w:rsidRPr="7B4F22F7">
        <w:rPr>
          <w:rFonts w:eastAsia="Times New Roman"/>
          <w:noProof/>
          <w:color w:val="000000" w:themeColor="text1"/>
        </w:rPr>
        <w:t xml:space="preserve"> </w:t>
      </w:r>
      <w:r w:rsidRPr="7B4F22F7">
        <w:rPr>
          <w:rFonts w:eastAsia="Times New Roman"/>
          <w:noProof/>
          <w:color w:val="000000" w:themeColor="text1"/>
        </w:rPr>
        <w:t>on its website</w:t>
      </w:r>
      <w:r w:rsidR="006929F2" w:rsidRPr="7B4F22F7">
        <w:rPr>
          <w:rFonts w:eastAsia="Times New Roman"/>
          <w:noProof/>
          <w:color w:val="000000" w:themeColor="text1"/>
        </w:rPr>
        <w:t xml:space="preserve"> </w:t>
      </w:r>
      <w:r w:rsidRPr="7B4F22F7">
        <w:rPr>
          <w:rFonts w:eastAsia="Times New Roman"/>
          <w:noProof/>
          <w:color w:val="000000" w:themeColor="text1"/>
        </w:rPr>
        <w:t>and regularly updated reports of the negotiating rounds, the text proposals, press releases, facts sheets and background information materials.</w:t>
      </w:r>
    </w:p>
    <w:p w:rsidR="2941685E" w:rsidRDefault="2941685E" w:rsidP="003D4FB3">
      <w:pPr>
        <w:pStyle w:val="ManualHeading2"/>
        <w:rPr>
          <w:noProof/>
          <w:lang w:val="en-IE"/>
        </w:rPr>
      </w:pPr>
      <w:r w:rsidRPr="7B4F22F7">
        <w:rPr>
          <w:noProof/>
          <w:lang w:val="en-US"/>
        </w:rPr>
        <w:t>•</w:t>
      </w:r>
      <w:r>
        <w:rPr>
          <w:noProof/>
        </w:rPr>
        <w:tab/>
      </w:r>
      <w:r w:rsidRPr="7B4F22F7">
        <w:rPr>
          <w:noProof/>
          <w:lang w:val="en-US"/>
        </w:rPr>
        <w:t>Collection and use of expertise</w:t>
      </w:r>
      <w:r w:rsidRPr="7B4F22F7">
        <w:rPr>
          <w:noProof/>
          <w:lang w:val="en-IE"/>
        </w:rPr>
        <w:t> </w:t>
      </w:r>
    </w:p>
    <w:p w:rsidR="2941685E" w:rsidRDefault="2941685E" w:rsidP="57097F81">
      <w:pPr>
        <w:pBdr>
          <w:top w:val="nil"/>
          <w:left w:val="nil"/>
          <w:bottom w:val="nil"/>
          <w:right w:val="nil"/>
          <w:between w:val="nil"/>
        </w:pBdr>
        <w:spacing w:before="0" w:after="240"/>
        <w:rPr>
          <w:rFonts w:eastAsia="Times New Roman"/>
          <w:noProof/>
          <w:color w:val="000000" w:themeColor="text1"/>
          <w:szCs w:val="24"/>
          <w:lang w:val="en-IE"/>
        </w:rPr>
      </w:pPr>
      <w:r w:rsidRPr="7B4F22F7">
        <w:rPr>
          <w:rFonts w:eastAsia="Times New Roman"/>
          <w:noProof/>
          <w:color w:val="000000" w:themeColor="text1"/>
        </w:rPr>
        <w:t>The SIA of the</w:t>
      </w:r>
      <w:r w:rsidR="008953C7" w:rsidRPr="7B4F22F7">
        <w:rPr>
          <w:rFonts w:eastAsia="Times New Roman"/>
          <w:noProof/>
          <w:color w:val="000000" w:themeColor="text1"/>
        </w:rPr>
        <w:t xml:space="preserve"> </w:t>
      </w:r>
      <w:r w:rsidRPr="7B4F22F7">
        <w:rPr>
          <w:rFonts w:eastAsia="Times New Roman"/>
          <w:noProof/>
          <w:color w:val="000000" w:themeColor="text1"/>
        </w:rPr>
        <w:t>CEPA</w:t>
      </w:r>
      <w:r w:rsidR="008953C7" w:rsidRPr="7B4F22F7">
        <w:rPr>
          <w:rFonts w:eastAsia="Times New Roman"/>
          <w:noProof/>
          <w:color w:val="000000" w:themeColor="text1"/>
        </w:rPr>
        <w:t xml:space="preserve"> </w:t>
      </w:r>
      <w:r w:rsidRPr="7B4F22F7">
        <w:rPr>
          <w:rFonts w:eastAsia="Times New Roman"/>
          <w:noProof/>
          <w:color w:val="000000" w:themeColor="text1"/>
        </w:rPr>
        <w:t>was carried out by</w:t>
      </w:r>
      <w:r w:rsidR="008953C7" w:rsidRPr="7B4F22F7">
        <w:rPr>
          <w:rFonts w:eastAsia="Times New Roman"/>
          <w:noProof/>
          <w:color w:val="000000" w:themeColor="text1"/>
        </w:rPr>
        <w:t xml:space="preserve"> </w:t>
      </w:r>
      <w:r w:rsidRPr="7B4F22F7">
        <w:rPr>
          <w:rFonts w:eastAsia="Times New Roman"/>
          <w:noProof/>
          <w:color w:val="000000" w:themeColor="text1"/>
        </w:rPr>
        <w:t>a consortium of independent consultancy companies led by Development Solutions</w:t>
      </w:r>
      <w:r w:rsidR="008953C7" w:rsidRPr="7B4F22F7">
        <w:rPr>
          <w:rFonts w:eastAsia="Times New Roman"/>
          <w:noProof/>
          <w:color w:val="000000" w:themeColor="text1"/>
        </w:rPr>
        <w:t xml:space="preserve"> </w:t>
      </w:r>
      <w:r w:rsidRPr="7B4F22F7">
        <w:rPr>
          <w:rFonts w:eastAsia="Times New Roman"/>
          <w:noProof/>
          <w:color w:val="000000" w:themeColor="text1"/>
        </w:rPr>
        <w:t>and commissioned by the Commission’s Directorate-General for Trade.</w:t>
      </w:r>
      <w:r w:rsidRPr="7B4F22F7">
        <w:rPr>
          <w:rFonts w:eastAsia="Times New Roman"/>
          <w:noProof/>
          <w:color w:val="000000" w:themeColor="text1"/>
          <w:lang w:val="en-IE"/>
        </w:rPr>
        <w:t> </w:t>
      </w:r>
    </w:p>
    <w:p w:rsidR="2941685E" w:rsidRDefault="2941685E" w:rsidP="003D4FB3">
      <w:pPr>
        <w:pStyle w:val="ManualHeading2"/>
        <w:rPr>
          <w:noProof/>
          <w:lang w:val="en-IE"/>
        </w:rPr>
      </w:pPr>
      <w:r w:rsidRPr="57097F81">
        <w:rPr>
          <w:noProof/>
          <w:lang w:val="en-US"/>
        </w:rPr>
        <w:t>•</w:t>
      </w:r>
      <w:r>
        <w:rPr>
          <w:noProof/>
        </w:rPr>
        <w:tab/>
      </w:r>
      <w:r w:rsidRPr="57097F81">
        <w:rPr>
          <w:noProof/>
          <w:lang w:val="en-US"/>
        </w:rPr>
        <w:t>Impact assessment</w:t>
      </w:r>
      <w:r w:rsidRPr="57097F81">
        <w:rPr>
          <w:noProof/>
          <w:lang w:val="en-IE"/>
        </w:rPr>
        <w:t> </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lang w:val="en-US"/>
        </w:rPr>
        <w:t xml:space="preserve">The negotiations for bilateral </w:t>
      </w:r>
      <w:r w:rsidR="008953C7" w:rsidRPr="7B4F22F7">
        <w:rPr>
          <w:rFonts w:eastAsia="Times New Roman"/>
          <w:noProof/>
          <w:color w:val="000000" w:themeColor="text1"/>
          <w:lang w:val="en-US"/>
        </w:rPr>
        <w:t>f</w:t>
      </w:r>
      <w:r w:rsidRPr="7B4F22F7">
        <w:rPr>
          <w:rFonts w:eastAsia="Times New Roman"/>
          <w:noProof/>
          <w:color w:val="000000" w:themeColor="text1"/>
          <w:lang w:val="en-US"/>
        </w:rPr>
        <w:t xml:space="preserve">ree </w:t>
      </w:r>
      <w:r w:rsidR="008953C7" w:rsidRPr="7B4F22F7">
        <w:rPr>
          <w:rFonts w:eastAsia="Times New Roman"/>
          <w:noProof/>
          <w:color w:val="000000" w:themeColor="text1"/>
          <w:lang w:val="en-US"/>
        </w:rPr>
        <w:t>t</w:t>
      </w:r>
      <w:r w:rsidRPr="7B4F22F7">
        <w:rPr>
          <w:rFonts w:eastAsia="Times New Roman"/>
          <w:noProof/>
          <w:color w:val="000000" w:themeColor="text1"/>
          <w:lang w:val="en-US"/>
        </w:rPr>
        <w:t xml:space="preserve">rade </w:t>
      </w:r>
      <w:r w:rsidR="008953C7" w:rsidRPr="7B4F22F7">
        <w:rPr>
          <w:rFonts w:eastAsia="Times New Roman"/>
          <w:noProof/>
          <w:color w:val="000000" w:themeColor="text1"/>
          <w:lang w:val="en-US"/>
        </w:rPr>
        <w:t>a</w:t>
      </w:r>
      <w:r w:rsidRPr="7B4F22F7">
        <w:rPr>
          <w:rFonts w:eastAsia="Times New Roman"/>
          <w:noProof/>
          <w:color w:val="000000" w:themeColor="text1"/>
          <w:lang w:val="en-US"/>
        </w:rPr>
        <w:t xml:space="preserve">greements between the EU and Southeast Asian countries were covered by the </w:t>
      </w:r>
      <w:r w:rsidR="004012E2" w:rsidRPr="7B4F22F7">
        <w:rPr>
          <w:rFonts w:eastAsia="Times New Roman"/>
          <w:noProof/>
          <w:color w:val="000000" w:themeColor="text1"/>
          <w:lang w:val="en-US"/>
        </w:rPr>
        <w:t>i</w:t>
      </w:r>
      <w:r w:rsidRPr="7B4F22F7">
        <w:rPr>
          <w:rFonts w:eastAsia="Times New Roman"/>
          <w:noProof/>
          <w:color w:val="000000" w:themeColor="text1"/>
          <w:lang w:val="en-US"/>
        </w:rPr>
        <w:t xml:space="preserve">mpact assessment carried out at the time of the Commission proposal for a negotiating mandate for and EU-ASEAN </w:t>
      </w:r>
      <w:r w:rsidR="00B20DA9" w:rsidRPr="7B4F22F7">
        <w:rPr>
          <w:rFonts w:eastAsia="Times New Roman"/>
          <w:noProof/>
          <w:color w:val="000000" w:themeColor="text1"/>
          <w:lang w:val="en-US"/>
        </w:rPr>
        <w:t>f</w:t>
      </w:r>
      <w:r w:rsidRPr="7B4F22F7">
        <w:rPr>
          <w:rFonts w:eastAsia="Times New Roman"/>
          <w:noProof/>
          <w:color w:val="000000" w:themeColor="text1"/>
          <w:lang w:val="en-US"/>
        </w:rPr>
        <w:t xml:space="preserve">ree </w:t>
      </w:r>
      <w:r w:rsidR="00B20DA9" w:rsidRPr="7B4F22F7">
        <w:rPr>
          <w:rFonts w:eastAsia="Times New Roman"/>
          <w:noProof/>
          <w:color w:val="000000" w:themeColor="text1"/>
          <w:lang w:val="en-US"/>
        </w:rPr>
        <w:t>t</w:t>
      </w:r>
      <w:r w:rsidRPr="7B4F22F7">
        <w:rPr>
          <w:rFonts w:eastAsia="Times New Roman"/>
          <w:noProof/>
          <w:color w:val="000000" w:themeColor="text1"/>
          <w:lang w:val="en-US"/>
        </w:rPr>
        <w:t>rade agreement.</w:t>
      </w:r>
      <w:r w:rsidRPr="7B4F22F7">
        <w:rPr>
          <w:rFonts w:eastAsia="Times New Roman"/>
          <w:noProof/>
          <w:color w:val="000000" w:themeColor="text1"/>
          <w:lang w:val="en-IE"/>
        </w:rPr>
        <w:t> </w:t>
      </w:r>
    </w:p>
    <w:p w:rsidR="2941685E" w:rsidRDefault="2941685E" w:rsidP="003D4FB3">
      <w:pPr>
        <w:pStyle w:val="ManualHeading2"/>
        <w:rPr>
          <w:noProof/>
          <w:lang w:val="en-IE"/>
        </w:rPr>
      </w:pPr>
      <w:r w:rsidRPr="57097F81">
        <w:rPr>
          <w:noProof/>
          <w:lang w:val="en-US"/>
        </w:rPr>
        <w:t>•</w:t>
      </w:r>
      <w:r>
        <w:rPr>
          <w:noProof/>
        </w:rPr>
        <w:tab/>
      </w:r>
      <w:r w:rsidRPr="57097F81">
        <w:rPr>
          <w:noProof/>
          <w:lang w:val="en-US"/>
        </w:rPr>
        <w:t>Regulatory fitness and simplification</w:t>
      </w:r>
      <w:r w:rsidRPr="57097F81">
        <w:rPr>
          <w:noProof/>
          <w:lang w:val="en-IE"/>
        </w:rPr>
        <w:t> </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t>The</w:t>
      </w:r>
      <w:r w:rsidR="00D55B4A" w:rsidRPr="7B4F22F7">
        <w:rPr>
          <w:rFonts w:eastAsia="Times New Roman"/>
          <w:noProof/>
          <w:color w:val="000000" w:themeColor="text1"/>
        </w:rPr>
        <w:t xml:space="preserve"> </w:t>
      </w:r>
      <w:r w:rsidRPr="7B4F22F7">
        <w:rPr>
          <w:rFonts w:eastAsia="Times New Roman"/>
          <w:noProof/>
          <w:color w:val="000000" w:themeColor="text1"/>
        </w:rPr>
        <w:t>IPA is not subject to REFIT procedures.</w:t>
      </w:r>
    </w:p>
    <w:p w:rsidR="2941685E" w:rsidRDefault="2941685E" w:rsidP="003D4FB3">
      <w:pPr>
        <w:pStyle w:val="ManualHeading2"/>
        <w:rPr>
          <w:noProof/>
          <w:lang w:val="en-IE"/>
        </w:rPr>
      </w:pPr>
      <w:r w:rsidRPr="57097F81">
        <w:rPr>
          <w:noProof/>
          <w:lang w:val="en-US"/>
        </w:rPr>
        <w:t>•</w:t>
      </w:r>
      <w:r>
        <w:rPr>
          <w:noProof/>
        </w:rPr>
        <w:tab/>
      </w:r>
      <w:r w:rsidRPr="57097F81">
        <w:rPr>
          <w:noProof/>
          <w:lang w:val="en-US"/>
        </w:rPr>
        <w:t>Fundamental rights</w:t>
      </w:r>
      <w:r w:rsidRPr="57097F81">
        <w:rPr>
          <w:noProof/>
          <w:lang w:val="en-IE"/>
        </w:rPr>
        <w:t> </w:t>
      </w:r>
    </w:p>
    <w:p w:rsidR="2941685E" w:rsidRDefault="2941685E" w:rsidP="57097F81">
      <w:pPr>
        <w:pBdr>
          <w:top w:val="nil"/>
          <w:left w:val="nil"/>
          <w:bottom w:val="nil"/>
          <w:right w:val="nil"/>
          <w:between w:val="nil"/>
        </w:pBdr>
        <w:spacing w:before="0" w:after="240"/>
        <w:rPr>
          <w:rFonts w:eastAsia="Times New Roman"/>
          <w:noProof/>
          <w:color w:val="000000" w:themeColor="text1"/>
          <w:szCs w:val="24"/>
          <w:lang w:val="en-IE"/>
        </w:rPr>
      </w:pPr>
      <w:r w:rsidRPr="57097F81">
        <w:rPr>
          <w:rFonts w:eastAsia="Times New Roman"/>
          <w:noProof/>
          <w:color w:val="000000" w:themeColor="text1"/>
          <w:szCs w:val="24"/>
        </w:rPr>
        <w:t>The proposal does not affect the protection of fundamental rights in the Union.</w:t>
      </w:r>
      <w:r w:rsidRPr="57097F81">
        <w:rPr>
          <w:rFonts w:eastAsia="Times New Roman"/>
          <w:noProof/>
          <w:color w:val="000000" w:themeColor="text1"/>
          <w:szCs w:val="24"/>
          <w:lang w:val="en-IE"/>
        </w:rPr>
        <w:t> </w:t>
      </w:r>
    </w:p>
    <w:p w:rsidR="2941685E" w:rsidRDefault="2941685E" w:rsidP="003D4FB3">
      <w:pPr>
        <w:pStyle w:val="ManualHeading1"/>
        <w:rPr>
          <w:noProof/>
          <w:lang w:val="en-IE"/>
        </w:rPr>
      </w:pPr>
      <w:r w:rsidRPr="57097F81">
        <w:rPr>
          <w:noProof/>
        </w:rPr>
        <w:t>4.</w:t>
      </w:r>
      <w:r>
        <w:rPr>
          <w:noProof/>
        </w:rPr>
        <w:tab/>
      </w:r>
      <w:r w:rsidRPr="57097F81">
        <w:rPr>
          <w:noProof/>
        </w:rPr>
        <w:t>BUDGETARY IMPLICATIONS</w:t>
      </w:r>
      <w:r w:rsidRPr="57097F81">
        <w:rPr>
          <w:noProof/>
          <w:lang w:val="en-IE"/>
        </w:rPr>
        <w:t> </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t>The</w:t>
      </w:r>
      <w:r w:rsidR="00D55B4A" w:rsidRPr="7B4F22F7">
        <w:rPr>
          <w:rFonts w:eastAsia="Times New Roman"/>
          <w:noProof/>
          <w:color w:val="000000" w:themeColor="text1"/>
        </w:rPr>
        <w:t xml:space="preserve"> </w:t>
      </w:r>
      <w:r w:rsidRPr="7B4F22F7">
        <w:rPr>
          <w:rFonts w:eastAsia="Times New Roman"/>
          <w:noProof/>
          <w:color w:val="000000" w:themeColor="text1"/>
        </w:rPr>
        <w:t>IPA will not have a financial impact on the EU’s budget.</w:t>
      </w:r>
    </w:p>
    <w:p w:rsidR="2941685E" w:rsidRDefault="2941685E" w:rsidP="003D4FB3">
      <w:pPr>
        <w:pStyle w:val="ManualHeading1"/>
        <w:rPr>
          <w:noProof/>
          <w:lang w:val="en-IE"/>
        </w:rPr>
      </w:pPr>
      <w:r w:rsidRPr="57097F81">
        <w:rPr>
          <w:noProof/>
        </w:rPr>
        <w:t>5.</w:t>
      </w:r>
      <w:r>
        <w:rPr>
          <w:noProof/>
        </w:rPr>
        <w:tab/>
      </w:r>
      <w:r w:rsidRPr="57097F81">
        <w:rPr>
          <w:noProof/>
        </w:rPr>
        <w:t>OTHER ELEMENTS</w:t>
      </w:r>
      <w:r w:rsidRPr="57097F81">
        <w:rPr>
          <w:noProof/>
          <w:lang w:val="en-IE"/>
        </w:rPr>
        <w:t> </w:t>
      </w:r>
    </w:p>
    <w:p w:rsidR="2941685E" w:rsidRDefault="2941685E" w:rsidP="003D4FB3">
      <w:pPr>
        <w:pStyle w:val="ManualHeading2"/>
        <w:rPr>
          <w:noProof/>
          <w:lang w:val="en-IE"/>
        </w:rPr>
      </w:pPr>
      <w:r w:rsidRPr="7B4F22F7">
        <w:rPr>
          <w:noProof/>
          <w:lang w:val="en-US"/>
        </w:rPr>
        <w:t>•</w:t>
      </w:r>
      <w:r>
        <w:rPr>
          <w:noProof/>
        </w:rPr>
        <w:tab/>
      </w:r>
      <w:r w:rsidRPr="7B4F22F7">
        <w:rPr>
          <w:noProof/>
          <w:lang w:val="en-US"/>
        </w:rPr>
        <w:t>Implementation plans and monitoring, evaluation and reporting arrangements</w:t>
      </w:r>
      <w:r w:rsidRPr="7B4F22F7">
        <w:rPr>
          <w:noProof/>
          <w:lang w:val="en-IE"/>
        </w:rPr>
        <w:t> </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t>The</w:t>
      </w:r>
      <w:r w:rsidR="00D55B4A" w:rsidRPr="7B4F22F7">
        <w:rPr>
          <w:rFonts w:eastAsia="Times New Roman"/>
          <w:noProof/>
          <w:color w:val="000000" w:themeColor="text1"/>
        </w:rPr>
        <w:t xml:space="preserve"> </w:t>
      </w:r>
      <w:r w:rsidRPr="7B4F22F7">
        <w:rPr>
          <w:rFonts w:eastAsia="Times New Roman"/>
          <w:noProof/>
          <w:color w:val="000000" w:themeColor="text1"/>
        </w:rPr>
        <w:t>IPA includes institutional provisions that lay down the structure for the implementing bodies to continuously monitor</w:t>
      </w:r>
      <w:r w:rsidR="00166329" w:rsidRPr="7B4F22F7">
        <w:rPr>
          <w:rFonts w:eastAsia="Times New Roman"/>
          <w:noProof/>
          <w:color w:val="000000" w:themeColor="text1"/>
        </w:rPr>
        <w:t xml:space="preserve"> </w:t>
      </w:r>
      <w:r w:rsidRPr="7B4F22F7">
        <w:rPr>
          <w:rFonts w:eastAsia="Times New Roman"/>
          <w:noProof/>
          <w:color w:val="000000" w:themeColor="text1"/>
        </w:rPr>
        <w:t>the</w:t>
      </w:r>
      <w:r w:rsidR="00166329" w:rsidRPr="7B4F22F7">
        <w:rPr>
          <w:rFonts w:eastAsia="Times New Roman"/>
          <w:noProof/>
          <w:color w:val="000000" w:themeColor="text1"/>
        </w:rPr>
        <w:t xml:space="preserve"> </w:t>
      </w:r>
      <w:r w:rsidRPr="7B4F22F7">
        <w:rPr>
          <w:rFonts w:eastAsia="Times New Roman"/>
          <w:noProof/>
          <w:color w:val="000000" w:themeColor="text1"/>
        </w:rPr>
        <w:t>implementation, operation and impact of the</w:t>
      </w:r>
      <w:r w:rsidR="00166329" w:rsidRPr="7B4F22F7">
        <w:rPr>
          <w:rFonts w:eastAsia="Times New Roman"/>
          <w:noProof/>
          <w:color w:val="000000" w:themeColor="text1"/>
        </w:rPr>
        <w:t xml:space="preserve"> </w:t>
      </w:r>
      <w:r w:rsidRPr="7B4F22F7">
        <w:rPr>
          <w:rFonts w:eastAsia="Times New Roman"/>
          <w:noProof/>
          <w:color w:val="000000" w:themeColor="text1"/>
        </w:rPr>
        <w:t>IPA.</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lastRenderedPageBreak/>
        <w:t>The institutional chapter of the</w:t>
      </w:r>
      <w:r w:rsidR="00166329" w:rsidRPr="7B4F22F7">
        <w:rPr>
          <w:rFonts w:eastAsia="Times New Roman"/>
          <w:noProof/>
          <w:color w:val="000000" w:themeColor="text1"/>
        </w:rPr>
        <w:t xml:space="preserve"> </w:t>
      </w:r>
      <w:r w:rsidRPr="7B4F22F7">
        <w:rPr>
          <w:rFonts w:eastAsia="Times New Roman"/>
          <w:noProof/>
          <w:color w:val="000000" w:themeColor="text1"/>
        </w:rPr>
        <w:t>IPA establishes a Committee that has as its main task to supervise and facilitate the implementation and application of the</w:t>
      </w:r>
      <w:r w:rsidR="00166329" w:rsidRPr="7B4F22F7">
        <w:rPr>
          <w:rFonts w:eastAsia="Times New Roman"/>
          <w:noProof/>
          <w:color w:val="000000" w:themeColor="text1"/>
        </w:rPr>
        <w:t xml:space="preserve"> </w:t>
      </w:r>
      <w:r w:rsidRPr="7B4F22F7">
        <w:rPr>
          <w:rFonts w:eastAsia="Times New Roman"/>
          <w:noProof/>
          <w:color w:val="000000" w:themeColor="text1"/>
        </w:rPr>
        <w:t xml:space="preserve">IPA. </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t xml:space="preserve">The Committee will exchange views on topics linked to the implementation of the agreement with civil society representatives participating in a </w:t>
      </w:r>
      <w:r w:rsidR="00166329" w:rsidRPr="7B4F22F7">
        <w:rPr>
          <w:rFonts w:eastAsia="Times New Roman"/>
          <w:noProof/>
          <w:color w:val="000000" w:themeColor="text1"/>
        </w:rPr>
        <w:t>c</w:t>
      </w:r>
      <w:r w:rsidRPr="7B4F22F7">
        <w:rPr>
          <w:rFonts w:eastAsia="Times New Roman"/>
          <w:noProof/>
          <w:color w:val="000000" w:themeColor="text1"/>
        </w:rPr>
        <w:t xml:space="preserve">ivil </w:t>
      </w:r>
      <w:r w:rsidR="00166329" w:rsidRPr="7B4F22F7">
        <w:rPr>
          <w:rFonts w:eastAsia="Times New Roman"/>
          <w:noProof/>
          <w:color w:val="000000" w:themeColor="text1"/>
        </w:rPr>
        <w:t>s</w:t>
      </w:r>
      <w:r w:rsidRPr="7B4F22F7">
        <w:rPr>
          <w:rFonts w:eastAsia="Times New Roman"/>
          <w:noProof/>
          <w:color w:val="000000" w:themeColor="text1"/>
        </w:rPr>
        <w:t xml:space="preserve">ociety </w:t>
      </w:r>
      <w:r w:rsidR="00166329" w:rsidRPr="7B4F22F7">
        <w:rPr>
          <w:rFonts w:eastAsia="Times New Roman"/>
          <w:noProof/>
          <w:color w:val="000000" w:themeColor="text1"/>
        </w:rPr>
        <w:t>d</w:t>
      </w:r>
      <w:r w:rsidRPr="7B4F22F7">
        <w:rPr>
          <w:rFonts w:eastAsia="Times New Roman"/>
          <w:noProof/>
          <w:color w:val="000000" w:themeColor="text1"/>
        </w:rPr>
        <w:t>ialogue.</w:t>
      </w:r>
    </w:p>
    <w:p w:rsidR="2941685E" w:rsidRDefault="2941685E" w:rsidP="7B4F22F7">
      <w:pPr>
        <w:pBdr>
          <w:top w:val="nil"/>
          <w:left w:val="nil"/>
          <w:bottom w:val="nil"/>
          <w:right w:val="nil"/>
          <w:between w:val="nil"/>
        </w:pBdr>
        <w:spacing w:before="0" w:after="240"/>
        <w:rPr>
          <w:rFonts w:eastAsia="Times New Roman"/>
          <w:noProof/>
          <w:color w:val="000000" w:themeColor="text1"/>
          <w:lang w:val="en-IE"/>
        </w:rPr>
      </w:pPr>
      <w:r w:rsidRPr="7B4F22F7">
        <w:rPr>
          <w:rFonts w:eastAsia="Times New Roman"/>
          <w:noProof/>
          <w:color w:val="000000" w:themeColor="text1"/>
        </w:rPr>
        <w:t>The</w:t>
      </w:r>
      <w:r w:rsidR="00A137D6" w:rsidRPr="7B4F22F7">
        <w:rPr>
          <w:rFonts w:eastAsia="Times New Roman"/>
          <w:noProof/>
          <w:color w:val="000000" w:themeColor="text1"/>
        </w:rPr>
        <w:t xml:space="preserve"> IPA</w:t>
      </w:r>
      <w:r w:rsidRPr="7B4F22F7">
        <w:rPr>
          <w:rFonts w:eastAsia="Times New Roman"/>
          <w:noProof/>
          <w:color w:val="000000" w:themeColor="text1"/>
        </w:rPr>
        <w:t xml:space="preserve"> also</w:t>
      </w:r>
      <w:r w:rsidR="00A137D6" w:rsidRPr="7B4F22F7">
        <w:rPr>
          <w:rFonts w:eastAsia="Times New Roman"/>
          <w:noProof/>
          <w:color w:val="000000" w:themeColor="text1"/>
        </w:rPr>
        <w:t xml:space="preserve"> </w:t>
      </w:r>
      <w:r w:rsidRPr="7B4F22F7">
        <w:rPr>
          <w:rFonts w:eastAsia="Times New Roman"/>
          <w:noProof/>
          <w:color w:val="000000" w:themeColor="text1"/>
        </w:rPr>
        <w:t xml:space="preserve">establishes </w:t>
      </w:r>
      <w:r w:rsidR="00A137D6" w:rsidRPr="7B4F22F7">
        <w:rPr>
          <w:rFonts w:eastAsia="Times New Roman"/>
          <w:noProof/>
          <w:color w:val="000000" w:themeColor="text1"/>
        </w:rPr>
        <w:t>d</w:t>
      </w:r>
      <w:r w:rsidRPr="7B4F22F7">
        <w:rPr>
          <w:rFonts w:eastAsia="Times New Roman"/>
          <w:noProof/>
          <w:color w:val="000000" w:themeColor="text1"/>
        </w:rPr>
        <w:t xml:space="preserve">omestic </w:t>
      </w:r>
      <w:r w:rsidR="00A137D6" w:rsidRPr="7B4F22F7">
        <w:rPr>
          <w:rFonts w:eastAsia="Times New Roman"/>
          <w:noProof/>
          <w:color w:val="000000" w:themeColor="text1"/>
        </w:rPr>
        <w:t>a</w:t>
      </w:r>
      <w:r w:rsidRPr="7B4F22F7">
        <w:rPr>
          <w:rFonts w:eastAsia="Times New Roman"/>
          <w:noProof/>
          <w:color w:val="000000" w:themeColor="text1"/>
        </w:rPr>
        <w:t xml:space="preserve">dvisory </w:t>
      </w:r>
      <w:r w:rsidR="00A137D6" w:rsidRPr="7B4F22F7">
        <w:rPr>
          <w:rFonts w:eastAsia="Times New Roman"/>
          <w:noProof/>
          <w:color w:val="000000" w:themeColor="text1"/>
        </w:rPr>
        <w:t>g</w:t>
      </w:r>
      <w:r w:rsidRPr="7B4F22F7">
        <w:rPr>
          <w:rFonts w:eastAsia="Times New Roman"/>
          <w:noProof/>
          <w:color w:val="000000" w:themeColor="text1"/>
        </w:rPr>
        <w:t xml:space="preserve">roups comprising a balanced representation of independent civil society organisations, based on a multi-stakeholder approach which includes relevant interest groups in economic, social and environmental matters. The </w:t>
      </w:r>
      <w:r w:rsidR="00134204" w:rsidRPr="7B4F22F7">
        <w:rPr>
          <w:rFonts w:eastAsia="Times New Roman"/>
          <w:noProof/>
          <w:color w:val="000000" w:themeColor="text1"/>
        </w:rPr>
        <w:t>d</w:t>
      </w:r>
      <w:r w:rsidRPr="7B4F22F7">
        <w:rPr>
          <w:rFonts w:eastAsia="Times New Roman"/>
          <w:noProof/>
          <w:color w:val="000000" w:themeColor="text1"/>
        </w:rPr>
        <w:t xml:space="preserve">omestic </w:t>
      </w:r>
      <w:r w:rsidR="00134204" w:rsidRPr="7B4F22F7">
        <w:rPr>
          <w:rFonts w:eastAsia="Times New Roman"/>
          <w:noProof/>
          <w:color w:val="000000" w:themeColor="text1"/>
        </w:rPr>
        <w:t>a</w:t>
      </w:r>
      <w:r w:rsidRPr="7B4F22F7">
        <w:rPr>
          <w:rFonts w:eastAsia="Times New Roman"/>
          <w:noProof/>
          <w:color w:val="000000" w:themeColor="text1"/>
        </w:rPr>
        <w:t xml:space="preserve">dvisory </w:t>
      </w:r>
      <w:r w:rsidR="00134204" w:rsidRPr="7B4F22F7">
        <w:rPr>
          <w:rFonts w:eastAsia="Times New Roman"/>
          <w:noProof/>
          <w:color w:val="000000" w:themeColor="text1"/>
        </w:rPr>
        <w:t>g</w:t>
      </w:r>
      <w:r w:rsidRPr="7B4F22F7">
        <w:rPr>
          <w:rFonts w:eastAsia="Times New Roman"/>
          <w:noProof/>
          <w:color w:val="000000" w:themeColor="text1"/>
        </w:rPr>
        <w:t>roups may submit views and recommendations concerning the functioning and implementation of the</w:t>
      </w:r>
      <w:r w:rsidR="00134204" w:rsidRPr="7B4F22F7">
        <w:rPr>
          <w:rFonts w:eastAsia="Times New Roman"/>
          <w:noProof/>
          <w:color w:val="000000" w:themeColor="text1"/>
        </w:rPr>
        <w:t xml:space="preserve"> </w:t>
      </w:r>
      <w:r w:rsidRPr="7B4F22F7">
        <w:rPr>
          <w:rFonts w:eastAsia="Times New Roman"/>
          <w:noProof/>
          <w:color w:val="000000" w:themeColor="text1"/>
        </w:rPr>
        <w:t>IPA and shall meet</w:t>
      </w:r>
      <w:r w:rsidR="00134204" w:rsidRPr="7B4F22F7">
        <w:rPr>
          <w:rFonts w:eastAsia="Times New Roman"/>
          <w:noProof/>
          <w:color w:val="000000" w:themeColor="text1"/>
        </w:rPr>
        <w:t xml:space="preserve"> </w:t>
      </w:r>
      <w:r w:rsidRPr="7B4F22F7">
        <w:rPr>
          <w:rFonts w:eastAsia="Times New Roman"/>
          <w:noProof/>
          <w:color w:val="000000" w:themeColor="text1"/>
        </w:rPr>
        <w:t>at least</w:t>
      </w:r>
      <w:r w:rsidR="00134204" w:rsidRPr="7B4F22F7">
        <w:rPr>
          <w:rFonts w:eastAsia="Times New Roman"/>
          <w:noProof/>
          <w:color w:val="000000" w:themeColor="text1"/>
        </w:rPr>
        <w:t xml:space="preserve"> </w:t>
      </w:r>
      <w:r w:rsidRPr="7B4F22F7">
        <w:rPr>
          <w:rFonts w:eastAsia="Times New Roman"/>
          <w:noProof/>
          <w:color w:val="000000" w:themeColor="text1"/>
        </w:rPr>
        <w:t>once a year.</w:t>
      </w:r>
      <w:r w:rsidRPr="7B4F22F7">
        <w:rPr>
          <w:rFonts w:eastAsia="Times New Roman"/>
          <w:noProof/>
          <w:color w:val="000000" w:themeColor="text1"/>
          <w:lang w:val="en-IE"/>
        </w:rPr>
        <w:t> </w:t>
      </w:r>
    </w:p>
    <w:p w:rsidR="2941685E" w:rsidRDefault="2941685E" w:rsidP="003D4FB3">
      <w:pPr>
        <w:pStyle w:val="ManualHeading2"/>
        <w:rPr>
          <w:noProof/>
          <w:lang w:val="en-IE"/>
        </w:rPr>
      </w:pPr>
      <w:r w:rsidRPr="57097F81">
        <w:rPr>
          <w:noProof/>
          <w:lang w:val="en-US"/>
        </w:rPr>
        <w:t>•</w:t>
      </w:r>
      <w:r>
        <w:rPr>
          <w:noProof/>
        </w:rPr>
        <w:tab/>
      </w:r>
      <w:r w:rsidRPr="57097F81">
        <w:rPr>
          <w:noProof/>
          <w:lang w:val="en-US"/>
        </w:rPr>
        <w:t>Explanatory documents (for directives)</w:t>
      </w:r>
      <w:r w:rsidRPr="57097F81">
        <w:rPr>
          <w:noProof/>
          <w:lang w:val="en-IE"/>
        </w:rPr>
        <w:t> </w:t>
      </w:r>
    </w:p>
    <w:p w:rsidR="2941685E" w:rsidRDefault="2941685E" w:rsidP="57097F81">
      <w:pPr>
        <w:pBdr>
          <w:top w:val="nil"/>
          <w:left w:val="nil"/>
          <w:bottom w:val="nil"/>
          <w:right w:val="nil"/>
          <w:between w:val="nil"/>
        </w:pBdr>
        <w:spacing w:before="0" w:after="240"/>
        <w:rPr>
          <w:rFonts w:eastAsia="Times New Roman"/>
          <w:noProof/>
          <w:color w:val="000000" w:themeColor="text1"/>
          <w:szCs w:val="24"/>
          <w:lang w:val="en-IE"/>
        </w:rPr>
      </w:pPr>
      <w:r w:rsidRPr="57097F81">
        <w:rPr>
          <w:rFonts w:eastAsia="Times New Roman"/>
          <w:noProof/>
          <w:color w:val="000000" w:themeColor="text1"/>
          <w:szCs w:val="24"/>
        </w:rPr>
        <w:t>Not applicable.</w:t>
      </w:r>
      <w:r w:rsidRPr="57097F81">
        <w:rPr>
          <w:rFonts w:eastAsia="Times New Roman"/>
          <w:noProof/>
          <w:color w:val="000000" w:themeColor="text1"/>
          <w:szCs w:val="24"/>
          <w:lang w:val="en-IE"/>
        </w:rPr>
        <w:t> </w:t>
      </w:r>
    </w:p>
    <w:p w:rsidR="2941685E" w:rsidRDefault="2941685E" w:rsidP="003D4FB3">
      <w:pPr>
        <w:pStyle w:val="ManualHeading2"/>
        <w:rPr>
          <w:noProof/>
          <w:lang w:val="en-IE"/>
        </w:rPr>
      </w:pPr>
      <w:r w:rsidRPr="57097F81">
        <w:rPr>
          <w:noProof/>
          <w:lang w:val="en-US"/>
        </w:rPr>
        <w:t>•</w:t>
      </w:r>
      <w:r>
        <w:rPr>
          <w:noProof/>
        </w:rPr>
        <w:tab/>
      </w:r>
      <w:r w:rsidRPr="57097F81">
        <w:rPr>
          <w:noProof/>
          <w:lang w:val="en-US"/>
        </w:rPr>
        <w:t>Detailed explanation of the specific provisions of the proposal</w:t>
      </w:r>
      <w:r w:rsidRPr="57097F81">
        <w:rPr>
          <w:noProof/>
          <w:lang w:val="en-IE"/>
        </w:rPr>
        <w:t> </w:t>
      </w:r>
    </w:p>
    <w:p w:rsidR="2941685E" w:rsidRDefault="2941685E" w:rsidP="003D4FB3">
      <w:pPr>
        <w:rPr>
          <w:noProof/>
          <w:lang w:val="en-IE"/>
        </w:rPr>
      </w:pPr>
      <w:r w:rsidRPr="7B4F22F7">
        <w:rPr>
          <w:noProof/>
          <w:lang w:val="en-IE"/>
        </w:rPr>
        <w:t xml:space="preserve">The provisions of the IPA establish the legal framework for the protection of investors and their investments within the respective territories of the EU and Indonesia. The </w:t>
      </w:r>
      <w:r w:rsidR="001F3DAB" w:rsidRPr="7B4F22F7">
        <w:rPr>
          <w:noProof/>
          <w:lang w:val="en-IE"/>
        </w:rPr>
        <w:t xml:space="preserve">IPA </w:t>
      </w:r>
      <w:r w:rsidRPr="7B4F22F7">
        <w:rPr>
          <w:noProof/>
          <w:lang w:val="en-IE"/>
        </w:rPr>
        <w:t>ensures an appropriate balance between the protection of investors and their investments, on the one hand, and governments’ right to regulate in the public interest, on the other.</w:t>
      </w:r>
    </w:p>
    <w:p w:rsidR="2941685E" w:rsidRDefault="2941685E" w:rsidP="003D4FB3">
      <w:pPr>
        <w:rPr>
          <w:noProof/>
          <w:szCs w:val="24"/>
          <w:lang w:val="en-IE"/>
        </w:rPr>
      </w:pPr>
      <w:r w:rsidRPr="57097F81">
        <w:rPr>
          <w:noProof/>
          <w:szCs w:val="24"/>
          <w:lang w:val="en-IE"/>
        </w:rPr>
        <w:t>The substantive obligations contained in the investment protection section closely reflect the EU’s reformed approach, as incorporated in all EU agreements concluded to date. In particular, the relevant provisions reaffirm the Parties’ right to regulate and confirm that the regulatory framework applicable to investments may evolve, including in ways that may adversely affect specific investments.</w:t>
      </w:r>
    </w:p>
    <w:p w:rsidR="2941685E" w:rsidRDefault="2941685E" w:rsidP="003D4FB3">
      <w:pPr>
        <w:rPr>
          <w:noProof/>
          <w:lang w:val="en-IE"/>
        </w:rPr>
      </w:pPr>
      <w:r w:rsidRPr="7B4F22F7">
        <w:rPr>
          <w:noProof/>
          <w:lang w:val="en-IE"/>
        </w:rPr>
        <w:t xml:space="preserve">The investment protection provisions are based on clear and precise standards that provide fundamental guarantees to foreign investors when deciding whether to invest in the EU or Indonesia, respectively. In addition to non-discrimination obligations, these guarantees include protection against expropriation without compensation, commitments relating to fair and equitable treatment and physical security, compensation for losses owing to war or other armed conflict, as well as the free transfer of funds. Importantly, the provisions define with precision the circumstances under which a </w:t>
      </w:r>
      <w:r w:rsidR="00FF4F79" w:rsidRPr="7B4F22F7">
        <w:rPr>
          <w:noProof/>
          <w:lang w:val="en-IE"/>
        </w:rPr>
        <w:t xml:space="preserve">Party </w:t>
      </w:r>
      <w:r w:rsidRPr="7B4F22F7">
        <w:rPr>
          <w:noProof/>
          <w:lang w:val="en-IE"/>
        </w:rPr>
        <w:t>may be found to have breached the fair and equitable treatment standard, thereby significantly limiting the scope for discretionary interpretation in the event of disputes.</w:t>
      </w:r>
    </w:p>
    <w:p w:rsidR="2941685E" w:rsidRDefault="2941685E" w:rsidP="003D4FB3">
      <w:pPr>
        <w:rPr>
          <w:noProof/>
          <w:lang w:val="en-IE"/>
        </w:rPr>
      </w:pPr>
      <w:r w:rsidRPr="7B4F22F7">
        <w:rPr>
          <w:noProof/>
          <w:lang w:val="en-IE"/>
        </w:rPr>
        <w:t>These protection standards are further subject to specific exceptions designed to preserve additional policy space where necessary, including through prudential carve-outs, security exceptions</w:t>
      </w:r>
      <w:r w:rsidR="00C202C3" w:rsidRPr="7B4F22F7">
        <w:rPr>
          <w:noProof/>
          <w:lang w:val="en-IE"/>
        </w:rPr>
        <w:t xml:space="preserve"> </w:t>
      </w:r>
      <w:r w:rsidRPr="7B4F22F7">
        <w:rPr>
          <w:noProof/>
          <w:lang w:val="en-IE"/>
        </w:rPr>
        <w:t>and general exceptions.</w:t>
      </w:r>
    </w:p>
    <w:p w:rsidR="2941685E" w:rsidRDefault="2941685E" w:rsidP="003D4FB3">
      <w:pPr>
        <w:rPr>
          <w:noProof/>
          <w:lang w:val="en-IE"/>
        </w:rPr>
      </w:pPr>
      <w:r w:rsidRPr="7B4F22F7">
        <w:rPr>
          <w:noProof/>
          <w:lang w:val="en-IE"/>
        </w:rPr>
        <w:t xml:space="preserve">The </w:t>
      </w:r>
      <w:r w:rsidR="00C202C3" w:rsidRPr="7B4F22F7">
        <w:rPr>
          <w:noProof/>
          <w:lang w:val="en-IE"/>
        </w:rPr>
        <w:t xml:space="preserve">IPA </w:t>
      </w:r>
      <w:r w:rsidRPr="7B4F22F7">
        <w:rPr>
          <w:noProof/>
          <w:lang w:val="en-IE"/>
        </w:rPr>
        <w:t xml:space="preserve">is further supported by a solid dispute settlement mechanism that consists of a) investor-state mediation and b) state-state dispute settlement (SSDS). The SSDS mechanism ensures that the rights and obligations provided for in the </w:t>
      </w:r>
      <w:r w:rsidR="00B4564A" w:rsidRPr="7B4F22F7">
        <w:rPr>
          <w:noProof/>
          <w:lang w:val="en-IE"/>
        </w:rPr>
        <w:t xml:space="preserve">IPA </w:t>
      </w:r>
      <w:r w:rsidRPr="7B4F22F7">
        <w:rPr>
          <w:noProof/>
          <w:lang w:val="en-IE"/>
        </w:rPr>
        <w:t>are enforceable. The EU and Indonesia also undertake to restart negotiations on the settlement of investment disputes between a Party and an investor of the other Party as well as on an interpretative guidance on taxation measures and expropriation no later than the date of entry into force of the IPA. In doing so, the two sides agree to take into account the progress on reform of investment dispute settlement in relevant international fora.</w:t>
      </w:r>
    </w:p>
    <w:p w:rsidR="57097F81" w:rsidRDefault="57097F81" w:rsidP="57097F81">
      <w:pPr>
        <w:pBdr>
          <w:top w:val="nil"/>
          <w:left w:val="nil"/>
          <w:bottom w:val="nil"/>
          <w:right w:val="nil"/>
          <w:between w:val="nil"/>
          <w:bar w:val="nil"/>
        </w:pBdr>
        <w:spacing w:before="0" w:after="240"/>
        <w:rPr>
          <w:rFonts w:eastAsia="Arial Unicode MS"/>
          <w:noProof/>
          <w:lang w:val="en-IE"/>
        </w:rPr>
        <w:sectPr w:rsidR="57097F81" w:rsidSect="0050314E">
          <w:headerReference w:type="even" r:id="rId16"/>
          <w:footerReference w:type="even" r:id="rId17"/>
          <w:footerReference w:type="default" r:id="rId18"/>
          <w:headerReference w:type="first" r:id="rId19"/>
          <w:footerReference w:type="first" r:id="rId20"/>
          <w:pgSz w:w="11907" w:h="16839"/>
          <w:pgMar w:top="1134" w:right="1417" w:bottom="1134" w:left="1417" w:header="709" w:footer="709" w:gutter="0"/>
          <w:cols w:space="708"/>
          <w:docGrid w:linePitch="360"/>
        </w:sectPr>
      </w:pPr>
    </w:p>
    <w:p w:rsidR="006F6FF2" w:rsidRDefault="00AE5D87">
      <w:pPr>
        <w:pStyle w:val="Rfrenceinterinstitutionnelle"/>
        <w:rPr>
          <w:noProof/>
        </w:rPr>
      </w:pPr>
      <w:r>
        <w:rPr>
          <w:noProof/>
        </w:rPr>
        <w:lastRenderedPageBreak/>
        <w:t>2026/0185 (NLE)</w:t>
      </w:r>
    </w:p>
    <w:p w:rsidR="00896269" w:rsidRPr="00FD40BA" w:rsidRDefault="00E2115F" w:rsidP="00E2115F">
      <w:pPr>
        <w:pStyle w:val="Statut"/>
        <w:rPr>
          <w:noProof/>
        </w:rPr>
      </w:pPr>
      <w:r w:rsidRPr="00E2115F">
        <w:rPr>
          <w:noProof/>
        </w:rPr>
        <w:t>Proposal for a</w:t>
      </w:r>
    </w:p>
    <w:p w:rsidR="00896269" w:rsidRPr="00FD40BA" w:rsidRDefault="00E2115F" w:rsidP="00E2115F">
      <w:pPr>
        <w:pStyle w:val="Typedudocument"/>
        <w:rPr>
          <w:noProof/>
        </w:rPr>
      </w:pPr>
      <w:r w:rsidRPr="00E2115F">
        <w:rPr>
          <w:noProof/>
        </w:rPr>
        <w:t>COUNCIL DECISION</w:t>
      </w:r>
    </w:p>
    <w:p w:rsidR="00896269" w:rsidRPr="00FD40BA" w:rsidRDefault="00E2115F" w:rsidP="00E2115F">
      <w:pPr>
        <w:pStyle w:val="Titreobjet"/>
        <w:rPr>
          <w:noProof/>
        </w:rPr>
      </w:pPr>
      <w:r w:rsidRPr="00E2115F">
        <w:rPr>
          <w:noProof/>
        </w:rPr>
        <w:t>on the conclusion of the Investment Protection Agreement between the European Union and Indonesia</w:t>
      </w:r>
    </w:p>
    <w:p w:rsidR="00896269" w:rsidRPr="00FD40BA" w:rsidRDefault="00896269" w:rsidP="00500EA2">
      <w:pPr>
        <w:pStyle w:val="Institutionquiagit"/>
        <w:rPr>
          <w:noProof/>
        </w:rPr>
      </w:pPr>
      <w:r w:rsidRPr="00FD40BA">
        <w:rPr>
          <w:noProof/>
        </w:rPr>
        <w:t xml:space="preserve">THE COUNCIL OF THE EUROPEAN </w:t>
      </w:r>
      <w:smartTag w:uri="urn:schemas-microsoft-com:office:smarttags" w:element="place">
        <w:r w:rsidRPr="00FD40BA">
          <w:rPr>
            <w:noProof/>
          </w:rPr>
          <w:t>UNION</w:t>
        </w:r>
      </w:smartTag>
      <w:r w:rsidRPr="00FD40BA">
        <w:rPr>
          <w:noProof/>
        </w:rPr>
        <w:t>,</w:t>
      </w:r>
    </w:p>
    <w:p w:rsidR="00896269" w:rsidRPr="00FD40BA" w:rsidRDefault="00896269" w:rsidP="00500EA2">
      <w:pPr>
        <w:rPr>
          <w:noProof/>
        </w:rPr>
      </w:pPr>
      <w:r>
        <w:rPr>
          <w:noProof/>
        </w:rPr>
        <w:t xml:space="preserve">Having regard to the Treaty on the Functioning of the European Union, and in particular </w:t>
      </w:r>
      <w:r w:rsidR="00090EA5">
        <w:rPr>
          <w:noProof/>
        </w:rPr>
        <w:t>Article 207, in conjunction with Article 218(</w:t>
      </w:r>
      <w:r w:rsidR="000846A2">
        <w:rPr>
          <w:noProof/>
        </w:rPr>
        <w:t>6</w:t>
      </w:r>
      <w:r w:rsidR="003B3073">
        <w:rPr>
          <w:noProof/>
        </w:rPr>
        <w:t>)</w:t>
      </w:r>
      <w:r w:rsidR="00D91927">
        <w:rPr>
          <w:noProof/>
        </w:rPr>
        <w:t>,</w:t>
      </w:r>
      <w:r w:rsidR="00D20040">
        <w:rPr>
          <w:noProof/>
        </w:rPr>
        <w:t xml:space="preserve"> second subparagraph, point </w:t>
      </w:r>
      <w:r w:rsidR="000846A2">
        <w:rPr>
          <w:noProof/>
        </w:rPr>
        <w:t>(a)</w:t>
      </w:r>
      <w:r>
        <w:rPr>
          <w:noProof/>
        </w:rPr>
        <w:t xml:space="preserve"> thereof,</w:t>
      </w:r>
    </w:p>
    <w:p w:rsidR="00896269" w:rsidRDefault="00896269" w:rsidP="00500EA2">
      <w:pPr>
        <w:rPr>
          <w:noProof/>
        </w:rPr>
      </w:pPr>
      <w:r w:rsidRPr="00FD40BA">
        <w:rPr>
          <w:noProof/>
        </w:rPr>
        <w:t>Having regard to the proposal from the European Commission,</w:t>
      </w:r>
    </w:p>
    <w:p w:rsidR="000846A2" w:rsidRPr="00FD40BA" w:rsidRDefault="000846A2" w:rsidP="00500EA2">
      <w:pPr>
        <w:rPr>
          <w:noProof/>
        </w:rPr>
      </w:pPr>
      <w:r>
        <w:rPr>
          <w:noProof/>
        </w:rPr>
        <w:t xml:space="preserve">Having </w:t>
      </w:r>
      <w:r w:rsidR="009849DA">
        <w:rPr>
          <w:noProof/>
        </w:rPr>
        <w:t>r</w:t>
      </w:r>
      <w:r>
        <w:rPr>
          <w:noProof/>
        </w:rPr>
        <w:t>egard to the consent of the European Parliament</w:t>
      </w:r>
      <w:r>
        <w:rPr>
          <w:rStyle w:val="FootnoteReference"/>
          <w:noProof/>
        </w:rPr>
        <w:footnoteReference w:id="1"/>
      </w:r>
      <w:r>
        <w:rPr>
          <w:noProof/>
        </w:rPr>
        <w:t>,</w:t>
      </w:r>
    </w:p>
    <w:p w:rsidR="00896269" w:rsidRPr="00FD40BA" w:rsidRDefault="00896269" w:rsidP="00500EA2">
      <w:pPr>
        <w:rPr>
          <w:noProof/>
        </w:rPr>
      </w:pPr>
      <w:r w:rsidRPr="00FD40BA">
        <w:rPr>
          <w:noProof/>
        </w:rPr>
        <w:t>Whereas:</w:t>
      </w:r>
    </w:p>
    <w:p w:rsidR="00896269" w:rsidRPr="00013581" w:rsidRDefault="02BA9B1B" w:rsidP="00861F65">
      <w:pPr>
        <w:pStyle w:val="ManualConsidrant"/>
        <w:rPr>
          <w:noProof/>
        </w:rPr>
      </w:pPr>
      <w:r>
        <w:rPr>
          <w:noProof/>
        </w:rPr>
        <w:t>(1)</w:t>
      </w:r>
      <w:r>
        <w:rPr>
          <w:noProof/>
        </w:rPr>
        <w:tab/>
      </w:r>
      <w:r w:rsidRPr="00013581">
        <w:rPr>
          <w:noProof/>
        </w:rPr>
        <w:t>In accordance with Council Decision No [XX]</w:t>
      </w:r>
      <w:r w:rsidR="009849DA" w:rsidRPr="009851AA">
        <w:rPr>
          <w:rStyle w:val="FootnoteReference"/>
          <w:noProof/>
        </w:rPr>
        <w:footnoteReference w:id="2"/>
      </w:r>
      <w:r w:rsidR="4E290DC4" w:rsidRPr="009851AA">
        <w:rPr>
          <w:noProof/>
        </w:rPr>
        <w:t xml:space="preserve">, the </w:t>
      </w:r>
      <w:r w:rsidR="003B3073" w:rsidRPr="00E56C75">
        <w:rPr>
          <w:noProof/>
        </w:rPr>
        <w:t>Investment Protection</w:t>
      </w:r>
      <w:r w:rsidR="360CFF51" w:rsidRPr="00E56C75">
        <w:rPr>
          <w:noProof/>
        </w:rPr>
        <w:t xml:space="preserve"> Agreement</w:t>
      </w:r>
      <w:r w:rsidR="4E290DC4" w:rsidRPr="00E56C75">
        <w:rPr>
          <w:noProof/>
        </w:rPr>
        <w:t xml:space="preserve"> between the European Union and Indonesia</w:t>
      </w:r>
      <w:r w:rsidR="360CFF51" w:rsidRPr="00E56C75">
        <w:rPr>
          <w:noProof/>
        </w:rPr>
        <w:t xml:space="preserve"> </w:t>
      </w:r>
      <w:r w:rsidR="00AE1FBC" w:rsidRPr="00E56C75">
        <w:rPr>
          <w:noProof/>
        </w:rPr>
        <w:t>(‘the Agreement’)</w:t>
      </w:r>
      <w:r w:rsidR="00AE1FBC" w:rsidRPr="00E56C75">
        <w:rPr>
          <w:noProof/>
          <w:color w:val="000000" w:themeColor="text1"/>
        </w:rPr>
        <w:t xml:space="preserve"> </w:t>
      </w:r>
      <w:r w:rsidR="4E290DC4" w:rsidRPr="00E56C75">
        <w:rPr>
          <w:noProof/>
        </w:rPr>
        <w:t>was signed</w:t>
      </w:r>
      <w:r w:rsidR="5E93FCA3" w:rsidRPr="00E56C75">
        <w:rPr>
          <w:noProof/>
        </w:rPr>
        <w:t xml:space="preserve"> on </w:t>
      </w:r>
      <w:r w:rsidR="5E93FCA3" w:rsidRPr="002306BC">
        <w:rPr>
          <w:noProof/>
        </w:rPr>
        <w:t>[XX XX 2026],</w:t>
      </w:r>
      <w:r w:rsidR="5E93FCA3" w:rsidRPr="00E56C75">
        <w:rPr>
          <w:noProof/>
        </w:rPr>
        <w:t xml:space="preserve"> subject to its conclusion at a later date</w:t>
      </w:r>
      <w:r w:rsidR="00AE1FBC" w:rsidRPr="00E56C75">
        <w:rPr>
          <w:noProof/>
        </w:rPr>
        <w:t>.</w:t>
      </w:r>
      <w:r w:rsidR="360CFF51" w:rsidRPr="00013581">
        <w:rPr>
          <w:noProof/>
        </w:rPr>
        <w:t xml:space="preserve"> </w:t>
      </w:r>
    </w:p>
    <w:p w:rsidR="008443A8" w:rsidRPr="00013581" w:rsidRDefault="008443A8" w:rsidP="008443A8">
      <w:pPr>
        <w:pStyle w:val="ManualConsidrant"/>
        <w:rPr>
          <w:noProof/>
        </w:rPr>
      </w:pPr>
      <w:r>
        <w:rPr>
          <w:noProof/>
        </w:rPr>
        <w:t>(2)</w:t>
      </w:r>
      <w:r>
        <w:rPr>
          <w:noProof/>
        </w:rPr>
        <w:tab/>
      </w:r>
      <w:r w:rsidRPr="7B4F22F7">
        <w:rPr>
          <w:noProof/>
          <w:color w:val="000000" w:themeColor="text1"/>
        </w:rPr>
        <w:t>The Agreement should ensure the furtherance of the Union’s common commercial policy by putting in place an investment protection agreement with Indonesia.</w:t>
      </w:r>
    </w:p>
    <w:p w:rsidR="00090EA5" w:rsidRPr="00013581" w:rsidRDefault="5E93FCA3" w:rsidP="00090EA5">
      <w:pPr>
        <w:pStyle w:val="ManualConsidrant"/>
        <w:rPr>
          <w:noProof/>
        </w:rPr>
      </w:pPr>
      <w:r>
        <w:rPr>
          <w:noProof/>
        </w:rPr>
        <w:t>(3)</w:t>
      </w:r>
      <w:r>
        <w:rPr>
          <w:noProof/>
        </w:rPr>
        <w:tab/>
      </w:r>
      <w:r w:rsidRPr="00013581">
        <w:rPr>
          <w:noProof/>
        </w:rPr>
        <w:t>The Agreement should be approved.</w:t>
      </w:r>
    </w:p>
    <w:p w:rsidR="00894A2E" w:rsidRDefault="00894A2E" w:rsidP="57097F81">
      <w:pPr>
        <w:pStyle w:val="ManualConsidrant"/>
        <w:rPr>
          <w:rStyle w:val="eop"/>
          <w:noProof/>
          <w:color w:val="000000" w:themeColor="text1"/>
        </w:rPr>
      </w:pPr>
      <w:r>
        <w:rPr>
          <w:noProof/>
        </w:rPr>
        <w:t>(4)</w:t>
      </w:r>
      <w:r>
        <w:rPr>
          <w:noProof/>
        </w:rPr>
        <w:tab/>
      </w:r>
      <w:r w:rsidRPr="7B4F22F7">
        <w:rPr>
          <w:rStyle w:val="normaltextrun"/>
          <w:noProof/>
          <w:color w:val="000000" w:themeColor="text1"/>
        </w:rPr>
        <w:t>The Agreement,</w:t>
      </w:r>
      <w:r w:rsidR="00011387" w:rsidRPr="7B4F22F7">
        <w:rPr>
          <w:rStyle w:val="normaltextrun"/>
          <w:noProof/>
          <w:color w:val="000000" w:themeColor="text1"/>
        </w:rPr>
        <w:t xml:space="preserve"> </w:t>
      </w:r>
      <w:r w:rsidRPr="7B4F22F7">
        <w:rPr>
          <w:rStyle w:val="normaltextrun"/>
          <w:noProof/>
          <w:color w:val="000000" w:themeColor="text1"/>
        </w:rPr>
        <w:t>in accordance with</w:t>
      </w:r>
      <w:r w:rsidR="00011387" w:rsidRPr="7B4F22F7">
        <w:rPr>
          <w:rStyle w:val="normaltextrun"/>
          <w:noProof/>
          <w:color w:val="000000" w:themeColor="text1"/>
        </w:rPr>
        <w:t xml:space="preserve"> </w:t>
      </w:r>
      <w:r w:rsidRPr="7B4F22F7">
        <w:rPr>
          <w:rStyle w:val="normaltextrun"/>
          <w:noProof/>
          <w:color w:val="000000" w:themeColor="text1"/>
        </w:rPr>
        <w:t>Article</w:t>
      </w:r>
      <w:r w:rsidR="00952894" w:rsidRPr="7B4F22F7">
        <w:rPr>
          <w:rStyle w:val="normaltextrun"/>
          <w:noProof/>
          <w:color w:val="000000" w:themeColor="text1"/>
        </w:rPr>
        <w:t xml:space="preserve"> </w:t>
      </w:r>
      <w:r w:rsidR="005D7E02" w:rsidRPr="7B4F22F7">
        <w:rPr>
          <w:rStyle w:val="normaltextrun"/>
          <w:noProof/>
          <w:color w:val="000000" w:themeColor="text1"/>
        </w:rPr>
        <w:t xml:space="preserve">6.12 </w:t>
      </w:r>
      <w:r w:rsidRPr="7B4F22F7">
        <w:rPr>
          <w:rStyle w:val="normaltextrun"/>
          <w:noProof/>
          <w:color w:val="000000" w:themeColor="text1"/>
        </w:rPr>
        <w:t>thereof, does not, within the Union, confer rights or impose obligations on persons, other than those created between the Parties under public international law,</w:t>
      </w:r>
      <w:r w:rsidRPr="7B4F22F7">
        <w:rPr>
          <w:rStyle w:val="eop"/>
          <w:noProof/>
          <w:color w:val="000000" w:themeColor="text1"/>
        </w:rPr>
        <w:t> </w:t>
      </w:r>
    </w:p>
    <w:p w:rsidR="00896269" w:rsidRPr="00AA1F01" w:rsidRDefault="00896269" w:rsidP="00500EA2">
      <w:pPr>
        <w:pStyle w:val="Formuledadoption"/>
        <w:rPr>
          <w:noProof/>
          <w:color w:val="000000" w:themeColor="text1"/>
        </w:rPr>
      </w:pPr>
      <w:r w:rsidRPr="00AA1F01">
        <w:rPr>
          <w:noProof/>
          <w:color w:val="000000" w:themeColor="text1"/>
        </w:rPr>
        <w:t xml:space="preserve">HAS ADOPTED THIS DECISION: </w:t>
      </w:r>
    </w:p>
    <w:p w:rsidR="00896269" w:rsidRPr="00AA1F01" w:rsidRDefault="00896269" w:rsidP="00500EA2">
      <w:pPr>
        <w:pStyle w:val="Titrearticle"/>
        <w:rPr>
          <w:noProof/>
          <w:color w:val="000000" w:themeColor="text1"/>
        </w:rPr>
      </w:pPr>
      <w:r w:rsidRPr="00AA1F01">
        <w:rPr>
          <w:noProof/>
          <w:color w:val="000000" w:themeColor="text1"/>
        </w:rPr>
        <w:t>Article 1</w:t>
      </w:r>
    </w:p>
    <w:p w:rsidR="00896269" w:rsidRPr="00013581" w:rsidRDefault="00CD59E2" w:rsidP="00500EA2">
      <w:pPr>
        <w:rPr>
          <w:noProof/>
        </w:rPr>
      </w:pPr>
      <w:r w:rsidRPr="009851AA">
        <w:rPr>
          <w:noProof/>
        </w:rPr>
        <w:t>The</w:t>
      </w:r>
      <w:r w:rsidR="00090EA5" w:rsidRPr="009851AA">
        <w:rPr>
          <w:noProof/>
        </w:rPr>
        <w:t xml:space="preserve"> </w:t>
      </w:r>
      <w:r w:rsidR="003B3073" w:rsidRPr="009851AA">
        <w:rPr>
          <w:noProof/>
        </w:rPr>
        <w:t>Investment Protection Agreement</w:t>
      </w:r>
      <w:r w:rsidR="00090EA5" w:rsidRPr="009851AA">
        <w:rPr>
          <w:noProof/>
        </w:rPr>
        <w:t xml:space="preserve"> between the European Union and Indonesia (‘the Agreement’) is hereby approved</w:t>
      </w:r>
      <w:r w:rsidR="001F74C3" w:rsidRPr="002112FF">
        <w:rPr>
          <w:rStyle w:val="FootnoteReference"/>
          <w:noProof/>
        </w:rPr>
        <w:footnoteReference w:id="3"/>
      </w:r>
      <w:r w:rsidRPr="00013581">
        <w:rPr>
          <w:noProof/>
        </w:rPr>
        <w:t>.</w:t>
      </w:r>
    </w:p>
    <w:p w:rsidR="00D567E7" w:rsidRDefault="00D567E7" w:rsidP="004E1F5E">
      <w:pPr>
        <w:pStyle w:val="Titrearticle"/>
        <w:rPr>
          <w:noProof/>
        </w:rPr>
      </w:pPr>
      <w:r w:rsidRPr="00CF3F47">
        <w:rPr>
          <w:noProof/>
        </w:rPr>
        <w:lastRenderedPageBreak/>
        <w:t xml:space="preserve">Article </w:t>
      </w:r>
      <w:r w:rsidR="00F53E40">
        <w:rPr>
          <w:noProof/>
        </w:rPr>
        <w:t>2</w:t>
      </w:r>
    </w:p>
    <w:p w:rsidR="00FC0709" w:rsidRDefault="3EF90412" w:rsidP="004E1F5E">
      <w:pPr>
        <w:keepNext/>
        <w:keepLines/>
        <w:rPr>
          <w:noProof/>
        </w:rPr>
      </w:pPr>
      <w:r w:rsidRPr="00CF3F47">
        <w:rPr>
          <w:noProof/>
        </w:rPr>
        <w:t xml:space="preserve">This Decision shall enter into force on the </w:t>
      </w:r>
      <w:r w:rsidRPr="007B082B">
        <w:rPr>
          <w:noProof/>
        </w:rPr>
        <w:t>day of its adoption</w:t>
      </w:r>
      <w:r w:rsidR="00FC0709">
        <w:rPr>
          <w:rStyle w:val="FootnoteReference"/>
          <w:noProof/>
        </w:rPr>
        <w:footnoteReference w:id="4"/>
      </w:r>
      <w:r w:rsidRPr="007B082B">
        <w:rPr>
          <w:noProof/>
        </w:rPr>
        <w:t>.</w:t>
      </w:r>
    </w:p>
    <w:p w:rsidR="00FC0709" w:rsidRPr="00CF3F47" w:rsidRDefault="00E2115F" w:rsidP="004E1F5E">
      <w:pPr>
        <w:pStyle w:val="Fait"/>
        <w:rPr>
          <w:noProof/>
        </w:rPr>
      </w:pPr>
      <w:r>
        <w:rPr>
          <w:noProof/>
        </w:rPr>
        <w:t>Done at Brussels,</w:t>
      </w:r>
    </w:p>
    <w:p w:rsidR="00FC0709" w:rsidRPr="00CF3F47" w:rsidRDefault="00FC0709" w:rsidP="004E1F5E">
      <w:pPr>
        <w:pStyle w:val="Institutionquisigne"/>
        <w:rPr>
          <w:noProof/>
        </w:rPr>
      </w:pPr>
      <w:r w:rsidRPr="00CF3F47">
        <w:rPr>
          <w:noProof/>
        </w:rPr>
        <w:tab/>
        <w:t>For the Council</w:t>
      </w:r>
    </w:p>
    <w:p w:rsidR="00FC0709" w:rsidRPr="00CF3F47" w:rsidRDefault="00FC0709" w:rsidP="00FC0709">
      <w:pPr>
        <w:pStyle w:val="Personnequisigne"/>
        <w:rPr>
          <w:noProof/>
        </w:rPr>
      </w:pPr>
      <w:r w:rsidRPr="00CF3F47">
        <w:rPr>
          <w:noProof/>
        </w:rPr>
        <w:tab/>
        <w:t>The President</w:t>
      </w:r>
    </w:p>
    <w:sectPr w:rsidR="00FC0709" w:rsidRPr="00CF3F47" w:rsidSect="0050314E">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7A54" w:rsidRDefault="00647A54" w:rsidP="00896269">
      <w:pPr>
        <w:spacing w:before="0" w:after="0"/>
      </w:pPr>
      <w:r>
        <w:separator/>
      </w:r>
    </w:p>
  </w:endnote>
  <w:endnote w:type="continuationSeparator" w:id="0">
    <w:p w:rsidR="00647A54" w:rsidRDefault="00647A54" w:rsidP="0089626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14E" w:rsidRPr="0050314E" w:rsidRDefault="0050314E" w:rsidP="0050314E">
    <w:pPr>
      <w:pStyle w:val="Footer"/>
      <w:rPr>
        <w:rFonts w:ascii="Arial" w:hAnsi="Arial" w:cs="Arial"/>
        <w:b/>
        <w:sz w:val="48"/>
      </w:rPr>
    </w:pPr>
    <w:r w:rsidRPr="0050314E">
      <w:rPr>
        <w:rFonts w:ascii="Arial" w:hAnsi="Arial" w:cs="Arial"/>
        <w:b/>
        <w:sz w:val="48"/>
      </w:rPr>
      <w:t>EN</w:t>
    </w:r>
    <w:r w:rsidRPr="0050314E">
      <w:rPr>
        <w:rFonts w:ascii="Arial" w:hAnsi="Arial" w:cs="Arial"/>
        <w:b/>
        <w:sz w:val="48"/>
      </w:rPr>
      <w:tab/>
    </w:r>
    <w:r w:rsidRPr="0050314E">
      <w:rPr>
        <w:rFonts w:ascii="Arial" w:hAnsi="Arial" w:cs="Arial"/>
        <w:b/>
        <w:sz w:val="48"/>
      </w:rPr>
      <w:tab/>
    </w:r>
    <w:r w:rsidRPr="0050314E">
      <w:tab/>
    </w:r>
    <w:r w:rsidRPr="0050314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14E" w:rsidRPr="0050314E" w:rsidRDefault="0050314E" w:rsidP="0050314E">
    <w:pPr>
      <w:pStyle w:val="Footer"/>
      <w:rPr>
        <w:rFonts w:ascii="Arial" w:hAnsi="Arial" w:cs="Arial"/>
        <w:b/>
        <w:sz w:val="48"/>
      </w:rPr>
    </w:pPr>
    <w:r w:rsidRPr="0050314E">
      <w:rPr>
        <w:rFonts w:ascii="Arial" w:hAnsi="Arial" w:cs="Arial"/>
        <w:b/>
        <w:sz w:val="48"/>
      </w:rPr>
      <w:t>EN</w:t>
    </w:r>
    <w:r w:rsidRPr="0050314E">
      <w:rPr>
        <w:rFonts w:ascii="Arial" w:hAnsi="Arial" w:cs="Arial"/>
        <w:b/>
        <w:sz w:val="48"/>
      </w:rPr>
      <w:tab/>
    </w:r>
    <w:r w:rsidRPr="0050314E">
      <w:rPr>
        <w:rFonts w:ascii="Arial" w:hAnsi="Arial" w:cs="Arial"/>
        <w:b/>
        <w:sz w:val="48"/>
      </w:rPr>
      <w:tab/>
    </w:r>
    <w:r w:rsidRPr="0050314E">
      <w:tab/>
    </w:r>
    <w:r w:rsidRPr="0050314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14E" w:rsidRDefault="0050314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14E" w:rsidRPr="0050314E" w:rsidRDefault="0050314E" w:rsidP="0050314E">
    <w:pPr>
      <w:pStyle w:val="Footer"/>
      <w:rPr>
        <w:rFonts w:ascii="Arial" w:hAnsi="Arial" w:cs="Arial"/>
        <w:b/>
        <w:sz w:val="48"/>
      </w:rPr>
    </w:pPr>
    <w:r w:rsidRPr="0050314E">
      <w:rPr>
        <w:rFonts w:ascii="Arial" w:hAnsi="Arial" w:cs="Arial"/>
        <w:b/>
        <w:sz w:val="48"/>
      </w:rPr>
      <w:t>EN</w:t>
    </w:r>
    <w:r w:rsidRPr="0050314E">
      <w:rPr>
        <w:rFonts w:ascii="Arial" w:hAnsi="Arial" w:cs="Arial"/>
        <w:b/>
        <w:sz w:val="48"/>
      </w:rPr>
      <w:tab/>
    </w:r>
    <w:r>
      <w:fldChar w:fldCharType="begin"/>
    </w:r>
    <w:r>
      <w:instrText xml:space="preserve"> PAGE  \* MERGEFORMAT </w:instrText>
    </w:r>
    <w:r>
      <w:fldChar w:fldCharType="separate"/>
    </w:r>
    <w:r w:rsidR="004E1F5E">
      <w:rPr>
        <w:noProof/>
      </w:rPr>
      <w:t>7</w:t>
    </w:r>
    <w:r>
      <w:fldChar w:fldCharType="end"/>
    </w:r>
    <w:r>
      <w:tab/>
    </w:r>
    <w:r w:rsidRPr="0050314E">
      <w:tab/>
    </w:r>
    <w:r w:rsidRPr="0050314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14E" w:rsidRDefault="0050314E" w:rsidP="005031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7A54" w:rsidRDefault="00647A54" w:rsidP="00896269">
      <w:pPr>
        <w:spacing w:before="0" w:after="0"/>
      </w:pPr>
      <w:r>
        <w:separator/>
      </w:r>
    </w:p>
  </w:footnote>
  <w:footnote w:type="continuationSeparator" w:id="0">
    <w:p w:rsidR="00647A54" w:rsidRDefault="00647A54" w:rsidP="00896269">
      <w:pPr>
        <w:spacing w:before="0" w:after="0"/>
      </w:pPr>
      <w:r>
        <w:continuationSeparator/>
      </w:r>
    </w:p>
  </w:footnote>
  <w:footnote w:id="1">
    <w:p w:rsidR="000846A2" w:rsidRPr="001F74C3" w:rsidRDefault="000846A2">
      <w:pPr>
        <w:pStyle w:val="FootnoteText"/>
        <w:rPr>
          <w:lang w:val="en-IE"/>
        </w:rPr>
      </w:pPr>
      <w:r w:rsidRPr="00013581">
        <w:rPr>
          <w:rStyle w:val="FootnoteReference"/>
        </w:rPr>
        <w:footnoteRef/>
      </w:r>
      <w:r w:rsidR="00013581">
        <w:tab/>
      </w:r>
      <w:r w:rsidRPr="001F74C3">
        <w:t>OJ C, , p. .</w:t>
      </w:r>
    </w:p>
  </w:footnote>
  <w:footnote w:id="2">
    <w:p w:rsidR="009849DA" w:rsidRPr="001F74C3" w:rsidRDefault="009849DA">
      <w:pPr>
        <w:pStyle w:val="FootnoteText"/>
        <w:rPr>
          <w:lang w:val="en-IE"/>
        </w:rPr>
      </w:pPr>
      <w:r w:rsidRPr="00013581">
        <w:rPr>
          <w:rStyle w:val="FootnoteReference"/>
        </w:rPr>
        <w:footnoteRef/>
      </w:r>
      <w:r w:rsidR="00013581">
        <w:tab/>
      </w:r>
      <w:r w:rsidRPr="001F74C3">
        <w:t>[Reference to be inserted]</w:t>
      </w:r>
      <w:r w:rsidR="00C1018C">
        <w:t>.</w:t>
      </w:r>
    </w:p>
  </w:footnote>
  <w:footnote w:id="3">
    <w:p w:rsidR="001F74C3" w:rsidRPr="009851AA" w:rsidRDefault="001F74C3" w:rsidP="001F74C3">
      <w:pPr>
        <w:rPr>
          <w:color w:val="000000" w:themeColor="text1"/>
          <w:sz w:val="20"/>
          <w:szCs w:val="20"/>
        </w:rPr>
      </w:pPr>
      <w:r w:rsidRPr="002112FF">
        <w:rPr>
          <w:rStyle w:val="FootnoteReference"/>
        </w:rPr>
        <w:footnoteRef/>
      </w:r>
      <w:r w:rsidR="00013581" w:rsidRPr="009851AA">
        <w:rPr>
          <w:sz w:val="20"/>
          <w:szCs w:val="20"/>
        </w:rPr>
        <w:tab/>
      </w:r>
      <w:r w:rsidRPr="009851AA">
        <w:rPr>
          <w:sz w:val="20"/>
          <w:szCs w:val="20"/>
        </w:rPr>
        <w:t>The text of the Agreement is attached to this Decision.</w:t>
      </w:r>
    </w:p>
  </w:footnote>
  <w:footnote w:id="4">
    <w:p w:rsidR="00FC0709" w:rsidRDefault="00FC0709" w:rsidP="00FC0709">
      <w:pPr>
        <w:pStyle w:val="FootnoteText"/>
      </w:pPr>
      <w:r w:rsidRPr="00013581">
        <w:rPr>
          <w:rStyle w:val="FootnoteReference"/>
        </w:rPr>
        <w:footnoteRef/>
      </w:r>
      <w:r w:rsidR="00013581">
        <w:tab/>
      </w:r>
      <w:r w:rsidRPr="001F74C3">
        <w:t xml:space="preserve">The date of entry into force of the Agreement will be published in the </w:t>
      </w:r>
      <w:r w:rsidRPr="002306BC">
        <w:rPr>
          <w:i/>
          <w:iCs/>
        </w:rPr>
        <w:t>Official Journal of the European Unio</w:t>
      </w:r>
      <w:r w:rsidR="001F74C3" w:rsidRPr="002306BC">
        <w:rPr>
          <w:i/>
          <w:iCs/>
        </w:rPr>
        <w:t>n</w:t>
      </w:r>
      <w:r w:rsidR="001F74C3">
        <w:t xml:space="preserve"> </w:t>
      </w:r>
      <w:r w:rsidRPr="001F74C3">
        <w:t>by the General Secretariat of the Council.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14E" w:rsidRDefault="005031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14E" w:rsidRDefault="005031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10412C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D70E60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4E8F55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6848B8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8"/>
    <w:lvlOverride w:ilvl="0">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29 09:01:49"/>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1"/>
    <w:docVar w:name="LW_CORRIGENDUM" w:val="&lt;UNUSED&gt;"/>
    <w:docVar w:name="LW_COVERPAGE_EXISTS" w:val="True"/>
    <w:docVar w:name="LW_COVERPAGE_GUID" w:val="68D3A3E8-2EA8-4992-BC9A-BF28097C10A9"/>
    <w:docVar w:name="LW_COVERPAGE_TYPE" w:val="1"/>
    <w:docVar w:name="LW_CreatedUtc" w:val="2026-03-03T16:06:47.1943977Z"/>
    <w:docVar w:name="LW_CROSSREFERENCE" w:val="&lt;UNUSED&gt;"/>
    <w:docVar w:name="LW_DocType" w:val="COM"/>
    <w:docVar w:name="LW_EMISSION" w:val="29.6.2026"/>
    <w:docVar w:name="LW_EMISSION_ISODATE" w:val="2026-06-29"/>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85"/>
    <w:docVar w:name="LW_REF.II.NEW.CP_YEAR" w:val="2026"/>
    <w:docVar w:name="LW_REF.INST.NEW" w:val="COM"/>
    <w:docVar w:name="LW_REF.INST.NEW_ADOPTED" w:val="final"/>
    <w:docVar w:name="LW_REF.INST.NEW_TEXT" w:val="(2026) 34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conclusion of the Investment Protection Agreement between the European Union and Indonesia"/>
    <w:docVar w:name="LW_TYPE.DOC.CP" w:val="COUNCIL DECISION"/>
    <w:docVar w:name="LwApiVersions" w:val="LW4CoDe 1.24.5.0; LW 9.2, Build 20251112"/>
  </w:docVars>
  <w:rsids>
    <w:rsidRoot w:val="00896269"/>
    <w:rsid w:val="00003C9B"/>
    <w:rsid w:val="00011387"/>
    <w:rsid w:val="00013581"/>
    <w:rsid w:val="00022022"/>
    <w:rsid w:val="00023D13"/>
    <w:rsid w:val="0003102C"/>
    <w:rsid w:val="000333EF"/>
    <w:rsid w:val="00036664"/>
    <w:rsid w:val="000425F9"/>
    <w:rsid w:val="0007149A"/>
    <w:rsid w:val="00074279"/>
    <w:rsid w:val="000828AD"/>
    <w:rsid w:val="000846A2"/>
    <w:rsid w:val="00090EA5"/>
    <w:rsid w:val="000B7A89"/>
    <w:rsid w:val="000C202C"/>
    <w:rsid w:val="000D121A"/>
    <w:rsid w:val="000D2875"/>
    <w:rsid w:val="000D4FED"/>
    <w:rsid w:val="000F1FF2"/>
    <w:rsid w:val="001065F5"/>
    <w:rsid w:val="001121BD"/>
    <w:rsid w:val="001238EF"/>
    <w:rsid w:val="00134204"/>
    <w:rsid w:val="00134283"/>
    <w:rsid w:val="00154974"/>
    <w:rsid w:val="0015728C"/>
    <w:rsid w:val="00157705"/>
    <w:rsid w:val="001641F4"/>
    <w:rsid w:val="00166329"/>
    <w:rsid w:val="001845AC"/>
    <w:rsid w:val="0018631D"/>
    <w:rsid w:val="00187D38"/>
    <w:rsid w:val="00190930"/>
    <w:rsid w:val="00190A0B"/>
    <w:rsid w:val="00191813"/>
    <w:rsid w:val="001956F3"/>
    <w:rsid w:val="00197613"/>
    <w:rsid w:val="001A22BB"/>
    <w:rsid w:val="001A5410"/>
    <w:rsid w:val="001A5CD6"/>
    <w:rsid w:val="001B12DD"/>
    <w:rsid w:val="001C3396"/>
    <w:rsid w:val="001C4C3E"/>
    <w:rsid w:val="001F3DAB"/>
    <w:rsid w:val="001F74C3"/>
    <w:rsid w:val="002008CC"/>
    <w:rsid w:val="00200BFA"/>
    <w:rsid w:val="00200FCE"/>
    <w:rsid w:val="00203055"/>
    <w:rsid w:val="00207117"/>
    <w:rsid w:val="002112FF"/>
    <w:rsid w:val="002257BF"/>
    <w:rsid w:val="002306BC"/>
    <w:rsid w:val="00230CB4"/>
    <w:rsid w:val="00233DC7"/>
    <w:rsid w:val="00240E74"/>
    <w:rsid w:val="002424F8"/>
    <w:rsid w:val="00246A66"/>
    <w:rsid w:val="00247779"/>
    <w:rsid w:val="00261E6E"/>
    <w:rsid w:val="00283D84"/>
    <w:rsid w:val="00285BEE"/>
    <w:rsid w:val="00293797"/>
    <w:rsid w:val="0029533F"/>
    <w:rsid w:val="002B30AF"/>
    <w:rsid w:val="002B463B"/>
    <w:rsid w:val="002B643C"/>
    <w:rsid w:val="002C0101"/>
    <w:rsid w:val="002F0ECF"/>
    <w:rsid w:val="002F4E9B"/>
    <w:rsid w:val="002F5E1E"/>
    <w:rsid w:val="003103CE"/>
    <w:rsid w:val="003120B0"/>
    <w:rsid w:val="00330743"/>
    <w:rsid w:val="0033344A"/>
    <w:rsid w:val="00342C36"/>
    <w:rsid w:val="00343E78"/>
    <w:rsid w:val="00345227"/>
    <w:rsid w:val="003466D0"/>
    <w:rsid w:val="00382700"/>
    <w:rsid w:val="003862BD"/>
    <w:rsid w:val="00397F66"/>
    <w:rsid w:val="003A57E6"/>
    <w:rsid w:val="003B3073"/>
    <w:rsid w:val="003B3EE7"/>
    <w:rsid w:val="003B71C0"/>
    <w:rsid w:val="003D4FB3"/>
    <w:rsid w:val="003E2508"/>
    <w:rsid w:val="003E4E7D"/>
    <w:rsid w:val="003F02C9"/>
    <w:rsid w:val="004012E2"/>
    <w:rsid w:val="00417024"/>
    <w:rsid w:val="004207A9"/>
    <w:rsid w:val="0042648E"/>
    <w:rsid w:val="00431C56"/>
    <w:rsid w:val="0043764A"/>
    <w:rsid w:val="004706E7"/>
    <w:rsid w:val="00481F56"/>
    <w:rsid w:val="0048591D"/>
    <w:rsid w:val="004875D6"/>
    <w:rsid w:val="004936D2"/>
    <w:rsid w:val="004C08ED"/>
    <w:rsid w:val="004C109C"/>
    <w:rsid w:val="004C6952"/>
    <w:rsid w:val="004C7E62"/>
    <w:rsid w:val="004D30CF"/>
    <w:rsid w:val="004E1F5E"/>
    <w:rsid w:val="004E1F85"/>
    <w:rsid w:val="004E349F"/>
    <w:rsid w:val="004F18A5"/>
    <w:rsid w:val="004F18F5"/>
    <w:rsid w:val="004F5DBC"/>
    <w:rsid w:val="00500EA2"/>
    <w:rsid w:val="0050314E"/>
    <w:rsid w:val="00503229"/>
    <w:rsid w:val="0050677C"/>
    <w:rsid w:val="005116A1"/>
    <w:rsid w:val="005126F0"/>
    <w:rsid w:val="0052355F"/>
    <w:rsid w:val="00526AF0"/>
    <w:rsid w:val="00534E60"/>
    <w:rsid w:val="00544218"/>
    <w:rsid w:val="00560E01"/>
    <w:rsid w:val="0056268F"/>
    <w:rsid w:val="0057483A"/>
    <w:rsid w:val="00584121"/>
    <w:rsid w:val="00591E7B"/>
    <w:rsid w:val="00592BBB"/>
    <w:rsid w:val="005A0F46"/>
    <w:rsid w:val="005B1EB6"/>
    <w:rsid w:val="005C3F35"/>
    <w:rsid w:val="005C6E08"/>
    <w:rsid w:val="005D1F90"/>
    <w:rsid w:val="005D4CF6"/>
    <w:rsid w:val="005D61CA"/>
    <w:rsid w:val="005D7E02"/>
    <w:rsid w:val="005E0F6F"/>
    <w:rsid w:val="00611CA2"/>
    <w:rsid w:val="006144EB"/>
    <w:rsid w:val="00640578"/>
    <w:rsid w:val="006431D5"/>
    <w:rsid w:val="006475A0"/>
    <w:rsid w:val="00647A54"/>
    <w:rsid w:val="006540AA"/>
    <w:rsid w:val="006610C7"/>
    <w:rsid w:val="0067598D"/>
    <w:rsid w:val="006929F2"/>
    <w:rsid w:val="00693379"/>
    <w:rsid w:val="006A03E9"/>
    <w:rsid w:val="006A67F1"/>
    <w:rsid w:val="006B4694"/>
    <w:rsid w:val="006B6048"/>
    <w:rsid w:val="006C32F0"/>
    <w:rsid w:val="006E6A23"/>
    <w:rsid w:val="006E70F3"/>
    <w:rsid w:val="006F6FF2"/>
    <w:rsid w:val="006F7BC1"/>
    <w:rsid w:val="0070533B"/>
    <w:rsid w:val="00714BB6"/>
    <w:rsid w:val="0071659E"/>
    <w:rsid w:val="00716AE1"/>
    <w:rsid w:val="00733C17"/>
    <w:rsid w:val="00736412"/>
    <w:rsid w:val="00736F07"/>
    <w:rsid w:val="007525E1"/>
    <w:rsid w:val="0076051D"/>
    <w:rsid w:val="0076151E"/>
    <w:rsid w:val="00773331"/>
    <w:rsid w:val="007801B2"/>
    <w:rsid w:val="00784694"/>
    <w:rsid w:val="007932EF"/>
    <w:rsid w:val="007C62FB"/>
    <w:rsid w:val="007C6B9C"/>
    <w:rsid w:val="007C6E0A"/>
    <w:rsid w:val="007D102E"/>
    <w:rsid w:val="007E05B0"/>
    <w:rsid w:val="007E605B"/>
    <w:rsid w:val="0080654E"/>
    <w:rsid w:val="00811A44"/>
    <w:rsid w:val="00814919"/>
    <w:rsid w:val="0083119A"/>
    <w:rsid w:val="00836D91"/>
    <w:rsid w:val="008443A8"/>
    <w:rsid w:val="008513DE"/>
    <w:rsid w:val="00852C2B"/>
    <w:rsid w:val="00861F65"/>
    <w:rsid w:val="00874D22"/>
    <w:rsid w:val="00894A2E"/>
    <w:rsid w:val="008953C7"/>
    <w:rsid w:val="00896269"/>
    <w:rsid w:val="008A263F"/>
    <w:rsid w:val="008A2914"/>
    <w:rsid w:val="008A76BD"/>
    <w:rsid w:val="008C0613"/>
    <w:rsid w:val="008C3193"/>
    <w:rsid w:val="008E0833"/>
    <w:rsid w:val="008E4D8E"/>
    <w:rsid w:val="008E7404"/>
    <w:rsid w:val="008F21A2"/>
    <w:rsid w:val="008F4CB6"/>
    <w:rsid w:val="00915E9D"/>
    <w:rsid w:val="009345A9"/>
    <w:rsid w:val="00952894"/>
    <w:rsid w:val="00956814"/>
    <w:rsid w:val="00961AFF"/>
    <w:rsid w:val="00961C58"/>
    <w:rsid w:val="00971EC8"/>
    <w:rsid w:val="00975C16"/>
    <w:rsid w:val="009849DA"/>
    <w:rsid w:val="009851AA"/>
    <w:rsid w:val="00987551"/>
    <w:rsid w:val="0099024F"/>
    <w:rsid w:val="009A7A4A"/>
    <w:rsid w:val="009B5848"/>
    <w:rsid w:val="009C2845"/>
    <w:rsid w:val="009E0AD3"/>
    <w:rsid w:val="009E497A"/>
    <w:rsid w:val="009E68C2"/>
    <w:rsid w:val="009F1C2B"/>
    <w:rsid w:val="00A079CB"/>
    <w:rsid w:val="00A137D6"/>
    <w:rsid w:val="00A20D5B"/>
    <w:rsid w:val="00A278ED"/>
    <w:rsid w:val="00A27BBB"/>
    <w:rsid w:val="00A3032B"/>
    <w:rsid w:val="00A304E1"/>
    <w:rsid w:val="00A57B7A"/>
    <w:rsid w:val="00A862A7"/>
    <w:rsid w:val="00A9218C"/>
    <w:rsid w:val="00A92E5D"/>
    <w:rsid w:val="00A92F17"/>
    <w:rsid w:val="00A96356"/>
    <w:rsid w:val="00A97254"/>
    <w:rsid w:val="00AA1F01"/>
    <w:rsid w:val="00AA4AAD"/>
    <w:rsid w:val="00AE1FBC"/>
    <w:rsid w:val="00B06D95"/>
    <w:rsid w:val="00B20DA9"/>
    <w:rsid w:val="00B23901"/>
    <w:rsid w:val="00B3051E"/>
    <w:rsid w:val="00B4564A"/>
    <w:rsid w:val="00B47490"/>
    <w:rsid w:val="00B47D07"/>
    <w:rsid w:val="00B50842"/>
    <w:rsid w:val="00B52E9B"/>
    <w:rsid w:val="00B55D60"/>
    <w:rsid w:val="00B636E3"/>
    <w:rsid w:val="00B73080"/>
    <w:rsid w:val="00B83DE3"/>
    <w:rsid w:val="00B86E04"/>
    <w:rsid w:val="00B92D9F"/>
    <w:rsid w:val="00B94B8B"/>
    <w:rsid w:val="00BB4DC0"/>
    <w:rsid w:val="00BC4D63"/>
    <w:rsid w:val="00BE4629"/>
    <w:rsid w:val="00C07B79"/>
    <w:rsid w:val="00C07FA2"/>
    <w:rsid w:val="00C1018C"/>
    <w:rsid w:val="00C12301"/>
    <w:rsid w:val="00C202C3"/>
    <w:rsid w:val="00C22975"/>
    <w:rsid w:val="00C25428"/>
    <w:rsid w:val="00C25A91"/>
    <w:rsid w:val="00C43B7F"/>
    <w:rsid w:val="00C515E3"/>
    <w:rsid w:val="00C56F9F"/>
    <w:rsid w:val="00C65C54"/>
    <w:rsid w:val="00C6626F"/>
    <w:rsid w:val="00C83C27"/>
    <w:rsid w:val="00C85CE7"/>
    <w:rsid w:val="00C91465"/>
    <w:rsid w:val="00CA10FD"/>
    <w:rsid w:val="00CA3947"/>
    <w:rsid w:val="00CB30B1"/>
    <w:rsid w:val="00CB53D1"/>
    <w:rsid w:val="00CC0CEA"/>
    <w:rsid w:val="00CD59E2"/>
    <w:rsid w:val="00CE432D"/>
    <w:rsid w:val="00CE6A18"/>
    <w:rsid w:val="00CF5F75"/>
    <w:rsid w:val="00D01829"/>
    <w:rsid w:val="00D20040"/>
    <w:rsid w:val="00D20381"/>
    <w:rsid w:val="00D21AA8"/>
    <w:rsid w:val="00D23DAA"/>
    <w:rsid w:val="00D31381"/>
    <w:rsid w:val="00D32749"/>
    <w:rsid w:val="00D3607F"/>
    <w:rsid w:val="00D37718"/>
    <w:rsid w:val="00D41A43"/>
    <w:rsid w:val="00D45192"/>
    <w:rsid w:val="00D45AD2"/>
    <w:rsid w:val="00D45CFB"/>
    <w:rsid w:val="00D479F4"/>
    <w:rsid w:val="00D55B4A"/>
    <w:rsid w:val="00D55CCB"/>
    <w:rsid w:val="00D567E7"/>
    <w:rsid w:val="00D60F74"/>
    <w:rsid w:val="00D6229C"/>
    <w:rsid w:val="00D764A7"/>
    <w:rsid w:val="00D91927"/>
    <w:rsid w:val="00D937EF"/>
    <w:rsid w:val="00D938B6"/>
    <w:rsid w:val="00D94FB7"/>
    <w:rsid w:val="00DB59FF"/>
    <w:rsid w:val="00DB5A09"/>
    <w:rsid w:val="00DC5327"/>
    <w:rsid w:val="00DD47D0"/>
    <w:rsid w:val="00DD7CA3"/>
    <w:rsid w:val="00DD7DB4"/>
    <w:rsid w:val="00DD7E14"/>
    <w:rsid w:val="00DE01B2"/>
    <w:rsid w:val="00DE13F9"/>
    <w:rsid w:val="00DF3A89"/>
    <w:rsid w:val="00E07818"/>
    <w:rsid w:val="00E100C1"/>
    <w:rsid w:val="00E2115F"/>
    <w:rsid w:val="00E22C9D"/>
    <w:rsid w:val="00E312A0"/>
    <w:rsid w:val="00E33F06"/>
    <w:rsid w:val="00E52067"/>
    <w:rsid w:val="00E56C75"/>
    <w:rsid w:val="00E61227"/>
    <w:rsid w:val="00E664ED"/>
    <w:rsid w:val="00E71BD7"/>
    <w:rsid w:val="00E72F07"/>
    <w:rsid w:val="00E82AF0"/>
    <w:rsid w:val="00E87A95"/>
    <w:rsid w:val="00E90B7F"/>
    <w:rsid w:val="00EA1B89"/>
    <w:rsid w:val="00EA2120"/>
    <w:rsid w:val="00EA37F1"/>
    <w:rsid w:val="00EB2CCC"/>
    <w:rsid w:val="00EB5786"/>
    <w:rsid w:val="00EC60C0"/>
    <w:rsid w:val="00EC72EF"/>
    <w:rsid w:val="00ED4E7E"/>
    <w:rsid w:val="00ED66DF"/>
    <w:rsid w:val="00ED6A86"/>
    <w:rsid w:val="00F01309"/>
    <w:rsid w:val="00F01E5A"/>
    <w:rsid w:val="00F16D49"/>
    <w:rsid w:val="00F36658"/>
    <w:rsid w:val="00F41480"/>
    <w:rsid w:val="00F42238"/>
    <w:rsid w:val="00F47C12"/>
    <w:rsid w:val="00F53E40"/>
    <w:rsid w:val="00F71FC2"/>
    <w:rsid w:val="00F74D2D"/>
    <w:rsid w:val="00F75858"/>
    <w:rsid w:val="00F82F0C"/>
    <w:rsid w:val="00F92F00"/>
    <w:rsid w:val="00F9388D"/>
    <w:rsid w:val="00FB11A4"/>
    <w:rsid w:val="00FC0709"/>
    <w:rsid w:val="00FC38F8"/>
    <w:rsid w:val="00FD28A8"/>
    <w:rsid w:val="00FD3F5F"/>
    <w:rsid w:val="00FD6CB3"/>
    <w:rsid w:val="00FE20F5"/>
    <w:rsid w:val="00FE26A4"/>
    <w:rsid w:val="00FF4F79"/>
    <w:rsid w:val="02BA9B1B"/>
    <w:rsid w:val="1A3E6E8D"/>
    <w:rsid w:val="1B83DB66"/>
    <w:rsid w:val="26C6B491"/>
    <w:rsid w:val="272FD219"/>
    <w:rsid w:val="2941685E"/>
    <w:rsid w:val="2C966339"/>
    <w:rsid w:val="360CFF51"/>
    <w:rsid w:val="3EA3B438"/>
    <w:rsid w:val="3EF90412"/>
    <w:rsid w:val="426D0AF5"/>
    <w:rsid w:val="4A68D3F3"/>
    <w:rsid w:val="4E290DC4"/>
    <w:rsid w:val="57097F81"/>
    <w:rsid w:val="5E93FCA3"/>
    <w:rsid w:val="6306084B"/>
    <w:rsid w:val="6B856C21"/>
    <w:rsid w:val="6FDCE435"/>
    <w:rsid w:val="70EF161C"/>
    <w:rsid w:val="7B4F22F7"/>
    <w:rsid w:val="7D0745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49153"/>
    <o:shapelayout v:ext="edit">
      <o:idmap v:ext="edit" data="1"/>
    </o:shapelayout>
  </w:shapeDefaults>
  <w:decimalSymbol w:val=","/>
  <w:listSeparator w:val=";"/>
  <w15:docId w15:val="{1A512006-23A1-4872-97F6-693373A20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7E6"/>
    <w:rPr>
      <w:color w:val="0000FF" w:themeColor="hyperlink"/>
      <w:u w:val="single"/>
    </w:rPr>
  </w:style>
  <w:style w:type="character" w:styleId="CommentReference">
    <w:name w:val="annotation reference"/>
    <w:basedOn w:val="DefaultParagraphFont"/>
    <w:uiPriority w:val="99"/>
    <w:semiHidden/>
    <w:unhideWhenUsed/>
    <w:rsid w:val="00DB59FF"/>
    <w:rPr>
      <w:sz w:val="16"/>
      <w:szCs w:val="16"/>
    </w:rPr>
  </w:style>
  <w:style w:type="paragraph" w:styleId="CommentText">
    <w:name w:val="annotation text"/>
    <w:basedOn w:val="Normal"/>
    <w:link w:val="CommentTextChar"/>
    <w:uiPriority w:val="99"/>
    <w:unhideWhenUsed/>
    <w:rsid w:val="00DB59FF"/>
    <w:rPr>
      <w:sz w:val="20"/>
      <w:szCs w:val="20"/>
    </w:rPr>
  </w:style>
  <w:style w:type="character" w:customStyle="1" w:styleId="CommentTextChar">
    <w:name w:val="Comment Text Char"/>
    <w:basedOn w:val="DefaultParagraphFont"/>
    <w:link w:val="CommentText"/>
    <w:uiPriority w:val="99"/>
    <w:rsid w:val="00DB59FF"/>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B59FF"/>
    <w:rPr>
      <w:b/>
      <w:bCs/>
    </w:rPr>
  </w:style>
  <w:style w:type="character" w:customStyle="1" w:styleId="CommentSubjectChar">
    <w:name w:val="Comment Subject Char"/>
    <w:basedOn w:val="CommentTextChar"/>
    <w:link w:val="CommentSubject"/>
    <w:uiPriority w:val="99"/>
    <w:semiHidden/>
    <w:rsid w:val="00DB59FF"/>
    <w:rPr>
      <w:rFonts w:ascii="Times New Roman" w:hAnsi="Times New Roman" w:cs="Times New Roman"/>
      <w:b/>
      <w:bCs/>
      <w:sz w:val="20"/>
      <w:szCs w:val="20"/>
      <w:lang w:val="en-GB"/>
    </w:rPr>
  </w:style>
  <w:style w:type="paragraph" w:styleId="Revision">
    <w:name w:val="Revision"/>
    <w:hidden/>
    <w:uiPriority w:val="99"/>
    <w:semiHidden/>
    <w:rsid w:val="008443A8"/>
    <w:pPr>
      <w:spacing w:after="0" w:line="240" w:lineRule="auto"/>
    </w:pPr>
    <w:rPr>
      <w:rFonts w:ascii="Times New Roman" w:hAnsi="Times New Roman" w:cs="Times New Roman"/>
      <w:sz w:val="24"/>
      <w:lang w:val="en-GB"/>
    </w:rPr>
  </w:style>
  <w:style w:type="paragraph" w:customStyle="1" w:styleId="paragraph">
    <w:name w:val="paragraph"/>
    <w:basedOn w:val="Normal"/>
    <w:rsid w:val="00894A2E"/>
    <w:pPr>
      <w:spacing w:before="100" w:beforeAutospacing="1" w:after="100" w:afterAutospacing="1"/>
      <w:jc w:val="left"/>
    </w:pPr>
    <w:rPr>
      <w:rFonts w:eastAsia="Times New Roman"/>
      <w:szCs w:val="24"/>
      <w:lang w:val="en-IE" w:eastAsia="en-IE"/>
    </w:rPr>
  </w:style>
  <w:style w:type="character" w:customStyle="1" w:styleId="normaltextrun">
    <w:name w:val="normaltextrun"/>
    <w:basedOn w:val="DefaultParagraphFont"/>
    <w:rsid w:val="00894A2E"/>
  </w:style>
  <w:style w:type="character" w:customStyle="1" w:styleId="eop">
    <w:name w:val="eop"/>
    <w:basedOn w:val="DefaultParagraphFont"/>
    <w:rsid w:val="00894A2E"/>
  </w:style>
  <w:style w:type="paragraph" w:styleId="ListParagraph">
    <w:name w:val="List Paragraph"/>
    <w:basedOn w:val="Normal"/>
    <w:uiPriority w:val="34"/>
    <w:qFormat/>
    <w:rsid w:val="57097F81"/>
    <w:pPr>
      <w:ind w:left="720"/>
      <w:contextualSpacing/>
    </w:pPr>
  </w:style>
  <w:style w:type="paragraph" w:styleId="ListBullet">
    <w:name w:val="List Bullet"/>
    <w:basedOn w:val="Normal"/>
    <w:uiPriority w:val="99"/>
    <w:semiHidden/>
    <w:unhideWhenUsed/>
    <w:rsid w:val="00591E7B"/>
    <w:pPr>
      <w:numPr>
        <w:numId w:val="1"/>
      </w:numPr>
      <w:contextualSpacing/>
    </w:pPr>
  </w:style>
  <w:style w:type="paragraph" w:styleId="ListBullet2">
    <w:name w:val="List Bullet 2"/>
    <w:basedOn w:val="Normal"/>
    <w:uiPriority w:val="99"/>
    <w:semiHidden/>
    <w:unhideWhenUsed/>
    <w:rsid w:val="00591E7B"/>
    <w:pPr>
      <w:numPr>
        <w:numId w:val="2"/>
      </w:numPr>
      <w:contextualSpacing/>
    </w:pPr>
  </w:style>
  <w:style w:type="paragraph" w:styleId="ListBullet3">
    <w:name w:val="List Bullet 3"/>
    <w:basedOn w:val="Normal"/>
    <w:uiPriority w:val="99"/>
    <w:semiHidden/>
    <w:unhideWhenUsed/>
    <w:rsid w:val="00591E7B"/>
    <w:pPr>
      <w:numPr>
        <w:numId w:val="3"/>
      </w:numPr>
      <w:contextualSpacing/>
    </w:pPr>
  </w:style>
  <w:style w:type="paragraph" w:styleId="ListBullet4">
    <w:name w:val="List Bullet 4"/>
    <w:basedOn w:val="Normal"/>
    <w:uiPriority w:val="99"/>
    <w:semiHidden/>
    <w:unhideWhenUsed/>
    <w:rsid w:val="00591E7B"/>
    <w:pPr>
      <w:numPr>
        <w:numId w:val="4"/>
      </w:numPr>
      <w:contextualSpacing/>
    </w:pPr>
  </w:style>
  <w:style w:type="character" w:customStyle="1" w:styleId="UnresolvedMention">
    <w:name w:val="Unresolved Mention"/>
    <w:basedOn w:val="DefaultParagraphFont"/>
    <w:uiPriority w:val="99"/>
    <w:semiHidden/>
    <w:unhideWhenUsed/>
    <w:rsid w:val="002112FF"/>
    <w:rPr>
      <w:color w:val="605E5C"/>
      <w:shd w:val="clear" w:color="auto" w:fill="E1DFDD"/>
    </w:rPr>
  </w:style>
  <w:style w:type="character" w:customStyle="1" w:styleId="HeaderChar">
    <w:name w:val="Header Char"/>
    <w:basedOn w:val="DefaultParagraphFont"/>
    <w:link w:val="Header"/>
    <w:uiPriority w:val="99"/>
    <w:rsid w:val="0050314E"/>
    <w:rPr>
      <w:rFonts w:ascii="Times New Roman" w:hAnsi="Times New Roman" w:cs="Times New Roman"/>
      <w:sz w:val="24"/>
      <w:lang w:val="en-GB"/>
    </w:rPr>
  </w:style>
  <w:style w:type="character" w:customStyle="1" w:styleId="FooterChar">
    <w:name w:val="Footer Char"/>
    <w:basedOn w:val="DefaultParagraphFont"/>
    <w:link w:val="Footer"/>
    <w:uiPriority w:val="99"/>
    <w:rsid w:val="0050314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0314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0314E"/>
    <w:pPr>
      <w:spacing w:before="0"/>
      <w:jc w:val="right"/>
    </w:pPr>
    <w:rPr>
      <w:sz w:val="28"/>
    </w:rPr>
  </w:style>
  <w:style w:type="paragraph" w:customStyle="1" w:styleId="FooterSensitivity">
    <w:name w:val="Footer Sensitivity"/>
    <w:basedOn w:val="Normal"/>
    <w:rsid w:val="0050314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0314E"/>
    <w:pPr>
      <w:tabs>
        <w:tab w:val="center" w:pos="4535"/>
        <w:tab w:val="right" w:pos="9071"/>
      </w:tabs>
      <w:spacing w:before="0"/>
    </w:pPr>
  </w:style>
  <w:style w:type="paragraph" w:customStyle="1" w:styleId="HeaderLandscape">
    <w:name w:val="HeaderLandscape"/>
    <w:basedOn w:val="Normal"/>
    <w:rsid w:val="0050314E"/>
    <w:pPr>
      <w:tabs>
        <w:tab w:val="center" w:pos="7285"/>
        <w:tab w:val="right" w:pos="14003"/>
      </w:tabs>
      <w:spacing w:before="0"/>
    </w:pPr>
  </w:style>
  <w:style w:type="paragraph" w:styleId="Footer">
    <w:name w:val="footer"/>
    <w:basedOn w:val="Normal"/>
    <w:link w:val="FooterChar"/>
    <w:uiPriority w:val="99"/>
    <w:unhideWhenUsed/>
    <w:rsid w:val="0050314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0314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4403584">
      <w:bodyDiv w:val="1"/>
      <w:marLeft w:val="0"/>
      <w:marRight w:val="0"/>
      <w:marTop w:val="0"/>
      <w:marBottom w:val="0"/>
      <w:divBdr>
        <w:top w:val="none" w:sz="0" w:space="0" w:color="auto"/>
        <w:left w:val="none" w:sz="0" w:space="0" w:color="auto"/>
        <w:bottom w:val="none" w:sz="0" w:space="0" w:color="auto"/>
        <w:right w:val="none" w:sz="0" w:space="0" w:color="auto"/>
      </w:divBdr>
      <w:divsChild>
        <w:div w:id="322973271">
          <w:marLeft w:val="0"/>
          <w:marRight w:val="0"/>
          <w:marTop w:val="0"/>
          <w:marBottom w:val="0"/>
          <w:divBdr>
            <w:top w:val="none" w:sz="0" w:space="0" w:color="auto"/>
            <w:left w:val="none" w:sz="0" w:space="0" w:color="auto"/>
            <w:bottom w:val="none" w:sz="0" w:space="0" w:color="auto"/>
            <w:right w:val="none" w:sz="0" w:space="0" w:color="auto"/>
          </w:divBdr>
        </w:div>
        <w:div w:id="1654791528">
          <w:marLeft w:val="0"/>
          <w:marRight w:val="0"/>
          <w:marTop w:val="0"/>
          <w:marBottom w:val="0"/>
          <w:divBdr>
            <w:top w:val="none" w:sz="0" w:space="0" w:color="auto"/>
            <w:left w:val="none" w:sz="0" w:space="0" w:color="auto"/>
            <w:bottom w:val="none" w:sz="0" w:space="0" w:color="auto"/>
            <w:right w:val="none" w:sz="0" w:space="0" w:color="auto"/>
          </w:divBdr>
        </w:div>
      </w:divsChild>
    </w:div>
    <w:div w:id="1050300992">
      <w:bodyDiv w:val="1"/>
      <w:marLeft w:val="0"/>
      <w:marRight w:val="0"/>
      <w:marTop w:val="0"/>
      <w:marBottom w:val="0"/>
      <w:divBdr>
        <w:top w:val="none" w:sz="0" w:space="0" w:color="auto"/>
        <w:left w:val="none" w:sz="0" w:space="0" w:color="auto"/>
        <w:bottom w:val="none" w:sz="0" w:space="0" w:color="auto"/>
        <w:right w:val="none" w:sz="0" w:space="0" w:color="auto"/>
      </w:divBdr>
    </w:div>
    <w:div w:id="1652172236">
      <w:bodyDiv w:val="1"/>
      <w:marLeft w:val="0"/>
      <w:marRight w:val="0"/>
      <w:marTop w:val="0"/>
      <w:marBottom w:val="0"/>
      <w:divBdr>
        <w:top w:val="none" w:sz="0" w:space="0" w:color="auto"/>
        <w:left w:val="none" w:sz="0" w:space="0" w:color="auto"/>
        <w:bottom w:val="none" w:sz="0" w:space="0" w:color="auto"/>
        <w:right w:val="none" w:sz="0" w:space="0" w:color="auto"/>
      </w:divBdr>
    </w:div>
    <w:div w:id="1725566137">
      <w:bodyDiv w:val="1"/>
      <w:marLeft w:val="0"/>
      <w:marRight w:val="0"/>
      <w:marTop w:val="0"/>
      <w:marBottom w:val="0"/>
      <w:divBdr>
        <w:top w:val="none" w:sz="0" w:space="0" w:color="auto"/>
        <w:left w:val="none" w:sz="0" w:space="0" w:color="auto"/>
        <w:bottom w:val="none" w:sz="0" w:space="0" w:color="auto"/>
        <w:right w:val="none" w:sz="0" w:space="0" w:color="auto"/>
      </w:divBdr>
    </w:div>
    <w:div w:id="1937707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circabc.europa.eu/ui/group/09242a36-a438-40fd-a7af-fe32e36cbd0e/library/76dcefc4-692c-421d-8a5e-54955bb486aa/details?download=true"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licy.trade.ec.europa.eu/eu-trade-relationships-country-and-region/countries-and-regions/indonesia/eu-indonesia-agreements/text-agreements_en"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E8CC58A743B75439E998981FB07EF26" ma:contentTypeVersion="3" ma:contentTypeDescription="Create a new document." ma:contentTypeScope="" ma:versionID="f3fe5b344823301190e1540043392e73">
  <xsd:schema xmlns:xsd="http://www.w3.org/2001/XMLSchema" xmlns:xs="http://www.w3.org/2001/XMLSchema" xmlns:p="http://schemas.microsoft.com/office/2006/metadata/properties" xmlns:ns2="77dfcb89-7363-44ed-9009-efb5c6fe74ac" targetNamespace="http://schemas.microsoft.com/office/2006/metadata/properties" ma:root="true" ma:fieldsID="6d796aa061d835ea4fa4f86de76fb6dd" ns2:_="">
    <xsd:import namespace="77dfcb89-7363-44ed-9009-efb5c6fe74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fcb89-7363-44ed-9009-efb5c6fe7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B532C-CEFB-4F64-A8A1-C4FEB0145CAD}">
  <ds:schemaRefs>
    <ds:schemaRef ds:uri="http://schemas.microsoft.com/sharepoint/v3/contenttype/forms"/>
  </ds:schemaRefs>
</ds:datastoreItem>
</file>

<file path=customXml/itemProps2.xml><?xml version="1.0" encoding="utf-8"?>
<ds:datastoreItem xmlns:ds="http://schemas.openxmlformats.org/officeDocument/2006/customXml" ds:itemID="{5C4FFC0D-D50D-4009-9E7F-24A4E86C6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fcb89-7363-44ed-9009-efb5c6fe7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FA63AC-A280-476F-A162-2451222B6BB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5D29C12-1C5D-424B-9475-3CA0E8371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8</Pages>
  <Words>2484</Words>
  <Characters>14165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2026-06-22T16:50:00Z</dcterms:created>
  <dcterms:modified xsi:type="dcterms:W3CDTF">2026-06-29T07:01:00Z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2026-03-03T16:07:15Z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b35ea231-4521-47b5-a07e-8be5efb140ed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0x010100FE8CC58A743B75439E998981FB07EF26</vt:lpwstr>
  </property>
  <property fmtid="{D5CDD505-2E9C-101B-9397-08002B2CF9AE}" pid="19" name="DQCStatus">
    <vt:lpwstr>Green (DQC version 03)</vt:lpwstr>
  </property>
</Properties>
</file>