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Pr="00CF4A0C" w:rsidRDefault="00B604B0" w:rsidP="00B604B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6CE244-4C1C-4491-A084-2F99EFA9D9BA" style="width:455.25pt;height:342.75pt">
            <v:imagedata r:id="rId11" o:title=""/>
          </v:shape>
        </w:pict>
      </w:r>
    </w:p>
    <w:p w:rsidR="00896269" w:rsidRPr="00CF4A0C" w:rsidRDefault="00896269" w:rsidP="00896269">
      <w:pPr>
        <w:rPr>
          <w:noProof/>
        </w:rPr>
        <w:sectPr w:rsidR="00896269" w:rsidRPr="00CF4A0C" w:rsidSect="00B604B0">
          <w:footerReference w:type="even" r:id="rId12"/>
          <w:footerReference w:type="default" r:id="rId13"/>
          <w:pgSz w:w="11907" w:h="16839"/>
          <w:pgMar w:top="1134" w:right="1417" w:bottom="1134" w:left="1417" w:header="709" w:footer="709" w:gutter="0"/>
          <w:pgNumType w:start="0"/>
          <w:cols w:space="720"/>
          <w:docGrid w:linePitch="360"/>
        </w:sectPr>
      </w:pPr>
    </w:p>
    <w:p w:rsidR="00EB2CCC" w:rsidRPr="00CF4A0C" w:rsidRDefault="4A68D3F3" w:rsidP="003D4FB3">
      <w:pPr>
        <w:pStyle w:val="Exposdesmotifstitre"/>
        <w:rPr>
          <w:noProof/>
        </w:rPr>
      </w:pPr>
      <w:bookmarkStart w:id="0" w:name="_GoBack"/>
      <w:bookmarkEnd w:id="0"/>
      <w:r w:rsidRPr="00CF4A0C">
        <w:rPr>
          <w:noProof/>
        </w:rPr>
        <w:lastRenderedPageBreak/>
        <w:t>EXPUNERE DE MOTIVE</w:t>
      </w:r>
    </w:p>
    <w:p w:rsidR="2941685E" w:rsidRPr="00CF4A0C" w:rsidRDefault="003D4FB3" w:rsidP="003D4FB3">
      <w:pPr>
        <w:pStyle w:val="ManualHeading1"/>
        <w:rPr>
          <w:noProof/>
        </w:rPr>
      </w:pPr>
      <w:r w:rsidRPr="00CF4A0C">
        <w:rPr>
          <w:noProof/>
        </w:rPr>
        <w:t>1.</w:t>
      </w:r>
      <w:r w:rsidRPr="00CF4A0C">
        <w:rPr>
          <w:noProof/>
        </w:rPr>
        <w:tab/>
        <w:t xml:space="preserve">CONTEXTUL PROPUNERII </w:t>
      </w:r>
    </w:p>
    <w:p w:rsidR="2941685E" w:rsidRPr="00CF4A0C" w:rsidRDefault="2941685E" w:rsidP="003D4FB3">
      <w:pPr>
        <w:pStyle w:val="ManualHeading2"/>
        <w:rPr>
          <w:noProof/>
        </w:rPr>
      </w:pPr>
      <w:r w:rsidRPr="00CF4A0C">
        <w:rPr>
          <w:noProof/>
        </w:rPr>
        <w:t>•</w:t>
      </w:r>
      <w:r w:rsidRPr="00CF4A0C">
        <w:rPr>
          <w:noProof/>
        </w:rPr>
        <w:tab/>
        <w:t xml:space="preserve">Motivele și obiectivele propunerii </w:t>
      </w:r>
    </w:p>
    <w:p w:rsidR="2941685E" w:rsidRPr="00CF4A0C" w:rsidRDefault="2941685E" w:rsidP="1B83DB66">
      <w:pPr>
        <w:pBdr>
          <w:top w:val="nil"/>
          <w:left w:val="nil"/>
          <w:bottom w:val="nil"/>
          <w:right w:val="nil"/>
          <w:between w:val="nil"/>
        </w:pBdr>
        <w:spacing w:before="0" w:after="240"/>
        <w:rPr>
          <w:rFonts w:eastAsia="Times New Roman"/>
          <w:noProof/>
          <w:color w:val="000000" w:themeColor="text1"/>
          <w:szCs w:val="24"/>
        </w:rPr>
      </w:pPr>
      <w:r w:rsidRPr="00CF4A0C">
        <w:rPr>
          <w:noProof/>
        </w:rPr>
        <w:t>Indonezia este al 30-lea partener comercial al UE ca mărime pentru mărfuri la nivel mondial și al cincilea partener comercial al UE în cadrul Asociației Națiunilor din Asia de Sud-Est (ASEAN) în 2025, în timp ce UE este al patrulea partener comercial al Indoneziei ca mărime, reprezentând 6 % din comerțul său total.</w:t>
      </w:r>
      <w:r w:rsidRPr="00CF4A0C">
        <w:rPr>
          <w:noProof/>
          <w:color w:val="000000" w:themeColor="text1"/>
        </w:rPr>
        <w:t xml:space="preserve"> Comerțul bilateral dintre cei doi parteneri s-a ridicat la 28,9 miliarde EUR în 2025, exporturile UE ridicându-se la 10,2 miliarde EUR, iar importurile UE la 18,7 miliarde EUR. Exporturile indoneziene către UE includ în principal produse agricole, metale de bază, produse chimice, utilaje și aparate, grăsimi și uleiuri, precum și încălțăminte. Exporturile UE către Indonezia sunt dominate în mare măsură de produse industriale, inclusiv utilaje și aparate, echipamente de transport și produse chimice. Comerțul bilateral cu servicii dintre UE și Indonezia s-a ridicat la 9,3 miliarde EUR în 2024, exporturile UE ridicându-se la 5,8 miliarde EUR, iar importurile la 3,5 miliarde EUR. În 2024, stocul de investiții străine directe (ISD) ale UE în Indonezia s-a ridicat la 24,7 miliarde EUR, în timp ce stocul de ISD ale Indoneziei în UE a fost de 1,3 miliarde EUR.</w:t>
      </w:r>
    </w:p>
    <w:p w:rsidR="2941685E" w:rsidRPr="00CF4A0C" w:rsidRDefault="2941685E" w:rsidP="1B83DB66">
      <w:pPr>
        <w:pBdr>
          <w:top w:val="nil"/>
          <w:left w:val="nil"/>
          <w:bottom w:val="nil"/>
          <w:right w:val="nil"/>
          <w:between w:val="nil"/>
        </w:pBdr>
        <w:spacing w:before="0" w:after="240"/>
        <w:rPr>
          <w:rFonts w:eastAsia="Times New Roman"/>
          <w:noProof/>
          <w:color w:val="000000" w:themeColor="text1"/>
          <w:szCs w:val="24"/>
        </w:rPr>
      </w:pPr>
      <w:r w:rsidRPr="00CF4A0C">
        <w:rPr>
          <w:noProof/>
        </w:rPr>
        <w:t>Indonezia, membră a OMC din 1995, beneficiază în prezent de preferințe comerciale cu UE în cadrul sistemului generalizat de preferințe („SGP”), al cărui al doilea cel mai mare beneficiar este Indonezia.</w:t>
      </w:r>
      <w:r w:rsidRPr="00CF4A0C">
        <w:rPr>
          <w:noProof/>
          <w:color w:val="000000" w:themeColor="text1"/>
        </w:rPr>
        <w:t xml:space="preserve"> În 2024, 44 % din exporturile sale către UE erau eligibile pentru tarife reduse în cadrul SGP. Cu toate acestea, Indonezia va ieși din SGP la 1 ianuarie 2027, datorită statutului său de țară cu venituri medii-superioare din ultimii 3 ani.</w:t>
      </w:r>
    </w:p>
    <w:p w:rsidR="2941685E" w:rsidRPr="00CF4A0C" w:rsidRDefault="2941685E" w:rsidP="7B4F22F7">
      <w:pPr>
        <w:rPr>
          <w:rFonts w:eastAsia="Times New Roman"/>
          <w:noProof/>
          <w:color w:val="000000" w:themeColor="text1"/>
        </w:rPr>
      </w:pPr>
      <w:r w:rsidRPr="00CF4A0C">
        <w:rPr>
          <w:noProof/>
        </w:rPr>
        <w:t>La 23 aprilie 2007, Consiliul a autorizat Comisia să negocieze un acord de liber schimb cu statele membre ale ASEAN, din care Indonezia face parte. Această autorizare prevedea posibilitatea unor negocieri bilaterale cu membrii ASEAN.</w:t>
      </w:r>
    </w:p>
    <w:p w:rsidR="2941685E" w:rsidRPr="00CF4A0C" w:rsidRDefault="2941685E" w:rsidP="003D4FB3">
      <w:pPr>
        <w:rPr>
          <w:noProof/>
        </w:rPr>
      </w:pPr>
      <w:r w:rsidRPr="00CF4A0C">
        <w:rPr>
          <w:noProof/>
        </w:rPr>
        <w:t>În octombrie 2013, Consiliul a extins domeniul de aplicare al directivelor sale de negociere pentru a include dispoziții privind protecția investițiilor.</w:t>
      </w:r>
    </w:p>
    <w:p w:rsidR="2941685E" w:rsidRPr="00CF4A0C" w:rsidRDefault="2941685E" w:rsidP="7B4F22F7">
      <w:pPr>
        <w:rPr>
          <w:rFonts w:eastAsia="Times New Roman"/>
          <w:noProof/>
          <w:color w:val="000000" w:themeColor="text1"/>
        </w:rPr>
      </w:pPr>
      <w:r w:rsidRPr="00CF4A0C">
        <w:rPr>
          <w:noProof/>
        </w:rPr>
        <w:t>La 13 iulie 2016, Consiliul a autorizat Comisia să negocieze un acord de parteneriat economic cuprinzător cu Indonezia (denumit în continuare „CEPA”).</w:t>
      </w:r>
    </w:p>
    <w:p w:rsidR="2941685E" w:rsidRPr="00CF4A0C" w:rsidRDefault="2941685E" w:rsidP="7B4F22F7">
      <w:pPr>
        <w:rPr>
          <w:rFonts w:eastAsia="Times New Roman"/>
          <w:noProof/>
          <w:color w:val="000000" w:themeColor="text1"/>
        </w:rPr>
      </w:pPr>
      <w:r w:rsidRPr="00CF4A0C">
        <w:rPr>
          <w:noProof/>
          <w:color w:val="000000" w:themeColor="text1"/>
        </w:rPr>
        <w:t>Negocierile privind CEPA au fost lansate oficial la 19 iulie 2016 de ministrul indonezian al comerțului, Thomas Lembong, și de ambasadorul UE în Indonezia, Vincent Guérend. Negocierile au inclus protecția investițiilor. Cu toate acestea, în urma Avizului 2/15 al Curții de Justiție din 16 mai 2017, s-a decis că partea referitoare la protecția investițiilor va constitui baza unui acord de sine stătător. Comisia a informat Comitetul pentru politică comercială cu privire la decizia sa de a împărți CEPA și Acordul privind protecția investițiilor (denumit în continuare „IPA”) în 2021, după reluarea negocierilor în urma pandemiei de COVID-19.</w:t>
      </w:r>
    </w:p>
    <w:p w:rsidR="2941685E" w:rsidRPr="00CF4A0C" w:rsidRDefault="2941685E" w:rsidP="7B4F22F7">
      <w:pPr>
        <w:spacing w:before="0" w:after="0"/>
        <w:rPr>
          <w:rFonts w:eastAsia="Times New Roman"/>
          <w:noProof/>
          <w:color w:val="000000" w:themeColor="text1"/>
        </w:rPr>
      </w:pPr>
      <w:r w:rsidRPr="00CF4A0C">
        <w:rPr>
          <w:noProof/>
        </w:rPr>
        <w:t>Negocierile pentru un IPA între Uniunea Europeană și Indonezia s-au încheiat cu succes la 23 septembrie 2025, împreună cu negocierile pentru CEPA.</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Textele revizuite din punct de vedere juridic ale IPA au fost făcute publice și pot fi consultate la următoarea adresă de internet: </w:t>
      </w:r>
    </w:p>
    <w:p w:rsidR="008C3193" w:rsidRPr="00CF4A0C" w:rsidRDefault="00C739BF" w:rsidP="008C3193">
      <w:pPr>
        <w:pBdr>
          <w:top w:val="nil"/>
          <w:left w:val="nil"/>
          <w:bottom w:val="nil"/>
          <w:right w:val="nil"/>
          <w:between w:val="nil"/>
        </w:pBdr>
        <w:spacing w:before="0" w:after="240"/>
        <w:rPr>
          <w:rFonts w:eastAsia="Times New Roman"/>
          <w:noProof/>
          <w:color w:val="000000" w:themeColor="text1"/>
          <w:szCs w:val="24"/>
        </w:rPr>
      </w:pPr>
      <w:hyperlink r:id="rId14" w:history="1">
        <w:r w:rsidR="008C3193" w:rsidRPr="00CF4A0C">
          <w:rPr>
            <w:rStyle w:val="Hyperlink"/>
            <w:noProof/>
          </w:rPr>
          <w:t>Textul acordurilor - Comerț și securitate economică - Comisia Europeană</w:t>
        </w:r>
      </w:hyperlink>
    </w:p>
    <w:p w:rsidR="2941685E" w:rsidRPr="00CF4A0C" w:rsidRDefault="2941685E" w:rsidP="57097F81">
      <w:pPr>
        <w:pBdr>
          <w:top w:val="nil"/>
          <w:left w:val="nil"/>
          <w:bottom w:val="nil"/>
          <w:right w:val="nil"/>
          <w:between w:val="nil"/>
        </w:pBdr>
        <w:spacing w:before="0" w:after="240"/>
        <w:rPr>
          <w:rFonts w:eastAsia="Times New Roman"/>
          <w:noProof/>
          <w:color w:val="000000" w:themeColor="text1"/>
          <w:szCs w:val="24"/>
        </w:rPr>
      </w:pPr>
      <w:r w:rsidRPr="00CF4A0C">
        <w:rPr>
          <w:noProof/>
          <w:color w:val="000000" w:themeColor="text1"/>
        </w:rPr>
        <w:t xml:space="preserve">Comisia înaintează următoarele propuneri de decizii ale Consiliului: </w:t>
      </w:r>
    </w:p>
    <w:p w:rsidR="70EF161C" w:rsidRPr="00CF4A0C" w:rsidRDefault="70EF161C" w:rsidP="00861F65">
      <w:pPr>
        <w:pStyle w:val="Tiret1"/>
        <w:numPr>
          <w:ilvl w:val="0"/>
          <w:numId w:val="5"/>
        </w:numPr>
        <w:rPr>
          <w:noProof/>
        </w:rPr>
      </w:pPr>
      <w:r w:rsidRPr="00CF4A0C">
        <w:rPr>
          <w:noProof/>
        </w:rPr>
        <w:lastRenderedPageBreak/>
        <w:t xml:space="preserve">propunere de decizie a Consiliului privind semnarea Acordului de parteneriat economic cuprinzător dintre Uniunea Europeană și Indonezia; </w:t>
      </w:r>
    </w:p>
    <w:p w:rsidR="70EF161C" w:rsidRPr="00CF4A0C" w:rsidRDefault="70EF161C" w:rsidP="003D4FB3">
      <w:pPr>
        <w:pStyle w:val="Tiret1"/>
        <w:rPr>
          <w:noProof/>
        </w:rPr>
      </w:pPr>
      <w:r w:rsidRPr="00CF4A0C">
        <w:rPr>
          <w:noProof/>
        </w:rPr>
        <w:t xml:space="preserve">propunere de decizie a Consiliului privind încheierea Acordului de parteneriat economic cuprinzător dintre Uniunea Europeană și Indonezia; </w:t>
      </w:r>
    </w:p>
    <w:p w:rsidR="70EF161C" w:rsidRPr="00CF4A0C" w:rsidRDefault="70EF161C" w:rsidP="003D4FB3">
      <w:pPr>
        <w:pStyle w:val="Tiret1"/>
        <w:rPr>
          <w:noProof/>
        </w:rPr>
      </w:pPr>
      <w:r w:rsidRPr="00CF4A0C">
        <w:rPr>
          <w:noProof/>
        </w:rPr>
        <w:t xml:space="preserve">propunere de decizie a Consiliului privind semnarea Acordului privind protecția investițiilor dintre Uniunea Europeană și Indonezia; </w:t>
      </w:r>
    </w:p>
    <w:p w:rsidR="70EF161C" w:rsidRPr="00CF4A0C" w:rsidRDefault="70EF161C" w:rsidP="003D4FB3">
      <w:pPr>
        <w:pStyle w:val="Tiret1"/>
        <w:rPr>
          <w:noProof/>
        </w:rPr>
      </w:pPr>
      <w:r w:rsidRPr="00CF4A0C">
        <w:rPr>
          <w:noProof/>
        </w:rPr>
        <w:t xml:space="preserve">propunere de decizie a Consiliului privind încheierea Acordului privind protecția investițiilor dintre Uniunea Europeană și Indonezia.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Propunerea de decizie a Consiliului anexată constituie instrumentul juridic pentru încheierea IPA dintre Uniunea Europeană și Indonezia. </w:t>
      </w:r>
    </w:p>
    <w:p w:rsidR="2941685E" w:rsidRPr="00CF4A0C" w:rsidRDefault="2941685E" w:rsidP="003D4FB3">
      <w:pPr>
        <w:pStyle w:val="ManualHeading2"/>
        <w:rPr>
          <w:noProof/>
        </w:rPr>
      </w:pPr>
      <w:r w:rsidRPr="00CF4A0C">
        <w:rPr>
          <w:noProof/>
        </w:rPr>
        <w:t>•</w:t>
      </w:r>
      <w:r w:rsidRPr="00CF4A0C">
        <w:rPr>
          <w:noProof/>
        </w:rPr>
        <w:tab/>
        <w:t xml:space="preserve">Coerența cu dispozițiile de politică deja existente în domeniul de politică vizat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Înainte de încheierea negocierilor pentru IPA, UE și Indonezia au negociat un acord de parteneriat și cooperare (APC), care a fost semnat la Jakarta la 9 noiembrie 2009 și a intrat în vigoare la 1 mai 2014. Acordul oferă baza pentru cooperarea într-o gamă largă de domenii de politică, inclusiv drepturile omului și comerțul, precum și pentru desfășurarea unui dialog politic periodic și a unei cooperări sectoriale.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Odată cu intrarea în vigoare a IPA, acesta va coexista cu APC ca acord specific și ca parte integrantă a relațiilor bilaterale globale dintre UE și Indonezia. Cele două acorduri nu conțin dispoziții contradictorii.</w:t>
      </w:r>
    </w:p>
    <w:p w:rsidR="2941685E" w:rsidRPr="00CF4A0C" w:rsidRDefault="2941685E" w:rsidP="003D4FB3">
      <w:pPr>
        <w:pStyle w:val="ManualHeading2"/>
        <w:rPr>
          <w:noProof/>
        </w:rPr>
      </w:pPr>
      <w:r w:rsidRPr="00CF4A0C">
        <w:rPr>
          <w:noProof/>
        </w:rPr>
        <w:t>•</w:t>
      </w:r>
      <w:r w:rsidRPr="00CF4A0C">
        <w:rPr>
          <w:noProof/>
        </w:rPr>
        <w:tab/>
        <w:t xml:space="preserve">Coerența cu alte politici ale Uniunii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IPA este pe deplin coerent cu politicile Uniunii și nu va fi necesar ca UE să își modifice normele, reglementările sau standardele în niciun domeniu reglementat. În plus, CEPA garantează pe deplin dreptul UE și al Indoneziei de a reglementa pe teritoriile lor pentru a atinge obiective de politică legitime, cum ar fi protecția moralității publice, protecția socială sau a consumatorilor, protecția vieții private și a datelor, dezvoltarea durabilă sau promovarea și protecția diversității culturale. </w:t>
      </w:r>
    </w:p>
    <w:p w:rsidR="2941685E" w:rsidRPr="00CF4A0C" w:rsidRDefault="2941685E" w:rsidP="003D4FB3">
      <w:pPr>
        <w:pStyle w:val="ManualHeading1"/>
        <w:rPr>
          <w:noProof/>
        </w:rPr>
      </w:pPr>
      <w:r w:rsidRPr="00CF4A0C">
        <w:rPr>
          <w:noProof/>
        </w:rPr>
        <w:t>2.</w:t>
      </w:r>
      <w:r w:rsidRPr="00CF4A0C">
        <w:rPr>
          <w:noProof/>
        </w:rPr>
        <w:tab/>
        <w:t xml:space="preserve">TEMEIUL JURIDIC, SUBSIDIARITATEA ȘI PROPORȚIONALITATEA </w:t>
      </w:r>
    </w:p>
    <w:p w:rsidR="2941685E" w:rsidRPr="00CF4A0C" w:rsidRDefault="2941685E" w:rsidP="003D4FB3">
      <w:pPr>
        <w:pStyle w:val="ManualHeading2"/>
        <w:rPr>
          <w:noProof/>
        </w:rPr>
      </w:pPr>
      <w:r w:rsidRPr="00CF4A0C">
        <w:rPr>
          <w:noProof/>
        </w:rPr>
        <w:t>•</w:t>
      </w:r>
      <w:r w:rsidRPr="00CF4A0C">
        <w:rPr>
          <w:noProof/>
        </w:rPr>
        <w:tab/>
        <w:t xml:space="preserve">Temeiul juridic material </w:t>
      </w:r>
    </w:p>
    <w:p w:rsidR="2941685E" w:rsidRPr="00CF4A0C" w:rsidRDefault="2941685E" w:rsidP="57097F81">
      <w:pPr>
        <w:pBdr>
          <w:top w:val="nil"/>
          <w:left w:val="nil"/>
          <w:bottom w:val="nil"/>
          <w:right w:val="nil"/>
          <w:between w:val="nil"/>
        </w:pBdr>
        <w:spacing w:before="0" w:after="240"/>
        <w:rPr>
          <w:rFonts w:eastAsia="Times New Roman"/>
          <w:noProof/>
          <w:color w:val="000000" w:themeColor="text1"/>
          <w:szCs w:val="24"/>
        </w:rPr>
      </w:pPr>
      <w:r w:rsidRPr="00CF4A0C">
        <w:rPr>
          <w:noProof/>
          <w:color w:val="000000" w:themeColor="text1"/>
        </w:rPr>
        <w:t>Articolul 207 din Tratatul privind funcționarea Uniunii Europene (TFUE) prevede negocierea și încheierea de acorduri comerciale în cadrul politicii comerciale comune a Uniunii, care acoperă investițiile străine directe.</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Având în vedere că principalul obiectiv al IPA este de a crea un climat mai bun pentru dezvoltarea investițiilor străine directe între UE și Indonezia și de a stabili dispozițiile necesare pentru protejarea acestor investiții, temeiul juridic material este articolul 207 din TFUE.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Având în vedere obiectul acordului avut în vedere, este oportună prezentarea de către Comisie a unei propuneri adresate Consiliului.</w:t>
      </w:r>
    </w:p>
    <w:p w:rsidR="2941685E" w:rsidRPr="00CF4A0C" w:rsidRDefault="003D4FB3" w:rsidP="003D4FB3">
      <w:pPr>
        <w:pStyle w:val="ManualHeading2"/>
        <w:rPr>
          <w:noProof/>
        </w:rPr>
      </w:pPr>
      <w:r w:rsidRPr="00CF4A0C">
        <w:rPr>
          <w:noProof/>
        </w:rPr>
        <w:lastRenderedPageBreak/>
        <w:t>•</w:t>
      </w:r>
      <w:r w:rsidRPr="00CF4A0C">
        <w:rPr>
          <w:noProof/>
        </w:rPr>
        <w:tab/>
        <w:t>Temeiul juridic procedural</w:t>
      </w:r>
    </w:p>
    <w:p w:rsidR="00733C17" w:rsidRPr="00CF4A0C" w:rsidRDefault="00733C17" w:rsidP="003D4FB3">
      <w:pPr>
        <w:rPr>
          <w:rStyle w:val="eop"/>
          <w:noProof/>
          <w:color w:val="000000" w:themeColor="text1"/>
        </w:rPr>
      </w:pPr>
      <w:r w:rsidRPr="00CF4A0C">
        <w:rPr>
          <w:noProof/>
        </w:rPr>
        <w:t xml:space="preserve">Având în vedere că articolul 207 din TFUE este temeiul juridic material, </w:t>
      </w:r>
      <w:r w:rsidRPr="00CF4A0C">
        <w:rPr>
          <w:rStyle w:val="eop"/>
          <w:noProof/>
          <w:color w:val="000000" w:themeColor="text1"/>
        </w:rPr>
        <w:t xml:space="preserve">Consiliul trebuie să adopte decizia privind încheierea acordului </w:t>
      </w:r>
      <w:r w:rsidRPr="00CF4A0C">
        <w:rPr>
          <w:noProof/>
        </w:rPr>
        <w:t xml:space="preserve">după obținerea aprobării </w:t>
      </w:r>
      <w:r w:rsidRPr="00CF4A0C">
        <w:rPr>
          <w:rStyle w:val="eop"/>
          <w:noProof/>
          <w:color w:val="000000" w:themeColor="text1"/>
        </w:rPr>
        <w:t xml:space="preserve">Parlamentului European, în conformitate cu </w:t>
      </w:r>
      <w:r w:rsidRPr="00CF4A0C">
        <w:rPr>
          <w:noProof/>
        </w:rPr>
        <w:t>articolul 218 alineatul (6) litera (a) din TFUE</w:t>
      </w:r>
      <w:r w:rsidRPr="00CF4A0C">
        <w:rPr>
          <w:rStyle w:val="eop"/>
          <w:noProof/>
          <w:color w:val="000000" w:themeColor="text1"/>
        </w:rPr>
        <w:t>.</w:t>
      </w:r>
    </w:p>
    <w:p w:rsidR="00733C17" w:rsidRPr="00CF4A0C" w:rsidRDefault="00733C17" w:rsidP="00733C17">
      <w:pPr>
        <w:pBdr>
          <w:top w:val="nil"/>
          <w:left w:val="nil"/>
          <w:bottom w:val="nil"/>
          <w:right w:val="nil"/>
          <w:between w:val="nil"/>
        </w:pBdr>
        <w:spacing w:before="0" w:after="240"/>
        <w:rPr>
          <w:rFonts w:eastAsia="Times New Roman"/>
          <w:noProof/>
          <w:color w:val="000000" w:themeColor="text1"/>
        </w:rPr>
      </w:pPr>
      <w:r w:rsidRPr="00CF4A0C">
        <w:rPr>
          <w:noProof/>
        </w:rPr>
        <w:t>Prin urmare, temeiul juridic procedural al deciziei propuse privind încheierea acordului este articolul 218 alineatul (6) al doilea paragraf litera (a) din TFUE.</w:t>
      </w:r>
    </w:p>
    <w:p w:rsidR="2941685E" w:rsidRPr="00CF4A0C" w:rsidRDefault="003D4FB3" w:rsidP="003D4FB3">
      <w:pPr>
        <w:pStyle w:val="ManualHeading2"/>
        <w:rPr>
          <w:noProof/>
        </w:rPr>
      </w:pPr>
      <w:r w:rsidRPr="00CF4A0C">
        <w:rPr>
          <w:noProof/>
        </w:rPr>
        <w:t>•</w:t>
      </w:r>
      <w:r w:rsidRPr="00CF4A0C">
        <w:rPr>
          <w:noProof/>
        </w:rPr>
        <w:tab/>
        <w:t xml:space="preserve">Competența Uniunii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În conformitate cu Avizul 2/15 privind ALS UE-Singapore al Curții de Justiție din 16 mai 2017, toate domeniile acoperite de IPA ar intra în sfera de competență exclusivă a UE și, în special, în domeniul de aplicare al articolului 207 din TFUE. Curtea a confirmat competența exclusivă a UE în cadrul politicii comerciale comune în temeiul articolului 207 alineatul (1) din TFUE și al articolului 3 alineatul (2) din TFUE.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Prin urmare, IPA trebuie să fie încheiat de Uniune în temeiul unei decizii a Consiliului pe baza articolului 218 alineatul (6) din TFUE, după aprobarea Parlamentului European.</w:t>
      </w:r>
    </w:p>
    <w:p w:rsidR="2941685E" w:rsidRPr="00CF4A0C" w:rsidRDefault="2941685E" w:rsidP="003D4FB3">
      <w:pPr>
        <w:pStyle w:val="ManualHeading2"/>
        <w:rPr>
          <w:noProof/>
        </w:rPr>
      </w:pPr>
      <w:r w:rsidRPr="00CF4A0C">
        <w:rPr>
          <w:noProof/>
        </w:rPr>
        <w:t>•</w:t>
      </w:r>
      <w:r w:rsidRPr="00CF4A0C">
        <w:rPr>
          <w:noProof/>
        </w:rPr>
        <w:tab/>
        <w:t>Subsidiaritatea (în cazul competențelor neexclusive)</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IPA, astfel cum a fost prezentat Consiliului, nu vizează niciun fel de chestiuni care nu sunt de competența exclusivă a UE. </w:t>
      </w:r>
    </w:p>
    <w:p w:rsidR="2941685E" w:rsidRPr="00CF4A0C" w:rsidRDefault="2941685E" w:rsidP="003D4FB3">
      <w:pPr>
        <w:pStyle w:val="ManualHeading2"/>
        <w:rPr>
          <w:noProof/>
        </w:rPr>
      </w:pPr>
      <w:r w:rsidRPr="00CF4A0C">
        <w:rPr>
          <w:noProof/>
        </w:rPr>
        <w:t>•</w:t>
      </w:r>
      <w:r w:rsidRPr="00CF4A0C">
        <w:rPr>
          <w:noProof/>
        </w:rPr>
        <w:tab/>
        <w:t xml:space="preserve">Proporționalitatea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Acordurile de protecție a investițiilor constituie mijloacele adecvate pentru a crea un climat mai bun pentru dezvoltarea investițiilor străine directe și pentru a stabili dispozițiile necesare pentru protejarea acestor investiții între UE și o țară terță. Nu există nicio altă soluție pentru ca astfel de eforturi de protecție să devină obligatorii din punct de vedere juridic.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Inițiativa urmărește în mod direct obiectivul Uniunii din domeniul acțiunii externe și contribuie la prioritatea politică „O UE mai puternică pe plan internațional”. Inițiativa este conformă cu orientările Strategiei globale a UE referitoare la colaborarea cu alte părți și la reînnoirea parteneriatelor externe într-un mod responsabil, astfel încât să se atingă prioritățile externe ale UE. Ea contribuie la obiectivele comerciale și de dezvoltare ale UE.</w:t>
      </w:r>
    </w:p>
    <w:p w:rsidR="2941685E" w:rsidRPr="00CF4A0C" w:rsidRDefault="2941685E" w:rsidP="003D4FB3">
      <w:pPr>
        <w:pStyle w:val="ManualHeading2"/>
        <w:rPr>
          <w:noProof/>
        </w:rPr>
      </w:pPr>
      <w:r w:rsidRPr="00CF4A0C">
        <w:rPr>
          <w:noProof/>
        </w:rPr>
        <w:t>•</w:t>
      </w:r>
      <w:r w:rsidRPr="00CF4A0C">
        <w:rPr>
          <w:noProof/>
        </w:rPr>
        <w:tab/>
        <w:t xml:space="preserve">Alegerea instrumentului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Prezenta propunere este conformă cu articolul 218 alineatul (6) din TFUE, care prevede adoptarea de către Consiliu a deciziilor privind încheierea acordurilor internaționale. Nu există un alt instrument juridic care ar putea fi folosit în scopul realizării obiectivului exprimat în prezenta propunere. Prezenta propunere de decizie a Consiliului este prezentată în conformitate cu articolul 218 alineatul (6) din TFUE, care prevede adoptarea de către Consiliu a unei decizii privind încheierea acordului. Nu există un alt instrument juridic care ar putea fi folosit în scopul realizării obiectivului prevăzut în prezenta propunere. </w:t>
      </w:r>
    </w:p>
    <w:p w:rsidR="2941685E" w:rsidRPr="00CF4A0C" w:rsidRDefault="2941685E" w:rsidP="003D4FB3">
      <w:pPr>
        <w:pStyle w:val="ManualHeading1"/>
        <w:rPr>
          <w:noProof/>
        </w:rPr>
      </w:pPr>
      <w:r w:rsidRPr="00CF4A0C">
        <w:rPr>
          <w:noProof/>
        </w:rPr>
        <w:t>3.</w:t>
      </w:r>
      <w:r w:rsidRPr="00CF4A0C">
        <w:rPr>
          <w:noProof/>
        </w:rPr>
        <w:tab/>
        <w:t xml:space="preserve">REZULTATELE EVALUĂRILOR </w:t>
      </w:r>
      <w:r w:rsidRPr="00CF4A0C">
        <w:rPr>
          <w:i/>
          <w:iCs/>
          <w:noProof/>
        </w:rPr>
        <w:t>EX POST</w:t>
      </w:r>
      <w:r w:rsidRPr="00CF4A0C">
        <w:rPr>
          <w:noProof/>
        </w:rPr>
        <w:t xml:space="preserve">, ALE CONSULTĂRILOR CU PĂRȚILE INTERESATE ȘI ALE EVALUĂRILOR IMPACTULUI </w:t>
      </w:r>
    </w:p>
    <w:p w:rsidR="2941685E" w:rsidRPr="00CF4A0C" w:rsidRDefault="2941685E" w:rsidP="003D4FB3">
      <w:pPr>
        <w:pStyle w:val="ManualHeading2"/>
        <w:rPr>
          <w:noProof/>
        </w:rPr>
      </w:pPr>
      <w:r w:rsidRPr="00CF4A0C">
        <w:rPr>
          <w:noProof/>
        </w:rPr>
        <w:t>•</w:t>
      </w:r>
      <w:r w:rsidRPr="00CF4A0C">
        <w:rPr>
          <w:noProof/>
        </w:rPr>
        <w:tab/>
        <w:t xml:space="preserve">Consultarea cu părțile interesate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Înainte și în timpul negocierilor, statele membre ale UE au fost informate și consultate în mod regulat, pe cale orală și în scris, cu privire la diferitele aspecte ale negocierii prin intermediul Comitetului pentru politică comercială al Consiliului, inclusiv în cadrul subgrupului său </w:t>
      </w:r>
      <w:r w:rsidRPr="00CF4A0C">
        <w:rPr>
          <w:noProof/>
          <w:color w:val="000000" w:themeColor="text1"/>
        </w:rPr>
        <w:lastRenderedPageBreak/>
        <w:t>privind serviciile și investițiile. De asemenea, Parlamentul European a fost informat și consultat periodic, prin intermediul Comisiei sale pentru comerț internațional („INTA”). Textele care au rezultat progresiv în urma negocierilor au fost transmise ambelor instituții pe parcursul procesului.</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rPr>
        <w:t xml:space="preserve">În paralel cu negocierile, Comisia a comandat o </w:t>
      </w:r>
      <w:hyperlink r:id="rId15">
        <w:r w:rsidRPr="00CF4A0C">
          <w:rPr>
            <w:rStyle w:val="Hyperlink"/>
            <w:noProof/>
          </w:rPr>
          <w:t>evaluare a impactului asupra dezvoltării durabile</w:t>
        </w:r>
      </w:hyperlink>
      <w:r w:rsidRPr="00CF4A0C">
        <w:rPr>
          <w:noProof/>
        </w:rPr>
        <w:t xml:space="preserve"> a CEPA dintre UE și Indonezia.</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Evaluarea impactului asupra dezvoltării durabile, care a fost finalizată în septembrie 2019 pentru a sprijini negocierile privind un acord de liber schimb și de protecție a investițiilor, a examinat modul în care dispozițiile privind comerțul și investițiile ale CEPA în curs de negociere ar putea afecta aspectele economice, sociale, legate de drepturile omului și de mediu în UE și în Indonezia. Ea s-a bazat pe analiza prezentată în evaluarea impactului asupra dezvoltării durabile efectuată în 2009 în sprijinul negocierilor interregionale pentru un acord comercial UE-ASEAN, oferind informații mai actualizate și punând un accent clar pe caracteristicile specifice și impactul potențial al negocierilor bilaterale numai cu Indonezia.</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În ansamblu, evaluarea impactului asupra dezvoltării durabile a concluzionat că se preconiza că acordul va avea un impact pozitiv asupra ambelor părți și a societăților acestora, asupra tuturor indicatorilor-cheie economici (PIB, bunăstare, comerț mondial și comerț bilateral), amploarea lor comparativă fiind mai mare în Indonezia decât în UE din cauza diferențelor în ceea ce privește dimensiunile relative ale celor două economii.</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În contextul evaluării impactului asupra dezvoltării durabile și pe parcursul negocierilor, Comisia a oferit organizațiilor societății civile posibilitatea de a-și face auzită vocea, de a adresa întrebări și de a contribui la o dezbatere societală solidă, bazată pe dovezi și transparentă, inclusiv prin dialoguri specifice cu societatea civilă, un atelier cu părțile interesate locale din Indonezia, reuniuni bilaterale, interviuri și sondaje online.</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În plus, în cursul negocierilor și în conformitate cu politica de transparență, Comisia a publicat pe site-ul său web rapoarte actualizate periodic privind rundele de negocieri, propunerile de text, comunicatele de presă, fișele informative și materialele de informare generală.</w:t>
      </w:r>
    </w:p>
    <w:p w:rsidR="2941685E" w:rsidRPr="00CF4A0C" w:rsidRDefault="2941685E" w:rsidP="003D4FB3">
      <w:pPr>
        <w:pStyle w:val="ManualHeading2"/>
        <w:rPr>
          <w:noProof/>
        </w:rPr>
      </w:pPr>
      <w:r w:rsidRPr="00CF4A0C">
        <w:rPr>
          <w:noProof/>
        </w:rPr>
        <w:t>•</w:t>
      </w:r>
      <w:r w:rsidRPr="00CF4A0C">
        <w:rPr>
          <w:noProof/>
        </w:rPr>
        <w:tab/>
        <w:t xml:space="preserve">Obținerea și utilizarea expertizei </w:t>
      </w:r>
    </w:p>
    <w:p w:rsidR="2941685E" w:rsidRPr="00CF4A0C" w:rsidRDefault="2941685E" w:rsidP="57097F81">
      <w:pPr>
        <w:pBdr>
          <w:top w:val="nil"/>
          <w:left w:val="nil"/>
          <w:bottom w:val="nil"/>
          <w:right w:val="nil"/>
          <w:between w:val="nil"/>
        </w:pBdr>
        <w:spacing w:before="0" w:after="240"/>
        <w:rPr>
          <w:rFonts w:eastAsia="Times New Roman"/>
          <w:noProof/>
          <w:color w:val="000000" w:themeColor="text1"/>
          <w:szCs w:val="24"/>
        </w:rPr>
      </w:pPr>
      <w:r w:rsidRPr="00CF4A0C">
        <w:rPr>
          <w:noProof/>
          <w:color w:val="000000" w:themeColor="text1"/>
        </w:rPr>
        <w:t xml:space="preserve">Evaluarea impactului asupra dezvoltării durabile a CEPA, comandată de Direcția Generală Comerț a Comisiei, a fost efectuată de un consorțiu de societăți independente de consultanță condus de Development Solutions. </w:t>
      </w:r>
    </w:p>
    <w:p w:rsidR="2941685E" w:rsidRPr="00CF4A0C" w:rsidRDefault="2941685E" w:rsidP="003D4FB3">
      <w:pPr>
        <w:pStyle w:val="ManualHeading2"/>
        <w:rPr>
          <w:noProof/>
        </w:rPr>
      </w:pPr>
      <w:r w:rsidRPr="00CF4A0C">
        <w:rPr>
          <w:noProof/>
        </w:rPr>
        <w:t>•</w:t>
      </w:r>
      <w:r w:rsidRPr="00CF4A0C">
        <w:rPr>
          <w:noProof/>
        </w:rPr>
        <w:tab/>
        <w:t xml:space="preserve">Evaluarea impactului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Negocierile referitoare la acordurile bilaterale de liber schimb dintre UE și țările din Asia de Sud-Est au făcut obiectul evaluării impactului efectuate la momentul propunerii Comisiei privind un mandat de negociere pentru un acord de liber schimb UE-ASEAN. </w:t>
      </w:r>
    </w:p>
    <w:p w:rsidR="2941685E" w:rsidRPr="00CF4A0C" w:rsidRDefault="2941685E" w:rsidP="003D4FB3">
      <w:pPr>
        <w:pStyle w:val="ManualHeading2"/>
        <w:rPr>
          <w:noProof/>
        </w:rPr>
      </w:pPr>
      <w:r w:rsidRPr="00CF4A0C">
        <w:rPr>
          <w:noProof/>
        </w:rPr>
        <w:t>•</w:t>
      </w:r>
      <w:r w:rsidRPr="00CF4A0C">
        <w:rPr>
          <w:noProof/>
        </w:rPr>
        <w:tab/>
        <w:t xml:space="preserve">Adecvarea reglementărilor și simplificarea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IPA nu face obiectul procedurilor REFIT.</w:t>
      </w:r>
    </w:p>
    <w:p w:rsidR="2941685E" w:rsidRPr="00CF4A0C" w:rsidRDefault="2941685E" w:rsidP="003D4FB3">
      <w:pPr>
        <w:pStyle w:val="ManualHeading2"/>
        <w:rPr>
          <w:noProof/>
        </w:rPr>
      </w:pPr>
      <w:r w:rsidRPr="00CF4A0C">
        <w:rPr>
          <w:noProof/>
        </w:rPr>
        <w:t>•</w:t>
      </w:r>
      <w:r w:rsidRPr="00CF4A0C">
        <w:rPr>
          <w:noProof/>
        </w:rPr>
        <w:tab/>
        <w:t xml:space="preserve">Drepturile fundamentale </w:t>
      </w:r>
    </w:p>
    <w:p w:rsidR="2941685E" w:rsidRPr="00CF4A0C" w:rsidRDefault="2941685E" w:rsidP="57097F81">
      <w:pPr>
        <w:pBdr>
          <w:top w:val="nil"/>
          <w:left w:val="nil"/>
          <w:bottom w:val="nil"/>
          <w:right w:val="nil"/>
          <w:between w:val="nil"/>
        </w:pBdr>
        <w:spacing w:before="0" w:after="240"/>
        <w:rPr>
          <w:rFonts w:eastAsia="Times New Roman"/>
          <w:noProof/>
          <w:color w:val="000000" w:themeColor="text1"/>
          <w:szCs w:val="24"/>
        </w:rPr>
      </w:pPr>
      <w:r w:rsidRPr="00CF4A0C">
        <w:rPr>
          <w:noProof/>
          <w:color w:val="000000" w:themeColor="text1"/>
        </w:rPr>
        <w:t xml:space="preserve">Propunerea nu aduce atingere protecției drepturilor fundamentale în Uniune. </w:t>
      </w:r>
    </w:p>
    <w:p w:rsidR="2941685E" w:rsidRPr="00CF4A0C" w:rsidRDefault="2941685E" w:rsidP="003D4FB3">
      <w:pPr>
        <w:pStyle w:val="ManualHeading1"/>
        <w:rPr>
          <w:noProof/>
        </w:rPr>
      </w:pPr>
      <w:r w:rsidRPr="00CF4A0C">
        <w:rPr>
          <w:noProof/>
        </w:rPr>
        <w:lastRenderedPageBreak/>
        <w:t>4.</w:t>
      </w:r>
      <w:r w:rsidRPr="00CF4A0C">
        <w:rPr>
          <w:noProof/>
        </w:rPr>
        <w:tab/>
        <w:t xml:space="preserve">IMPLICAȚII BUGETARE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IPA nu va avea niciun impact financiar asupra bugetului UE.</w:t>
      </w:r>
    </w:p>
    <w:p w:rsidR="2941685E" w:rsidRPr="00CF4A0C" w:rsidRDefault="2941685E" w:rsidP="003D4FB3">
      <w:pPr>
        <w:pStyle w:val="ManualHeading1"/>
        <w:rPr>
          <w:noProof/>
        </w:rPr>
      </w:pPr>
      <w:r w:rsidRPr="00CF4A0C">
        <w:rPr>
          <w:noProof/>
        </w:rPr>
        <w:t>5.</w:t>
      </w:r>
      <w:r w:rsidRPr="00CF4A0C">
        <w:rPr>
          <w:noProof/>
        </w:rPr>
        <w:tab/>
        <w:t xml:space="preserve">ALTE ELEMENTE </w:t>
      </w:r>
    </w:p>
    <w:p w:rsidR="2941685E" w:rsidRPr="00CF4A0C" w:rsidRDefault="2941685E" w:rsidP="003D4FB3">
      <w:pPr>
        <w:pStyle w:val="ManualHeading2"/>
        <w:rPr>
          <w:noProof/>
        </w:rPr>
      </w:pPr>
      <w:r w:rsidRPr="00CF4A0C">
        <w:rPr>
          <w:noProof/>
        </w:rPr>
        <w:t>•</w:t>
      </w:r>
      <w:r w:rsidRPr="00CF4A0C">
        <w:rPr>
          <w:noProof/>
        </w:rPr>
        <w:tab/>
        <w:t xml:space="preserve">Planurile de punere în aplicare și măsurile de monitorizare, evaluare și raportare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IPA prevede dispoziții instituționale care stabilesc structura organismelor de punere în aplicare responsabile cu monitorizarea continuă a punerii în aplicare, a funcționării și a impactului IPA.</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Capitolul din IPA referitor la instituții instituie un comitet a cărui sarcină principală este să monitorizeze și să faciliteze punerea în aplicare și executarea IPA. </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Comitetul va desfășura un schimb de opinii pe teme legate de punerea în aplicare a acordului cu reprezentanții societății civile care participă la un dialog cu societatea civilă.</w:t>
      </w:r>
    </w:p>
    <w:p w:rsidR="2941685E" w:rsidRPr="00CF4A0C" w:rsidRDefault="2941685E" w:rsidP="7B4F22F7">
      <w:pPr>
        <w:pBdr>
          <w:top w:val="nil"/>
          <w:left w:val="nil"/>
          <w:bottom w:val="nil"/>
          <w:right w:val="nil"/>
          <w:between w:val="nil"/>
        </w:pBdr>
        <w:spacing w:before="0" w:after="240"/>
        <w:rPr>
          <w:rFonts w:eastAsia="Times New Roman"/>
          <w:noProof/>
          <w:color w:val="000000" w:themeColor="text1"/>
        </w:rPr>
      </w:pPr>
      <w:r w:rsidRPr="00CF4A0C">
        <w:rPr>
          <w:noProof/>
          <w:color w:val="000000" w:themeColor="text1"/>
        </w:rPr>
        <w:t xml:space="preserve">IPA instituie, de asemenea, grupuri consultative interne care asigură o reprezentare echilibrată a organizațiilor independente ale societății civile, pe baza unei abordări multipartite care include grupuri de interese relevante în domeniul economic, social și al mediului. Grupurile consultative interne pot prezenta opinii și recomandări cu privire la funcționarea și punerea în aplicare a IPA și se reunesc cel puțin o dată pe an. </w:t>
      </w:r>
    </w:p>
    <w:p w:rsidR="2941685E" w:rsidRPr="00CF4A0C" w:rsidRDefault="2941685E" w:rsidP="003D4FB3">
      <w:pPr>
        <w:pStyle w:val="ManualHeading2"/>
        <w:rPr>
          <w:noProof/>
        </w:rPr>
      </w:pPr>
      <w:r w:rsidRPr="00CF4A0C">
        <w:rPr>
          <w:noProof/>
        </w:rPr>
        <w:t>•</w:t>
      </w:r>
      <w:r w:rsidRPr="00CF4A0C">
        <w:rPr>
          <w:noProof/>
        </w:rPr>
        <w:tab/>
        <w:t xml:space="preserve">Documente explicative (în cazul directivelor) </w:t>
      </w:r>
    </w:p>
    <w:p w:rsidR="2941685E" w:rsidRPr="00CF4A0C" w:rsidRDefault="2941685E" w:rsidP="57097F81">
      <w:pPr>
        <w:pBdr>
          <w:top w:val="nil"/>
          <w:left w:val="nil"/>
          <w:bottom w:val="nil"/>
          <w:right w:val="nil"/>
          <w:between w:val="nil"/>
        </w:pBdr>
        <w:spacing w:before="0" w:after="240"/>
        <w:rPr>
          <w:rFonts w:eastAsia="Times New Roman"/>
          <w:noProof/>
          <w:color w:val="000000" w:themeColor="text1"/>
          <w:szCs w:val="24"/>
        </w:rPr>
      </w:pPr>
      <w:r w:rsidRPr="00CF4A0C">
        <w:rPr>
          <w:noProof/>
          <w:color w:val="000000" w:themeColor="text1"/>
        </w:rPr>
        <w:t xml:space="preserve">Nu se aplică. </w:t>
      </w:r>
    </w:p>
    <w:p w:rsidR="2941685E" w:rsidRPr="00CF4A0C" w:rsidRDefault="2941685E" w:rsidP="003D4FB3">
      <w:pPr>
        <w:pStyle w:val="ManualHeading2"/>
        <w:rPr>
          <w:noProof/>
        </w:rPr>
      </w:pPr>
      <w:r w:rsidRPr="00CF4A0C">
        <w:rPr>
          <w:noProof/>
        </w:rPr>
        <w:t>•</w:t>
      </w:r>
      <w:r w:rsidRPr="00CF4A0C">
        <w:rPr>
          <w:noProof/>
        </w:rPr>
        <w:tab/>
        <w:t xml:space="preserve">Explicarea detaliată a dispozițiilor specifice ale propunerii </w:t>
      </w:r>
    </w:p>
    <w:p w:rsidR="2941685E" w:rsidRPr="00CF4A0C" w:rsidRDefault="2941685E" w:rsidP="003D4FB3">
      <w:pPr>
        <w:rPr>
          <w:noProof/>
        </w:rPr>
      </w:pPr>
      <w:r w:rsidRPr="00CF4A0C">
        <w:rPr>
          <w:noProof/>
        </w:rPr>
        <w:t>Dispozițiile IPA stabilesc cadrul juridic pentru protecția investitorilor și a investițiilor acestora pe teritoriile respective ale UE și ale Indoneziei. IPA asigură un echilibru adecvat între protecția investitorilor și a investițiilor acestora, pe de o parte, și dreptul guvernelor de a reglementa în interes public, pe de altă parte.</w:t>
      </w:r>
    </w:p>
    <w:p w:rsidR="2941685E" w:rsidRPr="00CF4A0C" w:rsidRDefault="2941685E" w:rsidP="003D4FB3">
      <w:pPr>
        <w:rPr>
          <w:noProof/>
          <w:szCs w:val="24"/>
        </w:rPr>
      </w:pPr>
      <w:r w:rsidRPr="00CF4A0C">
        <w:rPr>
          <w:noProof/>
        </w:rPr>
        <w:t>Obligațiile de fond cuprinse în secțiunea privind protecția investițiilor reflectă îndeaproape abordarea reformată a UE, astfel cum a fost încorporată în toate acordurile UE încheiate până în prezent. În special, dispozițiile relevante reafirmă dreptul părților de a reglementa și de a confirma faptul că respectivul cadru de reglementare aplicabil investițiilor poate evolua, inclusiv în moduri care pot afecta în mod negativ anumite investiții.</w:t>
      </w:r>
    </w:p>
    <w:p w:rsidR="2941685E" w:rsidRPr="00CF4A0C" w:rsidRDefault="2941685E" w:rsidP="003D4FB3">
      <w:pPr>
        <w:rPr>
          <w:noProof/>
        </w:rPr>
      </w:pPr>
      <w:r w:rsidRPr="00CF4A0C">
        <w:rPr>
          <w:noProof/>
        </w:rPr>
        <w:t>Dispozițiile privind protecția investițiilor se bazează pe standarde clare și precise care oferă garanții fundamentale investitorilor străini atunci când decid să investească în UE sau, respectiv, în Indonezia. Pe lângă obligațiile de nediscriminare, aceste garanții includ protecția împotriva exproprierii fără compensație, angajamente privind tratamentul corect și echitabil și securitatea fizică, compensarea pierderilor cauzate de război sau de alte conflicte armate, precum și transferul liber de fonduri. Este important de remarcat faptul că dispozițiile definesc cu precizie circumstanțele în care se poate constata că o parte a încălcat standardul privind tratamentul corect și echitabil, limitând astfel în mod semnificativ marja de interpretare discreționară în caz de litigii.</w:t>
      </w:r>
    </w:p>
    <w:p w:rsidR="2941685E" w:rsidRPr="00CF4A0C" w:rsidRDefault="2941685E" w:rsidP="003D4FB3">
      <w:pPr>
        <w:rPr>
          <w:noProof/>
        </w:rPr>
      </w:pPr>
      <w:r w:rsidRPr="00CF4A0C">
        <w:rPr>
          <w:noProof/>
        </w:rPr>
        <w:t>Aceste standarde de protecție fac, de asemenea, obiectul unor excepții specifice menite să mențină o marjă de manevră suplimentară atunci când este necesar, inclusiv prin excepții prudențiale, excepții în materie de securitate și excepții generale.</w:t>
      </w:r>
    </w:p>
    <w:p w:rsidR="2941685E" w:rsidRPr="00CF4A0C" w:rsidRDefault="2941685E" w:rsidP="003D4FB3">
      <w:pPr>
        <w:rPr>
          <w:noProof/>
        </w:rPr>
      </w:pPr>
      <w:r w:rsidRPr="00CF4A0C">
        <w:rPr>
          <w:noProof/>
        </w:rPr>
        <w:lastRenderedPageBreak/>
        <w:t>IPA este sprijinit, de asemenea, de un mecanism solid de soluționare a litigiilor, care constă în a) medierea între investitori și stat și în b) soluționarea litigiilor între state. Mecanismul de soluționare a litigiilor între state garantează respectarea drepturilor și a obligațiilor prevăzute în IPA. UE și Indonezia se angajează, de asemenea, să reînceapă negocierile cu privire la soluționarea litigiilor în materie de investiții dintre o parte și un investitor al celeilalte părți, precum și cu privire la orientări interpretative privind măsurile fiscale și exproprierea, cel târziu la data intrării în vigoare a IPA. În acest sens, cele două părți convin să țină seama de progresele înregistrate în cadrul forurilor internaționale relevante în ceea ce privește reforma soluționării litigiilor în materie de investiții.</w:t>
      </w:r>
    </w:p>
    <w:p w:rsidR="57097F81" w:rsidRPr="00CF4A0C" w:rsidRDefault="57097F81" w:rsidP="57097F81">
      <w:pPr>
        <w:pBdr>
          <w:top w:val="nil"/>
          <w:left w:val="nil"/>
          <w:bottom w:val="nil"/>
          <w:right w:val="nil"/>
          <w:between w:val="nil"/>
          <w:bar w:val="nil"/>
        </w:pBdr>
        <w:spacing w:before="0" w:after="240"/>
        <w:rPr>
          <w:rFonts w:eastAsia="Arial Unicode MS"/>
          <w:noProof/>
        </w:rPr>
        <w:sectPr w:rsidR="57097F81" w:rsidRPr="00CF4A0C" w:rsidSect="00B604B0">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08"/>
          <w:docGrid w:linePitch="360"/>
        </w:sectPr>
      </w:pPr>
    </w:p>
    <w:p w:rsidR="00A52206" w:rsidRDefault="00C739BF">
      <w:pPr>
        <w:pStyle w:val="Rfrenceinterinstitutionnelle"/>
        <w:rPr>
          <w:noProof/>
        </w:rPr>
      </w:pPr>
      <w:r>
        <w:rPr>
          <w:noProof/>
        </w:rPr>
        <w:lastRenderedPageBreak/>
        <w:t>2026/0185 (NLE)</w:t>
      </w:r>
    </w:p>
    <w:p w:rsidR="00896269" w:rsidRPr="00CF4A0C" w:rsidRDefault="00C76092" w:rsidP="00C76092">
      <w:pPr>
        <w:pStyle w:val="Statut"/>
        <w:rPr>
          <w:noProof/>
        </w:rPr>
      </w:pPr>
      <w:r w:rsidRPr="00CF4A0C">
        <w:rPr>
          <w:noProof/>
        </w:rPr>
        <w:t>Propunere de</w:t>
      </w:r>
    </w:p>
    <w:p w:rsidR="00896269" w:rsidRPr="00CF4A0C" w:rsidRDefault="00C76092" w:rsidP="00C76092">
      <w:pPr>
        <w:pStyle w:val="Typedudocument"/>
        <w:rPr>
          <w:noProof/>
        </w:rPr>
      </w:pPr>
      <w:r w:rsidRPr="00CF4A0C">
        <w:rPr>
          <w:noProof/>
        </w:rPr>
        <w:t>DECIZIE A CONSILIULUI</w:t>
      </w:r>
    </w:p>
    <w:p w:rsidR="00896269" w:rsidRPr="00CF4A0C" w:rsidRDefault="00C76092" w:rsidP="00C76092">
      <w:pPr>
        <w:pStyle w:val="Titreobjet"/>
        <w:rPr>
          <w:noProof/>
        </w:rPr>
      </w:pPr>
      <w:r w:rsidRPr="00CF4A0C">
        <w:rPr>
          <w:noProof/>
        </w:rPr>
        <w:t>privind încheierea Acordului privind protecția investițiilor dintre Uniunea Europeană și Indonezia</w:t>
      </w:r>
    </w:p>
    <w:p w:rsidR="00896269" w:rsidRPr="00CF4A0C" w:rsidRDefault="00896269" w:rsidP="00500EA2">
      <w:pPr>
        <w:pStyle w:val="Institutionquiagit"/>
        <w:rPr>
          <w:noProof/>
        </w:rPr>
      </w:pPr>
      <w:r w:rsidRPr="00CF4A0C">
        <w:rPr>
          <w:noProof/>
        </w:rPr>
        <w:t>CONSILIUL UNIUNII EUROPENE,</w:t>
      </w:r>
    </w:p>
    <w:p w:rsidR="00896269" w:rsidRPr="00CF4A0C" w:rsidRDefault="00896269" w:rsidP="00500EA2">
      <w:pPr>
        <w:rPr>
          <w:noProof/>
        </w:rPr>
      </w:pPr>
      <w:r w:rsidRPr="00CF4A0C">
        <w:rPr>
          <w:noProof/>
        </w:rPr>
        <w:t>având în vedere Tratatul privind funcționarea Uniunii Europene, în special articolul 207, coroborat cu articolul 218 alineatul (6) al doilea paragraf litera (a),</w:t>
      </w:r>
    </w:p>
    <w:p w:rsidR="00896269" w:rsidRPr="00CF4A0C" w:rsidRDefault="00896269" w:rsidP="00500EA2">
      <w:pPr>
        <w:rPr>
          <w:noProof/>
        </w:rPr>
      </w:pPr>
      <w:r w:rsidRPr="00CF4A0C">
        <w:rPr>
          <w:noProof/>
        </w:rPr>
        <w:t>având în vedere propunerea Comisiei Europene,</w:t>
      </w:r>
    </w:p>
    <w:p w:rsidR="000846A2" w:rsidRPr="00CF4A0C" w:rsidRDefault="000846A2" w:rsidP="00500EA2">
      <w:pPr>
        <w:rPr>
          <w:noProof/>
        </w:rPr>
      </w:pPr>
      <w:r w:rsidRPr="00CF4A0C">
        <w:rPr>
          <w:noProof/>
        </w:rPr>
        <w:t>având în vedere aprobarea Parlamentului European</w:t>
      </w:r>
      <w:r w:rsidRPr="00CF4A0C">
        <w:rPr>
          <w:rStyle w:val="FootnoteReference"/>
          <w:noProof/>
        </w:rPr>
        <w:footnoteReference w:id="1"/>
      </w:r>
      <w:r w:rsidRPr="00CF4A0C">
        <w:rPr>
          <w:noProof/>
        </w:rPr>
        <w:t>,</w:t>
      </w:r>
    </w:p>
    <w:p w:rsidR="00896269" w:rsidRPr="00CF4A0C" w:rsidRDefault="00896269" w:rsidP="00500EA2">
      <w:pPr>
        <w:rPr>
          <w:noProof/>
        </w:rPr>
      </w:pPr>
      <w:r w:rsidRPr="00CF4A0C">
        <w:rPr>
          <w:noProof/>
        </w:rPr>
        <w:t>întrucât:</w:t>
      </w:r>
    </w:p>
    <w:p w:rsidR="00896269" w:rsidRPr="00CF4A0C" w:rsidRDefault="02BA9B1B" w:rsidP="00861F65">
      <w:pPr>
        <w:pStyle w:val="ManualConsidrant"/>
        <w:rPr>
          <w:noProof/>
        </w:rPr>
      </w:pPr>
      <w:r>
        <w:rPr>
          <w:noProof/>
        </w:rPr>
        <w:t>(1)</w:t>
      </w:r>
      <w:r>
        <w:rPr>
          <w:noProof/>
        </w:rPr>
        <w:tab/>
      </w:r>
      <w:r w:rsidRPr="00CF4A0C">
        <w:rPr>
          <w:noProof/>
        </w:rPr>
        <w:t>În conformitate cu Decizia nr. [XX] a Consiliului</w:t>
      </w:r>
      <w:r w:rsidRPr="00CF4A0C">
        <w:rPr>
          <w:rStyle w:val="FootnoteReference"/>
          <w:noProof/>
        </w:rPr>
        <w:footnoteReference w:id="2"/>
      </w:r>
      <w:r w:rsidRPr="00CF4A0C">
        <w:rPr>
          <w:noProof/>
        </w:rPr>
        <w:t xml:space="preserve">, Acordul privind protecția investițiilor dintre Uniunea Europeană și Indonezia (denumit în continuare „acordul”) a fost semnat la [XX XX 2026], sub rezerva încheierii sale la o dată ulterioară. </w:t>
      </w:r>
    </w:p>
    <w:p w:rsidR="008443A8" w:rsidRPr="00CF4A0C" w:rsidRDefault="008443A8" w:rsidP="008443A8">
      <w:pPr>
        <w:pStyle w:val="ManualConsidrant"/>
        <w:rPr>
          <w:noProof/>
        </w:rPr>
      </w:pPr>
      <w:r>
        <w:rPr>
          <w:noProof/>
        </w:rPr>
        <w:t>(2)</w:t>
      </w:r>
      <w:r>
        <w:rPr>
          <w:noProof/>
        </w:rPr>
        <w:tab/>
      </w:r>
      <w:r w:rsidRPr="00CF4A0C">
        <w:rPr>
          <w:noProof/>
          <w:color w:val="000000" w:themeColor="text1"/>
        </w:rPr>
        <w:t>Acordul trebuie să asigure promovarea politicii comerciale comune a Uniunii prin instituirea unui acord de protecție a investițiilor cu Indonezia.</w:t>
      </w:r>
    </w:p>
    <w:p w:rsidR="00090EA5" w:rsidRPr="00CF4A0C" w:rsidRDefault="5E93FCA3" w:rsidP="00090EA5">
      <w:pPr>
        <w:pStyle w:val="ManualConsidrant"/>
        <w:rPr>
          <w:noProof/>
        </w:rPr>
      </w:pPr>
      <w:r>
        <w:rPr>
          <w:noProof/>
        </w:rPr>
        <w:t>(3)</w:t>
      </w:r>
      <w:r>
        <w:rPr>
          <w:noProof/>
        </w:rPr>
        <w:tab/>
      </w:r>
      <w:r w:rsidRPr="00CF4A0C">
        <w:rPr>
          <w:noProof/>
        </w:rPr>
        <w:t>Acordul trebuie să fie aprobat.</w:t>
      </w:r>
    </w:p>
    <w:p w:rsidR="00894A2E" w:rsidRPr="00CF4A0C" w:rsidRDefault="00894A2E" w:rsidP="57097F81">
      <w:pPr>
        <w:pStyle w:val="ManualConsidrant"/>
        <w:rPr>
          <w:rStyle w:val="eop"/>
          <w:noProof/>
          <w:color w:val="000000" w:themeColor="text1"/>
        </w:rPr>
      </w:pPr>
      <w:r>
        <w:rPr>
          <w:noProof/>
        </w:rPr>
        <w:t>(4)</w:t>
      </w:r>
      <w:r>
        <w:rPr>
          <w:noProof/>
        </w:rPr>
        <w:tab/>
      </w:r>
      <w:r w:rsidRPr="00CF4A0C">
        <w:rPr>
          <w:rStyle w:val="normaltextrun"/>
          <w:noProof/>
          <w:color w:val="000000" w:themeColor="text1"/>
        </w:rPr>
        <w:t>În conformitate cu articolul 6.12, acordul nu le conferă alte drepturi și nici nu le impune alte obligații persoanelor în cadrul Uniunii decât cele instituite între părți în temeiul dreptului internațional public,</w:t>
      </w:r>
      <w:r w:rsidRPr="00CF4A0C">
        <w:rPr>
          <w:rStyle w:val="eop"/>
          <w:noProof/>
          <w:color w:val="000000" w:themeColor="text1"/>
        </w:rPr>
        <w:t xml:space="preserve"> </w:t>
      </w:r>
    </w:p>
    <w:p w:rsidR="00896269" w:rsidRPr="00CF4A0C" w:rsidRDefault="00896269" w:rsidP="00500EA2">
      <w:pPr>
        <w:pStyle w:val="Formuledadoption"/>
        <w:rPr>
          <w:noProof/>
          <w:color w:val="000000" w:themeColor="text1"/>
        </w:rPr>
      </w:pPr>
      <w:r w:rsidRPr="00CF4A0C">
        <w:rPr>
          <w:noProof/>
          <w:color w:val="000000" w:themeColor="text1"/>
        </w:rPr>
        <w:t xml:space="preserve">ADOPTĂ PREZENTA DECIZIE: </w:t>
      </w:r>
    </w:p>
    <w:p w:rsidR="00896269" w:rsidRPr="00CF4A0C" w:rsidRDefault="00896269" w:rsidP="00500EA2">
      <w:pPr>
        <w:pStyle w:val="Titrearticle"/>
        <w:rPr>
          <w:noProof/>
          <w:color w:val="000000" w:themeColor="text1"/>
        </w:rPr>
      </w:pPr>
      <w:r w:rsidRPr="00CF4A0C">
        <w:rPr>
          <w:noProof/>
          <w:color w:val="000000" w:themeColor="text1"/>
        </w:rPr>
        <w:t>Articolul 1</w:t>
      </w:r>
    </w:p>
    <w:p w:rsidR="00896269" w:rsidRPr="00CF4A0C" w:rsidRDefault="00CD59E2" w:rsidP="00500EA2">
      <w:pPr>
        <w:rPr>
          <w:noProof/>
        </w:rPr>
      </w:pPr>
      <w:r w:rsidRPr="00CF4A0C">
        <w:rPr>
          <w:noProof/>
        </w:rPr>
        <w:t>Se aprobă Acordul privind protecția investițiilor dintre Uniunea Europeană și Indonezia (denumit în continuare „acordul”)</w:t>
      </w:r>
      <w:r w:rsidRPr="00CF4A0C">
        <w:rPr>
          <w:rStyle w:val="FootnoteReference"/>
          <w:noProof/>
        </w:rPr>
        <w:footnoteReference w:id="3"/>
      </w:r>
      <w:r w:rsidRPr="00CF4A0C">
        <w:rPr>
          <w:noProof/>
        </w:rPr>
        <w:t>.</w:t>
      </w:r>
    </w:p>
    <w:p w:rsidR="00D567E7" w:rsidRPr="00CF4A0C" w:rsidRDefault="00D567E7" w:rsidP="000374F0">
      <w:pPr>
        <w:pStyle w:val="Titrearticle"/>
        <w:rPr>
          <w:noProof/>
        </w:rPr>
      </w:pPr>
      <w:r w:rsidRPr="00CF4A0C">
        <w:rPr>
          <w:noProof/>
        </w:rPr>
        <w:lastRenderedPageBreak/>
        <w:t>Articolul 2</w:t>
      </w:r>
    </w:p>
    <w:p w:rsidR="00FC0709" w:rsidRPr="00CF4A0C" w:rsidRDefault="3EF90412" w:rsidP="000374F0">
      <w:pPr>
        <w:keepNext/>
        <w:keepLines/>
        <w:rPr>
          <w:noProof/>
        </w:rPr>
      </w:pPr>
      <w:r w:rsidRPr="00CF4A0C">
        <w:rPr>
          <w:noProof/>
        </w:rPr>
        <w:t>Prezenta decizie intră în vigoare la data adoptării sale</w:t>
      </w:r>
      <w:r w:rsidRPr="00CF4A0C">
        <w:rPr>
          <w:rStyle w:val="FootnoteReference"/>
          <w:noProof/>
        </w:rPr>
        <w:footnoteReference w:id="4"/>
      </w:r>
      <w:r w:rsidRPr="00CF4A0C">
        <w:rPr>
          <w:noProof/>
        </w:rPr>
        <w:t>.</w:t>
      </w:r>
    </w:p>
    <w:p w:rsidR="00FC0709" w:rsidRPr="00CF4A0C" w:rsidRDefault="00C76092" w:rsidP="000374F0">
      <w:pPr>
        <w:pStyle w:val="Fait"/>
        <w:rPr>
          <w:noProof/>
        </w:rPr>
      </w:pPr>
      <w:r>
        <w:rPr>
          <w:noProof/>
        </w:rPr>
        <w:t>Adoptată la Bruxelles,</w:t>
      </w:r>
    </w:p>
    <w:p w:rsidR="00FC0709" w:rsidRPr="00CF4A0C" w:rsidRDefault="00FC0709" w:rsidP="000374F0">
      <w:pPr>
        <w:pStyle w:val="Institutionquisigne"/>
        <w:rPr>
          <w:noProof/>
        </w:rPr>
      </w:pPr>
      <w:r w:rsidRPr="00CF4A0C">
        <w:rPr>
          <w:noProof/>
        </w:rPr>
        <w:tab/>
        <w:t>Pentru Consiliu</w:t>
      </w:r>
    </w:p>
    <w:p w:rsidR="00FC0709" w:rsidRPr="00CF4A0C" w:rsidRDefault="00FC0709" w:rsidP="00FC0709">
      <w:pPr>
        <w:pStyle w:val="Personnequisigne"/>
        <w:rPr>
          <w:noProof/>
        </w:rPr>
      </w:pPr>
      <w:r w:rsidRPr="00CF4A0C">
        <w:rPr>
          <w:noProof/>
        </w:rPr>
        <w:tab/>
        <w:t>Președintele</w:t>
      </w:r>
    </w:p>
    <w:sectPr w:rsidR="00FC0709" w:rsidRPr="00CF4A0C" w:rsidSect="00B604B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A54" w:rsidRPr="00CF4A0C" w:rsidRDefault="00647A54" w:rsidP="00896269">
      <w:pPr>
        <w:spacing w:before="0" w:after="0"/>
      </w:pPr>
      <w:r w:rsidRPr="00CF4A0C">
        <w:separator/>
      </w:r>
    </w:p>
  </w:endnote>
  <w:endnote w:type="continuationSeparator" w:id="0">
    <w:p w:rsidR="00647A54" w:rsidRPr="00CF4A0C" w:rsidRDefault="00647A54" w:rsidP="00896269">
      <w:pPr>
        <w:spacing w:before="0" w:after="0"/>
      </w:pPr>
      <w:r w:rsidRPr="00CF4A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4B0" w:rsidRPr="00B604B0" w:rsidRDefault="00B604B0" w:rsidP="00B604B0">
    <w:pPr>
      <w:pStyle w:val="Footer"/>
      <w:rPr>
        <w:rFonts w:ascii="Arial" w:hAnsi="Arial" w:cs="Arial"/>
        <w:b/>
        <w:sz w:val="48"/>
      </w:rPr>
    </w:pPr>
    <w:r w:rsidRPr="00B604B0">
      <w:rPr>
        <w:rFonts w:ascii="Arial" w:hAnsi="Arial" w:cs="Arial"/>
        <w:b/>
        <w:sz w:val="48"/>
      </w:rPr>
      <w:t>RO</w:t>
    </w:r>
    <w:r w:rsidRPr="00B604B0">
      <w:rPr>
        <w:rFonts w:ascii="Arial" w:hAnsi="Arial" w:cs="Arial"/>
        <w:b/>
        <w:sz w:val="48"/>
      </w:rPr>
      <w:tab/>
    </w:r>
    <w:r w:rsidRPr="00B604B0">
      <w:rPr>
        <w:rFonts w:ascii="Arial" w:hAnsi="Arial" w:cs="Arial"/>
        <w:b/>
        <w:sz w:val="48"/>
      </w:rPr>
      <w:tab/>
    </w:r>
    <w:r w:rsidRPr="00B604B0">
      <w:tab/>
    </w:r>
    <w:r w:rsidRPr="00B604B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4B0" w:rsidRPr="00B604B0" w:rsidRDefault="00B604B0" w:rsidP="00B604B0">
    <w:pPr>
      <w:pStyle w:val="Footer"/>
      <w:rPr>
        <w:rFonts w:ascii="Arial" w:hAnsi="Arial" w:cs="Arial"/>
        <w:b/>
        <w:sz w:val="48"/>
      </w:rPr>
    </w:pPr>
    <w:r w:rsidRPr="00B604B0">
      <w:rPr>
        <w:rFonts w:ascii="Arial" w:hAnsi="Arial" w:cs="Arial"/>
        <w:b/>
        <w:sz w:val="48"/>
      </w:rPr>
      <w:t>RO</w:t>
    </w:r>
    <w:r w:rsidRPr="00B604B0">
      <w:rPr>
        <w:rFonts w:ascii="Arial" w:hAnsi="Arial" w:cs="Arial"/>
        <w:b/>
        <w:sz w:val="48"/>
      </w:rPr>
      <w:tab/>
    </w:r>
    <w:r w:rsidRPr="00B604B0">
      <w:rPr>
        <w:rFonts w:ascii="Arial" w:hAnsi="Arial" w:cs="Arial"/>
        <w:b/>
        <w:sz w:val="48"/>
      </w:rPr>
      <w:tab/>
    </w:r>
    <w:r w:rsidRPr="00B604B0">
      <w:tab/>
    </w:r>
    <w:r w:rsidRPr="00B604B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4B0" w:rsidRDefault="00B604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4B0" w:rsidRPr="00B604B0" w:rsidRDefault="00B604B0" w:rsidP="00B604B0">
    <w:pPr>
      <w:pStyle w:val="Footer"/>
      <w:rPr>
        <w:rFonts w:ascii="Arial" w:hAnsi="Arial" w:cs="Arial"/>
        <w:b/>
        <w:sz w:val="48"/>
      </w:rPr>
    </w:pPr>
    <w:r w:rsidRPr="00B604B0">
      <w:rPr>
        <w:rFonts w:ascii="Arial" w:hAnsi="Arial" w:cs="Arial"/>
        <w:b/>
        <w:sz w:val="48"/>
      </w:rPr>
      <w:t>RO</w:t>
    </w:r>
    <w:r w:rsidRPr="00B604B0">
      <w:rPr>
        <w:rFonts w:ascii="Arial" w:hAnsi="Arial" w:cs="Arial"/>
        <w:b/>
        <w:sz w:val="48"/>
      </w:rPr>
      <w:tab/>
    </w:r>
    <w:r>
      <w:fldChar w:fldCharType="begin"/>
    </w:r>
    <w:r>
      <w:instrText xml:space="preserve"> PAGE  \* MERGEFORMAT </w:instrText>
    </w:r>
    <w:r>
      <w:fldChar w:fldCharType="separate"/>
    </w:r>
    <w:r w:rsidR="000374F0">
      <w:rPr>
        <w:noProof/>
      </w:rPr>
      <w:t>8</w:t>
    </w:r>
    <w:r>
      <w:fldChar w:fldCharType="end"/>
    </w:r>
    <w:r>
      <w:tab/>
    </w:r>
    <w:r w:rsidRPr="00B604B0">
      <w:tab/>
    </w:r>
    <w:r w:rsidRPr="00B604B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4B0" w:rsidRDefault="00B604B0" w:rsidP="00B60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A54" w:rsidRPr="00CF4A0C" w:rsidRDefault="00647A54" w:rsidP="00896269">
      <w:pPr>
        <w:spacing w:before="0" w:after="0"/>
      </w:pPr>
      <w:r w:rsidRPr="00CF4A0C">
        <w:separator/>
      </w:r>
    </w:p>
  </w:footnote>
  <w:footnote w:type="continuationSeparator" w:id="0">
    <w:p w:rsidR="00647A54" w:rsidRPr="00CF4A0C" w:rsidRDefault="00647A54" w:rsidP="00896269">
      <w:pPr>
        <w:spacing w:before="0" w:after="0"/>
      </w:pPr>
      <w:r w:rsidRPr="00CF4A0C">
        <w:continuationSeparator/>
      </w:r>
    </w:p>
  </w:footnote>
  <w:footnote w:id="1">
    <w:p w:rsidR="000846A2" w:rsidRPr="00CF4A0C" w:rsidRDefault="000846A2">
      <w:pPr>
        <w:pStyle w:val="FootnoteText"/>
      </w:pPr>
      <w:r w:rsidRPr="00CF4A0C">
        <w:rPr>
          <w:rStyle w:val="FootnoteReference"/>
        </w:rPr>
        <w:footnoteRef/>
      </w:r>
      <w:r w:rsidRPr="00CF4A0C">
        <w:tab/>
        <w:t>JO C, , p. .</w:t>
      </w:r>
    </w:p>
  </w:footnote>
  <w:footnote w:id="2">
    <w:p w:rsidR="009849DA" w:rsidRPr="00CF4A0C" w:rsidRDefault="009849DA">
      <w:pPr>
        <w:pStyle w:val="FootnoteText"/>
      </w:pPr>
      <w:r w:rsidRPr="00CF4A0C">
        <w:rPr>
          <w:rStyle w:val="FootnoteReference"/>
        </w:rPr>
        <w:footnoteRef/>
      </w:r>
      <w:r w:rsidRPr="00CF4A0C">
        <w:tab/>
        <w:t>[A se introduce trimiterea].</w:t>
      </w:r>
    </w:p>
  </w:footnote>
  <w:footnote w:id="3">
    <w:p w:rsidR="001F74C3" w:rsidRPr="00CF4A0C" w:rsidRDefault="001F74C3" w:rsidP="001F74C3">
      <w:pPr>
        <w:rPr>
          <w:color w:val="000000" w:themeColor="text1"/>
          <w:sz w:val="20"/>
          <w:szCs w:val="20"/>
        </w:rPr>
      </w:pPr>
      <w:r w:rsidRPr="00CF4A0C">
        <w:rPr>
          <w:rStyle w:val="FootnoteReference"/>
        </w:rPr>
        <w:footnoteRef/>
      </w:r>
      <w:r w:rsidRPr="00CF4A0C">
        <w:tab/>
      </w:r>
      <w:r w:rsidRPr="00CF4A0C">
        <w:rPr>
          <w:sz w:val="20"/>
          <w:szCs w:val="20"/>
        </w:rPr>
        <w:t>Textul acordului este atașat la prezenta decizie.</w:t>
      </w:r>
    </w:p>
  </w:footnote>
  <w:footnote w:id="4">
    <w:p w:rsidR="00FC0709" w:rsidRPr="00C76092" w:rsidRDefault="00FC0709" w:rsidP="00FC0709">
      <w:pPr>
        <w:pStyle w:val="FootnoteText"/>
        <w:rPr>
          <w:lang w:val="fr-BE"/>
        </w:rPr>
      </w:pPr>
      <w:r w:rsidRPr="00CF4A0C">
        <w:rPr>
          <w:rStyle w:val="FootnoteReference"/>
        </w:rPr>
        <w:footnoteRef/>
      </w:r>
      <w:r w:rsidRPr="00CF4A0C">
        <w:tab/>
        <w:t xml:space="preserve">Data intrării în vigoare a acordului va fi publicată în </w:t>
      </w:r>
      <w:r w:rsidRPr="00CF4A0C">
        <w:rPr>
          <w:i/>
        </w:rPr>
        <w:t>Jurnalul Oficial al Uniunii Europene</w:t>
      </w:r>
      <w:r w:rsidRPr="00CF4A0C">
        <w:t xml:space="preserve"> de către Secretariatul General al Consiliului.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4B0" w:rsidRDefault="00B60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4B0" w:rsidRDefault="00B60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10412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D70E60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4E8F5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6848B8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lvlOverride w:ilvl="0">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6:35: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06CE244-4C1C-4491-A084-2F99EFA9D9BA"/>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85"/>
    <w:docVar w:name="LW_REF.II.NEW.CP_YEAR" w:val="2026"/>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Acordului privind protec\u539?ia investi\u539?iilor dintre Uniunea European\u259? \u537?i Indonezia"/>
    <w:docVar w:name="LW_TYPE.DOC.CP" w:val="DECIZIE A CONSILIULUI"/>
    <w:docVar w:name="LwApiVersions" w:val="LW4CoDe 1.24.5.0; LW 9.2, Build 20251112"/>
  </w:docVars>
  <w:rsids>
    <w:rsidRoot w:val="00896269"/>
    <w:rsid w:val="00003C9B"/>
    <w:rsid w:val="00011387"/>
    <w:rsid w:val="00013581"/>
    <w:rsid w:val="00022022"/>
    <w:rsid w:val="00023D13"/>
    <w:rsid w:val="0003102C"/>
    <w:rsid w:val="000333EF"/>
    <w:rsid w:val="00033FDC"/>
    <w:rsid w:val="00036664"/>
    <w:rsid w:val="000374F0"/>
    <w:rsid w:val="000425F9"/>
    <w:rsid w:val="0007149A"/>
    <w:rsid w:val="000828AD"/>
    <w:rsid w:val="000846A2"/>
    <w:rsid w:val="00090EA5"/>
    <w:rsid w:val="000B7A89"/>
    <w:rsid w:val="000C202C"/>
    <w:rsid w:val="000D121A"/>
    <w:rsid w:val="000D2875"/>
    <w:rsid w:val="000D4FED"/>
    <w:rsid w:val="000F1FF2"/>
    <w:rsid w:val="001065F5"/>
    <w:rsid w:val="001121BD"/>
    <w:rsid w:val="001238EF"/>
    <w:rsid w:val="00134204"/>
    <w:rsid w:val="00134283"/>
    <w:rsid w:val="00154974"/>
    <w:rsid w:val="0015728C"/>
    <w:rsid w:val="00157705"/>
    <w:rsid w:val="001641F4"/>
    <w:rsid w:val="00166329"/>
    <w:rsid w:val="001845AC"/>
    <w:rsid w:val="0018631D"/>
    <w:rsid w:val="00187D38"/>
    <w:rsid w:val="00190930"/>
    <w:rsid w:val="00190A0B"/>
    <w:rsid w:val="00191813"/>
    <w:rsid w:val="001956F3"/>
    <w:rsid w:val="00197613"/>
    <w:rsid w:val="001A22BB"/>
    <w:rsid w:val="001A5410"/>
    <w:rsid w:val="001A5CD6"/>
    <w:rsid w:val="001B12DD"/>
    <w:rsid w:val="001C3396"/>
    <w:rsid w:val="001C4C3E"/>
    <w:rsid w:val="001F3DAB"/>
    <w:rsid w:val="001F74C3"/>
    <w:rsid w:val="002008CC"/>
    <w:rsid w:val="00200BFA"/>
    <w:rsid w:val="00200FCE"/>
    <w:rsid w:val="00203055"/>
    <w:rsid w:val="00207117"/>
    <w:rsid w:val="002112FF"/>
    <w:rsid w:val="002257BF"/>
    <w:rsid w:val="002306BC"/>
    <w:rsid w:val="00230CB4"/>
    <w:rsid w:val="00233DC7"/>
    <w:rsid w:val="00240E74"/>
    <w:rsid w:val="002424F8"/>
    <w:rsid w:val="00246A66"/>
    <w:rsid w:val="00247779"/>
    <w:rsid w:val="00261E6E"/>
    <w:rsid w:val="00283D84"/>
    <w:rsid w:val="00285BEE"/>
    <w:rsid w:val="00293797"/>
    <w:rsid w:val="0029533F"/>
    <w:rsid w:val="002B30AF"/>
    <w:rsid w:val="002B463B"/>
    <w:rsid w:val="002B643C"/>
    <w:rsid w:val="002C0101"/>
    <w:rsid w:val="002F0ECF"/>
    <w:rsid w:val="002F46B2"/>
    <w:rsid w:val="002F4E9B"/>
    <w:rsid w:val="002F5E1E"/>
    <w:rsid w:val="003103CE"/>
    <w:rsid w:val="003120B0"/>
    <w:rsid w:val="00330743"/>
    <w:rsid w:val="0033344A"/>
    <w:rsid w:val="00342C36"/>
    <w:rsid w:val="00343E78"/>
    <w:rsid w:val="00345227"/>
    <w:rsid w:val="003466D0"/>
    <w:rsid w:val="00382700"/>
    <w:rsid w:val="003862BD"/>
    <w:rsid w:val="00397F66"/>
    <w:rsid w:val="003A57E6"/>
    <w:rsid w:val="003B3073"/>
    <w:rsid w:val="003B3EE7"/>
    <w:rsid w:val="003B71C0"/>
    <w:rsid w:val="003D4FB3"/>
    <w:rsid w:val="003E2508"/>
    <w:rsid w:val="003E4E7D"/>
    <w:rsid w:val="003F02C9"/>
    <w:rsid w:val="004012E2"/>
    <w:rsid w:val="00417024"/>
    <w:rsid w:val="0042041B"/>
    <w:rsid w:val="004207A9"/>
    <w:rsid w:val="0042648E"/>
    <w:rsid w:val="00431C56"/>
    <w:rsid w:val="0043764A"/>
    <w:rsid w:val="004706E7"/>
    <w:rsid w:val="00481F56"/>
    <w:rsid w:val="0048591D"/>
    <w:rsid w:val="004875D6"/>
    <w:rsid w:val="004936D2"/>
    <w:rsid w:val="004C08ED"/>
    <w:rsid w:val="004C109C"/>
    <w:rsid w:val="004C6952"/>
    <w:rsid w:val="004C7E62"/>
    <w:rsid w:val="004D30CF"/>
    <w:rsid w:val="004E1F85"/>
    <w:rsid w:val="004E349F"/>
    <w:rsid w:val="004F18A5"/>
    <w:rsid w:val="004F18F5"/>
    <w:rsid w:val="004F5DBC"/>
    <w:rsid w:val="00500EA2"/>
    <w:rsid w:val="00503229"/>
    <w:rsid w:val="0050677C"/>
    <w:rsid w:val="005116A1"/>
    <w:rsid w:val="005126F0"/>
    <w:rsid w:val="0052355F"/>
    <w:rsid w:val="00526AF0"/>
    <w:rsid w:val="00534E60"/>
    <w:rsid w:val="00544218"/>
    <w:rsid w:val="0054747F"/>
    <w:rsid w:val="00560E01"/>
    <w:rsid w:val="0056268F"/>
    <w:rsid w:val="0057483A"/>
    <w:rsid w:val="00584121"/>
    <w:rsid w:val="00591E7B"/>
    <w:rsid w:val="00592BBB"/>
    <w:rsid w:val="005968AF"/>
    <w:rsid w:val="005A0F46"/>
    <w:rsid w:val="005B1EB6"/>
    <w:rsid w:val="005C3F35"/>
    <w:rsid w:val="005C6E08"/>
    <w:rsid w:val="005D1F90"/>
    <w:rsid w:val="005D4CF6"/>
    <w:rsid w:val="005D61CA"/>
    <w:rsid w:val="005D7E02"/>
    <w:rsid w:val="005E0F6F"/>
    <w:rsid w:val="00611CA2"/>
    <w:rsid w:val="006144EB"/>
    <w:rsid w:val="00640578"/>
    <w:rsid w:val="006431D5"/>
    <w:rsid w:val="006475A0"/>
    <w:rsid w:val="00647A54"/>
    <w:rsid w:val="006540AA"/>
    <w:rsid w:val="006610C7"/>
    <w:rsid w:val="0067598D"/>
    <w:rsid w:val="006929F2"/>
    <w:rsid w:val="00693379"/>
    <w:rsid w:val="006A03E9"/>
    <w:rsid w:val="006A67F1"/>
    <w:rsid w:val="006B4694"/>
    <w:rsid w:val="006B6048"/>
    <w:rsid w:val="006C32F0"/>
    <w:rsid w:val="006E6A23"/>
    <w:rsid w:val="006E70F3"/>
    <w:rsid w:val="006F7BC1"/>
    <w:rsid w:val="0070533B"/>
    <w:rsid w:val="00714BB6"/>
    <w:rsid w:val="0071659E"/>
    <w:rsid w:val="00716AE1"/>
    <w:rsid w:val="00733C17"/>
    <w:rsid w:val="00736412"/>
    <w:rsid w:val="00736F07"/>
    <w:rsid w:val="007525E1"/>
    <w:rsid w:val="0076051D"/>
    <w:rsid w:val="0076151E"/>
    <w:rsid w:val="00773331"/>
    <w:rsid w:val="007801B2"/>
    <w:rsid w:val="00784694"/>
    <w:rsid w:val="007932EF"/>
    <w:rsid w:val="007C62FB"/>
    <w:rsid w:val="007C6B9C"/>
    <w:rsid w:val="007C6E0A"/>
    <w:rsid w:val="007D102E"/>
    <w:rsid w:val="007E05B0"/>
    <w:rsid w:val="007E3133"/>
    <w:rsid w:val="007E605B"/>
    <w:rsid w:val="0080654E"/>
    <w:rsid w:val="00811A44"/>
    <w:rsid w:val="00814919"/>
    <w:rsid w:val="0083119A"/>
    <w:rsid w:val="00836D91"/>
    <w:rsid w:val="008443A8"/>
    <w:rsid w:val="008513DE"/>
    <w:rsid w:val="00852C2B"/>
    <w:rsid w:val="00861F65"/>
    <w:rsid w:val="00874D22"/>
    <w:rsid w:val="00894A2E"/>
    <w:rsid w:val="008953C7"/>
    <w:rsid w:val="00896269"/>
    <w:rsid w:val="008A263F"/>
    <w:rsid w:val="008A2914"/>
    <w:rsid w:val="008A76BD"/>
    <w:rsid w:val="008C0613"/>
    <w:rsid w:val="008C3193"/>
    <w:rsid w:val="008E0833"/>
    <w:rsid w:val="008E4D8E"/>
    <w:rsid w:val="008E7404"/>
    <w:rsid w:val="008F21A2"/>
    <w:rsid w:val="008F4CB6"/>
    <w:rsid w:val="00915E9D"/>
    <w:rsid w:val="009345A9"/>
    <w:rsid w:val="00942351"/>
    <w:rsid w:val="00952894"/>
    <w:rsid w:val="00956814"/>
    <w:rsid w:val="00961AFF"/>
    <w:rsid w:val="00961C58"/>
    <w:rsid w:val="00971EC8"/>
    <w:rsid w:val="00975C16"/>
    <w:rsid w:val="009849DA"/>
    <w:rsid w:val="009851AA"/>
    <w:rsid w:val="00987551"/>
    <w:rsid w:val="0099024F"/>
    <w:rsid w:val="009A7A4A"/>
    <w:rsid w:val="009B5848"/>
    <w:rsid w:val="009C2845"/>
    <w:rsid w:val="009E0AD3"/>
    <w:rsid w:val="009E497A"/>
    <w:rsid w:val="009E68C2"/>
    <w:rsid w:val="009F1C2B"/>
    <w:rsid w:val="00A079CB"/>
    <w:rsid w:val="00A137D6"/>
    <w:rsid w:val="00A20D5B"/>
    <w:rsid w:val="00A278ED"/>
    <w:rsid w:val="00A27BBB"/>
    <w:rsid w:val="00A3032B"/>
    <w:rsid w:val="00A304E1"/>
    <w:rsid w:val="00A52206"/>
    <w:rsid w:val="00A57B7A"/>
    <w:rsid w:val="00A862A7"/>
    <w:rsid w:val="00A9218C"/>
    <w:rsid w:val="00A92E5D"/>
    <w:rsid w:val="00A92F17"/>
    <w:rsid w:val="00A96356"/>
    <w:rsid w:val="00A97254"/>
    <w:rsid w:val="00AA1F01"/>
    <w:rsid w:val="00AA4AAD"/>
    <w:rsid w:val="00AE1FBC"/>
    <w:rsid w:val="00B06D95"/>
    <w:rsid w:val="00B20DA9"/>
    <w:rsid w:val="00B23901"/>
    <w:rsid w:val="00B2583F"/>
    <w:rsid w:val="00B3051E"/>
    <w:rsid w:val="00B4564A"/>
    <w:rsid w:val="00B47490"/>
    <w:rsid w:val="00B47D07"/>
    <w:rsid w:val="00B50842"/>
    <w:rsid w:val="00B52E9B"/>
    <w:rsid w:val="00B55D60"/>
    <w:rsid w:val="00B604B0"/>
    <w:rsid w:val="00B636E3"/>
    <w:rsid w:val="00B73080"/>
    <w:rsid w:val="00B83DE3"/>
    <w:rsid w:val="00B85B34"/>
    <w:rsid w:val="00B86E04"/>
    <w:rsid w:val="00B92D9F"/>
    <w:rsid w:val="00B93E4E"/>
    <w:rsid w:val="00B94B8B"/>
    <w:rsid w:val="00BB4DC0"/>
    <w:rsid w:val="00BC4D63"/>
    <w:rsid w:val="00BE4629"/>
    <w:rsid w:val="00C07B79"/>
    <w:rsid w:val="00C07FA2"/>
    <w:rsid w:val="00C1018C"/>
    <w:rsid w:val="00C12301"/>
    <w:rsid w:val="00C202C3"/>
    <w:rsid w:val="00C22975"/>
    <w:rsid w:val="00C25428"/>
    <w:rsid w:val="00C25A91"/>
    <w:rsid w:val="00C43B7F"/>
    <w:rsid w:val="00C515E3"/>
    <w:rsid w:val="00C56F9F"/>
    <w:rsid w:val="00C65C54"/>
    <w:rsid w:val="00C6626F"/>
    <w:rsid w:val="00C76092"/>
    <w:rsid w:val="00C83C27"/>
    <w:rsid w:val="00C85CE7"/>
    <w:rsid w:val="00C91465"/>
    <w:rsid w:val="00C93EBD"/>
    <w:rsid w:val="00CA10FD"/>
    <w:rsid w:val="00CA3947"/>
    <w:rsid w:val="00CB195D"/>
    <w:rsid w:val="00CB30B1"/>
    <w:rsid w:val="00CB53D1"/>
    <w:rsid w:val="00CC0CEA"/>
    <w:rsid w:val="00CD59E2"/>
    <w:rsid w:val="00CE432D"/>
    <w:rsid w:val="00CE6A18"/>
    <w:rsid w:val="00CF4A0C"/>
    <w:rsid w:val="00CF5F75"/>
    <w:rsid w:val="00D01829"/>
    <w:rsid w:val="00D20040"/>
    <w:rsid w:val="00D20381"/>
    <w:rsid w:val="00D21AA8"/>
    <w:rsid w:val="00D23DAA"/>
    <w:rsid w:val="00D31381"/>
    <w:rsid w:val="00D32749"/>
    <w:rsid w:val="00D3607F"/>
    <w:rsid w:val="00D37718"/>
    <w:rsid w:val="00D41A43"/>
    <w:rsid w:val="00D45192"/>
    <w:rsid w:val="00D45AD2"/>
    <w:rsid w:val="00D45CFB"/>
    <w:rsid w:val="00D479F4"/>
    <w:rsid w:val="00D55B4A"/>
    <w:rsid w:val="00D55CCB"/>
    <w:rsid w:val="00D567E7"/>
    <w:rsid w:val="00D60F74"/>
    <w:rsid w:val="00D6229C"/>
    <w:rsid w:val="00D65081"/>
    <w:rsid w:val="00D764A7"/>
    <w:rsid w:val="00D91927"/>
    <w:rsid w:val="00D937EF"/>
    <w:rsid w:val="00D938B6"/>
    <w:rsid w:val="00D94FB7"/>
    <w:rsid w:val="00DB59FF"/>
    <w:rsid w:val="00DB5A09"/>
    <w:rsid w:val="00DC5327"/>
    <w:rsid w:val="00DD47D0"/>
    <w:rsid w:val="00DD7CA3"/>
    <w:rsid w:val="00DD7DB4"/>
    <w:rsid w:val="00DD7E14"/>
    <w:rsid w:val="00DE01B2"/>
    <w:rsid w:val="00DE13F9"/>
    <w:rsid w:val="00DF3A89"/>
    <w:rsid w:val="00E07818"/>
    <w:rsid w:val="00E100C1"/>
    <w:rsid w:val="00E2115F"/>
    <w:rsid w:val="00E22C9D"/>
    <w:rsid w:val="00E312A0"/>
    <w:rsid w:val="00E33F06"/>
    <w:rsid w:val="00E52067"/>
    <w:rsid w:val="00E53969"/>
    <w:rsid w:val="00E56C75"/>
    <w:rsid w:val="00E61227"/>
    <w:rsid w:val="00E664ED"/>
    <w:rsid w:val="00E71BD7"/>
    <w:rsid w:val="00E72F07"/>
    <w:rsid w:val="00E82AF0"/>
    <w:rsid w:val="00E87A95"/>
    <w:rsid w:val="00E90B7F"/>
    <w:rsid w:val="00EA1B89"/>
    <w:rsid w:val="00EA2120"/>
    <w:rsid w:val="00EA37F1"/>
    <w:rsid w:val="00EB2CCC"/>
    <w:rsid w:val="00EB5786"/>
    <w:rsid w:val="00EC60C0"/>
    <w:rsid w:val="00EC72EF"/>
    <w:rsid w:val="00ED4E7E"/>
    <w:rsid w:val="00ED66DF"/>
    <w:rsid w:val="00ED6A86"/>
    <w:rsid w:val="00F01309"/>
    <w:rsid w:val="00F01E5A"/>
    <w:rsid w:val="00F16D49"/>
    <w:rsid w:val="00F25E80"/>
    <w:rsid w:val="00F36658"/>
    <w:rsid w:val="00F41480"/>
    <w:rsid w:val="00F42238"/>
    <w:rsid w:val="00F53E40"/>
    <w:rsid w:val="00F71FC2"/>
    <w:rsid w:val="00F74D2D"/>
    <w:rsid w:val="00F75858"/>
    <w:rsid w:val="00F92F00"/>
    <w:rsid w:val="00F9333A"/>
    <w:rsid w:val="00F9388D"/>
    <w:rsid w:val="00FB11A4"/>
    <w:rsid w:val="00FC0709"/>
    <w:rsid w:val="00FC38F8"/>
    <w:rsid w:val="00FC53FF"/>
    <w:rsid w:val="00FD28A8"/>
    <w:rsid w:val="00FD3F5F"/>
    <w:rsid w:val="00FD6CB3"/>
    <w:rsid w:val="00FE20F5"/>
    <w:rsid w:val="00FE26A4"/>
    <w:rsid w:val="00FF4F79"/>
    <w:rsid w:val="02BA9B1B"/>
    <w:rsid w:val="1A3E6E8D"/>
    <w:rsid w:val="1B83DB66"/>
    <w:rsid w:val="26C6B491"/>
    <w:rsid w:val="272FD219"/>
    <w:rsid w:val="2941685E"/>
    <w:rsid w:val="2C966339"/>
    <w:rsid w:val="360CFF51"/>
    <w:rsid w:val="3EA3B438"/>
    <w:rsid w:val="3EF90412"/>
    <w:rsid w:val="426D0AF5"/>
    <w:rsid w:val="4A68D3F3"/>
    <w:rsid w:val="4E290DC4"/>
    <w:rsid w:val="57097F81"/>
    <w:rsid w:val="5E93FCA3"/>
    <w:rsid w:val="6306084B"/>
    <w:rsid w:val="6B856C21"/>
    <w:rsid w:val="6FDCE435"/>
    <w:rsid w:val="70EF161C"/>
    <w:rsid w:val="7B4F22F7"/>
    <w:rsid w:val="7D0745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1A512006-23A1-4872-97F6-693373A2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iPriority w:val="99"/>
    <w:semiHidden/>
    <w:unhideWhenUsed/>
    <w:rsid w:val="00DB59FF"/>
    <w:rPr>
      <w:sz w:val="16"/>
      <w:szCs w:val="16"/>
    </w:rPr>
  </w:style>
  <w:style w:type="paragraph" w:styleId="CommentText">
    <w:name w:val="annotation text"/>
    <w:basedOn w:val="Normal"/>
    <w:link w:val="CommentTextChar"/>
    <w:uiPriority w:val="99"/>
    <w:unhideWhenUsed/>
    <w:rsid w:val="00DB59FF"/>
    <w:rPr>
      <w:sz w:val="20"/>
      <w:szCs w:val="20"/>
    </w:rPr>
  </w:style>
  <w:style w:type="character" w:customStyle="1" w:styleId="CommentTextChar">
    <w:name w:val="Comment Text Char"/>
    <w:basedOn w:val="DefaultParagraphFont"/>
    <w:link w:val="CommentText"/>
    <w:uiPriority w:val="99"/>
    <w:rsid w:val="00DB59F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DB59FF"/>
    <w:rPr>
      <w:b/>
      <w:bCs/>
    </w:rPr>
  </w:style>
  <w:style w:type="character" w:customStyle="1" w:styleId="CommentSubjectChar">
    <w:name w:val="Comment Subject Char"/>
    <w:basedOn w:val="CommentTextChar"/>
    <w:link w:val="CommentSubject"/>
    <w:uiPriority w:val="99"/>
    <w:semiHidden/>
    <w:rsid w:val="00DB59FF"/>
    <w:rPr>
      <w:rFonts w:ascii="Times New Roman" w:hAnsi="Times New Roman" w:cs="Times New Roman"/>
      <w:b/>
      <w:bCs/>
      <w:sz w:val="20"/>
      <w:szCs w:val="20"/>
      <w:lang w:val="ro-RO"/>
    </w:rPr>
  </w:style>
  <w:style w:type="paragraph" w:styleId="Revision">
    <w:name w:val="Revision"/>
    <w:hidden/>
    <w:uiPriority w:val="99"/>
    <w:semiHidden/>
    <w:rsid w:val="008443A8"/>
    <w:pPr>
      <w:spacing w:after="0" w:line="240" w:lineRule="auto"/>
    </w:pPr>
    <w:rPr>
      <w:rFonts w:ascii="Times New Roman" w:hAnsi="Times New Roman" w:cs="Times New Roman"/>
      <w:sz w:val="24"/>
    </w:rPr>
  </w:style>
  <w:style w:type="paragraph" w:customStyle="1" w:styleId="paragraph">
    <w:name w:val="paragraph"/>
    <w:basedOn w:val="Normal"/>
    <w:rsid w:val="00894A2E"/>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894A2E"/>
  </w:style>
  <w:style w:type="character" w:customStyle="1" w:styleId="eop">
    <w:name w:val="eop"/>
    <w:basedOn w:val="DefaultParagraphFont"/>
    <w:rsid w:val="00894A2E"/>
  </w:style>
  <w:style w:type="paragraph" w:styleId="ListParagraph">
    <w:name w:val="List Paragraph"/>
    <w:basedOn w:val="Normal"/>
    <w:uiPriority w:val="34"/>
    <w:qFormat/>
    <w:rsid w:val="57097F81"/>
    <w:pPr>
      <w:ind w:left="720"/>
      <w:contextualSpacing/>
    </w:pPr>
  </w:style>
  <w:style w:type="paragraph" w:styleId="ListBullet">
    <w:name w:val="List Bullet"/>
    <w:basedOn w:val="Normal"/>
    <w:uiPriority w:val="99"/>
    <w:semiHidden/>
    <w:unhideWhenUsed/>
    <w:rsid w:val="00591E7B"/>
    <w:pPr>
      <w:numPr>
        <w:numId w:val="1"/>
      </w:numPr>
      <w:contextualSpacing/>
    </w:pPr>
  </w:style>
  <w:style w:type="paragraph" w:styleId="ListBullet2">
    <w:name w:val="List Bullet 2"/>
    <w:basedOn w:val="Normal"/>
    <w:uiPriority w:val="99"/>
    <w:semiHidden/>
    <w:unhideWhenUsed/>
    <w:rsid w:val="00591E7B"/>
    <w:pPr>
      <w:numPr>
        <w:numId w:val="2"/>
      </w:numPr>
      <w:contextualSpacing/>
    </w:pPr>
  </w:style>
  <w:style w:type="paragraph" w:styleId="ListBullet3">
    <w:name w:val="List Bullet 3"/>
    <w:basedOn w:val="Normal"/>
    <w:uiPriority w:val="99"/>
    <w:semiHidden/>
    <w:unhideWhenUsed/>
    <w:rsid w:val="00591E7B"/>
    <w:pPr>
      <w:numPr>
        <w:numId w:val="3"/>
      </w:numPr>
      <w:contextualSpacing/>
    </w:pPr>
  </w:style>
  <w:style w:type="paragraph" w:styleId="ListBullet4">
    <w:name w:val="List Bullet 4"/>
    <w:basedOn w:val="Normal"/>
    <w:uiPriority w:val="99"/>
    <w:semiHidden/>
    <w:unhideWhenUsed/>
    <w:rsid w:val="00591E7B"/>
    <w:pPr>
      <w:numPr>
        <w:numId w:val="4"/>
      </w:numPr>
      <w:contextualSpacing/>
    </w:pPr>
  </w:style>
  <w:style w:type="character" w:customStyle="1" w:styleId="UnresolvedMention">
    <w:name w:val="Unresolved Mention"/>
    <w:basedOn w:val="DefaultParagraphFont"/>
    <w:uiPriority w:val="99"/>
    <w:semiHidden/>
    <w:unhideWhenUsed/>
    <w:rsid w:val="002112FF"/>
    <w:rPr>
      <w:color w:val="605E5C"/>
      <w:shd w:val="clear" w:color="auto" w:fill="E1DFDD"/>
    </w:rPr>
  </w:style>
  <w:style w:type="character" w:customStyle="1" w:styleId="HeaderChar">
    <w:name w:val="Header Char"/>
    <w:basedOn w:val="DefaultParagraphFont"/>
    <w:link w:val="Header"/>
    <w:uiPriority w:val="99"/>
    <w:rsid w:val="00B604B0"/>
    <w:rPr>
      <w:rFonts w:ascii="Times New Roman" w:hAnsi="Times New Roman" w:cs="Times New Roman"/>
      <w:sz w:val="24"/>
      <w:lang w:val="ro-RO"/>
    </w:rPr>
  </w:style>
  <w:style w:type="character" w:customStyle="1" w:styleId="FooterChar">
    <w:name w:val="Footer Char"/>
    <w:basedOn w:val="DefaultParagraphFont"/>
    <w:link w:val="Footer"/>
    <w:uiPriority w:val="99"/>
    <w:rsid w:val="00B604B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604B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604B0"/>
    <w:pPr>
      <w:spacing w:before="0"/>
      <w:jc w:val="right"/>
    </w:pPr>
    <w:rPr>
      <w:sz w:val="28"/>
    </w:rPr>
  </w:style>
  <w:style w:type="paragraph" w:customStyle="1" w:styleId="FooterSensitivity">
    <w:name w:val="Footer Sensitivity"/>
    <w:basedOn w:val="Normal"/>
    <w:rsid w:val="00B604B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604B0"/>
    <w:pPr>
      <w:tabs>
        <w:tab w:val="center" w:pos="4535"/>
        <w:tab w:val="right" w:pos="9071"/>
      </w:tabs>
      <w:spacing w:before="0"/>
    </w:pPr>
  </w:style>
  <w:style w:type="paragraph" w:customStyle="1" w:styleId="HeaderLandscape">
    <w:name w:val="HeaderLandscape"/>
    <w:basedOn w:val="Normal"/>
    <w:rsid w:val="00B604B0"/>
    <w:pPr>
      <w:tabs>
        <w:tab w:val="center" w:pos="7285"/>
        <w:tab w:val="right" w:pos="14003"/>
      </w:tabs>
      <w:spacing w:before="0"/>
    </w:pPr>
  </w:style>
  <w:style w:type="paragraph" w:styleId="Footer">
    <w:name w:val="footer"/>
    <w:basedOn w:val="Normal"/>
    <w:link w:val="FooterChar"/>
    <w:uiPriority w:val="99"/>
    <w:unhideWhenUsed/>
    <w:rsid w:val="00B604B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604B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03584">
      <w:bodyDiv w:val="1"/>
      <w:marLeft w:val="0"/>
      <w:marRight w:val="0"/>
      <w:marTop w:val="0"/>
      <w:marBottom w:val="0"/>
      <w:divBdr>
        <w:top w:val="none" w:sz="0" w:space="0" w:color="auto"/>
        <w:left w:val="none" w:sz="0" w:space="0" w:color="auto"/>
        <w:bottom w:val="none" w:sz="0" w:space="0" w:color="auto"/>
        <w:right w:val="none" w:sz="0" w:space="0" w:color="auto"/>
      </w:divBdr>
      <w:divsChild>
        <w:div w:id="322973271">
          <w:marLeft w:val="0"/>
          <w:marRight w:val="0"/>
          <w:marTop w:val="0"/>
          <w:marBottom w:val="0"/>
          <w:divBdr>
            <w:top w:val="none" w:sz="0" w:space="0" w:color="auto"/>
            <w:left w:val="none" w:sz="0" w:space="0" w:color="auto"/>
            <w:bottom w:val="none" w:sz="0" w:space="0" w:color="auto"/>
            <w:right w:val="none" w:sz="0" w:space="0" w:color="auto"/>
          </w:divBdr>
        </w:div>
        <w:div w:id="1654791528">
          <w:marLeft w:val="0"/>
          <w:marRight w:val="0"/>
          <w:marTop w:val="0"/>
          <w:marBottom w:val="0"/>
          <w:divBdr>
            <w:top w:val="none" w:sz="0" w:space="0" w:color="auto"/>
            <w:left w:val="none" w:sz="0" w:space="0" w:color="auto"/>
            <w:bottom w:val="none" w:sz="0" w:space="0" w:color="auto"/>
            <w:right w:val="none" w:sz="0" w:space="0" w:color="auto"/>
          </w:divBdr>
        </w:div>
      </w:divsChild>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65217223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3770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A63AC-A280-476F-A162-2451222B6B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6B532C-CEFB-4F64-A8A1-C4FEB0145CAD}">
  <ds:schemaRefs>
    <ds:schemaRef ds:uri="http://schemas.microsoft.com/sharepoint/v3/contenttype/forms"/>
  </ds:schemaRefs>
</ds:datastoreItem>
</file>

<file path=customXml/itemProps3.xml><?xml version="1.0" encoding="utf-8"?>
<ds:datastoreItem xmlns:ds="http://schemas.openxmlformats.org/officeDocument/2006/customXml" ds:itemID="{5C4FFC0D-D50D-4009-9E7F-24A4E86C6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1CCBC5-5545-457A-8ECB-5F3BAEEA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8</Pages>
  <Words>2670</Words>
  <Characters>15223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2026-06-22T16:50:00Z</dcterms:created>
  <dcterms:modified xsi:type="dcterms:W3CDTF">2026-06-30T14:35:00Z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