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6FB8BE" w14:textId="0009578A" w:rsidR="00F17AAE" w:rsidRPr="00E857AB" w:rsidRDefault="00CB400E" w:rsidP="00CB400E">
      <w:pPr>
        <w:pStyle w:val="Pagedecouverture"/>
        <w:rPr>
          <w:noProof/>
        </w:rPr>
      </w:pPr>
      <w:bookmarkStart w:id="0" w:name="LW_BM_COVERPAGE"/>
      <w:r>
        <w:rPr>
          <w:noProof/>
        </w:rPr>
        <w:pict w14:anchorId="3D3536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4BF58AC-ACEF-4790-ABEA-3F19D38DAAAE" style="width:455.25pt;height:286.5pt">
            <v:imagedata r:id="rId11" o:title=""/>
          </v:shape>
        </w:pict>
      </w:r>
    </w:p>
    <w:bookmarkEnd w:id="0"/>
    <w:p w14:paraId="7C0F52A5" w14:textId="77777777" w:rsidR="00F17AAE" w:rsidRPr="00A03179" w:rsidRDefault="00F17AAE" w:rsidP="00CB12C0">
      <w:pPr>
        <w:rPr>
          <w:noProof/>
        </w:rPr>
        <w:sectPr w:rsidR="00F17AAE" w:rsidRPr="00A03179" w:rsidSect="00CB400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62601C3" w14:textId="0CFCF7DD" w:rsidR="005A167C" w:rsidRPr="00177099" w:rsidRDefault="005A167C" w:rsidP="00177099">
      <w:pPr>
        <w:pStyle w:val="Pagedecouverture"/>
        <w:rPr>
          <w:noProof/>
        </w:rPr>
      </w:pPr>
      <w:bookmarkStart w:id="1" w:name="_Hlk232589288"/>
      <w:bookmarkStart w:id="2" w:name="_GoBack"/>
      <w:bookmarkEnd w:id="2"/>
      <w:r w:rsidRPr="00177099">
        <w:rPr>
          <w:noProof/>
        </w:rPr>
        <w:lastRenderedPageBreak/>
        <w:t>Report on the follow-up to the requests made by the European Parliament in its discharge resolutions and the Council in its discharge recommendation for the financial year 2024</w:t>
      </w:r>
    </w:p>
    <w:bookmarkStart w:id="3" w:name="_Toc197935745" w:displacedByCustomXml="next"/>
    <w:sdt>
      <w:sdtPr>
        <w:rPr>
          <w:rFonts w:ascii="Times New Roman" w:eastAsiaTheme="minorEastAsia" w:hAnsi="Times New Roman" w:cs="Times New Roman"/>
          <w:noProof/>
          <w:color w:val="auto"/>
          <w:sz w:val="22"/>
          <w:szCs w:val="22"/>
        </w:rPr>
        <w:id w:val="-20473642"/>
        <w:docPartObj>
          <w:docPartGallery w:val="Table of Contents"/>
          <w:docPartUnique/>
        </w:docPartObj>
      </w:sdtPr>
      <w:sdtEndPr>
        <w:rPr>
          <w:rFonts w:ascii="EC Square Sans Pro" w:hAnsi="EC Square Sans Pro" w:cstheme="minorBidi"/>
          <w:sz w:val="24"/>
        </w:rPr>
      </w:sdtEndPr>
      <w:sdtContent>
        <w:p w14:paraId="2B1E8D6E" w14:textId="77777777" w:rsidR="005A167C" w:rsidRPr="007C31E8" w:rsidRDefault="005A167C" w:rsidP="005A167C">
          <w:pPr>
            <w:pStyle w:val="TOCHeading"/>
            <w:rPr>
              <w:noProof/>
            </w:rPr>
          </w:pPr>
          <w:r w:rsidRPr="007C31E8">
            <w:rPr>
              <w:noProof/>
            </w:rPr>
            <w:t>Contents</w:t>
          </w:r>
        </w:p>
        <w:p w14:paraId="469F30EE" w14:textId="4D4A5D4D" w:rsidR="007D64C6" w:rsidRPr="004F3945" w:rsidRDefault="007D64C6" w:rsidP="004F3945">
          <w:pPr>
            <w:pStyle w:val="TOC1"/>
            <w:tabs>
              <w:tab w:val="left" w:pos="480"/>
              <w:tab w:val="right" w:leader="dot" w:pos="9016"/>
            </w:tabs>
            <w:spacing w:before="0"/>
            <w:ind w:left="340" w:hanging="340"/>
            <w:jc w:val="left"/>
            <w:rPr>
              <w:rStyle w:val="Hyperlink"/>
              <w:noProof/>
              <w:color w:val="auto"/>
              <w:sz w:val="22"/>
            </w:rPr>
          </w:pPr>
          <w:r w:rsidRPr="004F3945">
            <w:rPr>
              <w:rStyle w:val="Hyperlink"/>
              <w:noProof/>
              <w:color w:val="auto"/>
              <w:sz w:val="22"/>
            </w:rPr>
            <w:fldChar w:fldCharType="begin"/>
          </w:r>
          <w:r w:rsidRPr="004F3945">
            <w:rPr>
              <w:rStyle w:val="Hyperlink"/>
              <w:noProof/>
              <w:color w:val="auto"/>
              <w:sz w:val="22"/>
            </w:rPr>
            <w:instrText xml:space="preserve"> TOC \o "1-1" \h \z \u </w:instrText>
          </w:r>
          <w:r w:rsidRPr="004F3945">
            <w:rPr>
              <w:rStyle w:val="Hyperlink"/>
              <w:noProof/>
              <w:color w:val="auto"/>
              <w:sz w:val="22"/>
            </w:rPr>
            <w:fldChar w:fldCharType="separate"/>
          </w:r>
          <w:hyperlink w:anchor="_Toc232587412" w:history="1">
            <w:r w:rsidRPr="004F3945">
              <w:rPr>
                <w:rStyle w:val="Hyperlink"/>
                <w:noProof/>
                <w:color w:val="auto"/>
                <w:sz w:val="22"/>
              </w:rPr>
              <w:t>1.</w:t>
            </w:r>
            <w:r w:rsidRPr="004F3945">
              <w:rPr>
                <w:rStyle w:val="Hyperlink"/>
                <w:noProof/>
                <w:color w:val="auto"/>
                <w:sz w:val="22"/>
              </w:rPr>
              <w:tab/>
              <w:t>Introduction</w:t>
            </w:r>
            <w:r w:rsidRPr="004F3945">
              <w:rPr>
                <w:rStyle w:val="Hyperlink"/>
                <w:noProof/>
                <w:webHidden/>
                <w:color w:val="auto"/>
                <w:sz w:val="22"/>
              </w:rPr>
              <w:tab/>
            </w:r>
            <w:r w:rsidRPr="00E83536">
              <w:rPr>
                <w:rStyle w:val="Hyperlink"/>
                <w:b/>
                <w:bCs/>
                <w:noProof/>
                <w:webHidden/>
                <w:color w:val="auto"/>
                <w:sz w:val="22"/>
              </w:rPr>
              <w:fldChar w:fldCharType="begin"/>
            </w:r>
            <w:r w:rsidRPr="00E83536">
              <w:rPr>
                <w:rStyle w:val="Hyperlink"/>
                <w:b/>
                <w:bCs/>
                <w:noProof/>
                <w:webHidden/>
                <w:color w:val="auto"/>
                <w:sz w:val="22"/>
              </w:rPr>
              <w:instrText xml:space="preserve"> PAGEREF _Toc232587412 \h </w:instrText>
            </w:r>
            <w:r w:rsidRPr="00E83536">
              <w:rPr>
                <w:rStyle w:val="Hyperlink"/>
                <w:b/>
                <w:bCs/>
                <w:noProof/>
                <w:webHidden/>
                <w:color w:val="auto"/>
                <w:sz w:val="22"/>
              </w:rPr>
            </w:r>
            <w:r w:rsidRPr="00E83536">
              <w:rPr>
                <w:rStyle w:val="Hyperlink"/>
                <w:b/>
                <w:bCs/>
                <w:noProof/>
                <w:webHidden/>
                <w:color w:val="auto"/>
                <w:sz w:val="22"/>
              </w:rPr>
              <w:fldChar w:fldCharType="separate"/>
            </w:r>
            <w:r w:rsidR="00E001C6">
              <w:rPr>
                <w:rStyle w:val="Hyperlink"/>
                <w:b/>
                <w:bCs/>
                <w:noProof/>
                <w:webHidden/>
                <w:color w:val="auto"/>
                <w:sz w:val="22"/>
              </w:rPr>
              <w:t>1</w:t>
            </w:r>
            <w:r w:rsidRPr="00E83536">
              <w:rPr>
                <w:rStyle w:val="Hyperlink"/>
                <w:b/>
                <w:bCs/>
                <w:noProof/>
                <w:webHidden/>
                <w:color w:val="auto"/>
                <w:sz w:val="22"/>
              </w:rPr>
              <w:fldChar w:fldCharType="end"/>
            </w:r>
          </w:hyperlink>
        </w:p>
        <w:p w14:paraId="6424FD11" w14:textId="2927B58B" w:rsidR="007D64C6" w:rsidRPr="004F3945" w:rsidRDefault="00CB400E" w:rsidP="004F3945">
          <w:pPr>
            <w:pStyle w:val="TOC1"/>
            <w:tabs>
              <w:tab w:val="left" w:pos="480"/>
              <w:tab w:val="right" w:leader="dot" w:pos="9016"/>
            </w:tabs>
            <w:spacing w:before="0"/>
            <w:ind w:left="340" w:hanging="340"/>
            <w:jc w:val="left"/>
            <w:rPr>
              <w:rStyle w:val="Hyperlink"/>
              <w:noProof/>
              <w:color w:val="auto"/>
              <w:sz w:val="22"/>
            </w:rPr>
          </w:pPr>
          <w:hyperlink w:anchor="_Toc232587413" w:history="1">
            <w:r w:rsidR="007D64C6" w:rsidRPr="004F3945">
              <w:rPr>
                <w:rStyle w:val="Hyperlink"/>
                <w:noProof/>
                <w:color w:val="auto"/>
                <w:sz w:val="22"/>
              </w:rPr>
              <w:t>2.</w:t>
            </w:r>
            <w:r w:rsidR="007D64C6" w:rsidRPr="004F3945">
              <w:rPr>
                <w:rStyle w:val="Hyperlink"/>
                <w:noProof/>
                <w:color w:val="auto"/>
                <w:sz w:val="22"/>
              </w:rPr>
              <w:tab/>
              <w:t>Budget delivering on its objectives</w:t>
            </w:r>
            <w:r w:rsidR="007D64C6" w:rsidRPr="004F3945">
              <w:rPr>
                <w:rStyle w:val="Hyperlink"/>
                <w:noProof/>
                <w:webHidden/>
                <w:color w:val="auto"/>
                <w:sz w:val="22"/>
              </w:rPr>
              <w:tab/>
            </w:r>
            <w:r w:rsidR="007D64C6" w:rsidRPr="00E83536">
              <w:rPr>
                <w:rStyle w:val="Hyperlink"/>
                <w:b/>
                <w:bCs/>
                <w:noProof/>
                <w:webHidden/>
                <w:color w:val="auto"/>
                <w:sz w:val="22"/>
              </w:rPr>
              <w:fldChar w:fldCharType="begin"/>
            </w:r>
            <w:r w:rsidR="007D64C6" w:rsidRPr="00E83536">
              <w:rPr>
                <w:rStyle w:val="Hyperlink"/>
                <w:b/>
                <w:bCs/>
                <w:noProof/>
                <w:webHidden/>
                <w:color w:val="auto"/>
                <w:sz w:val="22"/>
              </w:rPr>
              <w:instrText xml:space="preserve"> PAGEREF _Toc232587413 \h </w:instrText>
            </w:r>
            <w:r w:rsidR="007D64C6" w:rsidRPr="00E83536">
              <w:rPr>
                <w:rStyle w:val="Hyperlink"/>
                <w:b/>
                <w:bCs/>
                <w:noProof/>
                <w:webHidden/>
                <w:color w:val="auto"/>
                <w:sz w:val="22"/>
              </w:rPr>
            </w:r>
            <w:r w:rsidR="007D64C6" w:rsidRPr="00E83536">
              <w:rPr>
                <w:rStyle w:val="Hyperlink"/>
                <w:b/>
                <w:bCs/>
                <w:noProof/>
                <w:webHidden/>
                <w:color w:val="auto"/>
                <w:sz w:val="22"/>
              </w:rPr>
              <w:fldChar w:fldCharType="separate"/>
            </w:r>
            <w:r w:rsidR="00E001C6">
              <w:rPr>
                <w:rStyle w:val="Hyperlink"/>
                <w:b/>
                <w:bCs/>
                <w:noProof/>
                <w:webHidden/>
                <w:color w:val="auto"/>
                <w:sz w:val="22"/>
              </w:rPr>
              <w:t>1</w:t>
            </w:r>
            <w:r w:rsidR="007D64C6" w:rsidRPr="00E83536">
              <w:rPr>
                <w:rStyle w:val="Hyperlink"/>
                <w:b/>
                <w:bCs/>
                <w:noProof/>
                <w:webHidden/>
                <w:color w:val="auto"/>
                <w:sz w:val="22"/>
              </w:rPr>
              <w:fldChar w:fldCharType="end"/>
            </w:r>
          </w:hyperlink>
        </w:p>
        <w:p w14:paraId="7A0D5083" w14:textId="617CCCAA" w:rsidR="007D64C6" w:rsidRPr="004F3945" w:rsidRDefault="00CB400E" w:rsidP="004F3945">
          <w:pPr>
            <w:pStyle w:val="TOC1"/>
            <w:tabs>
              <w:tab w:val="left" w:pos="480"/>
              <w:tab w:val="right" w:leader="dot" w:pos="9016"/>
            </w:tabs>
            <w:spacing w:before="0"/>
            <w:ind w:left="340" w:hanging="340"/>
            <w:jc w:val="left"/>
            <w:rPr>
              <w:rStyle w:val="Hyperlink"/>
              <w:noProof/>
              <w:color w:val="auto"/>
              <w:sz w:val="22"/>
            </w:rPr>
          </w:pPr>
          <w:hyperlink w:anchor="_Toc232587414" w:history="1">
            <w:r w:rsidR="007D64C6" w:rsidRPr="004F3945">
              <w:rPr>
                <w:rStyle w:val="Hyperlink"/>
                <w:noProof/>
                <w:color w:val="auto"/>
                <w:sz w:val="22"/>
              </w:rPr>
              <w:t>3.</w:t>
            </w:r>
            <w:r w:rsidR="007D64C6" w:rsidRPr="004F3945">
              <w:rPr>
                <w:rStyle w:val="Hyperlink"/>
                <w:noProof/>
                <w:color w:val="auto"/>
                <w:sz w:val="22"/>
              </w:rPr>
              <w:tab/>
              <w:t>Protecting the EU’s financial interests</w:t>
            </w:r>
            <w:r w:rsidR="007D64C6" w:rsidRPr="004F3945">
              <w:rPr>
                <w:rStyle w:val="Hyperlink"/>
                <w:noProof/>
                <w:webHidden/>
                <w:color w:val="auto"/>
                <w:sz w:val="22"/>
              </w:rPr>
              <w:tab/>
            </w:r>
            <w:r w:rsidR="007D64C6" w:rsidRPr="00E83536">
              <w:rPr>
                <w:rStyle w:val="Hyperlink"/>
                <w:b/>
                <w:bCs/>
                <w:noProof/>
                <w:webHidden/>
                <w:color w:val="auto"/>
                <w:sz w:val="22"/>
              </w:rPr>
              <w:fldChar w:fldCharType="begin"/>
            </w:r>
            <w:r w:rsidR="007D64C6" w:rsidRPr="00E83536">
              <w:rPr>
                <w:rStyle w:val="Hyperlink"/>
                <w:b/>
                <w:bCs/>
                <w:noProof/>
                <w:webHidden/>
                <w:color w:val="auto"/>
                <w:sz w:val="22"/>
              </w:rPr>
              <w:instrText xml:space="preserve"> PAGEREF _Toc232587414 \h </w:instrText>
            </w:r>
            <w:r w:rsidR="007D64C6" w:rsidRPr="00E83536">
              <w:rPr>
                <w:rStyle w:val="Hyperlink"/>
                <w:b/>
                <w:bCs/>
                <w:noProof/>
                <w:webHidden/>
                <w:color w:val="auto"/>
                <w:sz w:val="22"/>
              </w:rPr>
            </w:r>
            <w:r w:rsidR="007D64C6" w:rsidRPr="00E83536">
              <w:rPr>
                <w:rStyle w:val="Hyperlink"/>
                <w:b/>
                <w:bCs/>
                <w:noProof/>
                <w:webHidden/>
                <w:color w:val="auto"/>
                <w:sz w:val="22"/>
              </w:rPr>
              <w:fldChar w:fldCharType="separate"/>
            </w:r>
            <w:r w:rsidR="00E001C6">
              <w:rPr>
                <w:rStyle w:val="Hyperlink"/>
                <w:b/>
                <w:bCs/>
                <w:noProof/>
                <w:webHidden/>
                <w:color w:val="auto"/>
                <w:sz w:val="22"/>
              </w:rPr>
              <w:t>3</w:t>
            </w:r>
            <w:r w:rsidR="007D64C6" w:rsidRPr="00E83536">
              <w:rPr>
                <w:rStyle w:val="Hyperlink"/>
                <w:b/>
                <w:bCs/>
                <w:noProof/>
                <w:webHidden/>
                <w:color w:val="auto"/>
                <w:sz w:val="22"/>
              </w:rPr>
              <w:fldChar w:fldCharType="end"/>
            </w:r>
          </w:hyperlink>
        </w:p>
        <w:p w14:paraId="6BD69B89" w14:textId="5E8F8B94" w:rsidR="007D64C6" w:rsidRPr="004F3945" w:rsidRDefault="00CB400E" w:rsidP="004F3945">
          <w:pPr>
            <w:pStyle w:val="TOC1"/>
            <w:tabs>
              <w:tab w:val="left" w:pos="480"/>
              <w:tab w:val="right" w:leader="dot" w:pos="9016"/>
            </w:tabs>
            <w:spacing w:before="0"/>
            <w:ind w:left="340" w:hanging="340"/>
            <w:jc w:val="left"/>
            <w:rPr>
              <w:rStyle w:val="Hyperlink"/>
              <w:noProof/>
              <w:color w:val="auto"/>
              <w:sz w:val="22"/>
            </w:rPr>
          </w:pPr>
          <w:hyperlink w:anchor="_Toc232587415" w:history="1">
            <w:r w:rsidR="007D64C6" w:rsidRPr="004F3945">
              <w:rPr>
                <w:rStyle w:val="Hyperlink"/>
                <w:noProof/>
                <w:color w:val="auto"/>
                <w:sz w:val="22"/>
              </w:rPr>
              <w:t>4.</w:t>
            </w:r>
            <w:r w:rsidR="007D64C6" w:rsidRPr="004F3945">
              <w:rPr>
                <w:rStyle w:val="Hyperlink"/>
                <w:noProof/>
                <w:color w:val="auto"/>
                <w:sz w:val="22"/>
              </w:rPr>
              <w:tab/>
              <w:t>Transparency</w:t>
            </w:r>
            <w:r w:rsidR="007D64C6" w:rsidRPr="004F3945">
              <w:rPr>
                <w:rStyle w:val="Hyperlink"/>
                <w:noProof/>
                <w:webHidden/>
                <w:color w:val="auto"/>
                <w:sz w:val="22"/>
              </w:rPr>
              <w:tab/>
            </w:r>
            <w:r w:rsidR="007D64C6" w:rsidRPr="00E83536">
              <w:rPr>
                <w:rStyle w:val="Hyperlink"/>
                <w:b/>
                <w:bCs/>
                <w:noProof/>
                <w:webHidden/>
                <w:color w:val="auto"/>
                <w:sz w:val="22"/>
              </w:rPr>
              <w:fldChar w:fldCharType="begin"/>
            </w:r>
            <w:r w:rsidR="007D64C6" w:rsidRPr="00E83536">
              <w:rPr>
                <w:rStyle w:val="Hyperlink"/>
                <w:b/>
                <w:bCs/>
                <w:noProof/>
                <w:webHidden/>
                <w:color w:val="auto"/>
                <w:sz w:val="22"/>
              </w:rPr>
              <w:instrText xml:space="preserve"> PAGEREF _Toc232587415 \h </w:instrText>
            </w:r>
            <w:r w:rsidR="007D64C6" w:rsidRPr="00E83536">
              <w:rPr>
                <w:rStyle w:val="Hyperlink"/>
                <w:b/>
                <w:bCs/>
                <w:noProof/>
                <w:webHidden/>
                <w:color w:val="auto"/>
                <w:sz w:val="22"/>
              </w:rPr>
            </w:r>
            <w:r w:rsidR="007D64C6" w:rsidRPr="00E83536">
              <w:rPr>
                <w:rStyle w:val="Hyperlink"/>
                <w:b/>
                <w:bCs/>
                <w:noProof/>
                <w:webHidden/>
                <w:color w:val="auto"/>
                <w:sz w:val="22"/>
              </w:rPr>
              <w:fldChar w:fldCharType="separate"/>
            </w:r>
            <w:r w:rsidR="00E001C6">
              <w:rPr>
                <w:rStyle w:val="Hyperlink"/>
                <w:b/>
                <w:bCs/>
                <w:noProof/>
                <w:webHidden/>
                <w:color w:val="auto"/>
                <w:sz w:val="22"/>
              </w:rPr>
              <w:t>9</w:t>
            </w:r>
            <w:r w:rsidR="007D64C6" w:rsidRPr="00E83536">
              <w:rPr>
                <w:rStyle w:val="Hyperlink"/>
                <w:b/>
                <w:bCs/>
                <w:noProof/>
                <w:webHidden/>
                <w:color w:val="auto"/>
                <w:sz w:val="22"/>
              </w:rPr>
              <w:fldChar w:fldCharType="end"/>
            </w:r>
          </w:hyperlink>
        </w:p>
        <w:p w14:paraId="2319D0FB" w14:textId="1880BBF8" w:rsidR="007D64C6" w:rsidRPr="004F3945" w:rsidRDefault="00CB400E" w:rsidP="004F3945">
          <w:pPr>
            <w:pStyle w:val="TOC1"/>
            <w:tabs>
              <w:tab w:val="left" w:pos="480"/>
              <w:tab w:val="right" w:leader="dot" w:pos="9016"/>
            </w:tabs>
            <w:spacing w:before="0"/>
            <w:ind w:left="340" w:hanging="340"/>
            <w:jc w:val="left"/>
            <w:rPr>
              <w:rStyle w:val="Hyperlink"/>
              <w:noProof/>
              <w:color w:val="auto"/>
              <w:sz w:val="22"/>
            </w:rPr>
          </w:pPr>
          <w:hyperlink w:anchor="_Toc232587416" w:history="1">
            <w:r w:rsidR="007D64C6" w:rsidRPr="004F3945">
              <w:rPr>
                <w:rStyle w:val="Hyperlink"/>
                <w:noProof/>
                <w:color w:val="auto"/>
                <w:sz w:val="22"/>
              </w:rPr>
              <w:t>5.</w:t>
            </w:r>
            <w:r w:rsidR="007D64C6" w:rsidRPr="004F3945">
              <w:rPr>
                <w:rStyle w:val="Hyperlink"/>
                <w:noProof/>
                <w:color w:val="auto"/>
                <w:sz w:val="22"/>
              </w:rPr>
              <w:tab/>
              <w:t>Sustainability of debt</w:t>
            </w:r>
            <w:r w:rsidR="007D64C6" w:rsidRPr="004F3945">
              <w:rPr>
                <w:rStyle w:val="Hyperlink"/>
                <w:noProof/>
                <w:webHidden/>
                <w:color w:val="auto"/>
                <w:sz w:val="22"/>
              </w:rPr>
              <w:tab/>
            </w:r>
            <w:r w:rsidR="007D64C6" w:rsidRPr="00E83536">
              <w:rPr>
                <w:rStyle w:val="Hyperlink"/>
                <w:b/>
                <w:bCs/>
                <w:noProof/>
                <w:webHidden/>
                <w:color w:val="auto"/>
                <w:sz w:val="22"/>
              </w:rPr>
              <w:fldChar w:fldCharType="begin"/>
            </w:r>
            <w:r w:rsidR="007D64C6" w:rsidRPr="00E83536">
              <w:rPr>
                <w:rStyle w:val="Hyperlink"/>
                <w:b/>
                <w:bCs/>
                <w:noProof/>
                <w:webHidden/>
                <w:color w:val="auto"/>
                <w:sz w:val="22"/>
              </w:rPr>
              <w:instrText xml:space="preserve"> PAGEREF _Toc232587416 \h </w:instrText>
            </w:r>
            <w:r w:rsidR="007D64C6" w:rsidRPr="00E83536">
              <w:rPr>
                <w:rStyle w:val="Hyperlink"/>
                <w:b/>
                <w:bCs/>
                <w:noProof/>
                <w:webHidden/>
                <w:color w:val="auto"/>
                <w:sz w:val="22"/>
              </w:rPr>
            </w:r>
            <w:r w:rsidR="007D64C6" w:rsidRPr="00E83536">
              <w:rPr>
                <w:rStyle w:val="Hyperlink"/>
                <w:b/>
                <w:bCs/>
                <w:noProof/>
                <w:webHidden/>
                <w:color w:val="auto"/>
                <w:sz w:val="22"/>
              </w:rPr>
              <w:fldChar w:fldCharType="separate"/>
            </w:r>
            <w:r w:rsidR="00E001C6">
              <w:rPr>
                <w:rStyle w:val="Hyperlink"/>
                <w:b/>
                <w:bCs/>
                <w:noProof/>
                <w:webHidden/>
                <w:color w:val="auto"/>
                <w:sz w:val="22"/>
              </w:rPr>
              <w:t>12</w:t>
            </w:r>
            <w:r w:rsidR="007D64C6" w:rsidRPr="00E83536">
              <w:rPr>
                <w:rStyle w:val="Hyperlink"/>
                <w:b/>
                <w:bCs/>
                <w:noProof/>
                <w:webHidden/>
                <w:color w:val="auto"/>
                <w:sz w:val="22"/>
              </w:rPr>
              <w:fldChar w:fldCharType="end"/>
            </w:r>
          </w:hyperlink>
        </w:p>
        <w:p w14:paraId="3072EA8D" w14:textId="4E181834" w:rsidR="007D64C6" w:rsidRPr="004F3945" w:rsidRDefault="00CB400E" w:rsidP="004F3945">
          <w:pPr>
            <w:pStyle w:val="TOC1"/>
            <w:tabs>
              <w:tab w:val="left" w:pos="480"/>
              <w:tab w:val="right" w:leader="dot" w:pos="9016"/>
            </w:tabs>
            <w:spacing w:before="0"/>
            <w:ind w:left="340" w:hanging="340"/>
            <w:jc w:val="left"/>
            <w:rPr>
              <w:rStyle w:val="Hyperlink"/>
              <w:noProof/>
              <w:color w:val="auto"/>
              <w:sz w:val="22"/>
            </w:rPr>
          </w:pPr>
          <w:hyperlink w:anchor="_Toc232587417" w:history="1">
            <w:r w:rsidR="007D64C6" w:rsidRPr="004F3945">
              <w:rPr>
                <w:rStyle w:val="Hyperlink"/>
                <w:noProof/>
                <w:color w:val="auto"/>
                <w:sz w:val="22"/>
              </w:rPr>
              <w:t>6.</w:t>
            </w:r>
            <w:r w:rsidR="007D64C6" w:rsidRPr="004F3945">
              <w:rPr>
                <w:rStyle w:val="Hyperlink"/>
                <w:noProof/>
                <w:color w:val="auto"/>
                <w:sz w:val="22"/>
              </w:rPr>
              <w:tab/>
              <w:t>Looking ahead</w:t>
            </w:r>
            <w:r w:rsidR="007D64C6" w:rsidRPr="004F3945">
              <w:rPr>
                <w:rStyle w:val="Hyperlink"/>
                <w:noProof/>
                <w:webHidden/>
                <w:color w:val="auto"/>
                <w:sz w:val="22"/>
              </w:rPr>
              <w:tab/>
            </w:r>
            <w:r w:rsidR="007D64C6" w:rsidRPr="00E83536">
              <w:rPr>
                <w:rStyle w:val="Hyperlink"/>
                <w:b/>
                <w:bCs/>
                <w:noProof/>
                <w:webHidden/>
                <w:color w:val="auto"/>
                <w:sz w:val="22"/>
              </w:rPr>
              <w:fldChar w:fldCharType="begin"/>
            </w:r>
            <w:r w:rsidR="007D64C6" w:rsidRPr="00E83536">
              <w:rPr>
                <w:rStyle w:val="Hyperlink"/>
                <w:b/>
                <w:bCs/>
                <w:noProof/>
                <w:webHidden/>
                <w:color w:val="auto"/>
                <w:sz w:val="22"/>
              </w:rPr>
              <w:instrText xml:space="preserve"> PAGEREF _Toc232587417 \h </w:instrText>
            </w:r>
            <w:r w:rsidR="007D64C6" w:rsidRPr="00E83536">
              <w:rPr>
                <w:rStyle w:val="Hyperlink"/>
                <w:b/>
                <w:bCs/>
                <w:noProof/>
                <w:webHidden/>
                <w:color w:val="auto"/>
                <w:sz w:val="22"/>
              </w:rPr>
            </w:r>
            <w:r w:rsidR="007D64C6" w:rsidRPr="00E83536">
              <w:rPr>
                <w:rStyle w:val="Hyperlink"/>
                <w:b/>
                <w:bCs/>
                <w:noProof/>
                <w:webHidden/>
                <w:color w:val="auto"/>
                <w:sz w:val="22"/>
              </w:rPr>
              <w:fldChar w:fldCharType="separate"/>
            </w:r>
            <w:r w:rsidR="00E001C6">
              <w:rPr>
                <w:rStyle w:val="Hyperlink"/>
                <w:b/>
                <w:bCs/>
                <w:noProof/>
                <w:webHidden/>
                <w:color w:val="auto"/>
                <w:sz w:val="22"/>
              </w:rPr>
              <w:t>12</w:t>
            </w:r>
            <w:r w:rsidR="007D64C6" w:rsidRPr="00E83536">
              <w:rPr>
                <w:rStyle w:val="Hyperlink"/>
                <w:b/>
                <w:bCs/>
                <w:noProof/>
                <w:webHidden/>
                <w:color w:val="auto"/>
                <w:sz w:val="22"/>
              </w:rPr>
              <w:fldChar w:fldCharType="end"/>
            </w:r>
          </w:hyperlink>
        </w:p>
        <w:p w14:paraId="792F42AB" w14:textId="439CF3FF" w:rsidR="005A167C" w:rsidRPr="00C25BA6" w:rsidRDefault="007D64C6" w:rsidP="004F3945">
          <w:pPr>
            <w:pStyle w:val="TOC1"/>
            <w:tabs>
              <w:tab w:val="left" w:pos="480"/>
              <w:tab w:val="right" w:leader="dot" w:pos="9016"/>
            </w:tabs>
            <w:spacing w:before="0"/>
            <w:ind w:left="340" w:hanging="340"/>
            <w:jc w:val="left"/>
            <w:rPr>
              <w:noProof/>
            </w:rPr>
          </w:pPr>
          <w:r w:rsidRPr="004F3945">
            <w:rPr>
              <w:rStyle w:val="Hyperlink"/>
              <w:noProof/>
              <w:color w:val="auto"/>
              <w:sz w:val="22"/>
            </w:rPr>
            <w:fldChar w:fldCharType="end"/>
          </w:r>
        </w:p>
      </w:sdtContent>
    </w:sdt>
    <w:p w14:paraId="612C2423" w14:textId="77777777" w:rsidR="001B6B70" w:rsidRDefault="001B6B70" w:rsidP="00E42C78">
      <w:pPr>
        <w:pStyle w:val="Headingfollowupreport"/>
        <w:rPr>
          <w:noProof/>
        </w:rPr>
        <w:sectPr w:rsidR="001B6B70" w:rsidSect="005B45D3">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20"/>
          <w:docGrid w:linePitch="360"/>
        </w:sectPr>
      </w:pPr>
      <w:bookmarkStart w:id="4" w:name="_Toc2014507332"/>
      <w:bookmarkStart w:id="5" w:name="_Toc654994957"/>
      <w:bookmarkStart w:id="6" w:name="_Toc2101040262"/>
      <w:bookmarkStart w:id="7" w:name="_Toc1502612090"/>
      <w:bookmarkStart w:id="8" w:name="_Toc988860482"/>
    </w:p>
    <w:p w14:paraId="251D84AC" w14:textId="68840BC0" w:rsidR="005A167C" w:rsidRPr="00C042A9" w:rsidRDefault="00E96D17" w:rsidP="006A0023">
      <w:pPr>
        <w:pStyle w:val="Headingfollowupreport"/>
        <w:numPr>
          <w:ilvl w:val="0"/>
          <w:numId w:val="6"/>
        </w:numPr>
        <w:rPr>
          <w:noProof/>
        </w:rPr>
      </w:pPr>
      <w:r>
        <w:rPr>
          <w:noProof/>
        </w:rPr>
        <w:t xml:space="preserve"> </w:t>
      </w:r>
      <w:bookmarkStart w:id="9" w:name="_Toc232587412"/>
      <w:r w:rsidR="005A167C" w:rsidRPr="00C042A9">
        <w:rPr>
          <w:noProof/>
        </w:rPr>
        <w:t>Introduction</w:t>
      </w:r>
      <w:bookmarkEnd w:id="4"/>
      <w:bookmarkEnd w:id="5"/>
      <w:bookmarkEnd w:id="6"/>
      <w:bookmarkEnd w:id="7"/>
      <w:bookmarkEnd w:id="8"/>
      <w:bookmarkEnd w:id="9"/>
      <w:bookmarkEnd w:id="3"/>
    </w:p>
    <w:p w14:paraId="78777959" w14:textId="73014CD7" w:rsidR="005A167C" w:rsidRPr="00E857AB" w:rsidRDefault="005A167C" w:rsidP="00C6601C">
      <w:pPr>
        <w:rPr>
          <w:noProof/>
        </w:rPr>
      </w:pPr>
      <w:r w:rsidRPr="00E857AB">
        <w:rPr>
          <w:noProof/>
        </w:rPr>
        <w:t>On 29</w:t>
      </w:r>
      <w:r w:rsidR="00697B5F" w:rsidRPr="00E857AB">
        <w:rPr>
          <w:rFonts w:ascii="Calibri" w:hAnsi="Calibri" w:cs="Calibri"/>
          <w:noProof/>
        </w:rPr>
        <w:t> </w:t>
      </w:r>
      <w:r w:rsidRPr="00E857AB">
        <w:rPr>
          <w:noProof/>
        </w:rPr>
        <w:t>April 2026, following the recommendation by the Council, the European Parliament granted discharge to the Commission for its implementation of the EU budget in 2024.</w:t>
      </w:r>
    </w:p>
    <w:p w14:paraId="6A21608D" w14:textId="5E80962E" w:rsidR="005A167C" w:rsidRPr="007C31E8" w:rsidRDefault="005A167C" w:rsidP="005A167C">
      <w:pPr>
        <w:rPr>
          <w:noProof/>
          <w:szCs w:val="24"/>
        </w:rPr>
      </w:pPr>
      <w:r w:rsidRPr="00E857AB" w:rsidDel="00B27FA5">
        <w:rPr>
          <w:noProof/>
          <w:szCs w:val="24"/>
        </w:rPr>
        <w:t xml:space="preserve">This report </w:t>
      </w:r>
      <w:r w:rsidRPr="00E857AB">
        <w:rPr>
          <w:noProof/>
          <w:szCs w:val="24"/>
        </w:rPr>
        <w:t>summarises</w:t>
      </w:r>
      <w:r w:rsidRPr="00E857AB" w:rsidDel="00B27FA5">
        <w:rPr>
          <w:noProof/>
          <w:szCs w:val="24"/>
        </w:rPr>
        <w:t xml:space="preserve"> the </w:t>
      </w:r>
      <w:r w:rsidR="00F2551C">
        <w:rPr>
          <w:noProof/>
          <w:szCs w:val="24"/>
        </w:rPr>
        <w:t>majo</w:t>
      </w:r>
      <w:r w:rsidR="005D7AEC">
        <w:rPr>
          <w:noProof/>
          <w:szCs w:val="24"/>
        </w:rPr>
        <w:t xml:space="preserve">r </w:t>
      </w:r>
      <w:r w:rsidRPr="00E857AB" w:rsidDel="00B27FA5">
        <w:rPr>
          <w:noProof/>
          <w:szCs w:val="24"/>
        </w:rPr>
        <w:t xml:space="preserve">actions taken by the Commission in response </w:t>
      </w:r>
      <w:r w:rsidRPr="00E857AB">
        <w:rPr>
          <w:noProof/>
          <w:szCs w:val="24"/>
        </w:rPr>
        <w:t xml:space="preserve">to the main </w:t>
      </w:r>
      <w:r w:rsidRPr="00E857AB" w:rsidDel="00B27FA5">
        <w:rPr>
          <w:noProof/>
          <w:szCs w:val="24"/>
        </w:rPr>
        <w:t xml:space="preserve">requests </w:t>
      </w:r>
      <w:r w:rsidRPr="00E857AB">
        <w:rPr>
          <w:noProof/>
          <w:szCs w:val="24"/>
        </w:rPr>
        <w:t>made</w:t>
      </w:r>
      <w:r w:rsidRPr="00E857AB" w:rsidDel="00B27FA5">
        <w:rPr>
          <w:noProof/>
          <w:szCs w:val="24"/>
        </w:rPr>
        <w:t xml:space="preserve"> </w:t>
      </w:r>
      <w:r w:rsidRPr="00E857AB">
        <w:rPr>
          <w:noProof/>
          <w:szCs w:val="24"/>
        </w:rPr>
        <w:t>by</w:t>
      </w:r>
      <w:r w:rsidR="009E1554" w:rsidRPr="00E857AB">
        <w:rPr>
          <w:noProof/>
          <w:szCs w:val="24"/>
        </w:rPr>
        <w:t>: (i)</w:t>
      </w:r>
      <w:r w:rsidRPr="00E857AB">
        <w:rPr>
          <w:noProof/>
          <w:szCs w:val="24"/>
        </w:rPr>
        <w:t xml:space="preserve"> </w:t>
      </w:r>
      <w:r w:rsidRPr="00E857AB" w:rsidDel="00B27FA5">
        <w:rPr>
          <w:noProof/>
          <w:szCs w:val="24"/>
        </w:rPr>
        <w:t xml:space="preserve">the </w:t>
      </w:r>
      <w:r w:rsidR="009E1554" w:rsidRPr="00E857AB">
        <w:rPr>
          <w:noProof/>
          <w:szCs w:val="24"/>
        </w:rPr>
        <w:t xml:space="preserve">European </w:t>
      </w:r>
      <w:r w:rsidRPr="00E857AB" w:rsidDel="00B27FA5">
        <w:rPr>
          <w:noProof/>
          <w:szCs w:val="24"/>
        </w:rPr>
        <w:t xml:space="preserve">Parliament </w:t>
      </w:r>
      <w:r w:rsidRPr="00E857AB">
        <w:rPr>
          <w:noProof/>
          <w:szCs w:val="24"/>
        </w:rPr>
        <w:t xml:space="preserve">in its </w:t>
      </w:r>
      <w:r w:rsidRPr="00E857AB" w:rsidDel="00B27FA5">
        <w:rPr>
          <w:noProof/>
          <w:szCs w:val="24"/>
        </w:rPr>
        <w:t>discharge resolution</w:t>
      </w:r>
      <w:r w:rsidRPr="00E42C78" w:rsidDel="00B27FA5">
        <w:rPr>
          <w:noProof/>
        </w:rPr>
        <w:footnoteReference w:id="2"/>
      </w:r>
      <w:r w:rsidR="009E1554" w:rsidRPr="00E857AB">
        <w:rPr>
          <w:noProof/>
          <w:szCs w:val="24"/>
        </w:rPr>
        <w:t>,</w:t>
      </w:r>
      <w:r w:rsidRPr="00E857AB">
        <w:rPr>
          <w:noProof/>
          <w:szCs w:val="24"/>
        </w:rPr>
        <w:t xml:space="preserve"> and </w:t>
      </w:r>
      <w:r w:rsidR="009E1554" w:rsidRPr="00E857AB">
        <w:rPr>
          <w:noProof/>
          <w:szCs w:val="24"/>
        </w:rPr>
        <w:t>(ii)</w:t>
      </w:r>
      <w:r w:rsidR="009E1554" w:rsidRPr="00E857AB" w:rsidDel="00B27FA5">
        <w:rPr>
          <w:noProof/>
          <w:szCs w:val="24"/>
        </w:rPr>
        <w:t xml:space="preserve"> </w:t>
      </w:r>
      <w:r w:rsidRPr="00E857AB" w:rsidDel="00B27FA5">
        <w:rPr>
          <w:noProof/>
          <w:szCs w:val="24"/>
        </w:rPr>
        <w:t xml:space="preserve">the Council in its recommendation on </w:t>
      </w:r>
      <w:r w:rsidRPr="00E857AB">
        <w:rPr>
          <w:noProof/>
          <w:szCs w:val="24"/>
        </w:rPr>
        <w:t xml:space="preserve">the </w:t>
      </w:r>
      <w:r w:rsidRPr="00E857AB" w:rsidDel="00B27FA5">
        <w:rPr>
          <w:noProof/>
          <w:szCs w:val="24"/>
        </w:rPr>
        <w:t>discharge</w:t>
      </w:r>
      <w:r w:rsidRPr="00E42C78" w:rsidDel="00B27FA5">
        <w:rPr>
          <w:noProof/>
        </w:rPr>
        <w:footnoteReference w:id="3"/>
      </w:r>
      <w:r w:rsidRPr="00E857AB" w:rsidDel="00B27FA5">
        <w:rPr>
          <w:noProof/>
          <w:szCs w:val="24"/>
        </w:rPr>
        <w:t xml:space="preserve">. </w:t>
      </w:r>
      <w:r w:rsidRPr="00E857AB">
        <w:rPr>
          <w:noProof/>
          <w:szCs w:val="24"/>
        </w:rPr>
        <w:t>The Commission will provide replies to specific requests later this year.</w:t>
      </w:r>
      <w:bookmarkStart w:id="10" w:name="_Toc197935746"/>
      <w:bookmarkStart w:id="11" w:name="_Hlk167270035"/>
    </w:p>
    <w:p w14:paraId="1D81EFF8" w14:textId="2CC3BD16" w:rsidR="005A167C" w:rsidRPr="00E857AB" w:rsidRDefault="00E96D17" w:rsidP="009F5642">
      <w:pPr>
        <w:pStyle w:val="Headingfollowupreport"/>
        <w:numPr>
          <w:ilvl w:val="0"/>
          <w:numId w:val="6"/>
        </w:numPr>
        <w:rPr>
          <w:noProof/>
        </w:rPr>
      </w:pPr>
      <w:bookmarkStart w:id="12" w:name="_Toc705912121"/>
      <w:bookmarkStart w:id="13" w:name="_Toc676213904"/>
      <w:bookmarkStart w:id="14" w:name="_Toc634214769"/>
      <w:bookmarkStart w:id="15" w:name="_Toc2133017582"/>
      <w:bookmarkStart w:id="16" w:name="_Toc481462780"/>
      <w:r>
        <w:rPr>
          <w:noProof/>
        </w:rPr>
        <w:t xml:space="preserve"> </w:t>
      </w:r>
      <w:bookmarkStart w:id="17" w:name="_Toc232587413"/>
      <w:r w:rsidR="005A167C" w:rsidRPr="00E857AB">
        <w:rPr>
          <w:noProof/>
        </w:rPr>
        <w:t>Budget delivering on its objectives</w:t>
      </w:r>
      <w:bookmarkEnd w:id="12"/>
      <w:bookmarkEnd w:id="13"/>
      <w:bookmarkEnd w:id="14"/>
      <w:bookmarkEnd w:id="15"/>
      <w:bookmarkEnd w:id="16"/>
      <w:bookmarkEnd w:id="17"/>
    </w:p>
    <w:p w14:paraId="7D52EF9C" w14:textId="0DFF88D5" w:rsidR="0033472A" w:rsidRPr="00E857AB" w:rsidRDefault="005A167C" w:rsidP="005A167C">
      <w:pPr>
        <w:rPr>
          <w:rFonts w:ascii="Times New Roman" w:hAnsi="Times New Roman" w:cs="Times New Roman"/>
          <w:noProof/>
          <w:szCs w:val="24"/>
        </w:rPr>
      </w:pPr>
      <w:r w:rsidRPr="00C6601C">
        <w:rPr>
          <w:noProof/>
        </w:rPr>
        <w:t>In 2024, the EU budget was vital in helping the EU deliver on policy priorities. As set out in the</w:t>
      </w:r>
      <w:r w:rsidRPr="00E857AB">
        <w:rPr>
          <w:rFonts w:ascii="Times New Roman" w:hAnsi="Times New Roman" w:cs="Times New Roman"/>
          <w:noProof/>
          <w:szCs w:val="24"/>
        </w:rPr>
        <w:t xml:space="preserve"> </w:t>
      </w:r>
      <w:r w:rsidRPr="00C6601C">
        <w:rPr>
          <w:rStyle w:val="NormalItalicChar"/>
          <w:noProof/>
        </w:rPr>
        <w:t>Annual Management and Performance Report for the EU budget</w:t>
      </w:r>
      <w:r w:rsidR="00912637" w:rsidRPr="00C6601C">
        <w:rPr>
          <w:rStyle w:val="NormalItalicChar"/>
          <w:noProof/>
        </w:rPr>
        <w:t xml:space="preserve"> – 2024 financial year</w:t>
      </w:r>
      <w:r w:rsidRPr="00E857AB">
        <w:rPr>
          <w:rStyle w:val="FootnoteReference"/>
          <w:rFonts w:ascii="Times New Roman" w:hAnsi="Times New Roman" w:cs="Times New Roman"/>
          <w:noProof/>
          <w:szCs w:val="24"/>
        </w:rPr>
        <w:footnoteReference w:id="4"/>
      </w:r>
      <w:r w:rsidRPr="00E857AB">
        <w:rPr>
          <w:rFonts w:ascii="Times New Roman" w:hAnsi="Times New Roman" w:cs="Times New Roman"/>
          <w:noProof/>
          <w:szCs w:val="24"/>
        </w:rPr>
        <w:t xml:space="preserve">, </w:t>
      </w:r>
      <w:r w:rsidRPr="00C6601C">
        <w:rPr>
          <w:noProof/>
        </w:rPr>
        <w:t>the EU budget contributed to strengthening economic, social and territorial cohesion, supporting farmers</w:t>
      </w:r>
      <w:r w:rsidR="00FB5F29" w:rsidRPr="00C6601C">
        <w:rPr>
          <w:noProof/>
        </w:rPr>
        <w:t xml:space="preserve"> and </w:t>
      </w:r>
      <w:r w:rsidRPr="00C6601C">
        <w:rPr>
          <w:noProof/>
        </w:rPr>
        <w:t>improving agricultural productivity</w:t>
      </w:r>
      <w:r w:rsidR="0033472A" w:rsidRPr="00C6601C">
        <w:rPr>
          <w:noProof/>
        </w:rPr>
        <w:t xml:space="preserve">. It </w:t>
      </w:r>
      <w:r w:rsidRPr="00C6601C">
        <w:rPr>
          <w:noProof/>
        </w:rPr>
        <w:t>supported the green and digital transition</w:t>
      </w:r>
      <w:r w:rsidR="00FB5F29" w:rsidRPr="00C6601C">
        <w:rPr>
          <w:noProof/>
        </w:rPr>
        <w:t xml:space="preserve">s and </w:t>
      </w:r>
      <w:r w:rsidRPr="00C6601C">
        <w:rPr>
          <w:noProof/>
        </w:rPr>
        <w:t xml:space="preserve">the strengthening of </w:t>
      </w:r>
      <w:r w:rsidR="00FB5F29" w:rsidRPr="00C6601C">
        <w:rPr>
          <w:noProof/>
        </w:rPr>
        <w:t xml:space="preserve">the </w:t>
      </w:r>
      <w:r w:rsidRPr="00C6601C">
        <w:rPr>
          <w:noProof/>
        </w:rPr>
        <w:t xml:space="preserve">EU’s external </w:t>
      </w:r>
      <w:r w:rsidR="006D281D" w:rsidRPr="00C6601C">
        <w:rPr>
          <w:noProof/>
        </w:rPr>
        <w:t>borders</w:t>
      </w:r>
      <w:r w:rsidRPr="00C6601C">
        <w:rPr>
          <w:noProof/>
        </w:rPr>
        <w:t xml:space="preserve"> and </w:t>
      </w:r>
      <w:r w:rsidR="006D281D" w:rsidRPr="00C6601C">
        <w:rPr>
          <w:noProof/>
        </w:rPr>
        <w:t>defen</w:t>
      </w:r>
      <w:r w:rsidR="00D17307" w:rsidRPr="00C6601C">
        <w:rPr>
          <w:noProof/>
        </w:rPr>
        <w:t>c</w:t>
      </w:r>
      <w:r w:rsidR="006D281D" w:rsidRPr="00C6601C">
        <w:rPr>
          <w:noProof/>
        </w:rPr>
        <w:t>e</w:t>
      </w:r>
      <w:r w:rsidRPr="00C6601C">
        <w:rPr>
          <w:noProof/>
        </w:rPr>
        <w:t xml:space="preserve"> capabilities, </w:t>
      </w:r>
      <w:r w:rsidR="00FB5F29" w:rsidRPr="00C6601C">
        <w:rPr>
          <w:noProof/>
        </w:rPr>
        <w:t>helped address</w:t>
      </w:r>
      <w:r w:rsidRPr="00C6601C">
        <w:rPr>
          <w:noProof/>
        </w:rPr>
        <w:t xml:space="preserve"> migration pressures, provided unwavering support to Ukraine, and helped the EU respond to the humanitarian crisis in the Middle East.</w:t>
      </w:r>
    </w:p>
    <w:p w14:paraId="1CDFC268" w14:textId="642E3CB1" w:rsidR="005A167C" w:rsidRPr="00D06AA3" w:rsidRDefault="005A167C" w:rsidP="00C6601C">
      <w:pPr>
        <w:rPr>
          <w:noProof/>
        </w:rPr>
      </w:pPr>
      <w:r w:rsidRPr="00E857AB">
        <w:rPr>
          <w:noProof/>
        </w:rPr>
        <w:t xml:space="preserve">The EU budget </w:t>
      </w:r>
      <w:r w:rsidR="00890239">
        <w:rPr>
          <w:noProof/>
        </w:rPr>
        <w:t xml:space="preserve">was </w:t>
      </w:r>
      <w:r w:rsidRPr="00E857AB">
        <w:rPr>
          <w:noProof/>
        </w:rPr>
        <w:t xml:space="preserve">key in boosting the EU’s competitiveness, bolstering economic security </w:t>
      </w:r>
      <w:r w:rsidR="0033472A" w:rsidRPr="00E857AB">
        <w:rPr>
          <w:noProof/>
        </w:rPr>
        <w:t>(</w:t>
      </w:r>
      <w:r w:rsidR="00D17307" w:rsidRPr="00E857AB">
        <w:rPr>
          <w:noProof/>
        </w:rPr>
        <w:t>e.g.</w:t>
      </w:r>
      <w:r w:rsidRPr="00E857AB">
        <w:rPr>
          <w:noProof/>
        </w:rPr>
        <w:t xml:space="preserve"> </w:t>
      </w:r>
      <w:r w:rsidR="00FB5F29" w:rsidRPr="00E857AB">
        <w:rPr>
          <w:noProof/>
        </w:rPr>
        <w:t xml:space="preserve">by </w:t>
      </w:r>
      <w:r w:rsidRPr="00E857AB">
        <w:rPr>
          <w:noProof/>
        </w:rPr>
        <w:t>investing in clean technologies, human capital</w:t>
      </w:r>
      <w:r w:rsidR="00FB5F29" w:rsidRPr="00E857AB">
        <w:rPr>
          <w:noProof/>
        </w:rPr>
        <w:t xml:space="preserve"> and </w:t>
      </w:r>
      <w:r w:rsidRPr="00E857AB">
        <w:rPr>
          <w:noProof/>
        </w:rPr>
        <w:t>cross-border infrastructure to strengthen regional development and the single market</w:t>
      </w:r>
      <w:r w:rsidR="0033472A" w:rsidRPr="00E857AB">
        <w:rPr>
          <w:noProof/>
        </w:rPr>
        <w:t>)</w:t>
      </w:r>
      <w:r w:rsidRPr="00E857AB">
        <w:rPr>
          <w:noProof/>
        </w:rPr>
        <w:t>, and underpinning the EU’s strategic partnerships worldwide.</w:t>
      </w:r>
    </w:p>
    <w:p w14:paraId="4F31C3EE" w14:textId="77777777" w:rsidR="005A167C" w:rsidRPr="00744578" w:rsidRDefault="005A167C" w:rsidP="00744578">
      <w:pPr>
        <w:pStyle w:val="Heading2"/>
        <w:rPr>
          <w:noProof/>
        </w:rPr>
      </w:pPr>
      <w:bookmarkStart w:id="18" w:name="_Toc291076539"/>
      <w:bookmarkStart w:id="19" w:name="_Toc1036254774"/>
      <w:bookmarkStart w:id="20" w:name="_Toc230251246"/>
      <w:r w:rsidRPr="00744578">
        <w:rPr>
          <w:noProof/>
        </w:rPr>
        <w:t>a.</w:t>
      </w:r>
      <w:r w:rsidRPr="00744578" w:rsidDel="004A6C38">
        <w:rPr>
          <w:noProof/>
        </w:rPr>
        <w:t xml:space="preserve"> </w:t>
      </w:r>
      <w:bookmarkStart w:id="21" w:name="_Toc210631426"/>
      <w:r w:rsidRPr="00744578">
        <w:rPr>
          <w:noProof/>
        </w:rPr>
        <w:t>Budgetary implementation</w:t>
      </w:r>
      <w:bookmarkStart w:id="22" w:name="_Toc197935747"/>
      <w:bookmarkEnd w:id="18"/>
      <w:bookmarkEnd w:id="19"/>
      <w:bookmarkEnd w:id="20"/>
      <w:bookmarkEnd w:id="21"/>
    </w:p>
    <w:p w14:paraId="43366B7C" w14:textId="2771CD19" w:rsidR="005A167C" w:rsidRPr="00E857AB" w:rsidRDefault="005A167C" w:rsidP="00C6601C">
      <w:pPr>
        <w:rPr>
          <w:noProof/>
        </w:rPr>
      </w:pPr>
      <w:r w:rsidRPr="00E857AB">
        <w:rPr>
          <w:noProof/>
        </w:rPr>
        <w:t>Parliament is concerned about the implementation rate for the EU budget under the current Multiannual Financial Framework (MFF) and for the Recovery and Resilience Facility (RRF)</w:t>
      </w:r>
      <w:r w:rsidR="008625A8">
        <w:rPr>
          <w:noProof/>
        </w:rPr>
        <w:t xml:space="preserve">. It notes that </w:t>
      </w:r>
      <w:r w:rsidR="008625A8" w:rsidRPr="00E857AB">
        <w:rPr>
          <w:noProof/>
        </w:rPr>
        <w:t>delays in implementation</w:t>
      </w:r>
      <w:r w:rsidR="008625A8">
        <w:rPr>
          <w:noProof/>
        </w:rPr>
        <w:t xml:space="preserve"> increase </w:t>
      </w:r>
      <w:r w:rsidRPr="00E857AB">
        <w:rPr>
          <w:noProof/>
        </w:rPr>
        <w:t xml:space="preserve">risks of decommitments and pressure towards the end of </w:t>
      </w:r>
      <w:r w:rsidR="009E1554" w:rsidRPr="00E857AB">
        <w:rPr>
          <w:noProof/>
        </w:rPr>
        <w:t xml:space="preserve">the </w:t>
      </w:r>
      <w:r w:rsidRPr="00E857AB">
        <w:rPr>
          <w:noProof/>
        </w:rPr>
        <w:t>programming period.</w:t>
      </w:r>
    </w:p>
    <w:p w14:paraId="19C64EB6" w14:textId="66692DD2" w:rsidR="005A167C" w:rsidRPr="00E857AB" w:rsidRDefault="005A167C" w:rsidP="00C6601C">
      <w:pPr>
        <w:rPr>
          <w:noProof/>
        </w:rPr>
      </w:pPr>
      <w:r w:rsidRPr="00E857AB">
        <w:rPr>
          <w:noProof/>
        </w:rPr>
        <w:t>The Commission stresses that amounts committed but not yet paid from the EU budget, i.e. outstanding commitments or RAL (‘reste à liquider’), were EUR</w:t>
      </w:r>
      <w:r w:rsidR="00697B5F" w:rsidRPr="00E857AB">
        <w:rPr>
          <w:rFonts w:ascii="Calibri" w:hAnsi="Calibri" w:cs="Calibri"/>
          <w:noProof/>
        </w:rPr>
        <w:t> </w:t>
      </w:r>
      <w:r w:rsidRPr="00E857AB">
        <w:rPr>
          <w:noProof/>
        </w:rPr>
        <w:t>35 billion lower at the end of 2024 than at the end of 2023. Almost half of the RAL at the end of 2024 (excluding RAL from NextGenerationEU</w:t>
      </w:r>
      <w:r w:rsidR="0065532D">
        <w:rPr>
          <w:noProof/>
        </w:rPr>
        <w:t xml:space="preserve"> - NGEU</w:t>
      </w:r>
      <w:r w:rsidRPr="00E857AB">
        <w:rPr>
          <w:noProof/>
        </w:rPr>
        <w:t xml:space="preserve">) is linked to cohesion policy, and thus to the Member States’ implementation of funds under shared management. With project selection on the ground rising from </w:t>
      </w:r>
      <w:r w:rsidR="00334C4F" w:rsidRPr="00E857AB">
        <w:rPr>
          <w:noProof/>
        </w:rPr>
        <w:t>approx</w:t>
      </w:r>
      <w:r w:rsidRPr="00E857AB">
        <w:rPr>
          <w:noProof/>
        </w:rPr>
        <w:t xml:space="preserve">. </w:t>
      </w:r>
      <w:r w:rsidR="00012835">
        <w:rPr>
          <w:noProof/>
        </w:rPr>
        <w:t>12</w:t>
      </w:r>
      <w:r w:rsidRPr="00E857AB">
        <w:rPr>
          <w:noProof/>
        </w:rPr>
        <w:t xml:space="preserve">% at the end of 2023 to </w:t>
      </w:r>
      <w:r w:rsidR="00334C4F" w:rsidRPr="00E857AB">
        <w:rPr>
          <w:noProof/>
        </w:rPr>
        <w:t>approx</w:t>
      </w:r>
      <w:r w:rsidRPr="00E857AB">
        <w:rPr>
          <w:noProof/>
        </w:rPr>
        <w:t xml:space="preserve">. 37% (2024) and </w:t>
      </w:r>
      <w:r w:rsidR="00334C4F" w:rsidRPr="00E857AB">
        <w:rPr>
          <w:noProof/>
        </w:rPr>
        <w:t>approx</w:t>
      </w:r>
      <w:r w:rsidRPr="00E857AB">
        <w:rPr>
          <w:noProof/>
        </w:rPr>
        <w:t xml:space="preserve">. 65% (2025) of the available envelopes for </w:t>
      </w:r>
      <w:r w:rsidR="00326DD1" w:rsidRPr="00E857AB">
        <w:rPr>
          <w:noProof/>
        </w:rPr>
        <w:t xml:space="preserve">the </w:t>
      </w:r>
      <w:r w:rsidRPr="00E857AB">
        <w:rPr>
          <w:noProof/>
        </w:rPr>
        <w:t>2021-2027 cohesion programmes, financial implementation accelerated significantly</w:t>
      </w:r>
      <w:r w:rsidR="0001446C">
        <w:rPr>
          <w:noProof/>
        </w:rPr>
        <w:t>,</w:t>
      </w:r>
      <w:r w:rsidR="0001446C" w:rsidRPr="00D17307">
        <w:rPr>
          <w:noProof/>
        </w:rPr>
        <w:t xml:space="preserve"> </w:t>
      </w:r>
      <w:r w:rsidR="0001446C" w:rsidRPr="000C6772">
        <w:rPr>
          <w:noProof/>
        </w:rPr>
        <w:t xml:space="preserve">with many Member States submitting payment applications going well beyond their </w:t>
      </w:r>
      <w:r w:rsidR="0001446C">
        <w:rPr>
          <w:noProof/>
        </w:rPr>
        <w:t>N</w:t>
      </w:r>
      <w:r w:rsidR="0001446C" w:rsidRPr="000C6772">
        <w:rPr>
          <w:noProof/>
        </w:rPr>
        <w:t>+3 decommitment target. Th</w:t>
      </w:r>
      <w:r w:rsidR="00786B91">
        <w:rPr>
          <w:noProof/>
        </w:rPr>
        <w:t>anks to th</w:t>
      </w:r>
      <w:r w:rsidR="0001446C" w:rsidRPr="000C6772">
        <w:rPr>
          <w:noProof/>
        </w:rPr>
        <w:t>is p</w:t>
      </w:r>
      <w:r w:rsidR="00D331FE">
        <w:rPr>
          <w:noProof/>
        </w:rPr>
        <w:t>ositive evolution</w:t>
      </w:r>
      <w:r w:rsidR="00786B91">
        <w:rPr>
          <w:noProof/>
        </w:rPr>
        <w:t>,</w:t>
      </w:r>
      <w:r w:rsidR="0001446C" w:rsidRPr="000C6772">
        <w:rPr>
          <w:noProof/>
        </w:rPr>
        <w:t xml:space="preserve"> </w:t>
      </w:r>
      <w:r w:rsidR="00786B91">
        <w:rPr>
          <w:noProof/>
        </w:rPr>
        <w:t xml:space="preserve">project </w:t>
      </w:r>
      <w:r w:rsidR="0001446C" w:rsidRPr="000C6772">
        <w:rPr>
          <w:noProof/>
        </w:rPr>
        <w:t xml:space="preserve">selection and payments </w:t>
      </w:r>
      <w:r w:rsidR="009A0E96">
        <w:rPr>
          <w:noProof/>
        </w:rPr>
        <w:t>have been catching up compared to</w:t>
      </w:r>
      <w:r w:rsidR="0001446C" w:rsidRPr="000C6772">
        <w:rPr>
          <w:noProof/>
        </w:rPr>
        <w:t xml:space="preserve"> 2014-2020</w:t>
      </w:r>
      <w:r w:rsidR="0001446C">
        <w:rPr>
          <w:noProof/>
        </w:rPr>
        <w:t>.</w:t>
      </w:r>
      <w:r w:rsidRPr="00E857AB">
        <w:rPr>
          <w:noProof/>
        </w:rPr>
        <w:t xml:space="preserve"> To ensure a smooth delivery, the Commission supports Member States in strengthening their administrative capacity and addressing bottlenecks in investments.</w:t>
      </w:r>
    </w:p>
    <w:p w14:paraId="67C66DB6" w14:textId="769B2AF6" w:rsidR="005A167C" w:rsidRPr="00E857AB" w:rsidRDefault="005A167C" w:rsidP="00C6601C">
      <w:pPr>
        <w:rPr>
          <w:noProof/>
        </w:rPr>
      </w:pPr>
      <w:r w:rsidRPr="00E857AB">
        <w:rPr>
          <w:noProof/>
        </w:rPr>
        <w:t xml:space="preserve">The Commission will continue to closely follow the implementation of EU programmes and instruments. It publishes information </w:t>
      </w:r>
      <w:r w:rsidR="003E201F" w:rsidRPr="00E857AB">
        <w:rPr>
          <w:noProof/>
        </w:rPr>
        <w:t xml:space="preserve">annually </w:t>
      </w:r>
      <w:r w:rsidRPr="00E857AB">
        <w:rPr>
          <w:noProof/>
        </w:rPr>
        <w:t>on the budget implementation forecast and a progress report on outstanding commitments.</w:t>
      </w:r>
    </w:p>
    <w:p w14:paraId="426BD7E7" w14:textId="3977F3C7" w:rsidR="005A167C" w:rsidRPr="00E857AB" w:rsidRDefault="005A167C" w:rsidP="00C6601C">
      <w:pPr>
        <w:rPr>
          <w:rFonts w:eastAsia="Times New Roman"/>
          <w:noProof/>
        </w:rPr>
      </w:pPr>
      <w:r w:rsidRPr="00E857AB">
        <w:rPr>
          <w:noProof/>
        </w:rPr>
        <w:t xml:space="preserve">As to the </w:t>
      </w:r>
      <w:r w:rsidR="00FE3A7F" w:rsidRPr="00E857AB">
        <w:rPr>
          <w:noProof/>
        </w:rPr>
        <w:t>NextGenerationEU</w:t>
      </w:r>
      <w:r w:rsidRPr="00E857AB">
        <w:rPr>
          <w:noProof/>
        </w:rPr>
        <w:t xml:space="preserve"> RAL, many Member States revised their national Recovery and Resilience Plans (RRPs), reallocated resources to mature projects, adjusted milestones and targets and addressed implementation bottlenecks, while maintaining the ambition of the RRPs. Those revisions aimed at reflecting changing circumstances and improving deliverability, focusing on a timely conclusion of payments under the RRF by the end of 2026. On 30</w:t>
      </w:r>
      <w:r w:rsidR="00697B5F" w:rsidRPr="00E857AB">
        <w:rPr>
          <w:rFonts w:ascii="Calibri" w:hAnsi="Calibri" w:cs="Calibri"/>
          <w:noProof/>
        </w:rPr>
        <w:t> </w:t>
      </w:r>
      <w:r w:rsidRPr="00E857AB">
        <w:rPr>
          <w:noProof/>
        </w:rPr>
        <w:t xml:space="preserve">April 2026, </w:t>
      </w:r>
      <w:r w:rsidRPr="00E857AB">
        <w:rPr>
          <w:rFonts w:eastAsia="Times New Roman"/>
          <w:noProof/>
        </w:rPr>
        <w:t>the Commission adopted</w:t>
      </w:r>
      <w:r w:rsidR="003D4FCA">
        <w:rPr>
          <w:rFonts w:eastAsia="Times New Roman"/>
          <w:noProof/>
        </w:rPr>
        <w:t xml:space="preserve"> </w:t>
      </w:r>
      <w:hyperlink r:id="rId24" w:history="1">
        <w:r w:rsidR="003D4FCA" w:rsidRPr="004B0CAD">
          <w:rPr>
            <w:rStyle w:val="Hyperlink"/>
            <w:noProof/>
          </w:rPr>
          <w:t>guidelines for Member States</w:t>
        </w:r>
      </w:hyperlink>
      <w:r w:rsidRPr="00E857AB">
        <w:rPr>
          <w:rFonts w:eastAsia="Times New Roman"/>
          <w:noProof/>
        </w:rPr>
        <w:t xml:space="preserve"> on operational aspects related to the final phase and closure of the RRF to ensure its successful conclusion.</w:t>
      </w:r>
    </w:p>
    <w:p w14:paraId="33597B15" w14:textId="3629A9DE" w:rsidR="005A167C" w:rsidRPr="007C31E8" w:rsidRDefault="00CB7AD6" w:rsidP="005A167C">
      <w:pPr>
        <w:rPr>
          <w:noProof/>
        </w:rPr>
      </w:pPr>
      <w:r>
        <w:rPr>
          <w:noProof/>
        </w:rPr>
        <w:t>T</w:t>
      </w:r>
      <w:r w:rsidRPr="00E857AB">
        <w:rPr>
          <w:noProof/>
        </w:rPr>
        <w:t>o some extent</w:t>
      </w:r>
      <w:r w:rsidR="0014551B">
        <w:rPr>
          <w:noProof/>
        </w:rPr>
        <w:t>,</w:t>
      </w:r>
      <w:r>
        <w:rPr>
          <w:noProof/>
        </w:rPr>
        <w:t xml:space="preserve"> </w:t>
      </w:r>
      <w:r w:rsidRPr="00E857AB">
        <w:rPr>
          <w:noProof/>
        </w:rPr>
        <w:t>Member States</w:t>
      </w:r>
      <w:r>
        <w:rPr>
          <w:noProof/>
        </w:rPr>
        <w:t xml:space="preserve"> </w:t>
      </w:r>
      <w:r w:rsidR="005A167C" w:rsidRPr="00E857AB">
        <w:rPr>
          <w:noProof/>
        </w:rPr>
        <w:t xml:space="preserve">may have prioritised the implementation and revision of their RRPs, which may have led to delays in the implementation of the </w:t>
      </w:r>
      <w:r w:rsidR="005906EA" w:rsidRPr="00E857AB">
        <w:rPr>
          <w:noProof/>
        </w:rPr>
        <w:t xml:space="preserve">cohesion </w:t>
      </w:r>
      <w:r w:rsidR="005A167C" w:rsidRPr="00E857AB">
        <w:rPr>
          <w:noProof/>
        </w:rPr>
        <w:t xml:space="preserve">policy programmes. At the same time, measures supported under the RRF help </w:t>
      </w:r>
      <w:r w:rsidR="00FE3A7F" w:rsidRPr="00E857AB">
        <w:rPr>
          <w:noProof/>
        </w:rPr>
        <w:t xml:space="preserve">accelerate </w:t>
      </w:r>
      <w:r w:rsidR="005A167C" w:rsidRPr="00E857AB">
        <w:rPr>
          <w:noProof/>
        </w:rPr>
        <w:t xml:space="preserve">the implementation of MFF funds, </w:t>
      </w:r>
      <w:r w:rsidR="00D17307" w:rsidRPr="00E857AB">
        <w:rPr>
          <w:noProof/>
        </w:rPr>
        <w:t>e.g.</w:t>
      </w:r>
      <w:r w:rsidR="005A167C" w:rsidRPr="00E857AB">
        <w:rPr>
          <w:noProof/>
        </w:rPr>
        <w:t xml:space="preserve"> the RRF reforms aimed at speeding up the permit-granting procedures are expected to have positive spill-over effects on the implementation of investment measures of other EU funds.</w:t>
      </w:r>
      <w:bookmarkEnd w:id="22"/>
    </w:p>
    <w:p w14:paraId="0AD3A422" w14:textId="5A913372" w:rsidR="005A167C" w:rsidRPr="007C31E8" w:rsidRDefault="005A167C" w:rsidP="00744578">
      <w:pPr>
        <w:pStyle w:val="Heading2"/>
        <w:rPr>
          <w:noProof/>
        </w:rPr>
      </w:pPr>
      <w:bookmarkStart w:id="23" w:name="_Toc890659043"/>
      <w:bookmarkStart w:id="24" w:name="_Toc595131823"/>
      <w:bookmarkStart w:id="25" w:name="_Toc1487731932"/>
      <w:bookmarkStart w:id="26" w:name="_Toc1749668402"/>
      <w:bookmarkStart w:id="27" w:name="_Toc230251247"/>
      <w:r w:rsidRPr="007C31E8">
        <w:rPr>
          <w:noProof/>
        </w:rPr>
        <w:t>b.</w:t>
      </w:r>
      <w:r w:rsidR="00697B5F" w:rsidRPr="007C31E8">
        <w:rPr>
          <w:noProof/>
        </w:rPr>
        <w:t xml:space="preserve"> </w:t>
      </w:r>
      <w:r w:rsidRPr="007C31E8">
        <w:rPr>
          <w:noProof/>
        </w:rPr>
        <w:t>Addressing new priorities</w:t>
      </w:r>
      <w:bookmarkEnd w:id="23"/>
      <w:bookmarkEnd w:id="24"/>
      <w:bookmarkEnd w:id="25"/>
      <w:bookmarkEnd w:id="26"/>
      <w:r w:rsidRPr="007C31E8">
        <w:rPr>
          <w:noProof/>
        </w:rPr>
        <w:t xml:space="preserve">: </w:t>
      </w:r>
      <w:r w:rsidR="0097780C" w:rsidRPr="007C31E8">
        <w:rPr>
          <w:noProof/>
        </w:rPr>
        <w:t xml:space="preserve">defence </w:t>
      </w:r>
      <w:r w:rsidRPr="007C31E8">
        <w:rPr>
          <w:noProof/>
        </w:rPr>
        <w:t>and Ukraine</w:t>
      </w:r>
      <w:bookmarkEnd w:id="27"/>
    </w:p>
    <w:p w14:paraId="391BFD53" w14:textId="2CC8080E" w:rsidR="00AA6C32" w:rsidRDefault="005A167C" w:rsidP="00497DEC">
      <w:pPr>
        <w:rPr>
          <w:noProof/>
        </w:rPr>
      </w:pPr>
      <w:r w:rsidRPr="00E857AB">
        <w:rPr>
          <w:noProof/>
        </w:rPr>
        <w:t xml:space="preserve">The Commission welcomes Parliament’s view that </w:t>
      </w:r>
      <w:r w:rsidR="00697B5F" w:rsidRPr="00E857AB">
        <w:rPr>
          <w:noProof/>
        </w:rPr>
        <w:t>‘</w:t>
      </w:r>
      <w:r w:rsidRPr="00783BCF">
        <w:rPr>
          <w:noProof/>
        </w:rPr>
        <w:t>defence</w:t>
      </w:r>
      <w:r w:rsidRPr="005E0DD4">
        <w:rPr>
          <w:noProof/>
        </w:rPr>
        <w:t xml:space="preserve"> and support for Ukraine must be treated as the budgetary priority in the current geopolitical context and that adequate resources should be allocated to meet this objective</w:t>
      </w:r>
      <w:r w:rsidR="00697B5F" w:rsidRPr="00E857AB">
        <w:rPr>
          <w:noProof/>
        </w:rPr>
        <w:t>’</w:t>
      </w:r>
      <w:r w:rsidRPr="00E857AB">
        <w:rPr>
          <w:rStyle w:val="FootnoteReference"/>
          <w:rFonts w:ascii="Times New Roman" w:hAnsi="Times New Roman" w:cs="Times New Roman"/>
          <w:noProof/>
          <w:szCs w:val="24"/>
        </w:rPr>
        <w:footnoteReference w:id="5"/>
      </w:r>
      <w:r w:rsidRPr="00E857AB">
        <w:rPr>
          <w:noProof/>
        </w:rPr>
        <w:t xml:space="preserve">. </w:t>
      </w:r>
    </w:p>
    <w:p w14:paraId="744C551C" w14:textId="72521C6F" w:rsidR="005A167C" w:rsidRPr="00E857AB" w:rsidRDefault="005A167C" w:rsidP="00497DEC">
      <w:pPr>
        <w:rPr>
          <w:noProof/>
        </w:rPr>
      </w:pPr>
      <w:r w:rsidRPr="00E857AB">
        <w:rPr>
          <w:noProof/>
        </w:rPr>
        <w:t xml:space="preserve">The Commission is committed to strengthening </w:t>
      </w:r>
      <w:r w:rsidR="00117C7A" w:rsidRPr="00E857AB">
        <w:rPr>
          <w:noProof/>
        </w:rPr>
        <w:t xml:space="preserve">the </w:t>
      </w:r>
      <w:r w:rsidRPr="00E857AB">
        <w:rPr>
          <w:noProof/>
        </w:rPr>
        <w:t>EU</w:t>
      </w:r>
      <w:r w:rsidR="00117C7A" w:rsidRPr="00E857AB">
        <w:rPr>
          <w:noProof/>
        </w:rPr>
        <w:t>’s</w:t>
      </w:r>
      <w:r w:rsidRPr="00E857AB">
        <w:rPr>
          <w:noProof/>
        </w:rPr>
        <w:t xml:space="preserve"> defence capabilities</w:t>
      </w:r>
      <w:r w:rsidR="00AA6C32">
        <w:rPr>
          <w:noProof/>
        </w:rPr>
        <w:t xml:space="preserve">. It </w:t>
      </w:r>
      <w:r w:rsidRPr="00E857AB">
        <w:rPr>
          <w:noProof/>
        </w:rPr>
        <w:t>has proposed several initiatives to boost defence readiness and investment, including</w:t>
      </w:r>
      <w:r w:rsidR="00AA6C32">
        <w:rPr>
          <w:noProof/>
        </w:rPr>
        <w:t xml:space="preserve"> (i)</w:t>
      </w:r>
      <w:r w:rsidR="00AA6C32">
        <w:rPr>
          <w:rFonts w:ascii="Calibri" w:hAnsi="Calibri" w:cs="Calibri"/>
          <w:noProof/>
        </w:rPr>
        <w:t> </w:t>
      </w:r>
      <w:r w:rsidRPr="00E857AB">
        <w:rPr>
          <w:noProof/>
        </w:rPr>
        <w:t>up to EUR</w:t>
      </w:r>
      <w:r w:rsidR="00697B5F" w:rsidRPr="00E857AB">
        <w:rPr>
          <w:rFonts w:ascii="Calibri" w:hAnsi="Calibri" w:cs="Calibri"/>
          <w:noProof/>
        </w:rPr>
        <w:t> </w:t>
      </w:r>
      <w:r w:rsidRPr="00E857AB">
        <w:rPr>
          <w:noProof/>
        </w:rPr>
        <w:t>150</w:t>
      </w:r>
      <w:r w:rsidR="00AA6C32">
        <w:rPr>
          <w:rFonts w:ascii="Calibri" w:hAnsi="Calibri" w:cs="Calibri"/>
          <w:noProof/>
        </w:rPr>
        <w:t> </w:t>
      </w:r>
      <w:r w:rsidRPr="00E857AB">
        <w:rPr>
          <w:noProof/>
        </w:rPr>
        <w:t xml:space="preserve">billion in loans for Member States backed by the EU budget under the Security Action for Europe (SAFE) instrument, </w:t>
      </w:r>
      <w:r w:rsidR="00AA6C32">
        <w:rPr>
          <w:noProof/>
        </w:rPr>
        <w:t>(ii)</w:t>
      </w:r>
      <w:r w:rsidR="00AA6C32">
        <w:rPr>
          <w:rFonts w:ascii="Calibri" w:hAnsi="Calibri" w:cs="Calibri"/>
          <w:noProof/>
        </w:rPr>
        <w:t> </w:t>
      </w:r>
      <w:r w:rsidRPr="00E857AB">
        <w:rPr>
          <w:noProof/>
        </w:rPr>
        <w:t xml:space="preserve">the White Paper for European Defence Readiness 2030, </w:t>
      </w:r>
      <w:r w:rsidR="00AA6C32">
        <w:rPr>
          <w:noProof/>
        </w:rPr>
        <w:t>(iii)</w:t>
      </w:r>
      <w:r w:rsidR="00AA6C32">
        <w:rPr>
          <w:rFonts w:ascii="Calibri" w:hAnsi="Calibri" w:cs="Calibri"/>
          <w:noProof/>
        </w:rPr>
        <w:t> </w:t>
      </w:r>
      <w:r w:rsidRPr="00E857AB">
        <w:rPr>
          <w:noProof/>
        </w:rPr>
        <w:t xml:space="preserve">the ReArm Europe plan, and </w:t>
      </w:r>
      <w:r w:rsidR="00AA6C32">
        <w:rPr>
          <w:noProof/>
        </w:rPr>
        <w:t>(iv)</w:t>
      </w:r>
      <w:r w:rsidR="00AA6C32">
        <w:rPr>
          <w:rFonts w:ascii="Calibri" w:hAnsi="Calibri" w:cs="Calibri"/>
          <w:noProof/>
        </w:rPr>
        <w:t> </w:t>
      </w:r>
      <w:r w:rsidRPr="00E857AB">
        <w:rPr>
          <w:noProof/>
        </w:rPr>
        <w:t>the defence readiness omnibus simplification.</w:t>
      </w:r>
    </w:p>
    <w:p w14:paraId="1262280A" w14:textId="3575D37C" w:rsidR="005A167C" w:rsidRPr="007C31E8" w:rsidRDefault="005A167C" w:rsidP="005A167C">
      <w:pPr>
        <w:rPr>
          <w:i/>
          <w:noProof/>
        </w:rPr>
      </w:pPr>
      <w:r w:rsidRPr="00E857AB">
        <w:rPr>
          <w:noProof/>
        </w:rPr>
        <w:t>From Russia’s invasion of Ukraine to the end of 2024, the EU’s unwavering commitment to Ukraine led to the mobilisation of EUR</w:t>
      </w:r>
      <w:r w:rsidR="00697B5F" w:rsidRPr="00E857AB">
        <w:rPr>
          <w:rFonts w:ascii="Calibri" w:hAnsi="Calibri" w:cs="Calibri"/>
          <w:noProof/>
        </w:rPr>
        <w:t> </w:t>
      </w:r>
      <w:r w:rsidRPr="00E857AB">
        <w:rPr>
          <w:noProof/>
        </w:rPr>
        <w:t>130.2 billion for financial, economic, humanitarian, military and diplomatic support. In February 2024, the Ukraine Facility was created to support Ukraine’s recovery, reconstruction and modernisation. To address Ukraine’s financing needs for 2026-2027, the Ukraine Support Loan, providing up to EUR</w:t>
      </w:r>
      <w:r w:rsidR="00697B5F" w:rsidRPr="00E857AB">
        <w:rPr>
          <w:rFonts w:ascii="Calibri" w:hAnsi="Calibri" w:cs="Calibri"/>
          <w:noProof/>
        </w:rPr>
        <w:t> </w:t>
      </w:r>
      <w:r w:rsidRPr="00E857AB">
        <w:rPr>
          <w:noProof/>
        </w:rPr>
        <w:t xml:space="preserve">90 billion in 2026-2027 </w:t>
      </w:r>
      <w:r w:rsidR="00117C7A" w:rsidRPr="00E857AB">
        <w:rPr>
          <w:noProof/>
        </w:rPr>
        <w:t xml:space="preserve">and </w:t>
      </w:r>
      <w:r w:rsidRPr="00E857AB">
        <w:rPr>
          <w:noProof/>
        </w:rPr>
        <w:t>financed by EU borrowing on capital markets,</w:t>
      </w:r>
      <w:r w:rsidR="00497DEC">
        <w:rPr>
          <w:noProof/>
        </w:rPr>
        <w:t xml:space="preserve"> </w:t>
      </w:r>
      <w:r w:rsidRPr="00E857AB">
        <w:rPr>
          <w:noProof/>
        </w:rPr>
        <w:t>was</w:t>
      </w:r>
      <w:r w:rsidR="007C31E8">
        <w:rPr>
          <w:noProof/>
        </w:rPr>
        <w:br/>
      </w:r>
      <w:hyperlink r:id="rId25" w:history="1">
        <w:r w:rsidRPr="00497DEC">
          <w:rPr>
            <w:rStyle w:val="Hyperlink"/>
            <w:noProof/>
          </w:rPr>
          <w:t>adopted in February 2026</w:t>
        </w:r>
      </w:hyperlink>
      <w:r w:rsidRPr="00497DEC">
        <w:rPr>
          <w:rStyle w:val="Hyperlink"/>
          <w:noProof/>
        </w:rPr>
        <w:t>.</w:t>
      </w:r>
    </w:p>
    <w:p w14:paraId="5AA6CD9D" w14:textId="77777777" w:rsidR="005A167C" w:rsidRPr="007C31E8" w:rsidRDefault="005A167C" w:rsidP="00744578">
      <w:pPr>
        <w:pStyle w:val="Heading2"/>
        <w:rPr>
          <w:noProof/>
        </w:rPr>
      </w:pPr>
      <w:bookmarkStart w:id="28" w:name="_Toc1555461210"/>
      <w:bookmarkStart w:id="29" w:name="_Toc447162129"/>
      <w:bookmarkStart w:id="30" w:name="_Toc1016823697"/>
      <w:bookmarkStart w:id="31" w:name="_Toc230251248"/>
      <w:r w:rsidRPr="007C31E8">
        <w:rPr>
          <w:noProof/>
        </w:rPr>
        <w:t xml:space="preserve">c. </w:t>
      </w:r>
      <w:bookmarkStart w:id="32" w:name="_Toc925452385"/>
      <w:r w:rsidRPr="007C31E8">
        <w:rPr>
          <w:noProof/>
        </w:rPr>
        <w:t>Climate and biodiversity impact of EU funding</w:t>
      </w:r>
      <w:bookmarkEnd w:id="28"/>
      <w:bookmarkEnd w:id="29"/>
      <w:bookmarkEnd w:id="30"/>
      <w:bookmarkEnd w:id="31"/>
      <w:bookmarkEnd w:id="32"/>
    </w:p>
    <w:p w14:paraId="6A5D6625" w14:textId="3313B2B2" w:rsidR="00424D24" w:rsidRDefault="005A167C" w:rsidP="00342018">
      <w:pPr>
        <w:rPr>
          <w:noProof/>
        </w:rPr>
      </w:pPr>
      <w:r w:rsidRPr="00E857AB">
        <w:rPr>
          <w:noProof/>
        </w:rPr>
        <w:t xml:space="preserve">The Commission notes the European Court of Auditors’ (ECA) observations on </w:t>
      </w:r>
      <w:r w:rsidR="00697B5F" w:rsidRPr="00E857AB">
        <w:rPr>
          <w:i/>
          <w:iCs/>
          <w:noProof/>
        </w:rPr>
        <w:t>‘</w:t>
      </w:r>
      <w:r w:rsidRPr="00864ECC">
        <w:rPr>
          <w:noProof/>
        </w:rPr>
        <w:t>shortcomings in the Commission’s methodology for estimating the climate effects of Union spending</w:t>
      </w:r>
      <w:r w:rsidR="00697B5F" w:rsidRPr="00E857AB">
        <w:rPr>
          <w:i/>
          <w:iCs/>
          <w:noProof/>
        </w:rPr>
        <w:t>’</w:t>
      </w:r>
      <w:r w:rsidRPr="00864ECC">
        <w:rPr>
          <w:rStyle w:val="FootnoteReference"/>
          <w:rFonts w:ascii="Times New Roman" w:hAnsi="Times New Roman" w:cs="Times New Roman"/>
          <w:iCs/>
          <w:noProof/>
          <w:szCs w:val="24"/>
        </w:rPr>
        <w:footnoteReference w:id="6"/>
      </w:r>
      <w:r w:rsidRPr="00E857AB">
        <w:rPr>
          <w:noProof/>
        </w:rPr>
        <w:t xml:space="preserve"> and Parliament’s statement </w:t>
      </w:r>
      <w:r w:rsidR="00697B5F" w:rsidRPr="00864ECC">
        <w:rPr>
          <w:noProof/>
        </w:rPr>
        <w:t>‘</w:t>
      </w:r>
      <w:r w:rsidRPr="00864ECC">
        <w:rPr>
          <w:noProof/>
        </w:rPr>
        <w:t>that the current methodologies for tracking climate and biodiversity expenditure do not fully capture all effects of Union activities</w:t>
      </w:r>
      <w:r w:rsidR="00697B5F" w:rsidRPr="00A03179">
        <w:rPr>
          <w:noProof/>
        </w:rPr>
        <w:t>’</w:t>
      </w:r>
      <w:r w:rsidRPr="00864ECC">
        <w:rPr>
          <w:rStyle w:val="FootnoteReference"/>
          <w:rFonts w:ascii="Times New Roman" w:hAnsi="Times New Roman" w:cs="Times New Roman"/>
          <w:iCs/>
          <w:noProof/>
          <w:szCs w:val="24"/>
        </w:rPr>
        <w:footnoteReference w:id="7"/>
      </w:r>
      <w:r w:rsidRPr="00E857AB">
        <w:rPr>
          <w:i/>
          <w:iCs/>
          <w:noProof/>
        </w:rPr>
        <w:t>.</w:t>
      </w:r>
      <w:r w:rsidRPr="00E857AB">
        <w:rPr>
          <w:noProof/>
        </w:rPr>
        <w:t xml:space="preserve"> </w:t>
      </w:r>
    </w:p>
    <w:p w14:paraId="26B54CDB" w14:textId="284C2B73" w:rsidR="005A167C" w:rsidRPr="006D368A" w:rsidRDefault="005A167C" w:rsidP="005A167C">
      <w:pPr>
        <w:rPr>
          <w:noProof/>
        </w:rPr>
      </w:pPr>
      <w:r w:rsidRPr="00E857AB">
        <w:rPr>
          <w:noProof/>
        </w:rPr>
        <w:t xml:space="preserve">The Commission aims to measure EU budget contributions and results related to climate action and biodiversity in line with the current performance framework. For the RRF, the </w:t>
      </w:r>
      <w:r w:rsidR="00DA79B9" w:rsidRPr="00E857AB">
        <w:rPr>
          <w:noProof/>
        </w:rPr>
        <w:t>common agricultural policy</w:t>
      </w:r>
      <w:r w:rsidRPr="00E857AB">
        <w:rPr>
          <w:noProof/>
        </w:rPr>
        <w:t xml:space="preserve">, and </w:t>
      </w:r>
      <w:r w:rsidR="00DA79B9" w:rsidRPr="00E857AB">
        <w:rPr>
          <w:noProof/>
        </w:rPr>
        <w:t xml:space="preserve">cohesion </w:t>
      </w:r>
      <w:r w:rsidRPr="00E857AB">
        <w:rPr>
          <w:noProof/>
        </w:rPr>
        <w:t>policy, it is obliged to apply the methodology and specific coefficients set out in the respective basic acts establishing these programmes. For the 2028-2034 MFF, the Commission has proposed a streamlined system to monitor EU spending and results related to climate and environmental objectives.</w:t>
      </w:r>
    </w:p>
    <w:p w14:paraId="1452253C" w14:textId="4FBB09D9" w:rsidR="005A167C" w:rsidRPr="00E857AB" w:rsidRDefault="00E96D17" w:rsidP="009F5642">
      <w:pPr>
        <w:pStyle w:val="Headingfollowupreport"/>
        <w:numPr>
          <w:ilvl w:val="0"/>
          <w:numId w:val="6"/>
        </w:numPr>
        <w:rPr>
          <w:noProof/>
        </w:rPr>
      </w:pPr>
      <w:bookmarkStart w:id="33" w:name="_Toc464909115"/>
      <w:bookmarkStart w:id="34" w:name="_Toc115752163"/>
      <w:bookmarkStart w:id="35" w:name="_Toc735004465"/>
      <w:bookmarkStart w:id="36" w:name="_Toc1496696652"/>
      <w:bookmarkStart w:id="37" w:name="_Toc1954353878"/>
      <w:r>
        <w:rPr>
          <w:noProof/>
        </w:rPr>
        <w:t xml:space="preserve"> </w:t>
      </w:r>
      <w:bookmarkStart w:id="38" w:name="_Toc232587414"/>
      <w:r w:rsidR="005A167C" w:rsidRPr="00E857AB">
        <w:rPr>
          <w:noProof/>
        </w:rPr>
        <w:t>Protecting the EU’s financial interests</w:t>
      </w:r>
      <w:bookmarkEnd w:id="10"/>
      <w:bookmarkEnd w:id="33"/>
      <w:bookmarkEnd w:id="34"/>
      <w:bookmarkEnd w:id="35"/>
      <w:bookmarkEnd w:id="36"/>
      <w:bookmarkEnd w:id="37"/>
      <w:bookmarkEnd w:id="38"/>
    </w:p>
    <w:bookmarkEnd w:id="11"/>
    <w:p w14:paraId="2E6B20B3" w14:textId="77777777" w:rsidR="005A167C" w:rsidRPr="00E857AB" w:rsidRDefault="005A167C" w:rsidP="00342018">
      <w:pPr>
        <w:rPr>
          <w:noProof/>
        </w:rPr>
      </w:pPr>
      <w:r w:rsidRPr="00E857AB">
        <w:rPr>
          <w:noProof/>
        </w:rPr>
        <w:t>The Commission attaches the utmost importance to monitoring the use of EU funds</w:t>
      </w:r>
      <w:r w:rsidRPr="00E857AB">
        <w:rPr>
          <w:noProof/>
          <w:szCs w:val="24"/>
        </w:rPr>
        <w:t>,</w:t>
      </w:r>
      <w:r w:rsidRPr="00E857AB">
        <w:rPr>
          <w:noProof/>
        </w:rPr>
        <w:t xml:space="preserve"> in cooperation with national authorities and other implementing partners.</w:t>
      </w:r>
    </w:p>
    <w:p w14:paraId="5ED24BD1" w14:textId="1BE40094" w:rsidR="005A167C" w:rsidRPr="000A084F" w:rsidRDefault="005A167C" w:rsidP="00160110">
      <w:pPr>
        <w:pStyle w:val="a"/>
        <w:numPr>
          <w:ilvl w:val="0"/>
          <w:numId w:val="5"/>
        </w:numPr>
        <w:rPr>
          <w:noProof/>
        </w:rPr>
      </w:pPr>
      <w:bookmarkStart w:id="39" w:name="_Toc1344792383"/>
      <w:bookmarkStart w:id="40" w:name="_Toc722250020"/>
      <w:bookmarkStart w:id="41" w:name="_Toc1157781611"/>
      <w:bookmarkStart w:id="42" w:name="_Toc1887740634"/>
      <w:bookmarkStart w:id="43" w:name="_Toc230251250"/>
      <w:r w:rsidRPr="000A084F">
        <w:rPr>
          <w:noProof/>
        </w:rPr>
        <w:t>Spending in line with EU values, including the rule of law</w:t>
      </w:r>
      <w:bookmarkEnd w:id="39"/>
      <w:bookmarkEnd w:id="40"/>
      <w:bookmarkEnd w:id="41"/>
      <w:bookmarkEnd w:id="42"/>
      <w:bookmarkEnd w:id="43"/>
    </w:p>
    <w:p w14:paraId="44B37422" w14:textId="77777777" w:rsidR="005A167C" w:rsidRPr="00E857AB" w:rsidRDefault="005A167C" w:rsidP="001251F9">
      <w:pPr>
        <w:pStyle w:val="Paragraphstyle"/>
        <w:rPr>
          <w:noProof/>
        </w:rPr>
      </w:pPr>
      <w:r w:rsidRPr="00E857AB">
        <w:rPr>
          <w:noProof/>
        </w:rPr>
        <w:t>Rule of law</w:t>
      </w:r>
    </w:p>
    <w:p w14:paraId="337B02B6" w14:textId="0C106F9E" w:rsidR="005A167C" w:rsidRPr="00E857AB" w:rsidRDefault="005A167C" w:rsidP="00656BFE">
      <w:pPr>
        <w:rPr>
          <w:noProof/>
        </w:rPr>
      </w:pPr>
      <w:r w:rsidRPr="00E857AB">
        <w:rPr>
          <w:noProof/>
        </w:rPr>
        <w:t xml:space="preserve">Parliament invites the Commission to make full and consistent use of </w:t>
      </w:r>
      <w:r w:rsidR="00DA79B9" w:rsidRPr="00E857AB">
        <w:rPr>
          <w:noProof/>
        </w:rPr>
        <w:t xml:space="preserve">the </w:t>
      </w:r>
      <w:r w:rsidRPr="00E857AB">
        <w:rPr>
          <w:noProof/>
        </w:rPr>
        <w:t>available instruments to suspend or protect EU funding where rule of law deficiencies affect sound financial management in the Member States concerned, particularly in Hungary and Slovakia.</w:t>
      </w:r>
    </w:p>
    <w:p w14:paraId="1123C91A" w14:textId="5B1390C9" w:rsidR="005A167C" w:rsidRPr="00E857AB" w:rsidRDefault="005A167C" w:rsidP="00656BFE">
      <w:pPr>
        <w:rPr>
          <w:noProof/>
        </w:rPr>
      </w:pPr>
      <w:r w:rsidRPr="00E857AB">
        <w:rPr>
          <w:noProof/>
        </w:rPr>
        <w:t>Under the Conditionality Regulation, the Commission proactively monitors the situation in all Member States to identify breaches of rule of law principles falling within the scope of this Regulation as early as possible. The Commission fully uses all available sectoral and general legal instruments to address breaches of rule of law principles in Member States, affecting or seriously risking the sound financial management of the EU budget or the protection of the EU’s financial interests in a sufficiently direct way.</w:t>
      </w:r>
    </w:p>
    <w:p w14:paraId="24E69AC7" w14:textId="1736C2D9" w:rsidR="005A167C" w:rsidRPr="00E857AB" w:rsidRDefault="005A167C" w:rsidP="00656BFE">
      <w:pPr>
        <w:rPr>
          <w:noProof/>
        </w:rPr>
      </w:pPr>
      <w:r w:rsidRPr="00E857AB">
        <w:rPr>
          <w:noProof/>
        </w:rPr>
        <w:t>Hungary has been subject to measures under the Conditionality Regulation to protect the EU budget since 2022, including</w:t>
      </w:r>
      <w:r w:rsidR="00EC65E6" w:rsidRPr="00E857AB">
        <w:rPr>
          <w:noProof/>
        </w:rPr>
        <w:t>: (i)</w:t>
      </w:r>
      <w:r w:rsidRPr="00E857AB">
        <w:rPr>
          <w:noProof/>
        </w:rPr>
        <w:t xml:space="preserve"> </w:t>
      </w:r>
      <w:r w:rsidR="00EC65E6" w:rsidRPr="00E857AB">
        <w:rPr>
          <w:noProof/>
        </w:rPr>
        <w:t xml:space="preserve">the </w:t>
      </w:r>
      <w:r w:rsidRPr="00E857AB">
        <w:rPr>
          <w:noProof/>
        </w:rPr>
        <w:t>suspension of 55% of budgetary commitments from three cohesion programmes</w:t>
      </w:r>
      <w:r w:rsidR="00EC65E6" w:rsidRPr="00E857AB">
        <w:rPr>
          <w:noProof/>
        </w:rPr>
        <w:t>,</w:t>
      </w:r>
      <w:r w:rsidRPr="00E857AB">
        <w:rPr>
          <w:noProof/>
        </w:rPr>
        <w:t xml:space="preserve"> and </w:t>
      </w:r>
      <w:r w:rsidR="00EC65E6" w:rsidRPr="00E857AB">
        <w:rPr>
          <w:noProof/>
        </w:rPr>
        <w:t xml:space="preserve">(ii) </w:t>
      </w:r>
      <w:r w:rsidRPr="00E857AB">
        <w:rPr>
          <w:noProof/>
        </w:rPr>
        <w:t>a prohibition on entering into new legal commitments for EU funding under direct and indirect management with ‘Public Interest Trusts’</w:t>
      </w:r>
      <w:r w:rsidR="00EC65E6" w:rsidRPr="00E857AB">
        <w:rPr>
          <w:noProof/>
        </w:rPr>
        <w:t xml:space="preserve"> </w:t>
      </w:r>
      <w:r w:rsidRPr="00E857AB">
        <w:rPr>
          <w:noProof/>
        </w:rPr>
        <w:t>and entities maintained by them.</w:t>
      </w:r>
    </w:p>
    <w:p w14:paraId="3DCC7DD7" w14:textId="0FED5625" w:rsidR="005A167C" w:rsidRPr="00E857AB" w:rsidRDefault="00424D24" w:rsidP="00656BFE">
      <w:pPr>
        <w:rPr>
          <w:noProof/>
        </w:rPr>
      </w:pPr>
      <w:r>
        <w:rPr>
          <w:noProof/>
        </w:rPr>
        <w:t>In addition to</w:t>
      </w:r>
      <w:r w:rsidRPr="00E857AB">
        <w:rPr>
          <w:noProof/>
        </w:rPr>
        <w:t xml:space="preserve"> </w:t>
      </w:r>
      <w:r w:rsidR="005A167C" w:rsidRPr="00E857AB">
        <w:rPr>
          <w:noProof/>
        </w:rPr>
        <w:t>the Conditionality Regulation, the Commission has at its disposal</w:t>
      </w:r>
      <w:r w:rsidR="005A167C" w:rsidRPr="00E857AB" w:rsidDel="00465AF3">
        <w:rPr>
          <w:noProof/>
        </w:rPr>
        <w:t xml:space="preserve"> </w:t>
      </w:r>
      <w:r w:rsidR="005A167C" w:rsidRPr="00E857AB">
        <w:rPr>
          <w:noProof/>
        </w:rPr>
        <w:t>other key instruments to protect the EU budget, particularly</w:t>
      </w:r>
      <w:r w:rsidR="00EC65E6" w:rsidRPr="00E857AB">
        <w:rPr>
          <w:noProof/>
        </w:rPr>
        <w:t>: (i)</w:t>
      </w:r>
      <w:r w:rsidR="005A167C" w:rsidRPr="00E857AB">
        <w:rPr>
          <w:noProof/>
        </w:rPr>
        <w:t xml:space="preserve"> the horizontal enabling condition on the EU Charter of Fundamental Rights under the Common Provisions Regulation, and </w:t>
      </w:r>
      <w:r w:rsidR="00EC65E6" w:rsidRPr="00E857AB">
        <w:rPr>
          <w:noProof/>
        </w:rPr>
        <w:t xml:space="preserve">(ii) the </w:t>
      </w:r>
      <w:r w:rsidR="005A167C" w:rsidRPr="00E857AB">
        <w:rPr>
          <w:noProof/>
        </w:rPr>
        <w:t>milestones and targets addressing rule of law challenges under RPPs.</w:t>
      </w:r>
    </w:p>
    <w:p w14:paraId="487BC446" w14:textId="09F75F8A" w:rsidR="0074029F" w:rsidRDefault="005A167C" w:rsidP="00E42C78">
      <w:pPr>
        <w:rPr>
          <w:noProof/>
        </w:rPr>
      </w:pPr>
      <w:r w:rsidRPr="00E857AB">
        <w:rPr>
          <w:noProof/>
        </w:rPr>
        <w:t xml:space="preserve">In the next MFF, respect for the </w:t>
      </w:r>
      <w:r w:rsidR="00A466D8" w:rsidRPr="00E857AB">
        <w:rPr>
          <w:noProof/>
        </w:rPr>
        <w:t xml:space="preserve">rule </w:t>
      </w:r>
      <w:r w:rsidRPr="00E857AB">
        <w:rPr>
          <w:noProof/>
        </w:rPr>
        <w:t xml:space="preserve">of </w:t>
      </w:r>
      <w:r w:rsidR="00A466D8" w:rsidRPr="00E857AB">
        <w:rPr>
          <w:noProof/>
        </w:rPr>
        <w:t xml:space="preserve">law </w:t>
      </w:r>
      <w:r w:rsidRPr="00E857AB">
        <w:rPr>
          <w:noProof/>
        </w:rPr>
        <w:t xml:space="preserve">and </w:t>
      </w:r>
      <w:r w:rsidR="00A466D8" w:rsidRPr="00E857AB">
        <w:rPr>
          <w:noProof/>
        </w:rPr>
        <w:t xml:space="preserve">fundamental rights </w:t>
      </w:r>
      <w:r w:rsidRPr="00E857AB">
        <w:rPr>
          <w:noProof/>
        </w:rPr>
        <w:t xml:space="preserve">remains a must – the Conditionality Regulation will continue to apply to all funds. The National and Regional Partnership Plans </w:t>
      </w:r>
      <w:r w:rsidR="00A466D8" w:rsidRPr="00E857AB">
        <w:rPr>
          <w:noProof/>
        </w:rPr>
        <w:t>(NRPP</w:t>
      </w:r>
      <w:r w:rsidR="00310107">
        <w:rPr>
          <w:noProof/>
        </w:rPr>
        <w:t>s</w:t>
      </w:r>
      <w:r w:rsidR="00A466D8" w:rsidRPr="00E857AB">
        <w:rPr>
          <w:noProof/>
        </w:rPr>
        <w:t>)</w:t>
      </w:r>
      <w:r w:rsidR="00310107">
        <w:rPr>
          <w:noProof/>
        </w:rPr>
        <w:t xml:space="preserve"> </w:t>
      </w:r>
      <w:r w:rsidR="00850261">
        <w:rPr>
          <w:noProof/>
        </w:rPr>
        <w:t>as proposed by the Commission allow for</w:t>
      </w:r>
      <w:r w:rsidRPr="00E857AB">
        <w:rPr>
          <w:noProof/>
        </w:rPr>
        <w:t xml:space="preserve"> financial support for measures to strengthen the rule of law and fundamental rights</w:t>
      </w:r>
      <w:r w:rsidR="00CF5F28">
        <w:rPr>
          <w:noProof/>
        </w:rPr>
        <w:t xml:space="preserve"> </w:t>
      </w:r>
      <w:r w:rsidR="00850261">
        <w:rPr>
          <w:noProof/>
        </w:rPr>
        <w:t xml:space="preserve">while applying </w:t>
      </w:r>
      <w:r w:rsidR="006244CC">
        <w:rPr>
          <w:noProof/>
        </w:rPr>
        <w:t>horizontal conditions</w:t>
      </w:r>
      <w:r w:rsidRPr="00E857AB">
        <w:rPr>
          <w:noProof/>
        </w:rPr>
        <w:t xml:space="preserve"> to ensure the EU budget is protected</w:t>
      </w:r>
      <w:r w:rsidR="005162E9">
        <w:rPr>
          <w:noProof/>
        </w:rPr>
        <w:t xml:space="preserve"> against </w:t>
      </w:r>
      <w:r w:rsidR="002D6E06">
        <w:rPr>
          <w:noProof/>
        </w:rPr>
        <w:t xml:space="preserve">breaches </w:t>
      </w:r>
      <w:r w:rsidR="002C176B">
        <w:rPr>
          <w:noProof/>
        </w:rPr>
        <w:t xml:space="preserve">to </w:t>
      </w:r>
      <w:r w:rsidR="00B1432A">
        <w:rPr>
          <w:noProof/>
        </w:rPr>
        <w:t>the principles of the Rule of Law and the Charter</w:t>
      </w:r>
      <w:r w:rsidRPr="00E857AB">
        <w:rPr>
          <w:noProof/>
        </w:rPr>
        <w:t>.</w:t>
      </w:r>
      <w:r w:rsidR="00E458AB">
        <w:rPr>
          <w:noProof/>
        </w:rPr>
        <w:t xml:space="preserve"> </w:t>
      </w:r>
      <w:r w:rsidR="000B1F22" w:rsidRPr="5242958E">
        <w:rPr>
          <w:noProof/>
        </w:rPr>
        <w:t>If a breach remains unresolved after a year, the affected funds may be redeployed to programmes under direct or indirect management, in particular those supporting democracy, civil society, or anti-corruption efforts, under the annual budgetary procedure and subject to approval by the Parliament and Council.</w:t>
      </w:r>
      <w:r w:rsidR="004D675A">
        <w:rPr>
          <w:noProof/>
        </w:rPr>
        <w:t xml:space="preserve"> Moreover</w:t>
      </w:r>
      <w:r w:rsidRPr="00E857AB">
        <w:rPr>
          <w:noProof/>
        </w:rPr>
        <w:t xml:space="preserve">, to receive EU funding, Member States must establish mechanisms to ensure continued payments to beneficiaries even if EU funding is suspended. These safeguards form a core part of their management and control systems. </w:t>
      </w:r>
    </w:p>
    <w:p w14:paraId="44767E6B" w14:textId="77777777" w:rsidR="005A167C" w:rsidRPr="00E857AB" w:rsidRDefault="005A167C" w:rsidP="001251F9">
      <w:pPr>
        <w:pStyle w:val="Paragraphstyle"/>
        <w:rPr>
          <w:noProof/>
        </w:rPr>
      </w:pPr>
      <w:r w:rsidRPr="00E857AB">
        <w:rPr>
          <w:noProof/>
        </w:rPr>
        <w:t>EU values</w:t>
      </w:r>
    </w:p>
    <w:p w14:paraId="10DCADCF" w14:textId="0D335F45" w:rsidR="005A167C" w:rsidRPr="00E857AB" w:rsidRDefault="50D8C07E" w:rsidP="00656BFE">
      <w:pPr>
        <w:rPr>
          <w:noProof/>
        </w:rPr>
      </w:pPr>
      <w:r w:rsidRPr="00E857AB">
        <w:rPr>
          <w:noProof/>
        </w:rPr>
        <w:t xml:space="preserve">The Commission notes Parliament’s call for a </w:t>
      </w:r>
      <w:r w:rsidR="7332A8E5" w:rsidRPr="00B3007C">
        <w:rPr>
          <w:noProof/>
        </w:rPr>
        <w:t>‘</w:t>
      </w:r>
      <w:r w:rsidRPr="00B3007C">
        <w:rPr>
          <w:noProof/>
        </w:rPr>
        <w:t>risk-based verification of recipients’ compliance with EU values, in order to detect potential breaches</w:t>
      </w:r>
      <w:r w:rsidR="7332A8E5" w:rsidRPr="00A03179">
        <w:rPr>
          <w:noProof/>
        </w:rPr>
        <w:t>’</w:t>
      </w:r>
      <w:r w:rsidR="005A167C" w:rsidRPr="00E857AB">
        <w:rPr>
          <w:rStyle w:val="FootnoteReference"/>
          <w:rFonts w:ascii="Times New Roman" w:hAnsi="Times New Roman" w:cs="Times New Roman"/>
          <w:noProof/>
          <w:szCs w:val="24"/>
        </w:rPr>
        <w:footnoteReference w:id="8"/>
      </w:r>
      <w:r w:rsidRPr="00E857AB">
        <w:rPr>
          <w:noProof/>
        </w:rPr>
        <w:t>. Under the Financial Regulation, the Commission monitors all stages of</w:t>
      </w:r>
      <w:r w:rsidR="00850261">
        <w:rPr>
          <w:noProof/>
        </w:rPr>
        <w:t xml:space="preserve"> its</w:t>
      </w:r>
      <w:r w:rsidRPr="00E857AB">
        <w:rPr>
          <w:noProof/>
        </w:rPr>
        <w:t xml:space="preserve"> </w:t>
      </w:r>
      <w:r w:rsidRPr="00850261">
        <w:rPr>
          <w:noProof/>
        </w:rPr>
        <w:t>contract management</w:t>
      </w:r>
      <w:r w:rsidR="1F1F9BB8" w:rsidRPr="00E857AB">
        <w:rPr>
          <w:noProof/>
        </w:rPr>
        <w:t xml:space="preserve"> to ensure</w:t>
      </w:r>
      <w:r w:rsidRPr="00E857AB">
        <w:rPr>
          <w:noProof/>
        </w:rPr>
        <w:t xml:space="preserve"> that organisations and projects incompatible with EU values receive no support. All EU funding beneficiaries must </w:t>
      </w:r>
      <w:r w:rsidR="009C3DAA">
        <w:rPr>
          <w:noProof/>
        </w:rPr>
        <w:t xml:space="preserve">contractually </w:t>
      </w:r>
      <w:r w:rsidRPr="00E857AB">
        <w:rPr>
          <w:noProof/>
        </w:rPr>
        <w:t xml:space="preserve">commit to, and ensure </w:t>
      </w:r>
      <w:r w:rsidR="1B9D60CA" w:rsidRPr="4DA4FD56">
        <w:rPr>
          <w:noProof/>
        </w:rPr>
        <w:t>respect for,</w:t>
      </w:r>
      <w:r w:rsidR="74FE83AC" w:rsidRPr="00E857AB">
        <w:rPr>
          <w:noProof/>
        </w:rPr>
        <w:t xml:space="preserve"> the values on which the </w:t>
      </w:r>
      <w:r w:rsidR="7A1D6733" w:rsidRPr="4DA4FD56">
        <w:rPr>
          <w:noProof/>
        </w:rPr>
        <w:t xml:space="preserve">EU </w:t>
      </w:r>
      <w:r w:rsidR="74FE83AC" w:rsidRPr="00E857AB">
        <w:rPr>
          <w:noProof/>
        </w:rPr>
        <w:t>is founded</w:t>
      </w:r>
      <w:r w:rsidR="152FDCA8" w:rsidRPr="4DA4FD56">
        <w:rPr>
          <w:noProof/>
        </w:rPr>
        <w:t xml:space="preserve"> when using resources of the Union budget</w:t>
      </w:r>
      <w:r w:rsidR="74FE83AC" w:rsidRPr="00E857AB">
        <w:rPr>
          <w:noProof/>
        </w:rPr>
        <w:t>.</w:t>
      </w:r>
      <w:r w:rsidRPr="00E857AB">
        <w:rPr>
          <w:noProof/>
        </w:rPr>
        <w:t xml:space="preserve"> Non-compliance with this obligation may lead to </w:t>
      </w:r>
      <w:r w:rsidR="1B9D60CA" w:rsidRPr="4DA4FD56">
        <w:rPr>
          <w:noProof/>
        </w:rPr>
        <w:t xml:space="preserve">a </w:t>
      </w:r>
      <w:r w:rsidRPr="00E857AB">
        <w:rPr>
          <w:noProof/>
        </w:rPr>
        <w:t>reduction</w:t>
      </w:r>
      <w:r w:rsidR="1B9D60CA" w:rsidRPr="4DA4FD56">
        <w:rPr>
          <w:noProof/>
        </w:rPr>
        <w:t xml:space="preserve"> of funds</w:t>
      </w:r>
      <w:r w:rsidRPr="00E857AB">
        <w:rPr>
          <w:noProof/>
        </w:rPr>
        <w:t>, suspension</w:t>
      </w:r>
      <w:r w:rsidR="003113E1">
        <w:rPr>
          <w:noProof/>
        </w:rPr>
        <w:t>,</w:t>
      </w:r>
      <w:r w:rsidR="1B9D60CA" w:rsidRPr="4DA4FD56">
        <w:rPr>
          <w:noProof/>
        </w:rPr>
        <w:t xml:space="preserve"> or </w:t>
      </w:r>
      <w:r w:rsidRPr="00E857AB">
        <w:rPr>
          <w:noProof/>
        </w:rPr>
        <w:t xml:space="preserve">termination of the grant agreement, </w:t>
      </w:r>
      <w:r w:rsidR="00AC372C">
        <w:rPr>
          <w:noProof/>
        </w:rPr>
        <w:t>and/</w:t>
      </w:r>
      <w:r w:rsidRPr="00E857AB">
        <w:rPr>
          <w:noProof/>
        </w:rPr>
        <w:t>or administrative</w:t>
      </w:r>
      <w:r w:rsidR="158A24B3" w:rsidRPr="00A03179">
        <w:rPr>
          <w:rFonts w:eastAsia="Times New Roman"/>
          <w:noProof/>
        </w:rPr>
        <w:t xml:space="preserve"> measures (e.g. exclusion or financial penalties) in the context of the Early Detection and Exclusion System (EDES)</w:t>
      </w:r>
      <w:r w:rsidRPr="00E857AB">
        <w:rPr>
          <w:noProof/>
        </w:rPr>
        <w:t xml:space="preserve">. Lastly, </w:t>
      </w:r>
      <w:r w:rsidR="7332A8E5" w:rsidRPr="4DA4FD56">
        <w:rPr>
          <w:i/>
          <w:iCs/>
          <w:noProof/>
        </w:rPr>
        <w:t>ex</w:t>
      </w:r>
      <w:r w:rsidR="7332A8E5" w:rsidRPr="4DA4FD56">
        <w:rPr>
          <w:rFonts w:ascii="Calibri" w:hAnsi="Calibri" w:cs="Calibri"/>
          <w:i/>
          <w:iCs/>
          <w:noProof/>
        </w:rPr>
        <w:t> </w:t>
      </w:r>
      <w:r w:rsidR="7332A8E5" w:rsidRPr="4DA4FD56">
        <w:rPr>
          <w:i/>
          <w:iCs/>
          <w:noProof/>
        </w:rPr>
        <w:t>post</w:t>
      </w:r>
      <w:r w:rsidRPr="00E857AB">
        <w:rPr>
          <w:noProof/>
        </w:rPr>
        <w:t xml:space="preserve"> mechanisms under the Financial Regulation safeguard the proper use of EU funds where controls or audits reveal a breach of obligations.</w:t>
      </w:r>
    </w:p>
    <w:p w14:paraId="34218257" w14:textId="40C1B09F" w:rsidR="005A167C" w:rsidRPr="0074029F" w:rsidRDefault="4A13EBC7" w:rsidP="005A167C">
      <w:pPr>
        <w:rPr>
          <w:noProof/>
        </w:rPr>
      </w:pPr>
      <w:r w:rsidRPr="68C14766">
        <w:rPr>
          <w:noProof/>
        </w:rPr>
        <w:t>EDES applies to</w:t>
      </w:r>
      <w:r w:rsidR="50D8C07E" w:rsidRPr="68C14766">
        <w:rPr>
          <w:noProof/>
        </w:rPr>
        <w:t xml:space="preserve"> </w:t>
      </w:r>
      <w:r w:rsidR="4EA995FA" w:rsidRPr="68C14766">
        <w:rPr>
          <w:noProof/>
        </w:rPr>
        <w:t xml:space="preserve">persons and </w:t>
      </w:r>
      <w:r w:rsidR="50D8C07E" w:rsidRPr="68C14766">
        <w:rPr>
          <w:noProof/>
        </w:rPr>
        <w:t>entities</w:t>
      </w:r>
      <w:r w:rsidR="1F0FACD1" w:rsidRPr="68C14766">
        <w:rPr>
          <w:noProof/>
        </w:rPr>
        <w:t xml:space="preserve">, including economic operators and organisations, </w:t>
      </w:r>
      <w:r w:rsidR="46B19B0C" w:rsidRPr="68C14766">
        <w:rPr>
          <w:noProof/>
        </w:rPr>
        <w:t>applying or receiving funds in direct and indirect management</w:t>
      </w:r>
      <w:r w:rsidR="0062766E" w:rsidRPr="68C14766">
        <w:rPr>
          <w:noProof/>
        </w:rPr>
        <w:t>)</w:t>
      </w:r>
      <w:r w:rsidR="50D8C07E" w:rsidRPr="68C14766">
        <w:rPr>
          <w:noProof/>
        </w:rPr>
        <w:t>.</w:t>
      </w:r>
      <w:r w:rsidR="449FAC61" w:rsidRPr="68C14766">
        <w:rPr>
          <w:noProof/>
        </w:rPr>
        <w:t xml:space="preserve"> </w:t>
      </w:r>
      <w:r w:rsidR="449FAC61" w:rsidRPr="00A03179">
        <w:rPr>
          <w:rFonts w:eastAsia="Times New Roman"/>
          <w:noProof/>
        </w:rPr>
        <w:t>The EDES exclusion grounds provide a broad framework to address professional or ethical misconduct, including incitement to hatred, discrimination, and other serious breaches of EU values. Checks of the EDES Database are performed by all authorizing officer</w:t>
      </w:r>
      <w:r w:rsidR="00816619" w:rsidRPr="00A03179">
        <w:rPr>
          <w:rFonts w:eastAsia="Times New Roman"/>
          <w:noProof/>
        </w:rPr>
        <w:t>s</w:t>
      </w:r>
      <w:r w:rsidR="449FAC61" w:rsidRPr="00A03179">
        <w:rPr>
          <w:rFonts w:eastAsia="Times New Roman"/>
          <w:noProof/>
        </w:rPr>
        <w:t xml:space="preserve"> at the stage of the evaluation process.</w:t>
      </w:r>
      <w:r w:rsidR="50D8C07E" w:rsidRPr="68C14766">
        <w:rPr>
          <w:noProof/>
        </w:rPr>
        <w:t xml:space="preserve"> To further strengthen oversight, the Commission will explore </w:t>
      </w:r>
      <w:r w:rsidR="3CF10466" w:rsidRPr="68C14766">
        <w:rPr>
          <w:noProof/>
        </w:rPr>
        <w:t xml:space="preserve">the possibility of </w:t>
      </w:r>
      <w:r w:rsidR="50D8C07E" w:rsidRPr="68C14766">
        <w:rPr>
          <w:noProof/>
        </w:rPr>
        <w:t>including EU values compliance indicators in the Arachne+ risk tool, pending technical and legal feasibility.</w:t>
      </w:r>
    </w:p>
    <w:p w14:paraId="04920506" w14:textId="5504F182" w:rsidR="005A167C" w:rsidRPr="00E857AB" w:rsidRDefault="005A167C" w:rsidP="001251F9">
      <w:pPr>
        <w:pStyle w:val="Paragraphstyle"/>
        <w:rPr>
          <w:noProof/>
        </w:rPr>
      </w:pPr>
      <w:bookmarkStart w:id="44" w:name="_Hlk199146487"/>
      <w:r w:rsidRPr="00E857AB">
        <w:rPr>
          <w:noProof/>
        </w:rPr>
        <w:t>Conflict</w:t>
      </w:r>
      <w:r w:rsidR="0067336C" w:rsidRPr="00E857AB">
        <w:rPr>
          <w:noProof/>
        </w:rPr>
        <w:t>s</w:t>
      </w:r>
      <w:r w:rsidRPr="00E857AB">
        <w:rPr>
          <w:noProof/>
        </w:rPr>
        <w:t xml:space="preserve"> of interest</w:t>
      </w:r>
    </w:p>
    <w:p w14:paraId="70D75A3E" w14:textId="5B5018E4" w:rsidR="005A167C" w:rsidRPr="00E857AB" w:rsidRDefault="005A167C" w:rsidP="00656BFE">
      <w:pPr>
        <w:rPr>
          <w:noProof/>
        </w:rPr>
      </w:pPr>
      <w:r w:rsidRPr="00E857AB">
        <w:rPr>
          <w:noProof/>
        </w:rPr>
        <w:t xml:space="preserve">Parliament calls on the Commission to ensure that </w:t>
      </w:r>
      <w:r w:rsidR="00697B5F" w:rsidRPr="008C6624">
        <w:rPr>
          <w:noProof/>
        </w:rPr>
        <w:t>‘</w:t>
      </w:r>
      <w:r w:rsidRPr="008C6624">
        <w:rPr>
          <w:noProof/>
        </w:rPr>
        <w:t xml:space="preserve">no Union funds are paid, directly or indirectly, to beneficiaries, including </w:t>
      </w:r>
      <w:r w:rsidR="0067336C" w:rsidRPr="00E857AB">
        <w:rPr>
          <w:noProof/>
        </w:rPr>
        <w:t xml:space="preserve">those related to </w:t>
      </w:r>
      <w:r w:rsidRPr="008C6624">
        <w:rPr>
          <w:noProof/>
        </w:rPr>
        <w:t>members of the European Council, where a conflict of interest has been identified and has not been demonstrably and verifiably resolved</w:t>
      </w:r>
      <w:r w:rsidR="00697B5F" w:rsidRPr="00A03179">
        <w:rPr>
          <w:noProof/>
        </w:rPr>
        <w:t>’</w:t>
      </w:r>
      <w:r w:rsidRPr="00E857AB">
        <w:rPr>
          <w:rStyle w:val="FootnoteReference"/>
          <w:rFonts w:ascii="Times New Roman" w:hAnsi="Times New Roman" w:cs="Times New Roman"/>
          <w:noProof/>
          <w:szCs w:val="24"/>
        </w:rPr>
        <w:footnoteReference w:id="9"/>
      </w:r>
      <w:r w:rsidR="00092C0B">
        <w:rPr>
          <w:noProof/>
        </w:rPr>
        <w:t>,</w:t>
      </w:r>
      <w:r w:rsidR="009F1212">
        <w:rPr>
          <w:noProof/>
        </w:rPr>
        <w:t xml:space="preserve"> and</w:t>
      </w:r>
      <w:r w:rsidRPr="00E857AB">
        <w:rPr>
          <w:noProof/>
        </w:rPr>
        <w:t xml:space="preserve"> underlines that Member States should ensure transparency as a safeguard against conflict</w:t>
      </w:r>
      <w:r w:rsidR="0067336C" w:rsidRPr="00E857AB">
        <w:rPr>
          <w:noProof/>
        </w:rPr>
        <w:t>s</w:t>
      </w:r>
      <w:r w:rsidRPr="00E857AB">
        <w:rPr>
          <w:noProof/>
        </w:rPr>
        <w:t xml:space="preserve"> of interest.</w:t>
      </w:r>
    </w:p>
    <w:p w14:paraId="1295B2E3" w14:textId="2A2FE994" w:rsidR="005A167C" w:rsidRPr="0074029F" w:rsidRDefault="005A167C" w:rsidP="005A167C">
      <w:pPr>
        <w:rPr>
          <w:noProof/>
        </w:rPr>
      </w:pPr>
      <w:r w:rsidRPr="00E857AB">
        <w:rPr>
          <w:noProof/>
        </w:rPr>
        <w:t xml:space="preserve">The Commission stresses that all Member States must respect the </w:t>
      </w:r>
      <w:r w:rsidR="0067336C" w:rsidRPr="00E857AB">
        <w:rPr>
          <w:noProof/>
        </w:rPr>
        <w:t xml:space="preserve">provisions of the </w:t>
      </w:r>
      <w:r w:rsidRPr="00E857AB">
        <w:rPr>
          <w:noProof/>
        </w:rPr>
        <w:t>EU Treaties and the legislation based on them, including provisions for the appropriate management of conflicts of interest at all levels, particularly Article</w:t>
      </w:r>
      <w:r w:rsidR="00697B5F" w:rsidRPr="00E857AB">
        <w:rPr>
          <w:rFonts w:ascii="Calibri" w:hAnsi="Calibri" w:cs="Calibri"/>
          <w:noProof/>
        </w:rPr>
        <w:t> </w:t>
      </w:r>
      <w:r w:rsidRPr="00E857AB">
        <w:rPr>
          <w:noProof/>
        </w:rPr>
        <w:t>61 of the Financial Regulation.</w:t>
      </w:r>
    </w:p>
    <w:p w14:paraId="4BE7D459" w14:textId="77777777" w:rsidR="005A167C" w:rsidRPr="0074029F" w:rsidRDefault="005A167C" w:rsidP="00744578">
      <w:pPr>
        <w:pStyle w:val="Heading2"/>
        <w:rPr>
          <w:noProof/>
        </w:rPr>
      </w:pPr>
      <w:bookmarkStart w:id="45" w:name="_Toc1142447027"/>
      <w:bookmarkStart w:id="46" w:name="_Toc802260984"/>
      <w:bookmarkStart w:id="47" w:name="_Toc230251251"/>
      <w:bookmarkEnd w:id="44"/>
      <w:r w:rsidRPr="0074029F">
        <w:rPr>
          <w:noProof/>
        </w:rPr>
        <w:t>b. Protecting the EU budget from fraudsters</w:t>
      </w:r>
      <w:bookmarkEnd w:id="45"/>
      <w:bookmarkEnd w:id="46"/>
      <w:bookmarkEnd w:id="47"/>
    </w:p>
    <w:p w14:paraId="17CA2616" w14:textId="77777777" w:rsidR="005A167C" w:rsidRPr="00E857AB" w:rsidRDefault="005A167C" w:rsidP="001251F9">
      <w:pPr>
        <w:pStyle w:val="Paragraphstyle"/>
        <w:rPr>
          <w:noProof/>
        </w:rPr>
      </w:pPr>
      <w:r w:rsidRPr="00E857AB">
        <w:rPr>
          <w:noProof/>
        </w:rPr>
        <w:t>Revenue side</w:t>
      </w:r>
    </w:p>
    <w:p w14:paraId="4123E5F8" w14:textId="7204DFCB" w:rsidR="005A167C" w:rsidRPr="00E857AB" w:rsidRDefault="005A167C" w:rsidP="00656BFE">
      <w:pPr>
        <w:rPr>
          <w:noProof/>
        </w:rPr>
      </w:pPr>
      <w:r w:rsidRPr="00E857AB">
        <w:rPr>
          <w:noProof/>
        </w:rPr>
        <w:t xml:space="preserve">In its 2024 Annual Report, the </w:t>
      </w:r>
      <w:r w:rsidRPr="00E857AB">
        <w:rPr>
          <w:rFonts w:eastAsia="Times New Roman"/>
          <w:noProof/>
          <w:szCs w:val="24"/>
        </w:rPr>
        <w:t>ECA</w:t>
      </w:r>
      <w:r w:rsidRPr="00E857AB">
        <w:rPr>
          <w:noProof/>
        </w:rPr>
        <w:t xml:space="preserve"> provided a clean opinion on the revenue of the EU budget, reaffirming the stability and accuracy of revenue collection by the Commission.</w:t>
      </w:r>
    </w:p>
    <w:p w14:paraId="193A3BFB" w14:textId="431DDAB7" w:rsidR="005A167C" w:rsidRPr="00E857AB" w:rsidRDefault="005A167C" w:rsidP="00656BFE">
      <w:pPr>
        <w:rPr>
          <w:noProof/>
          <w:szCs w:val="24"/>
        </w:rPr>
      </w:pPr>
      <w:bookmarkStart w:id="48" w:name="_Hlk231913143"/>
      <w:r w:rsidRPr="00E857AB">
        <w:rPr>
          <w:noProof/>
          <w:szCs w:val="24"/>
        </w:rPr>
        <w:t xml:space="preserve">Parliament </w:t>
      </w:r>
      <w:r w:rsidR="00697B5F" w:rsidRPr="00E857AB">
        <w:rPr>
          <w:noProof/>
          <w:szCs w:val="24"/>
        </w:rPr>
        <w:t>‘</w:t>
      </w:r>
      <w:r w:rsidRPr="00E704DE">
        <w:rPr>
          <w:noProof/>
          <w:szCs w:val="24"/>
        </w:rPr>
        <w:t xml:space="preserve">commends the efforts of </w:t>
      </w:r>
      <w:r w:rsidR="0096574C" w:rsidRPr="00E857AB">
        <w:rPr>
          <w:noProof/>
          <w:szCs w:val="24"/>
        </w:rPr>
        <w:t xml:space="preserve">the EPPO [European Public Prosecutor’s Office] and OLAF [the European Anti-Fraud Office] </w:t>
      </w:r>
      <w:r w:rsidRPr="00E704DE">
        <w:rPr>
          <w:noProof/>
          <w:szCs w:val="24"/>
        </w:rPr>
        <w:t>to combat</w:t>
      </w:r>
      <w:r w:rsidRPr="00A03179">
        <w:rPr>
          <w:noProof/>
          <w:szCs w:val="24"/>
        </w:rPr>
        <w:t xml:space="preserve"> </w:t>
      </w:r>
      <w:bookmarkEnd w:id="48"/>
      <w:r w:rsidRPr="00A03179">
        <w:rPr>
          <w:noProof/>
          <w:szCs w:val="24"/>
        </w:rPr>
        <w:t>the organised exploitation of weaknesses in Union customs controls</w:t>
      </w:r>
      <w:r w:rsidR="00697B5F" w:rsidRPr="00A03179">
        <w:rPr>
          <w:noProof/>
          <w:szCs w:val="24"/>
        </w:rPr>
        <w:t>’</w:t>
      </w:r>
      <w:r w:rsidRPr="00A03179">
        <w:rPr>
          <w:rStyle w:val="FootnoteReference"/>
          <w:rFonts w:ascii="Times New Roman" w:hAnsi="Times New Roman" w:cs="Times New Roman"/>
          <w:iCs/>
          <w:noProof/>
          <w:szCs w:val="24"/>
        </w:rPr>
        <w:footnoteReference w:id="10"/>
      </w:r>
      <w:r w:rsidRPr="00E857AB">
        <w:rPr>
          <w:noProof/>
          <w:szCs w:val="24"/>
        </w:rPr>
        <w:t xml:space="preserve"> and points out that </w:t>
      </w:r>
      <w:r w:rsidR="00697B5F" w:rsidRPr="00A03179">
        <w:rPr>
          <w:noProof/>
          <w:szCs w:val="24"/>
        </w:rPr>
        <w:t>‘</w:t>
      </w:r>
      <w:r w:rsidRPr="00A03179">
        <w:rPr>
          <w:noProof/>
          <w:szCs w:val="24"/>
        </w:rPr>
        <w:t xml:space="preserve">the problems with customs duties being incorrectly declared or not declared at all (the ‘customs gap’) lead to a shortfall in collected import duties, which has been a persistent problem for many years for the </w:t>
      </w:r>
      <w:r w:rsidR="00D30C23">
        <w:rPr>
          <w:noProof/>
          <w:szCs w:val="24"/>
        </w:rPr>
        <w:t>EU</w:t>
      </w:r>
      <w:r w:rsidR="00D30C23" w:rsidRPr="00E704DE">
        <w:rPr>
          <w:noProof/>
          <w:szCs w:val="24"/>
        </w:rPr>
        <w:t xml:space="preserve"> </w:t>
      </w:r>
      <w:r w:rsidRPr="00E704DE">
        <w:rPr>
          <w:noProof/>
          <w:szCs w:val="24"/>
        </w:rPr>
        <w:t>and for its Member States</w:t>
      </w:r>
      <w:r w:rsidR="00697B5F" w:rsidRPr="00A03179">
        <w:rPr>
          <w:noProof/>
          <w:szCs w:val="24"/>
        </w:rPr>
        <w:t>’</w:t>
      </w:r>
      <w:r w:rsidRPr="007F1D81">
        <w:rPr>
          <w:rStyle w:val="FootnoteReference"/>
          <w:rFonts w:ascii="Times New Roman" w:hAnsi="Times New Roman" w:cs="Times New Roman"/>
          <w:iCs/>
          <w:noProof/>
          <w:szCs w:val="24"/>
        </w:rPr>
        <w:footnoteReference w:id="11"/>
      </w:r>
      <w:r w:rsidRPr="00E857AB">
        <w:rPr>
          <w:noProof/>
          <w:szCs w:val="24"/>
        </w:rPr>
        <w:t>.</w:t>
      </w:r>
    </w:p>
    <w:p w14:paraId="44C87140" w14:textId="7EEB2756" w:rsidR="005A167C" w:rsidRPr="00540B41" w:rsidRDefault="005A167C" w:rsidP="005A167C">
      <w:pPr>
        <w:rPr>
          <w:noProof/>
        </w:rPr>
      </w:pPr>
      <w:r w:rsidRPr="00E857AB">
        <w:rPr>
          <w:noProof/>
        </w:rPr>
        <w:t>The Commission welcomes the agreement between Parliament and the Council on the EU Customs Union reform of 26</w:t>
      </w:r>
      <w:r w:rsidR="00697B5F" w:rsidRPr="00E857AB">
        <w:rPr>
          <w:rFonts w:ascii="Calibri" w:hAnsi="Calibri" w:cs="Calibri"/>
          <w:noProof/>
        </w:rPr>
        <w:t> </w:t>
      </w:r>
      <w:r w:rsidRPr="00E857AB">
        <w:rPr>
          <w:noProof/>
        </w:rPr>
        <w:t>March 2026.</w:t>
      </w:r>
      <w:r w:rsidRPr="007F1D81">
        <w:rPr>
          <w:noProof/>
          <w:color w:val="00002E"/>
          <w:sz w:val="27"/>
          <w:szCs w:val="27"/>
        </w:rPr>
        <w:t xml:space="preserve"> </w:t>
      </w:r>
      <w:r w:rsidRPr="00E857AB">
        <w:rPr>
          <w:noProof/>
        </w:rPr>
        <w:t xml:space="preserve">It responds to the current pressures under which EU Customs operates, such as a huge increase in trade volumes, especially in e-commerce, a fast-growing number of EU standards to be checked at the border, and shifting geopolitical realities and crises. </w:t>
      </w:r>
      <w:r w:rsidRPr="00E857AB">
        <w:rPr>
          <w:noProof/>
          <w:szCs w:val="24"/>
        </w:rPr>
        <w:t>With the creation of the EU Customs Authority and the EU Customs Data Hub, this reform will contribute to better</w:t>
      </w:r>
      <w:r w:rsidR="0096574C" w:rsidRPr="00E857AB">
        <w:rPr>
          <w:noProof/>
          <w:szCs w:val="24"/>
        </w:rPr>
        <w:t>,</w:t>
      </w:r>
      <w:r w:rsidRPr="00E857AB">
        <w:rPr>
          <w:noProof/>
          <w:szCs w:val="24"/>
        </w:rPr>
        <w:t xml:space="preserve"> data-driven customs policy coordination, notably via an improved EU coordinated risk management framework.</w:t>
      </w:r>
    </w:p>
    <w:p w14:paraId="6200F438" w14:textId="388042EC" w:rsidR="005A167C" w:rsidRPr="000A6306" w:rsidRDefault="000A6306" w:rsidP="000A6306">
      <w:pPr>
        <w:spacing w:before="0" w:after="160"/>
        <w:jc w:val="left"/>
        <w:rPr>
          <w:noProof/>
          <w:szCs w:val="24"/>
        </w:rPr>
      </w:pPr>
      <w:r>
        <w:rPr>
          <w:noProof/>
          <w:szCs w:val="24"/>
        </w:rPr>
        <w:br w:type="page"/>
      </w:r>
    </w:p>
    <w:p w14:paraId="58AD6F54" w14:textId="77777777" w:rsidR="005A167C" w:rsidRPr="00E857AB" w:rsidRDefault="005A167C" w:rsidP="001251F9">
      <w:pPr>
        <w:pStyle w:val="Paragraphstyle"/>
        <w:rPr>
          <w:noProof/>
        </w:rPr>
      </w:pPr>
      <w:r w:rsidRPr="00E857AB">
        <w:rPr>
          <w:noProof/>
        </w:rPr>
        <w:t>Anti-fraud architecture (AFA)</w:t>
      </w:r>
    </w:p>
    <w:p w14:paraId="1094C382" w14:textId="0A4C7417" w:rsidR="005A167C" w:rsidRPr="00E857AB" w:rsidRDefault="005A167C" w:rsidP="00656BFE">
      <w:pPr>
        <w:rPr>
          <w:noProof/>
        </w:rPr>
      </w:pPr>
      <w:r w:rsidRPr="00656BFE">
        <w:rPr>
          <w:noProof/>
        </w:rPr>
        <w:t>Parliament expressed concern over insufficient coordination and information-sharing between EU and national anti-fraud bodies.</w:t>
      </w:r>
      <w:r w:rsidRPr="00656BFE" w:rsidDel="002438B2">
        <w:rPr>
          <w:noProof/>
        </w:rPr>
        <w:t xml:space="preserve"> </w:t>
      </w:r>
      <w:r w:rsidRPr="00656BFE">
        <w:rPr>
          <w:noProof/>
        </w:rPr>
        <w:t>On 16</w:t>
      </w:r>
      <w:r w:rsidR="00697B5F" w:rsidRPr="00656BFE">
        <w:rPr>
          <w:rFonts w:ascii="Calibri" w:hAnsi="Calibri" w:cs="Calibri"/>
          <w:noProof/>
        </w:rPr>
        <w:t> </w:t>
      </w:r>
      <w:r w:rsidRPr="00656BFE">
        <w:rPr>
          <w:noProof/>
        </w:rPr>
        <w:t xml:space="preserve">July 2025, the Commission published a </w:t>
      </w:r>
      <w:hyperlink r:id="rId26" w:history="1">
        <w:r w:rsidR="0064520C" w:rsidRPr="00656BFE">
          <w:rPr>
            <w:rStyle w:val="Hyperlink"/>
            <w:noProof/>
          </w:rPr>
          <w:t xml:space="preserve">White Paper </w:t>
        </w:r>
        <w:r w:rsidR="00EF67FE" w:rsidRPr="00656BFE">
          <w:rPr>
            <w:rStyle w:val="Hyperlink"/>
            <w:noProof/>
          </w:rPr>
          <w:t>for the Anti-fraud Architecture Review</w:t>
        </w:r>
      </w:hyperlink>
      <w:r w:rsidR="00EF67FE">
        <w:rPr>
          <w:noProof/>
        </w:rPr>
        <w:t xml:space="preserve"> </w:t>
      </w:r>
      <w:r w:rsidRPr="00E857AB">
        <w:rPr>
          <w:noProof/>
        </w:rPr>
        <w:t xml:space="preserve">outlining the need to strengthen the protection of the EU’s financial interests. It underlines the crucial role and continuous engagement of all AFA actors and complements the Commission’s proposal for the next MFF. One of the main objectives is to enhance cooperation between the key AFA actors – </w:t>
      </w:r>
      <w:r w:rsidR="002262AA" w:rsidRPr="00E857AB">
        <w:rPr>
          <w:noProof/>
        </w:rPr>
        <w:t xml:space="preserve">the </w:t>
      </w:r>
      <w:r w:rsidRPr="00E857AB">
        <w:rPr>
          <w:noProof/>
        </w:rPr>
        <w:t xml:space="preserve">EPPO, OLAF, </w:t>
      </w:r>
      <w:r w:rsidR="00820777" w:rsidRPr="00E857AB">
        <w:rPr>
          <w:noProof/>
        </w:rPr>
        <w:t>the European Union Agency for Law Enforcement Cooperation (</w:t>
      </w:r>
      <w:r w:rsidRPr="00E857AB">
        <w:rPr>
          <w:noProof/>
        </w:rPr>
        <w:t>Europol</w:t>
      </w:r>
      <w:r w:rsidR="00820777" w:rsidRPr="00E857AB">
        <w:rPr>
          <w:noProof/>
        </w:rPr>
        <w:t>)</w:t>
      </w:r>
      <w:r w:rsidRPr="00E857AB">
        <w:rPr>
          <w:noProof/>
        </w:rPr>
        <w:t xml:space="preserve">, </w:t>
      </w:r>
      <w:r w:rsidR="00820777" w:rsidRPr="00E857AB">
        <w:rPr>
          <w:noProof/>
        </w:rPr>
        <w:t>the European Union Agency for Criminal Justice Cooperation (</w:t>
      </w:r>
      <w:r w:rsidRPr="00E857AB">
        <w:rPr>
          <w:noProof/>
        </w:rPr>
        <w:t>Eurojust</w:t>
      </w:r>
      <w:r w:rsidR="00820777" w:rsidRPr="00E857AB">
        <w:rPr>
          <w:noProof/>
        </w:rPr>
        <w:t>)</w:t>
      </w:r>
      <w:r w:rsidRPr="00E857AB">
        <w:rPr>
          <w:noProof/>
        </w:rPr>
        <w:t>, and the Anti-Money Laundering Authority</w:t>
      </w:r>
      <w:r w:rsidR="001C6876">
        <w:rPr>
          <w:noProof/>
        </w:rPr>
        <w:t>. The White Paper also</w:t>
      </w:r>
      <w:r w:rsidRPr="00E857AB">
        <w:rPr>
          <w:noProof/>
        </w:rPr>
        <w:t xml:space="preserve"> explor</w:t>
      </w:r>
      <w:r w:rsidR="001C6876">
        <w:rPr>
          <w:noProof/>
        </w:rPr>
        <w:t>es</w:t>
      </w:r>
      <w:r w:rsidRPr="00E857AB">
        <w:rPr>
          <w:noProof/>
        </w:rPr>
        <w:t xml:space="preserve"> how to create a more integrated system</w:t>
      </w:r>
      <w:r w:rsidR="00DB3F1A">
        <w:rPr>
          <w:noProof/>
        </w:rPr>
        <w:t xml:space="preserve"> and</w:t>
      </w:r>
      <w:r w:rsidRPr="00E857AB">
        <w:rPr>
          <w:noProof/>
        </w:rPr>
        <w:t xml:space="preserve"> optimise the use of resources </w:t>
      </w:r>
      <w:r w:rsidR="00DB3F1A">
        <w:rPr>
          <w:noProof/>
        </w:rPr>
        <w:t>by</w:t>
      </w:r>
      <w:r w:rsidRPr="00E857AB">
        <w:rPr>
          <w:noProof/>
        </w:rPr>
        <w:t xml:space="preserve"> leveraging new technologies, sharing </w:t>
      </w:r>
      <w:r w:rsidR="00D13646" w:rsidRPr="00E857AB">
        <w:rPr>
          <w:noProof/>
        </w:rPr>
        <w:t>data</w:t>
      </w:r>
      <w:r w:rsidR="00D13646">
        <w:rPr>
          <w:noProof/>
        </w:rPr>
        <w:t>,</w:t>
      </w:r>
      <w:r w:rsidR="00D13646" w:rsidRPr="00E857AB">
        <w:rPr>
          <w:noProof/>
        </w:rPr>
        <w:t xml:space="preserve"> </w:t>
      </w:r>
      <w:r w:rsidRPr="00E857AB">
        <w:rPr>
          <w:noProof/>
        </w:rPr>
        <w:t>and looking at the complementarity of functions of the actors.</w:t>
      </w:r>
    </w:p>
    <w:p w14:paraId="361D0B79" w14:textId="312EB4DE" w:rsidR="005A167C" w:rsidRPr="00E857AB" w:rsidRDefault="005A167C" w:rsidP="00656BFE">
      <w:pPr>
        <w:rPr>
          <w:noProof/>
        </w:rPr>
      </w:pPr>
      <w:r w:rsidRPr="00E857AB">
        <w:rPr>
          <w:rFonts w:eastAsia="Calibri"/>
          <w:noProof/>
        </w:rPr>
        <w:t xml:space="preserve">The AFA </w:t>
      </w:r>
      <w:r w:rsidR="00677274" w:rsidRPr="00E857AB">
        <w:rPr>
          <w:rFonts w:eastAsia="Calibri"/>
          <w:noProof/>
        </w:rPr>
        <w:t xml:space="preserve">Review </w:t>
      </w:r>
      <w:r w:rsidRPr="00E857AB">
        <w:rPr>
          <w:rFonts w:eastAsia="Calibri"/>
          <w:noProof/>
        </w:rPr>
        <w:t xml:space="preserve">is conducted in the broader context of </w:t>
      </w:r>
      <w:r w:rsidR="005C108F">
        <w:rPr>
          <w:rFonts w:eastAsia="Calibri"/>
          <w:noProof/>
        </w:rPr>
        <w:t>the revision of the Europol and</w:t>
      </w:r>
      <w:r w:rsidR="00331B02">
        <w:rPr>
          <w:rFonts w:eastAsia="Calibri"/>
          <w:noProof/>
        </w:rPr>
        <w:t xml:space="preserve"> </w:t>
      </w:r>
      <w:r w:rsidRPr="00E857AB">
        <w:rPr>
          <w:rFonts w:eastAsia="Calibri"/>
          <w:noProof/>
        </w:rPr>
        <w:t>Eurojust</w:t>
      </w:r>
      <w:r w:rsidR="005C108F">
        <w:rPr>
          <w:rFonts w:eastAsia="Calibri"/>
          <w:noProof/>
        </w:rPr>
        <w:t xml:space="preserve"> Regulations and the </w:t>
      </w:r>
      <w:r w:rsidR="005C108F" w:rsidRPr="00E857AB">
        <w:rPr>
          <w:rFonts w:eastAsia="Calibri"/>
          <w:noProof/>
        </w:rPr>
        <w:t>ongoing evaluations of the legal acts of</w:t>
      </w:r>
      <w:r w:rsidRPr="00E857AB">
        <w:rPr>
          <w:rFonts w:eastAsia="Calibri"/>
          <w:noProof/>
        </w:rPr>
        <w:t xml:space="preserve"> OLAF</w:t>
      </w:r>
      <w:r w:rsidR="002262AA" w:rsidRPr="00E857AB">
        <w:rPr>
          <w:rFonts w:eastAsia="Calibri"/>
          <w:noProof/>
        </w:rPr>
        <w:t xml:space="preserve"> and the </w:t>
      </w:r>
      <w:r w:rsidRPr="00E857AB">
        <w:rPr>
          <w:rFonts w:eastAsia="Calibri"/>
          <w:noProof/>
        </w:rPr>
        <w:t xml:space="preserve">EPPO and </w:t>
      </w:r>
      <w:r w:rsidR="002262AA" w:rsidRPr="00E857AB">
        <w:rPr>
          <w:rFonts w:eastAsia="Calibri"/>
          <w:noProof/>
        </w:rPr>
        <w:t xml:space="preserve">of </w:t>
      </w:r>
      <w:r w:rsidRPr="00E857AB">
        <w:rPr>
          <w:rFonts w:eastAsia="Calibri"/>
          <w:noProof/>
        </w:rPr>
        <w:t>the Directive</w:t>
      </w:r>
      <w:r w:rsidR="002262AA" w:rsidRPr="00B943AD">
        <w:rPr>
          <w:noProof/>
        </w:rPr>
        <w:t xml:space="preserve"> </w:t>
      </w:r>
      <w:r w:rsidR="002262AA" w:rsidRPr="00E857AB">
        <w:rPr>
          <w:rFonts w:eastAsia="Calibri"/>
          <w:noProof/>
        </w:rPr>
        <w:t>on the fight against fraud to the Union's financial interests by means of criminal law (PIF Directive)</w:t>
      </w:r>
      <w:r w:rsidRPr="00E857AB">
        <w:rPr>
          <w:rStyle w:val="FootnoteReference"/>
          <w:rFonts w:ascii="Times New Roman" w:eastAsia="Calibri" w:hAnsi="Times New Roman" w:cs="Times New Roman"/>
          <w:noProof/>
          <w:szCs w:val="24"/>
        </w:rPr>
        <w:footnoteReference w:id="12"/>
      </w:r>
      <w:r w:rsidRPr="00E857AB">
        <w:rPr>
          <w:rFonts w:eastAsia="Calibri"/>
          <w:noProof/>
        </w:rPr>
        <w:t>. The Commission will present the results in a communication, scheduled for the end of 2026, possibly accompanied by legislative proposals.</w:t>
      </w:r>
    </w:p>
    <w:p w14:paraId="304DC4C9" w14:textId="302DC906" w:rsidR="005A167C" w:rsidRPr="0074029F" w:rsidRDefault="005A167C" w:rsidP="005A167C">
      <w:pPr>
        <w:rPr>
          <w:noProof/>
        </w:rPr>
      </w:pPr>
      <w:r w:rsidRPr="00E857AB">
        <w:rPr>
          <w:noProof/>
        </w:rPr>
        <w:t xml:space="preserve">Improving recoveries is another main objective of the review. The Commission continues to pursue, via annual monitoring exercises conducted by OLAF, a reinforced follow-up on the implementation of OLAF financial recommendations (until their final outcome) and of EPPO notifications with financial impact. The Commission is looking at further developing the </w:t>
      </w:r>
      <w:r w:rsidR="00820777" w:rsidRPr="00E857AB">
        <w:rPr>
          <w:noProof/>
        </w:rPr>
        <w:t xml:space="preserve">annual report </w:t>
      </w:r>
      <w:r w:rsidRPr="00E857AB">
        <w:rPr>
          <w:noProof/>
        </w:rPr>
        <w:t xml:space="preserve">on the </w:t>
      </w:r>
      <w:r w:rsidR="00820777" w:rsidRPr="00E857AB">
        <w:rPr>
          <w:noProof/>
        </w:rPr>
        <w:t xml:space="preserve">protection </w:t>
      </w:r>
      <w:r w:rsidRPr="00E857AB">
        <w:rPr>
          <w:noProof/>
        </w:rPr>
        <w:t>of the EU’s financial interests and the fight against fraud (PIF Report) to include additional information and data on recoveries.</w:t>
      </w:r>
    </w:p>
    <w:p w14:paraId="328317BB" w14:textId="77777777" w:rsidR="005A167C" w:rsidRPr="00E857AB" w:rsidRDefault="005A167C" w:rsidP="001251F9">
      <w:pPr>
        <w:pStyle w:val="Paragraphstyle"/>
        <w:rPr>
          <w:noProof/>
        </w:rPr>
      </w:pPr>
      <w:r w:rsidRPr="00E857AB">
        <w:rPr>
          <w:noProof/>
        </w:rPr>
        <w:t>Budgetary reinforcement of the EPPO and OLAF</w:t>
      </w:r>
    </w:p>
    <w:p w14:paraId="6A322A10" w14:textId="39966CE3" w:rsidR="005A167C" w:rsidRPr="00E857AB" w:rsidRDefault="005A167C" w:rsidP="00656BFE">
      <w:pPr>
        <w:rPr>
          <w:noProof/>
        </w:rPr>
      </w:pPr>
      <w:r w:rsidRPr="00E857AB">
        <w:rPr>
          <w:noProof/>
        </w:rPr>
        <w:t>The Commission notes Parliament’s repeated calls for reinforced capacities for the EPPO and OLAF and to strengthen cooperation between them.</w:t>
      </w:r>
    </w:p>
    <w:p w14:paraId="21848C72" w14:textId="776439CA" w:rsidR="005A167C" w:rsidRPr="00E857AB" w:rsidRDefault="00220DDE" w:rsidP="00656BFE">
      <w:pPr>
        <w:rPr>
          <w:noProof/>
        </w:rPr>
      </w:pPr>
      <w:r w:rsidRPr="00E857AB">
        <w:rPr>
          <w:noProof/>
        </w:rPr>
        <w:t>The EPPO’s creation in 2017 impacted OLAF’s staffing levels due to synergies and efficiencies between the two services.</w:t>
      </w:r>
      <w:r>
        <w:rPr>
          <w:noProof/>
        </w:rPr>
        <w:t xml:space="preserve"> </w:t>
      </w:r>
      <w:r w:rsidR="005A167C" w:rsidRPr="00E857AB">
        <w:rPr>
          <w:noProof/>
        </w:rPr>
        <w:t xml:space="preserve">As per the original Legislative Financial Statement, the EPPO was to operate under stable staffing with 115 full-time equivalents as of 2023. </w:t>
      </w:r>
      <w:r w:rsidR="00820777" w:rsidRPr="00E857AB">
        <w:rPr>
          <w:noProof/>
        </w:rPr>
        <w:t>However</w:t>
      </w:r>
      <w:r w:rsidR="005A167C" w:rsidRPr="00E857AB">
        <w:rPr>
          <w:noProof/>
        </w:rPr>
        <w:t xml:space="preserve">, it received higher contributions and staff allocations than </w:t>
      </w:r>
      <w:r w:rsidR="00820777" w:rsidRPr="00E857AB">
        <w:rPr>
          <w:noProof/>
        </w:rPr>
        <w:t xml:space="preserve">originally </w:t>
      </w:r>
      <w:r w:rsidR="005A167C" w:rsidRPr="00E857AB">
        <w:rPr>
          <w:noProof/>
        </w:rPr>
        <w:t>planned</w:t>
      </w:r>
      <w:r w:rsidR="005A167C" w:rsidRPr="00E857AB">
        <w:rPr>
          <w:rFonts w:ascii="Calibri" w:hAnsi="Calibri" w:cs="Calibri"/>
          <w:noProof/>
        </w:rPr>
        <w:t> </w:t>
      </w:r>
      <w:r w:rsidR="00820777" w:rsidRPr="00E857AB">
        <w:rPr>
          <w:noProof/>
        </w:rPr>
        <w:t xml:space="preserve">every </w:t>
      </w:r>
      <w:r w:rsidR="005A167C" w:rsidRPr="00E857AB">
        <w:rPr>
          <w:noProof/>
        </w:rPr>
        <w:t>year since its creation</w:t>
      </w:r>
      <w:r w:rsidR="00820777" w:rsidRPr="00E857AB">
        <w:rPr>
          <w:noProof/>
        </w:rPr>
        <w:t xml:space="preserve">. Additional </w:t>
      </w:r>
      <w:r w:rsidR="005A167C" w:rsidRPr="00E857AB">
        <w:rPr>
          <w:noProof/>
        </w:rPr>
        <w:t xml:space="preserve">resources were </w:t>
      </w:r>
      <w:r w:rsidR="00820777" w:rsidRPr="00E857AB">
        <w:rPr>
          <w:noProof/>
        </w:rPr>
        <w:t xml:space="preserve">added </w:t>
      </w:r>
      <w:r w:rsidR="005A167C" w:rsidRPr="00E857AB">
        <w:rPr>
          <w:noProof/>
        </w:rPr>
        <w:t xml:space="preserve">in </w:t>
      </w:r>
      <w:r w:rsidR="00820777" w:rsidRPr="00E857AB">
        <w:rPr>
          <w:noProof/>
        </w:rPr>
        <w:t xml:space="preserve">duly </w:t>
      </w:r>
      <w:r w:rsidR="005A167C" w:rsidRPr="00E857AB">
        <w:rPr>
          <w:noProof/>
        </w:rPr>
        <w:t xml:space="preserve">justified </w:t>
      </w:r>
      <w:r w:rsidR="00820777" w:rsidRPr="00E857AB">
        <w:rPr>
          <w:noProof/>
        </w:rPr>
        <w:t>cases during the</w:t>
      </w:r>
      <w:r w:rsidR="005A167C" w:rsidRPr="00E857AB">
        <w:rPr>
          <w:noProof/>
        </w:rPr>
        <w:t xml:space="preserve"> process of </w:t>
      </w:r>
      <w:r w:rsidR="00820777" w:rsidRPr="00E857AB">
        <w:rPr>
          <w:noProof/>
        </w:rPr>
        <w:t xml:space="preserve">adopting </w:t>
      </w:r>
      <w:r w:rsidR="005A167C" w:rsidRPr="00E857AB">
        <w:rPr>
          <w:noProof/>
        </w:rPr>
        <w:t xml:space="preserve">the annual </w:t>
      </w:r>
      <w:r w:rsidR="00820777" w:rsidRPr="00E857AB">
        <w:rPr>
          <w:noProof/>
        </w:rPr>
        <w:t xml:space="preserve">budgets </w:t>
      </w:r>
      <w:r w:rsidR="005A167C" w:rsidRPr="00E857AB">
        <w:rPr>
          <w:noProof/>
        </w:rPr>
        <w:t>and</w:t>
      </w:r>
      <w:r w:rsidR="00820777" w:rsidRPr="00E857AB">
        <w:rPr>
          <w:noProof/>
        </w:rPr>
        <w:t xml:space="preserve">, </w:t>
      </w:r>
      <w:r w:rsidR="005A167C" w:rsidRPr="00E857AB">
        <w:rPr>
          <w:noProof/>
        </w:rPr>
        <w:t xml:space="preserve">for extraordinary needs, during the </w:t>
      </w:r>
      <w:r w:rsidR="00820777" w:rsidRPr="00E857AB">
        <w:rPr>
          <w:noProof/>
        </w:rPr>
        <w:t xml:space="preserve">year </w:t>
      </w:r>
      <w:r w:rsidR="005A167C" w:rsidRPr="00E857AB">
        <w:rPr>
          <w:noProof/>
        </w:rPr>
        <w:t>via amending budgets. In 2024-2026, the EPPO received more reinforcements to account for Poland’s and Sweden’s participation, increased salary and housing costs, its independent IT architecture, and additional European Delegated Prosecutors and Seconded National Experts.</w:t>
      </w:r>
    </w:p>
    <w:p w14:paraId="69E8CB81" w14:textId="7A48DAA2" w:rsidR="00952B9C" w:rsidRDefault="00952B9C" w:rsidP="00952B9C">
      <w:pPr>
        <w:rPr>
          <w:noProof/>
        </w:rPr>
      </w:pPr>
      <w:r w:rsidRPr="008E32CF">
        <w:rPr>
          <w:noProof/>
        </w:rPr>
        <w:t>Taking into account OLAF’s experience in the conduct of administrative investigations and the objective of avoiding the duplication of administrative and criminal investigations, up to 45 posts and credits for external staff were transferred to EPPO. Over the period 2019-2027, when considering both transfers to EPPO and reinforcements to OLAF via the Commission allocation procedures, the staff</w:t>
      </w:r>
      <w:r w:rsidR="008573EB">
        <w:rPr>
          <w:noProof/>
        </w:rPr>
        <w:t xml:space="preserve"> (posts and external staff)</w:t>
      </w:r>
      <w:r w:rsidRPr="008E32CF">
        <w:rPr>
          <w:noProof/>
        </w:rPr>
        <w:t xml:space="preserve"> of OLAF will have decreased by 38.</w:t>
      </w:r>
    </w:p>
    <w:p w14:paraId="0999EF0F" w14:textId="1E389A22" w:rsidR="000319A3" w:rsidRDefault="005A167C" w:rsidP="00656BFE">
      <w:pPr>
        <w:rPr>
          <w:noProof/>
        </w:rPr>
      </w:pPr>
      <w:r w:rsidRPr="00E857AB">
        <w:rPr>
          <w:noProof/>
        </w:rPr>
        <w:t xml:space="preserve">OLAF cooperates intensively with the EPPO under their respective </w:t>
      </w:r>
      <w:r w:rsidR="00556061" w:rsidRPr="00E857AB">
        <w:rPr>
          <w:noProof/>
        </w:rPr>
        <w:t xml:space="preserve">regulations </w:t>
      </w:r>
      <w:r w:rsidRPr="00E857AB">
        <w:rPr>
          <w:noProof/>
        </w:rPr>
        <w:t>and working arrangement</w:t>
      </w:r>
      <w:r w:rsidR="00556061" w:rsidRPr="00E857AB">
        <w:rPr>
          <w:noProof/>
        </w:rPr>
        <w:t>s</w:t>
      </w:r>
      <w:r w:rsidRPr="00E857AB">
        <w:rPr>
          <w:noProof/>
        </w:rPr>
        <w:t xml:space="preserve">, </w:t>
      </w:r>
      <w:r w:rsidR="00556061" w:rsidRPr="00E857AB">
        <w:rPr>
          <w:noProof/>
        </w:rPr>
        <w:t xml:space="preserve">under which </w:t>
      </w:r>
      <w:r w:rsidRPr="00E857AB">
        <w:rPr>
          <w:noProof/>
        </w:rPr>
        <w:t xml:space="preserve">OLAF </w:t>
      </w:r>
      <w:r w:rsidR="00556061" w:rsidRPr="00E857AB">
        <w:rPr>
          <w:noProof/>
        </w:rPr>
        <w:t xml:space="preserve">reports </w:t>
      </w:r>
      <w:r w:rsidR="005334C7" w:rsidRPr="00E857AB">
        <w:rPr>
          <w:noProof/>
        </w:rPr>
        <w:t>any</w:t>
      </w:r>
      <w:r w:rsidRPr="00E857AB">
        <w:rPr>
          <w:noProof/>
        </w:rPr>
        <w:t xml:space="preserve"> </w:t>
      </w:r>
      <w:r w:rsidR="005334C7" w:rsidRPr="00E857AB">
        <w:rPr>
          <w:noProof/>
        </w:rPr>
        <w:t xml:space="preserve">suspicions of crime </w:t>
      </w:r>
      <w:r w:rsidRPr="00E857AB">
        <w:rPr>
          <w:noProof/>
        </w:rPr>
        <w:t xml:space="preserve">that might fall under the EPPO’s remit, and </w:t>
      </w:r>
      <w:r w:rsidR="00556061" w:rsidRPr="00E857AB">
        <w:rPr>
          <w:noProof/>
        </w:rPr>
        <w:t>duplication of</w:t>
      </w:r>
      <w:r w:rsidRPr="00E857AB">
        <w:rPr>
          <w:noProof/>
        </w:rPr>
        <w:t xml:space="preserve"> investigations </w:t>
      </w:r>
      <w:r w:rsidR="00556061" w:rsidRPr="00E857AB">
        <w:rPr>
          <w:noProof/>
        </w:rPr>
        <w:t>is avoided by means of</w:t>
      </w:r>
      <w:r w:rsidRPr="00E857AB">
        <w:rPr>
          <w:noProof/>
        </w:rPr>
        <w:t xml:space="preserve"> a cross-checking mechanism. OLAF can also </w:t>
      </w:r>
      <w:r w:rsidR="00556061" w:rsidRPr="00E857AB">
        <w:rPr>
          <w:noProof/>
        </w:rPr>
        <w:t xml:space="preserve">assist </w:t>
      </w:r>
      <w:r w:rsidRPr="00E857AB">
        <w:rPr>
          <w:noProof/>
        </w:rPr>
        <w:t xml:space="preserve">EPPO investigations by conducting complementary administrative investigations and support the EPPO where necessary. </w:t>
      </w:r>
    </w:p>
    <w:p w14:paraId="00CB3441" w14:textId="7B5F49FD" w:rsidR="005A167C" w:rsidRPr="0074029F" w:rsidRDefault="005A167C" w:rsidP="005A167C">
      <w:pPr>
        <w:rPr>
          <w:noProof/>
        </w:rPr>
      </w:pPr>
      <w:r w:rsidRPr="00E857AB">
        <w:rPr>
          <w:noProof/>
        </w:rPr>
        <w:t xml:space="preserve">Following the ECA’s recommendation in its Special Report 26/2025, and building on the AFA review, the Commission will assess the </w:t>
      </w:r>
      <w:r w:rsidR="00556061" w:rsidRPr="00E857AB">
        <w:rPr>
          <w:noProof/>
        </w:rPr>
        <w:t xml:space="preserve">arrangements </w:t>
      </w:r>
      <w:r w:rsidRPr="00E857AB">
        <w:rPr>
          <w:noProof/>
        </w:rPr>
        <w:t>required for the creation and governance of a common repository of fraud allegations to improve information-sharing between OLAF and the EPPO.</w:t>
      </w:r>
    </w:p>
    <w:p w14:paraId="0EA05923" w14:textId="77777777" w:rsidR="005A167C" w:rsidRPr="0074029F" w:rsidRDefault="005A167C" w:rsidP="00744578">
      <w:pPr>
        <w:pStyle w:val="Heading2"/>
        <w:rPr>
          <w:noProof/>
        </w:rPr>
      </w:pPr>
      <w:bookmarkStart w:id="49" w:name="_Toc1459687285"/>
      <w:bookmarkStart w:id="50" w:name="_Toc230251252"/>
      <w:r w:rsidRPr="0074029F">
        <w:rPr>
          <w:noProof/>
        </w:rPr>
        <w:t>c. Level of error and control systems</w:t>
      </w:r>
      <w:bookmarkEnd w:id="49"/>
      <w:bookmarkEnd w:id="50"/>
    </w:p>
    <w:p w14:paraId="38885E0C" w14:textId="77777777" w:rsidR="005A167C" w:rsidRPr="00E857AB" w:rsidRDefault="005A167C" w:rsidP="001251F9">
      <w:pPr>
        <w:pStyle w:val="Paragraphstyle"/>
        <w:rPr>
          <w:noProof/>
        </w:rPr>
      </w:pPr>
      <w:r w:rsidRPr="00E857AB">
        <w:rPr>
          <w:noProof/>
        </w:rPr>
        <w:t>Preventive and corrective measures</w:t>
      </w:r>
    </w:p>
    <w:p w14:paraId="200FD5F4" w14:textId="5B09E0A9" w:rsidR="005A167C" w:rsidRPr="0074029F" w:rsidRDefault="50D8C07E" w:rsidP="00E42C78">
      <w:pPr>
        <w:rPr>
          <w:noProof/>
          <w:lang w:eastAsia="en-GB"/>
        </w:rPr>
      </w:pPr>
      <w:r w:rsidRPr="4DA4FD56">
        <w:rPr>
          <w:noProof/>
          <w:lang w:eastAsia="en-GB"/>
        </w:rPr>
        <w:t xml:space="preserve">The Commission implements multiannual control strategies to safeguard EU funds, </w:t>
      </w:r>
      <w:r w:rsidR="00FB4C62">
        <w:rPr>
          <w:noProof/>
        </w:rPr>
        <w:t>w</w:t>
      </w:r>
      <w:r w:rsidR="4F4BDBF8" w:rsidRPr="00A03179">
        <w:rPr>
          <w:noProof/>
        </w:rPr>
        <w:t>here errors or weaknesses are detected through its controls, this results in</w:t>
      </w:r>
      <w:r w:rsidR="4F4BDBF8" w:rsidRPr="4DA4FD56">
        <w:rPr>
          <w:noProof/>
        </w:rPr>
        <w:t xml:space="preserve"> </w:t>
      </w:r>
      <w:r w:rsidRPr="4DA4FD56">
        <w:rPr>
          <w:noProof/>
          <w:lang w:eastAsia="en-GB"/>
        </w:rPr>
        <w:t>preventive measures</w:t>
      </w:r>
      <w:r w:rsidR="299FF422" w:rsidRPr="00A03179">
        <w:rPr>
          <w:noProof/>
        </w:rPr>
        <w:t>, (i.e., corrections,</w:t>
      </w:r>
      <w:r w:rsidR="299FF422" w:rsidRPr="4DA4FD56">
        <w:rPr>
          <w:noProof/>
        </w:rPr>
        <w:t xml:space="preserve"> </w:t>
      </w:r>
      <w:r w:rsidRPr="4DA4FD56">
        <w:rPr>
          <w:noProof/>
          <w:lang w:eastAsia="en-GB"/>
        </w:rPr>
        <w:t xml:space="preserve">interruptions or suspensions </w:t>
      </w:r>
      <w:r w:rsidR="45A55146" w:rsidRPr="00A03179">
        <w:rPr>
          <w:noProof/>
        </w:rPr>
        <w:t>before Commission’s payments take place)</w:t>
      </w:r>
      <w:r w:rsidRPr="4DA4FD56">
        <w:rPr>
          <w:noProof/>
          <w:lang w:eastAsia="en-GB"/>
        </w:rPr>
        <w:t xml:space="preserve"> and corrective measures</w:t>
      </w:r>
      <w:r w:rsidR="769B6195" w:rsidRPr="4DA4FD56">
        <w:rPr>
          <w:noProof/>
          <w:lang w:eastAsia="en-GB"/>
        </w:rPr>
        <w:t xml:space="preserve"> </w:t>
      </w:r>
      <w:r w:rsidR="769B6195" w:rsidRPr="00A03179">
        <w:rPr>
          <w:noProof/>
        </w:rPr>
        <w:t>(i.e., corrections after the payments take place)</w:t>
      </w:r>
      <w:r w:rsidRPr="4DA4FD56">
        <w:rPr>
          <w:noProof/>
          <w:lang w:eastAsia="en-GB"/>
        </w:rPr>
        <w:t xml:space="preserve"> up to programme closure. Under shared management, Member States conduct</w:t>
      </w:r>
      <w:r w:rsidR="1084BF1C" w:rsidRPr="4DA4FD56">
        <w:rPr>
          <w:noProof/>
          <w:lang w:eastAsia="en-GB"/>
        </w:rPr>
        <w:t xml:space="preserve"> controls</w:t>
      </w:r>
      <w:r w:rsidRPr="4DA4FD56">
        <w:rPr>
          <w:noProof/>
          <w:lang w:eastAsia="en-GB"/>
        </w:rPr>
        <w:t xml:space="preserve"> to detect and recover unduly paid amounts. Deficiencies identified </w:t>
      </w:r>
      <w:r w:rsidR="60EEB27E" w:rsidRPr="4DA4FD56">
        <w:rPr>
          <w:noProof/>
          <w:lang w:eastAsia="en-GB"/>
        </w:rPr>
        <w:t xml:space="preserve">in the </w:t>
      </w:r>
      <w:r w:rsidRPr="4DA4FD56">
        <w:rPr>
          <w:noProof/>
          <w:lang w:eastAsia="en-GB"/>
        </w:rPr>
        <w:t xml:space="preserve">national management and control systems may trigger financial corrections. In 2024, </w:t>
      </w:r>
      <w:r w:rsidR="0485E75E" w:rsidRPr="4DA4FD56">
        <w:rPr>
          <w:noProof/>
          <w:lang w:eastAsia="en-GB"/>
        </w:rPr>
        <w:t xml:space="preserve">Commission </w:t>
      </w:r>
      <w:r w:rsidRPr="4DA4FD56">
        <w:rPr>
          <w:noProof/>
          <w:lang w:eastAsia="en-GB"/>
        </w:rPr>
        <w:t>efforts</w:t>
      </w:r>
      <w:r w:rsidR="0DD7455A" w:rsidRPr="4DA4FD56">
        <w:rPr>
          <w:noProof/>
          <w:lang w:eastAsia="en-GB"/>
        </w:rPr>
        <w:t>, together with those of</w:t>
      </w:r>
      <w:r w:rsidRPr="4DA4FD56">
        <w:rPr>
          <w:noProof/>
          <w:lang w:eastAsia="en-GB"/>
        </w:rPr>
        <w:t xml:space="preserve"> </w:t>
      </w:r>
      <w:r w:rsidR="0F3DFF19" w:rsidRPr="00A03179">
        <w:rPr>
          <w:noProof/>
        </w:rPr>
        <w:t xml:space="preserve">Member States in shared management, </w:t>
      </w:r>
      <w:r w:rsidRPr="4DA4FD56">
        <w:rPr>
          <w:noProof/>
          <w:lang w:eastAsia="en-GB"/>
        </w:rPr>
        <w:t>led to the recovery of EUR</w:t>
      </w:r>
      <w:r w:rsidR="7332A8E5" w:rsidRPr="4DA4FD56">
        <w:rPr>
          <w:rFonts w:ascii="Calibri" w:hAnsi="Calibri" w:cs="Calibri"/>
          <w:noProof/>
          <w:lang w:eastAsia="en-GB"/>
        </w:rPr>
        <w:t> </w:t>
      </w:r>
      <w:r w:rsidRPr="4DA4FD56">
        <w:rPr>
          <w:noProof/>
          <w:lang w:eastAsia="en-GB"/>
        </w:rPr>
        <w:t>2.66</w:t>
      </w:r>
      <w:r w:rsidR="316EE60C" w:rsidRPr="4DA4FD56">
        <w:rPr>
          <w:rFonts w:ascii="Calibri" w:hAnsi="Calibri" w:cs="Calibri"/>
          <w:noProof/>
          <w:lang w:eastAsia="en-GB"/>
        </w:rPr>
        <w:t> </w:t>
      </w:r>
      <w:r w:rsidRPr="4DA4FD56">
        <w:rPr>
          <w:noProof/>
          <w:lang w:eastAsia="en-GB"/>
        </w:rPr>
        <w:t>billion (EUR</w:t>
      </w:r>
      <w:r w:rsidR="7332A8E5" w:rsidRPr="4DA4FD56">
        <w:rPr>
          <w:rFonts w:ascii="Calibri" w:hAnsi="Calibri" w:cs="Calibri"/>
          <w:noProof/>
          <w:lang w:eastAsia="en-GB"/>
        </w:rPr>
        <w:t> </w:t>
      </w:r>
      <w:r w:rsidRPr="4DA4FD56">
        <w:rPr>
          <w:noProof/>
          <w:lang w:eastAsia="en-GB"/>
        </w:rPr>
        <w:t>1.18</w:t>
      </w:r>
      <w:r w:rsidR="316EE60C" w:rsidRPr="4DA4FD56">
        <w:rPr>
          <w:rFonts w:ascii="Calibri" w:hAnsi="Calibri" w:cs="Calibri"/>
          <w:noProof/>
          <w:lang w:eastAsia="en-GB"/>
        </w:rPr>
        <w:t> </w:t>
      </w:r>
      <w:r w:rsidRPr="4DA4FD56">
        <w:rPr>
          <w:noProof/>
          <w:lang w:eastAsia="en-GB"/>
        </w:rPr>
        <w:t>billion preventive, EUR</w:t>
      </w:r>
      <w:r w:rsidR="7332A8E5" w:rsidRPr="4DA4FD56">
        <w:rPr>
          <w:rFonts w:ascii="Calibri" w:hAnsi="Calibri" w:cs="Calibri"/>
          <w:noProof/>
          <w:lang w:eastAsia="en-GB"/>
        </w:rPr>
        <w:t> </w:t>
      </w:r>
      <w:r w:rsidRPr="4DA4FD56">
        <w:rPr>
          <w:noProof/>
          <w:lang w:eastAsia="en-GB"/>
        </w:rPr>
        <w:t>1.48</w:t>
      </w:r>
      <w:r w:rsidR="316EE60C" w:rsidRPr="4DA4FD56">
        <w:rPr>
          <w:rFonts w:ascii="Calibri" w:hAnsi="Calibri" w:cs="Calibri"/>
          <w:noProof/>
          <w:lang w:eastAsia="en-GB"/>
        </w:rPr>
        <w:t> </w:t>
      </w:r>
      <w:r w:rsidRPr="4DA4FD56">
        <w:rPr>
          <w:noProof/>
          <w:lang w:eastAsia="en-GB"/>
        </w:rPr>
        <w:t>billion corrective), primarily in cohesion and agricultural policies.</w:t>
      </w:r>
    </w:p>
    <w:p w14:paraId="6EFD638D" w14:textId="77777777" w:rsidR="005A167C" w:rsidRPr="00E857AB" w:rsidRDefault="005A167C" w:rsidP="001251F9">
      <w:pPr>
        <w:pStyle w:val="Paragraphstyle"/>
        <w:rPr>
          <w:noProof/>
        </w:rPr>
      </w:pPr>
      <w:r w:rsidRPr="00E857AB">
        <w:rPr>
          <w:noProof/>
        </w:rPr>
        <w:t>Actions to reduce the level of error</w:t>
      </w:r>
    </w:p>
    <w:p w14:paraId="1908DB14" w14:textId="64108554" w:rsidR="005A167C" w:rsidRPr="0074029F" w:rsidRDefault="005A167C" w:rsidP="005A167C">
      <w:pPr>
        <w:rPr>
          <w:noProof/>
        </w:rPr>
      </w:pPr>
      <w:r w:rsidRPr="00E857AB">
        <w:rPr>
          <w:noProof/>
          <w:lang w:eastAsia="en-GB"/>
        </w:rPr>
        <w:t xml:space="preserve">Parliament and the Council welcome the </w:t>
      </w:r>
      <w:r w:rsidR="00F028B3">
        <w:rPr>
          <w:noProof/>
          <w:lang w:eastAsia="en-GB"/>
        </w:rPr>
        <w:t xml:space="preserve">decrease in the overall error rate, but consider it is still </w:t>
      </w:r>
      <w:r w:rsidRPr="00E857AB">
        <w:rPr>
          <w:noProof/>
          <w:lang w:eastAsia="en-GB"/>
        </w:rPr>
        <w:t xml:space="preserve">too high, particularly in </w:t>
      </w:r>
      <w:r w:rsidR="00AE02B0">
        <w:rPr>
          <w:noProof/>
          <w:lang w:eastAsia="en-GB"/>
        </w:rPr>
        <w:t>c</w:t>
      </w:r>
      <w:r w:rsidRPr="00E857AB">
        <w:rPr>
          <w:noProof/>
          <w:lang w:eastAsia="en-GB"/>
        </w:rPr>
        <w:t>ohesion policy. The Commission notes all errors reported by the ECA and duly follow</w:t>
      </w:r>
      <w:r w:rsidR="00501A12">
        <w:rPr>
          <w:noProof/>
          <w:lang w:eastAsia="en-GB"/>
        </w:rPr>
        <w:t>s</w:t>
      </w:r>
      <w:r w:rsidRPr="00E857AB">
        <w:rPr>
          <w:noProof/>
          <w:lang w:eastAsia="en-GB"/>
        </w:rPr>
        <w:t xml:space="preserve"> up all cases where it has a legal basis to act, </w:t>
      </w:r>
      <w:r w:rsidR="00F028B3">
        <w:rPr>
          <w:noProof/>
          <w:lang w:eastAsia="en-GB"/>
        </w:rPr>
        <w:t xml:space="preserve">working </w:t>
      </w:r>
      <w:r w:rsidRPr="00E857AB">
        <w:rPr>
          <w:noProof/>
          <w:lang w:eastAsia="en-GB"/>
        </w:rPr>
        <w:t xml:space="preserve">with </w:t>
      </w:r>
      <w:r w:rsidR="00551C7D" w:rsidRPr="00E857AB">
        <w:rPr>
          <w:noProof/>
          <w:lang w:eastAsia="en-GB"/>
        </w:rPr>
        <w:t xml:space="preserve">the </w:t>
      </w:r>
      <w:r w:rsidRPr="00E857AB">
        <w:rPr>
          <w:noProof/>
          <w:lang w:eastAsia="en-GB"/>
        </w:rPr>
        <w:t xml:space="preserve">Member States and implementing partners, requesting financial corrections where relevant and </w:t>
      </w:r>
      <w:r w:rsidR="00551C7D" w:rsidRPr="00E857AB">
        <w:rPr>
          <w:noProof/>
          <w:lang w:eastAsia="en-GB"/>
        </w:rPr>
        <w:t xml:space="preserve">the </w:t>
      </w:r>
      <w:r w:rsidRPr="00E857AB">
        <w:rPr>
          <w:noProof/>
          <w:lang w:eastAsia="en-GB"/>
        </w:rPr>
        <w:t>necessary remedial actions to further improve management and control systems.</w:t>
      </w:r>
    </w:p>
    <w:p w14:paraId="03C944F8" w14:textId="77777777" w:rsidR="005A167C" w:rsidRPr="00E857AB" w:rsidRDefault="005A167C" w:rsidP="001251F9">
      <w:pPr>
        <w:pStyle w:val="Paragraphstyle"/>
        <w:rPr>
          <w:noProof/>
        </w:rPr>
      </w:pPr>
      <w:r w:rsidRPr="00E857AB">
        <w:rPr>
          <w:noProof/>
        </w:rPr>
        <w:t>Cohesion policy</w:t>
      </w:r>
    </w:p>
    <w:p w14:paraId="5B678222" w14:textId="4C681E94" w:rsidR="005A167C" w:rsidRPr="00E857AB" w:rsidRDefault="50D8C07E" w:rsidP="0056114D">
      <w:pPr>
        <w:rPr>
          <w:noProof/>
        </w:rPr>
      </w:pPr>
      <w:r w:rsidRPr="4DA4FD56">
        <w:rPr>
          <w:noProof/>
        </w:rPr>
        <w:t xml:space="preserve">The Commission welcomes the decrease in the ECA’s estimated error rate for </w:t>
      </w:r>
      <w:r w:rsidR="203FC59F" w:rsidRPr="4DA4FD56">
        <w:rPr>
          <w:noProof/>
        </w:rPr>
        <w:t xml:space="preserve">cohesion </w:t>
      </w:r>
      <w:r w:rsidRPr="4DA4FD56">
        <w:rPr>
          <w:noProof/>
        </w:rPr>
        <w:t>policy expenditure</w:t>
      </w:r>
      <w:r w:rsidR="44A42922" w:rsidRPr="4DA4FD56">
        <w:rPr>
          <w:noProof/>
        </w:rPr>
        <w:t xml:space="preserve"> compared to 2023 and 2022</w:t>
      </w:r>
      <w:r w:rsidRPr="4DA4FD56">
        <w:rPr>
          <w:noProof/>
        </w:rPr>
        <w:t>, and notes that the difference in the assessment of the error level by the Commission (as reported in its annual activity reports) and the ECA has</w:t>
      </w:r>
      <w:r w:rsidR="2FFBA015" w:rsidRPr="4DA4FD56">
        <w:rPr>
          <w:noProof/>
        </w:rPr>
        <w:t xml:space="preserve"> further</w:t>
      </w:r>
      <w:r w:rsidRPr="4DA4FD56">
        <w:rPr>
          <w:noProof/>
        </w:rPr>
        <w:t xml:space="preserve"> </w:t>
      </w:r>
      <w:r w:rsidR="00C445F2">
        <w:rPr>
          <w:noProof/>
        </w:rPr>
        <w:t>converged</w:t>
      </w:r>
      <w:r w:rsidRPr="4DA4FD56">
        <w:rPr>
          <w:noProof/>
        </w:rPr>
        <w:t>.</w:t>
      </w:r>
    </w:p>
    <w:p w14:paraId="2CF83A5B" w14:textId="0FDB94A8" w:rsidR="005A167C" w:rsidRPr="00E857AB" w:rsidRDefault="005A167C" w:rsidP="0056114D">
      <w:pPr>
        <w:rPr>
          <w:noProof/>
          <w:color w:val="FF0000"/>
        </w:rPr>
      </w:pPr>
      <w:r w:rsidRPr="00E857AB">
        <w:rPr>
          <w:noProof/>
        </w:rPr>
        <w:t xml:space="preserve">To foster a common understanding of methodologies, the Commission has enhanced </w:t>
      </w:r>
      <w:r w:rsidR="000B0E42" w:rsidRPr="00E857AB">
        <w:rPr>
          <w:noProof/>
        </w:rPr>
        <w:t xml:space="preserve">its </w:t>
      </w:r>
      <w:r w:rsidRPr="00E857AB">
        <w:rPr>
          <w:noProof/>
        </w:rPr>
        <w:t>dialogue with the ECA via dedicated workshops. In 2025, they focused on quantifying public procurement irregularities in cohesion expenditure according to the Commission</w:t>
      </w:r>
      <w:r w:rsidR="00697B5F" w:rsidRPr="00E857AB">
        <w:rPr>
          <w:noProof/>
        </w:rPr>
        <w:t>’</w:t>
      </w:r>
      <w:r w:rsidRPr="00E857AB">
        <w:rPr>
          <w:noProof/>
        </w:rPr>
        <w:t>s quantification grid (that the ECA will use as of the 2025 statement of assurance audit).</w:t>
      </w:r>
    </w:p>
    <w:p w14:paraId="49E36D08" w14:textId="412A9086" w:rsidR="005A167C" w:rsidRPr="00E857AB" w:rsidRDefault="50D8C07E" w:rsidP="0056114D">
      <w:pPr>
        <w:rPr>
          <w:noProof/>
        </w:rPr>
      </w:pPr>
      <w:r w:rsidRPr="4DA4FD56">
        <w:rPr>
          <w:noProof/>
        </w:rPr>
        <w:t xml:space="preserve">Throughout 2025, the Commission closely monitored the implementation of the action plan agreed in 2024 with audit authorities </w:t>
      </w:r>
      <w:r w:rsidR="69C9F914" w:rsidRPr="4DA4FD56">
        <w:rPr>
          <w:noProof/>
        </w:rPr>
        <w:t xml:space="preserve">aiming to </w:t>
      </w:r>
      <w:r w:rsidR="6C48771F" w:rsidRPr="4DA4FD56">
        <w:rPr>
          <w:noProof/>
        </w:rPr>
        <w:t>strengthen</w:t>
      </w:r>
      <w:r w:rsidRPr="4DA4FD56">
        <w:rPr>
          <w:noProof/>
        </w:rPr>
        <w:t xml:space="preserve"> their detection capacity: progress is reported in several areas, including analysing root causes of errors, sharing results with the authorities managing the programmes, updating and upgrading audit checklists to ensure their completeness and coherence, and </w:t>
      </w:r>
      <w:r w:rsidR="203FC59F" w:rsidRPr="4DA4FD56">
        <w:rPr>
          <w:noProof/>
        </w:rPr>
        <w:t xml:space="preserve">making </w:t>
      </w:r>
      <w:r w:rsidRPr="4DA4FD56">
        <w:rPr>
          <w:noProof/>
        </w:rPr>
        <w:t xml:space="preserve">better </w:t>
      </w:r>
      <w:r w:rsidR="203FC59F" w:rsidRPr="4DA4FD56">
        <w:rPr>
          <w:noProof/>
        </w:rPr>
        <w:t xml:space="preserve">use of </w:t>
      </w:r>
      <w:r w:rsidRPr="4DA4FD56">
        <w:rPr>
          <w:noProof/>
        </w:rPr>
        <w:t>various databases to support audit work.</w:t>
      </w:r>
    </w:p>
    <w:p w14:paraId="414696E1" w14:textId="11941FFC" w:rsidR="005A167C" w:rsidRPr="0074029F" w:rsidRDefault="50D8C07E" w:rsidP="005A167C">
      <w:pPr>
        <w:rPr>
          <w:noProof/>
        </w:rPr>
      </w:pPr>
      <w:r w:rsidRPr="4DA4FD56">
        <w:rPr>
          <w:noProof/>
        </w:rPr>
        <w:t xml:space="preserve">In parallel, </w:t>
      </w:r>
      <w:r w:rsidR="306EAF57" w:rsidRPr="4DA4FD56">
        <w:rPr>
          <w:rFonts w:eastAsia="Times New Roman"/>
          <w:noProof/>
        </w:rPr>
        <w:t>recognising that the complexity of implementation arrangements can contribute to the risk of error</w:t>
      </w:r>
      <w:r w:rsidRPr="4DA4FD56">
        <w:rPr>
          <w:noProof/>
        </w:rPr>
        <w:t xml:space="preserve">, the Commission actively promotes the use of </w:t>
      </w:r>
      <w:r w:rsidR="659BFEB2" w:rsidRPr="4DA4FD56">
        <w:rPr>
          <w:noProof/>
        </w:rPr>
        <w:t>simplified cost options</w:t>
      </w:r>
      <w:r w:rsidR="4A66B118" w:rsidRPr="4DA4FD56">
        <w:rPr>
          <w:noProof/>
        </w:rPr>
        <w:t xml:space="preserve"> </w:t>
      </w:r>
      <w:r w:rsidRPr="4DA4FD56">
        <w:rPr>
          <w:noProof/>
        </w:rPr>
        <w:t xml:space="preserve">and </w:t>
      </w:r>
      <w:r w:rsidR="659BFEB2" w:rsidRPr="4DA4FD56">
        <w:rPr>
          <w:noProof/>
        </w:rPr>
        <w:t xml:space="preserve">schemes that involve financing not linked </w:t>
      </w:r>
      <w:r w:rsidRPr="4DA4FD56">
        <w:rPr>
          <w:noProof/>
        </w:rPr>
        <w:t xml:space="preserve">to </w:t>
      </w:r>
      <w:r w:rsidR="659BFEB2" w:rsidRPr="4DA4FD56">
        <w:rPr>
          <w:noProof/>
        </w:rPr>
        <w:t>costs</w:t>
      </w:r>
      <w:r w:rsidRPr="4DA4FD56">
        <w:rPr>
          <w:noProof/>
        </w:rPr>
        <w:t>.</w:t>
      </w:r>
    </w:p>
    <w:p w14:paraId="4C171A71" w14:textId="0357C795" w:rsidR="005A167C" w:rsidRPr="00E857AB" w:rsidRDefault="005A167C" w:rsidP="001251F9">
      <w:pPr>
        <w:pStyle w:val="Paragraphstyle"/>
        <w:rPr>
          <w:noProof/>
        </w:rPr>
      </w:pPr>
      <w:r w:rsidRPr="00E857AB">
        <w:rPr>
          <w:noProof/>
        </w:rPr>
        <w:t xml:space="preserve">Common </w:t>
      </w:r>
      <w:r w:rsidR="003D083E" w:rsidRPr="00E857AB">
        <w:rPr>
          <w:noProof/>
        </w:rPr>
        <w:t xml:space="preserve">agricultural policy </w:t>
      </w:r>
      <w:r w:rsidRPr="00E857AB">
        <w:rPr>
          <w:noProof/>
        </w:rPr>
        <w:t>(CAP)</w:t>
      </w:r>
    </w:p>
    <w:p w14:paraId="2D5E3FB0" w14:textId="1993ED11" w:rsidR="005A167C" w:rsidRPr="00E857AB" w:rsidRDefault="005A167C" w:rsidP="00627B51">
      <w:pPr>
        <w:rPr>
          <w:noProof/>
          <w:lang w:eastAsia="en-GB"/>
        </w:rPr>
      </w:pPr>
      <w:r w:rsidRPr="00E857AB">
        <w:rPr>
          <w:noProof/>
          <w:lang w:eastAsia="en-GB"/>
        </w:rPr>
        <w:t xml:space="preserve">The Commission made significant progress in simplifying rules and preventing errors via the efficient use of available information. The 2023-2027 CAP </w:t>
      </w:r>
      <w:r w:rsidR="003D083E" w:rsidRPr="00E857AB">
        <w:rPr>
          <w:noProof/>
          <w:lang w:eastAsia="en-GB"/>
        </w:rPr>
        <w:t xml:space="preserve">delivery model </w:t>
      </w:r>
      <w:r w:rsidRPr="00E857AB">
        <w:rPr>
          <w:noProof/>
          <w:lang w:eastAsia="en-GB"/>
        </w:rPr>
        <w:t xml:space="preserve">allows Member States to tailor interventions to their needs. </w:t>
      </w:r>
      <w:r w:rsidR="003D083E" w:rsidRPr="00E857AB">
        <w:rPr>
          <w:noProof/>
          <w:lang w:eastAsia="en-GB"/>
        </w:rPr>
        <w:t>For example,</w:t>
      </w:r>
      <w:r w:rsidRPr="00E857AB">
        <w:rPr>
          <w:noProof/>
          <w:lang w:eastAsia="en-GB"/>
        </w:rPr>
        <w:t xml:space="preserve"> the Commission supports Member States in the design and implementation of eco-schemes and encourag</w:t>
      </w:r>
      <w:r w:rsidR="00025E9E">
        <w:rPr>
          <w:noProof/>
          <w:lang w:eastAsia="en-GB"/>
        </w:rPr>
        <w:t>es</w:t>
      </w:r>
      <w:r w:rsidRPr="00E857AB">
        <w:rPr>
          <w:noProof/>
          <w:lang w:eastAsia="en-GB"/>
        </w:rPr>
        <w:t xml:space="preserve"> the use of </w:t>
      </w:r>
      <w:r w:rsidR="00F92F5A" w:rsidRPr="00E857AB">
        <w:rPr>
          <w:noProof/>
        </w:rPr>
        <w:t>simplified cost options</w:t>
      </w:r>
      <w:r w:rsidRPr="00E857AB">
        <w:rPr>
          <w:noProof/>
          <w:lang w:eastAsia="en-GB"/>
        </w:rPr>
        <w:t>.</w:t>
      </w:r>
    </w:p>
    <w:p w14:paraId="7C0196E3" w14:textId="747AAEC0" w:rsidR="005A167C" w:rsidRPr="0074029F" w:rsidRDefault="005A167C" w:rsidP="005A167C">
      <w:pPr>
        <w:rPr>
          <w:noProof/>
          <w:lang w:eastAsia="en-GB"/>
        </w:rPr>
      </w:pPr>
      <w:r w:rsidRPr="00E857AB">
        <w:rPr>
          <w:noProof/>
          <w:lang w:eastAsia="en-GB"/>
        </w:rPr>
        <w:t>The use of new technologies</w:t>
      </w:r>
      <w:r w:rsidR="00006BD5">
        <w:rPr>
          <w:noProof/>
          <w:lang w:eastAsia="en-GB"/>
        </w:rPr>
        <w:t xml:space="preserve"> (like </w:t>
      </w:r>
      <w:r w:rsidRPr="00E857AB">
        <w:rPr>
          <w:noProof/>
          <w:lang w:eastAsia="en-GB"/>
        </w:rPr>
        <w:t>the Area Monitoring System, Copernicus Sentinel data and Artificial Intelligence</w:t>
      </w:r>
      <w:r w:rsidR="00006BD5">
        <w:rPr>
          <w:noProof/>
          <w:lang w:eastAsia="en-GB"/>
        </w:rPr>
        <w:t>)</w:t>
      </w:r>
      <w:r w:rsidRPr="00E857AB">
        <w:rPr>
          <w:noProof/>
          <w:lang w:eastAsia="en-GB"/>
        </w:rPr>
        <w:t xml:space="preserve"> helps prevent and detect errors in the CAP. The Commission continues to provide support to Member States in addressing and preventing errors by providing guidance, fostering capacity building, exchange of best practices, and monitoring the quality of the Integrated Administration and Control System.</w:t>
      </w:r>
    </w:p>
    <w:p w14:paraId="64068F07" w14:textId="77777777" w:rsidR="005A167C" w:rsidRPr="00E857AB" w:rsidRDefault="005A167C" w:rsidP="001251F9">
      <w:pPr>
        <w:pStyle w:val="Paragraphstyle"/>
        <w:rPr>
          <w:noProof/>
        </w:rPr>
      </w:pPr>
      <w:r w:rsidRPr="00E857AB">
        <w:rPr>
          <w:noProof/>
        </w:rPr>
        <w:t>Recovery and Resilience Facility (RRF)</w:t>
      </w:r>
    </w:p>
    <w:p w14:paraId="1E8A98B4" w14:textId="0BD0268E" w:rsidR="00A85566" w:rsidRPr="00A85566" w:rsidRDefault="00A85566" w:rsidP="00627B51">
      <w:pPr>
        <w:rPr>
          <w:noProof/>
        </w:rPr>
      </w:pPr>
      <w:r w:rsidRPr="00A85566">
        <w:rPr>
          <w:noProof/>
        </w:rPr>
        <w:t>There is a robust control and audit system in place for the RRF. It includes an updated audit methodology for (i)</w:t>
      </w:r>
      <w:r w:rsidRPr="00A85566">
        <w:rPr>
          <w:rFonts w:ascii="Calibri" w:hAnsi="Calibri" w:cs="Calibri"/>
          <w:noProof/>
        </w:rPr>
        <w:t> </w:t>
      </w:r>
      <w:r w:rsidRPr="00A85566">
        <w:rPr>
          <w:noProof/>
        </w:rPr>
        <w:t>protecting the EU</w:t>
      </w:r>
      <w:r w:rsidRPr="00A85566">
        <w:rPr>
          <w:rFonts w:cs="EC Square Sans Pro"/>
          <w:noProof/>
        </w:rPr>
        <w:t>’</w:t>
      </w:r>
      <w:r w:rsidRPr="00A85566">
        <w:rPr>
          <w:noProof/>
        </w:rPr>
        <w:t>s financial interests, (ii)</w:t>
      </w:r>
      <w:r w:rsidRPr="00A85566">
        <w:rPr>
          <w:rFonts w:ascii="Calibri" w:hAnsi="Calibri" w:cs="Calibri"/>
          <w:noProof/>
        </w:rPr>
        <w:t> </w:t>
      </w:r>
      <w:r w:rsidRPr="00A85566">
        <w:rPr>
          <w:noProof/>
        </w:rPr>
        <w:t>reinforcing controls on Member States</w:t>
      </w:r>
      <w:r w:rsidRPr="00A85566">
        <w:rPr>
          <w:rFonts w:cs="EC Square Sans Pro"/>
          <w:noProof/>
        </w:rPr>
        <w:t>’</w:t>
      </w:r>
      <w:r w:rsidRPr="00A85566">
        <w:rPr>
          <w:noProof/>
        </w:rPr>
        <w:t xml:space="preserve"> internal control systems in State aid and public procurement, and (iii)</w:t>
      </w:r>
      <w:r w:rsidRPr="00A85566">
        <w:rPr>
          <w:rFonts w:ascii="Calibri" w:hAnsi="Calibri" w:cs="Calibri"/>
          <w:noProof/>
        </w:rPr>
        <w:t> </w:t>
      </w:r>
      <w:r w:rsidRPr="00A85566">
        <w:rPr>
          <w:noProof/>
        </w:rPr>
        <w:t xml:space="preserve">strengthening cooperation within the Commission. </w:t>
      </w:r>
    </w:p>
    <w:p w14:paraId="6AA9F674" w14:textId="28D579E0" w:rsidR="005A167C" w:rsidRPr="00E857AB" w:rsidRDefault="005A167C" w:rsidP="00627B51">
      <w:pPr>
        <w:rPr>
          <w:noProof/>
        </w:rPr>
      </w:pPr>
      <w:r w:rsidRPr="00E857AB">
        <w:rPr>
          <w:noProof/>
        </w:rPr>
        <w:t xml:space="preserve">Revisions </w:t>
      </w:r>
      <w:r w:rsidR="00A85566">
        <w:rPr>
          <w:noProof/>
        </w:rPr>
        <w:t>of national Recovery and Resilience Plans</w:t>
      </w:r>
      <w:r w:rsidRPr="00E857AB">
        <w:rPr>
          <w:noProof/>
        </w:rPr>
        <w:t xml:space="preserve"> considered previous implementation experience and recommendations from the ECA, Parliament and Council, aiming to reduce differences in </w:t>
      </w:r>
      <w:r w:rsidR="003D083E" w:rsidRPr="00E857AB">
        <w:rPr>
          <w:noProof/>
        </w:rPr>
        <w:t xml:space="preserve">the </w:t>
      </w:r>
      <w:r w:rsidRPr="00E857AB">
        <w:rPr>
          <w:noProof/>
        </w:rPr>
        <w:t xml:space="preserve">interpretation of EU legislation </w:t>
      </w:r>
      <w:r w:rsidR="003D083E" w:rsidRPr="00E857AB">
        <w:rPr>
          <w:noProof/>
        </w:rPr>
        <w:t xml:space="preserve">by </w:t>
      </w:r>
      <w:r w:rsidRPr="00E857AB">
        <w:rPr>
          <w:noProof/>
        </w:rPr>
        <w:t>the ECA and the Commission. The Commission proposed removing any ambiguous or unnecessary language from the Council implementing decisions,</w:t>
      </w:r>
      <w:r w:rsidR="00E16610" w:rsidRPr="00E16610">
        <w:rPr>
          <w:noProof/>
        </w:rPr>
        <w:t xml:space="preserve"> </w:t>
      </w:r>
      <w:r w:rsidR="00E16610" w:rsidRPr="00E857AB">
        <w:rPr>
          <w:noProof/>
        </w:rPr>
        <w:t xml:space="preserve">so </w:t>
      </w:r>
      <w:r w:rsidR="00E16610">
        <w:rPr>
          <w:noProof/>
        </w:rPr>
        <w:t xml:space="preserve">they only contain </w:t>
      </w:r>
      <w:r w:rsidR="00E16610" w:rsidRPr="00E857AB">
        <w:rPr>
          <w:noProof/>
        </w:rPr>
        <w:t>essential requirements for demonstrating the fulfilment of a measure</w:t>
      </w:r>
      <w:r w:rsidRPr="00E857AB">
        <w:rPr>
          <w:noProof/>
        </w:rPr>
        <w:t>.</w:t>
      </w:r>
    </w:p>
    <w:p w14:paraId="6CC92265" w14:textId="605F2876" w:rsidR="005A167C" w:rsidRPr="000A6306" w:rsidRDefault="005A167C" w:rsidP="008E32CF">
      <w:pPr>
        <w:rPr>
          <w:noProof/>
        </w:rPr>
      </w:pPr>
      <w:r w:rsidRPr="00E857AB">
        <w:rPr>
          <w:noProof/>
        </w:rPr>
        <w:t xml:space="preserve">The Commission </w:t>
      </w:r>
      <w:r w:rsidR="00220C2C" w:rsidRPr="00E857AB">
        <w:rPr>
          <w:noProof/>
        </w:rPr>
        <w:t xml:space="preserve">agrees with </w:t>
      </w:r>
      <w:r w:rsidRPr="00E857AB">
        <w:rPr>
          <w:noProof/>
        </w:rPr>
        <w:t xml:space="preserve">the Council’s caution against </w:t>
      </w:r>
      <w:r w:rsidR="00697B5F" w:rsidRPr="00C76EA7">
        <w:rPr>
          <w:noProof/>
        </w:rPr>
        <w:t>‘</w:t>
      </w:r>
      <w:r w:rsidRPr="00C76EA7">
        <w:rPr>
          <w:noProof/>
        </w:rPr>
        <w:t>new rules, contradictory requirements or more restrictive conditions imposed on member states</w:t>
      </w:r>
      <w:r w:rsidRPr="00E857AB">
        <w:rPr>
          <w:i/>
          <w:iCs/>
          <w:noProof/>
        </w:rPr>
        <w:t xml:space="preserve"> ex-post</w:t>
      </w:r>
      <w:r w:rsidR="00697B5F" w:rsidRPr="00C76EA7">
        <w:rPr>
          <w:noProof/>
        </w:rPr>
        <w:t>’</w:t>
      </w:r>
      <w:r w:rsidRPr="00C76EA7">
        <w:rPr>
          <w:rStyle w:val="FootnoteReference"/>
          <w:rFonts w:ascii="Times New Roman" w:hAnsi="Times New Roman" w:cs="Times New Roman"/>
          <w:iCs/>
          <w:noProof/>
          <w:szCs w:val="24"/>
        </w:rPr>
        <w:footnoteReference w:id="13"/>
      </w:r>
      <w:r w:rsidRPr="00E857AB">
        <w:rPr>
          <w:noProof/>
        </w:rPr>
        <w:t xml:space="preserve"> during implementation. Changing guidance on the interpretation of legal concepts in the last year of the instrument’s implementation would cause new legal and practical issues for</w:t>
      </w:r>
      <w:r w:rsidR="00540B41">
        <w:rPr>
          <w:noProof/>
        </w:rPr>
        <w:br/>
      </w:r>
      <w:r w:rsidRPr="00E857AB">
        <w:rPr>
          <w:noProof/>
        </w:rPr>
        <w:t>Member States.</w:t>
      </w:r>
    </w:p>
    <w:p w14:paraId="60C29930" w14:textId="77777777" w:rsidR="005A167C" w:rsidRPr="00E857AB" w:rsidRDefault="005A167C" w:rsidP="001251F9">
      <w:pPr>
        <w:pStyle w:val="Paragraphstyle"/>
        <w:rPr>
          <w:noProof/>
        </w:rPr>
      </w:pPr>
      <w:r w:rsidRPr="00E857AB">
        <w:rPr>
          <w:noProof/>
        </w:rPr>
        <w:t>Horizon Europe</w:t>
      </w:r>
    </w:p>
    <w:p w14:paraId="35D7946E" w14:textId="7FB342F5" w:rsidR="005A167C" w:rsidRPr="0074029F" w:rsidRDefault="50D8C07E" w:rsidP="005A167C">
      <w:pPr>
        <w:rPr>
          <w:noProof/>
          <w:lang w:eastAsia="en-GB"/>
        </w:rPr>
      </w:pPr>
      <w:r w:rsidRPr="4DA4FD56">
        <w:rPr>
          <w:noProof/>
          <w:lang w:eastAsia="en-GB"/>
        </w:rPr>
        <w:t xml:space="preserve">The Commission continued to refine its approach to the implementation of lump sums under Horizon Europe, considering feedback from past pilots, the ECA, and continuing stakeholder engagement as part of its assessment of projects using </w:t>
      </w:r>
      <w:r w:rsidR="005A167C" w:rsidRPr="4DA4FD56">
        <w:rPr>
          <w:noProof/>
          <w:lang w:eastAsia="en-GB"/>
        </w:rPr>
        <w:t>lump</w:t>
      </w:r>
      <w:r w:rsidR="124A982A" w:rsidRPr="4DA4FD56">
        <w:rPr>
          <w:noProof/>
          <w:lang w:eastAsia="en-GB"/>
        </w:rPr>
        <w:t>-</w:t>
      </w:r>
      <w:r w:rsidRPr="4DA4FD56">
        <w:rPr>
          <w:noProof/>
          <w:lang w:eastAsia="en-GB"/>
        </w:rPr>
        <w:t>sum funding</w:t>
      </w:r>
      <w:r w:rsidR="39030E7A" w:rsidRPr="4DA4FD56">
        <w:rPr>
          <w:noProof/>
          <w:lang w:eastAsia="en-GB"/>
        </w:rPr>
        <w:t>.</w:t>
      </w:r>
      <w:r w:rsidR="124A982A" w:rsidRPr="4DA4FD56">
        <w:rPr>
          <w:noProof/>
          <w:lang w:eastAsia="en-GB"/>
        </w:rPr>
        <w:t xml:space="preserve"> </w:t>
      </w:r>
      <w:r w:rsidR="39030E7A" w:rsidRPr="4DA4FD56">
        <w:rPr>
          <w:noProof/>
          <w:lang w:eastAsia="en-GB"/>
        </w:rPr>
        <w:t>T</w:t>
      </w:r>
      <w:r w:rsidR="124A982A" w:rsidRPr="4DA4FD56">
        <w:rPr>
          <w:noProof/>
          <w:lang w:eastAsia="en-GB"/>
        </w:rPr>
        <w:t>his allows</w:t>
      </w:r>
      <w:r w:rsidRPr="4DA4FD56">
        <w:rPr>
          <w:noProof/>
          <w:lang w:eastAsia="en-GB"/>
        </w:rPr>
        <w:t xml:space="preserve"> the Commission to maximise the simplification potential for beneficiaries while focusing controls on beneficiaries</w:t>
      </w:r>
      <w:r w:rsidR="00CA4990">
        <w:rPr>
          <w:noProof/>
          <w:lang w:eastAsia="en-GB"/>
        </w:rPr>
        <w:t>’</w:t>
      </w:r>
      <w:r w:rsidRPr="4DA4FD56">
        <w:rPr>
          <w:noProof/>
          <w:lang w:eastAsia="en-GB"/>
        </w:rPr>
        <w:t xml:space="preserve"> implement</w:t>
      </w:r>
      <w:r w:rsidR="4D36A620" w:rsidRPr="4DA4FD56">
        <w:rPr>
          <w:noProof/>
          <w:lang w:eastAsia="en-GB"/>
        </w:rPr>
        <w:t>ation of funded</w:t>
      </w:r>
      <w:r w:rsidRPr="4DA4FD56">
        <w:rPr>
          <w:noProof/>
          <w:lang w:eastAsia="en-GB"/>
        </w:rPr>
        <w:t xml:space="preserve"> projects in line with the agreed deliverables.</w:t>
      </w:r>
    </w:p>
    <w:p w14:paraId="2A661EBF" w14:textId="77777777" w:rsidR="005A167C" w:rsidRPr="00E857AB" w:rsidRDefault="005A167C" w:rsidP="001251F9">
      <w:pPr>
        <w:pStyle w:val="Paragraphstyle"/>
        <w:rPr>
          <w:noProof/>
        </w:rPr>
      </w:pPr>
      <w:r w:rsidRPr="00E857AB">
        <w:rPr>
          <w:noProof/>
        </w:rPr>
        <w:t>External action</w:t>
      </w:r>
    </w:p>
    <w:p w14:paraId="3025749E" w14:textId="1C6A7BD1" w:rsidR="005A167C" w:rsidRPr="0074029F" w:rsidRDefault="50D8C07E" w:rsidP="005A167C">
      <w:pPr>
        <w:rPr>
          <w:noProof/>
          <w:lang w:eastAsia="en-GB"/>
        </w:rPr>
      </w:pPr>
      <w:r w:rsidRPr="4DA4FD56">
        <w:rPr>
          <w:noProof/>
          <w:lang w:eastAsia="en-GB"/>
        </w:rPr>
        <w:t xml:space="preserve">The Commission accepted the ECA’s recommendations and is following up on its findings. </w:t>
      </w:r>
      <w:r w:rsidR="6C2C1C96" w:rsidRPr="4DA4FD56">
        <w:rPr>
          <w:noProof/>
          <w:lang w:eastAsia="en-GB"/>
        </w:rPr>
        <w:t>As regards the question of whether</w:t>
      </w:r>
      <w:r w:rsidRPr="4DA4FD56">
        <w:rPr>
          <w:noProof/>
          <w:lang w:eastAsia="en-GB"/>
        </w:rPr>
        <w:t xml:space="preserve"> the Commission’s implementing partners should grant </w:t>
      </w:r>
      <w:r w:rsidR="6C2C1C96" w:rsidRPr="4DA4FD56">
        <w:rPr>
          <w:noProof/>
          <w:lang w:eastAsia="en-GB"/>
        </w:rPr>
        <w:t xml:space="preserve">ECA auditors </w:t>
      </w:r>
      <w:r w:rsidRPr="4DA4FD56">
        <w:rPr>
          <w:noProof/>
          <w:lang w:eastAsia="en-GB"/>
        </w:rPr>
        <w:t xml:space="preserve">full access to documents, the Commission constantly facilitates exchanges between the </w:t>
      </w:r>
      <w:r w:rsidR="6C2C1C96" w:rsidRPr="4DA4FD56">
        <w:rPr>
          <w:noProof/>
          <w:lang w:eastAsia="en-GB"/>
        </w:rPr>
        <w:t xml:space="preserve">relevant </w:t>
      </w:r>
      <w:r w:rsidRPr="4DA4FD56">
        <w:rPr>
          <w:noProof/>
          <w:lang w:eastAsia="en-GB"/>
        </w:rPr>
        <w:t xml:space="preserve">entities and the ECA </w:t>
      </w:r>
      <w:r w:rsidR="6C2C1C96" w:rsidRPr="4DA4FD56">
        <w:rPr>
          <w:noProof/>
          <w:lang w:eastAsia="en-GB"/>
        </w:rPr>
        <w:t xml:space="preserve">in order </w:t>
      </w:r>
      <w:r w:rsidRPr="4DA4FD56">
        <w:rPr>
          <w:noProof/>
          <w:lang w:eastAsia="en-GB"/>
        </w:rPr>
        <w:t>to find appropriate solutions</w:t>
      </w:r>
      <w:r w:rsidR="00D86DFB">
        <w:rPr>
          <w:noProof/>
          <w:lang w:eastAsia="en-GB"/>
        </w:rPr>
        <w:t>.</w:t>
      </w:r>
    </w:p>
    <w:p w14:paraId="27F791FD" w14:textId="719F8149" w:rsidR="005A167C" w:rsidRPr="00E857AB" w:rsidRDefault="005A167C" w:rsidP="001251F9">
      <w:pPr>
        <w:pStyle w:val="Paragraphstyle"/>
        <w:rPr>
          <w:noProof/>
        </w:rPr>
      </w:pPr>
      <w:r w:rsidRPr="00E857AB">
        <w:rPr>
          <w:noProof/>
        </w:rPr>
        <w:t>E</w:t>
      </w:r>
      <w:r w:rsidR="00A36EAD">
        <w:rPr>
          <w:noProof/>
        </w:rPr>
        <w:t xml:space="preserve">uropean </w:t>
      </w:r>
      <w:r w:rsidRPr="00E857AB">
        <w:rPr>
          <w:noProof/>
        </w:rPr>
        <w:t>D</w:t>
      </w:r>
      <w:r w:rsidR="00A36EAD">
        <w:rPr>
          <w:noProof/>
        </w:rPr>
        <w:t xml:space="preserve">evelopment </w:t>
      </w:r>
      <w:r w:rsidRPr="00E857AB">
        <w:rPr>
          <w:noProof/>
        </w:rPr>
        <w:t>F</w:t>
      </w:r>
      <w:r w:rsidR="00A36EAD">
        <w:rPr>
          <w:noProof/>
        </w:rPr>
        <w:t>und</w:t>
      </w:r>
    </w:p>
    <w:p w14:paraId="5FA8606A" w14:textId="0280C45B" w:rsidR="005A167C" w:rsidRDefault="005A167C" w:rsidP="00627B51">
      <w:pPr>
        <w:rPr>
          <w:noProof/>
        </w:rPr>
      </w:pPr>
      <w:r w:rsidRPr="00E857AB">
        <w:rPr>
          <w:noProof/>
        </w:rPr>
        <w:t>Parliament notes with concern that the estimated</w:t>
      </w:r>
      <w:r w:rsidR="00CF69F7">
        <w:rPr>
          <w:noProof/>
        </w:rPr>
        <w:t xml:space="preserve"> level of</w:t>
      </w:r>
      <w:r w:rsidRPr="00E857AB">
        <w:rPr>
          <w:noProof/>
        </w:rPr>
        <w:t xml:space="preserve"> error in 2024 is 6.5% (8.9% in 2023). To reduce errors related to </w:t>
      </w:r>
      <w:r w:rsidR="004F30A8" w:rsidRPr="00E857AB">
        <w:rPr>
          <w:noProof/>
        </w:rPr>
        <w:t xml:space="preserve">the </w:t>
      </w:r>
      <w:r w:rsidRPr="00E857AB">
        <w:rPr>
          <w:noProof/>
        </w:rPr>
        <w:t xml:space="preserve">clearing of pre-financing, the Commission has requested its partners to review their reporting templates </w:t>
      </w:r>
      <w:r w:rsidR="00C34F60">
        <w:rPr>
          <w:noProof/>
        </w:rPr>
        <w:t xml:space="preserve">to make it easier to identify </w:t>
      </w:r>
      <w:r w:rsidR="00C34F60" w:rsidRPr="00E857AB">
        <w:rPr>
          <w:noProof/>
        </w:rPr>
        <w:t xml:space="preserve">the expenditure </w:t>
      </w:r>
      <w:r w:rsidRPr="00E857AB" w:rsidDel="00C34F60">
        <w:rPr>
          <w:noProof/>
        </w:rPr>
        <w:t>incurred</w:t>
      </w:r>
      <w:r w:rsidRPr="00E857AB">
        <w:rPr>
          <w:noProof/>
        </w:rPr>
        <w:t>.</w:t>
      </w:r>
    </w:p>
    <w:p w14:paraId="467998F3" w14:textId="50BFA8DE" w:rsidR="000D44B7" w:rsidRPr="0074029F" w:rsidRDefault="00A36EAD" w:rsidP="005A167C">
      <w:pPr>
        <w:rPr>
          <w:noProof/>
        </w:rPr>
      </w:pPr>
      <w:r w:rsidRPr="003D2FF0">
        <w:rPr>
          <w:noProof/>
        </w:rPr>
        <w:t xml:space="preserve">The Commission also reviewed its control strategy and started implementing key </w:t>
      </w:r>
      <w:r w:rsidRPr="001F003F">
        <w:rPr>
          <w:noProof/>
        </w:rPr>
        <w:t>recommendations</w:t>
      </w:r>
      <w:r w:rsidR="001F003F">
        <w:rPr>
          <w:noProof/>
        </w:rPr>
        <w:t xml:space="preserve">, including by </w:t>
      </w:r>
      <w:r w:rsidRPr="001F003F">
        <w:rPr>
          <w:noProof/>
        </w:rPr>
        <w:t>develop</w:t>
      </w:r>
      <w:r w:rsidR="001F003F">
        <w:rPr>
          <w:noProof/>
        </w:rPr>
        <w:t>ing</w:t>
      </w:r>
      <w:r w:rsidRPr="001F003F">
        <w:rPr>
          <w:noProof/>
        </w:rPr>
        <w:t xml:space="preserve"> a risk profiling dashboard to (i)</w:t>
      </w:r>
      <w:r w:rsidRPr="001F003F">
        <w:rPr>
          <w:rFonts w:ascii="Calibri" w:hAnsi="Calibri" w:cs="Calibri"/>
          <w:noProof/>
        </w:rPr>
        <w:t> </w:t>
      </w:r>
      <w:r w:rsidRPr="001F003F">
        <w:rPr>
          <w:noProof/>
        </w:rPr>
        <w:t>measure partners</w:t>
      </w:r>
      <w:r w:rsidRPr="001F003F">
        <w:rPr>
          <w:rFonts w:cs="EC Square Sans Pro"/>
          <w:noProof/>
        </w:rPr>
        <w:t>’</w:t>
      </w:r>
      <w:r w:rsidRPr="001F003F">
        <w:rPr>
          <w:noProof/>
        </w:rPr>
        <w:t xml:space="preserve"> compliance with financial and operational </w:t>
      </w:r>
      <w:r w:rsidRPr="003D2FF0">
        <w:rPr>
          <w:noProof/>
        </w:rPr>
        <w:t>standards and access to documents, (ii)</w:t>
      </w:r>
      <w:r w:rsidRPr="003D2FF0">
        <w:rPr>
          <w:rFonts w:ascii="Calibri" w:hAnsi="Calibri" w:cs="Calibri"/>
          <w:noProof/>
        </w:rPr>
        <w:t> </w:t>
      </w:r>
      <w:r w:rsidRPr="003D2FF0">
        <w:rPr>
          <w:noProof/>
        </w:rPr>
        <w:t>strengthen ex</w:t>
      </w:r>
      <w:r w:rsidRPr="003D2FF0">
        <w:rPr>
          <w:rFonts w:ascii="Calibri" w:hAnsi="Calibri" w:cs="Calibri"/>
          <w:noProof/>
        </w:rPr>
        <w:t> </w:t>
      </w:r>
      <w:r w:rsidRPr="003D2FF0">
        <w:rPr>
          <w:noProof/>
        </w:rPr>
        <w:t>post controls and (iii)</w:t>
      </w:r>
      <w:r w:rsidRPr="003D2FF0">
        <w:rPr>
          <w:rFonts w:ascii="Calibri" w:hAnsi="Calibri" w:cs="Calibri"/>
          <w:noProof/>
        </w:rPr>
        <w:t> </w:t>
      </w:r>
      <w:r w:rsidRPr="003D2FF0">
        <w:rPr>
          <w:noProof/>
        </w:rPr>
        <w:t>improve reporting to the Commission by pillar-assessed organisations.</w:t>
      </w:r>
    </w:p>
    <w:p w14:paraId="439CA776" w14:textId="5575AF6F" w:rsidR="005A167C" w:rsidRPr="00E857AB" w:rsidRDefault="00E96D17" w:rsidP="009F5642">
      <w:pPr>
        <w:pStyle w:val="Headingfollowupreport"/>
        <w:numPr>
          <w:ilvl w:val="0"/>
          <w:numId w:val="6"/>
        </w:numPr>
        <w:rPr>
          <w:noProof/>
        </w:rPr>
      </w:pPr>
      <w:bookmarkStart w:id="51" w:name="_Toc197935748"/>
      <w:bookmarkStart w:id="52" w:name="_Toc1588252437"/>
      <w:bookmarkStart w:id="53" w:name="_Toc1473879059"/>
      <w:bookmarkStart w:id="54" w:name="_Toc1610299933"/>
      <w:bookmarkStart w:id="55" w:name="_Toc761551565"/>
      <w:bookmarkStart w:id="56" w:name="_Toc2015782663"/>
      <w:r>
        <w:rPr>
          <w:noProof/>
        </w:rPr>
        <w:t xml:space="preserve"> </w:t>
      </w:r>
      <w:bookmarkStart w:id="57" w:name="_Toc232587415"/>
      <w:r w:rsidR="005A167C" w:rsidRPr="00E857AB">
        <w:rPr>
          <w:noProof/>
        </w:rPr>
        <w:t>Transparency</w:t>
      </w:r>
      <w:bookmarkEnd w:id="51"/>
      <w:bookmarkEnd w:id="52"/>
      <w:bookmarkEnd w:id="53"/>
      <w:bookmarkEnd w:id="54"/>
      <w:bookmarkEnd w:id="55"/>
      <w:bookmarkEnd w:id="56"/>
      <w:bookmarkEnd w:id="57"/>
    </w:p>
    <w:p w14:paraId="6BD12325" w14:textId="25675DE5" w:rsidR="005A167C" w:rsidRPr="00A03179" w:rsidRDefault="005A167C" w:rsidP="00627B51">
      <w:pPr>
        <w:rPr>
          <w:noProof/>
        </w:rPr>
      </w:pPr>
      <w:r w:rsidRPr="00E857AB">
        <w:rPr>
          <w:noProof/>
        </w:rPr>
        <w:t>The Commission is committed to ensuring a high level of transparency of EU funding by providing extensive publication of funding data in the Financial Transparency System</w:t>
      </w:r>
      <w:r w:rsidRPr="00E857AB" w:rsidDel="00466764">
        <w:rPr>
          <w:noProof/>
        </w:rPr>
        <w:t xml:space="preserve"> </w:t>
      </w:r>
      <w:r w:rsidRPr="00E857AB">
        <w:rPr>
          <w:noProof/>
        </w:rPr>
        <w:t>and the Funding</w:t>
      </w:r>
      <w:r w:rsidRPr="00E857AB" w:rsidDel="00D217EC">
        <w:rPr>
          <w:noProof/>
        </w:rPr>
        <w:t xml:space="preserve"> </w:t>
      </w:r>
      <w:r w:rsidR="00D217EC" w:rsidRPr="00E857AB">
        <w:rPr>
          <w:noProof/>
        </w:rPr>
        <w:t xml:space="preserve">and </w:t>
      </w:r>
      <w:r w:rsidRPr="00E857AB">
        <w:rPr>
          <w:noProof/>
        </w:rPr>
        <w:t>Tenders Portal. In the future, the new Single Gateway portal will provide even more transparency.</w:t>
      </w:r>
    </w:p>
    <w:p w14:paraId="513E3502" w14:textId="77777777" w:rsidR="005A167C" w:rsidRPr="0074029F" w:rsidRDefault="005A167C" w:rsidP="00744578">
      <w:pPr>
        <w:pStyle w:val="Heading2"/>
        <w:rPr>
          <w:noProof/>
        </w:rPr>
      </w:pPr>
      <w:bookmarkStart w:id="58" w:name="_Toc1464481312"/>
      <w:bookmarkStart w:id="59" w:name="_Toc230251254"/>
      <w:r w:rsidRPr="0074029F">
        <w:rPr>
          <w:noProof/>
        </w:rPr>
        <w:t>a. Transparency of EU funding</w:t>
      </w:r>
      <w:bookmarkEnd w:id="58"/>
      <w:bookmarkEnd w:id="59"/>
    </w:p>
    <w:p w14:paraId="0407A4A0" w14:textId="77777777" w:rsidR="002777B4" w:rsidRDefault="005A167C" w:rsidP="00627B51">
      <w:pPr>
        <w:rPr>
          <w:noProof/>
        </w:rPr>
      </w:pPr>
      <w:r w:rsidRPr="00E857AB">
        <w:rPr>
          <w:noProof/>
        </w:rPr>
        <w:t xml:space="preserve">With transparency as a guiding principle, the Commission goes beyond the applicable legal requirements and applies the highest transparency standards among international organisations, helping to demonstrate results achieved with EU funding. </w:t>
      </w:r>
    </w:p>
    <w:p w14:paraId="5A845D39" w14:textId="354BA113" w:rsidR="005A167C" w:rsidRPr="00E857AB" w:rsidRDefault="1CD7E2E7" w:rsidP="00627B51">
      <w:pPr>
        <w:rPr>
          <w:noProof/>
        </w:rPr>
      </w:pPr>
      <w:r w:rsidRPr="4DA4FD56">
        <w:rPr>
          <w:noProof/>
        </w:rPr>
        <w:t>In line with the discharge resolution, calling the Commission to ensure that all grant agreements, including operating grants, respect the necessary requirements related to transparency, traceability and visibility of fund</w:t>
      </w:r>
      <w:r w:rsidR="002B0E7E">
        <w:rPr>
          <w:rStyle w:val="FootnoteReference"/>
          <w:rFonts w:ascii="Times New Roman" w:eastAsia="Times New Roman" w:hAnsi="Times New Roman" w:cs="Times New Roman"/>
          <w:noProof/>
          <w:szCs w:val="24"/>
        </w:rPr>
        <w:footnoteReference w:id="14"/>
      </w:r>
      <w:r w:rsidRPr="4DA4FD56">
        <w:rPr>
          <w:noProof/>
        </w:rPr>
        <w:t xml:space="preserve">, the Commission </w:t>
      </w:r>
      <w:r w:rsidR="50D8C07E" w:rsidRPr="4DA4FD56">
        <w:rPr>
          <w:noProof/>
        </w:rPr>
        <w:t xml:space="preserve">notes that information on the objectives and results of projects implemented by NGOs (including advocacy activities) is already public on the EU Funding </w:t>
      </w:r>
      <w:r w:rsidR="640E0F35" w:rsidRPr="4DA4FD56">
        <w:rPr>
          <w:noProof/>
        </w:rPr>
        <w:t xml:space="preserve">and </w:t>
      </w:r>
      <w:r w:rsidR="50D8C07E" w:rsidRPr="4DA4FD56">
        <w:rPr>
          <w:noProof/>
        </w:rPr>
        <w:t xml:space="preserve">Tenders Portal. In addition, interest representatives that register in the Transparency Register as not representing commercial interests (typically including NGOs) must report </w:t>
      </w:r>
      <w:r w:rsidR="640E0F35" w:rsidRPr="4DA4FD56">
        <w:rPr>
          <w:noProof/>
        </w:rPr>
        <w:t xml:space="preserve">their </w:t>
      </w:r>
      <w:r w:rsidR="50D8C07E" w:rsidRPr="4DA4FD56">
        <w:rPr>
          <w:noProof/>
        </w:rPr>
        <w:t xml:space="preserve">lobbying activities, declare </w:t>
      </w:r>
      <w:r w:rsidR="640E0F35" w:rsidRPr="4DA4FD56">
        <w:rPr>
          <w:noProof/>
        </w:rPr>
        <w:t xml:space="preserve">their </w:t>
      </w:r>
      <w:r w:rsidR="50D8C07E" w:rsidRPr="4DA4FD56">
        <w:rPr>
          <w:noProof/>
        </w:rPr>
        <w:t>main sources of funding, and disclose each contribution above EUR</w:t>
      </w:r>
      <w:r w:rsidR="7332A8E5" w:rsidRPr="4DA4FD56">
        <w:rPr>
          <w:rFonts w:ascii="Calibri" w:hAnsi="Calibri" w:cs="Calibri"/>
          <w:noProof/>
        </w:rPr>
        <w:t> </w:t>
      </w:r>
      <w:r w:rsidR="50D8C07E" w:rsidRPr="4DA4FD56">
        <w:rPr>
          <w:noProof/>
        </w:rPr>
        <w:t>10</w:t>
      </w:r>
      <w:r w:rsidR="7332A8E5" w:rsidRPr="4DA4FD56">
        <w:rPr>
          <w:rFonts w:ascii="Calibri" w:hAnsi="Calibri" w:cs="Calibri"/>
          <w:noProof/>
        </w:rPr>
        <w:t> </w:t>
      </w:r>
      <w:r w:rsidR="50D8C07E" w:rsidRPr="4DA4FD56">
        <w:rPr>
          <w:noProof/>
        </w:rPr>
        <w:t>000 that exceeds 10% of their total budget, including the contributor’s name.</w:t>
      </w:r>
      <w:r w:rsidR="5F3B76FB" w:rsidRPr="4DA4FD56">
        <w:rPr>
          <w:noProof/>
        </w:rPr>
        <w:t xml:space="preserve"> </w:t>
      </w:r>
      <w:r w:rsidR="00D064FE" w:rsidRPr="00A03179">
        <w:rPr>
          <w:noProof/>
        </w:rPr>
        <w:t>The Commission’s propos</w:t>
      </w:r>
      <w:r w:rsidR="00D064FE">
        <w:rPr>
          <w:noProof/>
        </w:rPr>
        <w:t>ed</w:t>
      </w:r>
      <w:r w:rsidR="00D064FE" w:rsidRPr="00A03179">
        <w:rPr>
          <w:noProof/>
        </w:rPr>
        <w:t xml:space="preserve"> Performance Regulation for the 2028-20</w:t>
      </w:r>
      <w:r w:rsidR="00CA4990">
        <w:rPr>
          <w:noProof/>
        </w:rPr>
        <w:t>3</w:t>
      </w:r>
      <w:r w:rsidR="00D064FE" w:rsidRPr="00A03179">
        <w:rPr>
          <w:noProof/>
        </w:rPr>
        <w:t>4 MFF standardise</w:t>
      </w:r>
      <w:r w:rsidR="00D064FE">
        <w:rPr>
          <w:noProof/>
        </w:rPr>
        <w:t>s</w:t>
      </w:r>
      <w:r w:rsidR="00D064FE" w:rsidRPr="00A03179">
        <w:rPr>
          <w:noProof/>
        </w:rPr>
        <w:t xml:space="preserve"> result indicators, which will further improve transparency, as will the planned centralising and expanding of the information available in the future Single Gateway provided for in that Regulation.</w:t>
      </w:r>
      <w:r w:rsidR="004943FB">
        <w:rPr>
          <w:noProof/>
        </w:rPr>
        <w:t xml:space="preserve"> </w:t>
      </w:r>
      <w:r w:rsidR="5BE96C8A" w:rsidRPr="4DA4FD56">
        <w:rPr>
          <w:noProof/>
        </w:rPr>
        <w:t>The Commission reiterates its support for civil society organisations, including through operating grants within the current programming period, in line with the EU Strategy for Civil Society, that recognizes the need for adequate, sustainable and transparent funding for civil society.</w:t>
      </w:r>
    </w:p>
    <w:p w14:paraId="22F94932" w14:textId="4C79A80F" w:rsidR="005A167C" w:rsidRPr="00E857AB" w:rsidRDefault="50D8C07E" w:rsidP="00627B51">
      <w:pPr>
        <w:rPr>
          <w:noProof/>
        </w:rPr>
      </w:pPr>
      <w:r w:rsidRPr="4DA4FD56">
        <w:rPr>
          <w:noProof/>
        </w:rPr>
        <w:t>The Commission has been cooperating with Parliament in the framework of the</w:t>
      </w:r>
      <w:r w:rsidR="44233FB3" w:rsidRPr="4DA4FD56">
        <w:rPr>
          <w:noProof/>
        </w:rPr>
        <w:t xml:space="preserve"> Budgetary Control Committee</w:t>
      </w:r>
      <w:r w:rsidR="00CA4990">
        <w:rPr>
          <w:noProof/>
        </w:rPr>
        <w:t>’s</w:t>
      </w:r>
      <w:r w:rsidRPr="4DA4FD56">
        <w:rPr>
          <w:noProof/>
        </w:rPr>
        <w:t xml:space="preserve"> Scrutiny Working Group on the funding of NGOs and other entities, and </w:t>
      </w:r>
      <w:r w:rsidR="3319B524" w:rsidRPr="4DA4FD56">
        <w:rPr>
          <w:noProof/>
        </w:rPr>
        <w:t xml:space="preserve">has </w:t>
      </w:r>
      <w:r w:rsidRPr="4DA4FD56">
        <w:rPr>
          <w:noProof/>
        </w:rPr>
        <w:t>provided all requested documentation, while respecting the applicable legal framework to protect confidential information.</w:t>
      </w:r>
    </w:p>
    <w:p w14:paraId="0A15CC3C" w14:textId="2ABB5F7C" w:rsidR="008A17F7" w:rsidRDefault="005A167C" w:rsidP="00627B51">
      <w:pPr>
        <w:rPr>
          <w:noProof/>
        </w:rPr>
      </w:pPr>
      <w:r w:rsidRPr="00E857AB">
        <w:rPr>
          <w:noProof/>
        </w:rPr>
        <w:t xml:space="preserve">On transparency under the RRF, the Commission agrees that </w:t>
      </w:r>
      <w:r w:rsidR="00697B5F" w:rsidRPr="00841193">
        <w:rPr>
          <w:noProof/>
        </w:rPr>
        <w:t>‘</w:t>
      </w:r>
      <w:r w:rsidRPr="00841193">
        <w:rPr>
          <w:noProof/>
        </w:rPr>
        <w:t>full and reliable information on the final recipients is essential in order to prevent misuse of funds, detect fraud and ensure equal standards of accountability across all Member States</w:t>
      </w:r>
      <w:r w:rsidR="00697B5F" w:rsidRPr="00841193">
        <w:rPr>
          <w:noProof/>
        </w:rPr>
        <w:t>’</w:t>
      </w:r>
      <w:r w:rsidRPr="00841193">
        <w:rPr>
          <w:rStyle w:val="FootnoteReference"/>
          <w:rFonts w:ascii="Times New Roman" w:hAnsi="Times New Roman" w:cs="Times New Roman"/>
          <w:noProof/>
          <w:szCs w:val="24"/>
        </w:rPr>
        <w:footnoteReference w:id="15"/>
      </w:r>
      <w:r w:rsidRPr="00E857AB">
        <w:rPr>
          <w:i/>
          <w:iCs/>
          <w:noProof/>
        </w:rPr>
        <w:t xml:space="preserve"> </w:t>
      </w:r>
      <w:r w:rsidRPr="00E857AB">
        <w:rPr>
          <w:noProof/>
        </w:rPr>
        <w:t xml:space="preserve">and notes that Parliament </w:t>
      </w:r>
      <w:r w:rsidR="00697B5F" w:rsidRPr="00841193">
        <w:rPr>
          <w:noProof/>
        </w:rPr>
        <w:t>‘</w:t>
      </w:r>
      <w:r w:rsidRPr="00841193">
        <w:rPr>
          <w:noProof/>
        </w:rPr>
        <w:t>will consider all appropriate measures within its prerogatives to ensure compliance, including legal action</w:t>
      </w:r>
      <w:r w:rsidR="00697B5F" w:rsidRPr="00841193">
        <w:rPr>
          <w:noProof/>
        </w:rPr>
        <w:t>’</w:t>
      </w:r>
      <w:r w:rsidRPr="00841193">
        <w:rPr>
          <w:rStyle w:val="FootnoteReference"/>
          <w:rFonts w:ascii="Times New Roman" w:hAnsi="Times New Roman" w:cs="Times New Roman"/>
          <w:iCs/>
          <w:noProof/>
          <w:szCs w:val="24"/>
        </w:rPr>
        <w:footnoteReference w:id="16"/>
      </w:r>
      <w:r w:rsidRPr="00E857AB">
        <w:rPr>
          <w:noProof/>
        </w:rPr>
        <w:t xml:space="preserve">. The Commission </w:t>
      </w:r>
      <w:r w:rsidR="005761B6">
        <w:rPr>
          <w:noProof/>
        </w:rPr>
        <w:t>points out</w:t>
      </w:r>
      <w:r w:rsidR="0008212C" w:rsidRPr="00E857AB">
        <w:rPr>
          <w:noProof/>
        </w:rPr>
        <w:t xml:space="preserve"> </w:t>
      </w:r>
      <w:r w:rsidRPr="00E857AB">
        <w:rPr>
          <w:noProof/>
        </w:rPr>
        <w:t xml:space="preserve">that </w:t>
      </w:r>
      <w:bookmarkStart w:id="60" w:name="_Hlk232079973"/>
      <w:r w:rsidRPr="00E857AB">
        <w:rPr>
          <w:noProof/>
        </w:rPr>
        <w:t xml:space="preserve">it is obliged to implement the instrument as agreed by the co-legislators, including the legal provisions on final recipient reporting, and considers that it has applied these provisions consistently and soundly, in </w:t>
      </w:r>
      <w:r w:rsidR="006740BC" w:rsidRPr="00E857AB">
        <w:rPr>
          <w:noProof/>
        </w:rPr>
        <w:t xml:space="preserve">the </w:t>
      </w:r>
      <w:r w:rsidRPr="00E857AB">
        <w:rPr>
          <w:noProof/>
        </w:rPr>
        <w:t>light of the conditions and legal definitions set by the RRF Regulation.</w:t>
      </w:r>
      <w:bookmarkEnd w:id="60"/>
      <w:r w:rsidRPr="00E857AB">
        <w:rPr>
          <w:noProof/>
        </w:rPr>
        <w:t xml:space="preserve"> </w:t>
      </w:r>
    </w:p>
    <w:p w14:paraId="767BED5A" w14:textId="77777777" w:rsidR="008A17F7" w:rsidRDefault="005A167C" w:rsidP="00627B51">
      <w:pPr>
        <w:rPr>
          <w:noProof/>
        </w:rPr>
      </w:pPr>
      <w:r w:rsidRPr="00E857AB">
        <w:rPr>
          <w:noProof/>
        </w:rPr>
        <w:t>In the discharge procedure, the Commission has highlighted the efforts made to ensure Member States comply with, and go beyond, their obligations. The Commission will continue to strongly encourage Member States to provide additional data and will apply the instruments at its disposal if they fail to comply with the Regulation’s legal requirements</w:t>
      </w:r>
      <w:r w:rsidR="00457581" w:rsidRPr="00E857AB">
        <w:rPr>
          <w:noProof/>
        </w:rPr>
        <w:t xml:space="preserve">. </w:t>
      </w:r>
    </w:p>
    <w:p w14:paraId="6D0C4D73" w14:textId="32A4AC2E" w:rsidR="005A167C" w:rsidRPr="00E857AB" w:rsidRDefault="00105C78" w:rsidP="00627B51">
      <w:pPr>
        <w:rPr>
          <w:noProof/>
        </w:rPr>
      </w:pPr>
      <w:r w:rsidRPr="00E857AB">
        <w:rPr>
          <w:noProof/>
        </w:rPr>
        <w:t xml:space="preserve">As from the next MFF, the Commission </w:t>
      </w:r>
      <w:r w:rsidR="00115875">
        <w:rPr>
          <w:noProof/>
        </w:rPr>
        <w:t>proposals provide for</w:t>
      </w:r>
      <w:r w:rsidRPr="00E857AB">
        <w:rPr>
          <w:noProof/>
        </w:rPr>
        <w:t xml:space="preserve"> publish</w:t>
      </w:r>
      <w:r w:rsidR="00115875">
        <w:rPr>
          <w:noProof/>
        </w:rPr>
        <w:t>ing</w:t>
      </w:r>
      <w:r w:rsidRPr="00E857AB">
        <w:rPr>
          <w:noProof/>
        </w:rPr>
        <w:t xml:space="preserve"> information on recipients of </w:t>
      </w:r>
      <w:r w:rsidR="008A17F7">
        <w:rPr>
          <w:noProof/>
        </w:rPr>
        <w:t>EU</w:t>
      </w:r>
      <w:r w:rsidRPr="00E857AB">
        <w:rPr>
          <w:noProof/>
        </w:rPr>
        <w:t xml:space="preserve"> funding under all management modes on the centralised website ‘Single Gateway’ (including the enhanced </w:t>
      </w:r>
      <w:r w:rsidR="00466764">
        <w:rPr>
          <w:noProof/>
        </w:rPr>
        <w:t>Financial Transparency System</w:t>
      </w:r>
      <w:r w:rsidRPr="00E857AB">
        <w:rPr>
          <w:noProof/>
        </w:rPr>
        <w:t>)</w:t>
      </w:r>
      <w:r w:rsidR="006867B7" w:rsidRPr="00E857AB">
        <w:rPr>
          <w:rStyle w:val="FootnoteReference"/>
          <w:rFonts w:ascii="Times New Roman" w:hAnsi="Times New Roman" w:cs="Times New Roman"/>
          <w:noProof/>
          <w:szCs w:val="24"/>
        </w:rPr>
        <w:footnoteReference w:id="17"/>
      </w:r>
      <w:r w:rsidRPr="00E857AB">
        <w:rPr>
          <w:noProof/>
        </w:rPr>
        <w:t xml:space="preserve">. Under the </w:t>
      </w:r>
      <w:r w:rsidR="00115875">
        <w:rPr>
          <w:noProof/>
        </w:rPr>
        <w:t xml:space="preserve">Commission proposal for the </w:t>
      </w:r>
      <w:r w:rsidRPr="00E857AB">
        <w:rPr>
          <w:noProof/>
        </w:rPr>
        <w:t>NRPP</w:t>
      </w:r>
      <w:r w:rsidR="0042282D">
        <w:rPr>
          <w:noProof/>
        </w:rPr>
        <w:t>s</w:t>
      </w:r>
      <w:r w:rsidRPr="00E857AB">
        <w:rPr>
          <w:noProof/>
        </w:rPr>
        <w:t>, information on beneficiaries, final recipients, contractors</w:t>
      </w:r>
      <w:r w:rsidR="00FA006D">
        <w:rPr>
          <w:noProof/>
        </w:rPr>
        <w:t>,</w:t>
      </w:r>
      <w:r w:rsidRPr="00E857AB">
        <w:rPr>
          <w:noProof/>
        </w:rPr>
        <w:t xml:space="preserve"> and sub-contractors </w:t>
      </w:r>
      <w:r w:rsidR="00926509">
        <w:rPr>
          <w:noProof/>
        </w:rPr>
        <w:t>will</w:t>
      </w:r>
      <w:r w:rsidRPr="00E857AB">
        <w:rPr>
          <w:noProof/>
        </w:rPr>
        <w:t xml:space="preserve"> be published both at national and EU level in the Single Gateway</w:t>
      </w:r>
      <w:r w:rsidR="000929A6" w:rsidRPr="00E857AB">
        <w:rPr>
          <w:rStyle w:val="FootnoteReference"/>
          <w:rFonts w:ascii="Times New Roman" w:hAnsi="Times New Roman" w:cs="Times New Roman"/>
          <w:noProof/>
          <w:szCs w:val="24"/>
        </w:rPr>
        <w:footnoteReference w:id="18"/>
      </w:r>
      <w:r w:rsidRPr="00E857AB">
        <w:rPr>
          <w:noProof/>
        </w:rPr>
        <w:t>.</w:t>
      </w:r>
    </w:p>
    <w:p w14:paraId="0C041A29" w14:textId="77777777" w:rsidR="005A167C" w:rsidRPr="0074029F" w:rsidRDefault="005A167C" w:rsidP="00744578">
      <w:pPr>
        <w:pStyle w:val="Heading2"/>
        <w:rPr>
          <w:noProof/>
        </w:rPr>
      </w:pPr>
      <w:bookmarkStart w:id="61" w:name="_Toc1654189501"/>
      <w:bookmarkStart w:id="62" w:name="_Toc230251255"/>
      <w:r w:rsidRPr="0074029F">
        <w:rPr>
          <w:noProof/>
        </w:rPr>
        <w:t>b. The Commission’s own transparency and accountability</w:t>
      </w:r>
      <w:bookmarkEnd w:id="61"/>
      <w:bookmarkEnd w:id="62"/>
    </w:p>
    <w:p w14:paraId="146C413B" w14:textId="02E38224" w:rsidR="005A167C" w:rsidRPr="00E857AB" w:rsidRDefault="005A167C" w:rsidP="00627B51">
      <w:pPr>
        <w:rPr>
          <w:noProof/>
        </w:rPr>
      </w:pPr>
      <w:r w:rsidRPr="00E857AB">
        <w:rPr>
          <w:noProof/>
        </w:rPr>
        <w:t xml:space="preserve">The Commission upholds the highest transparency standards across its activities and decision-making. Commission staff are subject to rules on records management and archives, </w:t>
      </w:r>
      <w:r w:rsidR="00AA694D" w:rsidRPr="00E857AB">
        <w:rPr>
          <w:noProof/>
        </w:rPr>
        <w:t xml:space="preserve">and </w:t>
      </w:r>
      <w:r w:rsidRPr="00E857AB">
        <w:rPr>
          <w:noProof/>
        </w:rPr>
        <w:t>security recommendations for the acceptable use of public instant messaging applications and any other corporate communication tool. In this regard, the Commission ensures compliance with the EU’s rules on public access to documents, including text messages (registration of work-related communications).</w:t>
      </w:r>
    </w:p>
    <w:p w14:paraId="180F3FF7" w14:textId="2321E484" w:rsidR="005A167C" w:rsidRPr="00E857AB" w:rsidRDefault="005A167C" w:rsidP="00627B51">
      <w:pPr>
        <w:rPr>
          <w:noProof/>
        </w:rPr>
      </w:pPr>
      <w:r w:rsidRPr="00E857AB">
        <w:rPr>
          <w:noProof/>
        </w:rPr>
        <w:t xml:space="preserve">Senior officials, like all staff, are bound by </w:t>
      </w:r>
      <w:r w:rsidR="00AA694D" w:rsidRPr="00E857AB">
        <w:rPr>
          <w:noProof/>
        </w:rPr>
        <w:t xml:space="preserve">the obligations of the </w:t>
      </w:r>
      <w:r w:rsidRPr="00E857AB">
        <w:rPr>
          <w:noProof/>
        </w:rPr>
        <w:t>Staff Regulation</w:t>
      </w:r>
      <w:r w:rsidR="00AA694D" w:rsidRPr="00E857AB">
        <w:rPr>
          <w:noProof/>
        </w:rPr>
        <w:t>s</w:t>
      </w:r>
      <w:r w:rsidRPr="00E857AB">
        <w:rPr>
          <w:noProof/>
        </w:rPr>
        <w:t>, including on ethics and integrity (</w:t>
      </w:r>
      <w:r w:rsidR="0082382D" w:rsidRPr="00E857AB">
        <w:rPr>
          <w:noProof/>
        </w:rPr>
        <w:t>e.g.</w:t>
      </w:r>
      <w:r w:rsidRPr="00E857AB">
        <w:rPr>
          <w:noProof/>
        </w:rPr>
        <w:t xml:space="preserve"> ad hoc conflicts</w:t>
      </w:r>
      <w:r w:rsidR="000A2974">
        <w:rPr>
          <w:noProof/>
        </w:rPr>
        <w:t>-</w:t>
      </w:r>
      <w:r w:rsidRPr="00E857AB">
        <w:rPr>
          <w:noProof/>
        </w:rPr>
        <w:t>of</w:t>
      </w:r>
      <w:r w:rsidR="000A2974">
        <w:rPr>
          <w:noProof/>
        </w:rPr>
        <w:t>-</w:t>
      </w:r>
      <w:r w:rsidRPr="00E857AB">
        <w:rPr>
          <w:noProof/>
        </w:rPr>
        <w:t>interest declarations, spouse employment declarations</w:t>
      </w:r>
      <w:r w:rsidR="003113E1">
        <w:rPr>
          <w:noProof/>
        </w:rPr>
        <w:t>,</w:t>
      </w:r>
      <w:r w:rsidRPr="00E857AB">
        <w:rPr>
          <w:noProof/>
        </w:rPr>
        <w:t xml:space="preserve"> or </w:t>
      </w:r>
      <w:r w:rsidR="000A2974">
        <w:rPr>
          <w:noProof/>
        </w:rPr>
        <w:t xml:space="preserve">requests for approval of </w:t>
      </w:r>
      <w:r w:rsidRPr="00E857AB">
        <w:rPr>
          <w:noProof/>
        </w:rPr>
        <w:t>outside activities). T</w:t>
      </w:r>
      <w:r w:rsidRPr="00E857AB">
        <w:rPr>
          <w:rFonts w:eastAsia="Calibri"/>
          <w:noProof/>
        </w:rPr>
        <w:t>he Commission provides information, training and advice on ethics matters to support staff and managers in meeting their obligations.</w:t>
      </w:r>
      <w:r w:rsidRPr="00E857AB">
        <w:rPr>
          <w:noProof/>
        </w:rPr>
        <w:t xml:space="preserve"> Transparency Register obligations apply to all managers, who must disclose their meetings with interest representatives listed in the Register.</w:t>
      </w:r>
    </w:p>
    <w:p w14:paraId="1C159DCE" w14:textId="77777777" w:rsidR="005A167C" w:rsidRPr="00F32FB4" w:rsidRDefault="005A167C" w:rsidP="005A167C">
      <w:pPr>
        <w:rPr>
          <w:rStyle w:val="Hyperlink"/>
          <w:noProof/>
        </w:rPr>
      </w:pPr>
      <w:r w:rsidRPr="00627B51">
        <w:rPr>
          <w:noProof/>
        </w:rPr>
        <w:t>The names and mandates of Special Advisers attached to each Member of the Commission are publicly available on the</w:t>
      </w:r>
      <w:r w:rsidRPr="00E857AB">
        <w:rPr>
          <w:rFonts w:ascii="Times New Roman" w:hAnsi="Times New Roman" w:cs="Times New Roman"/>
          <w:noProof/>
          <w:szCs w:val="24"/>
        </w:rPr>
        <w:t xml:space="preserve"> </w:t>
      </w:r>
      <w:hyperlink r:id="rId27" w:anchor="currentlistofdesignatedspecialadvisers" w:history="1">
        <w:r w:rsidRPr="00627B51">
          <w:rPr>
            <w:rStyle w:val="Hyperlink"/>
            <w:noProof/>
          </w:rPr>
          <w:t>Commission website</w:t>
        </w:r>
      </w:hyperlink>
      <w:r w:rsidRPr="00627B51">
        <w:rPr>
          <w:rStyle w:val="Hyperlink"/>
          <w:noProof/>
        </w:rPr>
        <w:fldChar w:fldCharType="begin"/>
      </w:r>
      <w:r w:rsidRPr="00627B51">
        <w:rPr>
          <w:rStyle w:val="Hyperlink"/>
          <w:noProof/>
        </w:rPr>
        <w:fldChar w:fldCharType="separate"/>
      </w:r>
      <w:r w:rsidRPr="00627B51">
        <w:rPr>
          <w:rStyle w:val="Hyperlink"/>
          <w:noProof/>
        </w:rPr>
        <w:t>Commission website</w:t>
      </w:r>
      <w:r w:rsidRPr="00627B51">
        <w:rPr>
          <w:rStyle w:val="Hyperlink"/>
          <w:noProof/>
        </w:rPr>
        <w:fldChar w:fldCharType="end"/>
      </w:r>
      <w:r w:rsidRPr="00627B51">
        <w:rPr>
          <w:rStyle w:val="Hyperlink"/>
          <w:noProof/>
        </w:rPr>
        <w:t>.</w:t>
      </w:r>
    </w:p>
    <w:p w14:paraId="0453AEB9" w14:textId="726E1DC6" w:rsidR="005A167C" w:rsidRPr="00E857AB" w:rsidRDefault="08E97DC0" w:rsidP="00627B51">
      <w:pPr>
        <w:rPr>
          <w:noProof/>
        </w:rPr>
      </w:pPr>
      <w:r w:rsidRPr="00A03179">
        <w:rPr>
          <w:noProof/>
        </w:rPr>
        <w:t>The Commission</w:t>
      </w:r>
      <w:r w:rsidRPr="4DA4FD56">
        <w:rPr>
          <w:noProof/>
        </w:rPr>
        <w:t xml:space="preserve"> takes note of Parliament’s concerns regarding the functioning and effectiveness of the formal harassment procedure. Under the auspices of the Chief Confidential Counsellor, the Commission will involve independent experts as a complement to the review already launched by the Commission </w:t>
      </w:r>
      <w:r w:rsidR="494611B8" w:rsidRPr="4DA4FD56">
        <w:rPr>
          <w:noProof/>
        </w:rPr>
        <w:t>on the implementation of its anti-harassment policy</w:t>
      </w:r>
      <w:r w:rsidR="00C33EBA">
        <w:rPr>
          <w:rStyle w:val="FootnoteReference"/>
          <w:rFonts w:ascii="Times New Roman" w:hAnsi="Times New Roman" w:cs="Times New Roman"/>
          <w:noProof/>
          <w:szCs w:val="24"/>
        </w:rPr>
        <w:footnoteReference w:id="19"/>
      </w:r>
      <w:r w:rsidR="00D64B46">
        <w:rPr>
          <w:noProof/>
        </w:rPr>
        <w:t xml:space="preserve">. </w:t>
      </w:r>
      <w:r w:rsidR="494611B8" w:rsidRPr="4DA4FD56">
        <w:rPr>
          <w:noProof/>
        </w:rPr>
        <w:t>More broadly, the Commission will continue its efforts to ensure a safe environment for</w:t>
      </w:r>
      <w:r w:rsidR="58B3F360" w:rsidRPr="4DA4FD56">
        <w:rPr>
          <w:noProof/>
        </w:rPr>
        <w:t xml:space="preserve"> reporting, including by strengthening awareness, accessibility, and trust in the available channels, and, in the context of the ongoing review of the Whistleblowing Guidelines, will seek to align them as closely as possible with the standards set out in Directive (EU) 2019/1937</w:t>
      </w:r>
      <w:r w:rsidR="31390C08" w:rsidRPr="4DA4FD56">
        <w:rPr>
          <w:noProof/>
        </w:rPr>
        <w:t>.</w:t>
      </w:r>
    </w:p>
    <w:p w14:paraId="19629C3E" w14:textId="1ED81ADB" w:rsidR="005A167C" w:rsidRPr="00E857AB" w:rsidRDefault="00E96D17" w:rsidP="009F5642">
      <w:pPr>
        <w:pStyle w:val="Headingfollowupreport"/>
        <w:numPr>
          <w:ilvl w:val="0"/>
          <w:numId w:val="6"/>
        </w:numPr>
        <w:rPr>
          <w:noProof/>
        </w:rPr>
      </w:pPr>
      <w:bookmarkStart w:id="63" w:name="_Toc229438405"/>
      <w:bookmarkStart w:id="64" w:name="_Toc802350645"/>
      <w:bookmarkStart w:id="65" w:name="_Toc1683862158"/>
      <w:bookmarkStart w:id="66" w:name="_Toc1326667316"/>
      <w:bookmarkStart w:id="67" w:name="_Toc579726009"/>
      <w:r>
        <w:rPr>
          <w:noProof/>
        </w:rPr>
        <w:t xml:space="preserve"> </w:t>
      </w:r>
      <w:bookmarkStart w:id="68" w:name="_Toc232587416"/>
      <w:r w:rsidR="005A167C" w:rsidRPr="00E857AB">
        <w:rPr>
          <w:noProof/>
        </w:rPr>
        <w:t>Sustainability of debt</w:t>
      </w:r>
      <w:bookmarkEnd w:id="63"/>
      <w:bookmarkEnd w:id="64"/>
      <w:bookmarkEnd w:id="65"/>
      <w:bookmarkEnd w:id="66"/>
      <w:bookmarkEnd w:id="67"/>
      <w:bookmarkEnd w:id="68"/>
    </w:p>
    <w:p w14:paraId="7710B05D" w14:textId="5D9ED1E3" w:rsidR="005A167C" w:rsidRPr="00E857AB" w:rsidRDefault="005A167C" w:rsidP="00627B51">
      <w:pPr>
        <w:rPr>
          <w:noProof/>
        </w:rPr>
      </w:pPr>
      <w:bookmarkStart w:id="69" w:name="_Toc197935749"/>
      <w:r w:rsidRPr="00E857AB">
        <w:rPr>
          <w:noProof/>
        </w:rPr>
        <w:t xml:space="preserve">The Commission agrees that </w:t>
      </w:r>
      <w:r w:rsidR="00697B5F" w:rsidRPr="00841193">
        <w:rPr>
          <w:noProof/>
        </w:rPr>
        <w:t>‘</w:t>
      </w:r>
      <w:r w:rsidRPr="00841193">
        <w:rPr>
          <w:noProof/>
        </w:rPr>
        <w:t>the sustainability of Union debt must be factored into all future budgetary decisions</w:t>
      </w:r>
      <w:r w:rsidR="00697B5F" w:rsidRPr="00841193">
        <w:rPr>
          <w:noProof/>
        </w:rPr>
        <w:t>’</w:t>
      </w:r>
      <w:r w:rsidRPr="00841193">
        <w:rPr>
          <w:rStyle w:val="FootnoteReference"/>
          <w:rFonts w:ascii="Times New Roman" w:hAnsi="Times New Roman" w:cs="Times New Roman"/>
          <w:iCs/>
          <w:noProof/>
          <w:szCs w:val="24"/>
        </w:rPr>
        <w:footnoteReference w:id="20"/>
      </w:r>
      <w:r w:rsidRPr="00E857AB">
        <w:rPr>
          <w:noProof/>
        </w:rPr>
        <w:t xml:space="preserve">. The timeline for debt repayment related to non-repayable support under </w:t>
      </w:r>
      <w:r w:rsidR="000A2974" w:rsidRPr="00E857AB">
        <w:rPr>
          <w:noProof/>
        </w:rPr>
        <w:t>NextGenerationEU</w:t>
      </w:r>
      <w:r w:rsidR="000A2974" w:rsidRPr="00E857AB" w:rsidDel="000A2974">
        <w:rPr>
          <w:noProof/>
        </w:rPr>
        <w:t xml:space="preserve"> </w:t>
      </w:r>
      <w:r w:rsidRPr="00E857AB">
        <w:rPr>
          <w:noProof/>
        </w:rPr>
        <w:t>runs until 2058, giving the EU an extended period to manage repayments without significant disruptions or compromising financial stability. Pursuant to Article</w:t>
      </w:r>
      <w:r w:rsidR="00697B5F" w:rsidRPr="00E857AB">
        <w:rPr>
          <w:rFonts w:ascii="Calibri" w:hAnsi="Calibri" w:cs="Calibri"/>
          <w:noProof/>
        </w:rPr>
        <w:t> </w:t>
      </w:r>
      <w:r w:rsidRPr="00E857AB">
        <w:rPr>
          <w:noProof/>
        </w:rPr>
        <w:t xml:space="preserve">256 of </w:t>
      </w:r>
      <w:r w:rsidR="00AA694D" w:rsidRPr="00E857AB">
        <w:rPr>
          <w:noProof/>
        </w:rPr>
        <w:t xml:space="preserve">the </w:t>
      </w:r>
      <w:r w:rsidRPr="00E857AB">
        <w:rPr>
          <w:noProof/>
        </w:rPr>
        <w:t>Financial Regulation, the Commission issues an annual report assessing the sustainability of contingent liabilities and EU budget headroom, supporting the monitoring of budgetary sustainability.</w:t>
      </w:r>
    </w:p>
    <w:p w14:paraId="12CD2FA9" w14:textId="464F9CA2" w:rsidR="005A167C" w:rsidRPr="0074029F" w:rsidRDefault="005A167C" w:rsidP="005A167C">
      <w:pPr>
        <w:rPr>
          <w:noProof/>
        </w:rPr>
      </w:pPr>
      <w:r w:rsidRPr="00E857AB">
        <w:rPr>
          <w:noProof/>
        </w:rPr>
        <w:t xml:space="preserve">The Commission welcomes Parliament’s endorsement of its proposals for new own resources and agrees that </w:t>
      </w:r>
      <w:r w:rsidR="00697B5F" w:rsidRPr="00841193">
        <w:rPr>
          <w:noProof/>
        </w:rPr>
        <w:t>‘</w:t>
      </w:r>
      <w:r w:rsidRPr="00841193">
        <w:rPr>
          <w:noProof/>
        </w:rPr>
        <w:t>the development of genuine new own resources is essential to prevent debt servicing costs from crowding out priorities under future multiannual financial frameworks</w:t>
      </w:r>
      <w:r w:rsidR="00697B5F" w:rsidRPr="00841193">
        <w:rPr>
          <w:noProof/>
        </w:rPr>
        <w:t>’</w:t>
      </w:r>
      <w:r w:rsidRPr="00841193">
        <w:rPr>
          <w:rStyle w:val="FootnoteReference"/>
          <w:rFonts w:ascii="Times New Roman" w:hAnsi="Times New Roman" w:cs="Times New Roman"/>
          <w:iCs/>
          <w:noProof/>
          <w:szCs w:val="24"/>
        </w:rPr>
        <w:footnoteReference w:id="21"/>
      </w:r>
      <w:r w:rsidRPr="00E857AB">
        <w:rPr>
          <w:noProof/>
        </w:rPr>
        <w:t>. Introducing new own resources requires political will and engagement from all sides. The Commission proposal</w:t>
      </w:r>
      <w:r w:rsidR="000A2974">
        <w:rPr>
          <w:noProof/>
        </w:rPr>
        <w:t>s</w:t>
      </w:r>
      <w:r w:rsidRPr="00E857AB">
        <w:rPr>
          <w:noProof/>
        </w:rPr>
        <w:t xml:space="preserve"> include a fixed annual debt service amount. </w:t>
      </w:r>
      <w:r w:rsidR="000A2974" w:rsidRPr="00E857AB">
        <w:rPr>
          <w:noProof/>
        </w:rPr>
        <w:t>NextGenerationEU</w:t>
      </w:r>
      <w:r w:rsidR="000A2974" w:rsidRPr="00E857AB" w:rsidDel="000A2974">
        <w:rPr>
          <w:noProof/>
        </w:rPr>
        <w:t xml:space="preserve"> </w:t>
      </w:r>
      <w:r w:rsidRPr="00E857AB">
        <w:rPr>
          <w:noProof/>
        </w:rPr>
        <w:t>repayment will be kept under the ceilings of the financial framework. Interest rate risk will be very limited as of 2028, as there will be no new net issuance after 2026, and the annual fixed debt service amount ensures full predictability.</w:t>
      </w:r>
    </w:p>
    <w:p w14:paraId="64AA0EB4" w14:textId="638AFBC1" w:rsidR="005A167C" w:rsidRPr="00E857AB" w:rsidRDefault="00E96D17" w:rsidP="009F5642">
      <w:pPr>
        <w:pStyle w:val="Headingfollowupreport"/>
        <w:numPr>
          <w:ilvl w:val="0"/>
          <w:numId w:val="6"/>
        </w:numPr>
        <w:rPr>
          <w:noProof/>
        </w:rPr>
      </w:pPr>
      <w:bookmarkStart w:id="70" w:name="_Toc197935751"/>
      <w:bookmarkStart w:id="71" w:name="_Toc51910756"/>
      <w:bookmarkStart w:id="72" w:name="_Toc2075650911"/>
      <w:bookmarkStart w:id="73" w:name="_Toc1197455354"/>
      <w:bookmarkStart w:id="74" w:name="_Toc1712579953"/>
      <w:bookmarkStart w:id="75" w:name="_Toc1307389539"/>
      <w:bookmarkEnd w:id="69"/>
      <w:r>
        <w:rPr>
          <w:noProof/>
        </w:rPr>
        <w:t xml:space="preserve"> </w:t>
      </w:r>
      <w:bookmarkStart w:id="76" w:name="_Toc232587417"/>
      <w:r w:rsidR="005A167C" w:rsidRPr="00E857AB">
        <w:rPr>
          <w:noProof/>
        </w:rPr>
        <w:t>Looking ahead</w:t>
      </w:r>
      <w:bookmarkEnd w:id="70"/>
      <w:bookmarkEnd w:id="71"/>
      <w:bookmarkEnd w:id="72"/>
      <w:bookmarkEnd w:id="73"/>
      <w:bookmarkEnd w:id="74"/>
      <w:bookmarkEnd w:id="75"/>
      <w:bookmarkEnd w:id="76"/>
    </w:p>
    <w:p w14:paraId="6B0304F3" w14:textId="33FDFFA6" w:rsidR="005A167C" w:rsidRPr="00E857AB" w:rsidRDefault="005A167C" w:rsidP="00627B51">
      <w:pPr>
        <w:rPr>
          <w:noProof/>
        </w:rPr>
      </w:pPr>
      <w:r w:rsidRPr="00E857AB">
        <w:rPr>
          <w:noProof/>
        </w:rPr>
        <w:t>In July 2025, the Commission presented its proposal for an ambitious, agile and forward-looking 2028-2034 MFF. It builds on the strengths</w:t>
      </w:r>
      <w:r w:rsidR="004A3B8D" w:rsidRPr="00E857AB">
        <w:rPr>
          <w:noProof/>
        </w:rPr>
        <w:t xml:space="preserve"> and </w:t>
      </w:r>
      <w:r w:rsidRPr="00E857AB">
        <w:rPr>
          <w:noProof/>
        </w:rPr>
        <w:t>fundamental principles</w:t>
      </w:r>
      <w:r w:rsidR="004A3B8D" w:rsidRPr="00E857AB">
        <w:rPr>
          <w:noProof/>
        </w:rPr>
        <w:t xml:space="preserve"> of the current framework</w:t>
      </w:r>
      <w:r w:rsidRPr="00E857AB">
        <w:rPr>
          <w:noProof/>
        </w:rPr>
        <w:t xml:space="preserve">, and </w:t>
      </w:r>
      <w:r w:rsidR="004A3B8D" w:rsidRPr="00E857AB">
        <w:rPr>
          <w:noProof/>
        </w:rPr>
        <w:t xml:space="preserve">the </w:t>
      </w:r>
      <w:r w:rsidRPr="00E857AB">
        <w:rPr>
          <w:noProof/>
        </w:rPr>
        <w:t xml:space="preserve">lessons learned </w:t>
      </w:r>
      <w:r w:rsidR="004A3B8D" w:rsidRPr="00E857AB">
        <w:rPr>
          <w:noProof/>
        </w:rPr>
        <w:t>from it</w:t>
      </w:r>
      <w:r w:rsidRPr="00E857AB">
        <w:rPr>
          <w:noProof/>
        </w:rPr>
        <w:t>, while making it simpler, more flexible and more impactful</w:t>
      </w:r>
      <w:r w:rsidRPr="00E857AB">
        <w:rPr>
          <w:rStyle w:val="FootnoteReference"/>
          <w:rFonts w:ascii="Times New Roman" w:hAnsi="Times New Roman" w:cs="Times New Roman"/>
          <w:noProof/>
          <w:szCs w:val="24"/>
        </w:rPr>
        <w:footnoteReference w:id="22"/>
      </w:r>
      <w:r w:rsidR="00697B5F" w:rsidRPr="00E857AB">
        <w:rPr>
          <w:noProof/>
        </w:rPr>
        <w:t>,</w:t>
      </w:r>
      <w:r w:rsidRPr="00E857AB">
        <w:rPr>
          <w:noProof/>
        </w:rPr>
        <w:t xml:space="preserve"> and takes into account recommendations from Parliament, </w:t>
      </w:r>
      <w:r w:rsidR="004A3B8D" w:rsidRPr="00E857AB">
        <w:rPr>
          <w:noProof/>
        </w:rPr>
        <w:t xml:space="preserve">the </w:t>
      </w:r>
      <w:r w:rsidRPr="00E857AB">
        <w:rPr>
          <w:noProof/>
        </w:rPr>
        <w:t>Council and the ECA in the context of the discharge.</w:t>
      </w:r>
    </w:p>
    <w:p w14:paraId="0D1846BF" w14:textId="270A795C" w:rsidR="005A167C" w:rsidRPr="0074029F" w:rsidRDefault="005A167C" w:rsidP="005A167C">
      <w:pPr>
        <w:rPr>
          <w:noProof/>
        </w:rPr>
      </w:pPr>
      <w:r w:rsidRPr="00E857AB">
        <w:rPr>
          <w:noProof/>
        </w:rPr>
        <w:t>Robust governance, transparency</w:t>
      </w:r>
      <w:r w:rsidR="003113E1">
        <w:rPr>
          <w:noProof/>
        </w:rPr>
        <w:t>,</w:t>
      </w:r>
      <w:r w:rsidRPr="00E857AB">
        <w:rPr>
          <w:noProof/>
        </w:rPr>
        <w:t xml:space="preserve"> and strong political oversight</w:t>
      </w:r>
      <w:r w:rsidR="004A3B8D" w:rsidRPr="00E857AB">
        <w:rPr>
          <w:noProof/>
        </w:rPr>
        <w:t xml:space="preserve"> </w:t>
      </w:r>
      <w:r w:rsidRPr="00E857AB">
        <w:rPr>
          <w:noProof/>
        </w:rPr>
        <w:t xml:space="preserve">are integral to every part of these proposals. The Commission is working closely with Parliament and </w:t>
      </w:r>
      <w:r w:rsidR="004A3B8D" w:rsidRPr="00E857AB">
        <w:rPr>
          <w:noProof/>
        </w:rPr>
        <w:t xml:space="preserve">the </w:t>
      </w:r>
      <w:r w:rsidRPr="00E857AB">
        <w:rPr>
          <w:noProof/>
        </w:rPr>
        <w:t>Council to achieve an ambitious, balanced</w:t>
      </w:r>
      <w:r w:rsidR="003113E1">
        <w:rPr>
          <w:noProof/>
        </w:rPr>
        <w:t>,</w:t>
      </w:r>
      <w:r w:rsidRPr="00E857AB">
        <w:rPr>
          <w:noProof/>
        </w:rPr>
        <w:t xml:space="preserve"> and timely agreement on the</w:t>
      </w:r>
      <w:r w:rsidRPr="00E857AB">
        <w:rPr>
          <w:rFonts w:ascii="Calibri" w:hAnsi="Calibri" w:cs="Calibri"/>
          <w:noProof/>
        </w:rPr>
        <w:t> </w:t>
      </w:r>
      <w:r w:rsidRPr="00E857AB">
        <w:rPr>
          <w:noProof/>
        </w:rPr>
        <w:t>next MFF and sectoral programmes.</w:t>
      </w:r>
    </w:p>
    <w:bookmarkEnd w:id="1"/>
    <w:p w14:paraId="7D4F6C3C" w14:textId="0E0B78F3" w:rsidR="005A167C" w:rsidRPr="0074029F" w:rsidRDefault="005A167C" w:rsidP="00E42C78">
      <w:pPr>
        <w:pStyle w:val="ListParagraph"/>
        <w:rPr>
          <w:rFonts w:cs="Times New Roman"/>
          <w:noProof/>
        </w:rPr>
      </w:pPr>
      <w:r w:rsidRPr="0074029F">
        <w:rPr>
          <w:rFonts w:cs="Times New Roman"/>
          <w:noProof/>
        </w:rPr>
        <w:t>* * *</w:t>
      </w:r>
    </w:p>
    <w:sectPr w:rsidR="005A167C" w:rsidRPr="0074029F" w:rsidSect="005B45D3">
      <w:headerReference w:type="default" r:id="rId28"/>
      <w:footerReference w:type="default" r:id="rId29"/>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32F2D6" w14:textId="77777777" w:rsidR="00A33807" w:rsidRPr="00697B5F" w:rsidRDefault="00A33807" w:rsidP="00E42C78">
      <w:r w:rsidRPr="00697B5F">
        <w:separator/>
      </w:r>
    </w:p>
  </w:endnote>
  <w:endnote w:type="continuationSeparator" w:id="0">
    <w:p w14:paraId="3BDC0209" w14:textId="77777777" w:rsidR="00A33807" w:rsidRPr="00697B5F" w:rsidRDefault="00A33807" w:rsidP="00E42C78">
      <w:r w:rsidRPr="00697B5F">
        <w:continuationSeparator/>
      </w:r>
    </w:p>
  </w:endnote>
  <w:endnote w:type="continuationNotice" w:id="1">
    <w:p w14:paraId="73108ED4" w14:textId="77777777" w:rsidR="00A33807" w:rsidRPr="00697B5F" w:rsidRDefault="00A33807" w:rsidP="00E42C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61F87" w14:textId="5D60B56C" w:rsidR="00CB400E" w:rsidRPr="00CB400E" w:rsidRDefault="00CB400E" w:rsidP="00CB400E">
    <w:pPr>
      <w:pStyle w:val="FooterCoverPage"/>
      <w:rPr>
        <w:rFonts w:ascii="Arial" w:hAnsi="Arial" w:cs="Arial"/>
        <w:b/>
        <w:sz w:val="48"/>
      </w:rPr>
    </w:pPr>
    <w:r w:rsidRPr="00CB400E">
      <w:rPr>
        <w:rFonts w:ascii="Arial" w:hAnsi="Arial" w:cs="Arial"/>
        <w:b/>
        <w:sz w:val="48"/>
      </w:rPr>
      <w:t>EN</w:t>
    </w:r>
    <w:r w:rsidRPr="00CB400E">
      <w:rPr>
        <w:rFonts w:ascii="Arial" w:hAnsi="Arial" w:cs="Arial"/>
        <w:b/>
        <w:sz w:val="48"/>
      </w:rPr>
      <w:tab/>
    </w:r>
    <w:r w:rsidRPr="00CB400E">
      <w:rPr>
        <w:rFonts w:ascii="Arial" w:hAnsi="Arial" w:cs="Arial"/>
        <w:b/>
        <w:sz w:val="48"/>
      </w:rPr>
      <w:tab/>
    </w:r>
    <w:r w:rsidRPr="00CB400E">
      <w:tab/>
    </w:r>
    <w:r w:rsidRPr="00CB400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CB072" w14:textId="5A83A619" w:rsidR="00CB400E" w:rsidRPr="00CB400E" w:rsidRDefault="00CB400E" w:rsidP="00CB400E">
    <w:pPr>
      <w:pStyle w:val="FooterCoverPage"/>
      <w:rPr>
        <w:rFonts w:ascii="Arial" w:hAnsi="Arial" w:cs="Arial"/>
        <w:b/>
        <w:sz w:val="48"/>
      </w:rPr>
    </w:pPr>
    <w:r w:rsidRPr="00CB400E">
      <w:rPr>
        <w:rFonts w:ascii="Arial" w:hAnsi="Arial" w:cs="Arial"/>
        <w:b/>
        <w:sz w:val="48"/>
      </w:rPr>
      <w:t>EN</w:t>
    </w:r>
    <w:r w:rsidRPr="00CB400E">
      <w:rPr>
        <w:rFonts w:ascii="Arial" w:hAnsi="Arial" w:cs="Arial"/>
        <w:b/>
        <w:sz w:val="48"/>
      </w:rPr>
      <w:tab/>
    </w:r>
    <w:r w:rsidRPr="00CB400E">
      <w:rPr>
        <w:rFonts w:ascii="Arial" w:hAnsi="Arial" w:cs="Arial"/>
        <w:b/>
        <w:sz w:val="48"/>
      </w:rPr>
      <w:tab/>
    </w:r>
    <w:r w:rsidRPr="00CB400E">
      <w:tab/>
    </w:r>
    <w:r w:rsidRPr="00CB400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1E220" w14:textId="77777777" w:rsidR="00CB400E" w:rsidRPr="00CB400E" w:rsidRDefault="00CB400E" w:rsidP="00CB400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D4FF6" w14:textId="77777777" w:rsidR="00561DAE" w:rsidRPr="00697B5F" w:rsidRDefault="00561DAE" w:rsidP="005B45D3">
    <w:pPr>
      <w:pStyle w:val="FooterCoverPage"/>
    </w:pPr>
    <w:r w:rsidRPr="00697B5F">
      <w:t>EN</w:t>
    </w:r>
    <w:r w:rsidRPr="00697B5F">
      <w:tab/>
    </w:r>
    <w:r w:rsidRPr="00697B5F">
      <w:tab/>
    </w:r>
    <w:r w:rsidRPr="00697B5F">
      <w:tab/>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3089C" w14:textId="77777777" w:rsidR="00561DAE" w:rsidRPr="00697B5F" w:rsidRDefault="00561DAE" w:rsidP="005B45D3">
    <w:pPr>
      <w:pStyle w:val="FooterCoverPage"/>
    </w:pPr>
    <w:r w:rsidRPr="00697B5F">
      <w:t>EN</w:t>
    </w:r>
    <w:r w:rsidRPr="00697B5F">
      <w:tab/>
    </w:r>
    <w:r w:rsidRPr="00697B5F">
      <w:tab/>
    </w:r>
    <w:r w:rsidRPr="00697B5F">
      <w:tab/>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E7C9B" w14:textId="77777777" w:rsidR="00561DAE" w:rsidRPr="00697B5F" w:rsidRDefault="00561DAE" w:rsidP="005B45D3">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756BB" w14:textId="77777777" w:rsidR="00561DAE" w:rsidRPr="00697B5F" w:rsidRDefault="00561DAE" w:rsidP="005B45D3">
    <w:pPr>
      <w:pStyle w:val="FooterCoverPage"/>
    </w:pPr>
    <w:r w:rsidRPr="00697B5F">
      <w:t>EN</w:t>
    </w:r>
    <w:r w:rsidRPr="00697B5F">
      <w:tab/>
    </w:r>
    <w:r w:rsidRPr="00697B5F">
      <w:tab/>
    </w:r>
    <w:r w:rsidRPr="00697B5F">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8A63E" w14:textId="77777777" w:rsidR="00A33807" w:rsidRPr="00697B5F" w:rsidRDefault="00A33807" w:rsidP="00E42C78">
      <w:r w:rsidRPr="00697B5F">
        <w:separator/>
      </w:r>
    </w:p>
  </w:footnote>
  <w:footnote w:type="continuationSeparator" w:id="0">
    <w:p w14:paraId="56EB38E8" w14:textId="77777777" w:rsidR="00A33807" w:rsidRPr="00697B5F" w:rsidRDefault="00A33807" w:rsidP="00E42C78">
      <w:r w:rsidRPr="00697B5F">
        <w:continuationSeparator/>
      </w:r>
    </w:p>
  </w:footnote>
  <w:footnote w:type="continuationNotice" w:id="1">
    <w:p w14:paraId="3CC48A54" w14:textId="77777777" w:rsidR="00A33807" w:rsidRPr="00697B5F" w:rsidRDefault="00A33807" w:rsidP="00E42C78"/>
  </w:footnote>
  <w:footnote w:id="2">
    <w:p w14:paraId="777C1CF1" w14:textId="7F8672A5" w:rsidR="005A167C" w:rsidRPr="0074029F" w:rsidRDefault="005A167C" w:rsidP="7F87AC9D">
      <w:pPr>
        <w:pStyle w:val="FootnoteText"/>
        <w:rPr>
          <w:rStyle w:val="Hyperlink"/>
        </w:rPr>
      </w:pPr>
      <w:r w:rsidRPr="0074029F">
        <w:rPr>
          <w:rStyle w:val="Hyperlink"/>
        </w:rPr>
        <w:footnoteRef/>
      </w:r>
      <w:r w:rsidR="7F87AC9D" w:rsidRPr="0074029F">
        <w:rPr>
          <w:rStyle w:val="Hyperlink"/>
        </w:rPr>
        <w:t xml:space="preserve"> </w:t>
      </w:r>
      <w:hyperlink r:id="rId1" w:anchor="title1">
        <w:r w:rsidR="7F87AC9D" w:rsidRPr="0074029F">
          <w:rPr>
            <w:rStyle w:val="Hyperlink"/>
          </w:rPr>
          <w:t>European Parliament decision of 29 April 2026 on discharge in respect of the implementation of the general budget of the European Union for the financial year 2024, Section III – Commission and executive agencies and the ninth, tenth and eleventh European Development Funds - 2025/2145(DEC)</w:t>
        </w:r>
      </w:hyperlink>
      <w:r w:rsidR="003F41B5" w:rsidRPr="0074029F">
        <w:rPr>
          <w:rStyle w:val="Hyperlink"/>
        </w:rPr>
        <w:t>.</w:t>
      </w:r>
    </w:p>
  </w:footnote>
  <w:footnote w:id="3">
    <w:p w14:paraId="6F6F3F09" w14:textId="1E63367E" w:rsidR="005A167C" w:rsidRPr="0074029F" w:rsidRDefault="005A167C" w:rsidP="005A167C">
      <w:pPr>
        <w:pStyle w:val="FootnoteText"/>
        <w:rPr>
          <w:rStyle w:val="Hyperlink"/>
        </w:rPr>
      </w:pPr>
      <w:r w:rsidRPr="0074029F">
        <w:rPr>
          <w:rStyle w:val="Hyperlink"/>
        </w:rPr>
        <w:footnoteRef/>
      </w:r>
      <w:r w:rsidR="7F87AC9D" w:rsidRPr="0074029F">
        <w:rPr>
          <w:rStyle w:val="Hyperlink"/>
        </w:rPr>
        <w:t xml:space="preserve"> </w:t>
      </w:r>
      <w:hyperlink r:id="rId2">
        <w:r w:rsidR="7F87AC9D" w:rsidRPr="0074029F">
          <w:rPr>
            <w:rStyle w:val="Hyperlink"/>
          </w:rPr>
          <w:t>Council recommendation on the discharge to be given to the Commission in respect of the implementation of the general budget of the European Union for financial year 2024 (5749/26)</w:t>
        </w:r>
      </w:hyperlink>
      <w:r w:rsidR="003F41B5" w:rsidRPr="0074029F">
        <w:rPr>
          <w:rStyle w:val="Hyperlink"/>
        </w:rPr>
        <w:t>.</w:t>
      </w:r>
    </w:p>
  </w:footnote>
  <w:footnote w:id="4">
    <w:p w14:paraId="19D23548" w14:textId="6C97FA35" w:rsidR="005A167C" w:rsidRPr="00697B5F" w:rsidRDefault="005A167C" w:rsidP="005A167C">
      <w:pPr>
        <w:pStyle w:val="FootnoteText"/>
      </w:pPr>
      <w:r w:rsidRPr="0074029F">
        <w:rPr>
          <w:rStyle w:val="Hyperlink"/>
        </w:rPr>
        <w:footnoteRef/>
      </w:r>
      <w:r w:rsidR="7F87AC9D" w:rsidRPr="0074029F">
        <w:rPr>
          <w:rStyle w:val="Hyperlink"/>
        </w:rPr>
        <w:t xml:space="preserve"> </w:t>
      </w:r>
      <w:hyperlink r:id="rId3">
        <w:r w:rsidR="7F87AC9D" w:rsidRPr="0074029F">
          <w:rPr>
            <w:rStyle w:val="Hyperlink"/>
          </w:rPr>
          <w:t>Report from the Commission to the European Parliament the Council and the Court of Auditors Annual Management and Performance Report for the EU budget – 2024 financial year, COM(2025) 824 of 17.6.2025</w:t>
        </w:r>
      </w:hyperlink>
      <w:r w:rsidR="003F41B5" w:rsidRPr="0074029F">
        <w:rPr>
          <w:rStyle w:val="Hyperlink"/>
        </w:rPr>
        <w:t>.</w:t>
      </w:r>
    </w:p>
  </w:footnote>
  <w:footnote w:id="5">
    <w:p w14:paraId="3052CC1F" w14:textId="6BD91FAB" w:rsidR="005A167C" w:rsidRPr="0074029F" w:rsidRDefault="005A167C" w:rsidP="005A167C">
      <w:pPr>
        <w:pStyle w:val="FootnoteText"/>
      </w:pPr>
      <w:r w:rsidRPr="0074029F">
        <w:rPr>
          <w:rStyle w:val="FootnoteReference"/>
          <w:vertAlign w:val="baseline"/>
        </w:rPr>
        <w:footnoteRef/>
      </w:r>
      <w:r w:rsidR="7F87AC9D" w:rsidRPr="0074029F">
        <w:t xml:space="preserve"> See paragraph 17 – 2025/2145(DEC)</w:t>
      </w:r>
      <w:r w:rsidR="00EC65E6" w:rsidRPr="0074029F">
        <w:t>.</w:t>
      </w:r>
    </w:p>
  </w:footnote>
  <w:footnote w:id="6">
    <w:p w14:paraId="736D873E" w14:textId="196C2272" w:rsidR="005A167C" w:rsidRPr="0074029F" w:rsidRDefault="005A167C" w:rsidP="005A167C">
      <w:pPr>
        <w:pStyle w:val="FootnoteText"/>
      </w:pPr>
      <w:r w:rsidRPr="0074029F">
        <w:rPr>
          <w:rStyle w:val="FootnoteReference"/>
          <w:vertAlign w:val="baseline"/>
        </w:rPr>
        <w:footnoteRef/>
      </w:r>
      <w:r w:rsidR="7F87AC9D" w:rsidRPr="0074029F">
        <w:t xml:space="preserve"> See paragraph 13 – 2025/2145(DEC)</w:t>
      </w:r>
      <w:r w:rsidR="00EC65E6" w:rsidRPr="0074029F">
        <w:t>.</w:t>
      </w:r>
    </w:p>
  </w:footnote>
  <w:footnote w:id="7">
    <w:p w14:paraId="4BEA4863" w14:textId="21CEE749" w:rsidR="005A167C" w:rsidRPr="00697B5F" w:rsidRDefault="005A167C" w:rsidP="005A167C">
      <w:pPr>
        <w:pStyle w:val="FootnoteText"/>
      </w:pPr>
      <w:r w:rsidRPr="0074029F">
        <w:rPr>
          <w:rStyle w:val="FootnoteReference"/>
          <w:vertAlign w:val="baseline"/>
        </w:rPr>
        <w:footnoteRef/>
      </w:r>
      <w:r w:rsidR="7F87AC9D" w:rsidRPr="0074029F">
        <w:t xml:space="preserve"> Ibid</w:t>
      </w:r>
      <w:r w:rsidR="00424D24" w:rsidRPr="0074029F">
        <w:t>.</w:t>
      </w:r>
    </w:p>
  </w:footnote>
  <w:footnote w:id="8">
    <w:p w14:paraId="75E7E956" w14:textId="0B8FC5C1" w:rsidR="005A167C" w:rsidRPr="0074029F" w:rsidRDefault="005A167C" w:rsidP="005A167C">
      <w:pPr>
        <w:pStyle w:val="FootnoteText"/>
      </w:pPr>
      <w:r w:rsidRPr="0074029F">
        <w:rPr>
          <w:rStyle w:val="FootnoteReference"/>
          <w:vertAlign w:val="baseline"/>
        </w:rPr>
        <w:footnoteRef/>
      </w:r>
      <w:r w:rsidR="7F87AC9D" w:rsidRPr="0074029F">
        <w:t xml:space="preserve"> See paragraph 161(xxii) – 2025/2145(DEC)</w:t>
      </w:r>
      <w:r w:rsidR="0067336C" w:rsidRPr="0074029F">
        <w:t>.</w:t>
      </w:r>
    </w:p>
  </w:footnote>
  <w:footnote w:id="9">
    <w:p w14:paraId="5CEF6D3E" w14:textId="709945D8" w:rsidR="005A167C" w:rsidRPr="00A03179" w:rsidRDefault="005A167C" w:rsidP="005A167C">
      <w:pPr>
        <w:pStyle w:val="FootnoteText"/>
      </w:pPr>
      <w:r w:rsidRPr="0074029F">
        <w:rPr>
          <w:rStyle w:val="FootnoteReference"/>
          <w:vertAlign w:val="baseline"/>
        </w:rPr>
        <w:footnoteRef/>
      </w:r>
      <w:r w:rsidR="7F87AC9D" w:rsidRPr="0074029F">
        <w:t xml:space="preserve"> See paragraph 21(v) – 2025/2145(DEC)</w:t>
      </w:r>
      <w:r w:rsidR="0067336C" w:rsidRPr="0074029F">
        <w:t>.</w:t>
      </w:r>
    </w:p>
  </w:footnote>
  <w:footnote w:id="10">
    <w:p w14:paraId="683EDE07" w14:textId="0A648844" w:rsidR="005A167C" w:rsidRPr="0074029F" w:rsidRDefault="005A167C" w:rsidP="005A167C">
      <w:pPr>
        <w:pStyle w:val="FootnoteText"/>
      </w:pPr>
      <w:r w:rsidRPr="0074029F">
        <w:rPr>
          <w:rStyle w:val="FootnoteReference"/>
          <w:vertAlign w:val="baseline"/>
        </w:rPr>
        <w:footnoteRef/>
      </w:r>
      <w:r w:rsidR="7F87AC9D" w:rsidRPr="0074029F">
        <w:t xml:space="preserve"> See paragraph </w:t>
      </w:r>
      <w:r w:rsidR="003B25FF" w:rsidRPr="0074029F">
        <w:t xml:space="preserve">55 </w:t>
      </w:r>
      <w:r w:rsidR="7F87AC9D" w:rsidRPr="0074029F">
        <w:t>– 2025/2145(DEC)</w:t>
      </w:r>
      <w:r w:rsidR="0067336C" w:rsidRPr="0074029F">
        <w:t>.</w:t>
      </w:r>
    </w:p>
  </w:footnote>
  <w:footnote w:id="11">
    <w:p w14:paraId="4ED8B212" w14:textId="4DCC4C2E" w:rsidR="005A167C" w:rsidRPr="00CE4343" w:rsidRDefault="005A167C" w:rsidP="005A167C">
      <w:pPr>
        <w:pStyle w:val="FootnoteText"/>
        <w:rPr>
          <w:lang w:val="en-IE"/>
        </w:rPr>
      </w:pPr>
      <w:r w:rsidRPr="0074029F">
        <w:rPr>
          <w:rStyle w:val="FootnoteReference"/>
          <w:vertAlign w:val="baseline"/>
        </w:rPr>
        <w:footnoteRef/>
      </w:r>
      <w:r w:rsidR="7F87AC9D" w:rsidRPr="00CE4343">
        <w:rPr>
          <w:lang w:val="en-IE"/>
        </w:rPr>
        <w:t xml:space="preserve"> See paragraph </w:t>
      </w:r>
      <w:r w:rsidR="003B25FF" w:rsidRPr="00CE4343">
        <w:rPr>
          <w:lang w:val="en-IE"/>
        </w:rPr>
        <w:t xml:space="preserve">51 </w:t>
      </w:r>
      <w:r w:rsidR="7F87AC9D" w:rsidRPr="00CE4343">
        <w:rPr>
          <w:lang w:val="en-IE"/>
        </w:rPr>
        <w:t>– 2025/2145(DEC)</w:t>
      </w:r>
      <w:r w:rsidR="0067336C" w:rsidRPr="00CE4343">
        <w:rPr>
          <w:lang w:val="en-IE"/>
        </w:rPr>
        <w:t>.</w:t>
      </w:r>
    </w:p>
  </w:footnote>
  <w:footnote w:id="12">
    <w:p w14:paraId="6A343C38" w14:textId="15D5A151" w:rsidR="005A167C" w:rsidRPr="00CE4343" w:rsidRDefault="005A167C" w:rsidP="005A167C">
      <w:pPr>
        <w:pStyle w:val="FootnoteText"/>
        <w:rPr>
          <w:lang w:val="en-IE"/>
        </w:rPr>
      </w:pPr>
      <w:r w:rsidRPr="0074029F">
        <w:rPr>
          <w:rStyle w:val="FootnoteReference"/>
          <w:vertAlign w:val="baseline"/>
        </w:rPr>
        <w:footnoteRef/>
      </w:r>
      <w:r w:rsidR="7F87AC9D" w:rsidRPr="00CE4343">
        <w:rPr>
          <w:lang w:val="en-IE"/>
        </w:rPr>
        <w:t xml:space="preserve"> Directive (EU) 2017/1371</w:t>
      </w:r>
      <w:r w:rsidR="002262AA" w:rsidRPr="00CE4343">
        <w:rPr>
          <w:lang w:val="en-IE"/>
        </w:rPr>
        <w:t>.</w:t>
      </w:r>
    </w:p>
  </w:footnote>
  <w:footnote w:id="13">
    <w:p w14:paraId="70F72ED2" w14:textId="77777777" w:rsidR="005A167C" w:rsidRPr="0074029F" w:rsidRDefault="005A167C" w:rsidP="005A167C">
      <w:pPr>
        <w:pStyle w:val="FootnoteText"/>
      </w:pPr>
      <w:r w:rsidRPr="0074029F">
        <w:rPr>
          <w:rStyle w:val="FootnoteReference"/>
          <w:vertAlign w:val="baseline"/>
        </w:rPr>
        <w:footnoteRef/>
      </w:r>
      <w:r w:rsidR="7F87AC9D" w:rsidRPr="0074029F">
        <w:t xml:space="preserve"> See paragraph 11.4 of the Council’s discharge recommendation.</w:t>
      </w:r>
    </w:p>
  </w:footnote>
  <w:footnote w:id="14">
    <w:p w14:paraId="21EE0D8F" w14:textId="77777777" w:rsidR="002B0E7E" w:rsidRPr="0074029F" w:rsidRDefault="002B0E7E" w:rsidP="002B0E7E">
      <w:pPr>
        <w:pStyle w:val="FootnoteText"/>
      </w:pPr>
      <w:r w:rsidRPr="0074029F">
        <w:rPr>
          <w:rStyle w:val="FootnoteReference"/>
          <w:vertAlign w:val="baseline"/>
        </w:rPr>
        <w:footnoteRef/>
      </w:r>
      <w:r>
        <w:t xml:space="preserve"> </w:t>
      </w:r>
      <w:r w:rsidRPr="0074029F">
        <w:t>See paragraph 161(xxi) – 2025/2145(DEC)</w:t>
      </w:r>
    </w:p>
  </w:footnote>
  <w:footnote w:id="15">
    <w:p w14:paraId="55CC1F81" w14:textId="3F9A5D0B" w:rsidR="005A167C" w:rsidRPr="0074029F" w:rsidRDefault="005A167C" w:rsidP="005A167C">
      <w:pPr>
        <w:pStyle w:val="FootnoteText"/>
      </w:pPr>
      <w:r w:rsidRPr="0074029F">
        <w:rPr>
          <w:rStyle w:val="FootnoteReference"/>
          <w:vertAlign w:val="baseline"/>
        </w:rPr>
        <w:footnoteRef/>
      </w:r>
      <w:r w:rsidR="7F87AC9D" w:rsidRPr="0074029F">
        <w:t xml:space="preserve"> See paragraph 278 - 2025/2145(DEC)</w:t>
      </w:r>
    </w:p>
  </w:footnote>
  <w:footnote w:id="16">
    <w:p w14:paraId="12E18363" w14:textId="591BA52C" w:rsidR="005A167C" w:rsidRPr="00A66B36" w:rsidRDefault="005A167C" w:rsidP="005A167C">
      <w:pPr>
        <w:pStyle w:val="FootnoteText"/>
      </w:pPr>
      <w:r w:rsidRPr="0074029F">
        <w:rPr>
          <w:rStyle w:val="FootnoteReference"/>
          <w:vertAlign w:val="baseline"/>
        </w:rPr>
        <w:footnoteRef/>
      </w:r>
      <w:r w:rsidR="7F87AC9D" w:rsidRPr="0074029F">
        <w:t xml:space="preserve"> See paragraph 6 - 2025/2145(DEC)</w:t>
      </w:r>
      <w:r w:rsidR="00AA694D" w:rsidRPr="0074029F">
        <w:t>.</w:t>
      </w:r>
    </w:p>
  </w:footnote>
  <w:footnote w:id="17">
    <w:p w14:paraId="5D7FBBEE" w14:textId="43972872" w:rsidR="006867B7" w:rsidRPr="0074029F" w:rsidRDefault="006867B7">
      <w:pPr>
        <w:pStyle w:val="FootnoteText"/>
      </w:pPr>
      <w:r w:rsidRPr="0074029F">
        <w:rPr>
          <w:rStyle w:val="FootnoteReference"/>
          <w:vertAlign w:val="baseline"/>
        </w:rPr>
        <w:footnoteRef/>
      </w:r>
      <w:r w:rsidR="7F87AC9D" w:rsidRPr="0074029F">
        <w:t xml:space="preserve"> Art</w:t>
      </w:r>
      <w:r w:rsidR="00AA694D" w:rsidRPr="0074029F">
        <w:t>icle</w:t>
      </w:r>
      <w:r w:rsidR="00697B5F" w:rsidRPr="0074029F">
        <w:rPr>
          <w:rFonts w:ascii="Calibri" w:hAnsi="Calibri" w:cs="Calibri"/>
        </w:rPr>
        <w:t> </w:t>
      </w:r>
      <w:r w:rsidR="7F87AC9D" w:rsidRPr="0074029F">
        <w:t>12</w:t>
      </w:r>
      <w:r w:rsidR="008720B0" w:rsidRPr="0074029F">
        <w:t xml:space="preserve"> -</w:t>
      </w:r>
      <w:r w:rsidR="7F87AC9D" w:rsidRPr="0074029F">
        <w:t xml:space="preserve"> COM/2025/545 final</w:t>
      </w:r>
      <w:r w:rsidR="00AA694D" w:rsidRPr="0074029F">
        <w:t>.</w:t>
      </w:r>
    </w:p>
  </w:footnote>
  <w:footnote w:id="18">
    <w:p w14:paraId="4AF6BC0B" w14:textId="6578F409" w:rsidR="000929A6" w:rsidRPr="00697B5F" w:rsidRDefault="000929A6">
      <w:pPr>
        <w:pStyle w:val="FootnoteText"/>
      </w:pPr>
      <w:r w:rsidRPr="0074029F">
        <w:rPr>
          <w:rStyle w:val="FootnoteReference"/>
          <w:vertAlign w:val="baseline"/>
        </w:rPr>
        <w:footnoteRef/>
      </w:r>
      <w:r w:rsidR="7F87AC9D" w:rsidRPr="0074029F" w:rsidDel="001B2C67">
        <w:t xml:space="preserve"> </w:t>
      </w:r>
      <w:r w:rsidR="001B2C67" w:rsidRPr="0074029F">
        <w:t>Articles</w:t>
      </w:r>
      <w:r w:rsidR="001B2C67" w:rsidRPr="0074029F">
        <w:rPr>
          <w:rFonts w:ascii="Calibri" w:hAnsi="Calibri" w:cs="Calibri"/>
        </w:rPr>
        <w:t> </w:t>
      </w:r>
      <w:r w:rsidR="7F87AC9D" w:rsidRPr="0074029F">
        <w:t xml:space="preserve">63 and 64 </w:t>
      </w:r>
      <w:r w:rsidR="008720B0" w:rsidRPr="0074029F">
        <w:t>-</w:t>
      </w:r>
      <w:r w:rsidR="7F87AC9D" w:rsidRPr="0074029F">
        <w:t xml:space="preserve"> COM/2025/565 final</w:t>
      </w:r>
      <w:r w:rsidR="00AA694D" w:rsidRPr="0074029F">
        <w:t>.</w:t>
      </w:r>
    </w:p>
  </w:footnote>
  <w:footnote w:id="19">
    <w:p w14:paraId="321D21C6" w14:textId="4107FFFE" w:rsidR="00C33EBA" w:rsidRDefault="00C33EBA">
      <w:pPr>
        <w:pStyle w:val="FootnoteText"/>
      </w:pPr>
      <w:r w:rsidRPr="0074029F">
        <w:rPr>
          <w:rStyle w:val="FootnoteReference"/>
          <w:vertAlign w:val="baseline"/>
        </w:rPr>
        <w:footnoteRef/>
      </w:r>
      <w:r>
        <w:t xml:space="preserve"> </w:t>
      </w:r>
      <w:r w:rsidRPr="0074029F">
        <w:t>Commission Decision of 12.12.2023 C(2023)8630</w:t>
      </w:r>
    </w:p>
  </w:footnote>
  <w:footnote w:id="20">
    <w:p w14:paraId="707A398A" w14:textId="3E2FA0B4" w:rsidR="005A167C" w:rsidRPr="0074029F" w:rsidRDefault="005A167C" w:rsidP="005A167C">
      <w:pPr>
        <w:pStyle w:val="FootnoteText"/>
      </w:pPr>
      <w:r w:rsidRPr="0074029F">
        <w:rPr>
          <w:rStyle w:val="FootnoteReference"/>
          <w:vertAlign w:val="baseline"/>
        </w:rPr>
        <w:footnoteRef/>
      </w:r>
      <w:r w:rsidR="7F87AC9D" w:rsidRPr="0074029F">
        <w:t xml:space="preserve"> See paragraph 7 - 2025/2145(DEC)</w:t>
      </w:r>
      <w:r w:rsidR="00AA694D" w:rsidRPr="0074029F">
        <w:t>.</w:t>
      </w:r>
    </w:p>
  </w:footnote>
  <w:footnote w:id="21">
    <w:p w14:paraId="1BFE5567" w14:textId="2112A679" w:rsidR="005A167C" w:rsidRPr="0074029F" w:rsidRDefault="005A167C" w:rsidP="005A167C">
      <w:pPr>
        <w:pStyle w:val="FootnoteText"/>
      </w:pPr>
      <w:r w:rsidRPr="0074029F">
        <w:rPr>
          <w:rStyle w:val="FootnoteReference"/>
          <w:vertAlign w:val="baseline"/>
        </w:rPr>
        <w:footnoteRef/>
      </w:r>
      <w:r w:rsidR="7F87AC9D" w:rsidRPr="0074029F">
        <w:t xml:space="preserve"> See paragraph 47 - 2025/2145(DEC)</w:t>
      </w:r>
      <w:r w:rsidR="00AA694D" w:rsidRPr="0074029F">
        <w:t>.</w:t>
      </w:r>
    </w:p>
  </w:footnote>
  <w:footnote w:id="22">
    <w:p w14:paraId="071F040C" w14:textId="3D0E9F80" w:rsidR="005A167C" w:rsidRPr="00697B5F" w:rsidRDefault="005A167C" w:rsidP="005A167C">
      <w:pPr>
        <w:pStyle w:val="FootnoteText"/>
      </w:pPr>
      <w:r w:rsidRPr="0074029F">
        <w:rPr>
          <w:rStyle w:val="FootnoteReference"/>
          <w:vertAlign w:val="baseline"/>
        </w:rPr>
        <w:footnoteRef/>
      </w:r>
      <w:r w:rsidR="7F87AC9D" w:rsidRPr="0074029F">
        <w:t xml:space="preserve"> See COM(2025) 570 final</w:t>
      </w:r>
      <w:r w:rsidR="00AA694D" w:rsidRPr="0074029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5A67E" w14:textId="77777777" w:rsidR="00CB400E" w:rsidRPr="00CB400E" w:rsidRDefault="00CB400E" w:rsidP="00CB400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F22D3" w14:textId="77777777" w:rsidR="00CB400E" w:rsidRPr="00CB400E" w:rsidRDefault="00CB400E" w:rsidP="00CB400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5AE68" w14:textId="77777777" w:rsidR="00CB400E" w:rsidRPr="00CB400E" w:rsidRDefault="00CB400E" w:rsidP="00CB400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61934" w14:textId="77777777" w:rsidR="00561DAE" w:rsidRPr="00697B5F" w:rsidRDefault="00561DAE" w:rsidP="005B45D3">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D2D25" w14:textId="77777777" w:rsidR="00B1330B" w:rsidRPr="00697B5F" w:rsidRDefault="00B1330B" w:rsidP="00E42C7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4DDB" w14:textId="77777777" w:rsidR="00561DAE" w:rsidRPr="00697B5F" w:rsidRDefault="00561DAE" w:rsidP="005B45D3">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6F22B" w14:textId="059A6187" w:rsidR="003E1A5F" w:rsidRDefault="001B6B70">
    <w:pPr>
      <w:pStyle w:val="Header"/>
    </w:pPr>
    <w:r w:rsidRPr="00B9089A">
      <w:rPr>
        <w:noProof/>
        <w:lang w:eastAsia="en-GB"/>
      </w:rPr>
      <mc:AlternateContent>
        <mc:Choice Requires="wps">
          <w:drawing>
            <wp:anchor distT="0" distB="0" distL="114300" distR="114300" simplePos="0" relativeHeight="251658240" behindDoc="0" locked="1" layoutInCell="1" allowOverlap="1" wp14:anchorId="6E854D0F" wp14:editId="0AEA38CE">
              <wp:simplePos x="0" y="0"/>
              <wp:positionH relativeFrom="page">
                <wp:posOffset>5080</wp:posOffset>
              </wp:positionH>
              <wp:positionV relativeFrom="page">
                <wp:posOffset>2540</wp:posOffset>
              </wp:positionV>
              <wp:extent cx="7620635" cy="212090"/>
              <wp:effectExtent l="0" t="0" r="0" b="0"/>
              <wp:wrapNone/>
              <wp:docPr id="1751978700" name="Rectangle 1751978700">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wps:spPr>
                      <a:xfrm>
                        <a:off x="0" y="0"/>
                        <a:ext cx="7620635" cy="212090"/>
                      </a:xfrm>
                      <a:prstGeom prst="rect">
                        <a:avLst/>
                      </a:prstGeom>
                      <a:solidFill>
                        <a:srgbClr val="00813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ect id="Rectangle 1751978700" style="position:absolute;margin-left:.4pt;margin-top:.2pt;width:600.05pt;height:1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fillcolor="#008139"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" w14:anchorId="55566D9A">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73F92"/>
    <w:multiLevelType w:val="hybridMultilevel"/>
    <w:tmpl w:val="2EBC58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AA3899"/>
    <w:multiLevelType w:val="hybridMultilevel"/>
    <w:tmpl w:val="D1CCF5D2"/>
    <w:lvl w:ilvl="0" w:tplc="61964B8C">
      <w:start w:val="1"/>
      <w:numFmt w:val="lowerLetter"/>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 w15:restartNumberingAfterBreak="0">
    <w:nsid w:val="34FB40CD"/>
    <w:multiLevelType w:val="multilevel"/>
    <w:tmpl w:val="17488A56"/>
    <w:lvl w:ilvl="0">
      <w:start w:val="1"/>
      <w:numFmt w:val="decimal"/>
      <w:lvlText w:val="%1."/>
      <w:lvlJc w:val="left"/>
      <w:pPr>
        <w:ind w:left="720" w:hanging="360"/>
      </w:pPr>
      <w:rPr>
        <w:rFonts w:hint="default"/>
      </w:rPr>
    </w:lvl>
    <w:lvl w:ilvl="1">
      <w:start w:val="1"/>
      <w:numFmt w:val="lowerLetter"/>
      <w:lvlText w:val="%2."/>
      <w:lvlJc w:val="left"/>
      <w:pPr>
        <w:ind w:left="284" w:hanging="28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54764A07"/>
    <w:multiLevelType w:val="hybridMultilevel"/>
    <w:tmpl w:val="FFFFFFFF"/>
    <w:lvl w:ilvl="0" w:tplc="0CF42972">
      <w:start w:val="1"/>
      <w:numFmt w:val="lowerLetter"/>
      <w:lvlText w:val="%1."/>
      <w:lvlJc w:val="left"/>
      <w:pPr>
        <w:ind w:left="720" w:hanging="360"/>
      </w:pPr>
    </w:lvl>
    <w:lvl w:ilvl="1" w:tplc="800A8F7C">
      <w:start w:val="1"/>
      <w:numFmt w:val="lowerLetter"/>
      <w:lvlText w:val="%2."/>
      <w:lvlJc w:val="left"/>
      <w:pPr>
        <w:ind w:left="1440" w:hanging="360"/>
      </w:pPr>
    </w:lvl>
    <w:lvl w:ilvl="2" w:tplc="E94CAAB8">
      <w:start w:val="1"/>
      <w:numFmt w:val="lowerRoman"/>
      <w:lvlText w:val="%3."/>
      <w:lvlJc w:val="right"/>
      <w:pPr>
        <w:ind w:left="2160" w:hanging="180"/>
      </w:pPr>
    </w:lvl>
    <w:lvl w:ilvl="3" w:tplc="E2161084">
      <w:start w:val="1"/>
      <w:numFmt w:val="decimal"/>
      <w:lvlText w:val="%4."/>
      <w:lvlJc w:val="left"/>
      <w:pPr>
        <w:ind w:left="2880" w:hanging="360"/>
      </w:pPr>
    </w:lvl>
    <w:lvl w:ilvl="4" w:tplc="F3CC9DA2">
      <w:start w:val="1"/>
      <w:numFmt w:val="lowerLetter"/>
      <w:lvlText w:val="%5."/>
      <w:lvlJc w:val="left"/>
      <w:pPr>
        <w:ind w:left="3600" w:hanging="360"/>
      </w:pPr>
    </w:lvl>
    <w:lvl w:ilvl="5" w:tplc="DC4CF138">
      <w:start w:val="1"/>
      <w:numFmt w:val="lowerRoman"/>
      <w:lvlText w:val="%6."/>
      <w:lvlJc w:val="right"/>
      <w:pPr>
        <w:ind w:left="4320" w:hanging="180"/>
      </w:pPr>
    </w:lvl>
    <w:lvl w:ilvl="6" w:tplc="73B67156">
      <w:start w:val="1"/>
      <w:numFmt w:val="decimal"/>
      <w:lvlText w:val="%7."/>
      <w:lvlJc w:val="left"/>
      <w:pPr>
        <w:ind w:left="5040" w:hanging="360"/>
      </w:pPr>
    </w:lvl>
    <w:lvl w:ilvl="7" w:tplc="927645AE">
      <w:start w:val="1"/>
      <w:numFmt w:val="lowerLetter"/>
      <w:lvlText w:val="%8."/>
      <w:lvlJc w:val="left"/>
      <w:pPr>
        <w:ind w:left="5760" w:hanging="360"/>
      </w:pPr>
    </w:lvl>
    <w:lvl w:ilvl="8" w:tplc="92EE256A">
      <w:start w:val="1"/>
      <w:numFmt w:val="lowerRoman"/>
      <w:lvlText w:val="%9."/>
      <w:lvlJc w:val="right"/>
      <w:pPr>
        <w:ind w:left="6480" w:hanging="180"/>
      </w:pPr>
    </w:lvl>
  </w:abstractNum>
  <w:abstractNum w:abstractNumId="4" w15:restartNumberingAfterBreak="0">
    <w:nsid w:val="69D84A16"/>
    <w:multiLevelType w:val="hybridMultilevel"/>
    <w:tmpl w:val="C586505E"/>
    <w:lvl w:ilvl="0" w:tplc="0809000F">
      <w:start w:val="1"/>
      <w:numFmt w:val="decimal"/>
      <w:lvlText w:val="%1."/>
      <w:lvlJc w:val="left"/>
      <w:pPr>
        <w:ind w:left="1077" w:hanging="360"/>
      </w:pPr>
    </w:lvl>
    <w:lvl w:ilvl="1" w:tplc="08090019">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 w15:restartNumberingAfterBreak="0">
    <w:nsid w:val="72D53010"/>
    <w:multiLevelType w:val="hybridMultilevel"/>
    <w:tmpl w:val="B64CF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 w:numId="6">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4BF58AC-ACEF-4790-ABEA-3F19D38DAAAE"/>
    <w:docVar w:name="LW_COVERPAGE_TYPE" w:val="1"/>
    <w:docVar w:name="LW_CROSSREFERENCE" w:val="&lt;UNUSED&gt;"/>
    <w:docVar w:name="LW_DocType" w:val="NORMAL"/>
    <w:docVar w:name="LW_EMISSION" w:val="25.6.2026"/>
    <w:docVar w:name="LW_EMISSION_ISODATE" w:val="2026-06-25"/>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follow-up to the discharge for the 2024 financial year"/>
    <w:docVar w:name="LW_TYPE.DOC.CP" w:val="REPORT FROM THE COMMISSION TO THE EUROPEAN PARLIAMENT AND THE COUNCIL"/>
    <w:docVar w:name="LwApiVersions" w:val="LW4CoDe 1.24.5.0; LW 9.2, Build 20251112"/>
    <w:docVar w:name="Stamp" w:val="\\dossiers.dgt.cec.eu.int\dossiers\BUDG\BUDG-2026-00479\BUDG-2026-00479-00-00-EN-EDT-00.202606091102158926960.DOCX"/>
  </w:docVars>
  <w:rsids>
    <w:rsidRoot w:val="002434E7"/>
    <w:rsid w:val="00001DB9"/>
    <w:rsid w:val="00001DBE"/>
    <w:rsid w:val="00003B5B"/>
    <w:rsid w:val="00005011"/>
    <w:rsid w:val="000060BC"/>
    <w:rsid w:val="00006BD5"/>
    <w:rsid w:val="00006F4C"/>
    <w:rsid w:val="00007EC5"/>
    <w:rsid w:val="00010540"/>
    <w:rsid w:val="00010F68"/>
    <w:rsid w:val="00011370"/>
    <w:rsid w:val="00011A17"/>
    <w:rsid w:val="000123D8"/>
    <w:rsid w:val="000126B0"/>
    <w:rsid w:val="00012835"/>
    <w:rsid w:val="00012D95"/>
    <w:rsid w:val="00012E29"/>
    <w:rsid w:val="00013B82"/>
    <w:rsid w:val="0001446C"/>
    <w:rsid w:val="00016A14"/>
    <w:rsid w:val="00017477"/>
    <w:rsid w:val="00023D07"/>
    <w:rsid w:val="00023EF7"/>
    <w:rsid w:val="0002411E"/>
    <w:rsid w:val="000245B0"/>
    <w:rsid w:val="00025E4B"/>
    <w:rsid w:val="00025E9E"/>
    <w:rsid w:val="00027F27"/>
    <w:rsid w:val="00030A53"/>
    <w:rsid w:val="000319A3"/>
    <w:rsid w:val="0003378E"/>
    <w:rsid w:val="00033FA8"/>
    <w:rsid w:val="000340EB"/>
    <w:rsid w:val="00036A3E"/>
    <w:rsid w:val="00042C2C"/>
    <w:rsid w:val="00043CFB"/>
    <w:rsid w:val="0004411C"/>
    <w:rsid w:val="00044911"/>
    <w:rsid w:val="0004619D"/>
    <w:rsid w:val="000467AE"/>
    <w:rsid w:val="00046C10"/>
    <w:rsid w:val="000471FC"/>
    <w:rsid w:val="00047872"/>
    <w:rsid w:val="000509A7"/>
    <w:rsid w:val="00050DEE"/>
    <w:rsid w:val="00051D5E"/>
    <w:rsid w:val="00051FF3"/>
    <w:rsid w:val="00052257"/>
    <w:rsid w:val="00053E18"/>
    <w:rsid w:val="00053E9F"/>
    <w:rsid w:val="00055F8E"/>
    <w:rsid w:val="00056D61"/>
    <w:rsid w:val="00060B3F"/>
    <w:rsid w:val="000616D2"/>
    <w:rsid w:val="000621A2"/>
    <w:rsid w:val="000624D9"/>
    <w:rsid w:val="0006328D"/>
    <w:rsid w:val="00063369"/>
    <w:rsid w:val="00063877"/>
    <w:rsid w:val="00064AB4"/>
    <w:rsid w:val="00064D87"/>
    <w:rsid w:val="00064E06"/>
    <w:rsid w:val="00064EBF"/>
    <w:rsid w:val="00067B11"/>
    <w:rsid w:val="0007283B"/>
    <w:rsid w:val="00073636"/>
    <w:rsid w:val="00073CCA"/>
    <w:rsid w:val="00074196"/>
    <w:rsid w:val="000749BC"/>
    <w:rsid w:val="00075F73"/>
    <w:rsid w:val="00077A03"/>
    <w:rsid w:val="00077AD2"/>
    <w:rsid w:val="0008212C"/>
    <w:rsid w:val="00084CA4"/>
    <w:rsid w:val="00090A55"/>
    <w:rsid w:val="000929A6"/>
    <w:rsid w:val="00092C0B"/>
    <w:rsid w:val="000930EA"/>
    <w:rsid w:val="00093544"/>
    <w:rsid w:val="00093623"/>
    <w:rsid w:val="00095237"/>
    <w:rsid w:val="0009554E"/>
    <w:rsid w:val="00095C6D"/>
    <w:rsid w:val="00096D6A"/>
    <w:rsid w:val="000A084F"/>
    <w:rsid w:val="000A09A6"/>
    <w:rsid w:val="000A1A29"/>
    <w:rsid w:val="000A2767"/>
    <w:rsid w:val="000A2974"/>
    <w:rsid w:val="000A4886"/>
    <w:rsid w:val="000A49A2"/>
    <w:rsid w:val="000A6111"/>
    <w:rsid w:val="000A6306"/>
    <w:rsid w:val="000A75A3"/>
    <w:rsid w:val="000B0C52"/>
    <w:rsid w:val="000B0D45"/>
    <w:rsid w:val="000B0E42"/>
    <w:rsid w:val="000B1F22"/>
    <w:rsid w:val="000B3567"/>
    <w:rsid w:val="000B4F2D"/>
    <w:rsid w:val="000B6CFA"/>
    <w:rsid w:val="000B7F90"/>
    <w:rsid w:val="000C10CF"/>
    <w:rsid w:val="000C1A88"/>
    <w:rsid w:val="000C268D"/>
    <w:rsid w:val="000C4933"/>
    <w:rsid w:val="000C5E1B"/>
    <w:rsid w:val="000C5F60"/>
    <w:rsid w:val="000D44B7"/>
    <w:rsid w:val="000D5688"/>
    <w:rsid w:val="000D5E32"/>
    <w:rsid w:val="000D6A2B"/>
    <w:rsid w:val="000D6B54"/>
    <w:rsid w:val="000E0ABA"/>
    <w:rsid w:val="000E0C5C"/>
    <w:rsid w:val="000E1CA4"/>
    <w:rsid w:val="000E56BA"/>
    <w:rsid w:val="000F1BEA"/>
    <w:rsid w:val="000F406B"/>
    <w:rsid w:val="000F7EF7"/>
    <w:rsid w:val="00102412"/>
    <w:rsid w:val="0010380A"/>
    <w:rsid w:val="00104F16"/>
    <w:rsid w:val="00105C78"/>
    <w:rsid w:val="00105FD5"/>
    <w:rsid w:val="001067F5"/>
    <w:rsid w:val="00110501"/>
    <w:rsid w:val="00110B95"/>
    <w:rsid w:val="0011108E"/>
    <w:rsid w:val="00114CFF"/>
    <w:rsid w:val="00115875"/>
    <w:rsid w:val="00117584"/>
    <w:rsid w:val="00117C7A"/>
    <w:rsid w:val="00117F36"/>
    <w:rsid w:val="00117FA3"/>
    <w:rsid w:val="0012082F"/>
    <w:rsid w:val="001227CA"/>
    <w:rsid w:val="0012295A"/>
    <w:rsid w:val="00122BC4"/>
    <w:rsid w:val="001251F9"/>
    <w:rsid w:val="00125BE4"/>
    <w:rsid w:val="0012639B"/>
    <w:rsid w:val="00130F7A"/>
    <w:rsid w:val="00131637"/>
    <w:rsid w:val="0013190A"/>
    <w:rsid w:val="00132817"/>
    <w:rsid w:val="00133E0E"/>
    <w:rsid w:val="0013443C"/>
    <w:rsid w:val="00135294"/>
    <w:rsid w:val="00141749"/>
    <w:rsid w:val="0014414D"/>
    <w:rsid w:val="0014442E"/>
    <w:rsid w:val="00144EE0"/>
    <w:rsid w:val="0014551B"/>
    <w:rsid w:val="00146B4E"/>
    <w:rsid w:val="0015062A"/>
    <w:rsid w:val="00151703"/>
    <w:rsid w:val="00152902"/>
    <w:rsid w:val="001529EA"/>
    <w:rsid w:val="00160110"/>
    <w:rsid w:val="00160662"/>
    <w:rsid w:val="001649DE"/>
    <w:rsid w:val="00167712"/>
    <w:rsid w:val="00171731"/>
    <w:rsid w:val="00172F53"/>
    <w:rsid w:val="00173426"/>
    <w:rsid w:val="00174AB9"/>
    <w:rsid w:val="001761F6"/>
    <w:rsid w:val="00177099"/>
    <w:rsid w:val="001809CE"/>
    <w:rsid w:val="001837DD"/>
    <w:rsid w:val="00184ABA"/>
    <w:rsid w:val="001900DF"/>
    <w:rsid w:val="001906E2"/>
    <w:rsid w:val="00190CE2"/>
    <w:rsid w:val="00195BE9"/>
    <w:rsid w:val="00195C8D"/>
    <w:rsid w:val="0019667A"/>
    <w:rsid w:val="00197713"/>
    <w:rsid w:val="001977B2"/>
    <w:rsid w:val="001A0847"/>
    <w:rsid w:val="001A4128"/>
    <w:rsid w:val="001A59D1"/>
    <w:rsid w:val="001A660E"/>
    <w:rsid w:val="001B24CA"/>
    <w:rsid w:val="001B2C67"/>
    <w:rsid w:val="001B3D5B"/>
    <w:rsid w:val="001B49DA"/>
    <w:rsid w:val="001B6B70"/>
    <w:rsid w:val="001B6FB7"/>
    <w:rsid w:val="001B70F4"/>
    <w:rsid w:val="001C008E"/>
    <w:rsid w:val="001C14D1"/>
    <w:rsid w:val="001C37D0"/>
    <w:rsid w:val="001C3965"/>
    <w:rsid w:val="001C437C"/>
    <w:rsid w:val="001C5E2A"/>
    <w:rsid w:val="001C6876"/>
    <w:rsid w:val="001C71E7"/>
    <w:rsid w:val="001C78BC"/>
    <w:rsid w:val="001D0853"/>
    <w:rsid w:val="001D3EB0"/>
    <w:rsid w:val="001D40C1"/>
    <w:rsid w:val="001D41E8"/>
    <w:rsid w:val="001E0710"/>
    <w:rsid w:val="001E0FC8"/>
    <w:rsid w:val="001E1F06"/>
    <w:rsid w:val="001E4081"/>
    <w:rsid w:val="001E4260"/>
    <w:rsid w:val="001E4C1D"/>
    <w:rsid w:val="001E4DD3"/>
    <w:rsid w:val="001E53DB"/>
    <w:rsid w:val="001E76F0"/>
    <w:rsid w:val="001F003F"/>
    <w:rsid w:val="001F024D"/>
    <w:rsid w:val="001F6EB4"/>
    <w:rsid w:val="001F72F2"/>
    <w:rsid w:val="00202B23"/>
    <w:rsid w:val="00203E8A"/>
    <w:rsid w:val="002060E8"/>
    <w:rsid w:val="00213489"/>
    <w:rsid w:val="00213623"/>
    <w:rsid w:val="002156E0"/>
    <w:rsid w:val="00220BE5"/>
    <w:rsid w:val="00220C2C"/>
    <w:rsid w:val="00220DDE"/>
    <w:rsid w:val="00224797"/>
    <w:rsid w:val="002262AA"/>
    <w:rsid w:val="002271BF"/>
    <w:rsid w:val="00227A0C"/>
    <w:rsid w:val="00227D77"/>
    <w:rsid w:val="00230213"/>
    <w:rsid w:val="00230811"/>
    <w:rsid w:val="00231669"/>
    <w:rsid w:val="00233C01"/>
    <w:rsid w:val="0023696B"/>
    <w:rsid w:val="0023720E"/>
    <w:rsid w:val="002379A3"/>
    <w:rsid w:val="002415B7"/>
    <w:rsid w:val="002434E7"/>
    <w:rsid w:val="0024377D"/>
    <w:rsid w:val="002453C0"/>
    <w:rsid w:val="00247B67"/>
    <w:rsid w:val="00251483"/>
    <w:rsid w:val="002539DC"/>
    <w:rsid w:val="002547CE"/>
    <w:rsid w:val="002550DA"/>
    <w:rsid w:val="00255C08"/>
    <w:rsid w:val="0025624A"/>
    <w:rsid w:val="0025699A"/>
    <w:rsid w:val="002613F5"/>
    <w:rsid w:val="002666E5"/>
    <w:rsid w:val="002730B2"/>
    <w:rsid w:val="00273D03"/>
    <w:rsid w:val="00274315"/>
    <w:rsid w:val="00274F27"/>
    <w:rsid w:val="00275E8F"/>
    <w:rsid w:val="00277112"/>
    <w:rsid w:val="002777B4"/>
    <w:rsid w:val="00280220"/>
    <w:rsid w:val="00280BCB"/>
    <w:rsid w:val="00282693"/>
    <w:rsid w:val="0028286D"/>
    <w:rsid w:val="00283146"/>
    <w:rsid w:val="00285E69"/>
    <w:rsid w:val="00286EBB"/>
    <w:rsid w:val="002907D2"/>
    <w:rsid w:val="0029365C"/>
    <w:rsid w:val="002942A7"/>
    <w:rsid w:val="002A22AA"/>
    <w:rsid w:val="002A38E3"/>
    <w:rsid w:val="002A5856"/>
    <w:rsid w:val="002A5943"/>
    <w:rsid w:val="002A5B6B"/>
    <w:rsid w:val="002A5D87"/>
    <w:rsid w:val="002A7DB0"/>
    <w:rsid w:val="002B05B2"/>
    <w:rsid w:val="002B0E7E"/>
    <w:rsid w:val="002B21EA"/>
    <w:rsid w:val="002B354D"/>
    <w:rsid w:val="002B3822"/>
    <w:rsid w:val="002B5DF2"/>
    <w:rsid w:val="002B6741"/>
    <w:rsid w:val="002B6E8F"/>
    <w:rsid w:val="002B75DE"/>
    <w:rsid w:val="002C176B"/>
    <w:rsid w:val="002C1D43"/>
    <w:rsid w:val="002C1FDB"/>
    <w:rsid w:val="002C24E2"/>
    <w:rsid w:val="002C340E"/>
    <w:rsid w:val="002C5A2D"/>
    <w:rsid w:val="002C704D"/>
    <w:rsid w:val="002D2947"/>
    <w:rsid w:val="002D6E06"/>
    <w:rsid w:val="002E075C"/>
    <w:rsid w:val="002E61B4"/>
    <w:rsid w:val="002E6AA0"/>
    <w:rsid w:val="002F20CB"/>
    <w:rsid w:val="002F229E"/>
    <w:rsid w:val="002F2BBB"/>
    <w:rsid w:val="002F3DAC"/>
    <w:rsid w:val="002F4C95"/>
    <w:rsid w:val="002F64CF"/>
    <w:rsid w:val="002F76F3"/>
    <w:rsid w:val="002F7F2A"/>
    <w:rsid w:val="003028D0"/>
    <w:rsid w:val="00302F8E"/>
    <w:rsid w:val="00306CCD"/>
    <w:rsid w:val="00310107"/>
    <w:rsid w:val="0031019E"/>
    <w:rsid w:val="003113E1"/>
    <w:rsid w:val="00316C58"/>
    <w:rsid w:val="00320051"/>
    <w:rsid w:val="00320810"/>
    <w:rsid w:val="003209BE"/>
    <w:rsid w:val="0032103B"/>
    <w:rsid w:val="00321259"/>
    <w:rsid w:val="00321B4D"/>
    <w:rsid w:val="00322A6A"/>
    <w:rsid w:val="00324D2F"/>
    <w:rsid w:val="00326DD1"/>
    <w:rsid w:val="00331052"/>
    <w:rsid w:val="003311E3"/>
    <w:rsid w:val="0033176D"/>
    <w:rsid w:val="00331B02"/>
    <w:rsid w:val="0033472A"/>
    <w:rsid w:val="00334C4F"/>
    <w:rsid w:val="00335A7A"/>
    <w:rsid w:val="00336722"/>
    <w:rsid w:val="00336F0D"/>
    <w:rsid w:val="00337BFF"/>
    <w:rsid w:val="00342018"/>
    <w:rsid w:val="003420F6"/>
    <w:rsid w:val="0034426B"/>
    <w:rsid w:val="00345589"/>
    <w:rsid w:val="00345B12"/>
    <w:rsid w:val="003467D1"/>
    <w:rsid w:val="00347309"/>
    <w:rsid w:val="00347C58"/>
    <w:rsid w:val="00350D1D"/>
    <w:rsid w:val="00352236"/>
    <w:rsid w:val="003563F9"/>
    <w:rsid w:val="00357F2F"/>
    <w:rsid w:val="00362CF6"/>
    <w:rsid w:val="00365075"/>
    <w:rsid w:val="003655C0"/>
    <w:rsid w:val="00366D8B"/>
    <w:rsid w:val="0036793D"/>
    <w:rsid w:val="00372BBD"/>
    <w:rsid w:val="00373C10"/>
    <w:rsid w:val="0037542C"/>
    <w:rsid w:val="00377BEA"/>
    <w:rsid w:val="0038142C"/>
    <w:rsid w:val="00382A5E"/>
    <w:rsid w:val="00382B7A"/>
    <w:rsid w:val="00382FD0"/>
    <w:rsid w:val="003911B3"/>
    <w:rsid w:val="00392AE8"/>
    <w:rsid w:val="0039382C"/>
    <w:rsid w:val="00394A42"/>
    <w:rsid w:val="00395F63"/>
    <w:rsid w:val="003A2F92"/>
    <w:rsid w:val="003A38FF"/>
    <w:rsid w:val="003A7559"/>
    <w:rsid w:val="003A7998"/>
    <w:rsid w:val="003B0003"/>
    <w:rsid w:val="003B1D0C"/>
    <w:rsid w:val="003B25FF"/>
    <w:rsid w:val="003B277B"/>
    <w:rsid w:val="003B3976"/>
    <w:rsid w:val="003B397E"/>
    <w:rsid w:val="003B5297"/>
    <w:rsid w:val="003C052D"/>
    <w:rsid w:val="003C1999"/>
    <w:rsid w:val="003C23CF"/>
    <w:rsid w:val="003C5915"/>
    <w:rsid w:val="003C78D5"/>
    <w:rsid w:val="003D083E"/>
    <w:rsid w:val="003D2FB7"/>
    <w:rsid w:val="003D2FF0"/>
    <w:rsid w:val="003D4FCA"/>
    <w:rsid w:val="003D6E35"/>
    <w:rsid w:val="003E0F28"/>
    <w:rsid w:val="003E1A5F"/>
    <w:rsid w:val="003E201F"/>
    <w:rsid w:val="003E2A51"/>
    <w:rsid w:val="003E3C7F"/>
    <w:rsid w:val="003F3AE9"/>
    <w:rsid w:val="003F41B5"/>
    <w:rsid w:val="004006FE"/>
    <w:rsid w:val="00400C25"/>
    <w:rsid w:val="00401251"/>
    <w:rsid w:val="004014CC"/>
    <w:rsid w:val="004121FD"/>
    <w:rsid w:val="0041267F"/>
    <w:rsid w:val="0041448A"/>
    <w:rsid w:val="00415275"/>
    <w:rsid w:val="00415458"/>
    <w:rsid w:val="00415A10"/>
    <w:rsid w:val="004164BE"/>
    <w:rsid w:val="00417B51"/>
    <w:rsid w:val="00420B4D"/>
    <w:rsid w:val="004211AB"/>
    <w:rsid w:val="0042282D"/>
    <w:rsid w:val="00422902"/>
    <w:rsid w:val="00424741"/>
    <w:rsid w:val="00424D24"/>
    <w:rsid w:val="00430192"/>
    <w:rsid w:val="00430DE8"/>
    <w:rsid w:val="00431EE9"/>
    <w:rsid w:val="00433FF8"/>
    <w:rsid w:val="004341BF"/>
    <w:rsid w:val="00437497"/>
    <w:rsid w:val="00440FBF"/>
    <w:rsid w:val="0044155D"/>
    <w:rsid w:val="00442AF2"/>
    <w:rsid w:val="00443DFE"/>
    <w:rsid w:val="00444970"/>
    <w:rsid w:val="00444DBD"/>
    <w:rsid w:val="00446551"/>
    <w:rsid w:val="00446AA7"/>
    <w:rsid w:val="004476D9"/>
    <w:rsid w:val="004507FC"/>
    <w:rsid w:val="00451645"/>
    <w:rsid w:val="00451AB5"/>
    <w:rsid w:val="00451B3E"/>
    <w:rsid w:val="00454C1F"/>
    <w:rsid w:val="00457581"/>
    <w:rsid w:val="0046180C"/>
    <w:rsid w:val="0046347B"/>
    <w:rsid w:val="004652E5"/>
    <w:rsid w:val="00465FE7"/>
    <w:rsid w:val="00466764"/>
    <w:rsid w:val="00467AC0"/>
    <w:rsid w:val="00470446"/>
    <w:rsid w:val="00470B20"/>
    <w:rsid w:val="00472FAD"/>
    <w:rsid w:val="00486624"/>
    <w:rsid w:val="00490905"/>
    <w:rsid w:val="00491A54"/>
    <w:rsid w:val="00491F3A"/>
    <w:rsid w:val="00494264"/>
    <w:rsid w:val="004943FB"/>
    <w:rsid w:val="0049712B"/>
    <w:rsid w:val="004977D3"/>
    <w:rsid w:val="00497DEC"/>
    <w:rsid w:val="004A31DD"/>
    <w:rsid w:val="004A3B8D"/>
    <w:rsid w:val="004A49FA"/>
    <w:rsid w:val="004B0336"/>
    <w:rsid w:val="004B0A72"/>
    <w:rsid w:val="004B0CAD"/>
    <w:rsid w:val="004B2F28"/>
    <w:rsid w:val="004B3004"/>
    <w:rsid w:val="004B314E"/>
    <w:rsid w:val="004B64A5"/>
    <w:rsid w:val="004B7B73"/>
    <w:rsid w:val="004B7B91"/>
    <w:rsid w:val="004C0126"/>
    <w:rsid w:val="004C0A7A"/>
    <w:rsid w:val="004C3B74"/>
    <w:rsid w:val="004C4246"/>
    <w:rsid w:val="004C5874"/>
    <w:rsid w:val="004D4178"/>
    <w:rsid w:val="004D486A"/>
    <w:rsid w:val="004D49E1"/>
    <w:rsid w:val="004D4A41"/>
    <w:rsid w:val="004D5ECF"/>
    <w:rsid w:val="004D66D2"/>
    <w:rsid w:val="004D675A"/>
    <w:rsid w:val="004D6D64"/>
    <w:rsid w:val="004D7121"/>
    <w:rsid w:val="004E0EAA"/>
    <w:rsid w:val="004E2442"/>
    <w:rsid w:val="004E3423"/>
    <w:rsid w:val="004E6E69"/>
    <w:rsid w:val="004E7A4E"/>
    <w:rsid w:val="004F04DD"/>
    <w:rsid w:val="004F30A8"/>
    <w:rsid w:val="004F32B0"/>
    <w:rsid w:val="004F331E"/>
    <w:rsid w:val="004F378E"/>
    <w:rsid w:val="004F3945"/>
    <w:rsid w:val="004F478A"/>
    <w:rsid w:val="004F56E7"/>
    <w:rsid w:val="00500016"/>
    <w:rsid w:val="00501928"/>
    <w:rsid w:val="00501A12"/>
    <w:rsid w:val="00502637"/>
    <w:rsid w:val="0050312F"/>
    <w:rsid w:val="005034F0"/>
    <w:rsid w:val="00504602"/>
    <w:rsid w:val="00507E25"/>
    <w:rsid w:val="00510892"/>
    <w:rsid w:val="00511001"/>
    <w:rsid w:val="005123F6"/>
    <w:rsid w:val="005162E9"/>
    <w:rsid w:val="00523002"/>
    <w:rsid w:val="005236E0"/>
    <w:rsid w:val="00523B8F"/>
    <w:rsid w:val="00524207"/>
    <w:rsid w:val="005242FF"/>
    <w:rsid w:val="00526306"/>
    <w:rsid w:val="005263E3"/>
    <w:rsid w:val="00527E1E"/>
    <w:rsid w:val="0053344B"/>
    <w:rsid w:val="005334C7"/>
    <w:rsid w:val="005339F9"/>
    <w:rsid w:val="005400CE"/>
    <w:rsid w:val="00540B41"/>
    <w:rsid w:val="00540F21"/>
    <w:rsid w:val="00543C81"/>
    <w:rsid w:val="00545572"/>
    <w:rsid w:val="00546D67"/>
    <w:rsid w:val="00546F32"/>
    <w:rsid w:val="00547629"/>
    <w:rsid w:val="00551C7D"/>
    <w:rsid w:val="005521BF"/>
    <w:rsid w:val="00555D72"/>
    <w:rsid w:val="00556061"/>
    <w:rsid w:val="00557069"/>
    <w:rsid w:val="0056114D"/>
    <w:rsid w:val="00561417"/>
    <w:rsid w:val="00561841"/>
    <w:rsid w:val="00561DAE"/>
    <w:rsid w:val="0056341F"/>
    <w:rsid w:val="0056352D"/>
    <w:rsid w:val="0056383F"/>
    <w:rsid w:val="00564A02"/>
    <w:rsid w:val="00564AC0"/>
    <w:rsid w:val="005652BC"/>
    <w:rsid w:val="00566DA7"/>
    <w:rsid w:val="0057025A"/>
    <w:rsid w:val="00570E9E"/>
    <w:rsid w:val="0057171E"/>
    <w:rsid w:val="00571CE1"/>
    <w:rsid w:val="00572A57"/>
    <w:rsid w:val="005739E1"/>
    <w:rsid w:val="005746C1"/>
    <w:rsid w:val="005761B6"/>
    <w:rsid w:val="00576EE5"/>
    <w:rsid w:val="005809B9"/>
    <w:rsid w:val="00582AF1"/>
    <w:rsid w:val="00583FB9"/>
    <w:rsid w:val="00584144"/>
    <w:rsid w:val="00584444"/>
    <w:rsid w:val="00584B42"/>
    <w:rsid w:val="0058666B"/>
    <w:rsid w:val="00587683"/>
    <w:rsid w:val="005906EA"/>
    <w:rsid w:val="00590B5A"/>
    <w:rsid w:val="005923C1"/>
    <w:rsid w:val="00595EF0"/>
    <w:rsid w:val="005A167C"/>
    <w:rsid w:val="005A1847"/>
    <w:rsid w:val="005A557A"/>
    <w:rsid w:val="005A5D92"/>
    <w:rsid w:val="005A5F3F"/>
    <w:rsid w:val="005A61F5"/>
    <w:rsid w:val="005B0155"/>
    <w:rsid w:val="005B226E"/>
    <w:rsid w:val="005B3A81"/>
    <w:rsid w:val="005B45D3"/>
    <w:rsid w:val="005B4E8C"/>
    <w:rsid w:val="005B5EE5"/>
    <w:rsid w:val="005C108F"/>
    <w:rsid w:val="005C19BB"/>
    <w:rsid w:val="005C2B39"/>
    <w:rsid w:val="005C30FB"/>
    <w:rsid w:val="005C60A0"/>
    <w:rsid w:val="005C6C3B"/>
    <w:rsid w:val="005C7AFC"/>
    <w:rsid w:val="005D040B"/>
    <w:rsid w:val="005D1B25"/>
    <w:rsid w:val="005D3D4B"/>
    <w:rsid w:val="005D4A67"/>
    <w:rsid w:val="005D713E"/>
    <w:rsid w:val="005D7AEC"/>
    <w:rsid w:val="005E0DD4"/>
    <w:rsid w:val="005E1B39"/>
    <w:rsid w:val="005E2311"/>
    <w:rsid w:val="005E5DA6"/>
    <w:rsid w:val="005E6B45"/>
    <w:rsid w:val="005E6BEA"/>
    <w:rsid w:val="005E7C1A"/>
    <w:rsid w:val="005F0A56"/>
    <w:rsid w:val="005F1A03"/>
    <w:rsid w:val="005F491A"/>
    <w:rsid w:val="006040B0"/>
    <w:rsid w:val="0060494D"/>
    <w:rsid w:val="0061030E"/>
    <w:rsid w:val="0061263B"/>
    <w:rsid w:val="00615689"/>
    <w:rsid w:val="00620099"/>
    <w:rsid w:val="006244CC"/>
    <w:rsid w:val="00624AAB"/>
    <w:rsid w:val="0062578F"/>
    <w:rsid w:val="00626B9B"/>
    <w:rsid w:val="0062766E"/>
    <w:rsid w:val="00627B51"/>
    <w:rsid w:val="0063134D"/>
    <w:rsid w:val="006316A5"/>
    <w:rsid w:val="00632AF0"/>
    <w:rsid w:val="006337D2"/>
    <w:rsid w:val="00636A4E"/>
    <w:rsid w:val="00637C23"/>
    <w:rsid w:val="0064093F"/>
    <w:rsid w:val="00641BB8"/>
    <w:rsid w:val="006426D9"/>
    <w:rsid w:val="00642C28"/>
    <w:rsid w:val="00643BDE"/>
    <w:rsid w:val="0064520C"/>
    <w:rsid w:val="00647145"/>
    <w:rsid w:val="00647A24"/>
    <w:rsid w:val="00653716"/>
    <w:rsid w:val="00653F7F"/>
    <w:rsid w:val="0065532D"/>
    <w:rsid w:val="00656BFE"/>
    <w:rsid w:val="00663301"/>
    <w:rsid w:val="0066352F"/>
    <w:rsid w:val="0066715D"/>
    <w:rsid w:val="0067088B"/>
    <w:rsid w:val="00672224"/>
    <w:rsid w:val="0067336C"/>
    <w:rsid w:val="006740BC"/>
    <w:rsid w:val="00674C6B"/>
    <w:rsid w:val="00676182"/>
    <w:rsid w:val="00677274"/>
    <w:rsid w:val="00677499"/>
    <w:rsid w:val="00680BC3"/>
    <w:rsid w:val="00681751"/>
    <w:rsid w:val="00682D33"/>
    <w:rsid w:val="006844D7"/>
    <w:rsid w:val="006867B7"/>
    <w:rsid w:val="0068796D"/>
    <w:rsid w:val="00690242"/>
    <w:rsid w:val="006920A2"/>
    <w:rsid w:val="00693250"/>
    <w:rsid w:val="006942CF"/>
    <w:rsid w:val="00696F35"/>
    <w:rsid w:val="00697B5F"/>
    <w:rsid w:val="006A0023"/>
    <w:rsid w:val="006A05A7"/>
    <w:rsid w:val="006A1037"/>
    <w:rsid w:val="006A217F"/>
    <w:rsid w:val="006A3368"/>
    <w:rsid w:val="006A48D3"/>
    <w:rsid w:val="006A4D50"/>
    <w:rsid w:val="006A4E25"/>
    <w:rsid w:val="006A75D2"/>
    <w:rsid w:val="006B3FFA"/>
    <w:rsid w:val="006B4EBE"/>
    <w:rsid w:val="006B503D"/>
    <w:rsid w:val="006C0359"/>
    <w:rsid w:val="006C2D9F"/>
    <w:rsid w:val="006C3F99"/>
    <w:rsid w:val="006C4B47"/>
    <w:rsid w:val="006C6430"/>
    <w:rsid w:val="006C6938"/>
    <w:rsid w:val="006C6D39"/>
    <w:rsid w:val="006C76C0"/>
    <w:rsid w:val="006C7CD1"/>
    <w:rsid w:val="006C7F61"/>
    <w:rsid w:val="006D1E29"/>
    <w:rsid w:val="006D281D"/>
    <w:rsid w:val="006D368A"/>
    <w:rsid w:val="006D4EED"/>
    <w:rsid w:val="006D619F"/>
    <w:rsid w:val="006D7F4A"/>
    <w:rsid w:val="006E0703"/>
    <w:rsid w:val="006E1D1B"/>
    <w:rsid w:val="006E20D4"/>
    <w:rsid w:val="006E2736"/>
    <w:rsid w:val="006F1680"/>
    <w:rsid w:val="006F18F8"/>
    <w:rsid w:val="006F1CE9"/>
    <w:rsid w:val="006F2980"/>
    <w:rsid w:val="006F3A08"/>
    <w:rsid w:val="006F3DC4"/>
    <w:rsid w:val="006F4128"/>
    <w:rsid w:val="006F64B1"/>
    <w:rsid w:val="00701B63"/>
    <w:rsid w:val="00702A28"/>
    <w:rsid w:val="007062D7"/>
    <w:rsid w:val="007070D7"/>
    <w:rsid w:val="007077BA"/>
    <w:rsid w:val="00707840"/>
    <w:rsid w:val="00707FC0"/>
    <w:rsid w:val="00710558"/>
    <w:rsid w:val="0071264F"/>
    <w:rsid w:val="00716401"/>
    <w:rsid w:val="00716B54"/>
    <w:rsid w:val="00717002"/>
    <w:rsid w:val="00722365"/>
    <w:rsid w:val="0072241B"/>
    <w:rsid w:val="00724F4C"/>
    <w:rsid w:val="00731729"/>
    <w:rsid w:val="00735033"/>
    <w:rsid w:val="00736330"/>
    <w:rsid w:val="0074029F"/>
    <w:rsid w:val="007405DC"/>
    <w:rsid w:val="007419CC"/>
    <w:rsid w:val="00743BAC"/>
    <w:rsid w:val="00744578"/>
    <w:rsid w:val="007450BB"/>
    <w:rsid w:val="00746343"/>
    <w:rsid w:val="00747D2E"/>
    <w:rsid w:val="00747EC8"/>
    <w:rsid w:val="007508AB"/>
    <w:rsid w:val="00751CAB"/>
    <w:rsid w:val="00752008"/>
    <w:rsid w:val="0075246F"/>
    <w:rsid w:val="007557AC"/>
    <w:rsid w:val="00755840"/>
    <w:rsid w:val="0075799C"/>
    <w:rsid w:val="00760711"/>
    <w:rsid w:val="007622AC"/>
    <w:rsid w:val="0076297D"/>
    <w:rsid w:val="00766AC2"/>
    <w:rsid w:val="00767AFD"/>
    <w:rsid w:val="0077160B"/>
    <w:rsid w:val="00771730"/>
    <w:rsid w:val="00773363"/>
    <w:rsid w:val="007744D0"/>
    <w:rsid w:val="00774A46"/>
    <w:rsid w:val="00777FCD"/>
    <w:rsid w:val="007814B8"/>
    <w:rsid w:val="007818B8"/>
    <w:rsid w:val="00782FE4"/>
    <w:rsid w:val="00783840"/>
    <w:rsid w:val="00783BCF"/>
    <w:rsid w:val="00784475"/>
    <w:rsid w:val="007844F6"/>
    <w:rsid w:val="00785B6C"/>
    <w:rsid w:val="00786B91"/>
    <w:rsid w:val="007873EA"/>
    <w:rsid w:val="00787E05"/>
    <w:rsid w:val="007903AB"/>
    <w:rsid w:val="007909C3"/>
    <w:rsid w:val="007911AE"/>
    <w:rsid w:val="007945D7"/>
    <w:rsid w:val="00795801"/>
    <w:rsid w:val="0079601F"/>
    <w:rsid w:val="0079670A"/>
    <w:rsid w:val="007A062D"/>
    <w:rsid w:val="007A1036"/>
    <w:rsid w:val="007A3A71"/>
    <w:rsid w:val="007A4E52"/>
    <w:rsid w:val="007A5FEE"/>
    <w:rsid w:val="007A73F7"/>
    <w:rsid w:val="007B0295"/>
    <w:rsid w:val="007B4AFC"/>
    <w:rsid w:val="007B719A"/>
    <w:rsid w:val="007C08CD"/>
    <w:rsid w:val="007C31E8"/>
    <w:rsid w:val="007D0962"/>
    <w:rsid w:val="007D09BC"/>
    <w:rsid w:val="007D31C4"/>
    <w:rsid w:val="007D3280"/>
    <w:rsid w:val="007D567C"/>
    <w:rsid w:val="007D64C6"/>
    <w:rsid w:val="007D6D5F"/>
    <w:rsid w:val="007D70B8"/>
    <w:rsid w:val="007E1714"/>
    <w:rsid w:val="007E175D"/>
    <w:rsid w:val="007E28D1"/>
    <w:rsid w:val="007E2B0F"/>
    <w:rsid w:val="007E4219"/>
    <w:rsid w:val="007E433A"/>
    <w:rsid w:val="007E76E9"/>
    <w:rsid w:val="007E77C7"/>
    <w:rsid w:val="007E7A0C"/>
    <w:rsid w:val="007F005B"/>
    <w:rsid w:val="007F1D81"/>
    <w:rsid w:val="007F37FA"/>
    <w:rsid w:val="007F4255"/>
    <w:rsid w:val="007F6D42"/>
    <w:rsid w:val="0080007B"/>
    <w:rsid w:val="008011AA"/>
    <w:rsid w:val="00802A61"/>
    <w:rsid w:val="008034DC"/>
    <w:rsid w:val="00804946"/>
    <w:rsid w:val="00807603"/>
    <w:rsid w:val="00810887"/>
    <w:rsid w:val="00810A09"/>
    <w:rsid w:val="008115FB"/>
    <w:rsid w:val="00811894"/>
    <w:rsid w:val="008125AB"/>
    <w:rsid w:val="00812997"/>
    <w:rsid w:val="00816619"/>
    <w:rsid w:val="0082033D"/>
    <w:rsid w:val="00820777"/>
    <w:rsid w:val="008209A8"/>
    <w:rsid w:val="0082377C"/>
    <w:rsid w:val="0082382D"/>
    <w:rsid w:val="00825215"/>
    <w:rsid w:val="00827D03"/>
    <w:rsid w:val="008301D8"/>
    <w:rsid w:val="00836193"/>
    <w:rsid w:val="0084088A"/>
    <w:rsid w:val="00841193"/>
    <w:rsid w:val="00843FF2"/>
    <w:rsid w:val="00844CA7"/>
    <w:rsid w:val="00846D30"/>
    <w:rsid w:val="00846E9E"/>
    <w:rsid w:val="00847C22"/>
    <w:rsid w:val="00847CFB"/>
    <w:rsid w:val="00850261"/>
    <w:rsid w:val="008504F1"/>
    <w:rsid w:val="00850FAE"/>
    <w:rsid w:val="00851D45"/>
    <w:rsid w:val="00853C9A"/>
    <w:rsid w:val="00855D13"/>
    <w:rsid w:val="00856781"/>
    <w:rsid w:val="008573EB"/>
    <w:rsid w:val="00857D66"/>
    <w:rsid w:val="00857D81"/>
    <w:rsid w:val="0086067C"/>
    <w:rsid w:val="008625A8"/>
    <w:rsid w:val="00864ECC"/>
    <w:rsid w:val="00865304"/>
    <w:rsid w:val="00865775"/>
    <w:rsid w:val="00866E0F"/>
    <w:rsid w:val="00867C5D"/>
    <w:rsid w:val="00870933"/>
    <w:rsid w:val="008720B0"/>
    <w:rsid w:val="00872999"/>
    <w:rsid w:val="00872A62"/>
    <w:rsid w:val="00876314"/>
    <w:rsid w:val="00880049"/>
    <w:rsid w:val="008840EB"/>
    <w:rsid w:val="00887B29"/>
    <w:rsid w:val="00887FEB"/>
    <w:rsid w:val="00890239"/>
    <w:rsid w:val="00890559"/>
    <w:rsid w:val="0089078A"/>
    <w:rsid w:val="0089117D"/>
    <w:rsid w:val="008959AB"/>
    <w:rsid w:val="00895E79"/>
    <w:rsid w:val="00897AB4"/>
    <w:rsid w:val="008A010F"/>
    <w:rsid w:val="008A0265"/>
    <w:rsid w:val="008A17F7"/>
    <w:rsid w:val="008A1DB8"/>
    <w:rsid w:val="008A2314"/>
    <w:rsid w:val="008A2E60"/>
    <w:rsid w:val="008A4808"/>
    <w:rsid w:val="008A57EB"/>
    <w:rsid w:val="008B1EA8"/>
    <w:rsid w:val="008B4BFD"/>
    <w:rsid w:val="008B4DEF"/>
    <w:rsid w:val="008B5A50"/>
    <w:rsid w:val="008B641B"/>
    <w:rsid w:val="008C5EB1"/>
    <w:rsid w:val="008C6624"/>
    <w:rsid w:val="008D0826"/>
    <w:rsid w:val="008D2723"/>
    <w:rsid w:val="008D3434"/>
    <w:rsid w:val="008D5B0D"/>
    <w:rsid w:val="008E2D4E"/>
    <w:rsid w:val="008E2DF5"/>
    <w:rsid w:val="008E32CF"/>
    <w:rsid w:val="008E45E4"/>
    <w:rsid w:val="008F2888"/>
    <w:rsid w:val="008F58BE"/>
    <w:rsid w:val="008F78B8"/>
    <w:rsid w:val="0090173D"/>
    <w:rsid w:val="0090379B"/>
    <w:rsid w:val="00912637"/>
    <w:rsid w:val="00916A3F"/>
    <w:rsid w:val="0091730A"/>
    <w:rsid w:val="00926509"/>
    <w:rsid w:val="00927CF7"/>
    <w:rsid w:val="00930F6D"/>
    <w:rsid w:val="0093142D"/>
    <w:rsid w:val="009353E8"/>
    <w:rsid w:val="009363B2"/>
    <w:rsid w:val="00940193"/>
    <w:rsid w:val="00941EE2"/>
    <w:rsid w:val="009459B7"/>
    <w:rsid w:val="00945F07"/>
    <w:rsid w:val="00945FA0"/>
    <w:rsid w:val="00946032"/>
    <w:rsid w:val="0095123D"/>
    <w:rsid w:val="0095231D"/>
    <w:rsid w:val="00952B9C"/>
    <w:rsid w:val="00952F2A"/>
    <w:rsid w:val="00954FFB"/>
    <w:rsid w:val="00956C1C"/>
    <w:rsid w:val="00960027"/>
    <w:rsid w:val="00960450"/>
    <w:rsid w:val="009609CA"/>
    <w:rsid w:val="00962CC0"/>
    <w:rsid w:val="00964413"/>
    <w:rsid w:val="0096574C"/>
    <w:rsid w:val="00965DC9"/>
    <w:rsid w:val="00966F50"/>
    <w:rsid w:val="00971277"/>
    <w:rsid w:val="00971854"/>
    <w:rsid w:val="0097471C"/>
    <w:rsid w:val="00974D9F"/>
    <w:rsid w:val="009768A0"/>
    <w:rsid w:val="00976DF9"/>
    <w:rsid w:val="00976FBE"/>
    <w:rsid w:val="0097780C"/>
    <w:rsid w:val="009809AB"/>
    <w:rsid w:val="00983E4F"/>
    <w:rsid w:val="00984F63"/>
    <w:rsid w:val="00985B4C"/>
    <w:rsid w:val="00993379"/>
    <w:rsid w:val="00996B7A"/>
    <w:rsid w:val="009A0857"/>
    <w:rsid w:val="009A0E96"/>
    <w:rsid w:val="009A145A"/>
    <w:rsid w:val="009A179F"/>
    <w:rsid w:val="009A2D2D"/>
    <w:rsid w:val="009A30B8"/>
    <w:rsid w:val="009A3CD9"/>
    <w:rsid w:val="009A45B3"/>
    <w:rsid w:val="009A70D7"/>
    <w:rsid w:val="009A76F7"/>
    <w:rsid w:val="009B12F6"/>
    <w:rsid w:val="009B4D85"/>
    <w:rsid w:val="009B5822"/>
    <w:rsid w:val="009C04C8"/>
    <w:rsid w:val="009C1115"/>
    <w:rsid w:val="009C11CD"/>
    <w:rsid w:val="009C2479"/>
    <w:rsid w:val="009C3DAA"/>
    <w:rsid w:val="009C73B8"/>
    <w:rsid w:val="009D0321"/>
    <w:rsid w:val="009D1CB8"/>
    <w:rsid w:val="009D3F3D"/>
    <w:rsid w:val="009D4B86"/>
    <w:rsid w:val="009D55A6"/>
    <w:rsid w:val="009D5C7E"/>
    <w:rsid w:val="009D7541"/>
    <w:rsid w:val="009E0304"/>
    <w:rsid w:val="009E1554"/>
    <w:rsid w:val="009E2641"/>
    <w:rsid w:val="009E3021"/>
    <w:rsid w:val="009E6025"/>
    <w:rsid w:val="009E74FE"/>
    <w:rsid w:val="009E78D0"/>
    <w:rsid w:val="009F11F9"/>
    <w:rsid w:val="009F1212"/>
    <w:rsid w:val="009F2FB6"/>
    <w:rsid w:val="009F48EB"/>
    <w:rsid w:val="009F5373"/>
    <w:rsid w:val="009F5441"/>
    <w:rsid w:val="009F5642"/>
    <w:rsid w:val="009F6518"/>
    <w:rsid w:val="009F7034"/>
    <w:rsid w:val="00A00D57"/>
    <w:rsid w:val="00A00F67"/>
    <w:rsid w:val="00A0142C"/>
    <w:rsid w:val="00A03179"/>
    <w:rsid w:val="00A079A8"/>
    <w:rsid w:val="00A11833"/>
    <w:rsid w:val="00A13507"/>
    <w:rsid w:val="00A13BA5"/>
    <w:rsid w:val="00A1487B"/>
    <w:rsid w:val="00A16366"/>
    <w:rsid w:val="00A1761E"/>
    <w:rsid w:val="00A203A0"/>
    <w:rsid w:val="00A210C4"/>
    <w:rsid w:val="00A328A9"/>
    <w:rsid w:val="00A33807"/>
    <w:rsid w:val="00A36EAD"/>
    <w:rsid w:val="00A378CC"/>
    <w:rsid w:val="00A415B2"/>
    <w:rsid w:val="00A41B95"/>
    <w:rsid w:val="00A424A8"/>
    <w:rsid w:val="00A43E06"/>
    <w:rsid w:val="00A44D22"/>
    <w:rsid w:val="00A466D8"/>
    <w:rsid w:val="00A46F31"/>
    <w:rsid w:val="00A47EF4"/>
    <w:rsid w:val="00A51782"/>
    <w:rsid w:val="00A52AA1"/>
    <w:rsid w:val="00A53C86"/>
    <w:rsid w:val="00A541D5"/>
    <w:rsid w:val="00A54F94"/>
    <w:rsid w:val="00A55275"/>
    <w:rsid w:val="00A55807"/>
    <w:rsid w:val="00A55E64"/>
    <w:rsid w:val="00A5603A"/>
    <w:rsid w:val="00A605E3"/>
    <w:rsid w:val="00A62488"/>
    <w:rsid w:val="00A629E7"/>
    <w:rsid w:val="00A632FD"/>
    <w:rsid w:val="00A66266"/>
    <w:rsid w:val="00A66B36"/>
    <w:rsid w:val="00A66D66"/>
    <w:rsid w:val="00A66E76"/>
    <w:rsid w:val="00A74CD1"/>
    <w:rsid w:val="00A76D95"/>
    <w:rsid w:val="00A817FA"/>
    <w:rsid w:val="00A81A0E"/>
    <w:rsid w:val="00A828C5"/>
    <w:rsid w:val="00A8321F"/>
    <w:rsid w:val="00A85566"/>
    <w:rsid w:val="00A86B73"/>
    <w:rsid w:val="00A92085"/>
    <w:rsid w:val="00A93A10"/>
    <w:rsid w:val="00A9407C"/>
    <w:rsid w:val="00A94D74"/>
    <w:rsid w:val="00AA0F85"/>
    <w:rsid w:val="00AA2ABC"/>
    <w:rsid w:val="00AA2F0E"/>
    <w:rsid w:val="00AA49E0"/>
    <w:rsid w:val="00AA4F9C"/>
    <w:rsid w:val="00AA56D4"/>
    <w:rsid w:val="00AA694D"/>
    <w:rsid w:val="00AA6C32"/>
    <w:rsid w:val="00AB00ED"/>
    <w:rsid w:val="00AB5983"/>
    <w:rsid w:val="00AB6788"/>
    <w:rsid w:val="00AC0409"/>
    <w:rsid w:val="00AC2A05"/>
    <w:rsid w:val="00AC3031"/>
    <w:rsid w:val="00AC372C"/>
    <w:rsid w:val="00AC44A5"/>
    <w:rsid w:val="00AC44DB"/>
    <w:rsid w:val="00AC4A04"/>
    <w:rsid w:val="00AC7AB2"/>
    <w:rsid w:val="00AC7B79"/>
    <w:rsid w:val="00AC7F55"/>
    <w:rsid w:val="00AD4B32"/>
    <w:rsid w:val="00AD4D9B"/>
    <w:rsid w:val="00AD5F2F"/>
    <w:rsid w:val="00AD5F7E"/>
    <w:rsid w:val="00AD64A0"/>
    <w:rsid w:val="00AD741D"/>
    <w:rsid w:val="00AD786A"/>
    <w:rsid w:val="00AD7EC0"/>
    <w:rsid w:val="00AE02B0"/>
    <w:rsid w:val="00AE0A04"/>
    <w:rsid w:val="00AE0B5C"/>
    <w:rsid w:val="00AE4723"/>
    <w:rsid w:val="00AE4D4D"/>
    <w:rsid w:val="00AE71D2"/>
    <w:rsid w:val="00AF4775"/>
    <w:rsid w:val="00AF4D29"/>
    <w:rsid w:val="00AF4F14"/>
    <w:rsid w:val="00AF757C"/>
    <w:rsid w:val="00B008F6"/>
    <w:rsid w:val="00B0156F"/>
    <w:rsid w:val="00B05F0E"/>
    <w:rsid w:val="00B06393"/>
    <w:rsid w:val="00B06421"/>
    <w:rsid w:val="00B112C0"/>
    <w:rsid w:val="00B12099"/>
    <w:rsid w:val="00B1330B"/>
    <w:rsid w:val="00B1432A"/>
    <w:rsid w:val="00B14597"/>
    <w:rsid w:val="00B14A70"/>
    <w:rsid w:val="00B15443"/>
    <w:rsid w:val="00B15EA1"/>
    <w:rsid w:val="00B1717D"/>
    <w:rsid w:val="00B20ED6"/>
    <w:rsid w:val="00B259AA"/>
    <w:rsid w:val="00B27494"/>
    <w:rsid w:val="00B3007C"/>
    <w:rsid w:val="00B3100C"/>
    <w:rsid w:val="00B34668"/>
    <w:rsid w:val="00B36A9B"/>
    <w:rsid w:val="00B40482"/>
    <w:rsid w:val="00B45AC4"/>
    <w:rsid w:val="00B46D3B"/>
    <w:rsid w:val="00B51540"/>
    <w:rsid w:val="00B52F12"/>
    <w:rsid w:val="00B55A36"/>
    <w:rsid w:val="00B55AF7"/>
    <w:rsid w:val="00B56361"/>
    <w:rsid w:val="00B563D8"/>
    <w:rsid w:val="00B563ED"/>
    <w:rsid w:val="00B63373"/>
    <w:rsid w:val="00B63D01"/>
    <w:rsid w:val="00B64F9C"/>
    <w:rsid w:val="00B65D51"/>
    <w:rsid w:val="00B70200"/>
    <w:rsid w:val="00B72363"/>
    <w:rsid w:val="00B7557E"/>
    <w:rsid w:val="00B77C35"/>
    <w:rsid w:val="00B80811"/>
    <w:rsid w:val="00B80BCB"/>
    <w:rsid w:val="00B80C7E"/>
    <w:rsid w:val="00B841F0"/>
    <w:rsid w:val="00B87BC2"/>
    <w:rsid w:val="00B9256D"/>
    <w:rsid w:val="00B931B4"/>
    <w:rsid w:val="00B943AD"/>
    <w:rsid w:val="00B94DEF"/>
    <w:rsid w:val="00B956F0"/>
    <w:rsid w:val="00BA13D0"/>
    <w:rsid w:val="00BA19CF"/>
    <w:rsid w:val="00BA1A33"/>
    <w:rsid w:val="00BA369F"/>
    <w:rsid w:val="00BA385A"/>
    <w:rsid w:val="00BA3D69"/>
    <w:rsid w:val="00BA5AC5"/>
    <w:rsid w:val="00BB01FB"/>
    <w:rsid w:val="00BB0A56"/>
    <w:rsid w:val="00BB3604"/>
    <w:rsid w:val="00BB4354"/>
    <w:rsid w:val="00BB4DF4"/>
    <w:rsid w:val="00BB5209"/>
    <w:rsid w:val="00BC12F2"/>
    <w:rsid w:val="00BC3A10"/>
    <w:rsid w:val="00BC5BC2"/>
    <w:rsid w:val="00BC5CC2"/>
    <w:rsid w:val="00BC6779"/>
    <w:rsid w:val="00BC725D"/>
    <w:rsid w:val="00BD1570"/>
    <w:rsid w:val="00BD456C"/>
    <w:rsid w:val="00BD5A6D"/>
    <w:rsid w:val="00BE1702"/>
    <w:rsid w:val="00BE2B53"/>
    <w:rsid w:val="00BE302C"/>
    <w:rsid w:val="00BE3FFE"/>
    <w:rsid w:val="00BE43EE"/>
    <w:rsid w:val="00BE6F14"/>
    <w:rsid w:val="00BE7A0F"/>
    <w:rsid w:val="00BF0343"/>
    <w:rsid w:val="00BF0C1E"/>
    <w:rsid w:val="00BF3008"/>
    <w:rsid w:val="00BF45C2"/>
    <w:rsid w:val="00BF57F1"/>
    <w:rsid w:val="00BF6422"/>
    <w:rsid w:val="00BF699B"/>
    <w:rsid w:val="00BF7714"/>
    <w:rsid w:val="00BF7DA6"/>
    <w:rsid w:val="00C00442"/>
    <w:rsid w:val="00C01ABA"/>
    <w:rsid w:val="00C0325B"/>
    <w:rsid w:val="00C03475"/>
    <w:rsid w:val="00C03FFD"/>
    <w:rsid w:val="00C042A9"/>
    <w:rsid w:val="00C057F1"/>
    <w:rsid w:val="00C066D7"/>
    <w:rsid w:val="00C12571"/>
    <w:rsid w:val="00C13366"/>
    <w:rsid w:val="00C14F90"/>
    <w:rsid w:val="00C17CC2"/>
    <w:rsid w:val="00C20D48"/>
    <w:rsid w:val="00C21362"/>
    <w:rsid w:val="00C22CA5"/>
    <w:rsid w:val="00C23ACE"/>
    <w:rsid w:val="00C25776"/>
    <w:rsid w:val="00C25BA6"/>
    <w:rsid w:val="00C26EB1"/>
    <w:rsid w:val="00C30C09"/>
    <w:rsid w:val="00C33EBA"/>
    <w:rsid w:val="00C34F60"/>
    <w:rsid w:val="00C354A4"/>
    <w:rsid w:val="00C372C4"/>
    <w:rsid w:val="00C374D3"/>
    <w:rsid w:val="00C41948"/>
    <w:rsid w:val="00C4282E"/>
    <w:rsid w:val="00C44371"/>
    <w:rsid w:val="00C445F2"/>
    <w:rsid w:val="00C46C82"/>
    <w:rsid w:val="00C50682"/>
    <w:rsid w:val="00C51801"/>
    <w:rsid w:val="00C53015"/>
    <w:rsid w:val="00C6048B"/>
    <w:rsid w:val="00C60CE5"/>
    <w:rsid w:val="00C610F7"/>
    <w:rsid w:val="00C62C33"/>
    <w:rsid w:val="00C63A77"/>
    <w:rsid w:val="00C6601C"/>
    <w:rsid w:val="00C66A90"/>
    <w:rsid w:val="00C700B6"/>
    <w:rsid w:val="00C708A4"/>
    <w:rsid w:val="00C70DE8"/>
    <w:rsid w:val="00C7155B"/>
    <w:rsid w:val="00C75DD9"/>
    <w:rsid w:val="00C76497"/>
    <w:rsid w:val="00C76EA7"/>
    <w:rsid w:val="00C803C7"/>
    <w:rsid w:val="00C806CA"/>
    <w:rsid w:val="00C82907"/>
    <w:rsid w:val="00C82E5F"/>
    <w:rsid w:val="00C84163"/>
    <w:rsid w:val="00C849DC"/>
    <w:rsid w:val="00C858E1"/>
    <w:rsid w:val="00C860CF"/>
    <w:rsid w:val="00C86376"/>
    <w:rsid w:val="00C9066F"/>
    <w:rsid w:val="00C90D44"/>
    <w:rsid w:val="00C92531"/>
    <w:rsid w:val="00C93B37"/>
    <w:rsid w:val="00C95303"/>
    <w:rsid w:val="00C96315"/>
    <w:rsid w:val="00CA2C66"/>
    <w:rsid w:val="00CA358B"/>
    <w:rsid w:val="00CA3630"/>
    <w:rsid w:val="00CA4990"/>
    <w:rsid w:val="00CA4C0A"/>
    <w:rsid w:val="00CA5394"/>
    <w:rsid w:val="00CA5C02"/>
    <w:rsid w:val="00CA64B6"/>
    <w:rsid w:val="00CA6A25"/>
    <w:rsid w:val="00CA6A2D"/>
    <w:rsid w:val="00CA6ECF"/>
    <w:rsid w:val="00CA7F8C"/>
    <w:rsid w:val="00CB12C0"/>
    <w:rsid w:val="00CB2AEF"/>
    <w:rsid w:val="00CB400E"/>
    <w:rsid w:val="00CB749D"/>
    <w:rsid w:val="00CB7AD6"/>
    <w:rsid w:val="00CC1D20"/>
    <w:rsid w:val="00CC1E79"/>
    <w:rsid w:val="00CC21C6"/>
    <w:rsid w:val="00CC6535"/>
    <w:rsid w:val="00CC6D25"/>
    <w:rsid w:val="00CC70E0"/>
    <w:rsid w:val="00CD0021"/>
    <w:rsid w:val="00CD236D"/>
    <w:rsid w:val="00CD2F66"/>
    <w:rsid w:val="00CD3201"/>
    <w:rsid w:val="00CD493D"/>
    <w:rsid w:val="00CE4343"/>
    <w:rsid w:val="00CE4D49"/>
    <w:rsid w:val="00CE5271"/>
    <w:rsid w:val="00CF0A9A"/>
    <w:rsid w:val="00CF586B"/>
    <w:rsid w:val="00CF5F28"/>
    <w:rsid w:val="00CF69F7"/>
    <w:rsid w:val="00CF7969"/>
    <w:rsid w:val="00D05476"/>
    <w:rsid w:val="00D064FE"/>
    <w:rsid w:val="00D06AA3"/>
    <w:rsid w:val="00D10E8F"/>
    <w:rsid w:val="00D11975"/>
    <w:rsid w:val="00D12563"/>
    <w:rsid w:val="00D135F2"/>
    <w:rsid w:val="00D13646"/>
    <w:rsid w:val="00D15F71"/>
    <w:rsid w:val="00D17307"/>
    <w:rsid w:val="00D17597"/>
    <w:rsid w:val="00D17B63"/>
    <w:rsid w:val="00D20E45"/>
    <w:rsid w:val="00D217EC"/>
    <w:rsid w:val="00D23FFD"/>
    <w:rsid w:val="00D24313"/>
    <w:rsid w:val="00D246FD"/>
    <w:rsid w:val="00D26433"/>
    <w:rsid w:val="00D30C23"/>
    <w:rsid w:val="00D30EC1"/>
    <w:rsid w:val="00D331FE"/>
    <w:rsid w:val="00D338EB"/>
    <w:rsid w:val="00D344B2"/>
    <w:rsid w:val="00D34F34"/>
    <w:rsid w:val="00D35A50"/>
    <w:rsid w:val="00D35E21"/>
    <w:rsid w:val="00D43996"/>
    <w:rsid w:val="00D44A45"/>
    <w:rsid w:val="00D4570B"/>
    <w:rsid w:val="00D4584E"/>
    <w:rsid w:val="00D45D95"/>
    <w:rsid w:val="00D46705"/>
    <w:rsid w:val="00D47EB4"/>
    <w:rsid w:val="00D50075"/>
    <w:rsid w:val="00D51A07"/>
    <w:rsid w:val="00D5534F"/>
    <w:rsid w:val="00D5607D"/>
    <w:rsid w:val="00D57100"/>
    <w:rsid w:val="00D602E2"/>
    <w:rsid w:val="00D608C6"/>
    <w:rsid w:val="00D634FB"/>
    <w:rsid w:val="00D64B46"/>
    <w:rsid w:val="00D70F09"/>
    <w:rsid w:val="00D73886"/>
    <w:rsid w:val="00D73C67"/>
    <w:rsid w:val="00D73E1E"/>
    <w:rsid w:val="00D75410"/>
    <w:rsid w:val="00D7581E"/>
    <w:rsid w:val="00D8167E"/>
    <w:rsid w:val="00D81A45"/>
    <w:rsid w:val="00D81E94"/>
    <w:rsid w:val="00D85CC2"/>
    <w:rsid w:val="00D86130"/>
    <w:rsid w:val="00D86706"/>
    <w:rsid w:val="00D86DFB"/>
    <w:rsid w:val="00D879D9"/>
    <w:rsid w:val="00D87C94"/>
    <w:rsid w:val="00D91440"/>
    <w:rsid w:val="00D93134"/>
    <w:rsid w:val="00D93630"/>
    <w:rsid w:val="00D95586"/>
    <w:rsid w:val="00D95AD8"/>
    <w:rsid w:val="00D9658D"/>
    <w:rsid w:val="00D97A84"/>
    <w:rsid w:val="00DA322F"/>
    <w:rsid w:val="00DA4240"/>
    <w:rsid w:val="00DA4ACD"/>
    <w:rsid w:val="00DA667A"/>
    <w:rsid w:val="00DA79B9"/>
    <w:rsid w:val="00DB08D0"/>
    <w:rsid w:val="00DB3F1A"/>
    <w:rsid w:val="00DB5ECF"/>
    <w:rsid w:val="00DB662E"/>
    <w:rsid w:val="00DB6FC8"/>
    <w:rsid w:val="00DB7C93"/>
    <w:rsid w:val="00DC0842"/>
    <w:rsid w:val="00DC1CF7"/>
    <w:rsid w:val="00DC51AA"/>
    <w:rsid w:val="00DC65EC"/>
    <w:rsid w:val="00DD4673"/>
    <w:rsid w:val="00DD577A"/>
    <w:rsid w:val="00DD6ED3"/>
    <w:rsid w:val="00DD7C7B"/>
    <w:rsid w:val="00DE2213"/>
    <w:rsid w:val="00DE2C7B"/>
    <w:rsid w:val="00DE3AFF"/>
    <w:rsid w:val="00DE3C43"/>
    <w:rsid w:val="00DE3C5F"/>
    <w:rsid w:val="00DE5C06"/>
    <w:rsid w:val="00DE7B10"/>
    <w:rsid w:val="00DF160D"/>
    <w:rsid w:val="00DF502D"/>
    <w:rsid w:val="00DF5504"/>
    <w:rsid w:val="00DF5B5C"/>
    <w:rsid w:val="00DF5F20"/>
    <w:rsid w:val="00DF60EB"/>
    <w:rsid w:val="00DF7AE0"/>
    <w:rsid w:val="00E001C6"/>
    <w:rsid w:val="00E02B01"/>
    <w:rsid w:val="00E03F5A"/>
    <w:rsid w:val="00E04B72"/>
    <w:rsid w:val="00E04FBD"/>
    <w:rsid w:val="00E139AF"/>
    <w:rsid w:val="00E14AB0"/>
    <w:rsid w:val="00E1537F"/>
    <w:rsid w:val="00E15F65"/>
    <w:rsid w:val="00E15F7C"/>
    <w:rsid w:val="00E16128"/>
    <w:rsid w:val="00E16610"/>
    <w:rsid w:val="00E202A5"/>
    <w:rsid w:val="00E20B9E"/>
    <w:rsid w:val="00E20E56"/>
    <w:rsid w:val="00E21F21"/>
    <w:rsid w:val="00E2465B"/>
    <w:rsid w:val="00E24DA7"/>
    <w:rsid w:val="00E278BF"/>
    <w:rsid w:val="00E301A0"/>
    <w:rsid w:val="00E30819"/>
    <w:rsid w:val="00E3166E"/>
    <w:rsid w:val="00E31A32"/>
    <w:rsid w:val="00E32601"/>
    <w:rsid w:val="00E33811"/>
    <w:rsid w:val="00E37EED"/>
    <w:rsid w:val="00E42C78"/>
    <w:rsid w:val="00E43697"/>
    <w:rsid w:val="00E44973"/>
    <w:rsid w:val="00E449F9"/>
    <w:rsid w:val="00E454DB"/>
    <w:rsid w:val="00E458AB"/>
    <w:rsid w:val="00E47E6F"/>
    <w:rsid w:val="00E512ED"/>
    <w:rsid w:val="00E51799"/>
    <w:rsid w:val="00E54DCA"/>
    <w:rsid w:val="00E55153"/>
    <w:rsid w:val="00E577ED"/>
    <w:rsid w:val="00E57913"/>
    <w:rsid w:val="00E61777"/>
    <w:rsid w:val="00E621F9"/>
    <w:rsid w:val="00E63051"/>
    <w:rsid w:val="00E63ECC"/>
    <w:rsid w:val="00E6441D"/>
    <w:rsid w:val="00E67BB5"/>
    <w:rsid w:val="00E704DE"/>
    <w:rsid w:val="00E74796"/>
    <w:rsid w:val="00E75017"/>
    <w:rsid w:val="00E75C50"/>
    <w:rsid w:val="00E76F88"/>
    <w:rsid w:val="00E8025C"/>
    <w:rsid w:val="00E80E0C"/>
    <w:rsid w:val="00E83536"/>
    <w:rsid w:val="00E8354E"/>
    <w:rsid w:val="00E83D87"/>
    <w:rsid w:val="00E857AB"/>
    <w:rsid w:val="00E92C77"/>
    <w:rsid w:val="00E96D17"/>
    <w:rsid w:val="00E972DC"/>
    <w:rsid w:val="00E97629"/>
    <w:rsid w:val="00EA28CE"/>
    <w:rsid w:val="00EA30A3"/>
    <w:rsid w:val="00EA45E9"/>
    <w:rsid w:val="00EA515D"/>
    <w:rsid w:val="00EA660A"/>
    <w:rsid w:val="00EA7338"/>
    <w:rsid w:val="00EB12D5"/>
    <w:rsid w:val="00EB3280"/>
    <w:rsid w:val="00EB5890"/>
    <w:rsid w:val="00EB5E78"/>
    <w:rsid w:val="00EB7ADA"/>
    <w:rsid w:val="00EC1307"/>
    <w:rsid w:val="00EC14D1"/>
    <w:rsid w:val="00EC1BDA"/>
    <w:rsid w:val="00EC3921"/>
    <w:rsid w:val="00EC3E9C"/>
    <w:rsid w:val="00EC5C98"/>
    <w:rsid w:val="00EC65E6"/>
    <w:rsid w:val="00EC7B78"/>
    <w:rsid w:val="00ED0618"/>
    <w:rsid w:val="00ED4CE8"/>
    <w:rsid w:val="00ED5D5D"/>
    <w:rsid w:val="00EE1782"/>
    <w:rsid w:val="00EE3F91"/>
    <w:rsid w:val="00EE5E7A"/>
    <w:rsid w:val="00EE6340"/>
    <w:rsid w:val="00EE7913"/>
    <w:rsid w:val="00EE7DE0"/>
    <w:rsid w:val="00EF010B"/>
    <w:rsid w:val="00EF0547"/>
    <w:rsid w:val="00EF19E1"/>
    <w:rsid w:val="00EF1A04"/>
    <w:rsid w:val="00EF1F60"/>
    <w:rsid w:val="00EF1FEA"/>
    <w:rsid w:val="00EF4FBD"/>
    <w:rsid w:val="00EF54B6"/>
    <w:rsid w:val="00EF67FE"/>
    <w:rsid w:val="00F002B9"/>
    <w:rsid w:val="00F00A9B"/>
    <w:rsid w:val="00F012A0"/>
    <w:rsid w:val="00F028B3"/>
    <w:rsid w:val="00F028ED"/>
    <w:rsid w:val="00F02CEA"/>
    <w:rsid w:val="00F04CF9"/>
    <w:rsid w:val="00F05EB3"/>
    <w:rsid w:val="00F10BAD"/>
    <w:rsid w:val="00F13FCA"/>
    <w:rsid w:val="00F15015"/>
    <w:rsid w:val="00F1588C"/>
    <w:rsid w:val="00F16D75"/>
    <w:rsid w:val="00F1702F"/>
    <w:rsid w:val="00F17AAE"/>
    <w:rsid w:val="00F204F0"/>
    <w:rsid w:val="00F20DB5"/>
    <w:rsid w:val="00F21235"/>
    <w:rsid w:val="00F23325"/>
    <w:rsid w:val="00F23513"/>
    <w:rsid w:val="00F2493A"/>
    <w:rsid w:val="00F24EF1"/>
    <w:rsid w:val="00F25485"/>
    <w:rsid w:val="00F2551C"/>
    <w:rsid w:val="00F26A27"/>
    <w:rsid w:val="00F301B0"/>
    <w:rsid w:val="00F32FB4"/>
    <w:rsid w:val="00F33CF1"/>
    <w:rsid w:val="00F33E6F"/>
    <w:rsid w:val="00F36092"/>
    <w:rsid w:val="00F4015B"/>
    <w:rsid w:val="00F414A1"/>
    <w:rsid w:val="00F44CCE"/>
    <w:rsid w:val="00F45A98"/>
    <w:rsid w:val="00F47469"/>
    <w:rsid w:val="00F47830"/>
    <w:rsid w:val="00F5069B"/>
    <w:rsid w:val="00F5224A"/>
    <w:rsid w:val="00F526CE"/>
    <w:rsid w:val="00F52ED6"/>
    <w:rsid w:val="00F532F8"/>
    <w:rsid w:val="00F614C7"/>
    <w:rsid w:val="00F61826"/>
    <w:rsid w:val="00F61CDE"/>
    <w:rsid w:val="00F62236"/>
    <w:rsid w:val="00F65EDE"/>
    <w:rsid w:val="00F6652B"/>
    <w:rsid w:val="00F72393"/>
    <w:rsid w:val="00F72A5C"/>
    <w:rsid w:val="00F741FD"/>
    <w:rsid w:val="00F77870"/>
    <w:rsid w:val="00F8027B"/>
    <w:rsid w:val="00F81ADE"/>
    <w:rsid w:val="00F830A3"/>
    <w:rsid w:val="00F86F3F"/>
    <w:rsid w:val="00F92F5A"/>
    <w:rsid w:val="00F96E75"/>
    <w:rsid w:val="00FA006D"/>
    <w:rsid w:val="00FA1891"/>
    <w:rsid w:val="00FA2122"/>
    <w:rsid w:val="00FA3DB7"/>
    <w:rsid w:val="00FA40E0"/>
    <w:rsid w:val="00FA4F4C"/>
    <w:rsid w:val="00FB0670"/>
    <w:rsid w:val="00FB1C68"/>
    <w:rsid w:val="00FB30CD"/>
    <w:rsid w:val="00FB3D3B"/>
    <w:rsid w:val="00FB4C62"/>
    <w:rsid w:val="00FB58F3"/>
    <w:rsid w:val="00FB5F29"/>
    <w:rsid w:val="00FB62F1"/>
    <w:rsid w:val="00FB6579"/>
    <w:rsid w:val="00FC3E95"/>
    <w:rsid w:val="00FC4D44"/>
    <w:rsid w:val="00FC6A4A"/>
    <w:rsid w:val="00FC7B6D"/>
    <w:rsid w:val="00FD18AA"/>
    <w:rsid w:val="00FD1D55"/>
    <w:rsid w:val="00FD1EAC"/>
    <w:rsid w:val="00FD24F6"/>
    <w:rsid w:val="00FD6980"/>
    <w:rsid w:val="00FD7BF1"/>
    <w:rsid w:val="00FE2BE4"/>
    <w:rsid w:val="00FE3A7F"/>
    <w:rsid w:val="00FEE43A"/>
    <w:rsid w:val="00FF45B4"/>
    <w:rsid w:val="00FF54A5"/>
    <w:rsid w:val="00FF696C"/>
    <w:rsid w:val="03DBB506"/>
    <w:rsid w:val="0412B77B"/>
    <w:rsid w:val="043A597E"/>
    <w:rsid w:val="0485E75E"/>
    <w:rsid w:val="04E43E18"/>
    <w:rsid w:val="04E6300D"/>
    <w:rsid w:val="062D349F"/>
    <w:rsid w:val="085D1C77"/>
    <w:rsid w:val="08794D26"/>
    <w:rsid w:val="08E97DC0"/>
    <w:rsid w:val="0ACC3651"/>
    <w:rsid w:val="0C7A2A3B"/>
    <w:rsid w:val="0DD7455A"/>
    <w:rsid w:val="0DFF3DF8"/>
    <w:rsid w:val="0E62A427"/>
    <w:rsid w:val="0F3DFF19"/>
    <w:rsid w:val="107D342A"/>
    <w:rsid w:val="1084BF1C"/>
    <w:rsid w:val="124A982A"/>
    <w:rsid w:val="12CBF566"/>
    <w:rsid w:val="12F4F2E4"/>
    <w:rsid w:val="146D9089"/>
    <w:rsid w:val="1481E5CD"/>
    <w:rsid w:val="152FDCA8"/>
    <w:rsid w:val="158A24B3"/>
    <w:rsid w:val="186BDD32"/>
    <w:rsid w:val="1895559E"/>
    <w:rsid w:val="19225F7D"/>
    <w:rsid w:val="1AE7CD20"/>
    <w:rsid w:val="1B572878"/>
    <w:rsid w:val="1B9D60CA"/>
    <w:rsid w:val="1BF28B81"/>
    <w:rsid w:val="1CD7E2E7"/>
    <w:rsid w:val="1E870D32"/>
    <w:rsid w:val="1F01406F"/>
    <w:rsid w:val="1F0FACD1"/>
    <w:rsid w:val="1F1F9BB8"/>
    <w:rsid w:val="203FC59F"/>
    <w:rsid w:val="215555C7"/>
    <w:rsid w:val="222F995C"/>
    <w:rsid w:val="23510B5D"/>
    <w:rsid w:val="2498D7E5"/>
    <w:rsid w:val="24F2FE05"/>
    <w:rsid w:val="2653EB2B"/>
    <w:rsid w:val="27F2742C"/>
    <w:rsid w:val="2912FD3D"/>
    <w:rsid w:val="299FF422"/>
    <w:rsid w:val="2A17335E"/>
    <w:rsid w:val="2BA1F81E"/>
    <w:rsid w:val="2CE0B006"/>
    <w:rsid w:val="2D718E50"/>
    <w:rsid w:val="2E80B7EE"/>
    <w:rsid w:val="2ECE26C3"/>
    <w:rsid w:val="2FB6F5FA"/>
    <w:rsid w:val="2FFBA015"/>
    <w:rsid w:val="306EAF57"/>
    <w:rsid w:val="310865BB"/>
    <w:rsid w:val="3130F09E"/>
    <w:rsid w:val="31390C08"/>
    <w:rsid w:val="316EE60C"/>
    <w:rsid w:val="31E5368E"/>
    <w:rsid w:val="3319B524"/>
    <w:rsid w:val="34B08B05"/>
    <w:rsid w:val="38772914"/>
    <w:rsid w:val="39030E7A"/>
    <w:rsid w:val="3AA8A829"/>
    <w:rsid w:val="3B925809"/>
    <w:rsid w:val="3CF10466"/>
    <w:rsid w:val="3D169BFC"/>
    <w:rsid w:val="3D6F2400"/>
    <w:rsid w:val="3FBCF0EA"/>
    <w:rsid w:val="40AD24E4"/>
    <w:rsid w:val="40FAA07A"/>
    <w:rsid w:val="43E7EA35"/>
    <w:rsid w:val="44233FB3"/>
    <w:rsid w:val="449FAC61"/>
    <w:rsid w:val="44A42922"/>
    <w:rsid w:val="44A5F88B"/>
    <w:rsid w:val="455A8995"/>
    <w:rsid w:val="45A55146"/>
    <w:rsid w:val="45EF46F6"/>
    <w:rsid w:val="46B19B0C"/>
    <w:rsid w:val="46BE9D99"/>
    <w:rsid w:val="494611B8"/>
    <w:rsid w:val="4A13EBC7"/>
    <w:rsid w:val="4A66B118"/>
    <w:rsid w:val="4A6CC7D0"/>
    <w:rsid w:val="4C0492F6"/>
    <w:rsid w:val="4C0FF473"/>
    <w:rsid w:val="4C414C6B"/>
    <w:rsid w:val="4CDBBBD5"/>
    <w:rsid w:val="4D36A620"/>
    <w:rsid w:val="4D98140C"/>
    <w:rsid w:val="4DA4FD56"/>
    <w:rsid w:val="4EA995FA"/>
    <w:rsid w:val="4F4BDBF8"/>
    <w:rsid w:val="4FAC0F8B"/>
    <w:rsid w:val="50218411"/>
    <w:rsid w:val="50CF50FD"/>
    <w:rsid w:val="50D8C07E"/>
    <w:rsid w:val="50E1D184"/>
    <w:rsid w:val="5192EF0A"/>
    <w:rsid w:val="531BA7F2"/>
    <w:rsid w:val="54BEEA64"/>
    <w:rsid w:val="55B3BFB7"/>
    <w:rsid w:val="57284758"/>
    <w:rsid w:val="57665828"/>
    <w:rsid w:val="586918AE"/>
    <w:rsid w:val="588CC86F"/>
    <w:rsid w:val="58B3F360"/>
    <w:rsid w:val="5B39FE45"/>
    <w:rsid w:val="5B924120"/>
    <w:rsid w:val="5BE96C8A"/>
    <w:rsid w:val="5C8B2103"/>
    <w:rsid w:val="5F3B76FB"/>
    <w:rsid w:val="60EEB27E"/>
    <w:rsid w:val="6286FDF7"/>
    <w:rsid w:val="62C423CD"/>
    <w:rsid w:val="62E9D340"/>
    <w:rsid w:val="63390F77"/>
    <w:rsid w:val="640E0F35"/>
    <w:rsid w:val="648FAF23"/>
    <w:rsid w:val="659BFEB2"/>
    <w:rsid w:val="66477A66"/>
    <w:rsid w:val="6688185B"/>
    <w:rsid w:val="66F692AE"/>
    <w:rsid w:val="68C14766"/>
    <w:rsid w:val="6932D71B"/>
    <w:rsid w:val="69635289"/>
    <w:rsid w:val="69BA26D5"/>
    <w:rsid w:val="69C9F914"/>
    <w:rsid w:val="6A1D0AEE"/>
    <w:rsid w:val="6B38EBC1"/>
    <w:rsid w:val="6C2C1C96"/>
    <w:rsid w:val="6C48771F"/>
    <w:rsid w:val="70C6AEBD"/>
    <w:rsid w:val="7173DFF4"/>
    <w:rsid w:val="72323A29"/>
    <w:rsid w:val="7332A8E5"/>
    <w:rsid w:val="73A0C85D"/>
    <w:rsid w:val="73CE0A8A"/>
    <w:rsid w:val="73D7F052"/>
    <w:rsid w:val="73F418E9"/>
    <w:rsid w:val="74330388"/>
    <w:rsid w:val="747EE68F"/>
    <w:rsid w:val="74FE83AC"/>
    <w:rsid w:val="75A7B089"/>
    <w:rsid w:val="769A1B44"/>
    <w:rsid w:val="769B6195"/>
    <w:rsid w:val="77F8A6D4"/>
    <w:rsid w:val="7A1D6733"/>
    <w:rsid w:val="7A911D44"/>
    <w:rsid w:val="7BB5C389"/>
    <w:rsid w:val="7C6AD459"/>
    <w:rsid w:val="7F87AC9D"/>
    <w:rsid w:val="7FDCB62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E7ECF7"/>
  <w15:chartTrackingRefBased/>
  <w15:docId w15:val="{EA913515-DA83-4426-A246-3F9B6862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C78"/>
    <w:pPr>
      <w:spacing w:before="120" w:after="120"/>
      <w:jc w:val="both"/>
    </w:pPr>
    <w:rPr>
      <w:rFonts w:ascii="EC Square Sans Pro" w:hAnsi="EC Square Sans Pro"/>
      <w:sz w:val="24"/>
    </w:rPr>
  </w:style>
  <w:style w:type="paragraph" w:styleId="Heading1">
    <w:name w:val="heading 1"/>
    <w:basedOn w:val="Normal"/>
    <w:next w:val="Normal"/>
    <w:link w:val="Heading1Char"/>
    <w:uiPriority w:val="9"/>
    <w:qFormat/>
    <w:rsid w:val="00F204F0"/>
    <w:pPr>
      <w:keepNext/>
      <w:keepLines/>
      <w:spacing w:before="240" w:after="0"/>
      <w:outlineLvl w:val="0"/>
    </w:pPr>
    <w:rPr>
      <w:rFonts w:asciiTheme="majorHAnsi" w:eastAsiaTheme="majorEastAsia" w:hAnsiTheme="majorHAnsi" w:cstheme="majorBidi"/>
      <w:color w:val="532477" w:themeColor="accent1" w:themeShade="BF"/>
      <w:kern w:val="2"/>
      <w:sz w:val="32"/>
      <w:szCs w:val="32"/>
      <w14:ligatures w14:val="standardContextual"/>
    </w:rPr>
  </w:style>
  <w:style w:type="paragraph" w:styleId="Heading2">
    <w:name w:val="heading 2"/>
    <w:basedOn w:val="a"/>
    <w:next w:val="Normal"/>
    <w:link w:val="Heading2Char"/>
    <w:uiPriority w:val="9"/>
    <w:unhideWhenUsed/>
    <w:qFormat/>
    <w:rsid w:val="009F5642"/>
    <w:pPr>
      <w:ind w:left="714" w:hanging="357"/>
      <w:outlineLvl w:val="1"/>
    </w:pPr>
  </w:style>
  <w:style w:type="paragraph" w:styleId="Heading3">
    <w:name w:val="heading 3"/>
    <w:basedOn w:val="Normal"/>
    <w:next w:val="Normal"/>
    <w:link w:val="Heading3Char"/>
    <w:uiPriority w:val="9"/>
    <w:unhideWhenUsed/>
    <w:qFormat/>
    <w:rsid w:val="002434E7"/>
    <w:pPr>
      <w:keepNext/>
      <w:keepLines/>
      <w:spacing w:before="40" w:after="0"/>
      <w:outlineLvl w:val="2"/>
    </w:pPr>
    <w:rPr>
      <w:rFonts w:asciiTheme="majorHAnsi" w:eastAsiaTheme="majorEastAsia" w:hAnsiTheme="majorHAnsi" w:cstheme="majorBidi"/>
      <w:color w:val="37184F"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44578"/>
    <w:rPr>
      <w:rFonts w:ascii="EC Square Sans Pro" w:hAnsi="EC Square Sans Pro"/>
      <w:b/>
      <w:noProof/>
      <w:color w:val="008139" w:themeColor="accent5"/>
      <w:sz w:val="28"/>
      <w:szCs w:val="24"/>
    </w:rPr>
  </w:style>
  <w:style w:type="character" w:customStyle="1" w:styleId="Heading3Char">
    <w:name w:val="Heading 3 Char"/>
    <w:basedOn w:val="DefaultParagraphFont"/>
    <w:link w:val="Heading3"/>
    <w:uiPriority w:val="9"/>
    <w:rsid w:val="002434E7"/>
    <w:rPr>
      <w:rFonts w:asciiTheme="majorHAnsi" w:eastAsiaTheme="majorEastAsia" w:hAnsiTheme="majorHAnsi" w:cstheme="majorBidi"/>
      <w:color w:val="37184F" w:themeColor="accent1" w:themeShade="7F"/>
      <w:sz w:val="24"/>
      <w:szCs w:val="24"/>
      <w:lang w:val="en-US"/>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2434E7"/>
    <w:pPr>
      <w:ind w:left="720"/>
      <w:contextualSpacing/>
    </w:pPr>
  </w:style>
  <w:style w:type="paragraph" w:customStyle="1" w:styleId="Text1">
    <w:name w:val="Text 1"/>
    <w:basedOn w:val="Normal"/>
    <w:link w:val="Text1Char"/>
    <w:uiPriority w:val="1"/>
    <w:rsid w:val="002434E7"/>
    <w:pPr>
      <w:spacing w:after="240" w:line="240" w:lineRule="auto"/>
      <w:ind w:left="482"/>
    </w:pPr>
    <w:rPr>
      <w:rFonts w:ascii="Times New Roman" w:eastAsia="Times New Roman" w:hAnsi="Times New Roman" w:cs="Times New Roman"/>
      <w:szCs w:val="20"/>
    </w:rPr>
  </w:style>
  <w:style w:type="character" w:customStyle="1" w:styleId="Text1Char">
    <w:name w:val="Text 1 Char"/>
    <w:link w:val="Text1"/>
    <w:uiPriority w:val="1"/>
    <w:locked/>
    <w:rsid w:val="002434E7"/>
    <w:rPr>
      <w:rFonts w:ascii="Times New Roman" w:eastAsia="Times New Roman" w:hAnsi="Times New Roman" w:cs="Times New Roman"/>
      <w:sz w:val="24"/>
      <w:szCs w:val="20"/>
    </w:rPr>
  </w:style>
  <w:style w:type="character" w:styleId="Hyperlink">
    <w:name w:val="Hyperlink"/>
    <w:uiPriority w:val="99"/>
    <w:rsid w:val="00F32FB4"/>
    <w:rPr>
      <w:color w:val="003399"/>
      <w:u w:val="single"/>
    </w:rPr>
  </w:style>
  <w:style w:type="paragraph" w:customStyle="1" w:styleId="Body">
    <w:name w:val="Body"/>
    <w:uiPriority w:val="99"/>
    <w:rsid w:val="002434E7"/>
    <w:pPr>
      <w:widowControl w:val="0"/>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fr-BE" w:eastAsia="fr-BE"/>
      <w14:textOutline w14:w="0" w14:cap="flat" w14:cmpd="sng" w14:algn="ctr">
        <w14:noFill/>
        <w14:prstDash w14:val="solid"/>
        <w14:bevel/>
      </w14:textOutline>
    </w:rPr>
  </w:style>
  <w:style w:type="paragraph" w:customStyle="1" w:styleId="CorpoAA">
    <w:name w:val="Corpo A A"/>
    <w:rsid w:val="002434E7"/>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14:textOutline w14:w="12700" w14:cap="flat" w14:cmpd="sng" w14:algn="ctr">
        <w14:noFill/>
        <w14:prstDash w14:val="solid"/>
        <w14:miter w14:lim="400000"/>
      </w14:textOutline>
    </w:rPr>
  </w:style>
  <w:style w:type="character" w:customStyle="1" w:styleId="Marker">
    <w:name w:val="Marker"/>
    <w:basedOn w:val="DefaultParagraphFont"/>
    <w:rsid w:val="00F17AAE"/>
    <w:rPr>
      <w:color w:val="0000FF"/>
      <w:shd w:val="clear" w:color="auto" w:fill="auto"/>
    </w:rPr>
  </w:style>
  <w:style w:type="paragraph" w:styleId="Header">
    <w:name w:val="header"/>
    <w:basedOn w:val="Normal"/>
    <w:link w:val="HeaderChar"/>
    <w:uiPriority w:val="99"/>
    <w:unhideWhenUsed/>
    <w:rsid w:val="00F17A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7AAE"/>
    <w:rPr>
      <w:lang w:val="en-US"/>
    </w:rPr>
  </w:style>
  <w:style w:type="paragraph" w:styleId="Footer">
    <w:name w:val="footer"/>
    <w:basedOn w:val="Normal"/>
    <w:link w:val="FooterChar"/>
    <w:uiPriority w:val="99"/>
    <w:unhideWhenUsed/>
    <w:rsid w:val="00F17A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AAE"/>
    <w:rPr>
      <w:lang w:val="en-US"/>
    </w:rPr>
  </w:style>
  <w:style w:type="paragraph" w:customStyle="1" w:styleId="Pagedecouverture">
    <w:name w:val="Page de couverture"/>
    <w:basedOn w:val="Normal"/>
    <w:next w:val="Normal"/>
    <w:rsid w:val="00177099"/>
    <w:pPr>
      <w:spacing w:before="0" w:after="240" w:line="240" w:lineRule="auto"/>
      <w:jc w:val="center"/>
    </w:pPr>
    <w:rPr>
      <w:rFonts w:cs="Times New Roman"/>
      <w:bCs/>
      <w:color w:val="003399"/>
      <w:sz w:val="28"/>
      <w:szCs w:val="24"/>
    </w:rPr>
  </w:style>
  <w:style w:type="paragraph" w:customStyle="1" w:styleId="FooterCoverPage">
    <w:name w:val="Footer Cover Page"/>
    <w:basedOn w:val="Normal"/>
    <w:link w:val="FooterCoverPageChar"/>
    <w:rsid w:val="00F17AAE"/>
    <w:pPr>
      <w:tabs>
        <w:tab w:val="center" w:pos="4535"/>
        <w:tab w:val="right" w:pos="9071"/>
        <w:tab w:val="right" w:pos="9921"/>
      </w:tabs>
      <w:spacing w:before="360" w:after="0" w:line="240" w:lineRule="auto"/>
      <w:ind w:left="-850" w:right="-850"/>
      <w:jc w:val="left"/>
    </w:pPr>
    <w:rPr>
      <w:rFonts w:ascii="Times New Roman" w:hAnsi="Times New Roman" w:cs="Times New Roman"/>
    </w:rPr>
  </w:style>
  <w:style w:type="character" w:customStyle="1" w:styleId="FooterCoverPageChar">
    <w:name w:val="Footer Cover Page Char"/>
    <w:basedOn w:val="DefaultParagraphFont"/>
    <w:link w:val="FooterCoverPage"/>
    <w:rsid w:val="00F17AAE"/>
    <w:rPr>
      <w:rFonts w:ascii="Times New Roman" w:hAnsi="Times New Roman" w:cs="Times New Roman"/>
      <w:sz w:val="24"/>
    </w:rPr>
  </w:style>
  <w:style w:type="paragraph" w:customStyle="1" w:styleId="FooterSensitivity">
    <w:name w:val="Footer Sensitivity"/>
    <w:basedOn w:val="Normal"/>
    <w:link w:val="FooterSensitivityChar"/>
    <w:rsid w:val="00F17A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17AAE"/>
    <w:rPr>
      <w:rFonts w:ascii="Times New Roman" w:hAnsi="Times New Roman" w:cs="Times New Roman"/>
      <w:b/>
      <w:sz w:val="32"/>
    </w:rPr>
  </w:style>
  <w:style w:type="paragraph" w:customStyle="1" w:styleId="HeaderCoverPage">
    <w:name w:val="Header Cover Page"/>
    <w:basedOn w:val="Normal"/>
    <w:link w:val="HeaderCoverPageChar"/>
    <w:rsid w:val="00F17AAE"/>
    <w:pPr>
      <w:tabs>
        <w:tab w:val="center" w:pos="4535"/>
        <w:tab w:val="right" w:pos="9071"/>
      </w:tabs>
      <w:spacing w:before="0" w:line="240" w:lineRule="auto"/>
    </w:pPr>
    <w:rPr>
      <w:rFonts w:ascii="Times New Roman" w:hAnsi="Times New Roman" w:cs="Times New Roman"/>
    </w:rPr>
  </w:style>
  <w:style w:type="character" w:customStyle="1" w:styleId="HeaderCoverPageChar">
    <w:name w:val="Header Cover Page Char"/>
    <w:basedOn w:val="DefaultParagraphFont"/>
    <w:link w:val="HeaderCoverPage"/>
    <w:rsid w:val="00F17AAE"/>
    <w:rPr>
      <w:rFonts w:ascii="Times New Roman" w:hAnsi="Times New Roman" w:cs="Times New Roman"/>
      <w:sz w:val="24"/>
    </w:rPr>
  </w:style>
  <w:style w:type="paragraph" w:customStyle="1" w:styleId="HeaderSensitivity">
    <w:name w:val="Header Sensitivity"/>
    <w:basedOn w:val="Normal"/>
    <w:link w:val="HeaderSensitivityChar"/>
    <w:rsid w:val="00F17AAE"/>
    <w:pPr>
      <w:pBdr>
        <w:top w:val="single" w:sz="4" w:space="1" w:color="auto"/>
        <w:left w:val="single" w:sz="4" w:space="4" w:color="auto"/>
        <w:bottom w:val="single" w:sz="4" w:space="1" w:color="auto"/>
        <w:right w:val="single" w:sz="4" w:space="4" w:color="auto"/>
      </w:pBdr>
      <w:spacing w:before="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17AAE"/>
    <w:rPr>
      <w:rFonts w:ascii="Times New Roman" w:hAnsi="Times New Roman" w:cs="Times New Roman"/>
      <w:b/>
      <w:sz w:val="32"/>
    </w:rPr>
  </w:style>
  <w:style w:type="paragraph" w:customStyle="1" w:styleId="HeaderSensitivityRight">
    <w:name w:val="Header Sensitivity Right"/>
    <w:basedOn w:val="Normal"/>
    <w:link w:val="HeaderSensitivityRightChar"/>
    <w:rsid w:val="007D0962"/>
    <w:pPr>
      <w:spacing w:before="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17AAE"/>
    <w:rPr>
      <w:rFonts w:ascii="Times New Roman" w:hAnsi="Times New Roman" w:cs="Times New Roman"/>
      <w:sz w:val="28"/>
    </w:rPr>
  </w:style>
  <w:style w:type="character" w:styleId="CommentReference">
    <w:name w:val="annotation reference"/>
    <w:basedOn w:val="DefaultParagraphFont"/>
    <w:uiPriority w:val="99"/>
    <w:unhideWhenUsed/>
    <w:rsid w:val="00587683"/>
    <w:rPr>
      <w:sz w:val="16"/>
      <w:szCs w:val="16"/>
    </w:rPr>
  </w:style>
  <w:style w:type="paragraph" w:styleId="CommentText">
    <w:name w:val="annotation text"/>
    <w:basedOn w:val="Normal"/>
    <w:link w:val="CommentTextChar"/>
    <w:uiPriority w:val="99"/>
    <w:unhideWhenUsed/>
    <w:rsid w:val="00587683"/>
    <w:pPr>
      <w:spacing w:line="240" w:lineRule="auto"/>
    </w:pPr>
    <w:rPr>
      <w:sz w:val="20"/>
      <w:szCs w:val="20"/>
    </w:rPr>
  </w:style>
  <w:style w:type="character" w:customStyle="1" w:styleId="CommentTextChar">
    <w:name w:val="Comment Text Char"/>
    <w:basedOn w:val="DefaultParagraphFont"/>
    <w:link w:val="CommentText"/>
    <w:uiPriority w:val="99"/>
    <w:rsid w:val="00587683"/>
    <w:rPr>
      <w:sz w:val="20"/>
      <w:szCs w:val="20"/>
      <w:lang w:val="en-US"/>
    </w:rPr>
  </w:style>
  <w:style w:type="paragraph" w:styleId="CommentSubject">
    <w:name w:val="annotation subject"/>
    <w:basedOn w:val="CommentText"/>
    <w:next w:val="CommentText"/>
    <w:link w:val="CommentSubjectChar"/>
    <w:uiPriority w:val="99"/>
    <w:semiHidden/>
    <w:unhideWhenUsed/>
    <w:rsid w:val="00587683"/>
    <w:rPr>
      <w:b/>
      <w:bCs/>
    </w:rPr>
  </w:style>
  <w:style w:type="character" w:customStyle="1" w:styleId="CommentSubjectChar">
    <w:name w:val="Comment Subject Char"/>
    <w:basedOn w:val="CommentTextChar"/>
    <w:link w:val="CommentSubject"/>
    <w:uiPriority w:val="99"/>
    <w:semiHidden/>
    <w:rsid w:val="00587683"/>
    <w:rPr>
      <w:b/>
      <w:bCs/>
      <w:sz w:val="20"/>
      <w:szCs w:val="20"/>
      <w:lang w:val="en-US"/>
    </w:rPr>
  </w:style>
  <w:style w:type="paragraph" w:styleId="Revision">
    <w:name w:val="Revision"/>
    <w:hidden/>
    <w:uiPriority w:val="99"/>
    <w:semiHidden/>
    <w:rsid w:val="00587683"/>
    <w:pPr>
      <w:spacing w:after="0" w:line="240" w:lineRule="auto"/>
    </w:pPr>
    <w:rPr>
      <w:lang w:val="en-US"/>
    </w:rPr>
  </w:style>
  <w:style w:type="paragraph" w:styleId="BalloonText">
    <w:name w:val="Balloon Text"/>
    <w:basedOn w:val="Normal"/>
    <w:link w:val="BalloonTextChar"/>
    <w:uiPriority w:val="99"/>
    <w:semiHidden/>
    <w:unhideWhenUsed/>
    <w:rsid w:val="005876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683"/>
    <w:rPr>
      <w:rFonts w:ascii="Segoe UI" w:hAnsi="Segoe UI" w:cs="Segoe UI"/>
      <w:sz w:val="18"/>
      <w:szCs w:val="18"/>
      <w:lang w:val="en-US"/>
    </w:rPr>
  </w:style>
  <w:style w:type="character" w:customStyle="1" w:styleId="UnresolvedMention1">
    <w:name w:val="Unresolved Mention1"/>
    <w:basedOn w:val="DefaultParagraphFont"/>
    <w:uiPriority w:val="99"/>
    <w:unhideWhenUsed/>
    <w:rsid w:val="00587683"/>
    <w:rPr>
      <w:color w:val="605E5C"/>
      <w:shd w:val="clear" w:color="auto" w:fill="E1DFDD"/>
    </w:rPr>
  </w:style>
  <w:style w:type="paragraph" w:styleId="FootnoteText">
    <w:name w:val="footnote text"/>
    <w:basedOn w:val="Normal"/>
    <w:uiPriority w:val="99"/>
    <w:unhideWhenUsed/>
    <w:qFormat/>
    <w:rsid w:val="00587683"/>
    <w:pPr>
      <w:spacing w:after="0" w:line="240" w:lineRule="auto"/>
    </w:pPr>
    <w:rPr>
      <w:sz w:val="20"/>
      <w:szCs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uiPriority w:val="99"/>
    <w:qFormat/>
    <w:rsid w:val="00587683"/>
    <w:rPr>
      <w:sz w:val="20"/>
      <w:szCs w:val="20"/>
      <w:lang w:val="en-US"/>
    </w:rPr>
  </w:style>
  <w:style w:type="character" w:styleId="FootnoteReference">
    <w:name w:val="footnote reference"/>
    <w:aliases w:val="Footnote Reference Superscript,Footnote symbol,Footnote reference number,Footnote,Times 10 Point,Exposant 3 Point,Ref,de nota al pie,note TESI,SUPERS,EN Footnote text,EN Footnote Reference,Footnote Reference Number,E FNZ,Footnote#,E,f"/>
    <w:basedOn w:val="DefaultParagraphFont"/>
    <w:link w:val="FootnoteReferenceCharCarCharCharCarCharCarCharCarCharCarCharCharCarCarCharCharCharCharCharCarCharCarCharCharCarCharCar"/>
    <w:uiPriority w:val="99"/>
    <w:unhideWhenUsed/>
    <w:qFormat/>
    <w:rsid w:val="00587683"/>
    <w:rPr>
      <w:vertAlign w:val="superscript"/>
    </w:rPr>
  </w:style>
  <w:style w:type="character" w:styleId="FollowedHyperlink">
    <w:name w:val="FollowedHyperlink"/>
    <w:basedOn w:val="DefaultParagraphFont"/>
    <w:uiPriority w:val="99"/>
    <w:semiHidden/>
    <w:unhideWhenUsed/>
    <w:rsid w:val="00587683"/>
    <w:rPr>
      <w:color w:val="245F95" w:themeColor="followedHyperlink"/>
      <w:u w:val="single"/>
    </w:rPr>
  </w:style>
  <w:style w:type="character" w:customStyle="1" w:styleId="markedcontent">
    <w:name w:val="markedcontent"/>
    <w:basedOn w:val="DefaultParagraphFont"/>
    <w:rsid w:val="00587683"/>
  </w:style>
  <w:style w:type="character" w:customStyle="1" w:styleId="UnresolvedMention2">
    <w:name w:val="Unresolved Mention2"/>
    <w:basedOn w:val="DefaultParagraphFont"/>
    <w:uiPriority w:val="99"/>
    <w:semiHidden/>
    <w:unhideWhenUsed/>
    <w:rsid w:val="004F56E7"/>
    <w:rPr>
      <w:color w:val="605E5C"/>
      <w:shd w:val="clear" w:color="auto" w:fill="E1DFDD"/>
    </w:rPr>
  </w:style>
  <w:style w:type="character" w:customStyle="1" w:styleId="normaltextrun">
    <w:name w:val="normaltextrun"/>
    <w:basedOn w:val="DefaultParagraphFont"/>
    <w:rsid w:val="005D3D4B"/>
  </w:style>
  <w:style w:type="paragraph" w:customStyle="1" w:styleId="doceo-line-height-base">
    <w:name w:val="doceo-line-height-base"/>
    <w:basedOn w:val="Normal"/>
    <w:rsid w:val="005D3D4B"/>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doceo-font-family-base">
    <w:name w:val="doceo-font-family-base"/>
    <w:basedOn w:val="DefaultParagraphFont"/>
    <w:rsid w:val="005D3D4B"/>
  </w:style>
  <w:style w:type="character" w:customStyle="1" w:styleId="Mention1">
    <w:name w:val="Mention1"/>
    <w:basedOn w:val="DefaultParagraphFont"/>
    <w:uiPriority w:val="99"/>
    <w:unhideWhenUsed/>
    <w:rsid w:val="005D3D4B"/>
    <w:rPr>
      <w:color w:val="2B579A"/>
      <w:shd w:val="clear" w:color="auto" w:fill="E1DFDD"/>
    </w:rPr>
  </w:style>
  <w:style w:type="paragraph" w:styleId="NormalWeb">
    <w:name w:val="Normal (Web)"/>
    <w:basedOn w:val="Normal"/>
    <w:uiPriority w:val="99"/>
    <w:semiHidden/>
    <w:unhideWhenUsed/>
    <w:rsid w:val="005D3D4B"/>
    <w:pPr>
      <w:spacing w:before="100" w:beforeAutospacing="1" w:after="100" w:afterAutospacing="1" w:line="240" w:lineRule="auto"/>
    </w:pPr>
    <w:rPr>
      <w:rFonts w:ascii="Calibri" w:hAnsi="Calibri" w:cs="Calibri"/>
      <w:lang w:val="en-IE" w:eastAsia="en-IE"/>
    </w:rPr>
  </w:style>
  <w:style w:type="paragraph" w:customStyle="1" w:styleId="paragraph">
    <w:name w:val="paragraph"/>
    <w:basedOn w:val="Normal"/>
    <w:rsid w:val="005D3D4B"/>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op">
    <w:name w:val="eop"/>
    <w:basedOn w:val="DefaultParagraphFont"/>
    <w:rsid w:val="005D3D4B"/>
  </w:style>
  <w:style w:type="character" w:customStyle="1" w:styleId="Heading1Char">
    <w:name w:val="Heading 1 Char"/>
    <w:basedOn w:val="DefaultParagraphFont"/>
    <w:link w:val="Heading1"/>
    <w:uiPriority w:val="9"/>
    <w:rsid w:val="00F204F0"/>
    <w:rPr>
      <w:rFonts w:asciiTheme="majorHAnsi" w:eastAsiaTheme="majorEastAsia" w:hAnsiTheme="majorHAnsi" w:cstheme="majorBidi"/>
      <w:color w:val="532477" w:themeColor="accent1" w:themeShade="BF"/>
      <w:kern w:val="2"/>
      <w:sz w:val="32"/>
      <w:szCs w:val="32"/>
      <w:lang w:val="en-US"/>
      <w14:ligatures w14:val="standardContextual"/>
    </w:rPr>
  </w:style>
  <w:style w:type="character" w:customStyle="1" w:styleId="UnresolvedMention">
    <w:name w:val="Unresolved Mention"/>
    <w:basedOn w:val="DefaultParagraphFont"/>
    <w:uiPriority w:val="99"/>
    <w:semiHidden/>
    <w:unhideWhenUsed/>
    <w:rsid w:val="00F204F0"/>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rsid w:val="00F204F0"/>
    <w:pPr>
      <w:spacing w:line="240" w:lineRule="exact"/>
    </w:pPr>
    <w:rPr>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F204F0"/>
    <w:rPr>
      <w:lang w:val="en-US"/>
    </w:rPr>
  </w:style>
  <w:style w:type="character" w:customStyle="1" w:styleId="Mention">
    <w:name w:val="Mention"/>
    <w:basedOn w:val="DefaultParagraphFont"/>
    <w:uiPriority w:val="99"/>
    <w:unhideWhenUsed/>
    <w:rsid w:val="00F204F0"/>
    <w:rPr>
      <w:color w:val="2B579A"/>
      <w:shd w:val="clear" w:color="auto" w:fill="E1DFDD"/>
    </w:rPr>
  </w:style>
  <w:style w:type="paragraph" w:customStyle="1" w:styleId="Languesfaisantfoi">
    <w:name w:val="Langues faisant foi"/>
    <w:basedOn w:val="Normal"/>
    <w:next w:val="Normal"/>
    <w:rsid w:val="00B87BC2"/>
    <w:pPr>
      <w:spacing w:before="360" w:after="240" w:line="240" w:lineRule="auto"/>
      <w:jc w:val="center"/>
    </w:pPr>
    <w:rPr>
      <w:rFonts w:ascii="Times New Roman" w:hAnsi="Times New Roman" w:cs="Times New Roman"/>
    </w:rPr>
  </w:style>
  <w:style w:type="paragraph" w:customStyle="1" w:styleId="LanguesfaisantfoiPagedecouverture">
    <w:name w:val="Langues faisant foi (Page de couverture)"/>
    <w:basedOn w:val="Normal"/>
    <w:next w:val="Normal"/>
    <w:rsid w:val="00B87BC2"/>
    <w:pPr>
      <w:spacing w:before="360" w:after="240" w:line="240" w:lineRule="auto"/>
      <w:jc w:val="center"/>
    </w:pPr>
    <w:rPr>
      <w:rFonts w:ascii="Times New Roman" w:hAnsi="Times New Roman" w:cs="Times New Roman"/>
    </w:rPr>
  </w:style>
  <w:style w:type="paragraph" w:customStyle="1" w:styleId="IntrtEEE">
    <w:name w:val="Intérêt EEE"/>
    <w:basedOn w:val="Languesfaisantfoi"/>
    <w:next w:val="Normal"/>
    <w:rsid w:val="00B87BC2"/>
    <w:pPr>
      <w:spacing w:after="0"/>
    </w:pPr>
  </w:style>
  <w:style w:type="paragraph" w:customStyle="1" w:styleId="IntrtEEEPagedecouverture">
    <w:name w:val="Intérêt EEE (Page de couverture)"/>
    <w:basedOn w:val="IntrtEEE"/>
    <w:next w:val="Normal"/>
    <w:rsid w:val="00B87BC2"/>
  </w:style>
  <w:style w:type="character" w:customStyle="1" w:styleId="cf01">
    <w:name w:val="cf01"/>
    <w:basedOn w:val="DefaultParagraphFont"/>
    <w:rsid w:val="005B45D3"/>
    <w:rPr>
      <w:rFonts w:asciiTheme="minorHAnsi" w:eastAsiaTheme="minorEastAsia" w:hAnsiTheme="minorHAnsi" w:cstheme="minorBidi"/>
      <w:b/>
      <w:bCs/>
      <w:sz w:val="18"/>
      <w:szCs w:val="18"/>
    </w:rPr>
  </w:style>
  <w:style w:type="paragraph" w:styleId="EndnoteText">
    <w:name w:val="endnote text"/>
    <w:basedOn w:val="Normal"/>
    <w:link w:val="EndnoteTextChar"/>
    <w:uiPriority w:val="99"/>
    <w:semiHidden/>
    <w:unhideWhenUsed/>
    <w:rsid w:val="005B45D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B45D3"/>
    <w:rPr>
      <w:sz w:val="20"/>
      <w:szCs w:val="20"/>
    </w:rPr>
  </w:style>
  <w:style w:type="character" w:styleId="EndnoteReference">
    <w:name w:val="endnote reference"/>
    <w:basedOn w:val="DefaultParagraphFont"/>
    <w:uiPriority w:val="99"/>
    <w:semiHidden/>
    <w:unhideWhenUsed/>
    <w:rsid w:val="005B45D3"/>
    <w:rPr>
      <w:vertAlign w:val="superscript"/>
    </w:rPr>
  </w:style>
  <w:style w:type="paragraph" w:styleId="TOCHeading">
    <w:name w:val="TOC Heading"/>
    <w:basedOn w:val="Heading1"/>
    <w:next w:val="Normal"/>
    <w:uiPriority w:val="39"/>
    <w:unhideWhenUsed/>
    <w:qFormat/>
    <w:rsid w:val="00B563ED"/>
    <w:pPr>
      <w:outlineLvl w:val="9"/>
    </w:pPr>
    <w:rPr>
      <w:rFonts w:ascii="EC Square Sans Pro" w:hAnsi="EC Square Sans Pro"/>
      <w:color w:val="003399"/>
      <w:kern w:val="0"/>
      <w:sz w:val="48"/>
      <w:szCs w:val="48"/>
      <w14:ligatures w14:val="none"/>
    </w:rPr>
  </w:style>
  <w:style w:type="paragraph" w:customStyle="1" w:styleId="Headingfollowupreport">
    <w:name w:val="Heading follow up report"/>
    <w:basedOn w:val="Heading1"/>
    <w:qFormat/>
    <w:rsid w:val="00C042A9"/>
    <w:pPr>
      <w:keepLines w:val="0"/>
      <w:spacing w:before="480" w:after="240" w:line="480" w:lineRule="exact"/>
      <w:contextualSpacing/>
      <w:jc w:val="left"/>
    </w:pPr>
    <w:rPr>
      <w:rFonts w:ascii="EC Square Sans Pro" w:eastAsia="Times New Roman" w:hAnsi="EC Square Sans Pro" w:cs="Times New Roman"/>
      <w:color w:val="003399"/>
      <w:kern w:val="0"/>
      <w:sz w:val="48"/>
      <w:szCs w:val="28"/>
      <w:lang w:eastAsia="en-GB"/>
      <w14:ligatures w14:val="none"/>
    </w:rPr>
  </w:style>
  <w:style w:type="paragraph" w:styleId="TOC1">
    <w:name w:val="toc 1"/>
    <w:basedOn w:val="Normal"/>
    <w:next w:val="Normal"/>
    <w:autoRedefine/>
    <w:uiPriority w:val="39"/>
    <w:unhideWhenUsed/>
    <w:rsid w:val="005B45D3"/>
    <w:pPr>
      <w:spacing w:after="100"/>
    </w:pPr>
  </w:style>
  <w:style w:type="paragraph" w:styleId="TOC2">
    <w:name w:val="toc 2"/>
    <w:basedOn w:val="Normal"/>
    <w:next w:val="Normal"/>
    <w:uiPriority w:val="39"/>
    <w:unhideWhenUsed/>
    <w:rsid w:val="005B45D3"/>
    <w:pPr>
      <w:spacing w:after="100"/>
      <w:ind w:left="220"/>
    </w:pPr>
  </w:style>
  <w:style w:type="table" w:styleId="TableGrid">
    <w:name w:val="Table Grid"/>
    <w:basedOn w:val="TableNormal"/>
    <w:uiPriority w:val="59"/>
    <w:rsid w:val="005B45D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Italic">
    <w:name w:val="Normal Italic"/>
    <w:basedOn w:val="Normal"/>
    <w:link w:val="NormalItalicChar"/>
    <w:qFormat/>
    <w:rsid w:val="00C6601C"/>
    <w:rPr>
      <w:rFonts w:cs="Times New Roman"/>
      <w:i/>
      <w:iCs/>
      <w:szCs w:val="24"/>
    </w:rPr>
  </w:style>
  <w:style w:type="character" w:customStyle="1" w:styleId="NormalItalicChar">
    <w:name w:val="Normal Italic Char"/>
    <w:basedOn w:val="DefaultParagraphFont"/>
    <w:link w:val="NormalItalic"/>
    <w:rsid w:val="00C6601C"/>
    <w:rPr>
      <w:rFonts w:ascii="EC Square Sans Pro" w:hAnsi="EC Square Sans Pro" w:cs="Times New Roman"/>
      <w:i/>
      <w:iCs/>
      <w:sz w:val="24"/>
      <w:szCs w:val="24"/>
    </w:rPr>
  </w:style>
  <w:style w:type="paragraph" w:customStyle="1" w:styleId="a">
    <w:name w:val="a"/>
    <w:aliases w:val="b,c"/>
    <w:basedOn w:val="ListParagraph"/>
    <w:qFormat/>
    <w:rsid w:val="00744578"/>
    <w:pPr>
      <w:spacing w:before="360"/>
      <w:ind w:left="0"/>
    </w:pPr>
    <w:rPr>
      <w:b/>
      <w:color w:val="008139" w:themeColor="accent5"/>
      <w:sz w:val="28"/>
      <w:szCs w:val="24"/>
    </w:rPr>
  </w:style>
  <w:style w:type="paragraph" w:customStyle="1" w:styleId="Paragraphstyle">
    <w:name w:val="Paragraph style"/>
    <w:basedOn w:val="Normal"/>
    <w:qFormat/>
    <w:rsid w:val="0024377D"/>
    <w:pPr>
      <w:spacing w:before="240" w:after="240" w:line="240" w:lineRule="auto"/>
    </w:pPr>
    <w:rPr>
      <w:rFonts w:eastAsia="Times New Roman" w:cs="Times New Roman"/>
      <w:iCs/>
      <w:color w:val="003399"/>
      <w:szCs w:val="20"/>
      <w:lang w:eastAsia="en-GB"/>
    </w:rPr>
  </w:style>
  <w:style w:type="paragraph" w:customStyle="1" w:styleId="Disclaimer">
    <w:name w:val="Disclaimer"/>
    <w:basedOn w:val="Normal"/>
    <w:rsid w:val="007D096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pPr>
    <w:rPr>
      <w:rFonts w:ascii="Times New Roman" w:hAnsi="Times New Roman" w:cs="Times New Roman"/>
    </w:rPr>
  </w:style>
  <w:style w:type="paragraph" w:customStyle="1" w:styleId="SecurityMarking">
    <w:name w:val="SecurityMarking"/>
    <w:basedOn w:val="Normal"/>
    <w:rsid w:val="007D0962"/>
    <w:pPr>
      <w:spacing w:before="0" w:after="0" w:line="276" w:lineRule="auto"/>
      <w:ind w:left="5103"/>
      <w:jc w:val="left"/>
    </w:pPr>
    <w:rPr>
      <w:rFonts w:ascii="Times New Roman" w:hAnsi="Times New Roman" w:cs="Times New Roman"/>
      <w:sz w:val="28"/>
    </w:rPr>
  </w:style>
  <w:style w:type="paragraph" w:customStyle="1" w:styleId="DateMarking">
    <w:name w:val="DateMarking"/>
    <w:basedOn w:val="Normal"/>
    <w:rsid w:val="007D0962"/>
    <w:pPr>
      <w:spacing w:before="0" w:after="0" w:line="276" w:lineRule="auto"/>
      <w:ind w:left="5103"/>
      <w:jc w:val="left"/>
    </w:pPr>
    <w:rPr>
      <w:rFonts w:ascii="Times New Roman" w:hAnsi="Times New Roman" w:cs="Times New Roman"/>
      <w:i/>
      <w:sz w:val="28"/>
    </w:rPr>
  </w:style>
  <w:style w:type="paragraph" w:customStyle="1" w:styleId="ReleasableTo">
    <w:name w:val="ReleasableTo"/>
    <w:basedOn w:val="Normal"/>
    <w:rsid w:val="007D0962"/>
    <w:pPr>
      <w:spacing w:before="0" w:after="0" w:line="276" w:lineRule="auto"/>
      <w:ind w:left="5103"/>
      <w:jc w:val="left"/>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55507">
      <w:bodyDiv w:val="1"/>
      <w:marLeft w:val="0"/>
      <w:marRight w:val="0"/>
      <w:marTop w:val="0"/>
      <w:marBottom w:val="0"/>
      <w:divBdr>
        <w:top w:val="none" w:sz="0" w:space="0" w:color="auto"/>
        <w:left w:val="none" w:sz="0" w:space="0" w:color="auto"/>
        <w:bottom w:val="none" w:sz="0" w:space="0" w:color="auto"/>
        <w:right w:val="none" w:sz="0" w:space="0" w:color="auto"/>
      </w:divBdr>
    </w:div>
    <w:div w:id="92479150">
      <w:bodyDiv w:val="1"/>
      <w:marLeft w:val="0"/>
      <w:marRight w:val="0"/>
      <w:marTop w:val="0"/>
      <w:marBottom w:val="0"/>
      <w:divBdr>
        <w:top w:val="none" w:sz="0" w:space="0" w:color="auto"/>
        <w:left w:val="none" w:sz="0" w:space="0" w:color="auto"/>
        <w:bottom w:val="none" w:sz="0" w:space="0" w:color="auto"/>
        <w:right w:val="none" w:sz="0" w:space="0" w:color="auto"/>
      </w:divBdr>
      <w:divsChild>
        <w:div w:id="1229077197">
          <w:marLeft w:val="288"/>
          <w:marRight w:val="0"/>
          <w:marTop w:val="0"/>
          <w:marBottom w:val="160"/>
          <w:divBdr>
            <w:top w:val="none" w:sz="0" w:space="0" w:color="auto"/>
            <w:left w:val="none" w:sz="0" w:space="0" w:color="auto"/>
            <w:bottom w:val="none" w:sz="0" w:space="0" w:color="auto"/>
            <w:right w:val="none" w:sz="0" w:space="0" w:color="auto"/>
          </w:divBdr>
        </w:div>
        <w:div w:id="1288048124">
          <w:marLeft w:val="288"/>
          <w:marRight w:val="0"/>
          <w:marTop w:val="0"/>
          <w:marBottom w:val="160"/>
          <w:divBdr>
            <w:top w:val="none" w:sz="0" w:space="0" w:color="auto"/>
            <w:left w:val="none" w:sz="0" w:space="0" w:color="auto"/>
            <w:bottom w:val="none" w:sz="0" w:space="0" w:color="auto"/>
            <w:right w:val="none" w:sz="0" w:space="0" w:color="auto"/>
          </w:divBdr>
        </w:div>
      </w:divsChild>
    </w:div>
    <w:div w:id="234171345">
      <w:bodyDiv w:val="1"/>
      <w:marLeft w:val="0"/>
      <w:marRight w:val="0"/>
      <w:marTop w:val="0"/>
      <w:marBottom w:val="0"/>
      <w:divBdr>
        <w:top w:val="none" w:sz="0" w:space="0" w:color="auto"/>
        <w:left w:val="none" w:sz="0" w:space="0" w:color="auto"/>
        <w:bottom w:val="none" w:sz="0" w:space="0" w:color="auto"/>
        <w:right w:val="none" w:sz="0" w:space="0" w:color="auto"/>
      </w:divBdr>
    </w:div>
    <w:div w:id="292368863">
      <w:bodyDiv w:val="1"/>
      <w:marLeft w:val="0"/>
      <w:marRight w:val="0"/>
      <w:marTop w:val="0"/>
      <w:marBottom w:val="0"/>
      <w:divBdr>
        <w:top w:val="none" w:sz="0" w:space="0" w:color="auto"/>
        <w:left w:val="none" w:sz="0" w:space="0" w:color="auto"/>
        <w:bottom w:val="none" w:sz="0" w:space="0" w:color="auto"/>
        <w:right w:val="none" w:sz="0" w:space="0" w:color="auto"/>
      </w:divBdr>
    </w:div>
    <w:div w:id="538516693">
      <w:bodyDiv w:val="1"/>
      <w:marLeft w:val="0"/>
      <w:marRight w:val="0"/>
      <w:marTop w:val="0"/>
      <w:marBottom w:val="0"/>
      <w:divBdr>
        <w:top w:val="none" w:sz="0" w:space="0" w:color="auto"/>
        <w:left w:val="none" w:sz="0" w:space="0" w:color="auto"/>
        <w:bottom w:val="none" w:sz="0" w:space="0" w:color="auto"/>
        <w:right w:val="none" w:sz="0" w:space="0" w:color="auto"/>
      </w:divBdr>
    </w:div>
    <w:div w:id="823468914">
      <w:bodyDiv w:val="1"/>
      <w:marLeft w:val="0"/>
      <w:marRight w:val="0"/>
      <w:marTop w:val="0"/>
      <w:marBottom w:val="0"/>
      <w:divBdr>
        <w:top w:val="none" w:sz="0" w:space="0" w:color="auto"/>
        <w:left w:val="none" w:sz="0" w:space="0" w:color="auto"/>
        <w:bottom w:val="none" w:sz="0" w:space="0" w:color="auto"/>
        <w:right w:val="none" w:sz="0" w:space="0" w:color="auto"/>
      </w:divBdr>
    </w:div>
    <w:div w:id="860361317">
      <w:bodyDiv w:val="1"/>
      <w:marLeft w:val="0"/>
      <w:marRight w:val="0"/>
      <w:marTop w:val="0"/>
      <w:marBottom w:val="0"/>
      <w:divBdr>
        <w:top w:val="none" w:sz="0" w:space="0" w:color="auto"/>
        <w:left w:val="none" w:sz="0" w:space="0" w:color="auto"/>
        <w:bottom w:val="none" w:sz="0" w:space="0" w:color="auto"/>
        <w:right w:val="none" w:sz="0" w:space="0" w:color="auto"/>
      </w:divBdr>
      <w:divsChild>
        <w:div w:id="2098742865">
          <w:marLeft w:val="0"/>
          <w:marRight w:val="0"/>
          <w:marTop w:val="0"/>
          <w:marBottom w:val="0"/>
          <w:divBdr>
            <w:top w:val="none" w:sz="0" w:space="0" w:color="auto"/>
            <w:left w:val="none" w:sz="0" w:space="0" w:color="auto"/>
            <w:bottom w:val="none" w:sz="0" w:space="0" w:color="auto"/>
            <w:right w:val="none" w:sz="0" w:space="0" w:color="auto"/>
          </w:divBdr>
        </w:div>
      </w:divsChild>
    </w:div>
    <w:div w:id="973683505">
      <w:bodyDiv w:val="1"/>
      <w:marLeft w:val="0"/>
      <w:marRight w:val="0"/>
      <w:marTop w:val="0"/>
      <w:marBottom w:val="0"/>
      <w:divBdr>
        <w:top w:val="none" w:sz="0" w:space="0" w:color="auto"/>
        <w:left w:val="none" w:sz="0" w:space="0" w:color="auto"/>
        <w:bottom w:val="none" w:sz="0" w:space="0" w:color="auto"/>
        <w:right w:val="none" w:sz="0" w:space="0" w:color="auto"/>
      </w:divBdr>
    </w:div>
    <w:div w:id="1147013154">
      <w:bodyDiv w:val="1"/>
      <w:marLeft w:val="0"/>
      <w:marRight w:val="0"/>
      <w:marTop w:val="0"/>
      <w:marBottom w:val="0"/>
      <w:divBdr>
        <w:top w:val="none" w:sz="0" w:space="0" w:color="auto"/>
        <w:left w:val="none" w:sz="0" w:space="0" w:color="auto"/>
        <w:bottom w:val="none" w:sz="0" w:space="0" w:color="auto"/>
        <w:right w:val="none" w:sz="0" w:space="0" w:color="auto"/>
      </w:divBdr>
      <w:divsChild>
        <w:div w:id="2123912857">
          <w:marLeft w:val="0"/>
          <w:marRight w:val="0"/>
          <w:marTop w:val="0"/>
          <w:marBottom w:val="0"/>
          <w:divBdr>
            <w:top w:val="none" w:sz="0" w:space="0" w:color="auto"/>
            <w:left w:val="none" w:sz="0" w:space="0" w:color="auto"/>
            <w:bottom w:val="none" w:sz="0" w:space="0" w:color="auto"/>
            <w:right w:val="none" w:sz="0" w:space="0" w:color="auto"/>
          </w:divBdr>
          <w:divsChild>
            <w:div w:id="108884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373205">
      <w:bodyDiv w:val="1"/>
      <w:marLeft w:val="0"/>
      <w:marRight w:val="0"/>
      <w:marTop w:val="0"/>
      <w:marBottom w:val="0"/>
      <w:divBdr>
        <w:top w:val="none" w:sz="0" w:space="0" w:color="auto"/>
        <w:left w:val="none" w:sz="0" w:space="0" w:color="auto"/>
        <w:bottom w:val="none" w:sz="0" w:space="0" w:color="auto"/>
        <w:right w:val="none" w:sz="0" w:space="0" w:color="auto"/>
      </w:divBdr>
    </w:div>
    <w:div w:id="1487429272">
      <w:bodyDiv w:val="1"/>
      <w:marLeft w:val="0"/>
      <w:marRight w:val="0"/>
      <w:marTop w:val="0"/>
      <w:marBottom w:val="0"/>
      <w:divBdr>
        <w:top w:val="none" w:sz="0" w:space="0" w:color="auto"/>
        <w:left w:val="none" w:sz="0" w:space="0" w:color="auto"/>
        <w:bottom w:val="none" w:sz="0" w:space="0" w:color="auto"/>
        <w:right w:val="none" w:sz="0" w:space="0" w:color="auto"/>
      </w:divBdr>
    </w:div>
    <w:div w:id="1714185394">
      <w:bodyDiv w:val="1"/>
      <w:marLeft w:val="0"/>
      <w:marRight w:val="0"/>
      <w:marTop w:val="0"/>
      <w:marBottom w:val="0"/>
      <w:divBdr>
        <w:top w:val="none" w:sz="0" w:space="0" w:color="auto"/>
        <w:left w:val="none" w:sz="0" w:space="0" w:color="auto"/>
        <w:bottom w:val="none" w:sz="0" w:space="0" w:color="auto"/>
        <w:right w:val="none" w:sz="0" w:space="0" w:color="auto"/>
      </w:divBdr>
    </w:div>
    <w:div w:id="1749957621">
      <w:bodyDiv w:val="1"/>
      <w:marLeft w:val="0"/>
      <w:marRight w:val="0"/>
      <w:marTop w:val="0"/>
      <w:marBottom w:val="0"/>
      <w:divBdr>
        <w:top w:val="none" w:sz="0" w:space="0" w:color="auto"/>
        <w:left w:val="none" w:sz="0" w:space="0" w:color="auto"/>
        <w:bottom w:val="none" w:sz="0" w:space="0" w:color="auto"/>
        <w:right w:val="none" w:sz="0" w:space="0" w:color="auto"/>
      </w:divBdr>
      <w:divsChild>
        <w:div w:id="1033194794">
          <w:marLeft w:val="0"/>
          <w:marRight w:val="0"/>
          <w:marTop w:val="0"/>
          <w:marBottom w:val="0"/>
          <w:divBdr>
            <w:top w:val="none" w:sz="0" w:space="0" w:color="auto"/>
            <w:left w:val="none" w:sz="0" w:space="0" w:color="auto"/>
            <w:bottom w:val="none" w:sz="0" w:space="0" w:color="auto"/>
            <w:right w:val="none" w:sz="0" w:space="0" w:color="auto"/>
          </w:divBdr>
          <w:divsChild>
            <w:div w:id="68656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826174">
      <w:bodyDiv w:val="1"/>
      <w:marLeft w:val="0"/>
      <w:marRight w:val="0"/>
      <w:marTop w:val="0"/>
      <w:marBottom w:val="0"/>
      <w:divBdr>
        <w:top w:val="none" w:sz="0" w:space="0" w:color="auto"/>
        <w:left w:val="none" w:sz="0" w:space="0" w:color="auto"/>
        <w:bottom w:val="none" w:sz="0" w:space="0" w:color="auto"/>
        <w:right w:val="none" w:sz="0" w:space="0" w:color="auto"/>
      </w:divBdr>
    </w:div>
    <w:div w:id="209847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eur-lex.europa.eu/legal-content/EN/TXT/?uri=celex:52025DC0546"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eur-lex.europa.eu/eli/reg/2026/467/oj"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reforms-investments.ec.europa.eu/publications-0/guidelines-member-states-operational-aspects-related-final-phase-and-closure-recovery-and-resilience_en"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commission.europa.eu/about/service-standards-and-principles/transparency/special-advisers_en"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ALL/?uri=CELEX:52025DC0824" TargetMode="External"/><Relationship Id="rId2" Type="http://schemas.openxmlformats.org/officeDocument/2006/relationships/hyperlink" Target="https://data.consilium.europa.eu/doc/document/ST-5749-2026-ADD-1/en/pdf" TargetMode="External"/><Relationship Id="rId1" Type="http://schemas.openxmlformats.org/officeDocument/2006/relationships/hyperlink" Target="https://www.europarl.europa.eu/doceo/document/TA-10-2026-0125_EN.html" TargetMode="External"/></Relationships>
</file>

<file path=word/theme/theme1.xml><?xml version="1.0" encoding="utf-8"?>
<a:theme xmlns:a="http://schemas.openxmlformats.org/drawingml/2006/main" name="Office Theme">
  <a:themeElements>
    <a:clrScheme name="AMPR 2025">
      <a:dk1>
        <a:srgbClr val="000000"/>
      </a:dk1>
      <a:lt1>
        <a:sysClr val="window" lastClr="FFFFFF"/>
      </a:lt1>
      <a:dk2>
        <a:srgbClr val="003399"/>
      </a:dk2>
      <a:lt2>
        <a:srgbClr val="F3F7FF"/>
      </a:lt2>
      <a:accent1>
        <a:srgbClr val="7030A0"/>
      </a:accent1>
      <a:accent2>
        <a:srgbClr val="DE6002"/>
      </a:accent2>
      <a:accent3>
        <a:srgbClr val="2688FE"/>
      </a:accent3>
      <a:accent4>
        <a:srgbClr val="FDAB07"/>
      </a:accent4>
      <a:accent5>
        <a:srgbClr val="008139"/>
      </a:accent5>
      <a:accent6>
        <a:srgbClr val="DC165D"/>
      </a:accent6>
      <a:hlink>
        <a:srgbClr val="245F95"/>
      </a:hlink>
      <a:folHlink>
        <a:srgbClr val="245F9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80ce509-6f48-4da0-b962-a72f8e90fa8e">
      <Terms xmlns="http://schemas.microsoft.com/office/infopath/2007/PartnerControls"/>
    </lcf76f155ced4ddcb4097134ff3c332f>
    <TaxCatchAll xmlns="ad5abd8d-4c64-45ea-8ed0-274cef71a4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A711830E683F4CB9E57883B0FD9B29" ma:contentTypeVersion="14" ma:contentTypeDescription="Create a new document." ma:contentTypeScope="" ma:versionID="1de51fe065ce0beebfc1190e2126b1fc">
  <xsd:schema xmlns:xsd="http://www.w3.org/2001/XMLSchema" xmlns:xs="http://www.w3.org/2001/XMLSchema" xmlns:p="http://schemas.microsoft.com/office/2006/metadata/properties" xmlns:ns2="180ce509-6f48-4da0-b962-a72f8e90fa8e" xmlns:ns3="ad5abd8d-4c64-45ea-8ed0-274cef71a44e" targetNamespace="http://schemas.microsoft.com/office/2006/metadata/properties" ma:root="true" ma:fieldsID="fb5e07f4d0150ac8065c2d277e25b521" ns2:_="" ns3:_="">
    <xsd:import namespace="180ce509-6f48-4da0-b962-a72f8e90fa8e"/>
    <xsd:import namespace="ad5abd8d-4c64-45ea-8ed0-274cef71a4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Details" minOccurs="0"/>
                <xsd:element ref="ns3:SharedWithUser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ce509-6f48-4da0-b962-a72f8e90fa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d5abd8d-4c64-45ea-8ed0-274cef71a44e" elementFormDefault="qualified">
    <xsd:import namespace="http://schemas.microsoft.com/office/2006/documentManagement/types"/>
    <xsd:import namespace="http://schemas.microsoft.com/office/infopath/2007/PartnerControls"/>
    <xsd:element name="SharedWithDetails" ma:index="11" nillable="true" ma:displayName="Shared With Details" ma:internalName="SharedWithDetails" ma:readOnly="true">
      <xsd:simpleType>
        <xsd:restriction base="dms:Note">
          <xsd:maxLength value="255"/>
        </xsd:restrictio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6" nillable="true" ma:displayName="Taxonomy Catch All Column" ma:hidden="true" ma:list="{29c590c5-2845-481f-83fa-ffad99ac8788}" ma:internalName="TaxCatchAll" ma:showField="CatchAllData" ma:web="ad5abd8d-4c64-45ea-8ed0-274cef71a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B0B75DF-F610-479A-80BC-7568932CFF5C}">
  <ds:schemaRefs>
    <ds:schemaRef ds:uri="http://schemas.microsoft.com/office/2006/metadata/properties"/>
    <ds:schemaRef ds:uri="http://schemas.microsoft.com/office/infopath/2007/PartnerControls"/>
    <ds:schemaRef ds:uri="180ce509-6f48-4da0-b962-a72f8e90fa8e"/>
    <ds:schemaRef ds:uri="ad5abd8d-4c64-45ea-8ed0-274cef71a44e"/>
  </ds:schemaRefs>
</ds:datastoreItem>
</file>

<file path=customXml/itemProps2.xml><?xml version="1.0" encoding="utf-8"?>
<ds:datastoreItem xmlns:ds="http://schemas.openxmlformats.org/officeDocument/2006/customXml" ds:itemID="{EB4B60C3-EBFE-425A-8DA6-2476E55AB1E4}">
  <ds:schemaRefs>
    <ds:schemaRef ds:uri="http://schemas.microsoft.com/sharepoint/v3/contenttype/forms"/>
  </ds:schemaRefs>
</ds:datastoreItem>
</file>

<file path=customXml/itemProps3.xml><?xml version="1.0" encoding="utf-8"?>
<ds:datastoreItem xmlns:ds="http://schemas.openxmlformats.org/officeDocument/2006/customXml" ds:itemID="{DF439CCA-0610-4B47-B082-6EFE21C7A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ce509-6f48-4da0-b962-a72f8e90fa8e"/>
    <ds:schemaRef ds:uri="ad5abd8d-4c64-45ea-8ed0-274cef71a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409D1D-9BF3-4CEC-8053-358127696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4741</Words>
  <Characters>27027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31705</CharactersWithSpaces>
  <SharedDoc>false</SharedDoc>
  <HLinks>
    <vt:vector size="78" baseType="variant">
      <vt:variant>
        <vt:i4>4587576</vt:i4>
      </vt:variant>
      <vt:variant>
        <vt:i4>48</vt:i4>
      </vt:variant>
      <vt:variant>
        <vt:i4>0</vt:i4>
      </vt:variant>
      <vt:variant>
        <vt:i4>5</vt:i4>
      </vt:variant>
      <vt:variant>
        <vt:lpwstr>https://commission.europa.eu/about/service-standards-and-principles/transparency/special-advisers_en</vt:lpwstr>
      </vt:variant>
      <vt:variant>
        <vt:lpwstr>currentlistofdesignatedspecialadvisers</vt:lpwstr>
      </vt:variant>
      <vt:variant>
        <vt:i4>262164</vt:i4>
      </vt:variant>
      <vt:variant>
        <vt:i4>45</vt:i4>
      </vt:variant>
      <vt:variant>
        <vt:i4>0</vt:i4>
      </vt:variant>
      <vt:variant>
        <vt:i4>5</vt:i4>
      </vt:variant>
      <vt:variant>
        <vt:lpwstr>https://eur-lex.europa.eu/legal-content/EN/TXT/?uri=celex:52025DC0546</vt:lpwstr>
      </vt:variant>
      <vt:variant>
        <vt:lpwstr/>
      </vt:variant>
      <vt:variant>
        <vt:i4>5242960</vt:i4>
      </vt:variant>
      <vt:variant>
        <vt:i4>42</vt:i4>
      </vt:variant>
      <vt:variant>
        <vt:i4>0</vt:i4>
      </vt:variant>
      <vt:variant>
        <vt:i4>5</vt:i4>
      </vt:variant>
      <vt:variant>
        <vt:lpwstr>https://eur-lex.europa.eu/eli/reg/2026/467/oj</vt:lpwstr>
      </vt:variant>
      <vt:variant>
        <vt:lpwstr/>
      </vt:variant>
      <vt:variant>
        <vt:i4>7733269</vt:i4>
      </vt:variant>
      <vt:variant>
        <vt:i4>39</vt:i4>
      </vt:variant>
      <vt:variant>
        <vt:i4>0</vt:i4>
      </vt:variant>
      <vt:variant>
        <vt:i4>5</vt:i4>
      </vt:variant>
      <vt:variant>
        <vt:lpwstr>https://reforms-investments.ec.europa.eu/publications-0/guidelines-member-states-operational-aspects-related-final-phase-and-closure-recovery-and-resilience_en</vt:lpwstr>
      </vt:variant>
      <vt:variant>
        <vt:lpwstr/>
      </vt:variant>
      <vt:variant>
        <vt:i4>1507388</vt:i4>
      </vt:variant>
      <vt:variant>
        <vt:i4>32</vt:i4>
      </vt:variant>
      <vt:variant>
        <vt:i4>0</vt:i4>
      </vt:variant>
      <vt:variant>
        <vt:i4>5</vt:i4>
      </vt:variant>
      <vt:variant>
        <vt:lpwstr/>
      </vt:variant>
      <vt:variant>
        <vt:lpwstr>_Toc232587417</vt:lpwstr>
      </vt:variant>
      <vt:variant>
        <vt:i4>1507388</vt:i4>
      </vt:variant>
      <vt:variant>
        <vt:i4>26</vt:i4>
      </vt:variant>
      <vt:variant>
        <vt:i4>0</vt:i4>
      </vt:variant>
      <vt:variant>
        <vt:i4>5</vt:i4>
      </vt:variant>
      <vt:variant>
        <vt:lpwstr/>
      </vt:variant>
      <vt:variant>
        <vt:lpwstr>_Toc232587416</vt:lpwstr>
      </vt:variant>
      <vt:variant>
        <vt:i4>1507388</vt:i4>
      </vt:variant>
      <vt:variant>
        <vt:i4>20</vt:i4>
      </vt:variant>
      <vt:variant>
        <vt:i4>0</vt:i4>
      </vt:variant>
      <vt:variant>
        <vt:i4>5</vt:i4>
      </vt:variant>
      <vt:variant>
        <vt:lpwstr/>
      </vt:variant>
      <vt:variant>
        <vt:lpwstr>_Toc232587415</vt:lpwstr>
      </vt:variant>
      <vt:variant>
        <vt:i4>1507388</vt:i4>
      </vt:variant>
      <vt:variant>
        <vt:i4>14</vt:i4>
      </vt:variant>
      <vt:variant>
        <vt:i4>0</vt:i4>
      </vt:variant>
      <vt:variant>
        <vt:i4>5</vt:i4>
      </vt:variant>
      <vt:variant>
        <vt:lpwstr/>
      </vt:variant>
      <vt:variant>
        <vt:lpwstr>_Toc232587414</vt:lpwstr>
      </vt:variant>
      <vt:variant>
        <vt:i4>1507388</vt:i4>
      </vt:variant>
      <vt:variant>
        <vt:i4>8</vt:i4>
      </vt:variant>
      <vt:variant>
        <vt:i4>0</vt:i4>
      </vt:variant>
      <vt:variant>
        <vt:i4>5</vt:i4>
      </vt:variant>
      <vt:variant>
        <vt:lpwstr/>
      </vt:variant>
      <vt:variant>
        <vt:lpwstr>_Toc232587413</vt:lpwstr>
      </vt:variant>
      <vt:variant>
        <vt:i4>1507388</vt:i4>
      </vt:variant>
      <vt:variant>
        <vt:i4>2</vt:i4>
      </vt:variant>
      <vt:variant>
        <vt:i4>0</vt:i4>
      </vt:variant>
      <vt:variant>
        <vt:i4>5</vt:i4>
      </vt:variant>
      <vt:variant>
        <vt:lpwstr/>
      </vt:variant>
      <vt:variant>
        <vt:lpwstr>_Toc232587412</vt:lpwstr>
      </vt:variant>
      <vt:variant>
        <vt:i4>983053</vt:i4>
      </vt:variant>
      <vt:variant>
        <vt:i4>6</vt:i4>
      </vt:variant>
      <vt:variant>
        <vt:i4>0</vt:i4>
      </vt:variant>
      <vt:variant>
        <vt:i4>5</vt:i4>
      </vt:variant>
      <vt:variant>
        <vt:lpwstr>https://eur-lex.europa.eu/legal-content/EN/ALL/?uri=CELEX:52025DC0824</vt:lpwstr>
      </vt:variant>
      <vt:variant>
        <vt:lpwstr/>
      </vt:variant>
      <vt:variant>
        <vt:i4>2424874</vt:i4>
      </vt:variant>
      <vt:variant>
        <vt:i4>3</vt:i4>
      </vt:variant>
      <vt:variant>
        <vt:i4>0</vt:i4>
      </vt:variant>
      <vt:variant>
        <vt:i4>5</vt:i4>
      </vt:variant>
      <vt:variant>
        <vt:lpwstr>https://data.consilium.europa.eu/doc/document/ST-5749-2026-ADD-1/en/pdf</vt:lpwstr>
      </vt:variant>
      <vt:variant>
        <vt:lpwstr/>
      </vt:variant>
      <vt:variant>
        <vt:i4>5832830</vt:i4>
      </vt:variant>
      <vt:variant>
        <vt:i4>0</vt:i4>
      </vt:variant>
      <vt:variant>
        <vt:i4>0</vt:i4>
      </vt:variant>
      <vt:variant>
        <vt:i4>5</vt:i4>
      </vt:variant>
      <vt:variant>
        <vt:lpwstr>https://www.europarl.europa.eu/doceo/document/TA-10-2026-0125_EN.html</vt:lpwstr>
      </vt:variant>
      <vt:variant>
        <vt:lpwstr>title1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2026-06-24T15:02:00Z</dcterms:created>
  <dcterms:modified xsi:type="dcterms:W3CDTF">2026-06-25T14:07:00Z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2026-06-12T10:14:03Z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787dc8e4-84e8-4443-9fa2-6eefb81698fa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0x01010057A711830E683F4CB9E57883B0FD9B29</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DocStatus">
    <vt:lpwstr>Green</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