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6FB8BE" w14:textId="5AD23A88" w:rsidR="00F17AAE" w:rsidRPr="00E857AB" w:rsidRDefault="00065D2D" w:rsidP="00065D2D">
      <w:pPr>
        <w:pStyle w:val="Pagedecouverture"/>
        <w:rPr>
          <w:noProof/>
        </w:rPr>
      </w:pPr>
      <w:bookmarkStart w:id="0" w:name="LW_BM_COVERPAGE"/>
      <w:r>
        <w:rPr>
          <w:noProof/>
        </w:rPr>
        <w:pict w14:anchorId="69378AC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28B1A6C0-86BC-41B3-9D48-9BC194E8EE28" style="width:455.25pt;height:286.5pt">
            <v:imagedata r:id="rId11" o:title=""/>
          </v:shape>
        </w:pict>
      </w:r>
    </w:p>
    <w:bookmarkEnd w:id="0"/>
    <w:p w14:paraId="7C0F52A5" w14:textId="77777777" w:rsidR="00F17AAE" w:rsidRPr="00A03179" w:rsidRDefault="00F17AAE" w:rsidP="00CB12C0">
      <w:pPr>
        <w:rPr>
          <w:noProof/>
        </w:rPr>
        <w:sectPr w:rsidR="00F17AAE" w:rsidRPr="00A03179" w:rsidSect="00065D2D">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762601C3" w14:textId="0CFCF7DD" w:rsidR="005A167C" w:rsidRPr="00177099" w:rsidRDefault="005A167C" w:rsidP="00177099">
      <w:pPr>
        <w:pStyle w:val="Pagedecouverture"/>
        <w:rPr>
          <w:noProof/>
        </w:rPr>
      </w:pPr>
      <w:bookmarkStart w:id="1" w:name="_Hlk232589288"/>
      <w:bookmarkStart w:id="2" w:name="_GoBack"/>
      <w:bookmarkEnd w:id="2"/>
      <w:r>
        <w:rPr>
          <w:noProof/>
        </w:rPr>
        <w:lastRenderedPageBreak/>
        <w:t>Raport cu privire la acțiunile întreprinse în urma solicitărilor formulate de Parlamentul European în rezoluțiile sale privind descărcarea de gestiune, precum și de Consiliu în recomandarea sa privind descărcarea de gestiune pentru exercițiul financiar 2024</w:t>
      </w:r>
    </w:p>
    <w:bookmarkStart w:id="3" w:name="_Toc197935745" w:displacedByCustomXml="next"/>
    <w:sdt>
      <w:sdtPr>
        <w:rPr>
          <w:rFonts w:ascii="Times New Roman" w:eastAsiaTheme="minorEastAsia" w:hAnsi="Times New Roman" w:cs="Times New Roman"/>
          <w:noProof/>
          <w:color w:val="auto"/>
          <w:sz w:val="22"/>
          <w:szCs w:val="22"/>
        </w:rPr>
        <w:id w:val="-20473642"/>
        <w:docPartObj>
          <w:docPartGallery w:val="Table of Contents"/>
          <w:docPartUnique/>
        </w:docPartObj>
      </w:sdtPr>
      <w:sdtEndPr>
        <w:rPr>
          <w:rFonts w:ascii="EC Square Sans Pro" w:hAnsi="EC Square Sans Pro" w:cstheme="minorBidi"/>
          <w:sz w:val="24"/>
        </w:rPr>
      </w:sdtEndPr>
      <w:sdtContent>
        <w:p w14:paraId="2B1E8D6E" w14:textId="77777777" w:rsidR="005A167C" w:rsidRPr="007C31E8" w:rsidRDefault="005A167C" w:rsidP="005A167C">
          <w:pPr>
            <w:pStyle w:val="TOCHeading"/>
            <w:rPr>
              <w:noProof/>
            </w:rPr>
          </w:pPr>
          <w:r>
            <w:rPr>
              <w:noProof/>
            </w:rPr>
            <w:t>Cuprins</w:t>
          </w:r>
        </w:p>
        <w:p w14:paraId="151B69DE" w14:textId="2F94D126" w:rsidR="00A64D68" w:rsidRPr="00EB2C81" w:rsidRDefault="007D64C6">
          <w:pPr>
            <w:pStyle w:val="TOC1"/>
            <w:tabs>
              <w:tab w:val="left" w:pos="480"/>
              <w:tab w:val="right" w:leader="dot" w:pos="9016"/>
            </w:tabs>
            <w:rPr>
              <w:rFonts w:asciiTheme="minorHAnsi" w:eastAsiaTheme="minorEastAsia" w:hAnsiTheme="minorHAnsi"/>
              <w:noProof/>
              <w:kern w:val="2"/>
              <w:sz w:val="22"/>
              <w:lang w:val="fr-BE" w:eastAsia="fr-BE"/>
              <w14:ligatures w14:val="standardContextual"/>
            </w:rPr>
          </w:pPr>
          <w:r>
            <w:rPr>
              <w:rStyle w:val="Hyperlink"/>
              <w:noProof/>
              <w:color w:val="auto"/>
              <w:sz w:val="22"/>
            </w:rPr>
            <w:fldChar w:fldCharType="begin"/>
          </w:r>
          <w:r>
            <w:rPr>
              <w:rStyle w:val="Hyperlink"/>
              <w:noProof/>
              <w:color w:val="auto"/>
              <w:sz w:val="22"/>
            </w:rPr>
            <w:instrText xml:space="preserve"> TOC \o "1-1" \h \z \u </w:instrText>
          </w:r>
          <w:r>
            <w:rPr>
              <w:rStyle w:val="Hyperlink"/>
              <w:noProof/>
              <w:color w:val="auto"/>
              <w:sz w:val="22"/>
            </w:rPr>
            <w:fldChar w:fldCharType="separate"/>
          </w:r>
          <w:hyperlink w:anchor="_Toc235091492" w:history="1">
            <w:r w:rsidR="00A64D68" w:rsidRPr="00EB2C81">
              <w:rPr>
                <w:rStyle w:val="Hyperlink"/>
                <w:noProof/>
                <w:sz w:val="22"/>
              </w:rPr>
              <w:t>1.</w:t>
            </w:r>
            <w:r w:rsidR="00A64D68" w:rsidRPr="00EB2C81">
              <w:rPr>
                <w:rFonts w:asciiTheme="minorHAnsi" w:eastAsiaTheme="minorEastAsia" w:hAnsiTheme="minorHAnsi"/>
                <w:noProof/>
                <w:kern w:val="2"/>
                <w:sz w:val="22"/>
                <w:lang w:val="fr-BE" w:eastAsia="fr-BE"/>
                <w14:ligatures w14:val="standardContextual"/>
              </w:rPr>
              <w:tab/>
            </w:r>
            <w:r w:rsidR="00A64D68" w:rsidRPr="00EB2C81">
              <w:rPr>
                <w:rStyle w:val="Hyperlink"/>
                <w:noProof/>
                <w:sz w:val="22"/>
              </w:rPr>
              <w:t>Introducere</w:t>
            </w:r>
            <w:r w:rsidR="00A64D68" w:rsidRPr="00EB2C81">
              <w:rPr>
                <w:noProof/>
                <w:webHidden/>
                <w:sz w:val="22"/>
              </w:rPr>
              <w:tab/>
            </w:r>
            <w:r w:rsidR="00A64D68" w:rsidRPr="00EB2C81">
              <w:rPr>
                <w:noProof/>
                <w:webHidden/>
                <w:sz w:val="22"/>
              </w:rPr>
              <w:fldChar w:fldCharType="begin"/>
            </w:r>
            <w:r w:rsidR="00A64D68" w:rsidRPr="00EB2C81">
              <w:rPr>
                <w:noProof/>
                <w:webHidden/>
                <w:sz w:val="22"/>
              </w:rPr>
              <w:instrText xml:space="preserve"> PAGEREF _Toc235091492 \h </w:instrText>
            </w:r>
            <w:r w:rsidR="00A64D68" w:rsidRPr="00EB2C81">
              <w:rPr>
                <w:noProof/>
                <w:webHidden/>
                <w:sz w:val="22"/>
              </w:rPr>
            </w:r>
            <w:r w:rsidR="00A64D68" w:rsidRPr="00EB2C81">
              <w:rPr>
                <w:noProof/>
                <w:webHidden/>
                <w:sz w:val="22"/>
              </w:rPr>
              <w:fldChar w:fldCharType="separate"/>
            </w:r>
            <w:r w:rsidR="00A64D68" w:rsidRPr="00EB2C81">
              <w:rPr>
                <w:noProof/>
                <w:webHidden/>
                <w:sz w:val="22"/>
              </w:rPr>
              <w:t>1</w:t>
            </w:r>
            <w:r w:rsidR="00A64D68" w:rsidRPr="00EB2C81">
              <w:rPr>
                <w:noProof/>
                <w:webHidden/>
                <w:sz w:val="22"/>
              </w:rPr>
              <w:fldChar w:fldCharType="end"/>
            </w:r>
          </w:hyperlink>
        </w:p>
        <w:p w14:paraId="57B92584" w14:textId="5B0ADF37" w:rsidR="00A64D68" w:rsidRPr="00EB2C81" w:rsidRDefault="00065D2D">
          <w:pPr>
            <w:pStyle w:val="TOC1"/>
            <w:tabs>
              <w:tab w:val="left" w:pos="480"/>
              <w:tab w:val="right" w:leader="dot" w:pos="9016"/>
            </w:tabs>
            <w:rPr>
              <w:rFonts w:asciiTheme="minorHAnsi" w:eastAsiaTheme="minorEastAsia" w:hAnsiTheme="minorHAnsi"/>
              <w:noProof/>
              <w:kern w:val="2"/>
              <w:sz w:val="22"/>
              <w:lang w:val="fr-BE" w:eastAsia="fr-BE"/>
              <w14:ligatures w14:val="standardContextual"/>
            </w:rPr>
          </w:pPr>
          <w:hyperlink w:anchor="_Toc235091493" w:history="1">
            <w:r w:rsidR="00A64D68" w:rsidRPr="00EB2C81">
              <w:rPr>
                <w:rStyle w:val="Hyperlink"/>
                <w:noProof/>
                <w:sz w:val="22"/>
              </w:rPr>
              <w:t>2.</w:t>
            </w:r>
            <w:r w:rsidR="00A64D68" w:rsidRPr="00EB2C81">
              <w:rPr>
                <w:rFonts w:asciiTheme="minorHAnsi" w:eastAsiaTheme="minorEastAsia" w:hAnsiTheme="minorHAnsi"/>
                <w:noProof/>
                <w:kern w:val="2"/>
                <w:sz w:val="22"/>
                <w:lang w:val="fr-BE" w:eastAsia="fr-BE"/>
                <w14:ligatures w14:val="standardContextual"/>
              </w:rPr>
              <w:tab/>
            </w:r>
            <w:r w:rsidR="00A64D68" w:rsidRPr="00EB2C81">
              <w:rPr>
                <w:rStyle w:val="Hyperlink"/>
                <w:noProof/>
                <w:sz w:val="22"/>
              </w:rPr>
              <w:t>Un buget care își îndeplinește obiectivele</w:t>
            </w:r>
            <w:r w:rsidR="00A64D68" w:rsidRPr="00EB2C81">
              <w:rPr>
                <w:noProof/>
                <w:webHidden/>
                <w:sz w:val="22"/>
              </w:rPr>
              <w:tab/>
            </w:r>
            <w:r w:rsidR="00A64D68" w:rsidRPr="00EB2C81">
              <w:rPr>
                <w:noProof/>
                <w:webHidden/>
                <w:sz w:val="22"/>
              </w:rPr>
              <w:fldChar w:fldCharType="begin"/>
            </w:r>
            <w:r w:rsidR="00A64D68" w:rsidRPr="00EB2C81">
              <w:rPr>
                <w:noProof/>
                <w:webHidden/>
                <w:sz w:val="22"/>
              </w:rPr>
              <w:instrText xml:space="preserve"> PAGEREF _Toc235091493 \h </w:instrText>
            </w:r>
            <w:r w:rsidR="00A64D68" w:rsidRPr="00EB2C81">
              <w:rPr>
                <w:noProof/>
                <w:webHidden/>
                <w:sz w:val="22"/>
              </w:rPr>
            </w:r>
            <w:r w:rsidR="00A64D68" w:rsidRPr="00EB2C81">
              <w:rPr>
                <w:noProof/>
                <w:webHidden/>
                <w:sz w:val="22"/>
              </w:rPr>
              <w:fldChar w:fldCharType="separate"/>
            </w:r>
            <w:r w:rsidR="00A64D68" w:rsidRPr="00EB2C81">
              <w:rPr>
                <w:noProof/>
                <w:webHidden/>
                <w:sz w:val="22"/>
              </w:rPr>
              <w:t>1</w:t>
            </w:r>
            <w:r w:rsidR="00A64D68" w:rsidRPr="00EB2C81">
              <w:rPr>
                <w:noProof/>
                <w:webHidden/>
                <w:sz w:val="22"/>
              </w:rPr>
              <w:fldChar w:fldCharType="end"/>
            </w:r>
          </w:hyperlink>
        </w:p>
        <w:p w14:paraId="74E117CF" w14:textId="785A25B7" w:rsidR="00A64D68" w:rsidRPr="00EB2C81" w:rsidRDefault="00065D2D">
          <w:pPr>
            <w:pStyle w:val="TOC1"/>
            <w:tabs>
              <w:tab w:val="left" w:pos="480"/>
              <w:tab w:val="right" w:leader="dot" w:pos="9016"/>
            </w:tabs>
            <w:rPr>
              <w:rFonts w:asciiTheme="minorHAnsi" w:eastAsiaTheme="minorEastAsia" w:hAnsiTheme="minorHAnsi"/>
              <w:noProof/>
              <w:kern w:val="2"/>
              <w:sz w:val="22"/>
              <w:lang w:val="fr-BE" w:eastAsia="fr-BE"/>
              <w14:ligatures w14:val="standardContextual"/>
            </w:rPr>
          </w:pPr>
          <w:hyperlink w:anchor="_Toc235091494" w:history="1">
            <w:r w:rsidR="00A64D68" w:rsidRPr="00EB2C81">
              <w:rPr>
                <w:rStyle w:val="Hyperlink"/>
                <w:noProof/>
                <w:sz w:val="22"/>
              </w:rPr>
              <w:t>3.</w:t>
            </w:r>
            <w:r w:rsidR="00A64D68" w:rsidRPr="00EB2C81">
              <w:rPr>
                <w:rFonts w:asciiTheme="minorHAnsi" w:eastAsiaTheme="minorEastAsia" w:hAnsiTheme="minorHAnsi"/>
                <w:noProof/>
                <w:kern w:val="2"/>
                <w:sz w:val="22"/>
                <w:lang w:val="fr-BE" w:eastAsia="fr-BE"/>
                <w14:ligatures w14:val="standardContextual"/>
              </w:rPr>
              <w:tab/>
            </w:r>
            <w:r w:rsidR="00A64D68" w:rsidRPr="00EB2C81">
              <w:rPr>
                <w:rStyle w:val="Hyperlink"/>
                <w:noProof/>
                <w:sz w:val="22"/>
              </w:rPr>
              <w:t>Protejarea intereselor financiare ale UE</w:t>
            </w:r>
            <w:r w:rsidR="00A64D68" w:rsidRPr="00EB2C81">
              <w:rPr>
                <w:noProof/>
                <w:webHidden/>
                <w:sz w:val="22"/>
              </w:rPr>
              <w:tab/>
            </w:r>
            <w:r w:rsidR="00A64D68" w:rsidRPr="00EB2C81">
              <w:rPr>
                <w:noProof/>
                <w:webHidden/>
                <w:sz w:val="22"/>
              </w:rPr>
              <w:fldChar w:fldCharType="begin"/>
            </w:r>
            <w:r w:rsidR="00A64D68" w:rsidRPr="00EB2C81">
              <w:rPr>
                <w:noProof/>
                <w:webHidden/>
                <w:sz w:val="22"/>
              </w:rPr>
              <w:instrText xml:space="preserve"> PAGEREF _Toc235091494 \h </w:instrText>
            </w:r>
            <w:r w:rsidR="00A64D68" w:rsidRPr="00EB2C81">
              <w:rPr>
                <w:noProof/>
                <w:webHidden/>
                <w:sz w:val="22"/>
              </w:rPr>
            </w:r>
            <w:r w:rsidR="00A64D68" w:rsidRPr="00EB2C81">
              <w:rPr>
                <w:noProof/>
                <w:webHidden/>
                <w:sz w:val="22"/>
              </w:rPr>
              <w:fldChar w:fldCharType="separate"/>
            </w:r>
            <w:r w:rsidR="00A64D68" w:rsidRPr="00EB2C81">
              <w:rPr>
                <w:noProof/>
                <w:webHidden/>
                <w:sz w:val="22"/>
              </w:rPr>
              <w:t>4</w:t>
            </w:r>
            <w:r w:rsidR="00A64D68" w:rsidRPr="00EB2C81">
              <w:rPr>
                <w:noProof/>
                <w:webHidden/>
                <w:sz w:val="22"/>
              </w:rPr>
              <w:fldChar w:fldCharType="end"/>
            </w:r>
          </w:hyperlink>
        </w:p>
        <w:p w14:paraId="7A5B5EC0" w14:textId="1D27B4A8" w:rsidR="00A64D68" w:rsidRPr="00EB2C81" w:rsidRDefault="00065D2D">
          <w:pPr>
            <w:pStyle w:val="TOC1"/>
            <w:tabs>
              <w:tab w:val="left" w:pos="480"/>
              <w:tab w:val="right" w:leader="dot" w:pos="9016"/>
            </w:tabs>
            <w:rPr>
              <w:rFonts w:asciiTheme="minorHAnsi" w:eastAsiaTheme="minorEastAsia" w:hAnsiTheme="minorHAnsi"/>
              <w:noProof/>
              <w:kern w:val="2"/>
              <w:sz w:val="22"/>
              <w:lang w:val="fr-BE" w:eastAsia="fr-BE"/>
              <w14:ligatures w14:val="standardContextual"/>
            </w:rPr>
          </w:pPr>
          <w:hyperlink w:anchor="_Toc235091495" w:history="1">
            <w:r w:rsidR="00A64D68" w:rsidRPr="00EB2C81">
              <w:rPr>
                <w:rStyle w:val="Hyperlink"/>
                <w:noProof/>
                <w:sz w:val="22"/>
              </w:rPr>
              <w:t>4.</w:t>
            </w:r>
            <w:r w:rsidR="00A64D68" w:rsidRPr="00EB2C81">
              <w:rPr>
                <w:rFonts w:asciiTheme="minorHAnsi" w:eastAsiaTheme="minorEastAsia" w:hAnsiTheme="minorHAnsi"/>
                <w:noProof/>
                <w:kern w:val="2"/>
                <w:sz w:val="22"/>
                <w:lang w:val="fr-BE" w:eastAsia="fr-BE"/>
                <w14:ligatures w14:val="standardContextual"/>
              </w:rPr>
              <w:tab/>
            </w:r>
            <w:r w:rsidR="00A64D68" w:rsidRPr="00EB2C81">
              <w:rPr>
                <w:rStyle w:val="Hyperlink"/>
                <w:noProof/>
                <w:sz w:val="22"/>
              </w:rPr>
              <w:t>Transparență</w:t>
            </w:r>
            <w:r w:rsidR="00A64D68" w:rsidRPr="00EB2C81">
              <w:rPr>
                <w:noProof/>
                <w:webHidden/>
                <w:sz w:val="22"/>
              </w:rPr>
              <w:tab/>
            </w:r>
            <w:r w:rsidR="00A64D68" w:rsidRPr="00EB2C81">
              <w:rPr>
                <w:noProof/>
                <w:webHidden/>
                <w:sz w:val="22"/>
              </w:rPr>
              <w:fldChar w:fldCharType="begin"/>
            </w:r>
            <w:r w:rsidR="00A64D68" w:rsidRPr="00EB2C81">
              <w:rPr>
                <w:noProof/>
                <w:webHidden/>
                <w:sz w:val="22"/>
              </w:rPr>
              <w:instrText xml:space="preserve"> PAGEREF _Toc235091495 \h </w:instrText>
            </w:r>
            <w:r w:rsidR="00A64D68" w:rsidRPr="00EB2C81">
              <w:rPr>
                <w:noProof/>
                <w:webHidden/>
                <w:sz w:val="22"/>
              </w:rPr>
            </w:r>
            <w:r w:rsidR="00A64D68" w:rsidRPr="00EB2C81">
              <w:rPr>
                <w:noProof/>
                <w:webHidden/>
                <w:sz w:val="22"/>
              </w:rPr>
              <w:fldChar w:fldCharType="separate"/>
            </w:r>
            <w:r w:rsidR="00A64D68" w:rsidRPr="00EB2C81">
              <w:rPr>
                <w:noProof/>
                <w:webHidden/>
                <w:sz w:val="22"/>
              </w:rPr>
              <w:t>11</w:t>
            </w:r>
            <w:r w:rsidR="00A64D68" w:rsidRPr="00EB2C81">
              <w:rPr>
                <w:noProof/>
                <w:webHidden/>
                <w:sz w:val="22"/>
              </w:rPr>
              <w:fldChar w:fldCharType="end"/>
            </w:r>
          </w:hyperlink>
        </w:p>
        <w:p w14:paraId="1E4EE403" w14:textId="17585F38" w:rsidR="00A64D68" w:rsidRPr="00EB2C81" w:rsidRDefault="00065D2D">
          <w:pPr>
            <w:pStyle w:val="TOC1"/>
            <w:tabs>
              <w:tab w:val="left" w:pos="480"/>
              <w:tab w:val="right" w:leader="dot" w:pos="9016"/>
            </w:tabs>
            <w:rPr>
              <w:rFonts w:asciiTheme="minorHAnsi" w:eastAsiaTheme="minorEastAsia" w:hAnsiTheme="minorHAnsi"/>
              <w:noProof/>
              <w:kern w:val="2"/>
              <w:sz w:val="22"/>
              <w:lang w:val="fr-BE" w:eastAsia="fr-BE"/>
              <w14:ligatures w14:val="standardContextual"/>
            </w:rPr>
          </w:pPr>
          <w:hyperlink w:anchor="_Toc235091496" w:history="1">
            <w:r w:rsidR="00A64D68" w:rsidRPr="00EB2C81">
              <w:rPr>
                <w:rStyle w:val="Hyperlink"/>
                <w:noProof/>
                <w:sz w:val="22"/>
              </w:rPr>
              <w:t>5.</w:t>
            </w:r>
            <w:r w:rsidR="00A64D68" w:rsidRPr="00EB2C81">
              <w:rPr>
                <w:rFonts w:asciiTheme="minorHAnsi" w:eastAsiaTheme="minorEastAsia" w:hAnsiTheme="minorHAnsi"/>
                <w:noProof/>
                <w:kern w:val="2"/>
                <w:sz w:val="22"/>
                <w:lang w:val="fr-BE" w:eastAsia="fr-BE"/>
                <w14:ligatures w14:val="standardContextual"/>
              </w:rPr>
              <w:tab/>
            </w:r>
            <w:r w:rsidR="00A64D68" w:rsidRPr="00EB2C81">
              <w:rPr>
                <w:rStyle w:val="Hyperlink"/>
                <w:noProof/>
                <w:sz w:val="22"/>
              </w:rPr>
              <w:t>Sustenabilitatea datoriei</w:t>
            </w:r>
            <w:r w:rsidR="00A64D68" w:rsidRPr="00EB2C81">
              <w:rPr>
                <w:noProof/>
                <w:webHidden/>
                <w:sz w:val="22"/>
              </w:rPr>
              <w:tab/>
            </w:r>
            <w:r w:rsidR="00A64D68" w:rsidRPr="00EB2C81">
              <w:rPr>
                <w:noProof/>
                <w:webHidden/>
                <w:sz w:val="22"/>
              </w:rPr>
              <w:fldChar w:fldCharType="begin"/>
            </w:r>
            <w:r w:rsidR="00A64D68" w:rsidRPr="00EB2C81">
              <w:rPr>
                <w:noProof/>
                <w:webHidden/>
                <w:sz w:val="22"/>
              </w:rPr>
              <w:instrText xml:space="preserve"> PAGEREF _Toc235091496 \h </w:instrText>
            </w:r>
            <w:r w:rsidR="00A64D68" w:rsidRPr="00EB2C81">
              <w:rPr>
                <w:noProof/>
                <w:webHidden/>
                <w:sz w:val="22"/>
              </w:rPr>
            </w:r>
            <w:r w:rsidR="00A64D68" w:rsidRPr="00EB2C81">
              <w:rPr>
                <w:noProof/>
                <w:webHidden/>
                <w:sz w:val="22"/>
              </w:rPr>
              <w:fldChar w:fldCharType="separate"/>
            </w:r>
            <w:r w:rsidR="00A64D68" w:rsidRPr="00EB2C81">
              <w:rPr>
                <w:noProof/>
                <w:webHidden/>
                <w:sz w:val="22"/>
              </w:rPr>
              <w:t>13</w:t>
            </w:r>
            <w:r w:rsidR="00A64D68" w:rsidRPr="00EB2C81">
              <w:rPr>
                <w:noProof/>
                <w:webHidden/>
                <w:sz w:val="22"/>
              </w:rPr>
              <w:fldChar w:fldCharType="end"/>
            </w:r>
          </w:hyperlink>
        </w:p>
        <w:p w14:paraId="538E0F18" w14:textId="0A2C34C7" w:rsidR="00A64D68" w:rsidRPr="00EB2C81" w:rsidRDefault="00065D2D">
          <w:pPr>
            <w:pStyle w:val="TOC1"/>
            <w:tabs>
              <w:tab w:val="left" w:pos="480"/>
              <w:tab w:val="right" w:leader="dot" w:pos="9016"/>
            </w:tabs>
            <w:rPr>
              <w:rFonts w:asciiTheme="minorHAnsi" w:eastAsiaTheme="minorEastAsia" w:hAnsiTheme="minorHAnsi"/>
              <w:noProof/>
              <w:kern w:val="2"/>
              <w:sz w:val="22"/>
              <w:lang w:val="fr-BE" w:eastAsia="fr-BE"/>
              <w14:ligatures w14:val="standardContextual"/>
            </w:rPr>
          </w:pPr>
          <w:hyperlink w:anchor="_Toc235091497" w:history="1">
            <w:r w:rsidR="00A64D68" w:rsidRPr="00EB2C81">
              <w:rPr>
                <w:rStyle w:val="Hyperlink"/>
                <w:noProof/>
                <w:sz w:val="22"/>
              </w:rPr>
              <w:t>6.</w:t>
            </w:r>
            <w:r w:rsidR="00A64D68" w:rsidRPr="00EB2C81">
              <w:rPr>
                <w:rFonts w:asciiTheme="minorHAnsi" w:eastAsiaTheme="minorEastAsia" w:hAnsiTheme="minorHAnsi"/>
                <w:noProof/>
                <w:kern w:val="2"/>
                <w:sz w:val="22"/>
                <w:lang w:val="fr-BE" w:eastAsia="fr-BE"/>
                <w14:ligatures w14:val="standardContextual"/>
              </w:rPr>
              <w:tab/>
            </w:r>
            <w:r w:rsidR="00A64D68" w:rsidRPr="00EB2C81">
              <w:rPr>
                <w:rStyle w:val="Hyperlink"/>
                <w:noProof/>
                <w:sz w:val="22"/>
              </w:rPr>
              <w:t>Perspective</w:t>
            </w:r>
            <w:r w:rsidR="00A64D68" w:rsidRPr="00EB2C81">
              <w:rPr>
                <w:noProof/>
                <w:webHidden/>
                <w:sz w:val="22"/>
              </w:rPr>
              <w:tab/>
            </w:r>
            <w:r w:rsidR="00A64D68" w:rsidRPr="00EB2C81">
              <w:rPr>
                <w:noProof/>
                <w:webHidden/>
                <w:sz w:val="22"/>
              </w:rPr>
              <w:fldChar w:fldCharType="begin"/>
            </w:r>
            <w:r w:rsidR="00A64D68" w:rsidRPr="00EB2C81">
              <w:rPr>
                <w:noProof/>
                <w:webHidden/>
                <w:sz w:val="22"/>
              </w:rPr>
              <w:instrText xml:space="preserve"> PAGEREF _Toc235091497 \h </w:instrText>
            </w:r>
            <w:r w:rsidR="00A64D68" w:rsidRPr="00EB2C81">
              <w:rPr>
                <w:noProof/>
                <w:webHidden/>
                <w:sz w:val="22"/>
              </w:rPr>
            </w:r>
            <w:r w:rsidR="00A64D68" w:rsidRPr="00EB2C81">
              <w:rPr>
                <w:noProof/>
                <w:webHidden/>
                <w:sz w:val="22"/>
              </w:rPr>
              <w:fldChar w:fldCharType="separate"/>
            </w:r>
            <w:r w:rsidR="00A64D68" w:rsidRPr="00EB2C81">
              <w:rPr>
                <w:noProof/>
                <w:webHidden/>
                <w:sz w:val="22"/>
              </w:rPr>
              <w:t>14</w:t>
            </w:r>
            <w:r w:rsidR="00A64D68" w:rsidRPr="00EB2C81">
              <w:rPr>
                <w:noProof/>
                <w:webHidden/>
                <w:sz w:val="22"/>
              </w:rPr>
              <w:fldChar w:fldCharType="end"/>
            </w:r>
          </w:hyperlink>
        </w:p>
        <w:p w14:paraId="792F42AB" w14:textId="0BE5FAEA" w:rsidR="005A167C" w:rsidRPr="00C25BA6" w:rsidRDefault="007D64C6" w:rsidP="004F3945">
          <w:pPr>
            <w:pStyle w:val="TOC1"/>
            <w:tabs>
              <w:tab w:val="left" w:pos="480"/>
              <w:tab w:val="right" w:leader="dot" w:pos="9016"/>
            </w:tabs>
            <w:ind w:left="340" w:hanging="340"/>
            <w:jc w:val="left"/>
            <w:rPr>
              <w:noProof/>
            </w:rPr>
          </w:pPr>
          <w:r>
            <w:rPr>
              <w:rStyle w:val="Hyperlink"/>
              <w:noProof/>
              <w:color w:val="auto"/>
              <w:sz w:val="22"/>
            </w:rPr>
            <w:fldChar w:fldCharType="end"/>
          </w:r>
        </w:p>
      </w:sdtContent>
    </w:sdt>
    <w:p w14:paraId="612C2423" w14:textId="77777777" w:rsidR="001B6B70" w:rsidRDefault="001B6B70" w:rsidP="00E42C78">
      <w:pPr>
        <w:pStyle w:val="Headingfollowupreport"/>
        <w:rPr>
          <w:noProof/>
        </w:rPr>
        <w:sectPr w:rsidR="001B6B70" w:rsidSect="005B45D3">
          <w:headerReference w:type="even" r:id="rId18"/>
          <w:headerReference w:type="default" r:id="rId19"/>
          <w:footerReference w:type="even" r:id="rId20"/>
          <w:footerReference w:type="default" r:id="rId21"/>
          <w:headerReference w:type="first" r:id="rId22"/>
          <w:footerReference w:type="first" r:id="rId23"/>
          <w:pgSz w:w="11906" w:h="16838"/>
          <w:pgMar w:top="1440" w:right="1440" w:bottom="1440" w:left="1440" w:header="708" w:footer="708" w:gutter="0"/>
          <w:pgNumType w:start="1"/>
          <w:cols w:space="720"/>
          <w:docGrid w:linePitch="360"/>
        </w:sectPr>
      </w:pPr>
      <w:bookmarkStart w:id="4" w:name="_Toc2014507332"/>
      <w:bookmarkStart w:id="5" w:name="_Toc654994957"/>
      <w:bookmarkStart w:id="6" w:name="_Toc2101040262"/>
      <w:bookmarkStart w:id="7" w:name="_Toc1502612090"/>
      <w:bookmarkStart w:id="8" w:name="_Toc988860482"/>
    </w:p>
    <w:p w14:paraId="251D84AC" w14:textId="68840BC0" w:rsidR="005A167C" w:rsidRPr="00C042A9" w:rsidRDefault="00E96D17" w:rsidP="006A0023">
      <w:pPr>
        <w:pStyle w:val="Headingfollowupreport"/>
        <w:numPr>
          <w:ilvl w:val="0"/>
          <w:numId w:val="6"/>
        </w:numPr>
        <w:rPr>
          <w:noProof/>
        </w:rPr>
      </w:pPr>
      <w:r>
        <w:rPr>
          <w:noProof/>
        </w:rPr>
        <w:lastRenderedPageBreak/>
        <w:t xml:space="preserve"> </w:t>
      </w:r>
      <w:bookmarkStart w:id="9" w:name="_Toc235091492"/>
      <w:r>
        <w:rPr>
          <w:noProof/>
        </w:rPr>
        <w:t>Introducere</w:t>
      </w:r>
      <w:bookmarkEnd w:id="4"/>
      <w:bookmarkEnd w:id="5"/>
      <w:bookmarkEnd w:id="6"/>
      <w:bookmarkEnd w:id="7"/>
      <w:bookmarkEnd w:id="8"/>
      <w:bookmarkEnd w:id="9"/>
      <w:bookmarkEnd w:id="3"/>
    </w:p>
    <w:p w14:paraId="78777959" w14:textId="73014CD7" w:rsidR="005A167C" w:rsidRPr="00E857AB" w:rsidRDefault="005A167C" w:rsidP="00C6601C">
      <w:pPr>
        <w:rPr>
          <w:noProof/>
        </w:rPr>
      </w:pPr>
      <w:r>
        <w:rPr>
          <w:noProof/>
        </w:rPr>
        <w:t>În urma recomandării Consiliului, la 29</w:t>
      </w:r>
      <w:r>
        <w:rPr>
          <w:rFonts w:ascii="Calibri" w:hAnsi="Calibri"/>
          <w:noProof/>
        </w:rPr>
        <w:t xml:space="preserve"> </w:t>
      </w:r>
      <w:r>
        <w:rPr>
          <w:noProof/>
        </w:rPr>
        <w:t>aprilie 2026, Parlamentul European a acordat Comisiei descărcarea de gestiune pentru execuția bugetului UE aferent exercițiului financiar 2024.</w:t>
      </w:r>
    </w:p>
    <w:p w14:paraId="6A21608D" w14:textId="5E80962E" w:rsidR="005A167C" w:rsidRPr="007C31E8" w:rsidRDefault="005A167C" w:rsidP="005A167C">
      <w:pPr>
        <w:rPr>
          <w:noProof/>
          <w:szCs w:val="24"/>
        </w:rPr>
      </w:pPr>
      <w:r>
        <w:rPr>
          <w:noProof/>
        </w:rPr>
        <w:t>Prezentul raport sintetizează cele mai importante acțiuni întreprinse de Comisie ca răspuns la principalele solicitări formulate de: (i) Parlamentul European în rezoluția sa privind descărcarea de gestiune</w:t>
      </w:r>
      <w:r>
        <w:rPr>
          <w:noProof/>
        </w:rPr>
        <w:footnoteReference w:id="2"/>
      </w:r>
      <w:r>
        <w:rPr>
          <w:noProof/>
        </w:rPr>
        <w:t xml:space="preserve"> și (ii) Consiliul în recomandarea sa privind descărcarea de gestiune</w:t>
      </w:r>
      <w:r>
        <w:rPr>
          <w:noProof/>
        </w:rPr>
        <w:footnoteReference w:id="3"/>
      </w:r>
      <w:r>
        <w:rPr>
          <w:noProof/>
        </w:rPr>
        <w:t>. Comisia va oferi răspunsuri la solicitări specifice în cursul acestui an.</w:t>
      </w:r>
      <w:bookmarkStart w:id="10" w:name="_Toc197935746"/>
      <w:bookmarkStart w:id="11" w:name="_Hlk167270035"/>
    </w:p>
    <w:p w14:paraId="1D81EFF8" w14:textId="2CC3BD16" w:rsidR="005A167C" w:rsidRPr="00E857AB" w:rsidRDefault="00E96D17" w:rsidP="009F5642">
      <w:pPr>
        <w:pStyle w:val="Headingfollowupreport"/>
        <w:numPr>
          <w:ilvl w:val="0"/>
          <w:numId w:val="6"/>
        </w:numPr>
        <w:rPr>
          <w:noProof/>
        </w:rPr>
      </w:pPr>
      <w:bookmarkStart w:id="12" w:name="_Toc705912121"/>
      <w:bookmarkStart w:id="13" w:name="_Toc676213904"/>
      <w:bookmarkStart w:id="14" w:name="_Toc634214769"/>
      <w:bookmarkStart w:id="15" w:name="_Toc2133017582"/>
      <w:bookmarkStart w:id="16" w:name="_Toc481462780"/>
      <w:r>
        <w:rPr>
          <w:noProof/>
        </w:rPr>
        <w:t xml:space="preserve"> </w:t>
      </w:r>
      <w:bookmarkStart w:id="17" w:name="_Toc235091493"/>
      <w:r>
        <w:rPr>
          <w:noProof/>
        </w:rPr>
        <w:t>Un buget care își îndeplinește obiectivele</w:t>
      </w:r>
      <w:bookmarkEnd w:id="12"/>
      <w:bookmarkEnd w:id="13"/>
      <w:bookmarkEnd w:id="14"/>
      <w:bookmarkEnd w:id="15"/>
      <w:bookmarkEnd w:id="16"/>
      <w:bookmarkEnd w:id="17"/>
    </w:p>
    <w:p w14:paraId="7D52EF9C" w14:textId="0DFF88D5" w:rsidR="0033472A" w:rsidRPr="00E857AB" w:rsidRDefault="005A167C" w:rsidP="005A167C">
      <w:pPr>
        <w:rPr>
          <w:rFonts w:ascii="Times New Roman" w:hAnsi="Times New Roman" w:cs="Times New Roman"/>
          <w:noProof/>
          <w:szCs w:val="24"/>
        </w:rPr>
      </w:pPr>
      <w:r>
        <w:rPr>
          <w:noProof/>
        </w:rPr>
        <w:t>În 2024, bugetul UE a reprezentat un instrument esențial pentru punerea în aplicare a priorităților de politică ale Uniunii Europene. Astfel cum se prevede în</w:t>
      </w:r>
      <w:r>
        <w:rPr>
          <w:rFonts w:ascii="Times New Roman" w:hAnsi="Times New Roman"/>
          <w:noProof/>
        </w:rPr>
        <w:t xml:space="preserve"> </w:t>
      </w:r>
      <w:r>
        <w:rPr>
          <w:rStyle w:val="NormalItalicChar"/>
          <w:noProof/>
        </w:rPr>
        <w:t>Raportul anual privind gestionarea și performanța bugetului UE – exercițiul financiar 2024</w:t>
      </w:r>
      <w:r>
        <w:rPr>
          <w:rStyle w:val="FootnoteReference"/>
          <w:rFonts w:ascii="Times New Roman" w:hAnsi="Times New Roman" w:cs="Times New Roman"/>
          <w:noProof/>
          <w:szCs w:val="24"/>
        </w:rPr>
        <w:footnoteReference w:id="4"/>
      </w:r>
      <w:r>
        <w:rPr>
          <w:rFonts w:ascii="Times New Roman" w:hAnsi="Times New Roman"/>
          <w:noProof/>
        </w:rPr>
        <w:t xml:space="preserve">, </w:t>
      </w:r>
      <w:r>
        <w:rPr>
          <w:noProof/>
        </w:rPr>
        <w:t>bugetul UE a contribuit la consolidarea coeziunii economice, sociale și teritoriale, la sprijinirea fermierilor și la îmbunătățirea productivității agricole. Acesta a sprijinit tranziția verde și cea digitală și consolidarea frontierelor externe și a capabilităților de apărare ale UE, a contribuit la abordarea presiunilor migrației, a oferit un sprijin de neclintit Ucrainei și a ajutat UE să răspundă crizei umanitare din Orientul Mijlociu.</w:t>
      </w:r>
    </w:p>
    <w:p w14:paraId="1CDFC268" w14:textId="642E3CB1" w:rsidR="005A167C" w:rsidRPr="00D06AA3" w:rsidRDefault="005A167C" w:rsidP="00C6601C">
      <w:pPr>
        <w:rPr>
          <w:noProof/>
        </w:rPr>
      </w:pPr>
      <w:r>
        <w:rPr>
          <w:noProof/>
        </w:rPr>
        <w:t>Bugetul UE a avut un rol esențial în stimularea competitivității UE, în susținerea securității economice (de exemplu, prin investiții în tehnologii curate, capital uman și infrastructură transfrontalieră pentru consolidarea dezvoltării regionale și a pieței unice) și în susținerea parteneriatelor strategice ale UE la nivel mondial.</w:t>
      </w:r>
    </w:p>
    <w:p w14:paraId="4F31C3EE" w14:textId="77777777" w:rsidR="005A167C" w:rsidRPr="00744578" w:rsidRDefault="005A167C" w:rsidP="00744578">
      <w:pPr>
        <w:pStyle w:val="Heading2"/>
        <w:rPr>
          <w:noProof/>
        </w:rPr>
      </w:pPr>
      <w:bookmarkStart w:id="18" w:name="_Toc291076539"/>
      <w:bookmarkStart w:id="19" w:name="_Toc1036254774"/>
      <w:bookmarkStart w:id="20" w:name="_Toc230251246"/>
      <w:r>
        <w:rPr>
          <w:noProof/>
        </w:rPr>
        <w:t xml:space="preserve">a. </w:t>
      </w:r>
      <w:bookmarkStart w:id="21" w:name="_Toc210631426"/>
      <w:r>
        <w:rPr>
          <w:noProof/>
        </w:rPr>
        <w:t>Execuția bugetară</w:t>
      </w:r>
      <w:bookmarkStart w:id="22" w:name="_Toc197935747"/>
      <w:bookmarkEnd w:id="18"/>
      <w:bookmarkEnd w:id="19"/>
      <w:bookmarkEnd w:id="20"/>
      <w:bookmarkEnd w:id="21"/>
    </w:p>
    <w:p w14:paraId="43366B7C" w14:textId="2771CD19" w:rsidR="005A167C" w:rsidRPr="00E857AB" w:rsidRDefault="005A167C" w:rsidP="00C6601C">
      <w:pPr>
        <w:rPr>
          <w:noProof/>
        </w:rPr>
      </w:pPr>
      <w:r>
        <w:rPr>
          <w:noProof/>
        </w:rPr>
        <w:t>Parlamentul este preocupat de rata de execuție a bugetului UE în actualul cadru financiar multianual (CFM) și a Mecanismului de redresare și reziliență (MRR). Consiliul ia act de faptul că întârzierile în punerea în aplicare sporesc riscurile de dezangajări și presiunea către sfârșitul perioadei de programare.</w:t>
      </w:r>
    </w:p>
    <w:p w14:paraId="19C64EB6" w14:textId="66692DD2" w:rsidR="005A167C" w:rsidRPr="00E857AB" w:rsidRDefault="005A167C" w:rsidP="00C6601C">
      <w:pPr>
        <w:rPr>
          <w:noProof/>
        </w:rPr>
      </w:pPr>
      <w:r>
        <w:rPr>
          <w:noProof/>
        </w:rPr>
        <w:t>Comisia subliniază faptul că sumele angajate, dar încă neplătite de la bugetul UE, și anume angajamentele restante sau RAL („</w:t>
      </w:r>
      <w:r>
        <w:rPr>
          <w:i/>
          <w:noProof/>
        </w:rPr>
        <w:t>reste à liquider</w:t>
      </w:r>
      <w:r>
        <w:rPr>
          <w:noProof/>
        </w:rPr>
        <w:t>”), erau cu 35 de miliarde EUR mai mici la sfârșitul anului 2024 decât la sfârșitul anului 2023. Aproape jumătate din angajamentele restante la sfârșitul anului 2024 (excluzând angajamentele restante din NextGenerationEU – NGEU) sunt legate de politica de coeziune și, prin urmare, de execuția de către statele membre a fondurilor care fac obiectul gestiunii partajate. Având în vedere că selecția proiectelor pe teren a crescut de la aproximativ 12 % la sfârșitul anului 2023 la aproximativ 37 % (2024) și la aproximativ 65 % (2025) din pachetele financiare disponibile pentru programele de coeziune din perioada 2021-2027, execuția financiară s-a accelerat semnificativ, multe state membre prezentând cereri de plată care au depășit cu mult obiectivul lor de dezangajare N+3. Datorită acestei evoluții pozitive, selecția proiectelor și plățile au recuperat întârzierile în raport cu perioada 2014-2020. Pentru a asigura o punere în aplicare fără probleme, Comisia sprijină statele membre în ceea ce privește consolidarea capacității lor administrative și eliminarea blocajelor din calea investițiilor.</w:t>
      </w:r>
    </w:p>
    <w:p w14:paraId="67C66DB6" w14:textId="769B2AF6" w:rsidR="005A167C" w:rsidRPr="00E857AB" w:rsidRDefault="005A167C" w:rsidP="00C6601C">
      <w:pPr>
        <w:rPr>
          <w:noProof/>
        </w:rPr>
      </w:pPr>
      <w:r>
        <w:rPr>
          <w:noProof/>
        </w:rPr>
        <w:t>Comisia va continua să urmărească îndeaproape punerea în aplicare a programelor și instrumentelor UE. Comisia publică anual informații referitoare la previziunile privind execuția bugetară și un raport privind progresele înregistrate în ceea ce privește angajamentele restante.</w:t>
      </w:r>
    </w:p>
    <w:p w14:paraId="426BD7E7" w14:textId="3977F3C7" w:rsidR="005A167C" w:rsidRPr="00E857AB" w:rsidRDefault="005A167C" w:rsidP="00C6601C">
      <w:pPr>
        <w:rPr>
          <w:rFonts w:eastAsia="Times New Roman"/>
          <w:noProof/>
        </w:rPr>
      </w:pPr>
      <w:r>
        <w:rPr>
          <w:noProof/>
        </w:rPr>
        <w:t>În ceea ce privește angajamentele restante din cadrul NextGenerationEU, multe state membre și-au revizuit planurile naționale de redresare și reziliență (PNRR), au realocat resurse proiectelor mature, au ajustat jaloanele și țintele și au eliminat blocajele în materie de punere în aplicare, menținând în același timp nivelul de ambiție al planurilor de redresare și reziliență. Aceste revizuiri au urmărit să reflecte circumstanțele în schimbare și să îmbunătățească capacitatea de realizare a obiectivelor, punând accentul pe finalizarea în timp util a plăților în cadrul MRR până la sfârșitul anului 2026. La 30</w:t>
      </w:r>
      <w:r>
        <w:rPr>
          <w:rFonts w:ascii="Calibri" w:hAnsi="Calibri"/>
          <w:noProof/>
        </w:rPr>
        <w:t xml:space="preserve"> </w:t>
      </w:r>
      <w:r>
        <w:rPr>
          <w:noProof/>
        </w:rPr>
        <w:t xml:space="preserve">aprilie 2026, Comisia a adoptat </w:t>
      </w:r>
      <w:hyperlink r:id="rId24" w:history="1">
        <w:r>
          <w:rPr>
            <w:rStyle w:val="Hyperlink"/>
            <w:noProof/>
          </w:rPr>
          <w:t>orientări pentru statele membre</w:t>
        </w:r>
      </w:hyperlink>
      <w:r>
        <w:rPr>
          <w:noProof/>
        </w:rPr>
        <w:t xml:space="preserve"> cu privire la aspectele operaționale legate de faza finală și de închiderea MRR, pentru a asigura încheierea cu succes a acestuia.</w:t>
      </w:r>
    </w:p>
    <w:p w14:paraId="33597B15" w14:textId="3629A9DE" w:rsidR="005A167C" w:rsidRPr="007C31E8" w:rsidRDefault="00CB7AD6" w:rsidP="005A167C">
      <w:pPr>
        <w:rPr>
          <w:noProof/>
        </w:rPr>
      </w:pPr>
      <w:r>
        <w:rPr>
          <w:noProof/>
        </w:rPr>
        <w:t>Într-o anumită măsură, este posibil ca statele membre să fi acordat prioritate punerii în aplicare și revizuirii planurilor lor de redresare și reziliență, ceea ce este posibil să fi condus la întârzieri în punerea în aplicare a programelor politicii de coeziune. În același timp, măsurile sprijinite în cadrul MRR contribuie la accelerarea punerii în aplicare a fondurilor CFM, preconizându-se, de exemplu, că reformele MRR menite să accelereze procedurile de acordare a autorizațiilor vor avea efecte de propagare pozitive asupra punerii în aplicare a măsurilor de investiții ale altor fonduri ale UE.</w:t>
      </w:r>
      <w:bookmarkEnd w:id="22"/>
    </w:p>
    <w:p w14:paraId="0AD3A422" w14:textId="5A913372" w:rsidR="005A167C" w:rsidRPr="007C31E8" w:rsidRDefault="005A167C" w:rsidP="00EB2C81">
      <w:pPr>
        <w:pStyle w:val="Heading2"/>
        <w:pageBreakBefore/>
        <w:rPr>
          <w:noProof/>
        </w:rPr>
      </w:pPr>
      <w:bookmarkStart w:id="23" w:name="_Toc890659043"/>
      <w:bookmarkStart w:id="24" w:name="_Toc595131823"/>
      <w:bookmarkStart w:id="25" w:name="_Toc1487731932"/>
      <w:bookmarkStart w:id="26" w:name="_Toc1749668402"/>
      <w:bookmarkStart w:id="27" w:name="_Toc230251247"/>
      <w:r>
        <w:rPr>
          <w:noProof/>
        </w:rPr>
        <w:t>b. Abordarea noilor priorități</w:t>
      </w:r>
      <w:bookmarkEnd w:id="23"/>
      <w:bookmarkEnd w:id="24"/>
      <w:bookmarkEnd w:id="25"/>
      <w:bookmarkEnd w:id="26"/>
      <w:r>
        <w:rPr>
          <w:noProof/>
        </w:rPr>
        <w:t>: apărare și Ucraina</w:t>
      </w:r>
      <w:bookmarkEnd w:id="27"/>
    </w:p>
    <w:p w14:paraId="391BFD53" w14:textId="2CC8080E" w:rsidR="00AA6C32" w:rsidRDefault="005A167C" w:rsidP="00497DEC">
      <w:pPr>
        <w:rPr>
          <w:noProof/>
        </w:rPr>
      </w:pPr>
      <w:r>
        <w:rPr>
          <w:noProof/>
        </w:rPr>
        <w:t>Comisia salută opinia Parlamentului potrivit căreia „apărarea și sprijinul pentru Ucraina trebuie tratate ca prioritate bugetară în contextul geopolitic actual și că, pentru a îndeplini acest obiectiv, ar trebui alocate resurse adecvate”</w:t>
      </w:r>
      <w:r>
        <w:rPr>
          <w:rStyle w:val="FootnoteReference"/>
          <w:rFonts w:ascii="Times New Roman" w:hAnsi="Times New Roman" w:cs="Times New Roman"/>
          <w:noProof/>
          <w:szCs w:val="24"/>
        </w:rPr>
        <w:footnoteReference w:id="5"/>
      </w:r>
      <w:r>
        <w:rPr>
          <w:noProof/>
        </w:rPr>
        <w:t xml:space="preserve">. </w:t>
      </w:r>
    </w:p>
    <w:p w14:paraId="744C551C" w14:textId="72521C6F" w:rsidR="005A167C" w:rsidRPr="00E857AB" w:rsidRDefault="005A167C" w:rsidP="00497DEC">
      <w:pPr>
        <w:rPr>
          <w:noProof/>
        </w:rPr>
      </w:pPr>
      <w:r>
        <w:rPr>
          <w:noProof/>
        </w:rPr>
        <w:t>Comisia se angajează să consolideze capabilitățile de apărare ale UE. Comisia a propus mai multe inițiative de stimulare a pregătirii pentru apărare și a investițiilor în domeniul apărării, care includ (i)</w:t>
      </w:r>
      <w:r>
        <w:rPr>
          <w:rFonts w:ascii="Calibri" w:hAnsi="Calibri"/>
          <w:noProof/>
        </w:rPr>
        <w:t xml:space="preserve"> </w:t>
      </w:r>
      <w:r>
        <w:rPr>
          <w:noProof/>
        </w:rPr>
        <w:t>împrumuturi în valoare de până la</w:t>
      </w:r>
      <w:r>
        <w:rPr>
          <w:rFonts w:ascii="Calibri" w:hAnsi="Calibri"/>
          <w:noProof/>
        </w:rPr>
        <w:t xml:space="preserve"> </w:t>
      </w:r>
      <w:r>
        <w:rPr>
          <w:noProof/>
        </w:rPr>
        <w:t>150 de miliarde EUR pentru statele membre, sprijinite de bugetul UE în cadrul instrumentului „Acțiunea pentru securitatea Europei” (SAFE), (ii)</w:t>
      </w:r>
      <w:r>
        <w:rPr>
          <w:rFonts w:ascii="Calibri" w:hAnsi="Calibri"/>
          <w:noProof/>
        </w:rPr>
        <w:t xml:space="preserve"> </w:t>
      </w:r>
      <w:r>
        <w:rPr>
          <w:noProof/>
        </w:rPr>
        <w:t>Cartea albă privind pregătirea pentru apărare a Europei 2030, (iii)</w:t>
      </w:r>
      <w:r>
        <w:rPr>
          <w:rFonts w:ascii="Calibri" w:hAnsi="Calibri"/>
          <w:noProof/>
        </w:rPr>
        <w:t xml:space="preserve"> </w:t>
      </w:r>
      <w:r>
        <w:rPr>
          <w:noProof/>
        </w:rPr>
        <w:t>Planul „ReArm Europe” și (iv)</w:t>
      </w:r>
      <w:r>
        <w:rPr>
          <w:rFonts w:ascii="Calibri" w:hAnsi="Calibri"/>
          <w:noProof/>
        </w:rPr>
        <w:t xml:space="preserve"> </w:t>
      </w:r>
      <w:r>
        <w:rPr>
          <w:noProof/>
        </w:rPr>
        <w:t>simplificarea omnibus privind pregătirea pentru apărare.</w:t>
      </w:r>
    </w:p>
    <w:p w14:paraId="1262280A" w14:textId="3575D37C" w:rsidR="005A167C" w:rsidRPr="007C31E8" w:rsidRDefault="005A167C" w:rsidP="005A167C">
      <w:pPr>
        <w:rPr>
          <w:i/>
          <w:noProof/>
        </w:rPr>
      </w:pPr>
      <w:r>
        <w:rPr>
          <w:noProof/>
        </w:rPr>
        <w:t>De la invadarea Ucrainei de către Rusia până la sfârșitul anului 2024, angajamentul ferm al UE față de Ucraina a condus la mobilizarea a 130,2 miliarde</w:t>
      </w:r>
      <w:r>
        <w:rPr>
          <w:rFonts w:ascii="Calibri" w:hAnsi="Calibri"/>
          <w:noProof/>
        </w:rPr>
        <w:t xml:space="preserve"> </w:t>
      </w:r>
      <w:r>
        <w:rPr>
          <w:noProof/>
        </w:rPr>
        <w:t>EUR pentru sprijin financiar, economic, umanitar, militar și diplomatic. În februarie 2024, a fost creat Mecanismul pentru Ucraina, menit să sprijine redresarea, reconstrucția și modernizarea Ucrainei. Pentru a răspunde nevoilor de finanțare ale Ucrainei în perioada 2026-2027, împrumutul pentru sprijinirea Ucrainei, care a furnizat până la</w:t>
      </w:r>
      <w:r>
        <w:rPr>
          <w:rFonts w:ascii="Calibri" w:hAnsi="Calibri"/>
          <w:noProof/>
        </w:rPr>
        <w:t xml:space="preserve"> </w:t>
      </w:r>
      <w:r>
        <w:rPr>
          <w:noProof/>
        </w:rPr>
        <w:t xml:space="preserve">90 de miliarde EUR în perioada 2026-2027 și a fost finanțat prin împrumuturi ale UE de pe piețele de capital, a fost </w:t>
      </w:r>
      <w:r>
        <w:rPr>
          <w:noProof/>
        </w:rPr>
        <w:br/>
      </w:r>
      <w:hyperlink r:id="rId25" w:history="1">
        <w:r>
          <w:rPr>
            <w:rStyle w:val="Hyperlink"/>
            <w:noProof/>
          </w:rPr>
          <w:t>adoptat în februarie 2026</w:t>
        </w:r>
      </w:hyperlink>
      <w:r>
        <w:rPr>
          <w:rStyle w:val="Hyperlink"/>
          <w:noProof/>
        </w:rPr>
        <w:t>.</w:t>
      </w:r>
    </w:p>
    <w:p w14:paraId="5AA6CD9D" w14:textId="77777777" w:rsidR="005A167C" w:rsidRPr="007C31E8" w:rsidRDefault="005A167C" w:rsidP="00744578">
      <w:pPr>
        <w:pStyle w:val="Heading2"/>
        <w:rPr>
          <w:noProof/>
        </w:rPr>
      </w:pPr>
      <w:bookmarkStart w:id="28" w:name="_Toc1555461210"/>
      <w:bookmarkStart w:id="29" w:name="_Toc447162129"/>
      <w:bookmarkStart w:id="30" w:name="_Toc1016823697"/>
      <w:bookmarkStart w:id="31" w:name="_Toc230251248"/>
      <w:r>
        <w:rPr>
          <w:noProof/>
        </w:rPr>
        <w:t xml:space="preserve">c. </w:t>
      </w:r>
      <w:bookmarkStart w:id="32" w:name="_Toc925452385"/>
      <w:r>
        <w:rPr>
          <w:noProof/>
        </w:rPr>
        <w:t>Impactul finanțării UE asupra climei și biodiversității</w:t>
      </w:r>
      <w:bookmarkEnd w:id="28"/>
      <w:bookmarkEnd w:id="29"/>
      <w:bookmarkEnd w:id="30"/>
      <w:bookmarkEnd w:id="31"/>
      <w:bookmarkEnd w:id="32"/>
    </w:p>
    <w:p w14:paraId="6A5D6625" w14:textId="3313B2B2" w:rsidR="00424D24" w:rsidRDefault="005A167C" w:rsidP="00342018">
      <w:pPr>
        <w:rPr>
          <w:noProof/>
        </w:rPr>
      </w:pPr>
      <w:r>
        <w:rPr>
          <w:noProof/>
        </w:rPr>
        <w:t>Comisia ia act de observațiile Curții de Conturi Europene (CCE) cu privire la „deficiențele metodologiei Comisiei de estimare a efectelor cheltuielilor Uniunii asupra climei”</w:t>
      </w:r>
      <w:r>
        <w:rPr>
          <w:rStyle w:val="FootnoteReference"/>
          <w:rFonts w:ascii="Times New Roman" w:hAnsi="Times New Roman" w:cs="Times New Roman"/>
          <w:iCs/>
          <w:noProof/>
          <w:szCs w:val="24"/>
        </w:rPr>
        <w:footnoteReference w:id="6"/>
      </w:r>
      <w:r>
        <w:rPr>
          <w:noProof/>
        </w:rPr>
        <w:t xml:space="preserve"> și de declarația Parlamentului potrivit căreia „metodologiile actuale de urmărire a cheltuielilor legate de climă și biodiversitate nu surprind pe deplin toate efectele activităților Uniunii”</w:t>
      </w:r>
      <w:r>
        <w:rPr>
          <w:rStyle w:val="FootnoteReference"/>
          <w:rFonts w:ascii="Times New Roman" w:hAnsi="Times New Roman" w:cs="Times New Roman"/>
          <w:iCs/>
          <w:noProof/>
          <w:szCs w:val="24"/>
        </w:rPr>
        <w:footnoteReference w:id="7"/>
      </w:r>
      <w:r>
        <w:rPr>
          <w:noProof/>
        </w:rPr>
        <w:t xml:space="preserve">. </w:t>
      </w:r>
    </w:p>
    <w:p w14:paraId="26B54CDB" w14:textId="284C2B73" w:rsidR="005A167C" w:rsidRPr="006D368A" w:rsidRDefault="005A167C" w:rsidP="005A167C">
      <w:pPr>
        <w:rPr>
          <w:noProof/>
        </w:rPr>
      </w:pPr>
      <w:r>
        <w:rPr>
          <w:noProof/>
        </w:rPr>
        <w:t>Comisia urmărește să măsoare contribuțiile de la bugetul UE și rezultatele legate de acțiunile climatice și de biodiversitate în conformitate cu actualul cadru de performanță. În ceea ce privește MRR, politica agricolă comună și politica de coeziune, Comisia este obligată să aplice metodologia și coeficienții specifici prevăzuți în actele de bază respective de instituire a acestor programe. Pentru CFM 2028-2034, Comisia a propus un sistem simplificat de monitorizare a cheltuielilor UE și a rezultatelor legate de obiectivele climatice și de mediu.</w:t>
      </w:r>
    </w:p>
    <w:p w14:paraId="1452253C" w14:textId="4FBB09D9" w:rsidR="005A167C" w:rsidRPr="00E857AB" w:rsidRDefault="00E96D17" w:rsidP="009F5642">
      <w:pPr>
        <w:pStyle w:val="Headingfollowupreport"/>
        <w:numPr>
          <w:ilvl w:val="0"/>
          <w:numId w:val="6"/>
        </w:numPr>
        <w:rPr>
          <w:noProof/>
        </w:rPr>
      </w:pPr>
      <w:bookmarkStart w:id="33" w:name="_Toc464909115"/>
      <w:bookmarkStart w:id="34" w:name="_Toc115752163"/>
      <w:bookmarkStart w:id="35" w:name="_Toc735004465"/>
      <w:bookmarkStart w:id="36" w:name="_Toc1496696652"/>
      <w:bookmarkStart w:id="37" w:name="_Toc1954353878"/>
      <w:r>
        <w:rPr>
          <w:noProof/>
        </w:rPr>
        <w:t xml:space="preserve"> </w:t>
      </w:r>
      <w:bookmarkStart w:id="38" w:name="_Toc235091494"/>
      <w:r>
        <w:rPr>
          <w:noProof/>
        </w:rPr>
        <w:t>Protejarea intereselor financiare ale UE</w:t>
      </w:r>
      <w:bookmarkEnd w:id="10"/>
      <w:bookmarkEnd w:id="33"/>
      <w:bookmarkEnd w:id="34"/>
      <w:bookmarkEnd w:id="35"/>
      <w:bookmarkEnd w:id="36"/>
      <w:bookmarkEnd w:id="37"/>
      <w:bookmarkEnd w:id="38"/>
    </w:p>
    <w:bookmarkEnd w:id="11"/>
    <w:p w14:paraId="2E6B20B3" w14:textId="77777777" w:rsidR="005A167C" w:rsidRPr="00E857AB" w:rsidRDefault="005A167C" w:rsidP="00342018">
      <w:pPr>
        <w:rPr>
          <w:noProof/>
        </w:rPr>
      </w:pPr>
      <w:r>
        <w:rPr>
          <w:noProof/>
        </w:rPr>
        <w:t>Comisia acordă o importanță deosebită monitorizării utilizării fondurilor UE, în cooperare cu autoritățile naționale și cu alți parteneri de implementare.</w:t>
      </w:r>
    </w:p>
    <w:p w14:paraId="5ED24BD1" w14:textId="1BE40094" w:rsidR="005A167C" w:rsidRPr="000A084F" w:rsidRDefault="005A167C" w:rsidP="00160110">
      <w:pPr>
        <w:pStyle w:val="a"/>
        <w:numPr>
          <w:ilvl w:val="0"/>
          <w:numId w:val="5"/>
        </w:numPr>
        <w:rPr>
          <w:noProof/>
        </w:rPr>
      </w:pPr>
      <w:bookmarkStart w:id="39" w:name="_Toc1344792383"/>
      <w:bookmarkStart w:id="40" w:name="_Toc722250020"/>
      <w:bookmarkStart w:id="41" w:name="_Toc1157781611"/>
      <w:bookmarkStart w:id="42" w:name="_Toc1887740634"/>
      <w:bookmarkStart w:id="43" w:name="_Toc230251250"/>
      <w:r>
        <w:rPr>
          <w:noProof/>
        </w:rPr>
        <w:t>Cheltuieli în conformitate cu valorile UE, inclusiv cu statul de drept</w:t>
      </w:r>
      <w:bookmarkEnd w:id="39"/>
      <w:bookmarkEnd w:id="40"/>
      <w:bookmarkEnd w:id="41"/>
      <w:bookmarkEnd w:id="42"/>
      <w:bookmarkEnd w:id="43"/>
    </w:p>
    <w:p w14:paraId="44B37422" w14:textId="77777777" w:rsidR="005A167C" w:rsidRPr="00E857AB" w:rsidRDefault="005A167C" w:rsidP="001251F9">
      <w:pPr>
        <w:pStyle w:val="Paragraphstyle"/>
        <w:rPr>
          <w:noProof/>
        </w:rPr>
      </w:pPr>
      <w:r>
        <w:rPr>
          <w:noProof/>
        </w:rPr>
        <w:t>Statul de drept</w:t>
      </w:r>
    </w:p>
    <w:p w14:paraId="337B02B6" w14:textId="0C106F9E" w:rsidR="005A167C" w:rsidRPr="00E857AB" w:rsidRDefault="005A167C" w:rsidP="00656BFE">
      <w:pPr>
        <w:rPr>
          <w:noProof/>
        </w:rPr>
      </w:pPr>
      <w:r>
        <w:rPr>
          <w:noProof/>
        </w:rPr>
        <w:t>Parlamentul invită Comisia să utilizeze pe deplin și în mod consecvent instrumentele disponibile pentru a suspenda sau a proteja finanțarea UE în cazul în care deficiențele statului de drept afectează buna gestiune financiară în statele membre în cauză, în special în Ungaria și Slovacia.</w:t>
      </w:r>
    </w:p>
    <w:p w14:paraId="1123C91A" w14:textId="5B1390C9" w:rsidR="005A167C" w:rsidRPr="00E857AB" w:rsidRDefault="005A167C" w:rsidP="00656BFE">
      <w:pPr>
        <w:rPr>
          <w:noProof/>
        </w:rPr>
      </w:pPr>
      <w:r>
        <w:rPr>
          <w:noProof/>
        </w:rPr>
        <w:t>În temeiul Regulamentului privind condiționalitatea, Comisia monitorizează în mod proactiv situația din toate statele membre pentru a identifica cât mai curând posibil încălcările principiilor statului de drept care intră în domeniul de aplicare al prezentului regulament. Comisia utilizează pe deplin toate instrumentele juridice sectoriale și generale disponibile pentru a aborda încălcările principiilor statului de drept în statele membre, care afectează sau riscă în mod grav să afecteze buna gestiune financiară a bugetului UE sau protecția intereselor financiare ale UE într-un mod suficient de direct.</w:t>
      </w:r>
    </w:p>
    <w:p w14:paraId="24E69AC7" w14:textId="1736C2D9" w:rsidR="005A167C" w:rsidRPr="00E857AB" w:rsidRDefault="005A167C" w:rsidP="00656BFE">
      <w:pPr>
        <w:rPr>
          <w:noProof/>
        </w:rPr>
      </w:pPr>
      <w:r>
        <w:rPr>
          <w:noProof/>
        </w:rPr>
        <w:t>Ungaria face obiectul unor măsuri în temeiul Regulamentului privind condiționalitatea pentru a proteja bugetul UE începând din 2022 care includ: (i) suspendarea a 55 % din angajamentele bugetare a trei programe de coeziune și (ii) interdicția de a încheia noi angajamente juridice pentru finanțarea UE în cadrul gestiunii directe și indirecte cu „fiduciile de interes public” și cu entitățile menținute de acestea.</w:t>
      </w:r>
    </w:p>
    <w:p w14:paraId="3DCC7DD7" w14:textId="0FED5625" w:rsidR="005A167C" w:rsidRPr="00E857AB" w:rsidRDefault="00424D24" w:rsidP="00656BFE">
      <w:pPr>
        <w:rPr>
          <w:noProof/>
        </w:rPr>
      </w:pPr>
      <w:r>
        <w:rPr>
          <w:noProof/>
        </w:rPr>
        <w:t>Pe lângă Regulamentul privind condiționalitatea, Comisia dispune și de alte instrumente importante care protejează bugetul UE, în special: (i) condiția favorizantă orizontală privind Carta drepturilor fundamentale a UE în temeiul Regulamentului privind dispozițiile comune și (ii) jaloanele și țintele care abordează provocările legate de statul de drept în cadrul planurilor de redresare și reziliență.</w:t>
      </w:r>
    </w:p>
    <w:p w14:paraId="487BC446" w14:textId="09F75F8A" w:rsidR="0074029F" w:rsidRDefault="005A167C" w:rsidP="00E42C78">
      <w:pPr>
        <w:rPr>
          <w:noProof/>
        </w:rPr>
      </w:pPr>
      <w:r>
        <w:rPr>
          <w:noProof/>
        </w:rPr>
        <w:t xml:space="preserve">În următorul CFM, respectarea statului de drept și a drepturilor fundamentale rămâne o necesitate – Regulamentul privind condiționalitatea va continua să se aplice tuturor fondurilor. Planurile de parteneriat naționale și regionale (PPNR), astfel cum au fost propuse de Comisie, permit acordarea de sprijin financiar pentru măsuri de consolidare a statului de drept și a drepturilor fundamentale, aplicând în același timp condiții orizontale pentru a se asigura că bugetul UE este protejat împotriva încălcărilor principiilor statului de drept și ale cartei. În cazul în care o încălcare rămâne nesoluționată după un an, fondurile afectate pot fi realocate programelor care fac obiectul gestiunii directe sau indirecte, în special celor care sprijină democrația, societatea civilă sau eforturile de combatere a corupției, în cadrul procedurii bugetare anuale și sub rezerva aprobării de către Parlament și Consiliu. În plus, pentru a primi finanțare din partea UE, statele membre trebuie să instituie mecanisme care să asigure continuarea plăților către beneficiari, chiar dacă finanțarea din partea UE este suspendată. Aceste garanții constituie o parte esențială a sistemelor lor de gestionare și control. </w:t>
      </w:r>
    </w:p>
    <w:p w14:paraId="44767E6B" w14:textId="77777777" w:rsidR="005A167C" w:rsidRPr="00E857AB" w:rsidRDefault="005A167C" w:rsidP="001251F9">
      <w:pPr>
        <w:pStyle w:val="Paragraphstyle"/>
        <w:rPr>
          <w:noProof/>
        </w:rPr>
      </w:pPr>
      <w:r>
        <w:rPr>
          <w:noProof/>
        </w:rPr>
        <w:t>Valorile UE</w:t>
      </w:r>
    </w:p>
    <w:p w14:paraId="10DCADCF" w14:textId="0D335F45" w:rsidR="005A167C" w:rsidRPr="00E857AB" w:rsidRDefault="50D8C07E" w:rsidP="00656BFE">
      <w:pPr>
        <w:rPr>
          <w:noProof/>
        </w:rPr>
      </w:pPr>
      <w:r>
        <w:rPr>
          <w:noProof/>
        </w:rPr>
        <w:t>Comisia ia act de solicitarea Parlamentului privind o „verificare bazată pe riscuri a respectării de către destinatari a valorilor Uniunii, pentru a detecta eventualele încălcări”</w:t>
      </w:r>
      <w:r>
        <w:rPr>
          <w:rStyle w:val="FootnoteReference"/>
          <w:rFonts w:ascii="Times New Roman" w:hAnsi="Times New Roman" w:cs="Times New Roman"/>
          <w:noProof/>
          <w:szCs w:val="24"/>
        </w:rPr>
        <w:footnoteReference w:id="8"/>
      </w:r>
      <w:r>
        <w:rPr>
          <w:noProof/>
        </w:rPr>
        <w:t>. În temeiul Regulamentului financiar, Comisia monitorizează toate etapele gestionării contractelor sale pentru a se asigura că organizațiile și proiectele incompatibile cu valorile UE nu primesc sprijin. Toți beneficiarii fondurilor UE trebuie să se angajeze prin contract să respecte valorile pe care se întemeiază UE și să asigure respectarea acestora atunci când utilizează resursele bugetului Uniunii. Nerespectarea acestei obligații poate duce la o reducere a fondurilor, la suspendarea sau rezilierea acordului de grant și/sau la măsuri administrative (de exemplu, excludere sau sancțiuni financiare) în contextul sistemului de detectare timpurie și de excludere (EDES). În cele din urmă, mecanismele</w:t>
      </w:r>
      <w:r>
        <w:rPr>
          <w:i/>
          <w:noProof/>
        </w:rPr>
        <w:t xml:space="preserve"> </w:t>
      </w:r>
      <w:r>
        <w:rPr>
          <w:rFonts w:ascii="Calibri" w:hAnsi="Calibri"/>
          <w:noProof/>
        </w:rPr>
        <w:t>ex post</w:t>
      </w:r>
      <w:r>
        <w:rPr>
          <w:noProof/>
        </w:rPr>
        <w:t xml:space="preserve"> prevăzute în Regulamentul financiar garantează utilizarea corespunzătoare a fondurilor UE în cazul în care controalele sau auditurile indică o încălcare a obligațiilor.</w:t>
      </w:r>
    </w:p>
    <w:p w14:paraId="34218257" w14:textId="40C1B09F" w:rsidR="005A167C" w:rsidRPr="0074029F" w:rsidRDefault="4A13EBC7" w:rsidP="005A167C">
      <w:pPr>
        <w:rPr>
          <w:noProof/>
        </w:rPr>
      </w:pPr>
      <w:r>
        <w:rPr>
          <w:noProof/>
        </w:rPr>
        <w:t>EDES se aplică persoanelor și entităților, inclusiv operatorilor economici și organizațiilor, care solicită sau primesc fonduri în cadrul gestiunii directe și indirecte. Motivele de excludere EDES oferă un cadru larg pentru abordarea abaterilor profesionale sau etice, inclusiv a incitării la ură, a discriminării și a altor încălcări grave ale valorilor UE. Verificările bazei de date EDES sunt efectuate de toți ordonatorii de credite în etapa procesului de evaluare. Pentru a consolida și mai mult supravegherea, Comisia va analiza posibilitatea de a include indicatori de conformitate a valorilor UE în instrumentul de risc Arachne+, cu condiția ca acest lucru să fie fezabil din punct de vedere tehnic și juridic.</w:t>
      </w:r>
    </w:p>
    <w:p w14:paraId="04920506" w14:textId="5504F182" w:rsidR="005A167C" w:rsidRPr="00E857AB" w:rsidRDefault="005A167C" w:rsidP="001251F9">
      <w:pPr>
        <w:pStyle w:val="Paragraphstyle"/>
        <w:rPr>
          <w:noProof/>
        </w:rPr>
      </w:pPr>
      <w:bookmarkStart w:id="44" w:name="_Hlk199146487"/>
      <w:r>
        <w:rPr>
          <w:noProof/>
        </w:rPr>
        <w:t>Conflictele de interese</w:t>
      </w:r>
    </w:p>
    <w:p w14:paraId="70D75A3E" w14:textId="5B5018E4" w:rsidR="005A167C" w:rsidRPr="00E857AB" w:rsidRDefault="005A167C" w:rsidP="00656BFE">
      <w:pPr>
        <w:rPr>
          <w:noProof/>
        </w:rPr>
      </w:pPr>
      <w:r>
        <w:rPr>
          <w:noProof/>
        </w:rPr>
        <w:t>Parlamentul invită Comisia să vegheze ca „nicio sumă din vreun fond al Uniunii să nu fie plătită, direct sau indirect, către beneficiari, inclusiv celor care au legături cu membri ai Consiliului European, dacă a fost identificat un conflict de interese și nu se poate demonstra și verifica că acesta a fost rezolvat, în conformitate cu normele și garanțiile aplicabile ale Uniunii”</w:t>
      </w:r>
      <w:r>
        <w:rPr>
          <w:rStyle w:val="FootnoteReference"/>
          <w:rFonts w:ascii="Times New Roman" w:hAnsi="Times New Roman" w:cs="Times New Roman"/>
          <w:noProof/>
          <w:szCs w:val="24"/>
        </w:rPr>
        <w:footnoteReference w:id="9"/>
      </w:r>
      <w:r>
        <w:rPr>
          <w:noProof/>
        </w:rPr>
        <w:t xml:space="preserve"> și subliniază că statele membre ar trebui să asigure transparența ca măsură de protecție împotriva conflictelor de interese.</w:t>
      </w:r>
    </w:p>
    <w:p w14:paraId="1295B2E3" w14:textId="2A2FE994" w:rsidR="005A167C" w:rsidRPr="0074029F" w:rsidRDefault="005A167C" w:rsidP="005A167C">
      <w:pPr>
        <w:rPr>
          <w:noProof/>
        </w:rPr>
      </w:pPr>
      <w:r>
        <w:rPr>
          <w:noProof/>
        </w:rPr>
        <w:t>Comisia subliniază că toate statele membre trebuie să respecte dispozițiile tratatelor UE și legislația bazată pe acestea, inclusiv dispozițiile privind gestionarea adecvată a conflictelor de interese la toate nivelurile, în special</w:t>
      </w:r>
      <w:r>
        <w:rPr>
          <w:rFonts w:ascii="Calibri" w:hAnsi="Calibri"/>
          <w:noProof/>
        </w:rPr>
        <w:t xml:space="preserve"> </w:t>
      </w:r>
      <w:r>
        <w:rPr>
          <w:noProof/>
        </w:rPr>
        <w:t>articolul 61 din Regulamentul financiar.</w:t>
      </w:r>
    </w:p>
    <w:p w14:paraId="4BE7D459" w14:textId="77777777" w:rsidR="005A167C" w:rsidRPr="0074029F" w:rsidRDefault="005A167C" w:rsidP="00EB2C81">
      <w:pPr>
        <w:pStyle w:val="Heading2"/>
        <w:pageBreakBefore/>
        <w:rPr>
          <w:noProof/>
        </w:rPr>
      </w:pPr>
      <w:bookmarkStart w:id="45" w:name="_Toc1142447027"/>
      <w:bookmarkStart w:id="46" w:name="_Toc802260984"/>
      <w:bookmarkStart w:id="47" w:name="_Toc230251251"/>
      <w:bookmarkEnd w:id="44"/>
      <w:r>
        <w:rPr>
          <w:noProof/>
        </w:rPr>
        <w:t>b. Protejarea bugetului UE împotriva fraudelor</w:t>
      </w:r>
      <w:bookmarkEnd w:id="45"/>
      <w:bookmarkEnd w:id="46"/>
      <w:bookmarkEnd w:id="47"/>
    </w:p>
    <w:p w14:paraId="17CA2616" w14:textId="77777777" w:rsidR="005A167C" w:rsidRPr="00E857AB" w:rsidRDefault="005A167C" w:rsidP="001251F9">
      <w:pPr>
        <w:pStyle w:val="Paragraphstyle"/>
        <w:rPr>
          <w:noProof/>
        </w:rPr>
      </w:pPr>
      <w:r>
        <w:rPr>
          <w:noProof/>
        </w:rPr>
        <w:t>Partea de venituri</w:t>
      </w:r>
    </w:p>
    <w:p w14:paraId="4123E5F8" w14:textId="7204DFCB" w:rsidR="005A167C" w:rsidRPr="00E857AB" w:rsidRDefault="005A167C" w:rsidP="00656BFE">
      <w:pPr>
        <w:rPr>
          <w:noProof/>
        </w:rPr>
      </w:pPr>
      <w:r>
        <w:rPr>
          <w:noProof/>
        </w:rPr>
        <w:t>În Raportul său anual pe 2024, CCE a emis o opinie fără rezerve privind veniturile bugetului UE, reafirmând stabilitatea și corectitudinea colectării veniturilor de către Comisie.</w:t>
      </w:r>
    </w:p>
    <w:p w14:paraId="193A3BFB" w14:textId="431DDAB7" w:rsidR="005A167C" w:rsidRPr="00E857AB" w:rsidRDefault="005A167C" w:rsidP="00656BFE">
      <w:pPr>
        <w:rPr>
          <w:noProof/>
          <w:szCs w:val="24"/>
        </w:rPr>
      </w:pPr>
      <w:bookmarkStart w:id="48" w:name="_Hlk231913143"/>
      <w:r>
        <w:rPr>
          <w:noProof/>
        </w:rPr>
        <w:t xml:space="preserve">Parlamentul „felicită EPPO [Parchetul European] și OLAF [Oficiul European de Luptă Antifraudă] pentru eforturile depuse pentru a combate </w:t>
      </w:r>
      <w:bookmarkEnd w:id="48"/>
      <w:r>
        <w:rPr>
          <w:noProof/>
        </w:rPr>
        <w:t>exploatarea organizată a deficiențelor în controalele vamale ale Uniunii”</w:t>
      </w:r>
      <w:r>
        <w:rPr>
          <w:rStyle w:val="FootnoteReference"/>
          <w:rFonts w:ascii="Times New Roman" w:hAnsi="Times New Roman" w:cs="Times New Roman"/>
          <w:iCs/>
          <w:noProof/>
          <w:szCs w:val="24"/>
        </w:rPr>
        <w:footnoteReference w:id="10"/>
      </w:r>
      <w:r>
        <w:rPr>
          <w:noProof/>
        </w:rPr>
        <w:t xml:space="preserve"> și subliniază că „problemele legate de declararea incorectă sau nedeclararea taxelor vamale («deficitul de colectare a taxelor vamale») conduc la gaură fiscală la taxele de import colectate, care reprezintă o problemă persistentă de mulți ani pentru Uniune și pentru statele sale membre”</w:t>
      </w:r>
      <w:r>
        <w:rPr>
          <w:rStyle w:val="FootnoteReference"/>
          <w:rFonts w:ascii="Times New Roman" w:hAnsi="Times New Roman" w:cs="Times New Roman"/>
          <w:iCs/>
          <w:noProof/>
          <w:szCs w:val="24"/>
        </w:rPr>
        <w:footnoteReference w:id="11"/>
      </w:r>
      <w:r>
        <w:rPr>
          <w:noProof/>
        </w:rPr>
        <w:t>.</w:t>
      </w:r>
    </w:p>
    <w:p w14:paraId="44C87140" w14:textId="7EEB2756" w:rsidR="005A167C" w:rsidRPr="00540B41" w:rsidRDefault="005A167C" w:rsidP="005A167C">
      <w:pPr>
        <w:rPr>
          <w:noProof/>
        </w:rPr>
      </w:pPr>
      <w:r>
        <w:rPr>
          <w:noProof/>
        </w:rPr>
        <w:t>Comisia salută acordul dintre Parlament și Consiliu privind reforma uniunii vamale a UE din 26 martie</w:t>
      </w:r>
      <w:r>
        <w:rPr>
          <w:rFonts w:ascii="Calibri" w:hAnsi="Calibri"/>
          <w:noProof/>
        </w:rPr>
        <w:t xml:space="preserve"> </w:t>
      </w:r>
      <w:r>
        <w:rPr>
          <w:noProof/>
        </w:rPr>
        <w:t>2026.</w:t>
      </w:r>
      <w:r>
        <w:rPr>
          <w:noProof/>
          <w:color w:val="00002E"/>
          <w:sz w:val="27"/>
        </w:rPr>
        <w:t xml:space="preserve"> </w:t>
      </w:r>
      <w:r>
        <w:rPr>
          <w:noProof/>
        </w:rPr>
        <w:t>Reforma răspunde presiunilor actuale cu care se confruntă activitatea vămilor din UE, cum ar fi creșterea masivă a volumului schimburilor comerciale, în special a comerțului electronic, multiplicarea rapidă a standardelor UE care fac obiectul controalelor la frontieră, precum și evoluția situației geopolitice, punctată de crize. Prin crearea Autorității vamale a UE și a Platformei de date vamale a UE, această reformă va contribui la o mai bună coordonare a politicii vamale, bazată pe date, în special prin intermediul unui cadru îmbunătățit de gestionare coordonată a riscurilor la nivelul UE.</w:t>
      </w:r>
    </w:p>
    <w:p w14:paraId="6200F438" w14:textId="388042EC" w:rsidR="005A167C" w:rsidRPr="000A6306" w:rsidRDefault="000A6306" w:rsidP="000A6306">
      <w:pPr>
        <w:spacing w:before="0" w:after="160"/>
        <w:jc w:val="left"/>
        <w:rPr>
          <w:noProof/>
          <w:szCs w:val="24"/>
        </w:rPr>
      </w:pPr>
      <w:r>
        <w:rPr>
          <w:noProof/>
        </w:rPr>
        <w:br w:type="page"/>
      </w:r>
    </w:p>
    <w:p w14:paraId="58AD6F54" w14:textId="77777777" w:rsidR="005A167C" w:rsidRPr="00E857AB" w:rsidRDefault="005A167C" w:rsidP="001251F9">
      <w:pPr>
        <w:pStyle w:val="Paragraphstyle"/>
        <w:rPr>
          <w:noProof/>
        </w:rPr>
      </w:pPr>
      <w:r>
        <w:rPr>
          <w:noProof/>
        </w:rPr>
        <w:t>Arhitectura antifraudă</w:t>
      </w:r>
    </w:p>
    <w:p w14:paraId="1094C382" w14:textId="747B742F" w:rsidR="005A167C" w:rsidRPr="00E857AB" w:rsidRDefault="005A167C" w:rsidP="00656BFE">
      <w:pPr>
        <w:rPr>
          <w:noProof/>
        </w:rPr>
      </w:pPr>
      <w:r>
        <w:rPr>
          <w:noProof/>
        </w:rPr>
        <w:t>Parlamentul și-a exprimat îngrijorarea cu privire la coordonarea și schimbul de informații insuficiente între organismele antifraudă de la nivelul UE și cele de la nivel național. La</w:t>
      </w:r>
      <w:r>
        <w:rPr>
          <w:rFonts w:ascii="Calibri" w:hAnsi="Calibri"/>
          <w:noProof/>
        </w:rPr>
        <w:t xml:space="preserve"> </w:t>
      </w:r>
      <w:r>
        <w:rPr>
          <w:noProof/>
        </w:rPr>
        <w:t>16</w:t>
      </w:r>
      <w:r w:rsidR="00EB2C81">
        <w:rPr>
          <w:rFonts w:ascii="Calibri" w:hAnsi="Calibri" w:cs="Calibri"/>
          <w:noProof/>
        </w:rPr>
        <w:t> </w:t>
      </w:r>
      <w:r>
        <w:rPr>
          <w:noProof/>
        </w:rPr>
        <w:t xml:space="preserve">iulie 2025, Comisia a publicat o </w:t>
      </w:r>
      <w:hyperlink r:id="rId26" w:history="1">
        <w:r>
          <w:rPr>
            <w:rStyle w:val="Hyperlink"/>
            <w:noProof/>
          </w:rPr>
          <w:t>Carte albă pentru revizuirea arhitecturii antifraudă</w:t>
        </w:r>
      </w:hyperlink>
      <w:r>
        <w:rPr>
          <w:noProof/>
        </w:rPr>
        <w:t>, în care prezintă necesitatea de a consolida protecția intereselor financiare ale UE. Aceasta subliniază rolul esențial și implicarea continuă a tuturor actorilor din arhitectura antifraudă și completează propunerea Comisiei pentru următorul CFM. Unul dintre principalele obiective este de a consolida cooperarea dintre principalii actori din arhitectura antifraudă – EPPO, OLAF, Agenția Uniunii Europene pentru Cooperare în Materie de Aplicare a Legii (Europol), Agenția Uniunii Europene pentru Cooperare în Materie de Justiție Penală (Eurojust) și Autoritatea pentru Combaterea Spălării Banilor. Cartea albă analizează, de asemenea, modalitățile de creare a unui sistem mai integrat și de optimizare a utilizării resurselor prin valorificarea noilor tehnologii, prin schimbul de date și prin analizarea complementarității funcțiilor actorilor relevanți.</w:t>
      </w:r>
    </w:p>
    <w:p w14:paraId="361D0B79" w14:textId="312EB4DE" w:rsidR="005A167C" w:rsidRPr="00E857AB" w:rsidRDefault="005A167C" w:rsidP="00656BFE">
      <w:pPr>
        <w:rPr>
          <w:noProof/>
        </w:rPr>
      </w:pPr>
      <w:r>
        <w:rPr>
          <w:noProof/>
        </w:rPr>
        <w:t>Revizuirea arhitecturii antifraudă se desfășoară în contextul mai larg al revizuirii regulamentelor privind Europol și Eurojust și al evaluărilor în curs ale actelor juridice ale OLAF și EPPO și ale Directivei privind combaterea fraudelor îndreptate împotriva intereselor financiare ale Uniunii prin mijloace de drept penal (Directiva PIF)</w:t>
      </w:r>
      <w:r>
        <w:rPr>
          <w:rStyle w:val="FootnoteReference"/>
          <w:rFonts w:ascii="Times New Roman" w:eastAsia="Calibri" w:hAnsi="Times New Roman" w:cs="Times New Roman"/>
          <w:noProof/>
          <w:szCs w:val="24"/>
        </w:rPr>
        <w:footnoteReference w:id="12"/>
      </w:r>
      <w:r>
        <w:rPr>
          <w:noProof/>
        </w:rPr>
        <w:t>. Comisia va prezenta rezultatele într-o comunicare, programată pentru sfârșitul anului 2026, eventual însoțită de propuneri legislative.</w:t>
      </w:r>
    </w:p>
    <w:p w14:paraId="304DC4C9" w14:textId="302DC906" w:rsidR="005A167C" w:rsidRPr="0074029F" w:rsidRDefault="005A167C" w:rsidP="005A167C">
      <w:pPr>
        <w:rPr>
          <w:noProof/>
        </w:rPr>
      </w:pPr>
      <w:r>
        <w:rPr>
          <w:noProof/>
        </w:rPr>
        <w:t>Îmbunătățirea recuperărilor este un alt obiectiv principal al revizuirii. Comisia continuă să urmărească, prin intermediul exercițiilor anuale de monitorizare desfășurate de OLAF, o monitorizare consolidată a punerii în aplicare a recomandărilor financiare ale OLAF (până la soluționarea lor definitivă) și a notificărilor EPPO cu impact financiar. Comisia analizează posibilitatea dezvoltării în continuare a raportului anual privind protecția intereselor financiare ale UE și combaterea fraudei (Raportul PIF), astfel încât acesta să includă informații și date suplimentare privind recuperările.</w:t>
      </w:r>
    </w:p>
    <w:p w14:paraId="328317BB" w14:textId="77777777" w:rsidR="005A167C" w:rsidRPr="00E857AB" w:rsidRDefault="005A167C" w:rsidP="001251F9">
      <w:pPr>
        <w:pStyle w:val="Paragraphstyle"/>
        <w:rPr>
          <w:noProof/>
        </w:rPr>
      </w:pPr>
      <w:r>
        <w:rPr>
          <w:noProof/>
        </w:rPr>
        <w:t>Consolidarea bugetară a EPPO și a OLAF</w:t>
      </w:r>
    </w:p>
    <w:p w14:paraId="6A322A10" w14:textId="39966CE3" w:rsidR="005A167C" w:rsidRPr="00E857AB" w:rsidRDefault="005A167C" w:rsidP="00656BFE">
      <w:pPr>
        <w:rPr>
          <w:noProof/>
        </w:rPr>
      </w:pPr>
      <w:r>
        <w:rPr>
          <w:noProof/>
        </w:rPr>
        <w:t>Comisia ia act de solicitările repetate ale Parlamentului privind consolidarea și mai puternică a capacităților EPPO și OLAF și a cooperării dintre acestea.</w:t>
      </w:r>
    </w:p>
    <w:p w14:paraId="21848C72" w14:textId="776439CA" w:rsidR="005A167C" w:rsidRPr="00E857AB" w:rsidRDefault="00220DDE" w:rsidP="00656BFE">
      <w:pPr>
        <w:rPr>
          <w:noProof/>
        </w:rPr>
      </w:pPr>
      <w:r>
        <w:rPr>
          <w:noProof/>
        </w:rPr>
        <w:t>Înființarea EPPO în 2017 a avut un impact asupra efectivelor de personal ale OLAF, ca urmare a sinergiilor și a creșterilor în eficiență realizate între cele două servicii. În conformitate cu fișa financiară legislativă inițială, începând din 2023, EPPO urma să funcționeze cu un efectiv stabil de 115 echivalente normă întreagă. Cu toate acestea, de la înființarea sa, a beneficiat în fiecare an</w:t>
      </w:r>
      <w:r>
        <w:rPr>
          <w:rFonts w:ascii="Calibri" w:hAnsi="Calibri"/>
          <w:noProof/>
        </w:rPr>
        <w:t xml:space="preserve"> de contribuții și alocări de personal mai mari decât cele planificate inițial.</w:t>
      </w:r>
      <w:r>
        <w:rPr>
          <w:noProof/>
        </w:rPr>
        <w:t xml:space="preserve"> Au fost alocate resurse suplimentare în cazuri justificate în mod corespunzător în cursul procesului de adoptare a bugetelor anuale și, pentru a răspunde unor necesități extraordinare, pe parcursul exercițiului bugetar, prin intermediul bugetelor rectificative. În perioada 2024-2026, EPPO a beneficiat de consolidări suplimentare ale resurselor pentru a reflecta participarea Poloniei și a Suediei, creșterea costurilor salariale și locative, arhitectura sa informatică independentă, precum și numărul suplimentar de procurori europeni delegați și de experți naționali detașați.</w:t>
      </w:r>
    </w:p>
    <w:p w14:paraId="69E8CB81" w14:textId="7A48DAA2" w:rsidR="00952B9C" w:rsidRDefault="00952B9C" w:rsidP="00952B9C">
      <w:pPr>
        <w:rPr>
          <w:noProof/>
        </w:rPr>
      </w:pPr>
      <w:r>
        <w:rPr>
          <w:noProof/>
        </w:rPr>
        <w:t>Ținând seama de experiența OLAF în desfășurarea investigațiilor administrative și de obiectivul de a evita duplicarea investigațiilor administrative și penale, au fost transferate către EPPO până la 45 de posturi și credite pentru personalul extern. În perioada 2019-2027, atunci când se iau în considerare atât transferurile către EPPO, cât și consolidările către OLAF prin intermediul procedurilor de alocare ale Comisiei, personalul OLAF (posturi și personal extern) va fi scăzut cu 38.</w:t>
      </w:r>
    </w:p>
    <w:p w14:paraId="0999EF0F" w14:textId="1E389A22" w:rsidR="000319A3" w:rsidRDefault="005A167C" w:rsidP="00656BFE">
      <w:pPr>
        <w:rPr>
          <w:noProof/>
        </w:rPr>
      </w:pPr>
      <w:r>
        <w:rPr>
          <w:noProof/>
        </w:rPr>
        <w:t xml:space="preserve">OLAF cooperează intens cu EPPO în temeiul regulamentelor și al acordurilor de lucru ale acestora, în baza cărora OLAF raportează orice suspiciune de infracțiune care ar putea intra în sfera de competență a EPPO, iar duplicarea investigațiilor este evitată prin intermediul unui mecanism de verificare încrucișată. OLAF poate, de asemenea, să ofere asistență în cadrul investigațiilor EPPO prin efectuarea de investigații administrative complementare și să sprijine EPPO, dacă este necesar. </w:t>
      </w:r>
    </w:p>
    <w:p w14:paraId="00CB3441" w14:textId="7B5F49FD" w:rsidR="005A167C" w:rsidRPr="0074029F" w:rsidRDefault="005A167C" w:rsidP="005A167C">
      <w:pPr>
        <w:rPr>
          <w:noProof/>
        </w:rPr>
      </w:pPr>
      <w:r>
        <w:rPr>
          <w:noProof/>
        </w:rPr>
        <w:t>În urma recomandării CCE din raportul său special nr. 26/2025 și pe baza revizuirii arhitecturii antifraudă, Comisia va evalua mecanismele necesare pentru crearea și guvernanța unui registru comun al suspiciunilor de fraudă în vederea îmbunătățirii schimbului de informații dintre OLAF și EPPO.</w:t>
      </w:r>
    </w:p>
    <w:p w14:paraId="0EA05923" w14:textId="77777777" w:rsidR="005A167C" w:rsidRPr="0074029F" w:rsidRDefault="005A167C" w:rsidP="00744578">
      <w:pPr>
        <w:pStyle w:val="Heading2"/>
        <w:rPr>
          <w:noProof/>
        </w:rPr>
      </w:pPr>
      <w:bookmarkStart w:id="49" w:name="_Toc1459687285"/>
      <w:bookmarkStart w:id="50" w:name="_Toc230251252"/>
      <w:r>
        <w:rPr>
          <w:noProof/>
        </w:rPr>
        <w:t>c. Nivelul de eroare și sistemele de control</w:t>
      </w:r>
      <w:bookmarkEnd w:id="49"/>
      <w:bookmarkEnd w:id="50"/>
    </w:p>
    <w:p w14:paraId="38885E0C" w14:textId="77777777" w:rsidR="005A167C" w:rsidRPr="00E857AB" w:rsidRDefault="005A167C" w:rsidP="001251F9">
      <w:pPr>
        <w:pStyle w:val="Paragraphstyle"/>
        <w:rPr>
          <w:noProof/>
        </w:rPr>
      </w:pPr>
      <w:r>
        <w:rPr>
          <w:noProof/>
        </w:rPr>
        <w:t>Măsuri preventive și corective</w:t>
      </w:r>
    </w:p>
    <w:p w14:paraId="200FD5F4" w14:textId="5B09E0A9" w:rsidR="005A167C" w:rsidRPr="0074029F" w:rsidRDefault="50D8C07E" w:rsidP="00E42C78">
      <w:pPr>
        <w:rPr>
          <w:noProof/>
        </w:rPr>
      </w:pPr>
      <w:r>
        <w:rPr>
          <w:noProof/>
        </w:rPr>
        <w:t>Comisia pune în aplicare strategii multianuale de control pentru protejarea fondurilor UE, în cazul în care sunt detectate erori sau deficiențe în urma controalelor efectuate, ceea ce duce la aplicarea unor măsuri preventive (și anume corecții, întreruperi sau suspendări înainte ca plățile din partea Comisiei să aibă loc) și a unor măsuri corective (și anume corecții după efectuarea plăților) până la închiderea programului. În cadrul gestiunii partajate, statele membre efectuează controale pentru a detecta și a recupera sumele plătite în mod necuvenit. Deficiențele constatate în sistemele naționale de gestionare și control pot conduce la aplicarea unor corecții financiare. În 2024, eforturile Comisiei, împreună cu cele ale statelor membre în cadrul gestiunii partajate, au condus la recuperarea a 2,66 miliarde EUR (1,18 miliarde EUR prin măsuri preventive, 1,48 miliarde EUR prin măsuri corective), în principal în domeniul politicii de coeziune și al politicii agricole.</w:t>
      </w:r>
    </w:p>
    <w:p w14:paraId="6EFD638D" w14:textId="77777777" w:rsidR="005A167C" w:rsidRPr="00E857AB" w:rsidRDefault="005A167C" w:rsidP="001251F9">
      <w:pPr>
        <w:pStyle w:val="Paragraphstyle"/>
        <w:rPr>
          <w:noProof/>
        </w:rPr>
      </w:pPr>
      <w:r>
        <w:rPr>
          <w:noProof/>
        </w:rPr>
        <w:t>Acțiuni de reducere a nivelului de eroare</w:t>
      </w:r>
    </w:p>
    <w:p w14:paraId="1908DB14" w14:textId="64108554" w:rsidR="005A167C" w:rsidRPr="0074029F" w:rsidRDefault="005A167C" w:rsidP="005A167C">
      <w:pPr>
        <w:rPr>
          <w:noProof/>
        </w:rPr>
      </w:pPr>
      <w:r>
        <w:rPr>
          <w:noProof/>
        </w:rPr>
        <w:t>Parlamentul și Consiliul salută scăderea ratei globale de eroare, dar consideră că aceasta este în continuare prea ridicată, în special în cadrul politicii de coeziune. Comisia ia act de toate erorile raportate de CCE și monitorizează în mod corespunzător toate cazurile în care dispune de un temei juridic pentru a acționa, colaborând cu statele membre și cu partenerii de implementare, solicitând corecții financiare, după caz, și măsurile de remediere necesare pentru a îmbunătăți în continuare sistemele de gestionare și control.</w:t>
      </w:r>
    </w:p>
    <w:p w14:paraId="03C944F8" w14:textId="77777777" w:rsidR="005A167C" w:rsidRPr="00E857AB" w:rsidRDefault="005A167C" w:rsidP="001251F9">
      <w:pPr>
        <w:pStyle w:val="Paragraphstyle"/>
        <w:rPr>
          <w:noProof/>
        </w:rPr>
      </w:pPr>
      <w:r>
        <w:rPr>
          <w:noProof/>
        </w:rPr>
        <w:t>Politica de coeziune</w:t>
      </w:r>
    </w:p>
    <w:p w14:paraId="5B678222" w14:textId="4C681E94" w:rsidR="005A167C" w:rsidRPr="00E857AB" w:rsidRDefault="50D8C07E" w:rsidP="0056114D">
      <w:pPr>
        <w:rPr>
          <w:noProof/>
        </w:rPr>
      </w:pPr>
      <w:r>
        <w:rPr>
          <w:noProof/>
        </w:rPr>
        <w:t>Comisia salută scăderea ratei de eroare estimate de CCE pentru cheltuielile aferente politicii de coeziune în comparație cu 2023 și 2022 și observă că diferența dintre evaluarea nivelului de eroare de către Comisie (astfel cum a fost prezentat în rapoartele sale anuale de activitate) și de către CCE s-a redus și mai mult.</w:t>
      </w:r>
    </w:p>
    <w:p w14:paraId="2CF83A5B" w14:textId="0FDB94A8" w:rsidR="005A167C" w:rsidRPr="00E857AB" w:rsidRDefault="005A167C" w:rsidP="0056114D">
      <w:pPr>
        <w:rPr>
          <w:noProof/>
          <w:color w:val="FF0000"/>
        </w:rPr>
      </w:pPr>
      <w:r>
        <w:rPr>
          <w:noProof/>
        </w:rPr>
        <w:t>Pentru a promova o înțelegere comună a metodologiilor, Comisia și-a consolidat dialogul cu CCE prin intermediul unor ateliere specifice. În 2025, acestea s-au axat pe cuantificarea neregulilor în materie de achiziții publice în ceea ce privește cheltuielile din domeniul coeziunii, în conformitate cu grila de cuantificare a Comisiei (pe care CCE o va utiliza începând cu auditul declarației de asigurare din 2025).</w:t>
      </w:r>
    </w:p>
    <w:p w14:paraId="49E36D08" w14:textId="412A9086" w:rsidR="005A167C" w:rsidRPr="00E857AB" w:rsidRDefault="50D8C07E" w:rsidP="0056114D">
      <w:pPr>
        <w:rPr>
          <w:noProof/>
        </w:rPr>
      </w:pPr>
      <w:r>
        <w:rPr>
          <w:noProof/>
        </w:rPr>
        <w:t>Pe parcursul anului 2025, Comisia a monitorizat îndeaproape punerea în aplicare a planului de acțiune convenit în 2024 cu autoritățile de audit, cu scopul de a consolida capacitatea acestora de detectare a erorilor: sunt raportate progrese în mai multe domenii, inclusiv analizarea cauzelor profunde ale erorilor, schimbul de rezultate cu autoritățile care gestionează programele, actualizarea și modernizarea listelor de verificare utilizate în cadrul auditurilor pentru a asigura exhaustivitatea și coerența acestora, precum și o mai bună utilizare a diferitelor baze de date pentru a sprijini activitatea de audit.</w:t>
      </w:r>
    </w:p>
    <w:p w14:paraId="414696E1" w14:textId="11941FFC" w:rsidR="005A167C" w:rsidRPr="0074029F" w:rsidRDefault="50D8C07E" w:rsidP="005A167C">
      <w:pPr>
        <w:rPr>
          <w:noProof/>
        </w:rPr>
      </w:pPr>
      <w:r>
        <w:rPr>
          <w:noProof/>
        </w:rPr>
        <w:t>În paralel, recunoscând influența pe care complexitatea mecanismelor de punere în aplicare o poate avea asupra riscului de eroare, Comisia promovează în mod activ utilizarea opțiunilor și a schemelor simplificate în materie de costuri care implică finanțare nelegată de costuri.</w:t>
      </w:r>
    </w:p>
    <w:p w14:paraId="4C171A71" w14:textId="0357C795" w:rsidR="005A167C" w:rsidRPr="00E857AB" w:rsidRDefault="005A167C" w:rsidP="001251F9">
      <w:pPr>
        <w:pStyle w:val="Paragraphstyle"/>
        <w:rPr>
          <w:noProof/>
        </w:rPr>
      </w:pPr>
      <w:r>
        <w:rPr>
          <w:noProof/>
        </w:rPr>
        <w:t>Politica agricolă comună (PAC)</w:t>
      </w:r>
    </w:p>
    <w:p w14:paraId="2D5E3FB0" w14:textId="1993ED11" w:rsidR="005A167C" w:rsidRPr="00E857AB" w:rsidRDefault="005A167C" w:rsidP="00627B51">
      <w:pPr>
        <w:rPr>
          <w:noProof/>
        </w:rPr>
      </w:pPr>
      <w:r>
        <w:rPr>
          <w:noProof/>
        </w:rPr>
        <w:t>Comisia a înregistrat progrese semnificative în ceea ce privește simplificarea normelor și prevenirea erorilor prin utilizarea eficientă a informațiilor disponibile. Modelul de performanță al PAC pentru perioada 2023-2027 permite statelor membre să adapteze intervențiile la nevoile lor. De exemplu, Comisia sprijină statele membre în conceperea și punerea în aplicare a programelor ecologice și încurajează utilizarea opțiunilor simplificate în materie de costuri.</w:t>
      </w:r>
    </w:p>
    <w:p w14:paraId="7C0196E3" w14:textId="747AAEC0" w:rsidR="005A167C" w:rsidRPr="0074029F" w:rsidRDefault="005A167C" w:rsidP="005A167C">
      <w:pPr>
        <w:rPr>
          <w:noProof/>
        </w:rPr>
      </w:pPr>
      <w:r>
        <w:rPr>
          <w:noProof/>
        </w:rPr>
        <w:t>Utilizarea noilor tehnologii (cum ar fi sistemul de monitorizare a suprafețelor, datele Sentinel din cadrul programului Copernicus și inteligența artificială) contribuie la prevenirea și detectarea erorilor din cadrul PAC. Comisia continuă să ofere sprijin statelor membre în ceea ce privește abordarea și prevenirea erorilor prin furnizarea de orientări, promovarea consolidării capacităților, schimbul de bune practici și monitorizarea calității sistemului integrat de administrare și control.</w:t>
      </w:r>
    </w:p>
    <w:p w14:paraId="64068F07" w14:textId="77777777" w:rsidR="005A167C" w:rsidRPr="00E857AB" w:rsidRDefault="005A167C" w:rsidP="001251F9">
      <w:pPr>
        <w:pStyle w:val="Paragraphstyle"/>
        <w:rPr>
          <w:noProof/>
        </w:rPr>
      </w:pPr>
      <w:r>
        <w:rPr>
          <w:noProof/>
        </w:rPr>
        <w:t>Mecanismul de redresare și reziliență (MRR)</w:t>
      </w:r>
    </w:p>
    <w:p w14:paraId="1E8A98B4" w14:textId="0BD0268E" w:rsidR="00A85566" w:rsidRPr="00A85566" w:rsidRDefault="00A85566" w:rsidP="00627B51">
      <w:pPr>
        <w:rPr>
          <w:noProof/>
        </w:rPr>
      </w:pPr>
      <w:r>
        <w:rPr>
          <w:noProof/>
        </w:rPr>
        <w:t>Există un sistem solid de control și audit pentru MRR. Acesta include o metodologie de audit actualizată pentru (i)</w:t>
      </w:r>
      <w:r>
        <w:rPr>
          <w:rFonts w:ascii="Calibri" w:hAnsi="Calibri"/>
          <w:noProof/>
        </w:rPr>
        <w:t xml:space="preserve"> </w:t>
      </w:r>
      <w:r>
        <w:rPr>
          <w:noProof/>
        </w:rPr>
        <w:t>protecția intereselor financiare ale UE, (ii)</w:t>
      </w:r>
      <w:r>
        <w:rPr>
          <w:rFonts w:ascii="Calibri" w:hAnsi="Calibri"/>
          <w:noProof/>
        </w:rPr>
        <w:t xml:space="preserve"> </w:t>
      </w:r>
      <w:r>
        <w:rPr>
          <w:noProof/>
        </w:rPr>
        <w:t>consolidarea controalelor asupra sistemelor de control intern ale statelor membre în domeniul ajutoarelor de stat și al achizițiilor publice și (iii)</w:t>
      </w:r>
      <w:r>
        <w:rPr>
          <w:rFonts w:ascii="Calibri" w:hAnsi="Calibri"/>
          <w:noProof/>
        </w:rPr>
        <w:t xml:space="preserve"> </w:t>
      </w:r>
      <w:r>
        <w:rPr>
          <w:noProof/>
        </w:rPr>
        <w:t xml:space="preserve">consolidarea cooperării în cadrul Comisiei. </w:t>
      </w:r>
    </w:p>
    <w:p w14:paraId="6AA9F674" w14:textId="28D579E0" w:rsidR="005A167C" w:rsidRPr="00E857AB" w:rsidRDefault="005A167C" w:rsidP="00627B51">
      <w:pPr>
        <w:rPr>
          <w:noProof/>
        </w:rPr>
      </w:pPr>
      <w:r>
        <w:rPr>
          <w:noProof/>
        </w:rPr>
        <w:t>Revizuirile planurilor naționale de redresare și reziliență au luat în considerare experiența anterioară în materie de punere în aplicare și recomandările CCE, ale Parlamentului și ale Consiliului, cu scopul de a reduce diferențele de interpretare a legislației UE de către CCE și Comisie. Comisia a propus eliminarea oricărui limbaj ambiguu sau inutil din deciziile de punere în aplicare ale Consiliului, astfel încât acestea să conțină doar cerințe esențiale pentru demonstrarea îndeplinirii unei măsuri.</w:t>
      </w:r>
    </w:p>
    <w:p w14:paraId="6CC92265" w14:textId="3F2518CC" w:rsidR="005A167C" w:rsidRPr="000A6306" w:rsidRDefault="005A167C" w:rsidP="008E32CF">
      <w:pPr>
        <w:rPr>
          <w:noProof/>
        </w:rPr>
      </w:pPr>
      <w:r>
        <w:rPr>
          <w:noProof/>
        </w:rPr>
        <w:t xml:space="preserve">Comisia este de acord cu atitudinea prudentă a Consiliului în ceea ce privește „noile norme, cerințele contradictorii sau condițiile mai restrictive impuse </w:t>
      </w:r>
      <w:r>
        <w:rPr>
          <w:i/>
          <w:noProof/>
        </w:rPr>
        <w:t>ex post</w:t>
      </w:r>
      <w:r>
        <w:rPr>
          <w:noProof/>
        </w:rPr>
        <w:t xml:space="preserve"> statelor membre”</w:t>
      </w:r>
      <w:r>
        <w:rPr>
          <w:rStyle w:val="FootnoteReference"/>
          <w:rFonts w:ascii="Times New Roman" w:hAnsi="Times New Roman" w:cs="Times New Roman"/>
          <w:iCs/>
          <w:noProof/>
          <w:szCs w:val="24"/>
        </w:rPr>
        <w:footnoteReference w:id="13"/>
      </w:r>
      <w:r>
        <w:rPr>
          <w:noProof/>
        </w:rPr>
        <w:t xml:space="preserve"> în cursul punerii în aplicare. Modificarea orientărilor privind interpretarea conceptelor juridice în ultimul an de punere în aplicare a instrumentului ar genera noi probleme juridice și practice pentru statele membre.</w:t>
      </w:r>
    </w:p>
    <w:p w14:paraId="60C29930" w14:textId="77777777" w:rsidR="005A167C" w:rsidRPr="00E857AB" w:rsidRDefault="005A167C" w:rsidP="001251F9">
      <w:pPr>
        <w:pStyle w:val="Paragraphstyle"/>
        <w:rPr>
          <w:noProof/>
        </w:rPr>
      </w:pPr>
      <w:r>
        <w:rPr>
          <w:noProof/>
        </w:rPr>
        <w:t>Programul Orizont Europa</w:t>
      </w:r>
    </w:p>
    <w:p w14:paraId="35D7946E" w14:textId="7FB342F5" w:rsidR="005A167C" w:rsidRPr="0074029F" w:rsidRDefault="50D8C07E" w:rsidP="005A167C">
      <w:pPr>
        <w:rPr>
          <w:noProof/>
        </w:rPr>
      </w:pPr>
      <w:r>
        <w:rPr>
          <w:noProof/>
        </w:rPr>
        <w:t>Comisia a continuat să își perfecționeze abordarea în ceea ce privește punerea în aplicare a sumelor forfetare în cadrul programului Orizont Europa, luând în considerare feedbackul primit din partea proiectelor-pilot anterioare, a CCE și a implicării continue a părților interesate ca parte a evaluării proiectelor care utilizează finanțare pe bază de sume forfetare. Acest lucru permite Comisiei să valorifice la maximum potențialul de simplificare pentru beneficiari, concentrând în același timp controalele asupra punerii în aplicare de către beneficiari a proiectelor finanțate în conformitate cu rezultatele convenite.</w:t>
      </w:r>
    </w:p>
    <w:p w14:paraId="2A661EBF" w14:textId="77777777" w:rsidR="005A167C" w:rsidRPr="00E857AB" w:rsidRDefault="005A167C" w:rsidP="001251F9">
      <w:pPr>
        <w:pStyle w:val="Paragraphstyle"/>
        <w:rPr>
          <w:noProof/>
        </w:rPr>
      </w:pPr>
      <w:r>
        <w:rPr>
          <w:noProof/>
        </w:rPr>
        <w:t>Acțiunea externă</w:t>
      </w:r>
    </w:p>
    <w:p w14:paraId="3025749E" w14:textId="1C6A7BD1" w:rsidR="005A167C" w:rsidRPr="0074029F" w:rsidRDefault="50D8C07E" w:rsidP="005A167C">
      <w:pPr>
        <w:rPr>
          <w:noProof/>
        </w:rPr>
      </w:pPr>
      <w:r>
        <w:rPr>
          <w:noProof/>
        </w:rPr>
        <w:t>Comisia a acceptat recomandările CCE și dă curs constatărilor sale. În ceea ce privește întrebarea dacă partenerii de implementare ai Comisiei ar trebui să acorde auditorilor CCE acces deplin la documente, Comisia facilitează în mod constant schimburile dintre entitățile relevante și CCE pentru a găsi soluții adecvate.</w:t>
      </w:r>
    </w:p>
    <w:p w14:paraId="27F791FD" w14:textId="719F8149" w:rsidR="005A167C" w:rsidRPr="00E857AB" w:rsidRDefault="005A167C" w:rsidP="001251F9">
      <w:pPr>
        <w:pStyle w:val="Paragraphstyle"/>
        <w:rPr>
          <w:noProof/>
        </w:rPr>
      </w:pPr>
      <w:r>
        <w:rPr>
          <w:noProof/>
        </w:rPr>
        <w:t>Fondul european de dezvoltare</w:t>
      </w:r>
    </w:p>
    <w:p w14:paraId="5FA8606A" w14:textId="0280C45B" w:rsidR="005A167C" w:rsidRDefault="005A167C" w:rsidP="00627B51">
      <w:pPr>
        <w:rPr>
          <w:noProof/>
        </w:rPr>
      </w:pPr>
      <w:r>
        <w:rPr>
          <w:noProof/>
        </w:rPr>
        <w:t>Parlamentul constată cu îngrijorare că nivelul de eroare estimat pentru 2024 este de 6,5 % (8,9 % în 2023). Pentru a reduce erorile legate de validarea și închiderea prefinanțării, Comisia a solicitat partenerilor săi să își revizuiască modelele de raportare pentru a facilita identificarea cheltuielilor suportate.</w:t>
      </w:r>
    </w:p>
    <w:p w14:paraId="467998F3" w14:textId="50BFA8DE" w:rsidR="000D44B7" w:rsidRPr="0074029F" w:rsidRDefault="00A36EAD" w:rsidP="005A167C">
      <w:pPr>
        <w:rPr>
          <w:noProof/>
        </w:rPr>
      </w:pPr>
      <w:r>
        <w:rPr>
          <w:noProof/>
        </w:rPr>
        <w:t>De asemenea, Comisia și-a revizuit strategia de control și a început să pună în aplicare recomandări-cheie, inclusiv prin elaborarea unui tablou de bord pentru stabilirea profilului de risc menit (i)</w:t>
      </w:r>
      <w:r>
        <w:rPr>
          <w:rFonts w:ascii="Calibri" w:hAnsi="Calibri"/>
          <w:noProof/>
        </w:rPr>
        <w:t xml:space="preserve"> </w:t>
      </w:r>
      <w:r>
        <w:rPr>
          <w:noProof/>
        </w:rPr>
        <w:t>să măsoare respectarea de către parteneri a standardelor financiare și operaționale și accesul la documente, (ii)</w:t>
      </w:r>
      <w:r>
        <w:rPr>
          <w:rFonts w:ascii="Calibri" w:hAnsi="Calibri"/>
          <w:noProof/>
        </w:rPr>
        <w:t xml:space="preserve"> </w:t>
      </w:r>
      <w:r>
        <w:rPr>
          <w:noProof/>
        </w:rPr>
        <w:t xml:space="preserve">să consolideze controalele </w:t>
      </w:r>
      <w:r>
        <w:rPr>
          <w:i/>
          <w:noProof/>
        </w:rPr>
        <w:t>ex post</w:t>
      </w:r>
      <w:r>
        <w:rPr>
          <w:noProof/>
        </w:rPr>
        <w:t xml:space="preserve"> și (iii)</w:t>
      </w:r>
      <w:r>
        <w:rPr>
          <w:rFonts w:ascii="Calibri" w:hAnsi="Calibri"/>
          <w:noProof/>
        </w:rPr>
        <w:t xml:space="preserve"> </w:t>
      </w:r>
      <w:r>
        <w:rPr>
          <w:noProof/>
        </w:rPr>
        <w:t>să îmbunătățească raportarea către Comisie din partea organizațiilor care fac obiectul evaluării pe piloni.</w:t>
      </w:r>
    </w:p>
    <w:p w14:paraId="439CA776" w14:textId="5575AF6F" w:rsidR="005A167C" w:rsidRPr="00E857AB" w:rsidRDefault="00E96D17" w:rsidP="009F5642">
      <w:pPr>
        <w:pStyle w:val="Headingfollowupreport"/>
        <w:numPr>
          <w:ilvl w:val="0"/>
          <w:numId w:val="6"/>
        </w:numPr>
        <w:rPr>
          <w:noProof/>
        </w:rPr>
      </w:pPr>
      <w:bookmarkStart w:id="51" w:name="_Toc197935748"/>
      <w:bookmarkStart w:id="52" w:name="_Toc1588252437"/>
      <w:bookmarkStart w:id="53" w:name="_Toc1473879059"/>
      <w:bookmarkStart w:id="54" w:name="_Toc1610299933"/>
      <w:bookmarkStart w:id="55" w:name="_Toc761551565"/>
      <w:bookmarkStart w:id="56" w:name="_Toc2015782663"/>
      <w:r>
        <w:rPr>
          <w:noProof/>
        </w:rPr>
        <w:t xml:space="preserve"> </w:t>
      </w:r>
      <w:bookmarkStart w:id="57" w:name="_Toc235091495"/>
      <w:r>
        <w:rPr>
          <w:noProof/>
        </w:rPr>
        <w:t>Transparență</w:t>
      </w:r>
      <w:bookmarkEnd w:id="51"/>
      <w:bookmarkEnd w:id="52"/>
      <w:bookmarkEnd w:id="53"/>
      <w:bookmarkEnd w:id="54"/>
      <w:bookmarkEnd w:id="55"/>
      <w:bookmarkEnd w:id="56"/>
      <w:bookmarkEnd w:id="57"/>
    </w:p>
    <w:p w14:paraId="6BD12325" w14:textId="25675DE5" w:rsidR="005A167C" w:rsidRPr="00A03179" w:rsidRDefault="005A167C" w:rsidP="00627B51">
      <w:pPr>
        <w:rPr>
          <w:noProof/>
        </w:rPr>
      </w:pPr>
      <w:r>
        <w:rPr>
          <w:noProof/>
        </w:rPr>
        <w:t>Comisia se angajează să asigure un nivel ridicat de transparență a finanțării UE prin publicarea pe scară largă a datelor privind finanțarea în sistemul de transparență financiară și pe Portalul pentru oportunități de finanțare și ofertare. În viitor, noul portal unic va oferi și mai multă transparență.</w:t>
      </w:r>
    </w:p>
    <w:p w14:paraId="513E3502" w14:textId="77777777" w:rsidR="005A167C" w:rsidRPr="0074029F" w:rsidRDefault="005A167C" w:rsidP="00744578">
      <w:pPr>
        <w:pStyle w:val="Heading2"/>
        <w:rPr>
          <w:noProof/>
        </w:rPr>
      </w:pPr>
      <w:bookmarkStart w:id="58" w:name="_Toc1464481312"/>
      <w:bookmarkStart w:id="59" w:name="_Toc230251254"/>
      <w:r>
        <w:rPr>
          <w:noProof/>
        </w:rPr>
        <w:t>a. Transparența finanțării UE</w:t>
      </w:r>
      <w:bookmarkEnd w:id="58"/>
      <w:bookmarkEnd w:id="59"/>
    </w:p>
    <w:p w14:paraId="0407A4A0" w14:textId="77777777" w:rsidR="002777B4" w:rsidRDefault="005A167C" w:rsidP="00627B51">
      <w:pPr>
        <w:rPr>
          <w:noProof/>
        </w:rPr>
      </w:pPr>
      <w:r>
        <w:rPr>
          <w:noProof/>
        </w:rPr>
        <w:t xml:space="preserve">Având ca principiu director transparența, Comisia depășește cerințele legale aplicabile și aplică cele mai înalte standarde de transparență în rândul organizațiilor internaționale, contribuind astfel la evidențierea rezultatelor obținute cu finanțare din partea UE. </w:t>
      </w:r>
    </w:p>
    <w:p w14:paraId="5A845D39" w14:textId="16E5662B" w:rsidR="005A167C" w:rsidRPr="00E857AB" w:rsidRDefault="1CD7E2E7" w:rsidP="00627B51">
      <w:pPr>
        <w:rPr>
          <w:noProof/>
        </w:rPr>
      </w:pPr>
      <w:r>
        <w:rPr>
          <w:noProof/>
        </w:rPr>
        <w:t>În conformitate cu rezoluția privind descărcarea de gestiune, prin care se solicită Comisiei să se asigure că toate acordurile de grant, inclusiv granturile de funcționare, respectă cerințele necesare privind transparența, trasabilitatea și vizibilitatea fondurilor</w:t>
      </w:r>
      <w:r>
        <w:rPr>
          <w:rStyle w:val="FootnoteReference"/>
          <w:rFonts w:ascii="Times New Roman" w:eastAsia="Times New Roman" w:hAnsi="Times New Roman" w:cs="Times New Roman"/>
          <w:noProof/>
          <w:szCs w:val="24"/>
        </w:rPr>
        <w:footnoteReference w:id="14"/>
      </w:r>
      <w:r>
        <w:rPr>
          <w:noProof/>
        </w:rPr>
        <w:t>, Comisia observă că informațiile privind obiectivele și rezultatele proiectelor puse în aplicare de ONG-uri (inclusiv activitățile de promovare) sunt deja publice pe Portalul UE pentru oportunități de finanțare și ofertare. În plus, reprezentanții grupurilor de interese care se înregistrează în registrul de transparență ca nereprezentând interese comerciale (de regulă, inclusiv ONG-uri) au obligația de a-și raporta activitățile de lobby, de a-și declara principalele surse de finanțare, precum și cuantumul fiecărei contribuții de peste 10</w:t>
      </w:r>
      <w:r w:rsidR="00EB2C81">
        <w:rPr>
          <w:rFonts w:ascii="Calibri" w:hAnsi="Calibri"/>
          <w:noProof/>
        </w:rPr>
        <w:t> </w:t>
      </w:r>
      <w:r>
        <w:rPr>
          <w:noProof/>
        </w:rPr>
        <w:t>000</w:t>
      </w:r>
      <w:r w:rsidR="00EB2C81">
        <w:rPr>
          <w:rFonts w:ascii="Calibri" w:hAnsi="Calibri" w:cs="Calibri"/>
          <w:noProof/>
        </w:rPr>
        <w:t> </w:t>
      </w:r>
      <w:r>
        <w:rPr>
          <w:noProof/>
        </w:rPr>
        <w:t>EUR care depășește 10 % din bugetul lor total, inclusiv numele contribuitorului. Propunerea Comisiei de regulament privind performanța pentru CFM 2028-2034 standardizează indicatorii de rezultat, ceea ce va îmbunătăți și mai mult transparența, la fel cum o vor face și centralizarea și extinderea planificate ale informațiilor disponibile în viitorul portal unic prevăzut în regulamentul respectiv. Comisia își reiterează sprijinul pentru organizațiile societății civile, inclusiv prin granturi de funcționare în cursul actualei perioade de programare, în conformitate cu Strategia UE pentru societatea civilă, care recunoaște necesitatea unei finanțări adecvate, durabile și transparente pentru societatea civilă.</w:t>
      </w:r>
    </w:p>
    <w:p w14:paraId="22F94932" w14:textId="4C79A80F" w:rsidR="005A167C" w:rsidRPr="00E857AB" w:rsidRDefault="50D8C07E" w:rsidP="00627B51">
      <w:pPr>
        <w:rPr>
          <w:noProof/>
        </w:rPr>
      </w:pPr>
      <w:r>
        <w:rPr>
          <w:noProof/>
        </w:rPr>
        <w:t>Comisia cooperează cu Parlamentul în cadrul grupului de lucru pentru control al Comisiei pentru control bugetar cu privire la finanțarea ONG-urilor și a altor entități și furnizează toate documentele solicitate, respectând în același timp cadrul juridic aplicabil pentru protejarea informațiilor confidențiale.</w:t>
      </w:r>
    </w:p>
    <w:p w14:paraId="0A15CC3C" w14:textId="2ABB5F7C" w:rsidR="008A17F7" w:rsidRDefault="005A167C" w:rsidP="00627B51">
      <w:pPr>
        <w:rPr>
          <w:noProof/>
        </w:rPr>
      </w:pPr>
      <w:r>
        <w:rPr>
          <w:noProof/>
        </w:rPr>
        <w:t>În ceea ce privește transparența în cadrul MRR, Comisia este de acord că „informațiile complete și fiabile privind destinatarii finali sunt esențiale pentru a preveni utilizarea abuzivă a fondurilor, pentru a detecta frauda și pentru a asigura standarde egale de responsabilitate în toate statele membre”</w:t>
      </w:r>
      <w:r>
        <w:rPr>
          <w:rStyle w:val="FootnoteReference"/>
          <w:rFonts w:ascii="Times New Roman" w:hAnsi="Times New Roman" w:cs="Times New Roman"/>
          <w:noProof/>
          <w:szCs w:val="24"/>
        </w:rPr>
        <w:footnoteReference w:id="15"/>
      </w:r>
      <w:r>
        <w:rPr>
          <w:noProof/>
        </w:rPr>
        <w:t xml:space="preserve"> și ia act de faptul că Parlamentul „va lua în considerare toate măsurile adecvate în cadrul prerogativelor sale pentru a asigura conformitatea, inclusiv acțiuni în justiție”</w:t>
      </w:r>
      <w:r>
        <w:rPr>
          <w:rStyle w:val="FootnoteReference"/>
          <w:rFonts w:ascii="Times New Roman" w:hAnsi="Times New Roman" w:cs="Times New Roman"/>
          <w:iCs/>
          <w:noProof/>
          <w:szCs w:val="24"/>
        </w:rPr>
        <w:footnoteReference w:id="16"/>
      </w:r>
      <w:r>
        <w:rPr>
          <w:noProof/>
        </w:rPr>
        <w:t xml:space="preserve">. Comisia subliniază că </w:t>
      </w:r>
      <w:bookmarkStart w:id="60" w:name="_Hlk232079973"/>
      <w:r>
        <w:rPr>
          <w:noProof/>
        </w:rPr>
        <w:t>este obligată să pună în aplicare instrumentul, astfel cum a fost convenit de colegiuitori, inclusiv dispozițiile legale privind raportarea destinatarilor finali, și consideră că a aplicat aceste dispoziții în mod consecvent și solid, având în vedere condițiile și definițiile juridice stabilite de Regulamentul privind MRR.</w:t>
      </w:r>
      <w:bookmarkEnd w:id="60"/>
      <w:r>
        <w:rPr>
          <w:noProof/>
        </w:rPr>
        <w:t xml:space="preserve"> </w:t>
      </w:r>
    </w:p>
    <w:p w14:paraId="767BED5A" w14:textId="77777777" w:rsidR="008A17F7" w:rsidRDefault="005A167C" w:rsidP="00627B51">
      <w:pPr>
        <w:rPr>
          <w:noProof/>
        </w:rPr>
      </w:pPr>
      <w:r>
        <w:rPr>
          <w:noProof/>
        </w:rPr>
        <w:t xml:space="preserve">În cadrul procedurii de descărcare de gestiune, Comisia a subliniat eforturile depuse pentru a se asigura că statele membre își respectă obligațiile și le depășesc. Comisia va continua să încurajeze ferm statele membre să furnizeze date suplimentare și va aplica instrumentele de care dispune în cazul în care acestea nu respectă cerințele legale prevăzute de regulament. </w:t>
      </w:r>
    </w:p>
    <w:p w14:paraId="6D0C4D73" w14:textId="32A4AC2E" w:rsidR="005A167C" w:rsidRPr="00E857AB" w:rsidRDefault="00105C78" w:rsidP="00627B51">
      <w:pPr>
        <w:rPr>
          <w:noProof/>
        </w:rPr>
      </w:pPr>
      <w:r>
        <w:rPr>
          <w:noProof/>
        </w:rPr>
        <w:t>Începând cu următorul CFM, propunerile Comisiei prevăd publicarea informațiilor privind beneficiarii fondurilor UE în cadrul tuturor modurilor de gestiune pe site-ul centralizat denumit „portalul unic” (inclusiv sistemul consolidat de transparență financiară)</w:t>
      </w:r>
      <w:r>
        <w:rPr>
          <w:rStyle w:val="FootnoteReference"/>
          <w:rFonts w:ascii="Times New Roman" w:hAnsi="Times New Roman" w:cs="Times New Roman"/>
          <w:noProof/>
          <w:szCs w:val="24"/>
        </w:rPr>
        <w:footnoteReference w:id="17"/>
      </w:r>
      <w:r>
        <w:rPr>
          <w:noProof/>
        </w:rPr>
        <w:t>. În conformitate cu propunerea Comisiei privind planurile de parteneriat naționale și regionale, informațiile privind beneficiarii, destinatarii finali, contractanții și subcontractanții vor fi publicate atât la nivel național, cât și la nivelul UE pe portalul unic</w:t>
      </w:r>
      <w:r>
        <w:rPr>
          <w:rStyle w:val="FootnoteReference"/>
          <w:rFonts w:ascii="Times New Roman" w:hAnsi="Times New Roman" w:cs="Times New Roman"/>
          <w:noProof/>
          <w:szCs w:val="24"/>
        </w:rPr>
        <w:footnoteReference w:id="18"/>
      </w:r>
      <w:r>
        <w:rPr>
          <w:noProof/>
        </w:rPr>
        <w:t>.</w:t>
      </w:r>
    </w:p>
    <w:p w14:paraId="0C041A29" w14:textId="77777777" w:rsidR="005A167C" w:rsidRPr="0074029F" w:rsidRDefault="005A167C" w:rsidP="00744578">
      <w:pPr>
        <w:pStyle w:val="Heading2"/>
        <w:rPr>
          <w:noProof/>
        </w:rPr>
      </w:pPr>
      <w:bookmarkStart w:id="61" w:name="_Toc1654189501"/>
      <w:bookmarkStart w:id="62" w:name="_Toc230251255"/>
      <w:r>
        <w:rPr>
          <w:noProof/>
        </w:rPr>
        <w:t>b. Transparența și responsabilitatea Comisiei</w:t>
      </w:r>
      <w:bookmarkEnd w:id="61"/>
      <w:bookmarkEnd w:id="62"/>
    </w:p>
    <w:p w14:paraId="146C413B" w14:textId="02E38224" w:rsidR="005A167C" w:rsidRPr="00E857AB" w:rsidRDefault="005A167C" w:rsidP="00627B51">
      <w:pPr>
        <w:rPr>
          <w:noProof/>
        </w:rPr>
      </w:pPr>
      <w:r>
        <w:rPr>
          <w:noProof/>
        </w:rPr>
        <w:t>Comisia respectă cele mai înalte standarde de transparență în toate activitățile sale și în procesul său decizional. Personalul Comisiei face obiectul normelor privind gestionarea evidențelor și arhivele, precum și al recomandărilor de securitate în ceea ce privește utilizarea acceptabilă a aplicațiilor publice de mesagerie instantanee și a oricărui alt instrument de comunicare instituțională. În acest sens, Comisia asigură respectarea normelor UE privind accesul public la documente, inclusiv la mesajele text (înregistrarea comunicărilor legate de muncă).</w:t>
      </w:r>
    </w:p>
    <w:p w14:paraId="180F3FF7" w14:textId="2321E484" w:rsidR="005A167C" w:rsidRPr="00E857AB" w:rsidRDefault="005A167C" w:rsidP="00627B51">
      <w:pPr>
        <w:rPr>
          <w:noProof/>
        </w:rPr>
      </w:pPr>
      <w:r>
        <w:rPr>
          <w:noProof/>
        </w:rPr>
        <w:t>Înalții funcționari, la fel ca întregul personal, sunt supuși obligațiilor prevăzute în Statutul funcționarilor Uniunii Europene, inclusiv în ceea ce privește etica și integritatea (de exemplu, declarațiile ad-hoc privind conflictele de interese, declarațiile de angajare a soților/soțiilor sau cererile de aprobare a activităților externe). Comisia oferă informații, formare și consiliere în materie de etică pentru a sprijini personalul și cadrele de conducere în îndeplinirea obligațiilor care le revin. Obligațiile registrului de transparență se aplică tuturor managerilor, care trebuie să își facă publice reuniunile cu reprezentanții grupurilor de interese înscriși în registru.</w:t>
      </w:r>
    </w:p>
    <w:p w14:paraId="1C159DCE" w14:textId="77777777" w:rsidR="005A167C" w:rsidRPr="00F32FB4" w:rsidRDefault="005A167C" w:rsidP="005A167C">
      <w:pPr>
        <w:rPr>
          <w:rStyle w:val="Hyperlink"/>
          <w:noProof/>
        </w:rPr>
      </w:pPr>
      <w:r>
        <w:rPr>
          <w:noProof/>
        </w:rPr>
        <w:t xml:space="preserve">Numele și mandatele consilierilor speciali atașați fiecărui membru al Comisiei sunt puse la dispoziția publicului pe </w:t>
      </w:r>
      <w:hyperlink r:id="rId27" w:anchor="currentlistofdesignatedspecialadvisers" w:history="1">
        <w:r>
          <w:rPr>
            <w:rStyle w:val="Hyperlink"/>
            <w:noProof/>
          </w:rPr>
          <w:t>site-ul web al Comisiei</w:t>
        </w:r>
      </w:hyperlink>
      <w:r>
        <w:rPr>
          <w:rStyle w:val="Hyperlink"/>
          <w:noProof/>
        </w:rPr>
        <w:fldChar w:fldCharType="begin"/>
      </w:r>
      <w:r>
        <w:rPr>
          <w:rStyle w:val="Hyperlink"/>
          <w:noProof/>
        </w:rPr>
        <w:fldChar w:fldCharType="separate"/>
      </w:r>
      <w:r>
        <w:rPr>
          <w:rStyle w:val="Hyperlink"/>
          <w:noProof/>
        </w:rPr>
        <w:t>Commission website</w:t>
      </w:r>
      <w:r>
        <w:rPr>
          <w:rStyle w:val="Hyperlink"/>
          <w:noProof/>
        </w:rPr>
        <w:fldChar w:fldCharType="end"/>
      </w:r>
      <w:r>
        <w:rPr>
          <w:rStyle w:val="Hyperlink"/>
          <w:noProof/>
        </w:rPr>
        <w:t>.</w:t>
      </w:r>
    </w:p>
    <w:p w14:paraId="0453AEB9" w14:textId="726E1DC6" w:rsidR="005A167C" w:rsidRPr="00E857AB" w:rsidRDefault="08E97DC0" w:rsidP="00627B51">
      <w:pPr>
        <w:rPr>
          <w:noProof/>
        </w:rPr>
      </w:pPr>
      <w:r>
        <w:rPr>
          <w:noProof/>
        </w:rPr>
        <w:t>Comisia ia act de preocupările Parlamentului cu privire la funcționarea și eficacitatea procedurii oficiale de hărțuire. Sub auspiciile consilierului confidențial principal, Comisia va implica experți independenți în completarea revizuirii deja lansate de Comisie cu privire la punerea în aplicare a politicii sale de combatere a hărțuirii</w:t>
      </w:r>
      <w:r>
        <w:rPr>
          <w:rStyle w:val="FootnoteReference"/>
          <w:rFonts w:ascii="Times New Roman" w:hAnsi="Times New Roman" w:cs="Times New Roman"/>
          <w:noProof/>
          <w:szCs w:val="24"/>
        </w:rPr>
        <w:footnoteReference w:id="19"/>
      </w:r>
      <w:r>
        <w:rPr>
          <w:noProof/>
        </w:rPr>
        <w:t>. În sens mai larg, Comisia își va continua eforturile de asigurare a unui mediu sigur pentru raportare, inclusiv prin consolidarea gradului de conștientizare, a accesibilității și a încrederii în canalele disponibile, și, în contextul revizuirii în curs a Orientărilor privind avertizarea în interes public, va încerca să le alinieze cât mai îndeaproape posibil la standardele stabilite în Directiva (UE) 2019/1937.</w:t>
      </w:r>
    </w:p>
    <w:p w14:paraId="19629C3E" w14:textId="1ED81ADB" w:rsidR="005A167C" w:rsidRPr="00E857AB" w:rsidRDefault="00E96D17" w:rsidP="009F5642">
      <w:pPr>
        <w:pStyle w:val="Headingfollowupreport"/>
        <w:numPr>
          <w:ilvl w:val="0"/>
          <w:numId w:val="6"/>
        </w:numPr>
        <w:rPr>
          <w:noProof/>
        </w:rPr>
      </w:pPr>
      <w:bookmarkStart w:id="63" w:name="_Toc229438405"/>
      <w:bookmarkStart w:id="64" w:name="_Toc802350645"/>
      <w:bookmarkStart w:id="65" w:name="_Toc1683862158"/>
      <w:bookmarkStart w:id="66" w:name="_Toc1326667316"/>
      <w:bookmarkStart w:id="67" w:name="_Toc579726009"/>
      <w:r>
        <w:rPr>
          <w:noProof/>
        </w:rPr>
        <w:t xml:space="preserve"> </w:t>
      </w:r>
      <w:bookmarkStart w:id="68" w:name="_Toc235091496"/>
      <w:r>
        <w:rPr>
          <w:noProof/>
        </w:rPr>
        <w:t>Sustenabilitatea datoriei</w:t>
      </w:r>
      <w:bookmarkEnd w:id="63"/>
      <w:bookmarkEnd w:id="64"/>
      <w:bookmarkEnd w:id="65"/>
      <w:bookmarkEnd w:id="66"/>
      <w:bookmarkEnd w:id="67"/>
      <w:bookmarkEnd w:id="68"/>
    </w:p>
    <w:p w14:paraId="7710B05D" w14:textId="5D9ED1E3" w:rsidR="005A167C" w:rsidRPr="00E857AB" w:rsidRDefault="005A167C" w:rsidP="00627B51">
      <w:pPr>
        <w:rPr>
          <w:noProof/>
        </w:rPr>
      </w:pPr>
      <w:bookmarkStart w:id="69" w:name="_Toc197935749"/>
      <w:r>
        <w:rPr>
          <w:noProof/>
        </w:rPr>
        <w:t>Comisia este de acord că „sustenabilitatea datoriei Uniunii trebuie luată în considerare în toate deciziile bugetare viitoare”</w:t>
      </w:r>
      <w:r>
        <w:rPr>
          <w:rStyle w:val="FootnoteReference"/>
          <w:rFonts w:ascii="Times New Roman" w:hAnsi="Times New Roman" w:cs="Times New Roman"/>
          <w:iCs/>
          <w:noProof/>
          <w:szCs w:val="24"/>
        </w:rPr>
        <w:footnoteReference w:id="20"/>
      </w:r>
      <w:r>
        <w:rPr>
          <w:noProof/>
        </w:rPr>
        <w:t>. Calendarul rambursării datoriei aferente sprijinului nerambursabil acordat în cadrul NextGenerationEU se încheie în 2058, oferind Uniunii un orizont extins pentru gestionarea rambursărilor fără a provoca perturbări semnificative sau a compromite stabilitatea financiară. În temeiul</w:t>
      </w:r>
      <w:r>
        <w:rPr>
          <w:rFonts w:ascii="Calibri" w:hAnsi="Calibri"/>
          <w:noProof/>
        </w:rPr>
        <w:t xml:space="preserve"> </w:t>
      </w:r>
      <w:r>
        <w:rPr>
          <w:noProof/>
        </w:rPr>
        <w:t>articolului 256 din Regulamentul financiar, Comisia publică un raport anual în care evaluează sustenabilitatea datoriilor contingente și marja de manevră a bugetului UE, sprijinind monitorizarea sustenabilității bugetare.</w:t>
      </w:r>
    </w:p>
    <w:p w14:paraId="12CD2FA9" w14:textId="464F9CA2" w:rsidR="005A167C" w:rsidRPr="0074029F" w:rsidRDefault="005A167C" w:rsidP="005A167C">
      <w:pPr>
        <w:rPr>
          <w:noProof/>
        </w:rPr>
      </w:pPr>
      <w:r>
        <w:rPr>
          <w:noProof/>
        </w:rPr>
        <w:t>Comisia salută aprobarea de către Parlament a propunerilor sale privind noile resurse proprii și este de acord că „dezvoltarea unor resurse proprii cu adevărat noi este esențială pentru a preveni situația în care costurile cu serviciul datoriei fac să se renunțe la priorități în viitoarele cadre financiare multianuale”</w:t>
      </w:r>
      <w:r>
        <w:rPr>
          <w:rStyle w:val="FootnoteReference"/>
          <w:rFonts w:ascii="Times New Roman" w:hAnsi="Times New Roman" w:cs="Times New Roman"/>
          <w:iCs/>
          <w:noProof/>
          <w:szCs w:val="24"/>
        </w:rPr>
        <w:footnoteReference w:id="21"/>
      </w:r>
      <w:r>
        <w:rPr>
          <w:noProof/>
        </w:rPr>
        <w:t>. Introducerea de noi resurse proprii necesită voință politică și angajamentul tuturor părților. Propunerile Comisiei includ o sumă anuală fixă pentru serviciul datoriei. Rambursarea în cadrul NextGenerationEU va fi menținută sub plafoanele cadrului financiar. Riscul aferent ratei dobânzii va fi foarte limitat începând din 2028, întrucât după 2026 nu va mai exista nicio emisiune netă nouă, iar cuantumul anual fix al serviciului datoriei asigură o predictibilitate deplină.</w:t>
      </w:r>
    </w:p>
    <w:p w14:paraId="64AA0EB4" w14:textId="638AFBC1" w:rsidR="005A167C" w:rsidRPr="00E857AB" w:rsidRDefault="00E96D17" w:rsidP="009F5642">
      <w:pPr>
        <w:pStyle w:val="Headingfollowupreport"/>
        <w:numPr>
          <w:ilvl w:val="0"/>
          <w:numId w:val="6"/>
        </w:numPr>
        <w:rPr>
          <w:noProof/>
        </w:rPr>
      </w:pPr>
      <w:bookmarkStart w:id="70" w:name="_Toc197935751"/>
      <w:bookmarkStart w:id="71" w:name="_Toc51910756"/>
      <w:bookmarkStart w:id="72" w:name="_Toc2075650911"/>
      <w:bookmarkStart w:id="73" w:name="_Toc1197455354"/>
      <w:bookmarkStart w:id="74" w:name="_Toc1712579953"/>
      <w:bookmarkStart w:id="75" w:name="_Toc1307389539"/>
      <w:bookmarkEnd w:id="69"/>
      <w:r>
        <w:rPr>
          <w:noProof/>
        </w:rPr>
        <w:t xml:space="preserve"> </w:t>
      </w:r>
      <w:bookmarkStart w:id="76" w:name="_Toc235091497"/>
      <w:r>
        <w:rPr>
          <w:noProof/>
        </w:rPr>
        <w:t>Perspective</w:t>
      </w:r>
      <w:bookmarkEnd w:id="70"/>
      <w:bookmarkEnd w:id="71"/>
      <w:bookmarkEnd w:id="72"/>
      <w:bookmarkEnd w:id="73"/>
      <w:bookmarkEnd w:id="74"/>
      <w:bookmarkEnd w:id="75"/>
      <w:bookmarkEnd w:id="76"/>
    </w:p>
    <w:p w14:paraId="6B0304F3" w14:textId="33FDFFA6" w:rsidR="005A167C" w:rsidRPr="00E857AB" w:rsidRDefault="005A167C" w:rsidP="00627B51">
      <w:pPr>
        <w:rPr>
          <w:noProof/>
        </w:rPr>
      </w:pPr>
      <w:r>
        <w:rPr>
          <w:noProof/>
        </w:rPr>
        <w:t>În iulie 2025, Comisia și-a prezentat propunerea privind un CFM pentru perioada 2028-2034 ambițios, flexibil și orientat spre viitor. Propunerea se bazează pe punctele forte și pe principiile fundamentale ale cadrului actual, precum și pe învățămintele desprinse din acesta, făcându-l, în același timp, mai simplu, mai flexibil și conferindu-i un impact mai mare</w:t>
      </w:r>
      <w:r>
        <w:rPr>
          <w:rStyle w:val="FootnoteReference"/>
          <w:rFonts w:ascii="Times New Roman" w:hAnsi="Times New Roman" w:cs="Times New Roman"/>
          <w:noProof/>
          <w:szCs w:val="24"/>
        </w:rPr>
        <w:footnoteReference w:id="22"/>
      </w:r>
      <w:r>
        <w:rPr>
          <w:noProof/>
        </w:rPr>
        <w:t>, și ține seama de recomandările Parlamentului, ale Consiliului și ale CCE în contextul descărcării de gestiune.</w:t>
      </w:r>
    </w:p>
    <w:p w14:paraId="0D1846BF" w14:textId="270A795C" w:rsidR="005A167C" w:rsidRPr="0074029F" w:rsidRDefault="005A167C" w:rsidP="005A167C">
      <w:pPr>
        <w:rPr>
          <w:noProof/>
        </w:rPr>
      </w:pPr>
      <w:r>
        <w:rPr>
          <w:noProof/>
        </w:rPr>
        <w:t>Guvernanța solidă, transparența și supravegherea politică fermă sunt principii care se regăsesc în fiecare parte a acestor propuneri. Comisia colaborează îndeaproape cu Parlamentul și cu Consiliul pentru a ajunge la un acord ambițios, echilibrat și rapid cu privire la</w:t>
      </w:r>
      <w:r>
        <w:rPr>
          <w:rFonts w:ascii="Calibri" w:hAnsi="Calibri"/>
          <w:noProof/>
        </w:rPr>
        <w:t xml:space="preserve"> </w:t>
      </w:r>
      <w:r>
        <w:rPr>
          <w:noProof/>
        </w:rPr>
        <w:t>următorul CFM și la programele sectoriale.</w:t>
      </w:r>
    </w:p>
    <w:bookmarkEnd w:id="1"/>
    <w:p w14:paraId="7D4F6C3C" w14:textId="0E0B78F3" w:rsidR="005A167C" w:rsidRPr="0074029F" w:rsidRDefault="005A167C" w:rsidP="00E42C78">
      <w:pPr>
        <w:pStyle w:val="ListParagraph"/>
        <w:rPr>
          <w:rFonts w:cs="Times New Roman"/>
          <w:noProof/>
        </w:rPr>
      </w:pPr>
      <w:r>
        <w:rPr>
          <w:noProof/>
        </w:rPr>
        <w:t>* * *</w:t>
      </w:r>
    </w:p>
    <w:sectPr w:rsidR="005A167C" w:rsidRPr="0074029F" w:rsidSect="005B45D3">
      <w:headerReference w:type="default" r:id="rId28"/>
      <w:footerReference w:type="default" r:id="rId29"/>
      <w:pgSz w:w="11906" w:h="16838"/>
      <w:pgMar w:top="1440" w:right="1440" w:bottom="1440" w:left="1440" w:header="708" w:footer="708"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32F2D6" w14:textId="77777777" w:rsidR="00A33807" w:rsidRPr="00697B5F" w:rsidRDefault="00A33807" w:rsidP="00E42C78">
      <w:r>
        <w:separator/>
      </w:r>
    </w:p>
  </w:endnote>
  <w:endnote w:type="continuationSeparator" w:id="0">
    <w:p w14:paraId="3BDC0209" w14:textId="77777777" w:rsidR="00A33807" w:rsidRPr="00697B5F" w:rsidRDefault="00A33807" w:rsidP="00E42C78">
      <w:r>
        <w:continuationSeparator/>
      </w:r>
    </w:p>
  </w:endnote>
  <w:endnote w:type="continuationNotice" w:id="1">
    <w:p w14:paraId="73108ED4" w14:textId="77777777" w:rsidR="00A33807" w:rsidRPr="00697B5F" w:rsidRDefault="00A33807" w:rsidP="00E42C7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EC Square Sans Pro">
    <w:altName w:val="Bahnschrift Light"/>
    <w:charset w:val="00"/>
    <w:family w:val="swiss"/>
    <w:pitch w:val="variable"/>
    <w:sig w:usb0="00000001" w:usb1="00000001"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EB6995" w14:textId="1A4D5D34" w:rsidR="00065D2D" w:rsidRPr="00065D2D" w:rsidRDefault="00065D2D" w:rsidP="00065D2D">
    <w:pPr>
      <w:pStyle w:val="FooterCoverPage"/>
      <w:rPr>
        <w:rFonts w:ascii="Arial" w:hAnsi="Arial" w:cs="Arial"/>
        <w:b/>
        <w:sz w:val="48"/>
      </w:rPr>
    </w:pPr>
    <w:r w:rsidRPr="00065D2D">
      <w:rPr>
        <w:rFonts w:ascii="Arial" w:hAnsi="Arial" w:cs="Arial"/>
        <w:b/>
        <w:sz w:val="48"/>
      </w:rPr>
      <w:t>RO</w:t>
    </w:r>
    <w:r w:rsidRPr="00065D2D">
      <w:rPr>
        <w:rFonts w:ascii="Arial" w:hAnsi="Arial" w:cs="Arial"/>
        <w:b/>
        <w:sz w:val="48"/>
      </w:rPr>
      <w:tab/>
    </w:r>
    <w:r w:rsidRPr="00065D2D">
      <w:rPr>
        <w:rFonts w:ascii="Arial" w:hAnsi="Arial" w:cs="Arial"/>
        <w:b/>
        <w:sz w:val="48"/>
      </w:rPr>
      <w:tab/>
    </w:r>
    <w:r w:rsidRPr="00065D2D">
      <w:tab/>
    </w:r>
    <w:r w:rsidRPr="00065D2D">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1304FE" w14:textId="232776EE" w:rsidR="00065D2D" w:rsidRPr="00065D2D" w:rsidRDefault="00065D2D" w:rsidP="00065D2D">
    <w:pPr>
      <w:pStyle w:val="FooterCoverPage"/>
      <w:rPr>
        <w:rFonts w:ascii="Arial" w:hAnsi="Arial" w:cs="Arial"/>
        <w:b/>
        <w:sz w:val="48"/>
      </w:rPr>
    </w:pPr>
    <w:r w:rsidRPr="00065D2D">
      <w:rPr>
        <w:rFonts w:ascii="Arial" w:hAnsi="Arial" w:cs="Arial"/>
        <w:b/>
        <w:sz w:val="48"/>
      </w:rPr>
      <w:t>RO</w:t>
    </w:r>
    <w:r w:rsidRPr="00065D2D">
      <w:rPr>
        <w:rFonts w:ascii="Arial" w:hAnsi="Arial" w:cs="Arial"/>
        <w:b/>
        <w:sz w:val="48"/>
      </w:rPr>
      <w:tab/>
    </w:r>
    <w:r w:rsidRPr="00065D2D">
      <w:rPr>
        <w:rFonts w:ascii="Arial" w:hAnsi="Arial" w:cs="Arial"/>
        <w:b/>
        <w:sz w:val="48"/>
      </w:rPr>
      <w:tab/>
    </w:r>
    <w:r w:rsidRPr="00065D2D">
      <w:tab/>
    </w:r>
    <w:r w:rsidRPr="00065D2D">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F27609" w14:textId="77777777" w:rsidR="00065D2D" w:rsidRPr="00065D2D" w:rsidRDefault="00065D2D" w:rsidP="00065D2D">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ED4FF6" w14:textId="77777777" w:rsidR="00561DAE" w:rsidRPr="00697B5F" w:rsidRDefault="00561DAE" w:rsidP="005B45D3">
    <w:pPr>
      <w:pStyle w:val="FooterCoverPage"/>
    </w:pPr>
    <w:r>
      <w:t>RO</w:t>
    </w:r>
    <w:r>
      <w:tab/>
    </w:r>
    <w:r>
      <w:tab/>
    </w:r>
    <w:r>
      <w:tab/>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F3089C" w14:textId="77777777" w:rsidR="00561DAE" w:rsidRPr="00697B5F" w:rsidRDefault="00561DAE" w:rsidP="005B45D3">
    <w:pPr>
      <w:pStyle w:val="FooterCoverPage"/>
    </w:pPr>
    <w:r>
      <w:t>RO</w:t>
    </w:r>
    <w:r>
      <w:tab/>
    </w:r>
    <w:r>
      <w:tab/>
    </w:r>
    <w:r>
      <w:tab/>
      <w:t>RO</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CE7C9B" w14:textId="77777777" w:rsidR="00561DAE" w:rsidRPr="00697B5F" w:rsidRDefault="00561DAE" w:rsidP="005B45D3">
    <w:pPr>
      <w:pStyle w:val="FooterCoverPage"/>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1756BB" w14:textId="77777777" w:rsidR="00561DAE" w:rsidRPr="00697B5F" w:rsidRDefault="00561DAE" w:rsidP="005B45D3">
    <w:pPr>
      <w:pStyle w:val="FooterCoverPage"/>
    </w:pPr>
    <w:r>
      <w:t>RO</w:t>
    </w:r>
    <w:r>
      <w:tab/>
    </w:r>
    <w:r>
      <w:tab/>
    </w:r>
    <w:r>
      <w:tab/>
      <w:t>RO</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48A63E" w14:textId="77777777" w:rsidR="00A33807" w:rsidRPr="00697B5F" w:rsidRDefault="00A33807" w:rsidP="00E42C78">
      <w:r>
        <w:separator/>
      </w:r>
    </w:p>
  </w:footnote>
  <w:footnote w:type="continuationSeparator" w:id="0">
    <w:p w14:paraId="56EB38E8" w14:textId="77777777" w:rsidR="00A33807" w:rsidRPr="00697B5F" w:rsidRDefault="00A33807" w:rsidP="00E42C78">
      <w:r>
        <w:continuationSeparator/>
      </w:r>
    </w:p>
  </w:footnote>
  <w:footnote w:type="continuationNotice" w:id="1">
    <w:p w14:paraId="3CC48A54" w14:textId="77777777" w:rsidR="00A33807" w:rsidRPr="00697B5F" w:rsidRDefault="00A33807" w:rsidP="00E42C78"/>
  </w:footnote>
  <w:footnote w:id="2">
    <w:p w14:paraId="777C1CF1" w14:textId="7F8672A5" w:rsidR="005A167C" w:rsidRPr="0074029F" w:rsidRDefault="005A167C" w:rsidP="7F87AC9D">
      <w:pPr>
        <w:pStyle w:val="FootnoteText"/>
        <w:rPr>
          <w:rStyle w:val="Hyperlink"/>
        </w:rPr>
      </w:pPr>
      <w:r>
        <w:rPr>
          <w:rStyle w:val="Hyperlink"/>
        </w:rPr>
        <w:footnoteRef/>
      </w:r>
      <w:r>
        <w:rPr>
          <w:rStyle w:val="Hyperlink"/>
        </w:rPr>
        <w:t xml:space="preserve"> </w:t>
      </w:r>
      <w:hyperlink r:id="rId1" w:anchor="title1">
        <w:r>
          <w:rPr>
            <w:rStyle w:val="Hyperlink"/>
          </w:rPr>
          <w:t>Decizia Parlamentului European din 29 aprilie 2026 privind descărcarea de gestiune pentru execuția bugetului general al Uniunii Europene aferent exercițiului financiar 2024, secțiunea III – Comisia, agențiile executive și cel de al nouălea, al zecelea și al unsprezecelea Fond european de dezvoltare – 2025/2145(DEC)</w:t>
        </w:r>
      </w:hyperlink>
      <w:r>
        <w:rPr>
          <w:rStyle w:val="Hyperlink"/>
        </w:rPr>
        <w:t>.</w:t>
      </w:r>
    </w:p>
  </w:footnote>
  <w:footnote w:id="3">
    <w:p w14:paraId="6F6F3F09" w14:textId="1E63367E" w:rsidR="005A167C" w:rsidRPr="0074029F" w:rsidRDefault="005A167C" w:rsidP="005A167C">
      <w:pPr>
        <w:pStyle w:val="FootnoteText"/>
        <w:rPr>
          <w:rStyle w:val="Hyperlink"/>
        </w:rPr>
      </w:pPr>
      <w:r>
        <w:rPr>
          <w:rStyle w:val="Hyperlink"/>
        </w:rPr>
        <w:footnoteRef/>
      </w:r>
      <w:r>
        <w:rPr>
          <w:rStyle w:val="Hyperlink"/>
        </w:rPr>
        <w:t xml:space="preserve"> </w:t>
      </w:r>
      <w:hyperlink r:id="rId2">
        <w:r>
          <w:rPr>
            <w:rStyle w:val="Hyperlink"/>
          </w:rPr>
          <w:t>Recomandarea Consiliului privind descărcarea de gestiune acordată Comisiei în ceea ce privește execuția bugetului general al Uniunii Europene pentru exercițiul financiar 2024 (5749/26)</w:t>
        </w:r>
      </w:hyperlink>
      <w:r>
        <w:rPr>
          <w:rStyle w:val="Hyperlink"/>
        </w:rPr>
        <w:t>.</w:t>
      </w:r>
    </w:p>
  </w:footnote>
  <w:footnote w:id="4">
    <w:p w14:paraId="19D23548" w14:textId="6C97FA35" w:rsidR="005A167C" w:rsidRPr="00697B5F" w:rsidRDefault="005A167C" w:rsidP="005A167C">
      <w:pPr>
        <w:pStyle w:val="FootnoteText"/>
      </w:pPr>
      <w:r>
        <w:rPr>
          <w:rStyle w:val="Hyperlink"/>
        </w:rPr>
        <w:footnoteRef/>
      </w:r>
      <w:r>
        <w:rPr>
          <w:rStyle w:val="Hyperlink"/>
        </w:rPr>
        <w:t xml:space="preserve"> </w:t>
      </w:r>
      <w:hyperlink r:id="rId3">
        <w:r>
          <w:rPr>
            <w:rStyle w:val="Hyperlink"/>
          </w:rPr>
          <w:t>Raport al Comisiei către Parlamentul European, Consiliu și Curtea de Conturi – Raport anual privind gestionarea și performanța bugetului UE – exercițiul financiar 2024, COM(2025) 824 din 17.6.2025</w:t>
        </w:r>
      </w:hyperlink>
      <w:r>
        <w:rPr>
          <w:rStyle w:val="Hyperlink"/>
        </w:rPr>
        <w:t>.</w:t>
      </w:r>
    </w:p>
  </w:footnote>
  <w:footnote w:id="5">
    <w:p w14:paraId="3052CC1F" w14:textId="6BD91FAB" w:rsidR="005A167C" w:rsidRPr="0074029F" w:rsidRDefault="005A167C" w:rsidP="005A167C">
      <w:pPr>
        <w:pStyle w:val="FootnoteText"/>
      </w:pPr>
      <w:r>
        <w:rPr>
          <w:rStyle w:val="FootnoteReference"/>
          <w:vertAlign w:val="baseline"/>
        </w:rPr>
        <w:footnoteRef/>
      </w:r>
      <w:r>
        <w:t xml:space="preserve"> A se vedea punctul 17 – 2025/2145(DEC).</w:t>
      </w:r>
    </w:p>
  </w:footnote>
  <w:footnote w:id="6">
    <w:p w14:paraId="736D873E" w14:textId="196C2272" w:rsidR="005A167C" w:rsidRPr="0074029F" w:rsidRDefault="005A167C" w:rsidP="005A167C">
      <w:pPr>
        <w:pStyle w:val="FootnoteText"/>
      </w:pPr>
      <w:r>
        <w:rPr>
          <w:rStyle w:val="FootnoteReference"/>
          <w:vertAlign w:val="baseline"/>
        </w:rPr>
        <w:footnoteRef/>
      </w:r>
      <w:r>
        <w:t xml:space="preserve"> A se vedea punctul 13 – 2025/2145(DEC).</w:t>
      </w:r>
    </w:p>
  </w:footnote>
  <w:footnote w:id="7">
    <w:p w14:paraId="4BEA4863" w14:textId="21CEE749" w:rsidR="005A167C" w:rsidRPr="00697B5F" w:rsidRDefault="005A167C" w:rsidP="005A167C">
      <w:pPr>
        <w:pStyle w:val="FootnoteText"/>
      </w:pPr>
      <w:r>
        <w:rPr>
          <w:rStyle w:val="FootnoteReference"/>
          <w:vertAlign w:val="baseline"/>
        </w:rPr>
        <w:footnoteRef/>
      </w:r>
      <w:r>
        <w:t xml:space="preserve"> Ibidem.</w:t>
      </w:r>
    </w:p>
  </w:footnote>
  <w:footnote w:id="8">
    <w:p w14:paraId="75E7E956" w14:textId="0B8FC5C1" w:rsidR="005A167C" w:rsidRPr="0074029F" w:rsidRDefault="005A167C" w:rsidP="005A167C">
      <w:pPr>
        <w:pStyle w:val="FootnoteText"/>
      </w:pPr>
      <w:r>
        <w:rPr>
          <w:rStyle w:val="FootnoteReference"/>
          <w:vertAlign w:val="baseline"/>
        </w:rPr>
        <w:footnoteRef/>
      </w:r>
      <w:r>
        <w:t xml:space="preserve"> A se vedea punctul 161 subpunctul (xxii) – 2025/2145(DEC).</w:t>
      </w:r>
    </w:p>
  </w:footnote>
  <w:footnote w:id="9">
    <w:p w14:paraId="5CEF6D3E" w14:textId="709945D8" w:rsidR="005A167C" w:rsidRPr="00A03179" w:rsidRDefault="005A167C" w:rsidP="005A167C">
      <w:pPr>
        <w:pStyle w:val="FootnoteText"/>
      </w:pPr>
      <w:r>
        <w:rPr>
          <w:rStyle w:val="FootnoteReference"/>
          <w:vertAlign w:val="baseline"/>
        </w:rPr>
        <w:footnoteRef/>
      </w:r>
      <w:r>
        <w:t xml:space="preserve"> A se vedea punctul 21 subpunctul (v) – 2025/2145(DEC).</w:t>
      </w:r>
    </w:p>
  </w:footnote>
  <w:footnote w:id="10">
    <w:p w14:paraId="683EDE07" w14:textId="0A648844" w:rsidR="005A167C" w:rsidRPr="0074029F" w:rsidRDefault="005A167C" w:rsidP="005A167C">
      <w:pPr>
        <w:pStyle w:val="FootnoteText"/>
      </w:pPr>
      <w:r>
        <w:rPr>
          <w:rStyle w:val="FootnoteReference"/>
          <w:vertAlign w:val="baseline"/>
        </w:rPr>
        <w:footnoteRef/>
      </w:r>
      <w:r>
        <w:t xml:space="preserve"> A se vedea punctul 55 – 2025/2145(DEC).</w:t>
      </w:r>
    </w:p>
  </w:footnote>
  <w:footnote w:id="11">
    <w:p w14:paraId="4ED8B212" w14:textId="4DCC4C2E" w:rsidR="005A167C" w:rsidRPr="00CE4343" w:rsidRDefault="005A167C" w:rsidP="005A167C">
      <w:pPr>
        <w:pStyle w:val="FootnoteText"/>
      </w:pPr>
      <w:r>
        <w:rPr>
          <w:rStyle w:val="FootnoteReference"/>
          <w:vertAlign w:val="baseline"/>
        </w:rPr>
        <w:footnoteRef/>
      </w:r>
      <w:r>
        <w:t xml:space="preserve"> A se vedea punctul 51 – 2025/2145(DEC).</w:t>
      </w:r>
    </w:p>
  </w:footnote>
  <w:footnote w:id="12">
    <w:p w14:paraId="6A343C38" w14:textId="15D5A151" w:rsidR="005A167C" w:rsidRPr="00CE4343" w:rsidRDefault="005A167C" w:rsidP="005A167C">
      <w:pPr>
        <w:pStyle w:val="FootnoteText"/>
      </w:pPr>
      <w:r>
        <w:rPr>
          <w:rStyle w:val="FootnoteReference"/>
          <w:vertAlign w:val="baseline"/>
        </w:rPr>
        <w:footnoteRef/>
      </w:r>
      <w:r>
        <w:t xml:space="preserve"> Directiva (UE) 2017/1371.</w:t>
      </w:r>
    </w:p>
  </w:footnote>
  <w:footnote w:id="13">
    <w:p w14:paraId="70F72ED2" w14:textId="77777777" w:rsidR="005A167C" w:rsidRPr="0074029F" w:rsidRDefault="005A167C" w:rsidP="005A167C">
      <w:pPr>
        <w:pStyle w:val="FootnoteText"/>
      </w:pPr>
      <w:r>
        <w:rPr>
          <w:rStyle w:val="FootnoteReference"/>
          <w:vertAlign w:val="baseline"/>
        </w:rPr>
        <w:footnoteRef/>
      </w:r>
      <w:r>
        <w:t xml:space="preserve"> A se vedea punctul 11.4 din Recomandarea Consiliului privind descărcarea de gestiune.</w:t>
      </w:r>
    </w:p>
  </w:footnote>
  <w:footnote w:id="14">
    <w:p w14:paraId="21EE0D8F" w14:textId="77777777" w:rsidR="002B0E7E" w:rsidRPr="0074029F" w:rsidRDefault="002B0E7E" w:rsidP="002B0E7E">
      <w:pPr>
        <w:pStyle w:val="FootnoteText"/>
      </w:pPr>
      <w:r>
        <w:rPr>
          <w:rStyle w:val="FootnoteReference"/>
          <w:vertAlign w:val="baseline"/>
        </w:rPr>
        <w:footnoteRef/>
      </w:r>
      <w:r>
        <w:t xml:space="preserve"> A se vedea punctul 161 subpunctul (xxi) – 2025/2145(DEC).</w:t>
      </w:r>
    </w:p>
  </w:footnote>
  <w:footnote w:id="15">
    <w:p w14:paraId="55CC1F81" w14:textId="3F9A5D0B" w:rsidR="005A167C" w:rsidRPr="0074029F" w:rsidRDefault="005A167C" w:rsidP="005A167C">
      <w:pPr>
        <w:pStyle w:val="FootnoteText"/>
      </w:pPr>
      <w:r>
        <w:rPr>
          <w:rStyle w:val="FootnoteReference"/>
          <w:vertAlign w:val="baseline"/>
        </w:rPr>
        <w:footnoteRef/>
      </w:r>
      <w:r>
        <w:t xml:space="preserve"> A se vedea punctul 278 – 2025/2145(DEC).</w:t>
      </w:r>
    </w:p>
  </w:footnote>
  <w:footnote w:id="16">
    <w:p w14:paraId="12E18363" w14:textId="591BA52C" w:rsidR="005A167C" w:rsidRPr="00A66B36" w:rsidRDefault="005A167C" w:rsidP="005A167C">
      <w:pPr>
        <w:pStyle w:val="FootnoteText"/>
      </w:pPr>
      <w:r>
        <w:rPr>
          <w:rStyle w:val="FootnoteReference"/>
          <w:vertAlign w:val="baseline"/>
        </w:rPr>
        <w:footnoteRef/>
      </w:r>
      <w:r>
        <w:t xml:space="preserve"> A se vedea punctul 6 – 2025/2145(DEC).</w:t>
      </w:r>
    </w:p>
  </w:footnote>
  <w:footnote w:id="17">
    <w:p w14:paraId="5D7FBBEE" w14:textId="43972872" w:rsidR="006867B7" w:rsidRPr="0074029F" w:rsidRDefault="006867B7">
      <w:pPr>
        <w:pStyle w:val="FootnoteText"/>
      </w:pPr>
      <w:r>
        <w:rPr>
          <w:rStyle w:val="FootnoteReference"/>
          <w:vertAlign w:val="baseline"/>
        </w:rPr>
        <w:footnoteRef/>
      </w:r>
      <w:r>
        <w:t xml:space="preserve"> Articolul</w:t>
      </w:r>
      <w:r>
        <w:rPr>
          <w:rFonts w:ascii="Calibri" w:hAnsi="Calibri"/>
        </w:rPr>
        <w:t xml:space="preserve"> </w:t>
      </w:r>
      <w:r>
        <w:t>12 - COM/2025/545 final.</w:t>
      </w:r>
    </w:p>
  </w:footnote>
  <w:footnote w:id="18">
    <w:p w14:paraId="4AF6BC0B" w14:textId="6578F409" w:rsidR="000929A6" w:rsidRPr="00697B5F" w:rsidRDefault="000929A6">
      <w:pPr>
        <w:pStyle w:val="FootnoteText"/>
      </w:pPr>
      <w:r>
        <w:rPr>
          <w:rStyle w:val="FootnoteReference"/>
          <w:vertAlign w:val="baseline"/>
        </w:rPr>
        <w:footnoteRef/>
      </w:r>
      <w:r>
        <w:t xml:space="preserve"> Articolele 63</w:t>
      </w:r>
      <w:r>
        <w:rPr>
          <w:rFonts w:ascii="Calibri" w:hAnsi="Calibri"/>
        </w:rPr>
        <w:t xml:space="preserve"> </w:t>
      </w:r>
      <w:r>
        <w:t>și 64 – COM/2025/565 final.</w:t>
      </w:r>
    </w:p>
  </w:footnote>
  <w:footnote w:id="19">
    <w:p w14:paraId="321D21C6" w14:textId="4107FFFE" w:rsidR="00C33EBA" w:rsidRDefault="00C33EBA">
      <w:pPr>
        <w:pStyle w:val="FootnoteText"/>
      </w:pPr>
      <w:r>
        <w:rPr>
          <w:rStyle w:val="FootnoteReference"/>
          <w:vertAlign w:val="baseline"/>
        </w:rPr>
        <w:footnoteRef/>
      </w:r>
      <w:r>
        <w:t xml:space="preserve"> Decizia Comisiei din 12.12.2023, C(2023)8630.</w:t>
      </w:r>
    </w:p>
  </w:footnote>
  <w:footnote w:id="20">
    <w:p w14:paraId="707A398A" w14:textId="3E2FA0B4" w:rsidR="005A167C" w:rsidRPr="0074029F" w:rsidRDefault="005A167C" w:rsidP="005A167C">
      <w:pPr>
        <w:pStyle w:val="FootnoteText"/>
      </w:pPr>
      <w:r>
        <w:rPr>
          <w:rStyle w:val="FootnoteReference"/>
          <w:vertAlign w:val="baseline"/>
        </w:rPr>
        <w:footnoteRef/>
      </w:r>
      <w:r>
        <w:t xml:space="preserve"> A se vedea punctul 7 – 2025/2145(DEC).</w:t>
      </w:r>
    </w:p>
  </w:footnote>
  <w:footnote w:id="21">
    <w:p w14:paraId="1BFE5567" w14:textId="2112A679" w:rsidR="005A167C" w:rsidRPr="0074029F" w:rsidRDefault="005A167C" w:rsidP="005A167C">
      <w:pPr>
        <w:pStyle w:val="FootnoteText"/>
      </w:pPr>
      <w:r>
        <w:rPr>
          <w:rStyle w:val="FootnoteReference"/>
          <w:vertAlign w:val="baseline"/>
        </w:rPr>
        <w:footnoteRef/>
      </w:r>
      <w:r>
        <w:t xml:space="preserve"> A se vedea punctul 47 – 2025/2145(DEC).</w:t>
      </w:r>
    </w:p>
  </w:footnote>
  <w:footnote w:id="22">
    <w:p w14:paraId="071F040C" w14:textId="3D0E9F80" w:rsidR="005A167C" w:rsidRPr="00697B5F" w:rsidRDefault="005A167C" w:rsidP="005A167C">
      <w:pPr>
        <w:pStyle w:val="FootnoteText"/>
      </w:pPr>
      <w:r>
        <w:rPr>
          <w:rStyle w:val="FootnoteReference"/>
          <w:vertAlign w:val="baseline"/>
        </w:rPr>
        <w:footnoteRef/>
      </w:r>
      <w:r>
        <w:t xml:space="preserve"> A se vedea COM(2025) 570 final.</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2D491F" w14:textId="77777777" w:rsidR="00065D2D" w:rsidRPr="00065D2D" w:rsidRDefault="00065D2D" w:rsidP="00065D2D">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4324E9" w14:textId="77777777" w:rsidR="00065D2D" w:rsidRPr="00065D2D" w:rsidRDefault="00065D2D" w:rsidP="00065D2D">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687BAA" w14:textId="77777777" w:rsidR="00065D2D" w:rsidRPr="00065D2D" w:rsidRDefault="00065D2D" w:rsidP="00065D2D">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D61934" w14:textId="77777777" w:rsidR="00561DAE" w:rsidRPr="00697B5F" w:rsidRDefault="00561DAE" w:rsidP="005B45D3">
    <w:pPr>
      <w:pStyle w:val="HeaderCoverPage"/>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AD2D25" w14:textId="77777777" w:rsidR="00B1330B" w:rsidRPr="00697B5F" w:rsidRDefault="00B1330B" w:rsidP="00E42C7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2F4DDB" w14:textId="77777777" w:rsidR="00561DAE" w:rsidRPr="00697B5F" w:rsidRDefault="00561DAE" w:rsidP="005B45D3">
    <w:pPr>
      <w:pStyle w:val="HeaderCoverPage"/>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06F22B" w14:textId="059A6187" w:rsidR="003E1A5F" w:rsidRDefault="001B6B70">
    <w:pPr>
      <w:pStyle w:val="Header"/>
    </w:pPr>
    <w:r>
      <w:rPr>
        <w:noProof/>
        <w:lang w:val="en-GB" w:eastAsia="en-GB"/>
      </w:rPr>
      <mc:AlternateContent>
        <mc:Choice Requires="wps">
          <w:drawing>
            <wp:anchor distT="0" distB="0" distL="114300" distR="114300" simplePos="0" relativeHeight="251658240" behindDoc="0" locked="1" layoutInCell="1" allowOverlap="1" wp14:anchorId="6E854D0F" wp14:editId="0AEA38CE">
              <wp:simplePos x="0" y="0"/>
              <wp:positionH relativeFrom="page">
                <wp:posOffset>5080</wp:posOffset>
              </wp:positionH>
              <wp:positionV relativeFrom="page">
                <wp:posOffset>2540</wp:posOffset>
              </wp:positionV>
              <wp:extent cx="7620635" cy="212090"/>
              <wp:effectExtent l="0" t="0" r="0" b="0"/>
              <wp:wrapNone/>
              <wp:docPr id="1751978700" name="Rectangle 1751978700">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val="1"/>
                  </a:ext>
                </a:extLst>
              </wp:docPr>
              <wp:cNvGraphicFramePr/>
              <a:graphic xmlns:a="http://schemas.openxmlformats.org/drawingml/2006/main">
                <a:graphicData uri="http://schemas.microsoft.com/office/word/2010/wordprocessingShape">
                  <wps:wsp>
                    <wps:cNvSpPr/>
                    <wps:spPr>
                      <a:xfrm>
                        <a:off x="0" y="0"/>
                        <a:ext cx="7620635" cy="212090"/>
                      </a:xfrm>
                      <a:prstGeom prst="rect">
                        <a:avLst/>
                      </a:prstGeom>
                      <a:solidFill>
                        <a:srgbClr val="008139"/>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dec="http://schemas.microsoft.com/office/drawing/2017/decorative" xmlns:a="http://schemas.openxmlformats.org/drawingml/2006/main">
          <w:pict>
            <v:rect id="Rectangle 1751978700" style="position:absolute;margin-left:.4pt;margin-top:.2pt;width:600.05pt;height:16.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alt="&quot;&quot;" o:spid="_x0000_s1026" fillcolor="#008139" stroked="f"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" w14:anchorId="0A63FB04">
              <w10:wrap anchorx="page" anchory="page"/>
              <w10:anchorlock/>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A73F92"/>
    <w:multiLevelType w:val="hybridMultilevel"/>
    <w:tmpl w:val="2EBC586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3AA3899"/>
    <w:multiLevelType w:val="hybridMultilevel"/>
    <w:tmpl w:val="D1CCF5D2"/>
    <w:lvl w:ilvl="0" w:tplc="61964B8C">
      <w:start w:val="1"/>
      <w:numFmt w:val="lowerLetter"/>
      <w:lvlText w:val="%1."/>
      <w:lvlJc w:val="left"/>
      <w:pPr>
        <w:ind w:left="717" w:hanging="360"/>
      </w:pPr>
      <w:rPr>
        <w:rFonts w:hint="default"/>
      </w:rPr>
    </w:lvl>
    <w:lvl w:ilvl="1" w:tplc="08090019" w:tentative="1">
      <w:start w:val="1"/>
      <w:numFmt w:val="lowerLetter"/>
      <w:lvlText w:val="%2."/>
      <w:lvlJc w:val="left"/>
      <w:pPr>
        <w:ind w:left="1437" w:hanging="360"/>
      </w:pPr>
    </w:lvl>
    <w:lvl w:ilvl="2" w:tplc="0809001B" w:tentative="1">
      <w:start w:val="1"/>
      <w:numFmt w:val="lowerRoman"/>
      <w:lvlText w:val="%3."/>
      <w:lvlJc w:val="right"/>
      <w:pPr>
        <w:ind w:left="2157" w:hanging="180"/>
      </w:pPr>
    </w:lvl>
    <w:lvl w:ilvl="3" w:tplc="0809000F" w:tentative="1">
      <w:start w:val="1"/>
      <w:numFmt w:val="decimal"/>
      <w:lvlText w:val="%4."/>
      <w:lvlJc w:val="left"/>
      <w:pPr>
        <w:ind w:left="2877" w:hanging="360"/>
      </w:pPr>
    </w:lvl>
    <w:lvl w:ilvl="4" w:tplc="08090019" w:tentative="1">
      <w:start w:val="1"/>
      <w:numFmt w:val="lowerLetter"/>
      <w:lvlText w:val="%5."/>
      <w:lvlJc w:val="left"/>
      <w:pPr>
        <w:ind w:left="3597" w:hanging="360"/>
      </w:pPr>
    </w:lvl>
    <w:lvl w:ilvl="5" w:tplc="0809001B" w:tentative="1">
      <w:start w:val="1"/>
      <w:numFmt w:val="lowerRoman"/>
      <w:lvlText w:val="%6."/>
      <w:lvlJc w:val="right"/>
      <w:pPr>
        <w:ind w:left="4317" w:hanging="180"/>
      </w:pPr>
    </w:lvl>
    <w:lvl w:ilvl="6" w:tplc="0809000F" w:tentative="1">
      <w:start w:val="1"/>
      <w:numFmt w:val="decimal"/>
      <w:lvlText w:val="%7."/>
      <w:lvlJc w:val="left"/>
      <w:pPr>
        <w:ind w:left="5037" w:hanging="360"/>
      </w:pPr>
    </w:lvl>
    <w:lvl w:ilvl="7" w:tplc="08090019" w:tentative="1">
      <w:start w:val="1"/>
      <w:numFmt w:val="lowerLetter"/>
      <w:lvlText w:val="%8."/>
      <w:lvlJc w:val="left"/>
      <w:pPr>
        <w:ind w:left="5757" w:hanging="360"/>
      </w:pPr>
    </w:lvl>
    <w:lvl w:ilvl="8" w:tplc="0809001B" w:tentative="1">
      <w:start w:val="1"/>
      <w:numFmt w:val="lowerRoman"/>
      <w:lvlText w:val="%9."/>
      <w:lvlJc w:val="right"/>
      <w:pPr>
        <w:ind w:left="6477" w:hanging="180"/>
      </w:pPr>
    </w:lvl>
  </w:abstractNum>
  <w:abstractNum w:abstractNumId="2" w15:restartNumberingAfterBreak="0">
    <w:nsid w:val="34FB40CD"/>
    <w:multiLevelType w:val="multilevel"/>
    <w:tmpl w:val="17488A56"/>
    <w:lvl w:ilvl="0">
      <w:start w:val="1"/>
      <w:numFmt w:val="decimal"/>
      <w:lvlText w:val="%1."/>
      <w:lvlJc w:val="left"/>
      <w:pPr>
        <w:ind w:left="720" w:hanging="360"/>
      </w:pPr>
      <w:rPr>
        <w:rFonts w:hint="default"/>
      </w:rPr>
    </w:lvl>
    <w:lvl w:ilvl="1">
      <w:start w:val="1"/>
      <w:numFmt w:val="lowerLetter"/>
      <w:lvlText w:val="%2."/>
      <w:lvlJc w:val="left"/>
      <w:pPr>
        <w:ind w:left="284" w:hanging="284"/>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54764A07"/>
    <w:multiLevelType w:val="hybridMultilevel"/>
    <w:tmpl w:val="FFFFFFFF"/>
    <w:lvl w:ilvl="0" w:tplc="0CF42972">
      <w:start w:val="1"/>
      <w:numFmt w:val="lowerLetter"/>
      <w:lvlText w:val="%1."/>
      <w:lvlJc w:val="left"/>
      <w:pPr>
        <w:ind w:left="720" w:hanging="360"/>
      </w:pPr>
    </w:lvl>
    <w:lvl w:ilvl="1" w:tplc="800A8F7C">
      <w:start w:val="1"/>
      <w:numFmt w:val="lowerLetter"/>
      <w:lvlText w:val="%2."/>
      <w:lvlJc w:val="left"/>
      <w:pPr>
        <w:ind w:left="1440" w:hanging="360"/>
      </w:pPr>
    </w:lvl>
    <w:lvl w:ilvl="2" w:tplc="E94CAAB8">
      <w:start w:val="1"/>
      <w:numFmt w:val="lowerRoman"/>
      <w:lvlText w:val="%3."/>
      <w:lvlJc w:val="right"/>
      <w:pPr>
        <w:ind w:left="2160" w:hanging="180"/>
      </w:pPr>
    </w:lvl>
    <w:lvl w:ilvl="3" w:tplc="E2161084">
      <w:start w:val="1"/>
      <w:numFmt w:val="decimal"/>
      <w:lvlText w:val="%4."/>
      <w:lvlJc w:val="left"/>
      <w:pPr>
        <w:ind w:left="2880" w:hanging="360"/>
      </w:pPr>
    </w:lvl>
    <w:lvl w:ilvl="4" w:tplc="F3CC9DA2">
      <w:start w:val="1"/>
      <w:numFmt w:val="lowerLetter"/>
      <w:lvlText w:val="%5."/>
      <w:lvlJc w:val="left"/>
      <w:pPr>
        <w:ind w:left="3600" w:hanging="360"/>
      </w:pPr>
    </w:lvl>
    <w:lvl w:ilvl="5" w:tplc="DC4CF138">
      <w:start w:val="1"/>
      <w:numFmt w:val="lowerRoman"/>
      <w:lvlText w:val="%6."/>
      <w:lvlJc w:val="right"/>
      <w:pPr>
        <w:ind w:left="4320" w:hanging="180"/>
      </w:pPr>
    </w:lvl>
    <w:lvl w:ilvl="6" w:tplc="73B67156">
      <w:start w:val="1"/>
      <w:numFmt w:val="decimal"/>
      <w:lvlText w:val="%7."/>
      <w:lvlJc w:val="left"/>
      <w:pPr>
        <w:ind w:left="5040" w:hanging="360"/>
      </w:pPr>
    </w:lvl>
    <w:lvl w:ilvl="7" w:tplc="927645AE">
      <w:start w:val="1"/>
      <w:numFmt w:val="lowerLetter"/>
      <w:lvlText w:val="%8."/>
      <w:lvlJc w:val="left"/>
      <w:pPr>
        <w:ind w:left="5760" w:hanging="360"/>
      </w:pPr>
    </w:lvl>
    <w:lvl w:ilvl="8" w:tplc="92EE256A">
      <w:start w:val="1"/>
      <w:numFmt w:val="lowerRoman"/>
      <w:lvlText w:val="%9."/>
      <w:lvlJc w:val="right"/>
      <w:pPr>
        <w:ind w:left="6480" w:hanging="180"/>
      </w:pPr>
    </w:lvl>
  </w:abstractNum>
  <w:abstractNum w:abstractNumId="4" w15:restartNumberingAfterBreak="0">
    <w:nsid w:val="69D84A16"/>
    <w:multiLevelType w:val="hybridMultilevel"/>
    <w:tmpl w:val="C586505E"/>
    <w:lvl w:ilvl="0" w:tplc="0809000F">
      <w:start w:val="1"/>
      <w:numFmt w:val="decimal"/>
      <w:lvlText w:val="%1."/>
      <w:lvlJc w:val="left"/>
      <w:pPr>
        <w:ind w:left="1077" w:hanging="360"/>
      </w:pPr>
    </w:lvl>
    <w:lvl w:ilvl="1" w:tplc="08090019">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5" w15:restartNumberingAfterBreak="0">
    <w:nsid w:val="72D53010"/>
    <w:multiLevelType w:val="hybridMultilevel"/>
    <w:tmpl w:val="B64CFBF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3"/>
  </w:num>
  <w:num w:numId="3">
    <w:abstractNumId w:val="4"/>
  </w:num>
  <w:num w:numId="4">
    <w:abstractNumId w:val="1"/>
  </w:num>
  <w:num w:numId="5">
    <w:abstractNumId w:val="0"/>
  </w:num>
  <w:num w:numId="6">
    <w:abstractNumId w:val="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28B1A6C0-86BC-41B3-9D48-9BC194E8EE28"/>
    <w:docVar w:name="LW_COVERPAGE_TYPE" w:val="1"/>
    <w:docVar w:name="LW_CROSSREFERENCE" w:val="&lt;UNUSED&gt;"/>
    <w:docVar w:name="LW_DocType" w:val="NORMAL"/>
    <w:docVar w:name="LW_EMISSION" w:val="25.6.2026"/>
    <w:docVar w:name="LW_EMISSION_ISODATE" w:val="2026-06-25"/>
    <w:docVar w:name="LW_EMISSION_LOCATION" w:val="BRX"/>
    <w:docVar w:name="LW_EMISSION_PREFIX" w:val="Bruxelles, "/>
    <w:docVar w:name="LW_EMISSION_SUFFIX" w:val=" "/>
    <w:docVar w:name="LW_ID_DOCTYPE_NONLW" w:val="CP-006"/>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6) 344"/>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privind ac\u539?iunile întreprinse în urma desc\u259?rc\u259?rii de gestiune pentru exerci\u539?iul financiar 2024&lt;/FMT&gt;"/>
    <w:docVar w:name="LW_TYPE.DOC.CP" w:val="RAPORT AL COMISIEI C\u258?TRE PARLAMENTUL EUROPEAN \u536?I CONSILIU"/>
    <w:docVar w:name="LwApiVersions" w:val="LW4CoDe 1.24.5.0; LW 9.2, Build 20251112"/>
    <w:docVar w:name="Stamp" w:val="\\dossiers.dgt.cec.eu.int\dossiers\BUDG\BUDG-2026-00479\BUDG-2026-00479-00-00-EN-EDT-00.202606091102158926960.DOCX"/>
  </w:docVars>
  <w:rsids>
    <w:rsidRoot w:val="002434E7"/>
    <w:rsid w:val="00001DB9"/>
    <w:rsid w:val="00001DBE"/>
    <w:rsid w:val="00003B5B"/>
    <w:rsid w:val="00005011"/>
    <w:rsid w:val="000060BC"/>
    <w:rsid w:val="00006BD5"/>
    <w:rsid w:val="00006F4C"/>
    <w:rsid w:val="00007EC5"/>
    <w:rsid w:val="00010540"/>
    <w:rsid w:val="00010F68"/>
    <w:rsid w:val="00011370"/>
    <w:rsid w:val="00011A17"/>
    <w:rsid w:val="000123D8"/>
    <w:rsid w:val="000126B0"/>
    <w:rsid w:val="00012835"/>
    <w:rsid w:val="00012D95"/>
    <w:rsid w:val="00012E29"/>
    <w:rsid w:val="00013B82"/>
    <w:rsid w:val="0001446C"/>
    <w:rsid w:val="00016A14"/>
    <w:rsid w:val="00017477"/>
    <w:rsid w:val="00023D07"/>
    <w:rsid w:val="00023EF7"/>
    <w:rsid w:val="0002411E"/>
    <w:rsid w:val="000245B0"/>
    <w:rsid w:val="00025E4B"/>
    <w:rsid w:val="00025E9E"/>
    <w:rsid w:val="00027F27"/>
    <w:rsid w:val="00030A53"/>
    <w:rsid w:val="000319A3"/>
    <w:rsid w:val="0003378E"/>
    <w:rsid w:val="00033FA8"/>
    <w:rsid w:val="000340EB"/>
    <w:rsid w:val="00036A3E"/>
    <w:rsid w:val="00042C2C"/>
    <w:rsid w:val="00043CFB"/>
    <w:rsid w:val="0004411C"/>
    <w:rsid w:val="00044911"/>
    <w:rsid w:val="0004619D"/>
    <w:rsid w:val="000467AE"/>
    <w:rsid w:val="00046C10"/>
    <w:rsid w:val="000471FC"/>
    <w:rsid w:val="00047872"/>
    <w:rsid w:val="000509A7"/>
    <w:rsid w:val="00050DEE"/>
    <w:rsid w:val="00051D5E"/>
    <w:rsid w:val="00051FF3"/>
    <w:rsid w:val="00052257"/>
    <w:rsid w:val="00053E18"/>
    <w:rsid w:val="00053E9F"/>
    <w:rsid w:val="00055F8E"/>
    <w:rsid w:val="00056D61"/>
    <w:rsid w:val="00060B3F"/>
    <w:rsid w:val="000616D2"/>
    <w:rsid w:val="000621A2"/>
    <w:rsid w:val="000624D9"/>
    <w:rsid w:val="0006328D"/>
    <w:rsid w:val="00063369"/>
    <w:rsid w:val="00063877"/>
    <w:rsid w:val="00064AB4"/>
    <w:rsid w:val="00064D87"/>
    <w:rsid w:val="00064E06"/>
    <w:rsid w:val="00064EBF"/>
    <w:rsid w:val="00065D2D"/>
    <w:rsid w:val="00067B11"/>
    <w:rsid w:val="0007283B"/>
    <w:rsid w:val="00073636"/>
    <w:rsid w:val="00073CCA"/>
    <w:rsid w:val="00074196"/>
    <w:rsid w:val="000749BC"/>
    <w:rsid w:val="00075F73"/>
    <w:rsid w:val="00077A03"/>
    <w:rsid w:val="00077AD2"/>
    <w:rsid w:val="0008212C"/>
    <w:rsid w:val="00084CA4"/>
    <w:rsid w:val="00090A55"/>
    <w:rsid w:val="000929A6"/>
    <w:rsid w:val="00092C0B"/>
    <w:rsid w:val="000930EA"/>
    <w:rsid w:val="00093544"/>
    <w:rsid w:val="00093623"/>
    <w:rsid w:val="00095237"/>
    <w:rsid w:val="0009554E"/>
    <w:rsid w:val="00095C6D"/>
    <w:rsid w:val="00096D6A"/>
    <w:rsid w:val="000A084F"/>
    <w:rsid w:val="000A09A6"/>
    <w:rsid w:val="000A1A29"/>
    <w:rsid w:val="000A2767"/>
    <w:rsid w:val="000A2974"/>
    <w:rsid w:val="000A4886"/>
    <w:rsid w:val="000A49A2"/>
    <w:rsid w:val="000A6111"/>
    <w:rsid w:val="000A6306"/>
    <w:rsid w:val="000A75A3"/>
    <w:rsid w:val="000B0C52"/>
    <w:rsid w:val="000B0D45"/>
    <w:rsid w:val="000B0E42"/>
    <w:rsid w:val="000B1F22"/>
    <w:rsid w:val="000B3567"/>
    <w:rsid w:val="000B4F2D"/>
    <w:rsid w:val="000B6CFA"/>
    <w:rsid w:val="000B7F90"/>
    <w:rsid w:val="000C10CF"/>
    <w:rsid w:val="000C1A88"/>
    <w:rsid w:val="000C268D"/>
    <w:rsid w:val="000C4933"/>
    <w:rsid w:val="000C5E1B"/>
    <w:rsid w:val="000C5F60"/>
    <w:rsid w:val="000D44B7"/>
    <w:rsid w:val="000D5688"/>
    <w:rsid w:val="000D5E32"/>
    <w:rsid w:val="000D6A2B"/>
    <w:rsid w:val="000D6B54"/>
    <w:rsid w:val="000E0ABA"/>
    <w:rsid w:val="000E0C5C"/>
    <w:rsid w:val="000E1CA4"/>
    <w:rsid w:val="000E56BA"/>
    <w:rsid w:val="000F1BEA"/>
    <w:rsid w:val="000F406B"/>
    <w:rsid w:val="000F7EF7"/>
    <w:rsid w:val="00102412"/>
    <w:rsid w:val="0010380A"/>
    <w:rsid w:val="00104F16"/>
    <w:rsid w:val="00105C78"/>
    <w:rsid w:val="00105FD5"/>
    <w:rsid w:val="001067F5"/>
    <w:rsid w:val="00110501"/>
    <w:rsid w:val="00110B95"/>
    <w:rsid w:val="0011108E"/>
    <w:rsid w:val="00114CFF"/>
    <w:rsid w:val="00115875"/>
    <w:rsid w:val="00117584"/>
    <w:rsid w:val="00117C7A"/>
    <w:rsid w:val="00117F36"/>
    <w:rsid w:val="00117FA3"/>
    <w:rsid w:val="0012082F"/>
    <w:rsid w:val="001227CA"/>
    <w:rsid w:val="0012295A"/>
    <w:rsid w:val="00122BC4"/>
    <w:rsid w:val="001251F9"/>
    <w:rsid w:val="00125BE4"/>
    <w:rsid w:val="0012639B"/>
    <w:rsid w:val="00130F7A"/>
    <w:rsid w:val="00131637"/>
    <w:rsid w:val="0013190A"/>
    <w:rsid w:val="00132817"/>
    <w:rsid w:val="00133E0E"/>
    <w:rsid w:val="0013443C"/>
    <w:rsid w:val="00135294"/>
    <w:rsid w:val="00141749"/>
    <w:rsid w:val="0014414D"/>
    <w:rsid w:val="0014442E"/>
    <w:rsid w:val="00144EE0"/>
    <w:rsid w:val="0014551B"/>
    <w:rsid w:val="00146B4E"/>
    <w:rsid w:val="0015062A"/>
    <w:rsid w:val="00151703"/>
    <w:rsid w:val="00152902"/>
    <w:rsid w:val="001529EA"/>
    <w:rsid w:val="00160110"/>
    <w:rsid w:val="00160662"/>
    <w:rsid w:val="001649DE"/>
    <w:rsid w:val="00167712"/>
    <w:rsid w:val="00171731"/>
    <w:rsid w:val="00172F53"/>
    <w:rsid w:val="00173426"/>
    <w:rsid w:val="00174AB9"/>
    <w:rsid w:val="001761F6"/>
    <w:rsid w:val="00177099"/>
    <w:rsid w:val="001809CE"/>
    <w:rsid w:val="001837DD"/>
    <w:rsid w:val="00184ABA"/>
    <w:rsid w:val="001900DF"/>
    <w:rsid w:val="001906E2"/>
    <w:rsid w:val="00190CE2"/>
    <w:rsid w:val="00195BE9"/>
    <w:rsid w:val="00195C8D"/>
    <w:rsid w:val="0019667A"/>
    <w:rsid w:val="00197713"/>
    <w:rsid w:val="001977B2"/>
    <w:rsid w:val="001A0847"/>
    <w:rsid w:val="001A4128"/>
    <w:rsid w:val="001A59D1"/>
    <w:rsid w:val="001A660E"/>
    <w:rsid w:val="001B24CA"/>
    <w:rsid w:val="001B2C67"/>
    <w:rsid w:val="001B3D5B"/>
    <w:rsid w:val="001B49DA"/>
    <w:rsid w:val="001B6B70"/>
    <w:rsid w:val="001B6FB7"/>
    <w:rsid w:val="001B70F4"/>
    <w:rsid w:val="001C008E"/>
    <w:rsid w:val="001C14D1"/>
    <w:rsid w:val="001C37D0"/>
    <w:rsid w:val="001C3965"/>
    <w:rsid w:val="001C437C"/>
    <w:rsid w:val="001C5E2A"/>
    <w:rsid w:val="001C6876"/>
    <w:rsid w:val="001C71E7"/>
    <w:rsid w:val="001C78BC"/>
    <w:rsid w:val="001D0853"/>
    <w:rsid w:val="001D3EB0"/>
    <w:rsid w:val="001D40C1"/>
    <w:rsid w:val="001D41E8"/>
    <w:rsid w:val="001E0710"/>
    <w:rsid w:val="001E0FC8"/>
    <w:rsid w:val="001E1F06"/>
    <w:rsid w:val="001E4081"/>
    <w:rsid w:val="001E4260"/>
    <w:rsid w:val="001E4C1D"/>
    <w:rsid w:val="001E4DD3"/>
    <w:rsid w:val="001E53DB"/>
    <w:rsid w:val="001E76F0"/>
    <w:rsid w:val="001F003F"/>
    <w:rsid w:val="001F024D"/>
    <w:rsid w:val="001F6EB4"/>
    <w:rsid w:val="001F72F2"/>
    <w:rsid w:val="00202B23"/>
    <w:rsid w:val="00203E8A"/>
    <w:rsid w:val="002060E8"/>
    <w:rsid w:val="00213489"/>
    <w:rsid w:val="00213623"/>
    <w:rsid w:val="002156E0"/>
    <w:rsid w:val="00220BE5"/>
    <w:rsid w:val="00220C2C"/>
    <w:rsid w:val="00220DDE"/>
    <w:rsid w:val="00224797"/>
    <w:rsid w:val="002262AA"/>
    <w:rsid w:val="002271BF"/>
    <w:rsid w:val="00227A0C"/>
    <w:rsid w:val="00227D77"/>
    <w:rsid w:val="00230213"/>
    <w:rsid w:val="00230811"/>
    <w:rsid w:val="00231669"/>
    <w:rsid w:val="00233C01"/>
    <w:rsid w:val="0023696B"/>
    <w:rsid w:val="0023720E"/>
    <w:rsid w:val="002379A3"/>
    <w:rsid w:val="002415B7"/>
    <w:rsid w:val="002434E7"/>
    <w:rsid w:val="0024377D"/>
    <w:rsid w:val="002453C0"/>
    <w:rsid w:val="00247B67"/>
    <w:rsid w:val="00251483"/>
    <w:rsid w:val="002539DC"/>
    <w:rsid w:val="002547CE"/>
    <w:rsid w:val="002550DA"/>
    <w:rsid w:val="00255C08"/>
    <w:rsid w:val="0025624A"/>
    <w:rsid w:val="0025699A"/>
    <w:rsid w:val="002613F5"/>
    <w:rsid w:val="002666E5"/>
    <w:rsid w:val="002730B2"/>
    <w:rsid w:val="00273D03"/>
    <w:rsid w:val="00274315"/>
    <w:rsid w:val="00274F27"/>
    <w:rsid w:val="00275E8F"/>
    <w:rsid w:val="00277112"/>
    <w:rsid w:val="002777B4"/>
    <w:rsid w:val="00280220"/>
    <w:rsid w:val="00280BCB"/>
    <w:rsid w:val="00282693"/>
    <w:rsid w:val="0028286D"/>
    <w:rsid w:val="00283146"/>
    <w:rsid w:val="00285E69"/>
    <w:rsid w:val="00286EBB"/>
    <w:rsid w:val="002907D2"/>
    <w:rsid w:val="0029365C"/>
    <w:rsid w:val="002942A7"/>
    <w:rsid w:val="002A22AA"/>
    <w:rsid w:val="002A38E3"/>
    <w:rsid w:val="002A5856"/>
    <w:rsid w:val="002A5943"/>
    <w:rsid w:val="002A5B6B"/>
    <w:rsid w:val="002A5D87"/>
    <w:rsid w:val="002A7DB0"/>
    <w:rsid w:val="002B05B2"/>
    <w:rsid w:val="002B0E7E"/>
    <w:rsid w:val="002B21EA"/>
    <w:rsid w:val="002B354D"/>
    <w:rsid w:val="002B3822"/>
    <w:rsid w:val="002B5DF2"/>
    <w:rsid w:val="002B6741"/>
    <w:rsid w:val="002B6E8F"/>
    <w:rsid w:val="002B75DE"/>
    <w:rsid w:val="002C176B"/>
    <w:rsid w:val="002C1D43"/>
    <w:rsid w:val="002C1FDB"/>
    <w:rsid w:val="002C24E2"/>
    <w:rsid w:val="002C340E"/>
    <w:rsid w:val="002C5A2D"/>
    <w:rsid w:val="002C704D"/>
    <w:rsid w:val="002D2947"/>
    <w:rsid w:val="002D6E06"/>
    <w:rsid w:val="002E075C"/>
    <w:rsid w:val="002E61B4"/>
    <w:rsid w:val="002E6AA0"/>
    <w:rsid w:val="002F20CB"/>
    <w:rsid w:val="002F229E"/>
    <w:rsid w:val="002F2BBB"/>
    <w:rsid w:val="002F3DAC"/>
    <w:rsid w:val="002F4C95"/>
    <w:rsid w:val="002F64CF"/>
    <w:rsid w:val="002F76F3"/>
    <w:rsid w:val="002F7F2A"/>
    <w:rsid w:val="003028D0"/>
    <w:rsid w:val="00302F8E"/>
    <w:rsid w:val="00306CCD"/>
    <w:rsid w:val="00310107"/>
    <w:rsid w:val="0031019E"/>
    <w:rsid w:val="003113E1"/>
    <w:rsid w:val="00316C58"/>
    <w:rsid w:val="00320051"/>
    <w:rsid w:val="00320810"/>
    <w:rsid w:val="003209BE"/>
    <w:rsid w:val="0032103B"/>
    <w:rsid w:val="00321259"/>
    <w:rsid w:val="00321B4D"/>
    <w:rsid w:val="00322A6A"/>
    <w:rsid w:val="00324D2F"/>
    <w:rsid w:val="00326DD1"/>
    <w:rsid w:val="00331052"/>
    <w:rsid w:val="003311E3"/>
    <w:rsid w:val="0033176D"/>
    <w:rsid w:val="00331B02"/>
    <w:rsid w:val="0033472A"/>
    <w:rsid w:val="00334C4F"/>
    <w:rsid w:val="00335A7A"/>
    <w:rsid w:val="00336722"/>
    <w:rsid w:val="00336F0D"/>
    <w:rsid w:val="00337BFF"/>
    <w:rsid w:val="00342018"/>
    <w:rsid w:val="003420F6"/>
    <w:rsid w:val="0034426B"/>
    <w:rsid w:val="00345589"/>
    <w:rsid w:val="00345B12"/>
    <w:rsid w:val="003467D1"/>
    <w:rsid w:val="00347309"/>
    <w:rsid w:val="00347C58"/>
    <w:rsid w:val="00350329"/>
    <w:rsid w:val="00350D1D"/>
    <w:rsid w:val="00352236"/>
    <w:rsid w:val="003563F9"/>
    <w:rsid w:val="00357F2F"/>
    <w:rsid w:val="00362CF6"/>
    <w:rsid w:val="00365075"/>
    <w:rsid w:val="003655C0"/>
    <w:rsid w:val="00366D8B"/>
    <w:rsid w:val="0036793D"/>
    <w:rsid w:val="00372BBD"/>
    <w:rsid w:val="00373C10"/>
    <w:rsid w:val="0037542C"/>
    <w:rsid w:val="00377BEA"/>
    <w:rsid w:val="0038142C"/>
    <w:rsid w:val="00382A5E"/>
    <w:rsid w:val="00382B7A"/>
    <w:rsid w:val="00382FD0"/>
    <w:rsid w:val="003911B3"/>
    <w:rsid w:val="00392AE8"/>
    <w:rsid w:val="0039382C"/>
    <w:rsid w:val="00394A42"/>
    <w:rsid w:val="00395F63"/>
    <w:rsid w:val="003A2F92"/>
    <w:rsid w:val="003A38FF"/>
    <w:rsid w:val="003A7559"/>
    <w:rsid w:val="003A7998"/>
    <w:rsid w:val="003B0003"/>
    <w:rsid w:val="003B1D0C"/>
    <w:rsid w:val="003B25FF"/>
    <w:rsid w:val="003B277B"/>
    <w:rsid w:val="003B3976"/>
    <w:rsid w:val="003B397E"/>
    <w:rsid w:val="003B5297"/>
    <w:rsid w:val="003C052D"/>
    <w:rsid w:val="003C1999"/>
    <w:rsid w:val="003C23CF"/>
    <w:rsid w:val="003C5915"/>
    <w:rsid w:val="003C78D5"/>
    <w:rsid w:val="003D083E"/>
    <w:rsid w:val="003D2FB7"/>
    <w:rsid w:val="003D2FF0"/>
    <w:rsid w:val="003D4FCA"/>
    <w:rsid w:val="003D6E35"/>
    <w:rsid w:val="003E0F28"/>
    <w:rsid w:val="003E1A5F"/>
    <w:rsid w:val="003E201F"/>
    <w:rsid w:val="003E2A51"/>
    <w:rsid w:val="003E3C7F"/>
    <w:rsid w:val="003F3AE9"/>
    <w:rsid w:val="003F41B5"/>
    <w:rsid w:val="004006FE"/>
    <w:rsid w:val="00400C25"/>
    <w:rsid w:val="00401251"/>
    <w:rsid w:val="004014CC"/>
    <w:rsid w:val="004121FD"/>
    <w:rsid w:val="0041267F"/>
    <w:rsid w:val="0041448A"/>
    <w:rsid w:val="00415275"/>
    <w:rsid w:val="00415458"/>
    <w:rsid w:val="00415A10"/>
    <w:rsid w:val="004164BE"/>
    <w:rsid w:val="00417B51"/>
    <w:rsid w:val="00420B4D"/>
    <w:rsid w:val="004211AB"/>
    <w:rsid w:val="0042282D"/>
    <w:rsid w:val="00422902"/>
    <w:rsid w:val="00424741"/>
    <w:rsid w:val="00424D24"/>
    <w:rsid w:val="00430192"/>
    <w:rsid w:val="00430DE8"/>
    <w:rsid w:val="00431EE9"/>
    <w:rsid w:val="00433FF8"/>
    <w:rsid w:val="004341BF"/>
    <w:rsid w:val="00437497"/>
    <w:rsid w:val="00440FBF"/>
    <w:rsid w:val="0044155D"/>
    <w:rsid w:val="00442AF2"/>
    <w:rsid w:val="00443DFE"/>
    <w:rsid w:val="00444970"/>
    <w:rsid w:val="00444DBD"/>
    <w:rsid w:val="00446551"/>
    <w:rsid w:val="00446AA7"/>
    <w:rsid w:val="004476D9"/>
    <w:rsid w:val="004507FC"/>
    <w:rsid w:val="00451645"/>
    <w:rsid w:val="00451AB5"/>
    <w:rsid w:val="00451B3E"/>
    <w:rsid w:val="00454C1F"/>
    <w:rsid w:val="00457581"/>
    <w:rsid w:val="0046180C"/>
    <w:rsid w:val="0046347B"/>
    <w:rsid w:val="004652E5"/>
    <w:rsid w:val="00465FE7"/>
    <w:rsid w:val="00466764"/>
    <w:rsid w:val="00467AC0"/>
    <w:rsid w:val="00470446"/>
    <w:rsid w:val="00470B20"/>
    <w:rsid w:val="00472FAD"/>
    <w:rsid w:val="00486624"/>
    <w:rsid w:val="00490905"/>
    <w:rsid w:val="00491A54"/>
    <w:rsid w:val="00491F3A"/>
    <w:rsid w:val="00494264"/>
    <w:rsid w:val="004943FB"/>
    <w:rsid w:val="0049712B"/>
    <w:rsid w:val="004977D3"/>
    <w:rsid w:val="00497DEC"/>
    <w:rsid w:val="004A31DD"/>
    <w:rsid w:val="004A3B8D"/>
    <w:rsid w:val="004A49FA"/>
    <w:rsid w:val="004B0336"/>
    <w:rsid w:val="004B0A72"/>
    <w:rsid w:val="004B0CAD"/>
    <w:rsid w:val="004B2F28"/>
    <w:rsid w:val="004B3004"/>
    <w:rsid w:val="004B314E"/>
    <w:rsid w:val="004B64A5"/>
    <w:rsid w:val="004B7B73"/>
    <w:rsid w:val="004B7B91"/>
    <w:rsid w:val="004C0126"/>
    <w:rsid w:val="004C0A7A"/>
    <w:rsid w:val="004C3B74"/>
    <w:rsid w:val="004C4246"/>
    <w:rsid w:val="004C5874"/>
    <w:rsid w:val="004D4178"/>
    <w:rsid w:val="004D486A"/>
    <w:rsid w:val="004D49E1"/>
    <w:rsid w:val="004D4A41"/>
    <w:rsid w:val="004D5ECF"/>
    <w:rsid w:val="004D66D2"/>
    <w:rsid w:val="004D675A"/>
    <w:rsid w:val="004D6D64"/>
    <w:rsid w:val="004D7121"/>
    <w:rsid w:val="004E0EAA"/>
    <w:rsid w:val="004E2442"/>
    <w:rsid w:val="004E3423"/>
    <w:rsid w:val="004E6E69"/>
    <w:rsid w:val="004E7A4E"/>
    <w:rsid w:val="004F04DD"/>
    <w:rsid w:val="004F30A8"/>
    <w:rsid w:val="004F32B0"/>
    <w:rsid w:val="004F331E"/>
    <w:rsid w:val="004F378E"/>
    <w:rsid w:val="004F3945"/>
    <w:rsid w:val="004F478A"/>
    <w:rsid w:val="004F56E7"/>
    <w:rsid w:val="00500016"/>
    <w:rsid w:val="00501928"/>
    <w:rsid w:val="00501A12"/>
    <w:rsid w:val="00502637"/>
    <w:rsid w:val="0050312F"/>
    <w:rsid w:val="005034F0"/>
    <w:rsid w:val="00504602"/>
    <w:rsid w:val="00507E25"/>
    <w:rsid w:val="00510892"/>
    <w:rsid w:val="00511001"/>
    <w:rsid w:val="005123F6"/>
    <w:rsid w:val="005162E9"/>
    <w:rsid w:val="00523002"/>
    <w:rsid w:val="005236E0"/>
    <w:rsid w:val="00523B8F"/>
    <w:rsid w:val="00524207"/>
    <w:rsid w:val="005242FF"/>
    <w:rsid w:val="00526306"/>
    <w:rsid w:val="005263E3"/>
    <w:rsid w:val="00527E1E"/>
    <w:rsid w:val="0053344B"/>
    <w:rsid w:val="005334C7"/>
    <w:rsid w:val="005339F9"/>
    <w:rsid w:val="005400CE"/>
    <w:rsid w:val="00540B41"/>
    <w:rsid w:val="00540F21"/>
    <w:rsid w:val="00543C81"/>
    <w:rsid w:val="00545572"/>
    <w:rsid w:val="00546D67"/>
    <w:rsid w:val="00546F32"/>
    <w:rsid w:val="00547629"/>
    <w:rsid w:val="00551C7D"/>
    <w:rsid w:val="005521BF"/>
    <w:rsid w:val="00555D72"/>
    <w:rsid w:val="00556061"/>
    <w:rsid w:val="00557069"/>
    <w:rsid w:val="0056114D"/>
    <w:rsid w:val="00561417"/>
    <w:rsid w:val="00561841"/>
    <w:rsid w:val="00561DAE"/>
    <w:rsid w:val="0056341F"/>
    <w:rsid w:val="0056352D"/>
    <w:rsid w:val="0056383F"/>
    <w:rsid w:val="00564A02"/>
    <w:rsid w:val="00564AC0"/>
    <w:rsid w:val="005652BC"/>
    <w:rsid w:val="00566DA7"/>
    <w:rsid w:val="0057025A"/>
    <w:rsid w:val="00570E9E"/>
    <w:rsid w:val="0057171E"/>
    <w:rsid w:val="00571CE1"/>
    <w:rsid w:val="00572A57"/>
    <w:rsid w:val="005739E1"/>
    <w:rsid w:val="005746C1"/>
    <w:rsid w:val="005761B6"/>
    <w:rsid w:val="00576EE5"/>
    <w:rsid w:val="005809B9"/>
    <w:rsid w:val="00582AF1"/>
    <w:rsid w:val="00583FB9"/>
    <w:rsid w:val="00584144"/>
    <w:rsid w:val="00584444"/>
    <w:rsid w:val="00584B42"/>
    <w:rsid w:val="0058666B"/>
    <w:rsid w:val="00587683"/>
    <w:rsid w:val="005906EA"/>
    <w:rsid w:val="00590B5A"/>
    <w:rsid w:val="005923C1"/>
    <w:rsid w:val="00595EF0"/>
    <w:rsid w:val="005A167C"/>
    <w:rsid w:val="005A1847"/>
    <w:rsid w:val="005A557A"/>
    <w:rsid w:val="005A5D92"/>
    <w:rsid w:val="005A5F3F"/>
    <w:rsid w:val="005A61F5"/>
    <w:rsid w:val="005B0155"/>
    <w:rsid w:val="005B226E"/>
    <w:rsid w:val="005B3A81"/>
    <w:rsid w:val="005B45D3"/>
    <w:rsid w:val="005B4E8C"/>
    <w:rsid w:val="005B5EE5"/>
    <w:rsid w:val="005C108F"/>
    <w:rsid w:val="005C19BB"/>
    <w:rsid w:val="005C2B39"/>
    <w:rsid w:val="005C30FB"/>
    <w:rsid w:val="005C60A0"/>
    <w:rsid w:val="005C6C3B"/>
    <w:rsid w:val="005C7AFC"/>
    <w:rsid w:val="005D040B"/>
    <w:rsid w:val="005D1B25"/>
    <w:rsid w:val="005D3D4B"/>
    <w:rsid w:val="005D4A67"/>
    <w:rsid w:val="005D713E"/>
    <w:rsid w:val="005D7AEC"/>
    <w:rsid w:val="005E0DD4"/>
    <w:rsid w:val="005E1B39"/>
    <w:rsid w:val="005E2311"/>
    <w:rsid w:val="005E5DA6"/>
    <w:rsid w:val="005E6B45"/>
    <w:rsid w:val="005E6BEA"/>
    <w:rsid w:val="005E7C1A"/>
    <w:rsid w:val="005F0A56"/>
    <w:rsid w:val="005F1A03"/>
    <w:rsid w:val="005F491A"/>
    <w:rsid w:val="006040B0"/>
    <w:rsid w:val="0060494D"/>
    <w:rsid w:val="0061030E"/>
    <w:rsid w:val="0061263B"/>
    <w:rsid w:val="00615689"/>
    <w:rsid w:val="00620099"/>
    <w:rsid w:val="006244CC"/>
    <w:rsid w:val="00624AAB"/>
    <w:rsid w:val="0062578F"/>
    <w:rsid w:val="00626B9B"/>
    <w:rsid w:val="0062766E"/>
    <w:rsid w:val="00627B51"/>
    <w:rsid w:val="0063134D"/>
    <w:rsid w:val="006316A5"/>
    <w:rsid w:val="00632AF0"/>
    <w:rsid w:val="006337D2"/>
    <w:rsid w:val="00636A4E"/>
    <w:rsid w:val="00637C23"/>
    <w:rsid w:val="0064093F"/>
    <w:rsid w:val="00641BB8"/>
    <w:rsid w:val="006426D9"/>
    <w:rsid w:val="00642C28"/>
    <w:rsid w:val="00643BDE"/>
    <w:rsid w:val="0064520C"/>
    <w:rsid w:val="00647145"/>
    <w:rsid w:val="00647A24"/>
    <w:rsid w:val="00653716"/>
    <w:rsid w:val="00653F7F"/>
    <w:rsid w:val="0065532D"/>
    <w:rsid w:val="00656BFE"/>
    <w:rsid w:val="00663301"/>
    <w:rsid w:val="0066352F"/>
    <w:rsid w:val="0066715D"/>
    <w:rsid w:val="0067088B"/>
    <w:rsid w:val="00672224"/>
    <w:rsid w:val="0067336C"/>
    <w:rsid w:val="006740BC"/>
    <w:rsid w:val="00674C6B"/>
    <w:rsid w:val="00676182"/>
    <w:rsid w:val="00677274"/>
    <w:rsid w:val="00677499"/>
    <w:rsid w:val="00680BC3"/>
    <w:rsid w:val="00681751"/>
    <w:rsid w:val="00682D33"/>
    <w:rsid w:val="006844D7"/>
    <w:rsid w:val="006867B7"/>
    <w:rsid w:val="0068796D"/>
    <w:rsid w:val="00690242"/>
    <w:rsid w:val="006920A2"/>
    <w:rsid w:val="00693250"/>
    <w:rsid w:val="006942CF"/>
    <w:rsid w:val="00696F35"/>
    <w:rsid w:val="00697B5F"/>
    <w:rsid w:val="006A0023"/>
    <w:rsid w:val="006A05A7"/>
    <w:rsid w:val="006A1037"/>
    <w:rsid w:val="006A217F"/>
    <w:rsid w:val="006A3368"/>
    <w:rsid w:val="006A48D3"/>
    <w:rsid w:val="006A4D50"/>
    <w:rsid w:val="006A4E25"/>
    <w:rsid w:val="006A75D2"/>
    <w:rsid w:val="006B3FFA"/>
    <w:rsid w:val="006B4EBE"/>
    <w:rsid w:val="006B503D"/>
    <w:rsid w:val="006C0359"/>
    <w:rsid w:val="006C3F99"/>
    <w:rsid w:val="006C4B47"/>
    <w:rsid w:val="006C6430"/>
    <w:rsid w:val="006C6938"/>
    <w:rsid w:val="006C6D39"/>
    <w:rsid w:val="006C76C0"/>
    <w:rsid w:val="006C7CD1"/>
    <w:rsid w:val="006C7F61"/>
    <w:rsid w:val="006D1E29"/>
    <w:rsid w:val="006D281D"/>
    <w:rsid w:val="006D368A"/>
    <w:rsid w:val="006D4EED"/>
    <w:rsid w:val="006D619F"/>
    <w:rsid w:val="006D7F4A"/>
    <w:rsid w:val="006E0703"/>
    <w:rsid w:val="006E1D1B"/>
    <w:rsid w:val="006E20D4"/>
    <w:rsid w:val="006E2736"/>
    <w:rsid w:val="006F1680"/>
    <w:rsid w:val="006F18F8"/>
    <w:rsid w:val="006F1CE9"/>
    <w:rsid w:val="006F2980"/>
    <w:rsid w:val="006F3A08"/>
    <w:rsid w:val="006F3DC4"/>
    <w:rsid w:val="006F4128"/>
    <w:rsid w:val="006F64B1"/>
    <w:rsid w:val="00701B63"/>
    <w:rsid w:val="00702A28"/>
    <w:rsid w:val="007062D7"/>
    <w:rsid w:val="007070D7"/>
    <w:rsid w:val="007077BA"/>
    <w:rsid w:val="00707840"/>
    <w:rsid w:val="00707FC0"/>
    <w:rsid w:val="00710558"/>
    <w:rsid w:val="0071264F"/>
    <w:rsid w:val="00716401"/>
    <w:rsid w:val="00716B54"/>
    <w:rsid w:val="00717002"/>
    <w:rsid w:val="00722365"/>
    <w:rsid w:val="0072241B"/>
    <w:rsid w:val="00724F4C"/>
    <w:rsid w:val="00731729"/>
    <w:rsid w:val="00735033"/>
    <w:rsid w:val="00736330"/>
    <w:rsid w:val="0074029F"/>
    <w:rsid w:val="007405DC"/>
    <w:rsid w:val="007419CC"/>
    <w:rsid w:val="00743BAC"/>
    <w:rsid w:val="00744578"/>
    <w:rsid w:val="007450BB"/>
    <w:rsid w:val="00746343"/>
    <w:rsid w:val="00747D2E"/>
    <w:rsid w:val="00747EC8"/>
    <w:rsid w:val="007508AB"/>
    <w:rsid w:val="00751CAB"/>
    <w:rsid w:val="00752008"/>
    <w:rsid w:val="0075246F"/>
    <w:rsid w:val="007557AC"/>
    <w:rsid w:val="00755840"/>
    <w:rsid w:val="0075799C"/>
    <w:rsid w:val="00760711"/>
    <w:rsid w:val="007622AC"/>
    <w:rsid w:val="0076297D"/>
    <w:rsid w:val="00766AC2"/>
    <w:rsid w:val="00767AFD"/>
    <w:rsid w:val="0077160B"/>
    <w:rsid w:val="00771730"/>
    <w:rsid w:val="00773363"/>
    <w:rsid w:val="007744D0"/>
    <w:rsid w:val="00774A46"/>
    <w:rsid w:val="00777FCD"/>
    <w:rsid w:val="007814B8"/>
    <w:rsid w:val="007818B8"/>
    <w:rsid w:val="00782FE4"/>
    <w:rsid w:val="00783840"/>
    <w:rsid w:val="00783BCF"/>
    <w:rsid w:val="00784475"/>
    <w:rsid w:val="007844F6"/>
    <w:rsid w:val="00785B6C"/>
    <w:rsid w:val="00786B91"/>
    <w:rsid w:val="007873EA"/>
    <w:rsid w:val="00787E05"/>
    <w:rsid w:val="007903AB"/>
    <w:rsid w:val="007909C3"/>
    <w:rsid w:val="007911AE"/>
    <w:rsid w:val="007945D7"/>
    <w:rsid w:val="00795801"/>
    <w:rsid w:val="0079601F"/>
    <w:rsid w:val="0079670A"/>
    <w:rsid w:val="007A062D"/>
    <w:rsid w:val="007A1036"/>
    <w:rsid w:val="007A3A71"/>
    <w:rsid w:val="007A4E52"/>
    <w:rsid w:val="007A5FEE"/>
    <w:rsid w:val="007A73F7"/>
    <w:rsid w:val="007B0295"/>
    <w:rsid w:val="007B4AFC"/>
    <w:rsid w:val="007B719A"/>
    <w:rsid w:val="007C08CD"/>
    <w:rsid w:val="007C31E8"/>
    <w:rsid w:val="007D0962"/>
    <w:rsid w:val="007D09BC"/>
    <w:rsid w:val="007D31C4"/>
    <w:rsid w:val="007D3280"/>
    <w:rsid w:val="007D567C"/>
    <w:rsid w:val="007D64C6"/>
    <w:rsid w:val="007D6D5F"/>
    <w:rsid w:val="007D70B8"/>
    <w:rsid w:val="007E1714"/>
    <w:rsid w:val="007E175D"/>
    <w:rsid w:val="007E28D1"/>
    <w:rsid w:val="007E2B0F"/>
    <w:rsid w:val="007E4219"/>
    <w:rsid w:val="007E433A"/>
    <w:rsid w:val="007E76E9"/>
    <w:rsid w:val="007E77C7"/>
    <w:rsid w:val="007E7A0C"/>
    <w:rsid w:val="007F005B"/>
    <w:rsid w:val="007F1D81"/>
    <w:rsid w:val="007F37FA"/>
    <w:rsid w:val="007F4255"/>
    <w:rsid w:val="007F6D42"/>
    <w:rsid w:val="0080007B"/>
    <w:rsid w:val="008011AA"/>
    <w:rsid w:val="00802A61"/>
    <w:rsid w:val="008034DC"/>
    <w:rsid w:val="00804946"/>
    <w:rsid w:val="00807603"/>
    <w:rsid w:val="00810887"/>
    <w:rsid w:val="00810A09"/>
    <w:rsid w:val="008115FB"/>
    <w:rsid w:val="00811894"/>
    <w:rsid w:val="008125AB"/>
    <w:rsid w:val="00812997"/>
    <w:rsid w:val="00816619"/>
    <w:rsid w:val="0082033D"/>
    <w:rsid w:val="00820777"/>
    <w:rsid w:val="008209A8"/>
    <w:rsid w:val="0082377C"/>
    <w:rsid w:val="0082382D"/>
    <w:rsid w:val="00825215"/>
    <w:rsid w:val="00827D03"/>
    <w:rsid w:val="008301D8"/>
    <w:rsid w:val="00836193"/>
    <w:rsid w:val="0084088A"/>
    <w:rsid w:val="00841193"/>
    <w:rsid w:val="00843FF2"/>
    <w:rsid w:val="00844CA7"/>
    <w:rsid w:val="00846D30"/>
    <w:rsid w:val="00846E9E"/>
    <w:rsid w:val="00847C22"/>
    <w:rsid w:val="00847CFB"/>
    <w:rsid w:val="00850261"/>
    <w:rsid w:val="008504F1"/>
    <w:rsid w:val="00850FAE"/>
    <w:rsid w:val="00851D45"/>
    <w:rsid w:val="00853C9A"/>
    <w:rsid w:val="00855D13"/>
    <w:rsid w:val="00856781"/>
    <w:rsid w:val="008573EB"/>
    <w:rsid w:val="00857D66"/>
    <w:rsid w:val="00857D81"/>
    <w:rsid w:val="0086067C"/>
    <w:rsid w:val="008625A8"/>
    <w:rsid w:val="00864ECC"/>
    <w:rsid w:val="00865304"/>
    <w:rsid w:val="00865775"/>
    <w:rsid w:val="00866E0F"/>
    <w:rsid w:val="00867C5D"/>
    <w:rsid w:val="00870933"/>
    <w:rsid w:val="008720B0"/>
    <w:rsid w:val="00872999"/>
    <w:rsid w:val="00872A62"/>
    <w:rsid w:val="00876314"/>
    <w:rsid w:val="00880049"/>
    <w:rsid w:val="008840EB"/>
    <w:rsid w:val="00887B29"/>
    <w:rsid w:val="00887FEB"/>
    <w:rsid w:val="00890239"/>
    <w:rsid w:val="00890559"/>
    <w:rsid w:val="0089078A"/>
    <w:rsid w:val="0089117D"/>
    <w:rsid w:val="008959AB"/>
    <w:rsid w:val="00895E79"/>
    <w:rsid w:val="00897AB4"/>
    <w:rsid w:val="008A010F"/>
    <w:rsid w:val="008A0265"/>
    <w:rsid w:val="008A17F7"/>
    <w:rsid w:val="008A1DB8"/>
    <w:rsid w:val="008A2314"/>
    <w:rsid w:val="008A2E60"/>
    <w:rsid w:val="008A4808"/>
    <w:rsid w:val="008A57EB"/>
    <w:rsid w:val="008B1EA8"/>
    <w:rsid w:val="008B4BFD"/>
    <w:rsid w:val="008B4DEF"/>
    <w:rsid w:val="008B5A50"/>
    <w:rsid w:val="008B641B"/>
    <w:rsid w:val="008C5EB1"/>
    <w:rsid w:val="008C6624"/>
    <w:rsid w:val="008D0826"/>
    <w:rsid w:val="008D2723"/>
    <w:rsid w:val="008D3434"/>
    <w:rsid w:val="008D5B0D"/>
    <w:rsid w:val="008E2D4E"/>
    <w:rsid w:val="008E2DF5"/>
    <w:rsid w:val="008E32CF"/>
    <w:rsid w:val="008E45E4"/>
    <w:rsid w:val="008F2888"/>
    <w:rsid w:val="008F58BE"/>
    <w:rsid w:val="008F78B8"/>
    <w:rsid w:val="0090173D"/>
    <w:rsid w:val="0090379B"/>
    <w:rsid w:val="00912637"/>
    <w:rsid w:val="00916A3F"/>
    <w:rsid w:val="0091730A"/>
    <w:rsid w:val="00926509"/>
    <w:rsid w:val="00927CF7"/>
    <w:rsid w:val="00930F6D"/>
    <w:rsid w:val="0093142D"/>
    <w:rsid w:val="009353E8"/>
    <w:rsid w:val="009363B2"/>
    <w:rsid w:val="00940193"/>
    <w:rsid w:val="00941EE2"/>
    <w:rsid w:val="009459B7"/>
    <w:rsid w:val="00945F07"/>
    <w:rsid w:val="00945FA0"/>
    <w:rsid w:val="00946032"/>
    <w:rsid w:val="0095123D"/>
    <w:rsid w:val="0095231D"/>
    <w:rsid w:val="00952B9C"/>
    <w:rsid w:val="00952F2A"/>
    <w:rsid w:val="00954FFB"/>
    <w:rsid w:val="00956C1C"/>
    <w:rsid w:val="00960027"/>
    <w:rsid w:val="00960450"/>
    <w:rsid w:val="009609CA"/>
    <w:rsid w:val="00962CC0"/>
    <w:rsid w:val="00964413"/>
    <w:rsid w:val="0096574C"/>
    <w:rsid w:val="00965DC9"/>
    <w:rsid w:val="00966F50"/>
    <w:rsid w:val="00971277"/>
    <w:rsid w:val="00971854"/>
    <w:rsid w:val="0097471C"/>
    <w:rsid w:val="00974D9F"/>
    <w:rsid w:val="009768A0"/>
    <w:rsid w:val="00976DF9"/>
    <w:rsid w:val="00976FBE"/>
    <w:rsid w:val="0097780C"/>
    <w:rsid w:val="009809AB"/>
    <w:rsid w:val="00983E4F"/>
    <w:rsid w:val="00984F63"/>
    <w:rsid w:val="00985B4C"/>
    <w:rsid w:val="00993379"/>
    <w:rsid w:val="00996B7A"/>
    <w:rsid w:val="009A0857"/>
    <w:rsid w:val="009A0E96"/>
    <w:rsid w:val="009A145A"/>
    <w:rsid w:val="009A179F"/>
    <w:rsid w:val="009A2D2D"/>
    <w:rsid w:val="009A30B8"/>
    <w:rsid w:val="009A3CD9"/>
    <w:rsid w:val="009A45B3"/>
    <w:rsid w:val="009A70D7"/>
    <w:rsid w:val="009A76F7"/>
    <w:rsid w:val="009B12F6"/>
    <w:rsid w:val="009B4D85"/>
    <w:rsid w:val="009B5822"/>
    <w:rsid w:val="009C04C8"/>
    <w:rsid w:val="009C1115"/>
    <w:rsid w:val="009C11CD"/>
    <w:rsid w:val="009C2479"/>
    <w:rsid w:val="009C3DAA"/>
    <w:rsid w:val="009C73B8"/>
    <w:rsid w:val="009D0321"/>
    <w:rsid w:val="009D1CB8"/>
    <w:rsid w:val="009D3F3D"/>
    <w:rsid w:val="009D4B86"/>
    <w:rsid w:val="009D55A6"/>
    <w:rsid w:val="009D5C7E"/>
    <w:rsid w:val="009D7541"/>
    <w:rsid w:val="009E0304"/>
    <w:rsid w:val="009E1554"/>
    <w:rsid w:val="009E2641"/>
    <w:rsid w:val="009E3021"/>
    <w:rsid w:val="009E6025"/>
    <w:rsid w:val="009E74FE"/>
    <w:rsid w:val="009E78D0"/>
    <w:rsid w:val="009F11F9"/>
    <w:rsid w:val="009F1212"/>
    <w:rsid w:val="009F2FB6"/>
    <w:rsid w:val="009F48EB"/>
    <w:rsid w:val="009F5373"/>
    <w:rsid w:val="009F5441"/>
    <w:rsid w:val="009F5642"/>
    <w:rsid w:val="009F6518"/>
    <w:rsid w:val="009F7034"/>
    <w:rsid w:val="00A00D57"/>
    <w:rsid w:val="00A00F67"/>
    <w:rsid w:val="00A0142C"/>
    <w:rsid w:val="00A03179"/>
    <w:rsid w:val="00A079A8"/>
    <w:rsid w:val="00A11833"/>
    <w:rsid w:val="00A13507"/>
    <w:rsid w:val="00A13BA5"/>
    <w:rsid w:val="00A1487B"/>
    <w:rsid w:val="00A16366"/>
    <w:rsid w:val="00A1761E"/>
    <w:rsid w:val="00A203A0"/>
    <w:rsid w:val="00A210C4"/>
    <w:rsid w:val="00A328A9"/>
    <w:rsid w:val="00A33807"/>
    <w:rsid w:val="00A36EAD"/>
    <w:rsid w:val="00A378CC"/>
    <w:rsid w:val="00A415B2"/>
    <w:rsid w:val="00A41B95"/>
    <w:rsid w:val="00A424A8"/>
    <w:rsid w:val="00A43E06"/>
    <w:rsid w:val="00A44D22"/>
    <w:rsid w:val="00A466D8"/>
    <w:rsid w:val="00A46F31"/>
    <w:rsid w:val="00A47EF4"/>
    <w:rsid w:val="00A51782"/>
    <w:rsid w:val="00A52AA1"/>
    <w:rsid w:val="00A53C86"/>
    <w:rsid w:val="00A541D5"/>
    <w:rsid w:val="00A54F94"/>
    <w:rsid w:val="00A55275"/>
    <w:rsid w:val="00A55807"/>
    <w:rsid w:val="00A55E64"/>
    <w:rsid w:val="00A5603A"/>
    <w:rsid w:val="00A605E3"/>
    <w:rsid w:val="00A62488"/>
    <w:rsid w:val="00A629E7"/>
    <w:rsid w:val="00A632FD"/>
    <w:rsid w:val="00A64D68"/>
    <w:rsid w:val="00A66266"/>
    <w:rsid w:val="00A66B36"/>
    <w:rsid w:val="00A66D66"/>
    <w:rsid w:val="00A66E76"/>
    <w:rsid w:val="00A74CD1"/>
    <w:rsid w:val="00A76D95"/>
    <w:rsid w:val="00A817FA"/>
    <w:rsid w:val="00A81A0E"/>
    <w:rsid w:val="00A828C5"/>
    <w:rsid w:val="00A8321F"/>
    <w:rsid w:val="00A85566"/>
    <w:rsid w:val="00A86B73"/>
    <w:rsid w:val="00A92085"/>
    <w:rsid w:val="00A92B08"/>
    <w:rsid w:val="00A93A10"/>
    <w:rsid w:val="00A9407C"/>
    <w:rsid w:val="00A94D74"/>
    <w:rsid w:val="00AA0F85"/>
    <w:rsid w:val="00AA2ABC"/>
    <w:rsid w:val="00AA2F0E"/>
    <w:rsid w:val="00AA49E0"/>
    <w:rsid w:val="00AA4F9C"/>
    <w:rsid w:val="00AA56D4"/>
    <w:rsid w:val="00AA694D"/>
    <w:rsid w:val="00AA6C32"/>
    <w:rsid w:val="00AB00ED"/>
    <w:rsid w:val="00AB5983"/>
    <w:rsid w:val="00AB6788"/>
    <w:rsid w:val="00AC0409"/>
    <w:rsid w:val="00AC2A05"/>
    <w:rsid w:val="00AC3031"/>
    <w:rsid w:val="00AC372C"/>
    <w:rsid w:val="00AC44A5"/>
    <w:rsid w:val="00AC44DB"/>
    <w:rsid w:val="00AC4A04"/>
    <w:rsid w:val="00AC7AB2"/>
    <w:rsid w:val="00AC7B79"/>
    <w:rsid w:val="00AC7F55"/>
    <w:rsid w:val="00AD4B32"/>
    <w:rsid w:val="00AD4D9B"/>
    <w:rsid w:val="00AD5F2F"/>
    <w:rsid w:val="00AD5F7E"/>
    <w:rsid w:val="00AD64A0"/>
    <w:rsid w:val="00AD741D"/>
    <w:rsid w:val="00AD786A"/>
    <w:rsid w:val="00AD7EC0"/>
    <w:rsid w:val="00AE02B0"/>
    <w:rsid w:val="00AE0A04"/>
    <w:rsid w:val="00AE0B5C"/>
    <w:rsid w:val="00AE4723"/>
    <w:rsid w:val="00AE4D4D"/>
    <w:rsid w:val="00AE71D2"/>
    <w:rsid w:val="00AF4775"/>
    <w:rsid w:val="00AF4D29"/>
    <w:rsid w:val="00AF4F14"/>
    <w:rsid w:val="00AF757C"/>
    <w:rsid w:val="00B008F6"/>
    <w:rsid w:val="00B0156F"/>
    <w:rsid w:val="00B05F0E"/>
    <w:rsid w:val="00B06393"/>
    <w:rsid w:val="00B06421"/>
    <w:rsid w:val="00B071C5"/>
    <w:rsid w:val="00B112C0"/>
    <w:rsid w:val="00B12099"/>
    <w:rsid w:val="00B1330B"/>
    <w:rsid w:val="00B1432A"/>
    <w:rsid w:val="00B14597"/>
    <w:rsid w:val="00B14A70"/>
    <w:rsid w:val="00B15443"/>
    <w:rsid w:val="00B15EA1"/>
    <w:rsid w:val="00B1717D"/>
    <w:rsid w:val="00B20ED6"/>
    <w:rsid w:val="00B259AA"/>
    <w:rsid w:val="00B27494"/>
    <w:rsid w:val="00B3007C"/>
    <w:rsid w:val="00B3100C"/>
    <w:rsid w:val="00B34668"/>
    <w:rsid w:val="00B36A9B"/>
    <w:rsid w:val="00B40482"/>
    <w:rsid w:val="00B45AC4"/>
    <w:rsid w:val="00B46D3B"/>
    <w:rsid w:val="00B51540"/>
    <w:rsid w:val="00B52F12"/>
    <w:rsid w:val="00B55A36"/>
    <w:rsid w:val="00B55AF7"/>
    <w:rsid w:val="00B56361"/>
    <w:rsid w:val="00B563D8"/>
    <w:rsid w:val="00B563ED"/>
    <w:rsid w:val="00B63373"/>
    <w:rsid w:val="00B63D01"/>
    <w:rsid w:val="00B64F9C"/>
    <w:rsid w:val="00B65D51"/>
    <w:rsid w:val="00B70200"/>
    <w:rsid w:val="00B72363"/>
    <w:rsid w:val="00B7557E"/>
    <w:rsid w:val="00B77C35"/>
    <w:rsid w:val="00B80811"/>
    <w:rsid w:val="00B80BCB"/>
    <w:rsid w:val="00B80C7E"/>
    <w:rsid w:val="00B841F0"/>
    <w:rsid w:val="00B87BC2"/>
    <w:rsid w:val="00B9256D"/>
    <w:rsid w:val="00B931B4"/>
    <w:rsid w:val="00B943AD"/>
    <w:rsid w:val="00B94DEF"/>
    <w:rsid w:val="00B956F0"/>
    <w:rsid w:val="00BA13D0"/>
    <w:rsid w:val="00BA19CF"/>
    <w:rsid w:val="00BA1A33"/>
    <w:rsid w:val="00BA369F"/>
    <w:rsid w:val="00BA385A"/>
    <w:rsid w:val="00BA3D69"/>
    <w:rsid w:val="00BA5AC5"/>
    <w:rsid w:val="00BB01FB"/>
    <w:rsid w:val="00BB0A56"/>
    <w:rsid w:val="00BB3604"/>
    <w:rsid w:val="00BB4354"/>
    <w:rsid w:val="00BB4DF4"/>
    <w:rsid w:val="00BB5209"/>
    <w:rsid w:val="00BC12F2"/>
    <w:rsid w:val="00BC3A10"/>
    <w:rsid w:val="00BC5BC2"/>
    <w:rsid w:val="00BC5CC2"/>
    <w:rsid w:val="00BC6779"/>
    <w:rsid w:val="00BC725D"/>
    <w:rsid w:val="00BD1570"/>
    <w:rsid w:val="00BD456C"/>
    <w:rsid w:val="00BD5A6D"/>
    <w:rsid w:val="00BE1702"/>
    <w:rsid w:val="00BE2B53"/>
    <w:rsid w:val="00BE302C"/>
    <w:rsid w:val="00BE3FFE"/>
    <w:rsid w:val="00BE43EE"/>
    <w:rsid w:val="00BE6F14"/>
    <w:rsid w:val="00BE7A0F"/>
    <w:rsid w:val="00BF0343"/>
    <w:rsid w:val="00BF0C1E"/>
    <w:rsid w:val="00BF3008"/>
    <w:rsid w:val="00BF45C2"/>
    <w:rsid w:val="00BF57F1"/>
    <w:rsid w:val="00BF6422"/>
    <w:rsid w:val="00BF699B"/>
    <w:rsid w:val="00BF7714"/>
    <w:rsid w:val="00BF7DA6"/>
    <w:rsid w:val="00C00442"/>
    <w:rsid w:val="00C01ABA"/>
    <w:rsid w:val="00C0325B"/>
    <w:rsid w:val="00C03475"/>
    <w:rsid w:val="00C03FFD"/>
    <w:rsid w:val="00C042A9"/>
    <w:rsid w:val="00C057F1"/>
    <w:rsid w:val="00C066D7"/>
    <w:rsid w:val="00C12571"/>
    <w:rsid w:val="00C13366"/>
    <w:rsid w:val="00C14F90"/>
    <w:rsid w:val="00C17CC2"/>
    <w:rsid w:val="00C20D48"/>
    <w:rsid w:val="00C21362"/>
    <w:rsid w:val="00C22CA5"/>
    <w:rsid w:val="00C23ACE"/>
    <w:rsid w:val="00C25776"/>
    <w:rsid w:val="00C25BA6"/>
    <w:rsid w:val="00C26EB1"/>
    <w:rsid w:val="00C30C09"/>
    <w:rsid w:val="00C33EBA"/>
    <w:rsid w:val="00C34F60"/>
    <w:rsid w:val="00C354A4"/>
    <w:rsid w:val="00C372C4"/>
    <w:rsid w:val="00C374D3"/>
    <w:rsid w:val="00C41948"/>
    <w:rsid w:val="00C4282E"/>
    <w:rsid w:val="00C44371"/>
    <w:rsid w:val="00C445F2"/>
    <w:rsid w:val="00C46C82"/>
    <w:rsid w:val="00C50682"/>
    <w:rsid w:val="00C51801"/>
    <w:rsid w:val="00C53015"/>
    <w:rsid w:val="00C6048B"/>
    <w:rsid w:val="00C60CE5"/>
    <w:rsid w:val="00C610F7"/>
    <w:rsid w:val="00C62C33"/>
    <w:rsid w:val="00C63A77"/>
    <w:rsid w:val="00C6601C"/>
    <w:rsid w:val="00C66A90"/>
    <w:rsid w:val="00C700B6"/>
    <w:rsid w:val="00C708A4"/>
    <w:rsid w:val="00C70DE8"/>
    <w:rsid w:val="00C7155B"/>
    <w:rsid w:val="00C75DD9"/>
    <w:rsid w:val="00C76497"/>
    <w:rsid w:val="00C76EA7"/>
    <w:rsid w:val="00C803C7"/>
    <w:rsid w:val="00C806CA"/>
    <w:rsid w:val="00C82907"/>
    <w:rsid w:val="00C82E5F"/>
    <w:rsid w:val="00C84163"/>
    <w:rsid w:val="00C849DC"/>
    <w:rsid w:val="00C858E1"/>
    <w:rsid w:val="00C860CF"/>
    <w:rsid w:val="00C86376"/>
    <w:rsid w:val="00C9066F"/>
    <w:rsid w:val="00C90D44"/>
    <w:rsid w:val="00C92531"/>
    <w:rsid w:val="00C93B37"/>
    <w:rsid w:val="00C95303"/>
    <w:rsid w:val="00C96315"/>
    <w:rsid w:val="00CA2C66"/>
    <w:rsid w:val="00CA358B"/>
    <w:rsid w:val="00CA3630"/>
    <w:rsid w:val="00CA4990"/>
    <w:rsid w:val="00CA4C0A"/>
    <w:rsid w:val="00CA5394"/>
    <w:rsid w:val="00CA5C02"/>
    <w:rsid w:val="00CA64B6"/>
    <w:rsid w:val="00CA6A25"/>
    <w:rsid w:val="00CA6A2D"/>
    <w:rsid w:val="00CA6ECF"/>
    <w:rsid w:val="00CA7F8C"/>
    <w:rsid w:val="00CB12C0"/>
    <w:rsid w:val="00CB2AEF"/>
    <w:rsid w:val="00CB749D"/>
    <w:rsid w:val="00CB7AD6"/>
    <w:rsid w:val="00CC1D20"/>
    <w:rsid w:val="00CC1E79"/>
    <w:rsid w:val="00CC21C6"/>
    <w:rsid w:val="00CC6535"/>
    <w:rsid w:val="00CC6D25"/>
    <w:rsid w:val="00CC70E0"/>
    <w:rsid w:val="00CD0021"/>
    <w:rsid w:val="00CD236D"/>
    <w:rsid w:val="00CD2F66"/>
    <w:rsid w:val="00CD3201"/>
    <w:rsid w:val="00CD493D"/>
    <w:rsid w:val="00CE4343"/>
    <w:rsid w:val="00CE4D49"/>
    <w:rsid w:val="00CE5271"/>
    <w:rsid w:val="00CF0A9A"/>
    <w:rsid w:val="00CF586B"/>
    <w:rsid w:val="00CF5F28"/>
    <w:rsid w:val="00CF69F7"/>
    <w:rsid w:val="00CF7969"/>
    <w:rsid w:val="00D05476"/>
    <w:rsid w:val="00D064FE"/>
    <w:rsid w:val="00D06AA3"/>
    <w:rsid w:val="00D10E8F"/>
    <w:rsid w:val="00D11975"/>
    <w:rsid w:val="00D12563"/>
    <w:rsid w:val="00D135F2"/>
    <w:rsid w:val="00D13646"/>
    <w:rsid w:val="00D15F71"/>
    <w:rsid w:val="00D17307"/>
    <w:rsid w:val="00D17597"/>
    <w:rsid w:val="00D17B63"/>
    <w:rsid w:val="00D20E45"/>
    <w:rsid w:val="00D217EC"/>
    <w:rsid w:val="00D23FFD"/>
    <w:rsid w:val="00D24313"/>
    <w:rsid w:val="00D246FD"/>
    <w:rsid w:val="00D26433"/>
    <w:rsid w:val="00D30C23"/>
    <w:rsid w:val="00D30EC1"/>
    <w:rsid w:val="00D331FE"/>
    <w:rsid w:val="00D338EB"/>
    <w:rsid w:val="00D344B2"/>
    <w:rsid w:val="00D34F34"/>
    <w:rsid w:val="00D35A50"/>
    <w:rsid w:val="00D35E21"/>
    <w:rsid w:val="00D364BB"/>
    <w:rsid w:val="00D43996"/>
    <w:rsid w:val="00D44A45"/>
    <w:rsid w:val="00D4570B"/>
    <w:rsid w:val="00D4584E"/>
    <w:rsid w:val="00D45D95"/>
    <w:rsid w:val="00D46705"/>
    <w:rsid w:val="00D47EB4"/>
    <w:rsid w:val="00D50075"/>
    <w:rsid w:val="00D51A07"/>
    <w:rsid w:val="00D5534F"/>
    <w:rsid w:val="00D5607D"/>
    <w:rsid w:val="00D57100"/>
    <w:rsid w:val="00D602E2"/>
    <w:rsid w:val="00D608C6"/>
    <w:rsid w:val="00D634FB"/>
    <w:rsid w:val="00D64B46"/>
    <w:rsid w:val="00D70F09"/>
    <w:rsid w:val="00D73886"/>
    <w:rsid w:val="00D73C67"/>
    <w:rsid w:val="00D73E1E"/>
    <w:rsid w:val="00D75410"/>
    <w:rsid w:val="00D7581E"/>
    <w:rsid w:val="00D8167E"/>
    <w:rsid w:val="00D81A45"/>
    <w:rsid w:val="00D81E94"/>
    <w:rsid w:val="00D85CC2"/>
    <w:rsid w:val="00D86130"/>
    <w:rsid w:val="00D86706"/>
    <w:rsid w:val="00D86DFB"/>
    <w:rsid w:val="00D879D9"/>
    <w:rsid w:val="00D87C94"/>
    <w:rsid w:val="00D91440"/>
    <w:rsid w:val="00D93134"/>
    <w:rsid w:val="00D93630"/>
    <w:rsid w:val="00D95586"/>
    <w:rsid w:val="00D95AD8"/>
    <w:rsid w:val="00D9658D"/>
    <w:rsid w:val="00D97A84"/>
    <w:rsid w:val="00DA322F"/>
    <w:rsid w:val="00DA4240"/>
    <w:rsid w:val="00DA4ACD"/>
    <w:rsid w:val="00DA667A"/>
    <w:rsid w:val="00DA79B9"/>
    <w:rsid w:val="00DB08D0"/>
    <w:rsid w:val="00DB3F1A"/>
    <w:rsid w:val="00DB5ECF"/>
    <w:rsid w:val="00DB662E"/>
    <w:rsid w:val="00DB6FC8"/>
    <w:rsid w:val="00DB7C93"/>
    <w:rsid w:val="00DC0842"/>
    <w:rsid w:val="00DC1CF7"/>
    <w:rsid w:val="00DC51AA"/>
    <w:rsid w:val="00DC65EC"/>
    <w:rsid w:val="00DD4673"/>
    <w:rsid w:val="00DD577A"/>
    <w:rsid w:val="00DD6ED3"/>
    <w:rsid w:val="00DD7C7B"/>
    <w:rsid w:val="00DE2213"/>
    <w:rsid w:val="00DE2C7B"/>
    <w:rsid w:val="00DE3AFF"/>
    <w:rsid w:val="00DE3C43"/>
    <w:rsid w:val="00DE3C5F"/>
    <w:rsid w:val="00DE5C06"/>
    <w:rsid w:val="00DE7B10"/>
    <w:rsid w:val="00DF160D"/>
    <w:rsid w:val="00DF502D"/>
    <w:rsid w:val="00DF5504"/>
    <w:rsid w:val="00DF5B5C"/>
    <w:rsid w:val="00DF5F20"/>
    <w:rsid w:val="00DF60EB"/>
    <w:rsid w:val="00DF7AE0"/>
    <w:rsid w:val="00E001C6"/>
    <w:rsid w:val="00E02B01"/>
    <w:rsid w:val="00E03F5A"/>
    <w:rsid w:val="00E04B72"/>
    <w:rsid w:val="00E04FBD"/>
    <w:rsid w:val="00E139AF"/>
    <w:rsid w:val="00E14AB0"/>
    <w:rsid w:val="00E1537F"/>
    <w:rsid w:val="00E15F65"/>
    <w:rsid w:val="00E15F7C"/>
    <w:rsid w:val="00E16128"/>
    <w:rsid w:val="00E16610"/>
    <w:rsid w:val="00E202A5"/>
    <w:rsid w:val="00E20B9E"/>
    <w:rsid w:val="00E20E56"/>
    <w:rsid w:val="00E21F21"/>
    <w:rsid w:val="00E2465B"/>
    <w:rsid w:val="00E24DA7"/>
    <w:rsid w:val="00E278BF"/>
    <w:rsid w:val="00E301A0"/>
    <w:rsid w:val="00E30819"/>
    <w:rsid w:val="00E3166E"/>
    <w:rsid w:val="00E31A32"/>
    <w:rsid w:val="00E32601"/>
    <w:rsid w:val="00E33811"/>
    <w:rsid w:val="00E37EED"/>
    <w:rsid w:val="00E42C78"/>
    <w:rsid w:val="00E43697"/>
    <w:rsid w:val="00E44973"/>
    <w:rsid w:val="00E449F9"/>
    <w:rsid w:val="00E454DB"/>
    <w:rsid w:val="00E458AB"/>
    <w:rsid w:val="00E47E6F"/>
    <w:rsid w:val="00E512ED"/>
    <w:rsid w:val="00E51799"/>
    <w:rsid w:val="00E54DCA"/>
    <w:rsid w:val="00E55153"/>
    <w:rsid w:val="00E577ED"/>
    <w:rsid w:val="00E57913"/>
    <w:rsid w:val="00E61777"/>
    <w:rsid w:val="00E621F9"/>
    <w:rsid w:val="00E63051"/>
    <w:rsid w:val="00E63ECC"/>
    <w:rsid w:val="00E6441D"/>
    <w:rsid w:val="00E67BB5"/>
    <w:rsid w:val="00E704DE"/>
    <w:rsid w:val="00E74796"/>
    <w:rsid w:val="00E75017"/>
    <w:rsid w:val="00E75C50"/>
    <w:rsid w:val="00E76F88"/>
    <w:rsid w:val="00E8025C"/>
    <w:rsid w:val="00E80E0C"/>
    <w:rsid w:val="00E83536"/>
    <w:rsid w:val="00E8354E"/>
    <w:rsid w:val="00E83D87"/>
    <w:rsid w:val="00E857AB"/>
    <w:rsid w:val="00E92C77"/>
    <w:rsid w:val="00E96D17"/>
    <w:rsid w:val="00E972DC"/>
    <w:rsid w:val="00E97629"/>
    <w:rsid w:val="00EA28CE"/>
    <w:rsid w:val="00EA30A3"/>
    <w:rsid w:val="00EA45E9"/>
    <w:rsid w:val="00EA515D"/>
    <w:rsid w:val="00EA660A"/>
    <w:rsid w:val="00EA7338"/>
    <w:rsid w:val="00EB12D5"/>
    <w:rsid w:val="00EB2C81"/>
    <w:rsid w:val="00EB3280"/>
    <w:rsid w:val="00EB5890"/>
    <w:rsid w:val="00EB5E78"/>
    <w:rsid w:val="00EB7ADA"/>
    <w:rsid w:val="00EC1307"/>
    <w:rsid w:val="00EC14D1"/>
    <w:rsid w:val="00EC1BDA"/>
    <w:rsid w:val="00EC3921"/>
    <w:rsid w:val="00EC3E9C"/>
    <w:rsid w:val="00EC5BEC"/>
    <w:rsid w:val="00EC5C98"/>
    <w:rsid w:val="00EC65E6"/>
    <w:rsid w:val="00EC7B78"/>
    <w:rsid w:val="00ED0618"/>
    <w:rsid w:val="00ED4CE8"/>
    <w:rsid w:val="00ED5D5D"/>
    <w:rsid w:val="00EE1782"/>
    <w:rsid w:val="00EE3F91"/>
    <w:rsid w:val="00EE5E7A"/>
    <w:rsid w:val="00EE6340"/>
    <w:rsid w:val="00EE7913"/>
    <w:rsid w:val="00EE7DE0"/>
    <w:rsid w:val="00EF010B"/>
    <w:rsid w:val="00EF0547"/>
    <w:rsid w:val="00EF19E1"/>
    <w:rsid w:val="00EF1A04"/>
    <w:rsid w:val="00EF1F60"/>
    <w:rsid w:val="00EF1FEA"/>
    <w:rsid w:val="00EF4FBD"/>
    <w:rsid w:val="00EF54B6"/>
    <w:rsid w:val="00EF67FE"/>
    <w:rsid w:val="00F002B9"/>
    <w:rsid w:val="00F00A9B"/>
    <w:rsid w:val="00F012A0"/>
    <w:rsid w:val="00F028B3"/>
    <w:rsid w:val="00F028ED"/>
    <w:rsid w:val="00F02CEA"/>
    <w:rsid w:val="00F04CF9"/>
    <w:rsid w:val="00F05EB3"/>
    <w:rsid w:val="00F10BAD"/>
    <w:rsid w:val="00F13FCA"/>
    <w:rsid w:val="00F15015"/>
    <w:rsid w:val="00F1588C"/>
    <w:rsid w:val="00F16D75"/>
    <w:rsid w:val="00F1702F"/>
    <w:rsid w:val="00F17AAE"/>
    <w:rsid w:val="00F204F0"/>
    <w:rsid w:val="00F20DB5"/>
    <w:rsid w:val="00F21235"/>
    <w:rsid w:val="00F23325"/>
    <w:rsid w:val="00F23513"/>
    <w:rsid w:val="00F2493A"/>
    <w:rsid w:val="00F24EF1"/>
    <w:rsid w:val="00F25485"/>
    <w:rsid w:val="00F2551C"/>
    <w:rsid w:val="00F26A27"/>
    <w:rsid w:val="00F301B0"/>
    <w:rsid w:val="00F32FB4"/>
    <w:rsid w:val="00F33CF1"/>
    <w:rsid w:val="00F33E6F"/>
    <w:rsid w:val="00F36092"/>
    <w:rsid w:val="00F4015B"/>
    <w:rsid w:val="00F414A1"/>
    <w:rsid w:val="00F44CCE"/>
    <w:rsid w:val="00F45A98"/>
    <w:rsid w:val="00F47469"/>
    <w:rsid w:val="00F47830"/>
    <w:rsid w:val="00F5069B"/>
    <w:rsid w:val="00F5224A"/>
    <w:rsid w:val="00F526CE"/>
    <w:rsid w:val="00F52ED6"/>
    <w:rsid w:val="00F532F8"/>
    <w:rsid w:val="00F614C7"/>
    <w:rsid w:val="00F61826"/>
    <w:rsid w:val="00F61CDE"/>
    <w:rsid w:val="00F62236"/>
    <w:rsid w:val="00F65EDE"/>
    <w:rsid w:val="00F6652B"/>
    <w:rsid w:val="00F72393"/>
    <w:rsid w:val="00F72A5C"/>
    <w:rsid w:val="00F741FD"/>
    <w:rsid w:val="00F77870"/>
    <w:rsid w:val="00F8027B"/>
    <w:rsid w:val="00F81ADE"/>
    <w:rsid w:val="00F830A3"/>
    <w:rsid w:val="00F86F3F"/>
    <w:rsid w:val="00F92F5A"/>
    <w:rsid w:val="00F96E75"/>
    <w:rsid w:val="00FA006D"/>
    <w:rsid w:val="00FA1891"/>
    <w:rsid w:val="00FA2122"/>
    <w:rsid w:val="00FA3DB7"/>
    <w:rsid w:val="00FA40E0"/>
    <w:rsid w:val="00FA4F4C"/>
    <w:rsid w:val="00FB0670"/>
    <w:rsid w:val="00FB1C68"/>
    <w:rsid w:val="00FB30CD"/>
    <w:rsid w:val="00FB3D3B"/>
    <w:rsid w:val="00FB4C62"/>
    <w:rsid w:val="00FB58F3"/>
    <w:rsid w:val="00FB5F29"/>
    <w:rsid w:val="00FB62F1"/>
    <w:rsid w:val="00FB6579"/>
    <w:rsid w:val="00FC3E95"/>
    <w:rsid w:val="00FC4D44"/>
    <w:rsid w:val="00FC6A4A"/>
    <w:rsid w:val="00FC7B6D"/>
    <w:rsid w:val="00FD18AA"/>
    <w:rsid w:val="00FD1D55"/>
    <w:rsid w:val="00FD1EAC"/>
    <w:rsid w:val="00FD24F6"/>
    <w:rsid w:val="00FD6980"/>
    <w:rsid w:val="00FD7BF1"/>
    <w:rsid w:val="00FE2BE4"/>
    <w:rsid w:val="00FE3A7F"/>
    <w:rsid w:val="00FEE43A"/>
    <w:rsid w:val="00FF45B4"/>
    <w:rsid w:val="00FF54A5"/>
    <w:rsid w:val="00FF696C"/>
    <w:rsid w:val="03DBB506"/>
    <w:rsid w:val="0412B77B"/>
    <w:rsid w:val="043A597E"/>
    <w:rsid w:val="0485E75E"/>
    <w:rsid w:val="04E43E18"/>
    <w:rsid w:val="04E6300D"/>
    <w:rsid w:val="062D349F"/>
    <w:rsid w:val="085D1C77"/>
    <w:rsid w:val="08794D26"/>
    <w:rsid w:val="08E97DC0"/>
    <w:rsid w:val="0ACC3651"/>
    <w:rsid w:val="0C7A2A3B"/>
    <w:rsid w:val="0DD7455A"/>
    <w:rsid w:val="0DFF3DF8"/>
    <w:rsid w:val="0E62A427"/>
    <w:rsid w:val="0F3DFF19"/>
    <w:rsid w:val="107D342A"/>
    <w:rsid w:val="1084BF1C"/>
    <w:rsid w:val="124A982A"/>
    <w:rsid w:val="12CBF566"/>
    <w:rsid w:val="12F4F2E4"/>
    <w:rsid w:val="146D9089"/>
    <w:rsid w:val="1481E5CD"/>
    <w:rsid w:val="152FDCA8"/>
    <w:rsid w:val="158A24B3"/>
    <w:rsid w:val="186BDD32"/>
    <w:rsid w:val="1895559E"/>
    <w:rsid w:val="19225F7D"/>
    <w:rsid w:val="1AE7CD20"/>
    <w:rsid w:val="1B572878"/>
    <w:rsid w:val="1B9D60CA"/>
    <w:rsid w:val="1BF28B81"/>
    <w:rsid w:val="1CD7E2E7"/>
    <w:rsid w:val="1E870D32"/>
    <w:rsid w:val="1F01406F"/>
    <w:rsid w:val="1F0FACD1"/>
    <w:rsid w:val="1F1F9BB8"/>
    <w:rsid w:val="203FC59F"/>
    <w:rsid w:val="215555C7"/>
    <w:rsid w:val="222F995C"/>
    <w:rsid w:val="23510B5D"/>
    <w:rsid w:val="2498D7E5"/>
    <w:rsid w:val="24F2FE05"/>
    <w:rsid w:val="2653EB2B"/>
    <w:rsid w:val="27F2742C"/>
    <w:rsid w:val="2912FD3D"/>
    <w:rsid w:val="299FF422"/>
    <w:rsid w:val="2A17335E"/>
    <w:rsid w:val="2BA1F81E"/>
    <w:rsid w:val="2CE0B006"/>
    <w:rsid w:val="2D718E50"/>
    <w:rsid w:val="2E80B7EE"/>
    <w:rsid w:val="2ECE26C3"/>
    <w:rsid w:val="2FB6F5FA"/>
    <w:rsid w:val="2FFBA015"/>
    <w:rsid w:val="306EAF57"/>
    <w:rsid w:val="310865BB"/>
    <w:rsid w:val="3130F09E"/>
    <w:rsid w:val="31390C08"/>
    <w:rsid w:val="316EE60C"/>
    <w:rsid w:val="31E5368E"/>
    <w:rsid w:val="3319B524"/>
    <w:rsid w:val="34B08B05"/>
    <w:rsid w:val="38772914"/>
    <w:rsid w:val="39030E7A"/>
    <w:rsid w:val="3AA8A829"/>
    <w:rsid w:val="3B925809"/>
    <w:rsid w:val="3CF10466"/>
    <w:rsid w:val="3D169BFC"/>
    <w:rsid w:val="3D6F2400"/>
    <w:rsid w:val="3FBCF0EA"/>
    <w:rsid w:val="40AD24E4"/>
    <w:rsid w:val="40FAA07A"/>
    <w:rsid w:val="43E7EA35"/>
    <w:rsid w:val="44233FB3"/>
    <w:rsid w:val="449FAC61"/>
    <w:rsid w:val="44A42922"/>
    <w:rsid w:val="44A5F88B"/>
    <w:rsid w:val="455A8995"/>
    <w:rsid w:val="45A55146"/>
    <w:rsid w:val="45EF46F6"/>
    <w:rsid w:val="46B19B0C"/>
    <w:rsid w:val="46BE9D99"/>
    <w:rsid w:val="494611B8"/>
    <w:rsid w:val="4A13EBC7"/>
    <w:rsid w:val="4A66B118"/>
    <w:rsid w:val="4A6CC7D0"/>
    <w:rsid w:val="4C0492F6"/>
    <w:rsid w:val="4C0FF473"/>
    <w:rsid w:val="4C414C6B"/>
    <w:rsid w:val="4CDBBBD5"/>
    <w:rsid w:val="4D36A620"/>
    <w:rsid w:val="4D98140C"/>
    <w:rsid w:val="4DA4FD56"/>
    <w:rsid w:val="4EA995FA"/>
    <w:rsid w:val="4F4BDBF8"/>
    <w:rsid w:val="4FAC0F8B"/>
    <w:rsid w:val="50218411"/>
    <w:rsid w:val="50CF50FD"/>
    <w:rsid w:val="50D8C07E"/>
    <w:rsid w:val="50E1D184"/>
    <w:rsid w:val="5192EF0A"/>
    <w:rsid w:val="531BA7F2"/>
    <w:rsid w:val="54BEEA64"/>
    <w:rsid w:val="55B3BFB7"/>
    <w:rsid w:val="57284758"/>
    <w:rsid w:val="57665828"/>
    <w:rsid w:val="586918AE"/>
    <w:rsid w:val="588CC86F"/>
    <w:rsid w:val="58B3F360"/>
    <w:rsid w:val="5B39FE45"/>
    <w:rsid w:val="5B924120"/>
    <w:rsid w:val="5BE96C8A"/>
    <w:rsid w:val="5C8B2103"/>
    <w:rsid w:val="5F3B76FB"/>
    <w:rsid w:val="60EEB27E"/>
    <w:rsid w:val="6286FDF7"/>
    <w:rsid w:val="62C423CD"/>
    <w:rsid w:val="62E9D340"/>
    <w:rsid w:val="63390F77"/>
    <w:rsid w:val="640E0F35"/>
    <w:rsid w:val="648FAF23"/>
    <w:rsid w:val="659BFEB2"/>
    <w:rsid w:val="66477A66"/>
    <w:rsid w:val="6688185B"/>
    <w:rsid w:val="66F692AE"/>
    <w:rsid w:val="68C14766"/>
    <w:rsid w:val="6932D71B"/>
    <w:rsid w:val="69635289"/>
    <w:rsid w:val="69BA26D5"/>
    <w:rsid w:val="69C9F914"/>
    <w:rsid w:val="6A1D0AEE"/>
    <w:rsid w:val="6B38EBC1"/>
    <w:rsid w:val="6C2C1C96"/>
    <w:rsid w:val="6C48771F"/>
    <w:rsid w:val="70C6AEBD"/>
    <w:rsid w:val="7173DFF4"/>
    <w:rsid w:val="72323A29"/>
    <w:rsid w:val="7332A8E5"/>
    <w:rsid w:val="73A0C85D"/>
    <w:rsid w:val="73CE0A8A"/>
    <w:rsid w:val="73D7F052"/>
    <w:rsid w:val="73F418E9"/>
    <w:rsid w:val="74330388"/>
    <w:rsid w:val="747EE68F"/>
    <w:rsid w:val="74FE83AC"/>
    <w:rsid w:val="75A7B089"/>
    <w:rsid w:val="769A1B44"/>
    <w:rsid w:val="769B6195"/>
    <w:rsid w:val="77F8A6D4"/>
    <w:rsid w:val="7A1D6733"/>
    <w:rsid w:val="7A911D44"/>
    <w:rsid w:val="7BB5C389"/>
    <w:rsid w:val="7C6AD459"/>
    <w:rsid w:val="7F87AC9D"/>
    <w:rsid w:val="7FDCB62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12E7ECF7"/>
  <w15:chartTrackingRefBased/>
  <w15:docId w15:val="{EA913515-DA83-4426-A246-3F9B686209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42C78"/>
    <w:pPr>
      <w:spacing w:before="120" w:after="120"/>
      <w:jc w:val="both"/>
    </w:pPr>
    <w:rPr>
      <w:rFonts w:ascii="EC Square Sans Pro" w:hAnsi="EC Square Sans Pro"/>
      <w:sz w:val="24"/>
    </w:rPr>
  </w:style>
  <w:style w:type="paragraph" w:styleId="Heading1">
    <w:name w:val="heading 1"/>
    <w:basedOn w:val="Normal"/>
    <w:next w:val="Normal"/>
    <w:link w:val="Heading1Char"/>
    <w:uiPriority w:val="9"/>
    <w:qFormat/>
    <w:rsid w:val="00F204F0"/>
    <w:pPr>
      <w:keepNext/>
      <w:keepLines/>
      <w:spacing w:before="240" w:after="0"/>
      <w:outlineLvl w:val="0"/>
    </w:pPr>
    <w:rPr>
      <w:rFonts w:asciiTheme="majorHAnsi" w:eastAsiaTheme="majorEastAsia" w:hAnsiTheme="majorHAnsi" w:cstheme="majorBidi"/>
      <w:color w:val="532477" w:themeColor="accent1" w:themeShade="BF"/>
      <w:kern w:val="2"/>
      <w:sz w:val="32"/>
      <w:szCs w:val="32"/>
      <w14:ligatures w14:val="standardContextual"/>
    </w:rPr>
  </w:style>
  <w:style w:type="paragraph" w:styleId="Heading2">
    <w:name w:val="heading 2"/>
    <w:basedOn w:val="a"/>
    <w:next w:val="Normal"/>
    <w:link w:val="Heading2Char"/>
    <w:uiPriority w:val="9"/>
    <w:unhideWhenUsed/>
    <w:qFormat/>
    <w:rsid w:val="009F5642"/>
    <w:pPr>
      <w:ind w:left="714" w:hanging="357"/>
      <w:outlineLvl w:val="1"/>
    </w:pPr>
  </w:style>
  <w:style w:type="paragraph" w:styleId="Heading3">
    <w:name w:val="heading 3"/>
    <w:basedOn w:val="Normal"/>
    <w:next w:val="Normal"/>
    <w:link w:val="Heading3Char"/>
    <w:uiPriority w:val="9"/>
    <w:unhideWhenUsed/>
    <w:qFormat/>
    <w:rsid w:val="002434E7"/>
    <w:pPr>
      <w:keepNext/>
      <w:keepLines/>
      <w:spacing w:before="40" w:after="0"/>
      <w:outlineLvl w:val="2"/>
    </w:pPr>
    <w:rPr>
      <w:rFonts w:asciiTheme="majorHAnsi" w:eastAsiaTheme="majorEastAsia" w:hAnsiTheme="majorHAnsi" w:cstheme="majorBidi"/>
      <w:color w:val="37184F" w:themeColor="accent1" w:themeShade="7F"/>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44578"/>
    <w:rPr>
      <w:rFonts w:ascii="EC Square Sans Pro" w:hAnsi="EC Square Sans Pro"/>
      <w:b/>
      <w:noProof/>
      <w:color w:val="008139" w:themeColor="accent5"/>
      <w:sz w:val="28"/>
      <w:szCs w:val="24"/>
    </w:rPr>
  </w:style>
  <w:style w:type="character" w:customStyle="1" w:styleId="Heading3Char">
    <w:name w:val="Heading 3 Char"/>
    <w:basedOn w:val="DefaultParagraphFont"/>
    <w:link w:val="Heading3"/>
    <w:uiPriority w:val="9"/>
    <w:rsid w:val="002434E7"/>
    <w:rPr>
      <w:rFonts w:asciiTheme="majorHAnsi" w:eastAsiaTheme="majorEastAsia" w:hAnsiTheme="majorHAnsi" w:cstheme="majorBidi"/>
      <w:color w:val="37184F" w:themeColor="accent1" w:themeShade="7F"/>
      <w:sz w:val="24"/>
      <w:szCs w:val="24"/>
      <w:lang w:val="ro-RO"/>
    </w:rPr>
  </w:style>
  <w:style w:type="paragraph" w:styleId="ListParagraph">
    <w:name w:val="List Paragraph"/>
    <w:aliases w:val="Dot pt,F5 List Paragraph,List Paragraph1,No Spacing1,List Paragraph Char Char Char,Indicator Text,Colorful List - Accent 11,Numbered Para 1,Bullet 1,Bullet Points,MAIN CONTENT,List Paragraph11,List Paragraph12,List Paragraph2,OBC Bullet,L"/>
    <w:basedOn w:val="Normal"/>
    <w:link w:val="ListParagraphChar"/>
    <w:uiPriority w:val="34"/>
    <w:qFormat/>
    <w:rsid w:val="002434E7"/>
    <w:pPr>
      <w:ind w:left="720"/>
      <w:contextualSpacing/>
    </w:pPr>
  </w:style>
  <w:style w:type="paragraph" w:customStyle="1" w:styleId="Text1">
    <w:name w:val="Text 1"/>
    <w:basedOn w:val="Normal"/>
    <w:link w:val="Text1Char"/>
    <w:uiPriority w:val="1"/>
    <w:rsid w:val="002434E7"/>
    <w:pPr>
      <w:spacing w:after="240" w:line="240" w:lineRule="auto"/>
      <w:ind w:left="482"/>
    </w:pPr>
    <w:rPr>
      <w:rFonts w:ascii="Times New Roman" w:eastAsia="Times New Roman" w:hAnsi="Times New Roman" w:cs="Times New Roman"/>
      <w:szCs w:val="20"/>
    </w:rPr>
  </w:style>
  <w:style w:type="character" w:customStyle="1" w:styleId="Text1Char">
    <w:name w:val="Text 1 Char"/>
    <w:link w:val="Text1"/>
    <w:uiPriority w:val="1"/>
    <w:locked/>
    <w:rsid w:val="002434E7"/>
    <w:rPr>
      <w:rFonts w:ascii="Times New Roman" w:eastAsia="Times New Roman" w:hAnsi="Times New Roman" w:cs="Times New Roman"/>
      <w:sz w:val="24"/>
      <w:szCs w:val="20"/>
    </w:rPr>
  </w:style>
  <w:style w:type="character" w:styleId="Hyperlink">
    <w:name w:val="Hyperlink"/>
    <w:uiPriority w:val="99"/>
    <w:rsid w:val="00F32FB4"/>
    <w:rPr>
      <w:color w:val="003399"/>
      <w:u w:val="single"/>
    </w:rPr>
  </w:style>
  <w:style w:type="paragraph" w:customStyle="1" w:styleId="Body">
    <w:name w:val="Body"/>
    <w:uiPriority w:val="99"/>
    <w:rsid w:val="002434E7"/>
    <w:pPr>
      <w:widowControl w:val="0"/>
      <w:pBdr>
        <w:top w:val="nil"/>
        <w:left w:val="nil"/>
        <w:bottom w:val="nil"/>
        <w:right w:val="nil"/>
        <w:between w:val="nil"/>
        <w:bar w:val="nil"/>
      </w:pBdr>
      <w:spacing w:after="0" w:line="240" w:lineRule="auto"/>
    </w:pPr>
    <w:rPr>
      <w:rFonts w:ascii="Times New Roman" w:eastAsia="Times New Roman" w:hAnsi="Times New Roman" w:cs="Times New Roman"/>
      <w:color w:val="000000"/>
      <w:sz w:val="24"/>
      <w:szCs w:val="24"/>
      <w:u w:color="000000"/>
      <w:bdr w:val="nil"/>
      <w:lang w:eastAsia="fr-BE"/>
      <w14:textOutline w14:w="0" w14:cap="flat" w14:cmpd="sng" w14:algn="ctr">
        <w14:noFill/>
        <w14:prstDash w14:val="solid"/>
        <w14:bevel/>
      </w14:textOutline>
    </w:rPr>
  </w:style>
  <w:style w:type="paragraph" w:customStyle="1" w:styleId="CorpoAA">
    <w:name w:val="Corpo A A"/>
    <w:rsid w:val="002434E7"/>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lang w:eastAsia="en-GB"/>
      <w14:textOutline w14:w="12700" w14:cap="flat" w14:cmpd="sng" w14:algn="ctr">
        <w14:noFill/>
        <w14:prstDash w14:val="solid"/>
        <w14:miter w14:lim="400000"/>
      </w14:textOutline>
    </w:rPr>
  </w:style>
  <w:style w:type="character" w:customStyle="1" w:styleId="Marker">
    <w:name w:val="Marker"/>
    <w:basedOn w:val="DefaultParagraphFont"/>
    <w:rsid w:val="00F17AAE"/>
    <w:rPr>
      <w:color w:val="0000FF"/>
      <w:shd w:val="clear" w:color="auto" w:fill="auto"/>
    </w:rPr>
  </w:style>
  <w:style w:type="paragraph" w:styleId="Header">
    <w:name w:val="header"/>
    <w:basedOn w:val="Normal"/>
    <w:link w:val="HeaderChar"/>
    <w:uiPriority w:val="99"/>
    <w:unhideWhenUsed/>
    <w:rsid w:val="00F17AAE"/>
    <w:pPr>
      <w:tabs>
        <w:tab w:val="center" w:pos="4513"/>
        <w:tab w:val="right" w:pos="9026"/>
      </w:tabs>
      <w:spacing w:after="0" w:line="240" w:lineRule="auto"/>
    </w:pPr>
  </w:style>
  <w:style w:type="character" w:customStyle="1" w:styleId="HeaderChar">
    <w:name w:val="Header Char"/>
    <w:basedOn w:val="DefaultParagraphFont"/>
    <w:link w:val="Header"/>
    <w:uiPriority w:val="99"/>
    <w:rsid w:val="00F17AAE"/>
    <w:rPr>
      <w:lang w:val="ro-RO"/>
    </w:rPr>
  </w:style>
  <w:style w:type="paragraph" w:styleId="Footer">
    <w:name w:val="footer"/>
    <w:basedOn w:val="Normal"/>
    <w:link w:val="FooterChar"/>
    <w:uiPriority w:val="99"/>
    <w:unhideWhenUsed/>
    <w:rsid w:val="00F17AAE"/>
    <w:pPr>
      <w:tabs>
        <w:tab w:val="center" w:pos="4513"/>
        <w:tab w:val="right" w:pos="9026"/>
      </w:tabs>
      <w:spacing w:after="0" w:line="240" w:lineRule="auto"/>
    </w:pPr>
  </w:style>
  <w:style w:type="character" w:customStyle="1" w:styleId="FooterChar">
    <w:name w:val="Footer Char"/>
    <w:basedOn w:val="DefaultParagraphFont"/>
    <w:link w:val="Footer"/>
    <w:uiPriority w:val="99"/>
    <w:rsid w:val="00F17AAE"/>
    <w:rPr>
      <w:lang w:val="ro-RO"/>
    </w:rPr>
  </w:style>
  <w:style w:type="paragraph" w:customStyle="1" w:styleId="Pagedecouverture">
    <w:name w:val="Page de couverture"/>
    <w:basedOn w:val="Normal"/>
    <w:next w:val="Normal"/>
    <w:rsid w:val="00177099"/>
    <w:pPr>
      <w:spacing w:before="0" w:after="240" w:line="240" w:lineRule="auto"/>
      <w:jc w:val="center"/>
    </w:pPr>
    <w:rPr>
      <w:rFonts w:cs="Times New Roman"/>
      <w:bCs/>
      <w:color w:val="003399"/>
      <w:sz w:val="28"/>
      <w:szCs w:val="24"/>
    </w:rPr>
  </w:style>
  <w:style w:type="paragraph" w:customStyle="1" w:styleId="FooterCoverPage">
    <w:name w:val="Footer Cover Page"/>
    <w:basedOn w:val="Normal"/>
    <w:link w:val="FooterCoverPageChar"/>
    <w:rsid w:val="00F17AAE"/>
    <w:pPr>
      <w:tabs>
        <w:tab w:val="center" w:pos="4535"/>
        <w:tab w:val="right" w:pos="9071"/>
        <w:tab w:val="right" w:pos="9921"/>
      </w:tabs>
      <w:spacing w:before="360" w:after="0" w:line="240" w:lineRule="auto"/>
      <w:ind w:left="-850" w:right="-850"/>
      <w:jc w:val="left"/>
    </w:pPr>
    <w:rPr>
      <w:rFonts w:ascii="Times New Roman" w:hAnsi="Times New Roman" w:cs="Times New Roman"/>
    </w:rPr>
  </w:style>
  <w:style w:type="character" w:customStyle="1" w:styleId="FooterCoverPageChar">
    <w:name w:val="Footer Cover Page Char"/>
    <w:basedOn w:val="DefaultParagraphFont"/>
    <w:link w:val="FooterCoverPage"/>
    <w:rsid w:val="00F17AAE"/>
    <w:rPr>
      <w:rFonts w:ascii="Times New Roman" w:hAnsi="Times New Roman" w:cs="Times New Roman"/>
      <w:sz w:val="24"/>
    </w:rPr>
  </w:style>
  <w:style w:type="paragraph" w:customStyle="1" w:styleId="FooterSensitivity">
    <w:name w:val="Footer Sensitivity"/>
    <w:basedOn w:val="Normal"/>
    <w:link w:val="FooterSensitivityChar"/>
    <w:rsid w:val="00F17AAE"/>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F17AAE"/>
    <w:rPr>
      <w:rFonts w:ascii="Times New Roman" w:hAnsi="Times New Roman" w:cs="Times New Roman"/>
      <w:b/>
      <w:sz w:val="32"/>
    </w:rPr>
  </w:style>
  <w:style w:type="paragraph" w:customStyle="1" w:styleId="HeaderCoverPage">
    <w:name w:val="Header Cover Page"/>
    <w:basedOn w:val="Normal"/>
    <w:link w:val="HeaderCoverPageChar"/>
    <w:rsid w:val="00F17AAE"/>
    <w:pPr>
      <w:tabs>
        <w:tab w:val="center" w:pos="4535"/>
        <w:tab w:val="right" w:pos="9071"/>
      </w:tabs>
      <w:spacing w:before="0" w:line="240" w:lineRule="auto"/>
    </w:pPr>
    <w:rPr>
      <w:rFonts w:ascii="Times New Roman" w:hAnsi="Times New Roman" w:cs="Times New Roman"/>
    </w:rPr>
  </w:style>
  <w:style w:type="character" w:customStyle="1" w:styleId="HeaderCoverPageChar">
    <w:name w:val="Header Cover Page Char"/>
    <w:basedOn w:val="DefaultParagraphFont"/>
    <w:link w:val="HeaderCoverPage"/>
    <w:rsid w:val="00F17AAE"/>
    <w:rPr>
      <w:rFonts w:ascii="Times New Roman" w:hAnsi="Times New Roman" w:cs="Times New Roman"/>
      <w:sz w:val="24"/>
    </w:rPr>
  </w:style>
  <w:style w:type="paragraph" w:customStyle="1" w:styleId="HeaderSensitivity">
    <w:name w:val="Header Sensitivity"/>
    <w:basedOn w:val="Normal"/>
    <w:link w:val="HeaderSensitivityChar"/>
    <w:rsid w:val="00F17AAE"/>
    <w:pPr>
      <w:pBdr>
        <w:top w:val="single" w:sz="4" w:space="1" w:color="auto"/>
        <w:left w:val="single" w:sz="4" w:space="4" w:color="auto"/>
        <w:bottom w:val="single" w:sz="4" w:space="1" w:color="auto"/>
        <w:right w:val="single" w:sz="4" w:space="4" w:color="auto"/>
      </w:pBdr>
      <w:spacing w:before="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F17AAE"/>
    <w:rPr>
      <w:rFonts w:ascii="Times New Roman" w:hAnsi="Times New Roman" w:cs="Times New Roman"/>
      <w:b/>
      <w:sz w:val="32"/>
    </w:rPr>
  </w:style>
  <w:style w:type="paragraph" w:customStyle="1" w:styleId="HeaderSensitivityRight">
    <w:name w:val="Header Sensitivity Right"/>
    <w:basedOn w:val="Normal"/>
    <w:link w:val="HeaderSensitivityRightChar"/>
    <w:rsid w:val="007D0962"/>
    <w:pPr>
      <w:spacing w:before="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F17AAE"/>
    <w:rPr>
      <w:rFonts w:ascii="Times New Roman" w:hAnsi="Times New Roman" w:cs="Times New Roman"/>
      <w:sz w:val="28"/>
    </w:rPr>
  </w:style>
  <w:style w:type="character" w:styleId="CommentReference">
    <w:name w:val="annotation reference"/>
    <w:basedOn w:val="DefaultParagraphFont"/>
    <w:uiPriority w:val="99"/>
    <w:unhideWhenUsed/>
    <w:rsid w:val="00587683"/>
    <w:rPr>
      <w:sz w:val="16"/>
      <w:szCs w:val="16"/>
    </w:rPr>
  </w:style>
  <w:style w:type="paragraph" w:styleId="CommentText">
    <w:name w:val="annotation text"/>
    <w:basedOn w:val="Normal"/>
    <w:link w:val="CommentTextChar"/>
    <w:uiPriority w:val="99"/>
    <w:unhideWhenUsed/>
    <w:rsid w:val="00587683"/>
    <w:pPr>
      <w:spacing w:line="240" w:lineRule="auto"/>
    </w:pPr>
    <w:rPr>
      <w:sz w:val="20"/>
      <w:szCs w:val="20"/>
    </w:rPr>
  </w:style>
  <w:style w:type="character" w:customStyle="1" w:styleId="CommentTextChar">
    <w:name w:val="Comment Text Char"/>
    <w:basedOn w:val="DefaultParagraphFont"/>
    <w:link w:val="CommentText"/>
    <w:uiPriority w:val="99"/>
    <w:rsid w:val="00587683"/>
    <w:rPr>
      <w:sz w:val="20"/>
      <w:szCs w:val="20"/>
      <w:lang w:val="ro-RO"/>
    </w:rPr>
  </w:style>
  <w:style w:type="paragraph" w:styleId="CommentSubject">
    <w:name w:val="annotation subject"/>
    <w:basedOn w:val="CommentText"/>
    <w:next w:val="CommentText"/>
    <w:link w:val="CommentSubjectChar"/>
    <w:uiPriority w:val="99"/>
    <w:semiHidden/>
    <w:unhideWhenUsed/>
    <w:rsid w:val="00587683"/>
    <w:rPr>
      <w:b/>
      <w:bCs/>
    </w:rPr>
  </w:style>
  <w:style w:type="character" w:customStyle="1" w:styleId="CommentSubjectChar">
    <w:name w:val="Comment Subject Char"/>
    <w:basedOn w:val="CommentTextChar"/>
    <w:link w:val="CommentSubject"/>
    <w:uiPriority w:val="99"/>
    <w:semiHidden/>
    <w:rsid w:val="00587683"/>
    <w:rPr>
      <w:b/>
      <w:bCs/>
      <w:sz w:val="20"/>
      <w:szCs w:val="20"/>
      <w:lang w:val="ro-RO"/>
    </w:rPr>
  </w:style>
  <w:style w:type="paragraph" w:styleId="Revision">
    <w:name w:val="Revision"/>
    <w:hidden/>
    <w:uiPriority w:val="99"/>
    <w:semiHidden/>
    <w:rsid w:val="00587683"/>
    <w:pPr>
      <w:spacing w:after="0" w:line="240" w:lineRule="auto"/>
    </w:pPr>
  </w:style>
  <w:style w:type="paragraph" w:styleId="BalloonText">
    <w:name w:val="Balloon Text"/>
    <w:basedOn w:val="Normal"/>
    <w:link w:val="BalloonTextChar"/>
    <w:uiPriority w:val="99"/>
    <w:semiHidden/>
    <w:unhideWhenUsed/>
    <w:rsid w:val="0058768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87683"/>
    <w:rPr>
      <w:rFonts w:ascii="Segoe UI" w:hAnsi="Segoe UI" w:cs="Segoe UI"/>
      <w:sz w:val="18"/>
      <w:szCs w:val="18"/>
      <w:lang w:val="ro-RO"/>
    </w:rPr>
  </w:style>
  <w:style w:type="character" w:customStyle="1" w:styleId="UnresolvedMention1">
    <w:name w:val="Unresolved Mention1"/>
    <w:basedOn w:val="DefaultParagraphFont"/>
    <w:uiPriority w:val="99"/>
    <w:unhideWhenUsed/>
    <w:rsid w:val="00587683"/>
    <w:rPr>
      <w:color w:val="605E5C"/>
      <w:shd w:val="clear" w:color="auto" w:fill="E1DFDD"/>
    </w:rPr>
  </w:style>
  <w:style w:type="paragraph" w:styleId="FootnoteText">
    <w:name w:val="footnote text"/>
    <w:basedOn w:val="Normal"/>
    <w:uiPriority w:val="99"/>
    <w:unhideWhenUsed/>
    <w:qFormat/>
    <w:rsid w:val="00587683"/>
    <w:pPr>
      <w:spacing w:after="0" w:line="240" w:lineRule="auto"/>
    </w:pPr>
    <w:rPr>
      <w:sz w:val="20"/>
      <w:szCs w:val="20"/>
    </w:rPr>
  </w:style>
  <w:style w:type="character" w:customStyle="1" w:styleId="FootnoteTextChar">
    <w:name w:val="Footnote Text Char"/>
    <w:aliases w:val="Schriftart: 9 pt Char,Schriftart: 10 pt Char,Schriftart: 8 pt Char,WB-Fußnotentext Char,FoodNote Char,ft Char,Footnote text Char,Footnote Text Char Char Char,Footnote Text Char1 Char Char Char,Footnote Text Char Char Char Char Char"/>
    <w:basedOn w:val="DefaultParagraphFont"/>
    <w:uiPriority w:val="99"/>
    <w:qFormat/>
    <w:rsid w:val="00587683"/>
    <w:rPr>
      <w:sz w:val="20"/>
      <w:szCs w:val="20"/>
      <w:lang w:val="ro-RO"/>
    </w:rPr>
  </w:style>
  <w:style w:type="character" w:styleId="FootnoteReference">
    <w:name w:val="footnote reference"/>
    <w:aliases w:val="Footnote Reference Superscript,Footnote symbol,Footnote reference number,Footnote,Times 10 Point,Exposant 3 Point,Ref,de nota al pie,note TESI,SUPERS,EN Footnote text,EN Footnote Reference,Footnote Reference Number,E FNZ,Footnote#,E,f"/>
    <w:basedOn w:val="DefaultParagraphFont"/>
    <w:link w:val="FootnoteReferenceCharCarCharCharCarCharCarCharCarCharCarCharCharCarCarCharCharCharCharCharCarCharCarCharCharCarCharCar"/>
    <w:uiPriority w:val="99"/>
    <w:unhideWhenUsed/>
    <w:qFormat/>
    <w:rsid w:val="00587683"/>
    <w:rPr>
      <w:vertAlign w:val="superscript"/>
    </w:rPr>
  </w:style>
  <w:style w:type="character" w:styleId="FollowedHyperlink">
    <w:name w:val="FollowedHyperlink"/>
    <w:basedOn w:val="DefaultParagraphFont"/>
    <w:uiPriority w:val="99"/>
    <w:semiHidden/>
    <w:unhideWhenUsed/>
    <w:rsid w:val="00587683"/>
    <w:rPr>
      <w:color w:val="245F95" w:themeColor="followedHyperlink"/>
      <w:u w:val="single"/>
    </w:rPr>
  </w:style>
  <w:style w:type="character" w:customStyle="1" w:styleId="markedcontent">
    <w:name w:val="markedcontent"/>
    <w:basedOn w:val="DefaultParagraphFont"/>
    <w:rsid w:val="00587683"/>
  </w:style>
  <w:style w:type="character" w:customStyle="1" w:styleId="UnresolvedMention2">
    <w:name w:val="Unresolved Mention2"/>
    <w:basedOn w:val="DefaultParagraphFont"/>
    <w:uiPriority w:val="99"/>
    <w:semiHidden/>
    <w:unhideWhenUsed/>
    <w:rsid w:val="004F56E7"/>
    <w:rPr>
      <w:color w:val="605E5C"/>
      <w:shd w:val="clear" w:color="auto" w:fill="E1DFDD"/>
    </w:rPr>
  </w:style>
  <w:style w:type="character" w:customStyle="1" w:styleId="normaltextrun">
    <w:name w:val="normaltextrun"/>
    <w:basedOn w:val="DefaultParagraphFont"/>
    <w:rsid w:val="005D3D4B"/>
  </w:style>
  <w:style w:type="paragraph" w:customStyle="1" w:styleId="doceo-line-height-base">
    <w:name w:val="doceo-line-height-base"/>
    <w:basedOn w:val="Normal"/>
    <w:rsid w:val="005D3D4B"/>
    <w:pPr>
      <w:spacing w:before="100" w:beforeAutospacing="1" w:after="100" w:afterAutospacing="1" w:line="240" w:lineRule="auto"/>
    </w:pPr>
    <w:rPr>
      <w:rFonts w:ascii="Times New Roman" w:eastAsia="Times New Roman" w:hAnsi="Times New Roman" w:cs="Times New Roman"/>
      <w:szCs w:val="24"/>
      <w:lang w:eastAsia="en-GB"/>
    </w:rPr>
  </w:style>
  <w:style w:type="character" w:customStyle="1" w:styleId="doceo-font-family-base">
    <w:name w:val="doceo-font-family-base"/>
    <w:basedOn w:val="DefaultParagraphFont"/>
    <w:rsid w:val="005D3D4B"/>
  </w:style>
  <w:style w:type="character" w:customStyle="1" w:styleId="Mention1">
    <w:name w:val="Mention1"/>
    <w:basedOn w:val="DefaultParagraphFont"/>
    <w:uiPriority w:val="99"/>
    <w:unhideWhenUsed/>
    <w:rsid w:val="005D3D4B"/>
    <w:rPr>
      <w:color w:val="2B579A"/>
      <w:shd w:val="clear" w:color="auto" w:fill="E1DFDD"/>
    </w:rPr>
  </w:style>
  <w:style w:type="paragraph" w:styleId="NormalWeb">
    <w:name w:val="Normal (Web)"/>
    <w:basedOn w:val="Normal"/>
    <w:uiPriority w:val="99"/>
    <w:semiHidden/>
    <w:unhideWhenUsed/>
    <w:rsid w:val="005D3D4B"/>
    <w:pPr>
      <w:spacing w:before="100" w:beforeAutospacing="1" w:after="100" w:afterAutospacing="1" w:line="240" w:lineRule="auto"/>
    </w:pPr>
    <w:rPr>
      <w:rFonts w:ascii="Calibri" w:hAnsi="Calibri" w:cs="Calibri"/>
      <w:lang w:eastAsia="en-IE"/>
    </w:rPr>
  </w:style>
  <w:style w:type="paragraph" w:customStyle="1" w:styleId="paragraph">
    <w:name w:val="paragraph"/>
    <w:basedOn w:val="Normal"/>
    <w:rsid w:val="005D3D4B"/>
    <w:pPr>
      <w:spacing w:before="100" w:beforeAutospacing="1" w:after="100" w:afterAutospacing="1" w:line="240" w:lineRule="auto"/>
    </w:pPr>
    <w:rPr>
      <w:rFonts w:ascii="Times New Roman" w:eastAsia="Times New Roman" w:hAnsi="Times New Roman" w:cs="Times New Roman"/>
      <w:szCs w:val="24"/>
      <w:lang w:eastAsia="en-GB"/>
    </w:rPr>
  </w:style>
  <w:style w:type="character" w:customStyle="1" w:styleId="eop">
    <w:name w:val="eop"/>
    <w:basedOn w:val="DefaultParagraphFont"/>
    <w:rsid w:val="005D3D4B"/>
  </w:style>
  <w:style w:type="character" w:customStyle="1" w:styleId="Heading1Char">
    <w:name w:val="Heading 1 Char"/>
    <w:basedOn w:val="DefaultParagraphFont"/>
    <w:link w:val="Heading1"/>
    <w:uiPriority w:val="9"/>
    <w:rsid w:val="00F204F0"/>
    <w:rPr>
      <w:rFonts w:asciiTheme="majorHAnsi" w:eastAsiaTheme="majorEastAsia" w:hAnsiTheme="majorHAnsi" w:cstheme="majorBidi"/>
      <w:color w:val="532477" w:themeColor="accent1" w:themeShade="BF"/>
      <w:kern w:val="2"/>
      <w:sz w:val="32"/>
      <w:szCs w:val="32"/>
      <w:lang w:val="ro-RO"/>
      <w14:ligatures w14:val="standardContextual"/>
    </w:rPr>
  </w:style>
  <w:style w:type="character" w:customStyle="1" w:styleId="UnresolvedMention">
    <w:name w:val="Unresolved Mention"/>
    <w:basedOn w:val="DefaultParagraphFont"/>
    <w:uiPriority w:val="99"/>
    <w:semiHidden/>
    <w:unhideWhenUsed/>
    <w:rsid w:val="00F204F0"/>
    <w:rPr>
      <w:color w:val="605E5C"/>
      <w:shd w:val="clear" w:color="auto" w:fill="E1DFDD"/>
    </w:rPr>
  </w:style>
  <w:style w:type="paragraph" w:customStyle="1" w:styleId="FootnoteReferenceCharCarCharCharCarCharCarCharCarCharCarCharCharCarCarCharCharCharCharCharCarCharCarCharCharCarCharCar">
    <w:name w:val="Footnote Reference Char Car Char Char Car Char Car Char Car Char Car Char Char Car Car Char Char Char Char Char Car Char Car Char Char Car Char Car"/>
    <w:aliases w:val="Footnotes refss Car Char Car,callout Car Car Char Char Car,Footnotes refss Car1"/>
    <w:basedOn w:val="Normal"/>
    <w:link w:val="FootnoteReference"/>
    <w:uiPriority w:val="99"/>
    <w:rsid w:val="00F204F0"/>
    <w:pPr>
      <w:spacing w:line="240" w:lineRule="exact"/>
    </w:pPr>
    <w:rPr>
      <w:vertAlign w:val="superscript"/>
    </w:rPr>
  </w:style>
  <w:style w:type="character" w:customStyle="1" w:styleId="ListParagraphChar">
    <w:name w:val="List Paragraph Char"/>
    <w:aliases w:val="Dot pt Char,F5 List Paragraph Char,List Paragraph1 Char,No Spacing1 Char,List Paragraph Char Char Char Char,Indicator Text Char,Colorful List - Accent 11 Char,Numbered Para 1 Char,Bullet 1 Char,Bullet Points Char,MAIN CONTENT Char"/>
    <w:link w:val="ListParagraph"/>
    <w:uiPriority w:val="34"/>
    <w:qFormat/>
    <w:locked/>
    <w:rsid w:val="00F204F0"/>
    <w:rPr>
      <w:lang w:val="ro-RO"/>
    </w:rPr>
  </w:style>
  <w:style w:type="character" w:customStyle="1" w:styleId="Mention">
    <w:name w:val="Mention"/>
    <w:basedOn w:val="DefaultParagraphFont"/>
    <w:uiPriority w:val="99"/>
    <w:unhideWhenUsed/>
    <w:rsid w:val="00F204F0"/>
    <w:rPr>
      <w:color w:val="2B579A"/>
      <w:shd w:val="clear" w:color="auto" w:fill="E1DFDD"/>
    </w:rPr>
  </w:style>
  <w:style w:type="paragraph" w:customStyle="1" w:styleId="Languesfaisantfoi">
    <w:name w:val="Langues faisant foi"/>
    <w:basedOn w:val="Normal"/>
    <w:next w:val="Normal"/>
    <w:rsid w:val="00B87BC2"/>
    <w:pPr>
      <w:spacing w:before="360" w:after="240" w:line="240" w:lineRule="auto"/>
      <w:jc w:val="center"/>
    </w:pPr>
    <w:rPr>
      <w:rFonts w:ascii="Times New Roman" w:hAnsi="Times New Roman" w:cs="Times New Roman"/>
    </w:rPr>
  </w:style>
  <w:style w:type="paragraph" w:customStyle="1" w:styleId="LanguesfaisantfoiPagedecouverture">
    <w:name w:val="Langues faisant foi (Page de couverture)"/>
    <w:basedOn w:val="Normal"/>
    <w:next w:val="Normal"/>
    <w:rsid w:val="00B87BC2"/>
    <w:pPr>
      <w:spacing w:before="360" w:after="240" w:line="240" w:lineRule="auto"/>
      <w:jc w:val="center"/>
    </w:pPr>
    <w:rPr>
      <w:rFonts w:ascii="Times New Roman" w:hAnsi="Times New Roman" w:cs="Times New Roman"/>
    </w:rPr>
  </w:style>
  <w:style w:type="paragraph" w:customStyle="1" w:styleId="IntrtEEE">
    <w:name w:val="Intérêt EEE"/>
    <w:basedOn w:val="Languesfaisantfoi"/>
    <w:next w:val="Normal"/>
    <w:rsid w:val="00B87BC2"/>
    <w:pPr>
      <w:spacing w:after="0"/>
    </w:pPr>
  </w:style>
  <w:style w:type="paragraph" w:customStyle="1" w:styleId="IntrtEEEPagedecouverture">
    <w:name w:val="Intérêt EEE (Page de couverture)"/>
    <w:basedOn w:val="IntrtEEE"/>
    <w:next w:val="Normal"/>
    <w:rsid w:val="00B87BC2"/>
  </w:style>
  <w:style w:type="character" w:customStyle="1" w:styleId="cf01">
    <w:name w:val="cf01"/>
    <w:basedOn w:val="DefaultParagraphFont"/>
    <w:rsid w:val="005B45D3"/>
    <w:rPr>
      <w:rFonts w:asciiTheme="minorHAnsi" w:eastAsiaTheme="minorEastAsia" w:hAnsiTheme="minorHAnsi" w:cstheme="minorBidi"/>
      <w:b/>
      <w:bCs/>
      <w:sz w:val="18"/>
      <w:szCs w:val="18"/>
    </w:rPr>
  </w:style>
  <w:style w:type="paragraph" w:styleId="EndnoteText">
    <w:name w:val="endnote text"/>
    <w:basedOn w:val="Normal"/>
    <w:link w:val="EndnoteTextChar"/>
    <w:uiPriority w:val="99"/>
    <w:semiHidden/>
    <w:unhideWhenUsed/>
    <w:rsid w:val="005B45D3"/>
    <w:pPr>
      <w:spacing w:after="0" w:line="240" w:lineRule="auto"/>
    </w:pPr>
    <w:rPr>
      <w:sz w:val="20"/>
      <w:szCs w:val="20"/>
    </w:rPr>
  </w:style>
  <w:style w:type="character" w:customStyle="1" w:styleId="EndnoteTextChar">
    <w:name w:val="Endnote Text Char"/>
    <w:basedOn w:val="DefaultParagraphFont"/>
    <w:link w:val="EndnoteText"/>
    <w:uiPriority w:val="99"/>
    <w:semiHidden/>
    <w:rsid w:val="005B45D3"/>
    <w:rPr>
      <w:sz w:val="20"/>
      <w:szCs w:val="20"/>
    </w:rPr>
  </w:style>
  <w:style w:type="character" w:styleId="EndnoteReference">
    <w:name w:val="endnote reference"/>
    <w:basedOn w:val="DefaultParagraphFont"/>
    <w:uiPriority w:val="99"/>
    <w:semiHidden/>
    <w:unhideWhenUsed/>
    <w:rsid w:val="005B45D3"/>
    <w:rPr>
      <w:vertAlign w:val="superscript"/>
    </w:rPr>
  </w:style>
  <w:style w:type="paragraph" w:styleId="TOCHeading">
    <w:name w:val="TOC Heading"/>
    <w:basedOn w:val="Heading1"/>
    <w:next w:val="Normal"/>
    <w:uiPriority w:val="39"/>
    <w:unhideWhenUsed/>
    <w:qFormat/>
    <w:rsid w:val="00B563ED"/>
    <w:pPr>
      <w:outlineLvl w:val="9"/>
    </w:pPr>
    <w:rPr>
      <w:rFonts w:ascii="EC Square Sans Pro" w:hAnsi="EC Square Sans Pro"/>
      <w:color w:val="003399"/>
      <w:kern w:val="0"/>
      <w:sz w:val="48"/>
      <w:szCs w:val="48"/>
      <w14:ligatures w14:val="none"/>
    </w:rPr>
  </w:style>
  <w:style w:type="paragraph" w:customStyle="1" w:styleId="Headingfollowupreport">
    <w:name w:val="Heading follow up report"/>
    <w:basedOn w:val="Heading1"/>
    <w:qFormat/>
    <w:rsid w:val="00C042A9"/>
    <w:pPr>
      <w:keepLines w:val="0"/>
      <w:spacing w:before="480" w:after="240" w:line="480" w:lineRule="exact"/>
      <w:contextualSpacing/>
      <w:jc w:val="left"/>
    </w:pPr>
    <w:rPr>
      <w:rFonts w:ascii="EC Square Sans Pro" w:eastAsia="Times New Roman" w:hAnsi="EC Square Sans Pro" w:cs="Times New Roman"/>
      <w:color w:val="003399"/>
      <w:kern w:val="0"/>
      <w:sz w:val="48"/>
      <w:szCs w:val="28"/>
      <w:lang w:eastAsia="en-GB"/>
      <w14:ligatures w14:val="none"/>
    </w:rPr>
  </w:style>
  <w:style w:type="paragraph" w:styleId="TOC1">
    <w:name w:val="toc 1"/>
    <w:basedOn w:val="Normal"/>
    <w:next w:val="Normal"/>
    <w:autoRedefine/>
    <w:uiPriority w:val="39"/>
    <w:unhideWhenUsed/>
    <w:rsid w:val="005B45D3"/>
    <w:pPr>
      <w:spacing w:after="100"/>
    </w:pPr>
  </w:style>
  <w:style w:type="paragraph" w:styleId="TOC2">
    <w:name w:val="toc 2"/>
    <w:basedOn w:val="Normal"/>
    <w:next w:val="Normal"/>
    <w:uiPriority w:val="39"/>
    <w:unhideWhenUsed/>
    <w:rsid w:val="005B45D3"/>
    <w:pPr>
      <w:spacing w:after="100"/>
      <w:ind w:left="220"/>
    </w:pPr>
  </w:style>
  <w:style w:type="table" w:styleId="TableGrid">
    <w:name w:val="Table Grid"/>
    <w:basedOn w:val="TableNormal"/>
    <w:uiPriority w:val="59"/>
    <w:rsid w:val="005B45D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NormalItalic">
    <w:name w:val="Normal Italic"/>
    <w:basedOn w:val="Normal"/>
    <w:link w:val="NormalItalicChar"/>
    <w:qFormat/>
    <w:rsid w:val="00C6601C"/>
    <w:rPr>
      <w:rFonts w:cs="Times New Roman"/>
      <w:i/>
      <w:iCs/>
      <w:szCs w:val="24"/>
    </w:rPr>
  </w:style>
  <w:style w:type="character" w:customStyle="1" w:styleId="NormalItalicChar">
    <w:name w:val="Normal Italic Char"/>
    <w:basedOn w:val="DefaultParagraphFont"/>
    <w:link w:val="NormalItalic"/>
    <w:rsid w:val="00C6601C"/>
    <w:rPr>
      <w:rFonts w:ascii="EC Square Sans Pro" w:hAnsi="EC Square Sans Pro" w:cs="Times New Roman"/>
      <w:i/>
      <w:iCs/>
      <w:sz w:val="24"/>
      <w:szCs w:val="24"/>
    </w:rPr>
  </w:style>
  <w:style w:type="paragraph" w:customStyle="1" w:styleId="a">
    <w:name w:val="a"/>
    <w:aliases w:val="b,c"/>
    <w:basedOn w:val="ListParagraph"/>
    <w:qFormat/>
    <w:rsid w:val="00744578"/>
    <w:pPr>
      <w:spacing w:before="360"/>
      <w:ind w:left="0"/>
    </w:pPr>
    <w:rPr>
      <w:b/>
      <w:color w:val="008139" w:themeColor="accent5"/>
      <w:sz w:val="28"/>
      <w:szCs w:val="24"/>
    </w:rPr>
  </w:style>
  <w:style w:type="paragraph" w:customStyle="1" w:styleId="Paragraphstyle">
    <w:name w:val="Paragraph style"/>
    <w:basedOn w:val="Normal"/>
    <w:qFormat/>
    <w:rsid w:val="0024377D"/>
    <w:pPr>
      <w:spacing w:before="240" w:after="240" w:line="240" w:lineRule="auto"/>
    </w:pPr>
    <w:rPr>
      <w:rFonts w:eastAsia="Times New Roman" w:cs="Times New Roman"/>
      <w:iCs/>
      <w:color w:val="003399"/>
      <w:szCs w:val="20"/>
      <w:lang w:eastAsia="en-GB"/>
    </w:rPr>
  </w:style>
  <w:style w:type="paragraph" w:customStyle="1" w:styleId="Disclaimer">
    <w:name w:val="Disclaimer"/>
    <w:basedOn w:val="Normal"/>
    <w:rsid w:val="007D0962"/>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line="240" w:lineRule="auto"/>
    </w:pPr>
    <w:rPr>
      <w:rFonts w:ascii="Times New Roman" w:hAnsi="Times New Roman" w:cs="Times New Roman"/>
    </w:rPr>
  </w:style>
  <w:style w:type="paragraph" w:customStyle="1" w:styleId="SecurityMarking">
    <w:name w:val="SecurityMarking"/>
    <w:basedOn w:val="Normal"/>
    <w:rsid w:val="007D0962"/>
    <w:pPr>
      <w:spacing w:before="0" w:after="0" w:line="276" w:lineRule="auto"/>
      <w:ind w:left="5103"/>
      <w:jc w:val="left"/>
    </w:pPr>
    <w:rPr>
      <w:rFonts w:ascii="Times New Roman" w:hAnsi="Times New Roman" w:cs="Times New Roman"/>
      <w:sz w:val="28"/>
    </w:rPr>
  </w:style>
  <w:style w:type="paragraph" w:customStyle="1" w:styleId="DateMarking">
    <w:name w:val="DateMarking"/>
    <w:basedOn w:val="Normal"/>
    <w:rsid w:val="007D0962"/>
    <w:pPr>
      <w:spacing w:before="0" w:after="0" w:line="276" w:lineRule="auto"/>
      <w:ind w:left="5103"/>
      <w:jc w:val="left"/>
    </w:pPr>
    <w:rPr>
      <w:rFonts w:ascii="Times New Roman" w:hAnsi="Times New Roman" w:cs="Times New Roman"/>
      <w:i/>
      <w:sz w:val="28"/>
    </w:rPr>
  </w:style>
  <w:style w:type="paragraph" w:customStyle="1" w:styleId="ReleasableTo">
    <w:name w:val="ReleasableTo"/>
    <w:basedOn w:val="Normal"/>
    <w:rsid w:val="007D0962"/>
    <w:pPr>
      <w:spacing w:before="0" w:after="0" w:line="276" w:lineRule="auto"/>
      <w:ind w:left="5103"/>
      <w:jc w:val="left"/>
    </w:pPr>
    <w:rPr>
      <w:rFonts w:ascii="Times New Roman" w:hAnsi="Times New Roman" w:cs="Times New Roman"/>
      <w:i/>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555507">
      <w:bodyDiv w:val="1"/>
      <w:marLeft w:val="0"/>
      <w:marRight w:val="0"/>
      <w:marTop w:val="0"/>
      <w:marBottom w:val="0"/>
      <w:divBdr>
        <w:top w:val="none" w:sz="0" w:space="0" w:color="auto"/>
        <w:left w:val="none" w:sz="0" w:space="0" w:color="auto"/>
        <w:bottom w:val="none" w:sz="0" w:space="0" w:color="auto"/>
        <w:right w:val="none" w:sz="0" w:space="0" w:color="auto"/>
      </w:divBdr>
    </w:div>
    <w:div w:id="92479150">
      <w:bodyDiv w:val="1"/>
      <w:marLeft w:val="0"/>
      <w:marRight w:val="0"/>
      <w:marTop w:val="0"/>
      <w:marBottom w:val="0"/>
      <w:divBdr>
        <w:top w:val="none" w:sz="0" w:space="0" w:color="auto"/>
        <w:left w:val="none" w:sz="0" w:space="0" w:color="auto"/>
        <w:bottom w:val="none" w:sz="0" w:space="0" w:color="auto"/>
        <w:right w:val="none" w:sz="0" w:space="0" w:color="auto"/>
      </w:divBdr>
      <w:divsChild>
        <w:div w:id="1229077197">
          <w:marLeft w:val="288"/>
          <w:marRight w:val="0"/>
          <w:marTop w:val="0"/>
          <w:marBottom w:val="160"/>
          <w:divBdr>
            <w:top w:val="none" w:sz="0" w:space="0" w:color="auto"/>
            <w:left w:val="none" w:sz="0" w:space="0" w:color="auto"/>
            <w:bottom w:val="none" w:sz="0" w:space="0" w:color="auto"/>
            <w:right w:val="none" w:sz="0" w:space="0" w:color="auto"/>
          </w:divBdr>
        </w:div>
        <w:div w:id="1288048124">
          <w:marLeft w:val="288"/>
          <w:marRight w:val="0"/>
          <w:marTop w:val="0"/>
          <w:marBottom w:val="160"/>
          <w:divBdr>
            <w:top w:val="none" w:sz="0" w:space="0" w:color="auto"/>
            <w:left w:val="none" w:sz="0" w:space="0" w:color="auto"/>
            <w:bottom w:val="none" w:sz="0" w:space="0" w:color="auto"/>
            <w:right w:val="none" w:sz="0" w:space="0" w:color="auto"/>
          </w:divBdr>
        </w:div>
      </w:divsChild>
    </w:div>
    <w:div w:id="234171345">
      <w:bodyDiv w:val="1"/>
      <w:marLeft w:val="0"/>
      <w:marRight w:val="0"/>
      <w:marTop w:val="0"/>
      <w:marBottom w:val="0"/>
      <w:divBdr>
        <w:top w:val="none" w:sz="0" w:space="0" w:color="auto"/>
        <w:left w:val="none" w:sz="0" w:space="0" w:color="auto"/>
        <w:bottom w:val="none" w:sz="0" w:space="0" w:color="auto"/>
        <w:right w:val="none" w:sz="0" w:space="0" w:color="auto"/>
      </w:divBdr>
    </w:div>
    <w:div w:id="292368863">
      <w:bodyDiv w:val="1"/>
      <w:marLeft w:val="0"/>
      <w:marRight w:val="0"/>
      <w:marTop w:val="0"/>
      <w:marBottom w:val="0"/>
      <w:divBdr>
        <w:top w:val="none" w:sz="0" w:space="0" w:color="auto"/>
        <w:left w:val="none" w:sz="0" w:space="0" w:color="auto"/>
        <w:bottom w:val="none" w:sz="0" w:space="0" w:color="auto"/>
        <w:right w:val="none" w:sz="0" w:space="0" w:color="auto"/>
      </w:divBdr>
    </w:div>
    <w:div w:id="538516693">
      <w:bodyDiv w:val="1"/>
      <w:marLeft w:val="0"/>
      <w:marRight w:val="0"/>
      <w:marTop w:val="0"/>
      <w:marBottom w:val="0"/>
      <w:divBdr>
        <w:top w:val="none" w:sz="0" w:space="0" w:color="auto"/>
        <w:left w:val="none" w:sz="0" w:space="0" w:color="auto"/>
        <w:bottom w:val="none" w:sz="0" w:space="0" w:color="auto"/>
        <w:right w:val="none" w:sz="0" w:space="0" w:color="auto"/>
      </w:divBdr>
    </w:div>
    <w:div w:id="823468914">
      <w:bodyDiv w:val="1"/>
      <w:marLeft w:val="0"/>
      <w:marRight w:val="0"/>
      <w:marTop w:val="0"/>
      <w:marBottom w:val="0"/>
      <w:divBdr>
        <w:top w:val="none" w:sz="0" w:space="0" w:color="auto"/>
        <w:left w:val="none" w:sz="0" w:space="0" w:color="auto"/>
        <w:bottom w:val="none" w:sz="0" w:space="0" w:color="auto"/>
        <w:right w:val="none" w:sz="0" w:space="0" w:color="auto"/>
      </w:divBdr>
    </w:div>
    <w:div w:id="860361317">
      <w:bodyDiv w:val="1"/>
      <w:marLeft w:val="0"/>
      <w:marRight w:val="0"/>
      <w:marTop w:val="0"/>
      <w:marBottom w:val="0"/>
      <w:divBdr>
        <w:top w:val="none" w:sz="0" w:space="0" w:color="auto"/>
        <w:left w:val="none" w:sz="0" w:space="0" w:color="auto"/>
        <w:bottom w:val="none" w:sz="0" w:space="0" w:color="auto"/>
        <w:right w:val="none" w:sz="0" w:space="0" w:color="auto"/>
      </w:divBdr>
      <w:divsChild>
        <w:div w:id="2098742865">
          <w:marLeft w:val="0"/>
          <w:marRight w:val="0"/>
          <w:marTop w:val="0"/>
          <w:marBottom w:val="0"/>
          <w:divBdr>
            <w:top w:val="none" w:sz="0" w:space="0" w:color="auto"/>
            <w:left w:val="none" w:sz="0" w:space="0" w:color="auto"/>
            <w:bottom w:val="none" w:sz="0" w:space="0" w:color="auto"/>
            <w:right w:val="none" w:sz="0" w:space="0" w:color="auto"/>
          </w:divBdr>
        </w:div>
      </w:divsChild>
    </w:div>
    <w:div w:id="973683505">
      <w:bodyDiv w:val="1"/>
      <w:marLeft w:val="0"/>
      <w:marRight w:val="0"/>
      <w:marTop w:val="0"/>
      <w:marBottom w:val="0"/>
      <w:divBdr>
        <w:top w:val="none" w:sz="0" w:space="0" w:color="auto"/>
        <w:left w:val="none" w:sz="0" w:space="0" w:color="auto"/>
        <w:bottom w:val="none" w:sz="0" w:space="0" w:color="auto"/>
        <w:right w:val="none" w:sz="0" w:space="0" w:color="auto"/>
      </w:divBdr>
    </w:div>
    <w:div w:id="1147013154">
      <w:bodyDiv w:val="1"/>
      <w:marLeft w:val="0"/>
      <w:marRight w:val="0"/>
      <w:marTop w:val="0"/>
      <w:marBottom w:val="0"/>
      <w:divBdr>
        <w:top w:val="none" w:sz="0" w:space="0" w:color="auto"/>
        <w:left w:val="none" w:sz="0" w:space="0" w:color="auto"/>
        <w:bottom w:val="none" w:sz="0" w:space="0" w:color="auto"/>
        <w:right w:val="none" w:sz="0" w:space="0" w:color="auto"/>
      </w:divBdr>
      <w:divsChild>
        <w:div w:id="2123912857">
          <w:marLeft w:val="0"/>
          <w:marRight w:val="0"/>
          <w:marTop w:val="0"/>
          <w:marBottom w:val="0"/>
          <w:divBdr>
            <w:top w:val="none" w:sz="0" w:space="0" w:color="auto"/>
            <w:left w:val="none" w:sz="0" w:space="0" w:color="auto"/>
            <w:bottom w:val="none" w:sz="0" w:space="0" w:color="auto"/>
            <w:right w:val="none" w:sz="0" w:space="0" w:color="auto"/>
          </w:divBdr>
          <w:divsChild>
            <w:div w:id="1088846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8373205">
      <w:bodyDiv w:val="1"/>
      <w:marLeft w:val="0"/>
      <w:marRight w:val="0"/>
      <w:marTop w:val="0"/>
      <w:marBottom w:val="0"/>
      <w:divBdr>
        <w:top w:val="none" w:sz="0" w:space="0" w:color="auto"/>
        <w:left w:val="none" w:sz="0" w:space="0" w:color="auto"/>
        <w:bottom w:val="none" w:sz="0" w:space="0" w:color="auto"/>
        <w:right w:val="none" w:sz="0" w:space="0" w:color="auto"/>
      </w:divBdr>
    </w:div>
    <w:div w:id="1487429272">
      <w:bodyDiv w:val="1"/>
      <w:marLeft w:val="0"/>
      <w:marRight w:val="0"/>
      <w:marTop w:val="0"/>
      <w:marBottom w:val="0"/>
      <w:divBdr>
        <w:top w:val="none" w:sz="0" w:space="0" w:color="auto"/>
        <w:left w:val="none" w:sz="0" w:space="0" w:color="auto"/>
        <w:bottom w:val="none" w:sz="0" w:space="0" w:color="auto"/>
        <w:right w:val="none" w:sz="0" w:space="0" w:color="auto"/>
      </w:divBdr>
    </w:div>
    <w:div w:id="1714185394">
      <w:bodyDiv w:val="1"/>
      <w:marLeft w:val="0"/>
      <w:marRight w:val="0"/>
      <w:marTop w:val="0"/>
      <w:marBottom w:val="0"/>
      <w:divBdr>
        <w:top w:val="none" w:sz="0" w:space="0" w:color="auto"/>
        <w:left w:val="none" w:sz="0" w:space="0" w:color="auto"/>
        <w:bottom w:val="none" w:sz="0" w:space="0" w:color="auto"/>
        <w:right w:val="none" w:sz="0" w:space="0" w:color="auto"/>
      </w:divBdr>
    </w:div>
    <w:div w:id="1749957621">
      <w:bodyDiv w:val="1"/>
      <w:marLeft w:val="0"/>
      <w:marRight w:val="0"/>
      <w:marTop w:val="0"/>
      <w:marBottom w:val="0"/>
      <w:divBdr>
        <w:top w:val="none" w:sz="0" w:space="0" w:color="auto"/>
        <w:left w:val="none" w:sz="0" w:space="0" w:color="auto"/>
        <w:bottom w:val="none" w:sz="0" w:space="0" w:color="auto"/>
        <w:right w:val="none" w:sz="0" w:space="0" w:color="auto"/>
      </w:divBdr>
      <w:divsChild>
        <w:div w:id="1033194794">
          <w:marLeft w:val="0"/>
          <w:marRight w:val="0"/>
          <w:marTop w:val="0"/>
          <w:marBottom w:val="0"/>
          <w:divBdr>
            <w:top w:val="none" w:sz="0" w:space="0" w:color="auto"/>
            <w:left w:val="none" w:sz="0" w:space="0" w:color="auto"/>
            <w:bottom w:val="none" w:sz="0" w:space="0" w:color="auto"/>
            <w:right w:val="none" w:sz="0" w:space="0" w:color="auto"/>
          </w:divBdr>
          <w:divsChild>
            <w:div w:id="686566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0826174">
      <w:bodyDiv w:val="1"/>
      <w:marLeft w:val="0"/>
      <w:marRight w:val="0"/>
      <w:marTop w:val="0"/>
      <w:marBottom w:val="0"/>
      <w:divBdr>
        <w:top w:val="none" w:sz="0" w:space="0" w:color="auto"/>
        <w:left w:val="none" w:sz="0" w:space="0" w:color="auto"/>
        <w:bottom w:val="none" w:sz="0" w:space="0" w:color="auto"/>
        <w:right w:val="none" w:sz="0" w:space="0" w:color="auto"/>
      </w:divBdr>
    </w:div>
    <w:div w:id="2098476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hyperlink" Target="https://eur-lex.europa.eu/legal-content/RO/TXT/?uri=celex:52025DC0546" TargetMode="Externa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yperlink" Target="https://eur-lex.europa.eu/eli/reg/2026/467/oj" TargetMode="Externa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reforms-investments.ec.europa.eu/publications-0/guidelines-member-states-operational-aspects-related-final-phase-and-closure-recovery-and-resilience_en" TargetMode="Externa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header" Target="header7.xml"/><Relationship Id="rId10" Type="http://schemas.openxmlformats.org/officeDocument/2006/relationships/endnotes" Target="endnotes.xml"/><Relationship Id="rId19" Type="http://schemas.openxmlformats.org/officeDocument/2006/relationships/header" Target="header5.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hyperlink" Target="https://commission.europa.eu/about/service-standards-and-principles/transparency/special-advisers_en" TargetMode="Externa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legal-content/RO/ALL/?uri=CELEX:52025DC0824" TargetMode="External"/><Relationship Id="rId2" Type="http://schemas.openxmlformats.org/officeDocument/2006/relationships/hyperlink" Target="https://data.consilium.europa.eu/doc/document/ST-5749-2026-ADD-1/ro/pdf" TargetMode="External"/><Relationship Id="rId1" Type="http://schemas.openxmlformats.org/officeDocument/2006/relationships/hyperlink" Target="https://www.europarl.europa.eu/doceo/document/TA-10-2026-0125_RO.html" TargetMode="External"/></Relationships>
</file>

<file path=word/theme/theme1.xml><?xml version="1.0" encoding="utf-8"?>
<a:theme xmlns:a="http://schemas.openxmlformats.org/drawingml/2006/main" name="Office Theme">
  <a:themeElements>
    <a:clrScheme name="AMPR 2025">
      <a:dk1>
        <a:srgbClr val="000000"/>
      </a:dk1>
      <a:lt1>
        <a:sysClr val="window" lastClr="FFFFFF"/>
      </a:lt1>
      <a:dk2>
        <a:srgbClr val="003399"/>
      </a:dk2>
      <a:lt2>
        <a:srgbClr val="F3F7FF"/>
      </a:lt2>
      <a:accent1>
        <a:srgbClr val="7030A0"/>
      </a:accent1>
      <a:accent2>
        <a:srgbClr val="DE6002"/>
      </a:accent2>
      <a:accent3>
        <a:srgbClr val="2688FE"/>
      </a:accent3>
      <a:accent4>
        <a:srgbClr val="FDAB07"/>
      </a:accent4>
      <a:accent5>
        <a:srgbClr val="008139"/>
      </a:accent5>
      <a:accent6>
        <a:srgbClr val="DC165D"/>
      </a:accent6>
      <a:hlink>
        <a:srgbClr val="245F95"/>
      </a:hlink>
      <a:folHlink>
        <a:srgbClr val="245F95"/>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80ce509-6f48-4da0-b962-a72f8e90fa8e">
      <Terms xmlns="http://schemas.microsoft.com/office/infopath/2007/PartnerControls"/>
    </lcf76f155ced4ddcb4097134ff3c332f>
    <TaxCatchAll xmlns="ad5abd8d-4c64-45ea-8ed0-274cef71a44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7A711830E683F4CB9E57883B0FD9B29" ma:contentTypeVersion="14" ma:contentTypeDescription="Create a new document." ma:contentTypeScope="" ma:versionID="1de51fe065ce0beebfc1190e2126b1fc">
  <xsd:schema xmlns:xsd="http://www.w3.org/2001/XMLSchema" xmlns:xs="http://www.w3.org/2001/XMLSchema" xmlns:p="http://schemas.microsoft.com/office/2006/metadata/properties" xmlns:ns2="180ce509-6f48-4da0-b962-a72f8e90fa8e" xmlns:ns3="ad5abd8d-4c64-45ea-8ed0-274cef71a44e" targetNamespace="http://schemas.microsoft.com/office/2006/metadata/properties" ma:root="true" ma:fieldsID="fb5e07f4d0150ac8065c2d277e25b521" ns2:_="" ns3:_="">
    <xsd:import namespace="180ce509-6f48-4da0-b962-a72f8e90fa8e"/>
    <xsd:import namespace="ad5abd8d-4c64-45ea-8ed0-274cef71a44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Details" minOccurs="0"/>
                <xsd:element ref="ns3:SharedWithUsers"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0ce509-6f48-4da0-b962-a72f8e90fa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d5abd8d-4c64-45ea-8ed0-274cef71a44e" elementFormDefault="qualified">
    <xsd:import namespace="http://schemas.microsoft.com/office/2006/documentManagement/types"/>
    <xsd:import namespace="http://schemas.microsoft.com/office/infopath/2007/PartnerControls"/>
    <xsd:element name="SharedWithDetails" ma:index="11" nillable="true" ma:displayName="Shared With Details" ma:internalName="SharedWithDetails" ma:readOnly="true">
      <xsd:simpleType>
        <xsd:restriction base="dms:Note">
          <xsd:maxLength value="255"/>
        </xsd:restriction>
      </xsd:simpleType>
    </xsd:element>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TaxCatchAll" ma:index="16" nillable="true" ma:displayName="Taxonomy Catch All Column" ma:hidden="true" ma:list="{29c590c5-2845-481f-83fa-ffad99ac8788}" ma:internalName="TaxCatchAll" ma:showField="CatchAllData" ma:web="ad5abd8d-4c64-45ea-8ed0-274cef71a44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CB0B75DF-F610-479A-80BC-7568932CFF5C}">
  <ds:schemaRefs>
    <ds:schemaRef ds:uri="http://schemas.microsoft.com/office/2006/metadata/properties"/>
    <ds:schemaRef ds:uri="http://schemas.microsoft.com/office/infopath/2007/PartnerControls"/>
    <ds:schemaRef ds:uri="180ce509-6f48-4da0-b962-a72f8e90fa8e"/>
    <ds:schemaRef ds:uri="ad5abd8d-4c64-45ea-8ed0-274cef71a44e"/>
  </ds:schemaRefs>
</ds:datastoreItem>
</file>

<file path=customXml/itemProps2.xml><?xml version="1.0" encoding="utf-8"?>
<ds:datastoreItem xmlns:ds="http://schemas.openxmlformats.org/officeDocument/2006/customXml" ds:itemID="{EB4B60C3-EBFE-425A-8DA6-2476E55AB1E4}">
  <ds:schemaRefs>
    <ds:schemaRef ds:uri="http://schemas.microsoft.com/sharepoint/v3/contenttype/forms"/>
  </ds:schemaRefs>
</ds:datastoreItem>
</file>

<file path=customXml/itemProps3.xml><?xml version="1.0" encoding="utf-8"?>
<ds:datastoreItem xmlns:ds="http://schemas.openxmlformats.org/officeDocument/2006/customXml" ds:itemID="{DF439CCA-0610-4B47-B082-6EFE21C7AD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0ce509-6f48-4da0-b962-a72f8e90fa8e"/>
    <ds:schemaRef ds:uri="ad5abd8d-4c64-45ea-8ed0-274cef71a4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ADBA871-B92D-40C5-9E69-BD97B1A3B6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17</Pages>
  <Words>5488</Words>
  <Characters>31286</Characters>
  <Application>Microsoft Office Word</Application>
  <DocSecurity>0</DocSecurity>
  <Lines>260</Lines>
  <Paragraphs>73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36701</CharactersWithSpaces>
  <SharedDoc>false</SharedDoc>
  <HLinks>
    <vt:vector size="78" baseType="variant">
      <vt:variant>
        <vt:i4>4587576</vt:i4>
      </vt:variant>
      <vt:variant>
        <vt:i4>48</vt:i4>
      </vt:variant>
      <vt:variant>
        <vt:i4>0</vt:i4>
      </vt:variant>
      <vt:variant>
        <vt:i4>5</vt:i4>
      </vt:variant>
      <vt:variant>
        <vt:lpwstr>https://commission.europa.eu/about/service-standards-and-principles/transparency/special-advisers_en</vt:lpwstr>
      </vt:variant>
      <vt:variant>
        <vt:lpwstr>currentlistofdesignatedspecialadvisers</vt:lpwstr>
      </vt:variant>
      <vt:variant>
        <vt:i4>262164</vt:i4>
      </vt:variant>
      <vt:variant>
        <vt:i4>45</vt:i4>
      </vt:variant>
      <vt:variant>
        <vt:i4>0</vt:i4>
      </vt:variant>
      <vt:variant>
        <vt:i4>5</vt:i4>
      </vt:variant>
      <vt:variant>
        <vt:lpwstr>https://eur-lex.europa.eu/legal-content/EN/TXT/?uri=celex:52025DC0546</vt:lpwstr>
      </vt:variant>
      <vt:variant>
        <vt:lpwstr/>
      </vt:variant>
      <vt:variant>
        <vt:i4>5242960</vt:i4>
      </vt:variant>
      <vt:variant>
        <vt:i4>42</vt:i4>
      </vt:variant>
      <vt:variant>
        <vt:i4>0</vt:i4>
      </vt:variant>
      <vt:variant>
        <vt:i4>5</vt:i4>
      </vt:variant>
      <vt:variant>
        <vt:lpwstr>https://eur-lex.europa.eu/eli/reg/2026/467/oj</vt:lpwstr>
      </vt:variant>
      <vt:variant>
        <vt:lpwstr/>
      </vt:variant>
      <vt:variant>
        <vt:i4>7733269</vt:i4>
      </vt:variant>
      <vt:variant>
        <vt:i4>39</vt:i4>
      </vt:variant>
      <vt:variant>
        <vt:i4>0</vt:i4>
      </vt:variant>
      <vt:variant>
        <vt:i4>5</vt:i4>
      </vt:variant>
      <vt:variant>
        <vt:lpwstr>https://reforms-investments.ec.europa.eu/publications-0/guidelines-member-states-operational-aspects-related-final-phase-and-closure-recovery-and-resilience_en</vt:lpwstr>
      </vt:variant>
      <vt:variant>
        <vt:lpwstr/>
      </vt:variant>
      <vt:variant>
        <vt:i4>1507388</vt:i4>
      </vt:variant>
      <vt:variant>
        <vt:i4>32</vt:i4>
      </vt:variant>
      <vt:variant>
        <vt:i4>0</vt:i4>
      </vt:variant>
      <vt:variant>
        <vt:i4>5</vt:i4>
      </vt:variant>
      <vt:variant>
        <vt:lpwstr/>
      </vt:variant>
      <vt:variant>
        <vt:lpwstr>_Toc232587417</vt:lpwstr>
      </vt:variant>
      <vt:variant>
        <vt:i4>1507388</vt:i4>
      </vt:variant>
      <vt:variant>
        <vt:i4>26</vt:i4>
      </vt:variant>
      <vt:variant>
        <vt:i4>0</vt:i4>
      </vt:variant>
      <vt:variant>
        <vt:i4>5</vt:i4>
      </vt:variant>
      <vt:variant>
        <vt:lpwstr/>
      </vt:variant>
      <vt:variant>
        <vt:lpwstr>_Toc232587416</vt:lpwstr>
      </vt:variant>
      <vt:variant>
        <vt:i4>1507388</vt:i4>
      </vt:variant>
      <vt:variant>
        <vt:i4>20</vt:i4>
      </vt:variant>
      <vt:variant>
        <vt:i4>0</vt:i4>
      </vt:variant>
      <vt:variant>
        <vt:i4>5</vt:i4>
      </vt:variant>
      <vt:variant>
        <vt:lpwstr/>
      </vt:variant>
      <vt:variant>
        <vt:lpwstr>_Toc232587415</vt:lpwstr>
      </vt:variant>
      <vt:variant>
        <vt:i4>1507388</vt:i4>
      </vt:variant>
      <vt:variant>
        <vt:i4>14</vt:i4>
      </vt:variant>
      <vt:variant>
        <vt:i4>0</vt:i4>
      </vt:variant>
      <vt:variant>
        <vt:i4>5</vt:i4>
      </vt:variant>
      <vt:variant>
        <vt:lpwstr/>
      </vt:variant>
      <vt:variant>
        <vt:lpwstr>_Toc232587414</vt:lpwstr>
      </vt:variant>
      <vt:variant>
        <vt:i4>1507388</vt:i4>
      </vt:variant>
      <vt:variant>
        <vt:i4>8</vt:i4>
      </vt:variant>
      <vt:variant>
        <vt:i4>0</vt:i4>
      </vt:variant>
      <vt:variant>
        <vt:i4>5</vt:i4>
      </vt:variant>
      <vt:variant>
        <vt:lpwstr/>
      </vt:variant>
      <vt:variant>
        <vt:lpwstr>_Toc232587413</vt:lpwstr>
      </vt:variant>
      <vt:variant>
        <vt:i4>1507388</vt:i4>
      </vt:variant>
      <vt:variant>
        <vt:i4>2</vt:i4>
      </vt:variant>
      <vt:variant>
        <vt:i4>0</vt:i4>
      </vt:variant>
      <vt:variant>
        <vt:i4>5</vt:i4>
      </vt:variant>
      <vt:variant>
        <vt:lpwstr/>
      </vt:variant>
      <vt:variant>
        <vt:lpwstr>_Toc232587412</vt:lpwstr>
      </vt:variant>
      <vt:variant>
        <vt:i4>983053</vt:i4>
      </vt:variant>
      <vt:variant>
        <vt:i4>6</vt:i4>
      </vt:variant>
      <vt:variant>
        <vt:i4>0</vt:i4>
      </vt:variant>
      <vt:variant>
        <vt:i4>5</vt:i4>
      </vt:variant>
      <vt:variant>
        <vt:lpwstr>https://eur-lex.europa.eu/legal-content/EN/ALL/?uri=CELEX:52025DC0824</vt:lpwstr>
      </vt:variant>
      <vt:variant>
        <vt:lpwstr/>
      </vt:variant>
      <vt:variant>
        <vt:i4>2424874</vt:i4>
      </vt:variant>
      <vt:variant>
        <vt:i4>3</vt:i4>
      </vt:variant>
      <vt:variant>
        <vt:i4>0</vt:i4>
      </vt:variant>
      <vt:variant>
        <vt:i4>5</vt:i4>
      </vt:variant>
      <vt:variant>
        <vt:lpwstr>https://data.consilium.europa.eu/doc/document/ST-5749-2026-ADD-1/en/pdf</vt:lpwstr>
      </vt:variant>
      <vt:variant>
        <vt:lpwstr/>
      </vt:variant>
      <vt:variant>
        <vt:i4>5832830</vt:i4>
      </vt:variant>
      <vt:variant>
        <vt:i4>0</vt:i4>
      </vt:variant>
      <vt:variant>
        <vt:i4>0</vt:i4>
      </vt:variant>
      <vt:variant>
        <vt:i4>5</vt:i4>
      </vt:variant>
      <vt:variant>
        <vt:lpwstr>https://www.europarl.europa.eu/doceo/document/TA-10-2026-0125_EN.html</vt:lpwstr>
      </vt:variant>
      <vt:variant>
        <vt:lpwstr>title1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7</cp:revision>
  <dcterms:created xsi:type="dcterms:W3CDTF">2026-06-24T15:02:00Z</dcterms:created>
  <dcterms:modified xsi:type="dcterms:W3CDTF">2026-07-22T14:21:00Z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2026-06-12T10:14:03Z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787dc8e4-84e8-4443-9fa2-6eefb81698fa</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ContentTypeId">
    <vt:lpwstr>0x01010057A711830E683F4CB9E57883B0FD9B29</vt:lpwstr>
  </property>
  <property fmtid="{D5CDD505-2E9C-101B-9397-08002B2CF9AE}" pid="11" name="MediaServiceImageTags">
    <vt:lpwstr/>
  </property>
  <property fmtid="{D5CDD505-2E9C-101B-9397-08002B2CF9AE}" pid="12" name="Level of sensitivity">
    <vt:lpwstr>Standard treatment</vt:lpwstr>
  </property>
  <property fmtid="{D5CDD505-2E9C-101B-9397-08002B2CF9AE}" pid="13" name="Last edited using">
    <vt:lpwstr>LW 9.2, Build 20250828</vt:lpwstr>
  </property>
  <property fmtid="{D5CDD505-2E9C-101B-9397-08002B2CF9AE}" pid="14" name="DocStatus">
    <vt:lpwstr>Green</vt:lpwstr>
  </property>
  <property fmtid="{D5CDD505-2E9C-101B-9397-08002B2CF9AE}" pid="15" name="Part">
    <vt:lpwstr>1</vt:lpwstr>
  </property>
  <property fmtid="{D5CDD505-2E9C-101B-9397-08002B2CF9AE}" pid="16" name="Total parts">
    <vt:lpwstr>1</vt:lpwstr>
  </property>
  <property fmtid="{D5CDD505-2E9C-101B-9397-08002B2CF9AE}" pid="17" name="CPTemplateID">
    <vt:lpwstr>CP-006</vt:lpwstr>
  </property>
</Properties>
</file>