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045" w:rsidRPr="00A75A84" w:rsidRDefault="003A0479" w:rsidP="003A047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7AF933-B622-4AE4-825F-675E01528B0D" style="width:455.25pt;height:342.75pt">
            <v:imagedata r:id="rId11" o:title=""/>
          </v:shape>
        </w:pict>
      </w:r>
    </w:p>
    <w:p w:rsidR="00192045" w:rsidRPr="00A75A84" w:rsidRDefault="00192045" w:rsidP="00192045">
      <w:pPr>
        <w:rPr>
          <w:noProof/>
        </w:rPr>
        <w:sectPr w:rsidR="00192045" w:rsidRPr="00A75A84" w:rsidSect="003A0479">
          <w:footerReference w:type="even" r:id="rId12"/>
          <w:footerReference w:type="default" r:id="rId13"/>
          <w:pgSz w:w="11907" w:h="16839"/>
          <w:pgMar w:top="1134" w:right="1417" w:bottom="1134" w:left="1417" w:header="709" w:footer="709" w:gutter="0"/>
          <w:pgNumType w:start="0"/>
          <w:cols w:space="720"/>
          <w:docGrid w:linePitch="360"/>
        </w:sectPr>
      </w:pPr>
    </w:p>
    <w:p w:rsidR="00192045" w:rsidRPr="00A75A84" w:rsidRDefault="0E5945AD">
      <w:pPr>
        <w:pStyle w:val="Exposdesmotifstitre"/>
        <w:rPr>
          <w:noProof/>
        </w:rPr>
      </w:pPr>
      <w:bookmarkStart w:id="0" w:name="_GoBack"/>
      <w:bookmarkEnd w:id="0"/>
      <w:r w:rsidRPr="00A75A84">
        <w:rPr>
          <w:noProof/>
        </w:rPr>
        <w:lastRenderedPageBreak/>
        <w:t>EXPUNERE DE MOTIVE</w:t>
      </w:r>
    </w:p>
    <w:p w:rsidR="00192045" w:rsidRPr="00A75A84" w:rsidRDefault="00192045">
      <w:pPr>
        <w:pStyle w:val="ManualHeading1"/>
        <w:rPr>
          <w:noProof/>
        </w:rPr>
      </w:pPr>
      <w:r w:rsidRPr="00A75A84">
        <w:rPr>
          <w:noProof/>
        </w:rPr>
        <w:t>1.</w:t>
      </w:r>
      <w:r w:rsidRPr="00A75A84">
        <w:rPr>
          <w:noProof/>
        </w:rPr>
        <w:tab/>
        <w:t>CONTEXTUL PROPUNERII</w:t>
      </w:r>
    </w:p>
    <w:p w:rsidR="00192045" w:rsidRPr="00A75A84" w:rsidRDefault="0E5945AD">
      <w:pPr>
        <w:pStyle w:val="ManualHeading2"/>
        <w:rPr>
          <w:rFonts w:eastAsia="Arial Unicode MS"/>
          <w:noProof/>
        </w:rPr>
      </w:pPr>
      <w:r w:rsidRPr="00A75A84">
        <w:rPr>
          <w:noProof/>
          <w:color w:val="000000"/>
          <w:bdr w:val="nil"/>
        </w:rPr>
        <w:t>•</w:t>
      </w:r>
      <w:r w:rsidRPr="00A75A84">
        <w:rPr>
          <w:noProof/>
        </w:rPr>
        <w:tab/>
        <w:t>Motivele și obiectivele propunerii</w:t>
      </w:r>
    </w:p>
    <w:p w:rsidR="6C3D1D5F" w:rsidRPr="00A75A84" w:rsidRDefault="1DA8A668" w:rsidP="77ECB820">
      <w:pPr>
        <w:pBdr>
          <w:top w:val="nil"/>
          <w:left w:val="nil"/>
          <w:bottom w:val="nil"/>
          <w:right w:val="nil"/>
          <w:between w:val="nil"/>
          <w:bar w:val="nil"/>
        </w:pBdr>
        <w:spacing w:before="0" w:after="240"/>
        <w:rPr>
          <w:noProof/>
        </w:rPr>
      </w:pPr>
      <w:r w:rsidRPr="00A75A84">
        <w:rPr>
          <w:noProof/>
        </w:rPr>
        <w:t>În mai și iunie 2026, Rusia a introdus și a extins restricții asupra unei serii de exporturi armene, inclusiv rachiu, vin, apă minerală și produse agricole. În același timp, ea a introdus obstacole în calea tranzitului anumitor mărfuri armene pe teritoriul Federației Ruse. Această situație are un impact negativ substanțial asupra oportunităților comerciale ale Armeniei.</w:t>
      </w:r>
    </w:p>
    <w:p w:rsidR="28E6C065" w:rsidRPr="00A75A84" w:rsidRDefault="1E9CA3CD" w:rsidP="77ECB820">
      <w:pPr>
        <w:pBdr>
          <w:top w:val="nil"/>
          <w:left w:val="nil"/>
          <w:bottom w:val="nil"/>
          <w:right w:val="nil"/>
          <w:between w:val="nil"/>
          <w:bar w:val="nil"/>
        </w:pBdr>
        <w:spacing w:before="0" w:after="240"/>
        <w:rPr>
          <w:noProof/>
        </w:rPr>
      </w:pPr>
      <w:r w:rsidRPr="00A75A84">
        <w:rPr>
          <w:noProof/>
        </w:rPr>
        <w:t>În mod concret, măsurile introduse de Rusia au redus în mod semnificativ accesul Armeniei la unele dintre piețele sale tradiționale, au perturbat lanțurile de aprovizionare stabilite și au creat obstacole semnificative pentru exportatorii și producătorii armeni. Măsurile au un impact negativ asupra oportunităților de export și a rezilienței economice a Armeniei, în special pentru întreprinderile mici și mijlocii și pentru producătorii agricoli care depind în mare măsură de exportul produselor afectate.</w:t>
      </w:r>
    </w:p>
    <w:p w:rsidR="28E6C065" w:rsidRPr="00A75A84" w:rsidRDefault="60335CBB" w:rsidP="1AED28D2">
      <w:pPr>
        <w:rPr>
          <w:noProof/>
        </w:rPr>
      </w:pPr>
      <w:r w:rsidRPr="00A75A84">
        <w:rPr>
          <w:noProof/>
        </w:rPr>
        <w:t>Uniunea a reafirmat angajamentul ei de a-și consolida parteneriatul cu Armenia și de a sprijini economia Armeniei. Acest angajament este în deplină conformitate cu Acordul de parteneriat cuprinzător și consolidat dintre Uniunea Europeană și Republica Armenia („acordul de parteneriat”)</w:t>
      </w:r>
      <w:r w:rsidRPr="00A75A84">
        <w:rPr>
          <w:rStyle w:val="FootnoteReference"/>
          <w:rFonts w:eastAsia="Arial Unicode MS"/>
          <w:noProof/>
          <w:lang w:eastAsia="en-GB"/>
        </w:rPr>
        <w:footnoteReference w:id="1"/>
      </w:r>
      <w:r w:rsidRPr="00A75A84">
        <w:rPr>
          <w:noProof/>
        </w:rPr>
        <w:t>, care urmărește, printre altele, să sprijine eforturile Armeniei de a-și dezvolta potențialul economic și de a stabili o cooperare comercială superioară cu Uniunea. Prezenta propunere este aliniată inclusiv la Agenda strategică pentru parteneriatul UE-Armenia, adoptată în decembrie 2025, care identifică diversificarea comerțului, dezvoltarea socioeconomică, conectivitatea și reziliența ca priorități esențiale.</w:t>
      </w:r>
    </w:p>
    <w:p w:rsidR="21082F77" w:rsidRPr="00A75A84" w:rsidRDefault="64320B94" w:rsidP="77ECB820">
      <w:pPr>
        <w:pBdr>
          <w:top w:val="nil"/>
          <w:left w:val="nil"/>
          <w:bottom w:val="nil"/>
          <w:right w:val="nil"/>
          <w:between w:val="nil"/>
          <w:bar w:val="nil"/>
        </w:pBdr>
        <w:spacing w:before="0" w:after="240"/>
        <w:rPr>
          <w:noProof/>
        </w:rPr>
      </w:pPr>
      <w:r w:rsidRPr="00A75A84">
        <w:rPr>
          <w:noProof/>
        </w:rPr>
        <w:t>Înainte de prezenta propunere, Uniunea a mobilizat deja o asistență financiară și tehnică substanțială în cadrul Planului de reziliență și de creștere pentru Armenia pentru perioada 2024 – 2027, în valoare de 270 de milioane EUR. Această asistență pune un accent puternic pe investițiile în conectivitate, reziliență și dezvoltarea întreprinderilor și pe sprijinirea diversificării exporturilor Armeniei și a promovării produselor armene pe noi piețe. În spiritul solidarității cu Armenia în fața presiunii economice externe actuale, Comisia pregătește un pachet de sprijin care include asistență financiară în valoare de peste 50 de milioane EUR. Este necesar ca măsurile respective să fie completate cu măsuri țintite de liberalizare a comerțului pentru a oferi un sprijin rapid și concret producătorilor și exportatorilor armeni, pentru a îmbunătăți accesul acestora la piața Uniunii, pentru a-i ajuta să reorienteze fluxurile comerciale dinspre rutele și piețele restricționate și pentru a spori reziliența economiei armene. Prin urmare, Comisia propune un Regulament al Parlamentului European și al Consiliului care să vizeze introducerea unor măsuri de liberalizare a comerțului prin:</w:t>
      </w:r>
    </w:p>
    <w:p w:rsidR="21082F77" w:rsidRPr="00A75A84" w:rsidRDefault="00B83FCD" w:rsidP="00F15033">
      <w:pPr>
        <w:pStyle w:val="Bullet1"/>
        <w:numPr>
          <w:ilvl w:val="0"/>
          <w:numId w:val="19"/>
        </w:numPr>
        <w:rPr>
          <w:noProof/>
        </w:rPr>
      </w:pPr>
      <w:r w:rsidRPr="00A75A84">
        <w:rPr>
          <w:noProof/>
        </w:rPr>
        <w:t xml:space="preserve">suspendarea temporară a taxelor </w:t>
      </w:r>
      <w:r w:rsidRPr="00A75A84">
        <w:rPr>
          <w:i/>
          <w:iCs/>
          <w:noProof/>
        </w:rPr>
        <w:t>ad valorem</w:t>
      </w:r>
      <w:r w:rsidRPr="00A75A84">
        <w:rPr>
          <w:noProof/>
        </w:rPr>
        <w:t xml:space="preserve"> în cadrul Sistemului generalizat de preferințe tarifare Plus, cu excepția anumitor produse sensibile și incluzând anumite produse agricole interzise de Rusia; și</w:t>
      </w:r>
    </w:p>
    <w:p w:rsidR="4FB2FB6A" w:rsidRPr="00A75A84" w:rsidRDefault="00B83FCD" w:rsidP="00280747">
      <w:pPr>
        <w:pStyle w:val="Bullet1"/>
        <w:rPr>
          <w:noProof/>
        </w:rPr>
      </w:pPr>
      <w:r w:rsidRPr="00A75A84">
        <w:rPr>
          <w:noProof/>
        </w:rPr>
        <w:t xml:space="preserve">eliminarea taxelor </w:t>
      </w:r>
      <w:r w:rsidRPr="00A75A84">
        <w:rPr>
          <w:i/>
          <w:iCs/>
          <w:noProof/>
        </w:rPr>
        <w:t>ad valorem</w:t>
      </w:r>
      <w:r w:rsidRPr="00A75A84">
        <w:rPr>
          <w:noProof/>
        </w:rPr>
        <w:t xml:space="preserve"> pentru opt produse agricole în cadrul limitelor contingentelor tarifare aplicabile.</w:t>
      </w:r>
    </w:p>
    <w:p w:rsidR="0B98C93B" w:rsidRPr="00A75A84" w:rsidRDefault="0B98C93B" w:rsidP="1AED28D2">
      <w:pPr>
        <w:pBdr>
          <w:top w:val="nil"/>
          <w:left w:val="nil"/>
          <w:bottom w:val="nil"/>
          <w:right w:val="nil"/>
          <w:between w:val="nil"/>
          <w:bar w:val="nil"/>
        </w:pBdr>
        <w:spacing w:before="0" w:after="240"/>
        <w:rPr>
          <w:noProof/>
        </w:rPr>
      </w:pPr>
      <w:r w:rsidRPr="00A75A84">
        <w:rPr>
          <w:noProof/>
        </w:rPr>
        <w:t>Aceste măsuri se vor aplica timp de doi ani.</w:t>
      </w:r>
    </w:p>
    <w:p w:rsidR="21082F77" w:rsidRPr="00A75A84" w:rsidRDefault="21082F77" w:rsidP="3BC9BE56">
      <w:pPr>
        <w:pBdr>
          <w:top w:val="nil"/>
          <w:left w:val="nil"/>
          <w:bottom w:val="nil"/>
          <w:right w:val="nil"/>
          <w:between w:val="nil"/>
        </w:pBdr>
        <w:spacing w:before="0" w:after="240"/>
        <w:rPr>
          <w:noProof/>
        </w:rPr>
      </w:pPr>
      <w:r w:rsidRPr="00A75A84">
        <w:rPr>
          <w:noProof/>
        </w:rPr>
        <w:lastRenderedPageBreak/>
        <w:t>Aceste măsuri temporare și excepționale vor contribui la sprijinirea și consolidarea fluxurilor comerciale dinspre Armenia spre Uniune. Această procedură este în conformitate cu unul dintre principalele obiective ale acordului de parteneriat și anume: sprijinirea eforturilor Armeniei de a-și dezvolta potențialul economic și de a îmbunătăți cooperarea comercială dintre părți.</w:t>
      </w:r>
    </w:p>
    <w:p w:rsidR="21082F77" w:rsidRPr="00A75A84" w:rsidRDefault="21082F77" w:rsidP="1C81BF36">
      <w:pPr>
        <w:pBdr>
          <w:top w:val="nil"/>
          <w:left w:val="nil"/>
          <w:bottom w:val="nil"/>
          <w:right w:val="nil"/>
          <w:between w:val="nil"/>
        </w:pBdr>
        <w:spacing w:before="0" w:after="240"/>
        <w:rPr>
          <w:noProof/>
        </w:rPr>
      </w:pPr>
      <w:r w:rsidRPr="00A75A84">
        <w:rPr>
          <w:noProof/>
        </w:rPr>
        <w:t xml:space="preserve">Măsurile de liberalizare a comerțului prevăzute în prezenta propunere sunt luate în conformitate cu angajamentele prevăzute la articolele 2 și 9 din acordul de parteneriat, care consfințesc respectarea principiilor democratice, a statului de drept, a drepturilor omului și a libertăților fundamentale, precum și combaterea proliferării armelor de distrugere în masă ca elemente esențiale ale acordului respectiv. </w:t>
      </w:r>
    </w:p>
    <w:p w:rsidR="21082F77" w:rsidRPr="00A75A84" w:rsidRDefault="21082F77" w:rsidP="1AED28D2">
      <w:pPr>
        <w:pBdr>
          <w:top w:val="nil"/>
          <w:left w:val="nil"/>
          <w:bottom w:val="nil"/>
          <w:right w:val="nil"/>
          <w:between w:val="nil"/>
        </w:pBdr>
        <w:spacing w:before="0" w:after="240"/>
        <w:rPr>
          <w:noProof/>
        </w:rPr>
      </w:pPr>
      <w:r w:rsidRPr="00A75A84">
        <w:rPr>
          <w:noProof/>
        </w:rPr>
        <w:t xml:space="preserve">În plus, măsurile de liberalizare a comerțului conținute în prezenta propunere urmăresc să asigure, în conformitate cu articolul 207 alineatul (1) din Tratatul privind funcționarea Uniunii Europene (TFUE), faptul că politica comercială comună a Uniunii se desfășoară în contextul principiilor și obiectivelor acțiunii externe a Uniunii prevăzute la articolul 21 din Tratatul privind Uniunea Europeană (TUE). </w:t>
      </w:r>
    </w:p>
    <w:p w:rsidR="00192045" w:rsidRPr="00A75A84" w:rsidRDefault="0E5945AD">
      <w:pPr>
        <w:pStyle w:val="ManualHeading2"/>
        <w:rPr>
          <w:rFonts w:eastAsia="Arial Unicode MS"/>
          <w:noProof/>
          <w:color w:val="000000"/>
          <w:u w:color="000000"/>
          <w:bdr w:val="nil"/>
        </w:rPr>
      </w:pPr>
      <w:r w:rsidRPr="00A75A84">
        <w:rPr>
          <w:noProof/>
          <w:color w:val="000000"/>
          <w:bdr w:val="nil"/>
        </w:rPr>
        <w:t>•</w:t>
      </w:r>
      <w:r w:rsidRPr="00A75A84">
        <w:rPr>
          <w:noProof/>
        </w:rPr>
        <w:tab/>
        <w:t>Coerența cu dispozițiile deja existente în domeniul de politică vizat</w:t>
      </w:r>
    </w:p>
    <w:p w:rsidR="1BBBDF40" w:rsidRPr="00A75A84" w:rsidRDefault="1BBBDF40" w:rsidP="3BC9BE56">
      <w:pPr>
        <w:pBdr>
          <w:top w:val="nil"/>
          <w:left w:val="nil"/>
          <w:bottom w:val="nil"/>
          <w:right w:val="nil"/>
          <w:between w:val="nil"/>
          <w:bar w:val="nil"/>
        </w:pBdr>
        <w:spacing w:before="0" w:after="240"/>
        <w:rPr>
          <w:noProof/>
        </w:rPr>
      </w:pPr>
      <w:r w:rsidRPr="00A75A84">
        <w:rPr>
          <w:noProof/>
        </w:rPr>
        <w:t>Măsura de liberalizare a comerțului propusă ar fi în concordanță cu punerea în aplicare a acordului de parteneriat și cu angajamentul său de a îmbunătăți cooperarea comercială dintre Uniune și Armenia și de a sprijini Armenia în dezvoltarea potențialului ei economic.</w:t>
      </w:r>
    </w:p>
    <w:p w:rsidR="00192045" w:rsidRPr="00A75A84" w:rsidRDefault="0E5945AD">
      <w:pPr>
        <w:pStyle w:val="ManualHeading2"/>
        <w:rPr>
          <w:rFonts w:eastAsia="Arial Unicode MS"/>
          <w:noProof/>
        </w:rPr>
      </w:pPr>
      <w:r w:rsidRPr="00A75A84">
        <w:rPr>
          <w:noProof/>
          <w:color w:val="000000"/>
          <w:bdr w:val="nil"/>
        </w:rPr>
        <w:t>•</w:t>
      </w:r>
      <w:r w:rsidRPr="00A75A84">
        <w:rPr>
          <w:noProof/>
        </w:rPr>
        <w:tab/>
        <w:t>Coerența cu alte politici ale Uniunii</w:t>
      </w:r>
    </w:p>
    <w:p w:rsidR="7CA61C1C" w:rsidRPr="00A75A84" w:rsidRDefault="00066526" w:rsidP="7CE33F42">
      <w:pPr>
        <w:pBdr>
          <w:top w:val="nil"/>
          <w:left w:val="nil"/>
          <w:bottom w:val="nil"/>
          <w:right w:val="nil"/>
          <w:between w:val="nil"/>
          <w:bar w:val="nil"/>
        </w:pBdr>
        <w:spacing w:before="0" w:after="240"/>
        <w:rPr>
          <w:noProof/>
        </w:rPr>
      </w:pPr>
      <w:r w:rsidRPr="00A75A84">
        <w:rPr>
          <w:noProof/>
        </w:rPr>
        <w:t xml:space="preserve">În conformitate cu Agenda strategică pentru parteneriatul UE-Armenia și cu acordul de parteneriat, Uniunea a luat măsuri semnificative pentru a sprijini reziliența, diversificarea comercială și economică a Armeniei în acest context excepțional, inclusiv prin intermediul Planului de reziliență și de creștere pentru 2024 – 2027 în valoare de 270 milioane EUR, prin investiții în cadrul strategiei </w:t>
      </w:r>
      <w:r w:rsidRPr="00A75A84">
        <w:rPr>
          <w:i/>
          <w:iCs/>
          <w:noProof/>
        </w:rPr>
        <w:t>Global Gateway</w:t>
      </w:r>
      <w:r w:rsidRPr="00A75A84">
        <w:rPr>
          <w:noProof/>
        </w:rPr>
        <w:t xml:space="preserve"> și al Parteneriatului pentru conectivitate, precum și prin asistență financiară suplimentară și măsuri de facilitare a comerțului anunțate ca răspuns la cele mai recente restricții comerciale impuse de Rusia. În plus, Uniunea a intensificat cooperarea cu Armenia într-o gamă largă de domenii de politică, inclusiv conectivitatea, sprijinul pentru întreprinderi și punerea în aplicare a reformelor, în vederea consolidării rezilienței socioeconomice a Armeniei și a furnizării de alternative la rutele și piețele comerciale restricționate. </w:t>
      </w:r>
    </w:p>
    <w:p w:rsidR="7CA61C1C" w:rsidRPr="00A75A84" w:rsidRDefault="7CA61C1C" w:rsidP="7CE33F42">
      <w:pPr>
        <w:pBdr>
          <w:top w:val="nil"/>
          <w:left w:val="nil"/>
          <w:bottom w:val="nil"/>
          <w:right w:val="nil"/>
          <w:between w:val="nil"/>
        </w:pBdr>
        <w:spacing w:before="0" w:after="240"/>
        <w:rPr>
          <w:noProof/>
        </w:rPr>
      </w:pPr>
      <w:r w:rsidRPr="00A75A84">
        <w:rPr>
          <w:noProof/>
        </w:rPr>
        <w:t>Prin urmare, regulamentul propus respectă și introduce în vigoare obligațiile Uniunii care decurg din articolul 21 alineatul (3) din TUE de a asigura coerența între diferitele domenii ale acțiunii sale externe și din articolul 207 alineatul (1) din TFUE care prevede că politica comercială comună trebuie să se desfășoare în contextul principiilor și al obiectivelor acțiunii externe ale Uniunii. În particular, el este în concordanță cu obiectivul Uniunii de a sprijini partenerii care se confruntă cu presiuni economice externe, de a promova reziliența și dezvoltarea sustenabilă și de a aprofunda relațiile economice și comerciale cu Armenia, astfel cum se prevede în acordul de parteneriat și în Agenda strategică pentru parteneriatul UE</w:t>
      </w:r>
      <w:r w:rsidRPr="00A75A84">
        <w:rPr>
          <w:noProof/>
        </w:rPr>
        <w:noBreakHyphen/>
        <w:t>Armenia.</w:t>
      </w:r>
    </w:p>
    <w:p w:rsidR="00192045" w:rsidRPr="00A75A84" w:rsidRDefault="0E5945AD" w:rsidP="1AED28D2">
      <w:pPr>
        <w:pStyle w:val="ManualHeading1"/>
        <w:rPr>
          <w:noProof/>
        </w:rPr>
      </w:pPr>
      <w:r w:rsidRPr="00A75A84">
        <w:rPr>
          <w:noProof/>
        </w:rPr>
        <w:t>2.</w:t>
      </w:r>
      <w:r w:rsidRPr="00A75A84">
        <w:rPr>
          <w:noProof/>
        </w:rPr>
        <w:tab/>
        <w:t>TEMEI JURIDIC, SUBSIDIARITATE ȘI PROPORȚIONALITATE</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Temei juridic</w:t>
      </w:r>
    </w:p>
    <w:p w:rsidR="28143F1B" w:rsidRPr="00A75A84" w:rsidRDefault="28143F1B" w:rsidP="1AED28D2">
      <w:pPr>
        <w:pBdr>
          <w:top w:val="nil"/>
          <w:left w:val="nil"/>
          <w:bottom w:val="nil"/>
          <w:right w:val="nil"/>
          <w:between w:val="nil"/>
          <w:bar w:val="nil"/>
        </w:pBdr>
        <w:spacing w:before="0" w:after="240"/>
        <w:rPr>
          <w:rFonts w:eastAsia="Arial Unicode MS"/>
          <w:noProof/>
        </w:rPr>
      </w:pPr>
      <w:r w:rsidRPr="00A75A84">
        <w:rPr>
          <w:noProof/>
        </w:rPr>
        <w:t>Temeiul juridic al propunerii îl constituie articolul 207 alineatul (2) din TFUE.</w:t>
      </w:r>
    </w:p>
    <w:p w:rsidR="00192045" w:rsidRPr="00A75A84" w:rsidRDefault="0E5945AD" w:rsidP="1AED28D2">
      <w:pPr>
        <w:pStyle w:val="ManualHeading2"/>
        <w:rPr>
          <w:rFonts w:eastAsia="Arial Unicode MS"/>
          <w:noProof/>
        </w:rPr>
      </w:pPr>
      <w:r w:rsidRPr="00A75A84">
        <w:rPr>
          <w:noProof/>
          <w:bdr w:val="nil"/>
        </w:rPr>
        <w:t>•</w:t>
      </w:r>
      <w:r w:rsidRPr="00A75A84">
        <w:rPr>
          <w:noProof/>
        </w:rPr>
        <w:tab/>
      </w:r>
      <w:r w:rsidRPr="00A75A84">
        <w:rPr>
          <w:noProof/>
          <w:bdr w:val="nil"/>
        </w:rPr>
        <w:t xml:space="preserve">Subsidiaritatea (în cazul competențelor neexclusive) </w:t>
      </w:r>
    </w:p>
    <w:p w:rsidR="00192045" w:rsidRPr="00A75A84" w:rsidRDefault="004A6781" w:rsidP="1AED28D2">
      <w:pPr>
        <w:pBdr>
          <w:top w:val="nil"/>
          <w:left w:val="nil"/>
          <w:bottom w:val="nil"/>
          <w:right w:val="nil"/>
          <w:between w:val="nil"/>
          <w:bar w:val="nil"/>
        </w:pBdr>
        <w:spacing w:before="0" w:after="240"/>
        <w:rPr>
          <w:noProof/>
        </w:rPr>
      </w:pPr>
      <w:r w:rsidRPr="00A75A84">
        <w:rPr>
          <w:noProof/>
        </w:rPr>
        <w:t>În conformitate cu articolul 3 alineatul (1) litera (e) din TFUE, politica comercială comună este o competență exclusivă a Uniunii. În consecință, principiul subsidiarității nu se aplică.</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Proporționalitatea</w:t>
      </w:r>
    </w:p>
    <w:p w:rsidR="76663CE7" w:rsidRPr="00A75A84" w:rsidRDefault="76663CE7" w:rsidP="1AED28D2">
      <w:pPr>
        <w:pBdr>
          <w:top w:val="nil"/>
          <w:left w:val="nil"/>
          <w:bottom w:val="nil"/>
          <w:right w:val="nil"/>
          <w:between w:val="nil"/>
          <w:bar w:val="nil"/>
        </w:pBdr>
        <w:spacing w:before="0" w:after="240"/>
        <w:rPr>
          <w:noProof/>
        </w:rPr>
      </w:pPr>
      <w:r w:rsidRPr="00A75A84">
        <w:rPr>
          <w:noProof/>
        </w:rPr>
        <w:t>Prezenta propunere este necesară pentru a pune în aplicare politica comercială comună și pentru a atinge obiectivul de a sprijini Armenia să facă față dificultăților sale actuale, inclusiv în domeniul schimburilor comerciale cu Uniunea.</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Alegerea instrumentului</w:t>
      </w:r>
    </w:p>
    <w:p w:rsidR="1AED28D2" w:rsidRPr="00A75A84" w:rsidRDefault="7C20AF55" w:rsidP="1AED28D2">
      <w:pPr>
        <w:pBdr>
          <w:top w:val="nil"/>
          <w:left w:val="nil"/>
          <w:bottom w:val="nil"/>
          <w:right w:val="nil"/>
          <w:between w:val="nil"/>
          <w:bar w:val="nil"/>
        </w:pBdr>
        <w:spacing w:before="0" w:after="240"/>
        <w:rPr>
          <w:noProof/>
        </w:rPr>
      </w:pPr>
      <w:r w:rsidRPr="00A75A84">
        <w:rPr>
          <w:noProof/>
        </w:rPr>
        <w:t>Prezenta propunere este în concordanță cu articolul 207 alineatul (2) din TFUE, care prevede măsuri privind politica comercială comună.</w:t>
      </w:r>
    </w:p>
    <w:p w:rsidR="00192045" w:rsidRPr="00A75A84" w:rsidRDefault="0E5945AD" w:rsidP="1AED28D2">
      <w:pPr>
        <w:pStyle w:val="ManualHeading1"/>
        <w:rPr>
          <w:noProof/>
        </w:rPr>
      </w:pPr>
      <w:r w:rsidRPr="00A75A84">
        <w:rPr>
          <w:noProof/>
        </w:rPr>
        <w:t>3.</w:t>
      </w:r>
      <w:r w:rsidRPr="00A75A84">
        <w:rPr>
          <w:noProof/>
        </w:rPr>
        <w:tab/>
        <w:t xml:space="preserve">REZULTATELE EVALUĂRILOR </w:t>
      </w:r>
      <w:r w:rsidRPr="00A75A84">
        <w:rPr>
          <w:i/>
          <w:noProof/>
        </w:rPr>
        <w:t>EX POST</w:t>
      </w:r>
      <w:r w:rsidRPr="00A75A84">
        <w:rPr>
          <w:noProof/>
        </w:rPr>
        <w:t>, ALE CONSULTĂRILOR CU PĂRȚILE INTERESATE ȘI ALE EVALUĂRILOR IMPACTULUI</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 xml:space="preserve">Evaluările </w:t>
      </w:r>
      <w:r w:rsidRPr="00A75A84">
        <w:rPr>
          <w:i/>
          <w:noProof/>
          <w:bdr w:val="nil"/>
        </w:rPr>
        <w:t>ex post</w:t>
      </w:r>
      <w:r w:rsidRPr="00A75A84">
        <w:rPr>
          <w:noProof/>
          <w:bdr w:val="nil"/>
        </w:rPr>
        <w:t>/verificările adecvării legislației existente</w:t>
      </w:r>
    </w:p>
    <w:p w:rsidR="7468B8BD" w:rsidRPr="00A75A84" w:rsidRDefault="7468B8BD" w:rsidP="1AED28D2">
      <w:pPr>
        <w:pBdr>
          <w:top w:val="nil"/>
          <w:left w:val="nil"/>
          <w:bottom w:val="nil"/>
          <w:right w:val="nil"/>
          <w:between w:val="nil"/>
        </w:pBdr>
        <w:spacing w:before="0" w:after="240"/>
        <w:rPr>
          <w:noProof/>
        </w:rPr>
      </w:pPr>
      <w:r w:rsidRPr="00A75A84">
        <w:rPr>
          <w:noProof/>
        </w:rPr>
        <w:t>Nu se aplică.</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Consultarea cu părțile interesate</w:t>
      </w:r>
    </w:p>
    <w:p w:rsidR="357C110A" w:rsidRPr="00A75A84" w:rsidRDefault="357C110A" w:rsidP="1AED28D2">
      <w:pPr>
        <w:pBdr>
          <w:top w:val="nil"/>
          <w:left w:val="nil"/>
          <w:bottom w:val="nil"/>
          <w:right w:val="nil"/>
          <w:between w:val="nil"/>
        </w:pBdr>
        <w:spacing w:before="0" w:after="240"/>
        <w:rPr>
          <w:noProof/>
        </w:rPr>
      </w:pPr>
      <w:r w:rsidRPr="00A75A84">
        <w:rPr>
          <w:noProof/>
        </w:rPr>
        <w:t>Nu se aplică.</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Colectarea și utilizarea cunoștințelor de specialitate</w:t>
      </w:r>
    </w:p>
    <w:p w:rsidR="2CC937AB" w:rsidRPr="00A75A84" w:rsidRDefault="2CC937AB" w:rsidP="1AED28D2">
      <w:pPr>
        <w:pBdr>
          <w:top w:val="nil"/>
          <w:left w:val="nil"/>
          <w:bottom w:val="nil"/>
          <w:right w:val="nil"/>
          <w:between w:val="nil"/>
        </w:pBdr>
        <w:spacing w:before="0" w:after="240"/>
        <w:rPr>
          <w:noProof/>
        </w:rPr>
      </w:pPr>
      <w:r w:rsidRPr="00A75A84">
        <w:rPr>
          <w:noProof/>
        </w:rPr>
        <w:t>Nu se aplică.</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Evaluarea impactului</w:t>
      </w:r>
    </w:p>
    <w:p w:rsidR="1AED28D2" w:rsidRPr="00A75A84" w:rsidRDefault="4C9C4777" w:rsidP="77ECB820">
      <w:pPr>
        <w:pBdr>
          <w:top w:val="nil"/>
          <w:left w:val="nil"/>
          <w:bottom w:val="nil"/>
          <w:right w:val="nil"/>
          <w:between w:val="nil"/>
          <w:bar w:val="nil"/>
        </w:pBdr>
        <w:spacing w:before="0" w:after="240"/>
        <w:rPr>
          <w:noProof/>
        </w:rPr>
      </w:pPr>
      <w:r w:rsidRPr="00A75A84">
        <w:rPr>
          <w:noProof/>
        </w:rPr>
        <w:t xml:space="preserve">Având în vedere situația urgentă din Armenia, este important ca regulamentul propus să intre în vigoare cât mai curând posibil. Prin urmare, nu s-a efectuat nicio evaluare a impactului pentru măsura propusă. </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Adecvarea reglementărilor și simplificarea</w:t>
      </w:r>
    </w:p>
    <w:p w:rsidR="1AED28D2" w:rsidRPr="00A75A84" w:rsidRDefault="3A54A503" w:rsidP="00E07979">
      <w:pPr>
        <w:spacing w:after="240"/>
        <w:rPr>
          <w:noProof/>
        </w:rPr>
      </w:pPr>
      <w:r w:rsidRPr="00A75A84">
        <w:rPr>
          <w:noProof/>
        </w:rPr>
        <w:t>Măsura propusă nu sporește sarcina de reglementare pentru întreprinderi.</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Drepturile fundamentale</w:t>
      </w:r>
    </w:p>
    <w:p w:rsidR="7F48775E" w:rsidRPr="00A75A84" w:rsidRDefault="7F48775E" w:rsidP="3BC9BE56">
      <w:pPr>
        <w:pBdr>
          <w:top w:val="nil"/>
          <w:left w:val="nil"/>
          <w:bottom w:val="nil"/>
          <w:right w:val="nil"/>
          <w:between w:val="nil"/>
          <w:bar w:val="nil"/>
        </w:pBdr>
        <w:spacing w:before="0" w:after="240"/>
        <w:rPr>
          <w:noProof/>
        </w:rPr>
      </w:pPr>
      <w:r w:rsidRPr="00A75A84">
        <w:rPr>
          <w:noProof/>
        </w:rPr>
        <w:t xml:space="preserve">Tratamentul preferențial în cadrul măsurii propuse ar fi condiționat de respectarea acelorași principii de bază ca cele consacrate în acordul de parteneriat. În particular, articolele 2 și 9 din acordul de parteneriat prevăd că respectarea principiilor democratice, a statului de drept, a drepturilor omului și a libertăților fundamentale, precum și combaterea proliferării armelor de distrugere în masă sunt elemente esențiale ale respectivului acord. </w:t>
      </w:r>
    </w:p>
    <w:p w:rsidR="7F48775E" w:rsidRPr="00A75A84" w:rsidRDefault="7F48775E" w:rsidP="3BC9BE56">
      <w:pPr>
        <w:pBdr>
          <w:top w:val="nil"/>
          <w:left w:val="nil"/>
          <w:bottom w:val="nil"/>
          <w:right w:val="nil"/>
          <w:between w:val="nil"/>
        </w:pBdr>
        <w:spacing w:before="0" w:after="240"/>
        <w:rPr>
          <w:noProof/>
        </w:rPr>
      </w:pPr>
      <w:r w:rsidRPr="00A75A84">
        <w:rPr>
          <w:noProof/>
        </w:rPr>
        <w:t>Măsurile propuse ar fi în conformitate și cu Carta drepturilor fundamentale a Uniunii Europene.</w:t>
      </w:r>
    </w:p>
    <w:p w:rsidR="00192045" w:rsidRPr="00A75A84" w:rsidRDefault="0E5945AD" w:rsidP="1AED28D2">
      <w:pPr>
        <w:pStyle w:val="ManualHeading1"/>
        <w:rPr>
          <w:noProof/>
        </w:rPr>
      </w:pPr>
      <w:r w:rsidRPr="00A75A84">
        <w:rPr>
          <w:noProof/>
        </w:rPr>
        <w:t>4.</w:t>
      </w:r>
      <w:r w:rsidRPr="00A75A84">
        <w:rPr>
          <w:noProof/>
        </w:rPr>
        <w:tab/>
        <w:t>IMPLICAȚII BUGETARE</w:t>
      </w:r>
    </w:p>
    <w:p w:rsidR="1AED28D2" w:rsidRPr="00A75A84" w:rsidRDefault="2CFB267C" w:rsidP="1AED28D2">
      <w:pPr>
        <w:pBdr>
          <w:top w:val="nil"/>
          <w:left w:val="nil"/>
          <w:bottom w:val="nil"/>
          <w:right w:val="nil"/>
          <w:between w:val="nil"/>
          <w:bar w:val="nil"/>
        </w:pBdr>
        <w:spacing w:before="0" w:after="240"/>
        <w:rPr>
          <w:noProof/>
        </w:rPr>
      </w:pPr>
      <w:r w:rsidRPr="00A75A84">
        <w:rPr>
          <w:noProof/>
        </w:rPr>
        <w:t>Pe baza nivelului importurilor din Armenia în 2025, se estimează că Uniunea va pierde mai puțin de 3 milioane EUR sub formă de venituri din taxe vamale per an.</w:t>
      </w:r>
    </w:p>
    <w:p w:rsidR="00192045" w:rsidRPr="00A75A84" w:rsidRDefault="0E5945AD" w:rsidP="1AED28D2">
      <w:pPr>
        <w:pStyle w:val="ManualHeading1"/>
        <w:rPr>
          <w:noProof/>
        </w:rPr>
      </w:pPr>
      <w:r w:rsidRPr="00A75A84">
        <w:rPr>
          <w:noProof/>
        </w:rPr>
        <w:t>5.</w:t>
      </w:r>
      <w:r w:rsidRPr="00A75A84">
        <w:rPr>
          <w:noProof/>
        </w:rPr>
        <w:tab/>
        <w:t>ALTE ELEMENTE</w:t>
      </w:r>
    </w:p>
    <w:p w:rsidR="00192045" w:rsidRPr="00A75A84" w:rsidRDefault="0E5945AD" w:rsidP="1AED28D2">
      <w:pPr>
        <w:pStyle w:val="ManualHeading2"/>
        <w:rPr>
          <w:rFonts w:eastAsia="Arial Unicode MS"/>
          <w:noProof/>
        </w:rPr>
      </w:pPr>
      <w:r w:rsidRPr="00A75A84">
        <w:rPr>
          <w:noProof/>
          <w:bdr w:val="nil"/>
        </w:rPr>
        <w:t>•</w:t>
      </w:r>
      <w:r w:rsidRPr="00A75A84">
        <w:rPr>
          <w:noProof/>
        </w:rPr>
        <w:tab/>
      </w:r>
      <w:r w:rsidRPr="00A75A84">
        <w:rPr>
          <w:noProof/>
          <w:bdr w:val="nil"/>
        </w:rPr>
        <w:t>Planurile de punere în aplicare și măsurile de monitorizare, evaluare și raportare</w:t>
      </w:r>
    </w:p>
    <w:p w:rsidR="00192045" w:rsidRPr="00A75A84" w:rsidRDefault="3EE7E3F9" w:rsidP="2E63B89E">
      <w:pPr>
        <w:pBdr>
          <w:top w:val="nil"/>
          <w:left w:val="nil"/>
          <w:bottom w:val="nil"/>
          <w:right w:val="nil"/>
          <w:between w:val="nil"/>
          <w:bar w:val="nil"/>
        </w:pBdr>
        <w:spacing w:before="0" w:after="240"/>
        <w:rPr>
          <w:noProof/>
        </w:rPr>
      </w:pPr>
      <w:r w:rsidRPr="00A75A84">
        <w:rPr>
          <w:noProof/>
        </w:rPr>
        <w:t>Raportarea online cu privire la dezvoltarea comerțului bilateral dintre Uniune și Armenia este disponibilă prin intermediul site-urilor de internet dedicate ale Comisiei Europene</w:t>
      </w:r>
      <w:r w:rsidRPr="00A75A84">
        <w:rPr>
          <w:rStyle w:val="FootnoteReference"/>
          <w:noProof/>
        </w:rPr>
        <w:footnoteReference w:id="2"/>
      </w:r>
      <w:r w:rsidRPr="00A75A84">
        <w:rPr>
          <w:noProof/>
        </w:rPr>
        <w:t>.</w:t>
      </w:r>
    </w:p>
    <w:p w:rsidR="00192045" w:rsidRPr="00A75A84" w:rsidRDefault="08312101" w:rsidP="6AB9677E">
      <w:pPr>
        <w:rPr>
          <w:rFonts w:eastAsia="Times New Roman"/>
          <w:noProof/>
        </w:rPr>
      </w:pPr>
      <w:r w:rsidRPr="00A75A84">
        <w:rPr>
          <w:noProof/>
        </w:rPr>
        <w:t>Propunerea introduce măsuri temporare și excepționale de liberalizare a comerțului pentru produsele originare din Armenia cu scopul de a sprijini fluxurile comerciale ale Armeniei către Uniune ca răspuns la restricțiile și obstacolele care afectează exporturile armene.</w:t>
      </w:r>
    </w:p>
    <w:p w:rsidR="00192045" w:rsidRPr="00A75A84" w:rsidRDefault="571D30D9" w:rsidP="6AB9677E">
      <w:pPr>
        <w:jc w:val="left"/>
        <w:rPr>
          <w:noProof/>
        </w:rPr>
      </w:pPr>
      <w:r w:rsidRPr="00A75A84">
        <w:rPr>
          <w:noProof/>
        </w:rPr>
        <w:t xml:space="preserve">Ea prevede, în principal, un tratament tarifar preferențial pentru anumite produse, sub rezerva unor condiții legate de origine, de procedurile vamale, de cooperarea administrativă și de posibilele mecanisme de suspendare sau de salvgardare. </w:t>
      </w:r>
    </w:p>
    <w:p w:rsidR="00192045" w:rsidRPr="00A75A84" w:rsidRDefault="08312101" w:rsidP="6AB9677E">
      <w:pPr>
        <w:jc w:val="left"/>
        <w:rPr>
          <w:noProof/>
        </w:rPr>
      </w:pPr>
      <w:r w:rsidRPr="00A75A84">
        <w:rPr>
          <w:noProof/>
        </w:rPr>
        <w:t xml:space="preserve">Prin urmare, propunerea este în primul rând o măsură de politică comercială pe termen scurt și nu stabilește un nou cadru de reglementare pentru serviciile digitale, guvernanța datelor, procedurile automatizate sau serviciile publice digitale. </w:t>
      </w:r>
    </w:p>
    <w:p w:rsidR="00192045" w:rsidRPr="00A75A84" w:rsidRDefault="08312101" w:rsidP="6AB9677E">
      <w:pPr>
        <w:pBdr>
          <w:top w:val="nil"/>
          <w:left w:val="nil"/>
          <w:bottom w:val="nil"/>
          <w:right w:val="nil"/>
          <w:between w:val="nil"/>
        </w:pBdr>
        <w:spacing w:before="0" w:after="240"/>
        <w:rPr>
          <w:noProof/>
        </w:rPr>
      </w:pPr>
      <w:r w:rsidRPr="00A75A84">
        <w:rPr>
          <w:noProof/>
        </w:rPr>
        <w:t xml:space="preserve">Punerea ei în aplicare se poate baza pe datele și instrumentele digitale deja utilizate de statele membre și de Comisie, dar nu impune nicio nouă cerință obligatorie de a utiliza, dezvolta sau adapta astfel de sisteme. </w:t>
      </w:r>
    </w:p>
    <w:p w:rsidR="00192045" w:rsidRPr="00A75A84" w:rsidRDefault="08312101" w:rsidP="6AB9677E">
      <w:pPr>
        <w:jc w:val="left"/>
        <w:rPr>
          <w:noProof/>
        </w:rPr>
      </w:pPr>
      <w:r w:rsidRPr="00A75A84">
        <w:rPr>
          <w:noProof/>
        </w:rPr>
        <w:t>Nu sunt necesare noi sisteme informatice, soluții digitale sau modificări substanțiale ale sistemelor existente. Orice prelucrare a datelor sau schimb de informații ar servi numai la sprijinirea aplicării și monitorizării măsurilor comerciale temporare și nu constituie o nouă cerință digitală sau în materie de date.</w:t>
      </w:r>
    </w:p>
    <w:p w:rsidR="1AED28D2" w:rsidRPr="00A75A84" w:rsidRDefault="08312101" w:rsidP="00E07979">
      <w:pPr>
        <w:jc w:val="left"/>
        <w:rPr>
          <w:noProof/>
        </w:rPr>
      </w:pPr>
      <w:r w:rsidRPr="00A75A84">
        <w:rPr>
          <w:noProof/>
        </w:rPr>
        <w:t>Având în vedere durata limitată și absența unor noi cerințe digitale, principiul „digital în mod implicit” nu se aplică.</w:t>
      </w:r>
    </w:p>
    <w:p w:rsidR="00192045" w:rsidRPr="00A75A84" w:rsidRDefault="0E5945AD" w:rsidP="1AED28D2">
      <w:pPr>
        <w:pStyle w:val="ManualHeading2"/>
        <w:rPr>
          <w:rFonts w:eastAsia="Arial Unicode MS"/>
          <w:noProof/>
          <w:bdr w:val="nil"/>
        </w:rPr>
      </w:pPr>
      <w:r w:rsidRPr="00A75A84">
        <w:rPr>
          <w:noProof/>
          <w:bdr w:val="nil"/>
        </w:rPr>
        <w:t>•</w:t>
      </w:r>
      <w:r w:rsidRPr="00A75A84">
        <w:rPr>
          <w:noProof/>
        </w:rPr>
        <w:tab/>
      </w:r>
      <w:r w:rsidRPr="00A75A84">
        <w:rPr>
          <w:noProof/>
          <w:bdr w:val="nil"/>
        </w:rPr>
        <w:t>Documentele explicative (în cazul directivelor)</w:t>
      </w:r>
    </w:p>
    <w:p w:rsidR="1AED28D2" w:rsidRPr="00A75A84" w:rsidRDefault="3A889313" w:rsidP="1AED28D2">
      <w:pPr>
        <w:pBdr>
          <w:top w:val="nil"/>
          <w:left w:val="nil"/>
          <w:bottom w:val="nil"/>
          <w:right w:val="nil"/>
          <w:between w:val="nil"/>
          <w:bar w:val="nil"/>
        </w:pBdr>
        <w:spacing w:before="0" w:after="240"/>
        <w:rPr>
          <w:noProof/>
        </w:rPr>
      </w:pPr>
      <w:r w:rsidRPr="00A75A84">
        <w:rPr>
          <w:noProof/>
        </w:rPr>
        <w:t>Nu se aplică.</w:t>
      </w:r>
    </w:p>
    <w:p w:rsidR="00192045" w:rsidRPr="00A75A84" w:rsidRDefault="0E5945AD">
      <w:pPr>
        <w:pStyle w:val="ManualHeading2"/>
        <w:rPr>
          <w:rFonts w:eastAsia="Arial Unicode MS"/>
          <w:noProof/>
          <w:u w:color="000000"/>
          <w:bdr w:val="nil"/>
        </w:rPr>
      </w:pPr>
      <w:r w:rsidRPr="00A75A84">
        <w:rPr>
          <w:noProof/>
          <w:bdr w:val="nil"/>
        </w:rPr>
        <w:t>•</w:t>
      </w:r>
      <w:r w:rsidRPr="00A75A84">
        <w:rPr>
          <w:noProof/>
        </w:rPr>
        <w:tab/>
      </w:r>
      <w:r w:rsidRPr="00A75A84">
        <w:rPr>
          <w:noProof/>
          <w:bdr w:val="nil"/>
        </w:rPr>
        <w:t>Explicarea detaliată a dispozițiilor specifice ale propunerii</w:t>
      </w:r>
    </w:p>
    <w:p w:rsidR="3FCC3910" w:rsidRPr="00A75A84" w:rsidRDefault="3FCC3910" w:rsidP="1AED28D2">
      <w:pPr>
        <w:pBdr>
          <w:top w:val="nil"/>
          <w:left w:val="nil"/>
          <w:bottom w:val="nil"/>
          <w:right w:val="nil"/>
          <w:between w:val="nil"/>
          <w:bar w:val="nil"/>
        </w:pBdr>
        <w:spacing w:before="0" w:after="240"/>
        <w:rPr>
          <w:noProof/>
        </w:rPr>
      </w:pPr>
      <w:r w:rsidRPr="00A75A84">
        <w:rPr>
          <w:noProof/>
        </w:rPr>
        <w:t xml:space="preserve">Având în vedere caracterul urgent al restricțiilor care afectează exporturile armene, măsura vizează creșterea importurilor din Armenia prin suspendarea parțială a tarifelor și a taxelor la import aplicate unei liste de produse armene. </w:t>
      </w:r>
    </w:p>
    <w:p w:rsidR="00192045" w:rsidRPr="00A75A84" w:rsidRDefault="00192045">
      <w:pPr>
        <w:rPr>
          <w:noProof/>
        </w:rPr>
        <w:sectPr w:rsidR="00192045" w:rsidRPr="00A75A84" w:rsidSect="003A047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164F10" w:rsidRDefault="00E44E79">
      <w:pPr>
        <w:pStyle w:val="Rfrenceinterinstitutionnelle"/>
        <w:rPr>
          <w:noProof/>
        </w:rPr>
      </w:pPr>
      <w:r>
        <w:rPr>
          <w:noProof/>
        </w:rPr>
        <w:t>2026/0189 (COD)</w:t>
      </w:r>
    </w:p>
    <w:p w:rsidR="00192045" w:rsidRPr="00A75A84" w:rsidRDefault="00906EAC" w:rsidP="00906EAC">
      <w:pPr>
        <w:pStyle w:val="Statut"/>
        <w:rPr>
          <w:noProof/>
        </w:rPr>
      </w:pPr>
      <w:r w:rsidRPr="00A75A84">
        <w:rPr>
          <w:noProof/>
        </w:rPr>
        <w:t>Propunere de</w:t>
      </w:r>
    </w:p>
    <w:p w:rsidR="00192045" w:rsidRPr="00A75A84" w:rsidRDefault="00906EAC" w:rsidP="00906EAC">
      <w:pPr>
        <w:pStyle w:val="Typedudocument"/>
        <w:rPr>
          <w:noProof/>
        </w:rPr>
      </w:pPr>
      <w:r w:rsidRPr="00A75A84">
        <w:rPr>
          <w:noProof/>
        </w:rPr>
        <w:t>REGULAMENT AL PARLAMENTULUI EUROPEAN ȘI AL CONSILIULUI</w:t>
      </w:r>
    </w:p>
    <w:p w:rsidR="00192045" w:rsidRPr="00A75A84" w:rsidRDefault="00906EAC" w:rsidP="00906EAC">
      <w:pPr>
        <w:pStyle w:val="Titreobjet"/>
        <w:rPr>
          <w:noProof/>
        </w:rPr>
      </w:pPr>
      <w:r w:rsidRPr="00A75A84">
        <w:rPr>
          <w:noProof/>
        </w:rPr>
        <w:t>privind unele măsuri de liberalizare temporară a comerțului aplicabile produselor armene</w:t>
      </w:r>
    </w:p>
    <w:p w:rsidR="00192045" w:rsidRPr="00A75A84" w:rsidRDefault="00192045">
      <w:pPr>
        <w:pStyle w:val="Institutionquiagit"/>
        <w:rPr>
          <w:noProof/>
        </w:rPr>
      </w:pPr>
      <w:r w:rsidRPr="00A75A84">
        <w:rPr>
          <w:noProof/>
        </w:rPr>
        <w:t>PARLAMENTUL EUROPEAN ȘI CONSILIUL UNIUNII EUROPENE,</w:t>
      </w:r>
    </w:p>
    <w:p w:rsidR="00192045" w:rsidRPr="00A75A84" w:rsidRDefault="00192045">
      <w:pPr>
        <w:rPr>
          <w:noProof/>
        </w:rPr>
      </w:pPr>
      <w:r w:rsidRPr="00A75A84">
        <w:rPr>
          <w:noProof/>
        </w:rPr>
        <w:t>având în vedere Tratatul privind funcționarea Uniunii Europene, în special articolul 207 alineatul (2),</w:t>
      </w:r>
    </w:p>
    <w:p w:rsidR="00192045" w:rsidRPr="00A75A84" w:rsidRDefault="00192045">
      <w:pPr>
        <w:rPr>
          <w:noProof/>
        </w:rPr>
      </w:pPr>
      <w:r w:rsidRPr="00A75A84">
        <w:rPr>
          <w:noProof/>
        </w:rPr>
        <w:t>având în vedere propunerea Comisiei Europene,</w:t>
      </w:r>
    </w:p>
    <w:p w:rsidR="00192045" w:rsidRPr="00A75A84" w:rsidRDefault="75B618A6">
      <w:pPr>
        <w:rPr>
          <w:noProof/>
        </w:rPr>
      </w:pPr>
      <w:r w:rsidRPr="00A75A84">
        <w:rPr>
          <w:noProof/>
        </w:rPr>
        <w:t>după transmiterea proiectului de act legislativ către parlamentele naționale,</w:t>
      </w:r>
    </w:p>
    <w:p w:rsidR="001D21C4" w:rsidRPr="00A75A84" w:rsidRDefault="29E5833F" w:rsidP="009A7000">
      <w:pPr>
        <w:spacing w:after="240"/>
        <w:rPr>
          <w:noProof/>
        </w:rPr>
      </w:pPr>
      <w:r w:rsidRPr="00A75A84">
        <w:rPr>
          <w:noProof/>
        </w:rPr>
        <w:t>hotărând în conformitate cu procedura legislativă ordinară</w:t>
      </w:r>
      <w:r w:rsidRPr="00A75A84">
        <w:rPr>
          <w:rStyle w:val="FootnoteReference"/>
          <w:noProof/>
        </w:rPr>
        <w:footnoteReference w:id="3"/>
      </w:r>
      <w:r w:rsidRPr="00A75A84">
        <w:rPr>
          <w:noProof/>
        </w:rPr>
        <w:t>,</w:t>
      </w:r>
    </w:p>
    <w:p w:rsidR="00192045" w:rsidRPr="00A75A84" w:rsidRDefault="00192045">
      <w:pPr>
        <w:rPr>
          <w:noProof/>
        </w:rPr>
      </w:pPr>
      <w:r w:rsidRPr="00A75A84">
        <w:rPr>
          <w:noProof/>
        </w:rPr>
        <w:t>întrucât:</w:t>
      </w:r>
    </w:p>
    <w:p w:rsidR="00192045" w:rsidRPr="00A75A84" w:rsidRDefault="3ADA9EB6" w:rsidP="00DD6986">
      <w:pPr>
        <w:pStyle w:val="ManualConsidrant"/>
        <w:rPr>
          <w:noProof/>
        </w:rPr>
      </w:pPr>
      <w:r>
        <w:rPr>
          <w:noProof/>
        </w:rPr>
        <w:t>(1)</w:t>
      </w:r>
      <w:r>
        <w:rPr>
          <w:noProof/>
        </w:rPr>
        <w:tab/>
      </w:r>
      <w:r w:rsidRPr="00A75A84">
        <w:rPr>
          <w:noProof/>
        </w:rPr>
        <w:t>Acordul de parteneriat cuprinzător și consolidat între Uniunea Europeană și Comunitatea Europeană a Energiei Atomice și statele membre ale acestora, pe de o parte, și Republica Armenia, pe de altă parte</w:t>
      </w:r>
      <w:r w:rsidRPr="00A75A84">
        <w:rPr>
          <w:rStyle w:val="FootnoteReference"/>
          <w:noProof/>
        </w:rPr>
        <w:footnoteReference w:id="4"/>
      </w:r>
      <w:r w:rsidRPr="00A75A84">
        <w:rPr>
          <w:noProof/>
        </w:rPr>
        <w:t xml:space="preserve"> („acordul de parteneriat”) constituie baza relației dintre Uniune și Armenia. În concordanță cu Decizia (UE) 2018/104 a Consiliului</w:t>
      </w:r>
      <w:r w:rsidRPr="00A75A84">
        <w:rPr>
          <w:rStyle w:val="FootnoteReference"/>
          <w:noProof/>
        </w:rPr>
        <w:footnoteReference w:id="5"/>
      </w:r>
      <w:r w:rsidRPr="00A75A84">
        <w:rPr>
          <w:noProof/>
        </w:rPr>
        <w:t>, titlul VI din acordul de parteneriat, care se referă la comerț și la aspecte legate de comerț, s-a aplicat cu titlu provizoriu de la 1 iunie 2018 și a intrat în vigoare la 1 martie 2021, în urma ratificării de către toate statele membre.</w:t>
      </w:r>
    </w:p>
    <w:p w:rsidR="00192045" w:rsidRPr="00A75A84" w:rsidRDefault="3ADA9EB6">
      <w:pPr>
        <w:pStyle w:val="ManualConsidrant"/>
        <w:rPr>
          <w:noProof/>
        </w:rPr>
      </w:pPr>
      <w:r>
        <w:rPr>
          <w:noProof/>
        </w:rPr>
        <w:t>(2)</w:t>
      </w:r>
      <w:r>
        <w:rPr>
          <w:noProof/>
        </w:rPr>
        <w:tab/>
      </w:r>
      <w:r w:rsidRPr="00A75A84">
        <w:rPr>
          <w:noProof/>
        </w:rPr>
        <w:t>Acordul de parteneriat exprimă dorința Uniunii și a Armeniei de a stabili o cooperare comercială superioară care să permită o cooperare susținută în materie de reglementare în domeniile relevante, în conformitate cu drepturile și obligațiile care decurg din calitatea de membru al Organizației Mondiale a Comerțului. Unul dintre principalele obiective ale acordului de parteneriat este dezvoltarea comerțului. Pentru a sprijini și a accelera dezvoltarea unor relații economice mai strânse cu Uniunea este adecvat să se sporească fluxurile comerciale aferente importării anumitor produse.</w:t>
      </w:r>
    </w:p>
    <w:p w:rsidR="00AD1E36" w:rsidRPr="00A75A84" w:rsidRDefault="4E0CCAF3" w:rsidP="3BC9BE56">
      <w:pPr>
        <w:pStyle w:val="ManualConsidrant"/>
        <w:rPr>
          <w:noProof/>
        </w:rPr>
      </w:pPr>
      <w:r>
        <w:rPr>
          <w:noProof/>
        </w:rPr>
        <w:t>(3)</w:t>
      </w:r>
      <w:r>
        <w:rPr>
          <w:noProof/>
        </w:rPr>
        <w:tab/>
      </w:r>
      <w:r w:rsidRPr="00A75A84">
        <w:rPr>
          <w:noProof/>
        </w:rPr>
        <w:t>Începând cu mai 2026, Federația Rusă a introdus măsuri comerciale pe scară largă care afectează importurile și tranzitul principalelor produse armene de export, inclusiv băuturi alcoolice, apă minerală, fructe și legume. Respectivele măsuri au redus în mod semnificativ accesul Armeniei la piețele ei tradiționale și au perturbat lanțuri de aprovizionare bine stabilite. Situația are un impact negativ asupra oportunităților de export ale Armeniei, afectând în special întreprinderile mici și mijlocii și producătorii agricoli, și riscă să submineze grav reziliența economică și stabilitatea socială a țării. În cadrul acordului de parteneriat și al Agendei strategice pentru parteneriatul UE-Armenia</w:t>
      </w:r>
      <w:r w:rsidRPr="00A75A84">
        <w:rPr>
          <w:rStyle w:val="FootnoteReference"/>
          <w:noProof/>
        </w:rPr>
        <w:footnoteReference w:id="6"/>
      </w:r>
      <w:r w:rsidRPr="00A75A84">
        <w:rPr>
          <w:noProof/>
        </w:rPr>
        <w:t>, Uniunea și Armenia s-au angajat să își aprofundeze relațiile economice și comerciale și să sprijine diversificarea comercială și economică. În acest context și într-un spirit de solidaritate cu Armenia, este adecvat să se stimuleze fluxurile comerciale și să se acorde concesii sub forma unor măsuri de liberalizare a comerțului pentru anumite produse armene.</w:t>
      </w:r>
    </w:p>
    <w:p w:rsidR="002D0030" w:rsidRPr="00A75A84" w:rsidRDefault="3ADA9EB6" w:rsidP="3BC9BE56">
      <w:pPr>
        <w:pStyle w:val="ManualConsidrant"/>
        <w:rPr>
          <w:noProof/>
        </w:rPr>
      </w:pPr>
      <w:r>
        <w:rPr>
          <w:noProof/>
        </w:rPr>
        <w:t>(4)</w:t>
      </w:r>
      <w:r>
        <w:rPr>
          <w:noProof/>
        </w:rPr>
        <w:tab/>
      </w:r>
      <w:r w:rsidRPr="00A75A84">
        <w:rPr>
          <w:noProof/>
        </w:rPr>
        <w:t>În conformitate cu articolul 21 alineatul (3) din Tratatul privind Uniunea Europeană, Uniunea trebuie să asigure coerența dintre diferitele domenii ale acțiunii sale externe. În temeiul articolului 207 alineatul (1) din Tratatul privind funcționarea Uniunii Europene, politica comercială comună trebuie să se desfășoare în cadrul principiilor și al obiectivelor acțiunii externe a Uniunii.</w:t>
      </w:r>
    </w:p>
    <w:p w:rsidR="002D0030" w:rsidRPr="00A75A84" w:rsidRDefault="00350FD0" w:rsidP="00350FD0">
      <w:pPr>
        <w:pStyle w:val="ManualConsidrant"/>
        <w:rPr>
          <w:noProof/>
        </w:rPr>
      </w:pPr>
      <w:r>
        <w:rPr>
          <w:noProof/>
        </w:rPr>
        <w:t>(5)</w:t>
      </w:r>
      <w:r>
        <w:rPr>
          <w:noProof/>
        </w:rPr>
        <w:tab/>
      </w:r>
      <w:r w:rsidRPr="00A75A84">
        <w:rPr>
          <w:noProof/>
        </w:rPr>
        <w:t xml:space="preserve">Prin urmare, este necesar să fie introduse măsuri de liberalizare a comerțului sub forma suspendării temporare a taxelor </w:t>
      </w:r>
      <w:r w:rsidRPr="00A75A84">
        <w:rPr>
          <w:i/>
          <w:iCs/>
          <w:noProof/>
        </w:rPr>
        <w:t>ad valorem</w:t>
      </w:r>
      <w:r w:rsidRPr="00A75A84">
        <w:rPr>
          <w:noProof/>
        </w:rPr>
        <w:t xml:space="preserve"> în conformitate cu Sistemul generalizat de preferințe Plus, cu unele adaptări, cum ar fi eliminarea anumitor produse sensibile și includerea anumitor produse agricole interzise de Rusia, precum și eliminarea taxelor </w:t>
      </w:r>
      <w:r w:rsidRPr="00A75A84">
        <w:rPr>
          <w:i/>
          <w:iCs/>
          <w:noProof/>
        </w:rPr>
        <w:t>ad valorem</w:t>
      </w:r>
      <w:r w:rsidRPr="00A75A84">
        <w:rPr>
          <w:noProof/>
        </w:rPr>
        <w:t xml:space="preserve"> pentru opt produse agricole în limitele contingentelor tarifare aplicabile.</w:t>
      </w:r>
    </w:p>
    <w:p w:rsidR="002D0030" w:rsidRPr="00A75A84" w:rsidRDefault="3ADA9EB6">
      <w:pPr>
        <w:pStyle w:val="ManualConsidrant"/>
        <w:rPr>
          <w:noProof/>
        </w:rPr>
      </w:pPr>
      <w:r>
        <w:rPr>
          <w:noProof/>
        </w:rPr>
        <w:t>(6)</w:t>
      </w:r>
      <w:r>
        <w:rPr>
          <w:noProof/>
        </w:rPr>
        <w:tab/>
      </w:r>
      <w:bookmarkStart w:id="1" w:name="_Hlk233186397"/>
      <w:r w:rsidRPr="00A75A84">
        <w:rPr>
          <w:noProof/>
        </w:rPr>
        <w:t>Pentru a preveni fraudele este necesar ca regimurile preferențiale stabilite prin prezentul regulament să fie condiționate de faptul că Armenia respectă: toate condițiile relevante stabilite în prezentul regulament și în acordul de parteneriat; regulile de origine aplicabile produselor în cauză și procedurile aferente; și implicarea Armeniei în cooperarea administrativă strânsă cu Uniunea, astfel cum se prevede în Regulamentul delegat (UE) 2015/2446 al Comisiei</w:t>
      </w:r>
      <w:r w:rsidRPr="00A75A84">
        <w:rPr>
          <w:rStyle w:val="FootnoteReference"/>
          <w:noProof/>
        </w:rPr>
        <w:footnoteReference w:id="7"/>
      </w:r>
      <w:r w:rsidRPr="00A75A84">
        <w:rPr>
          <w:noProof/>
        </w:rPr>
        <w:t xml:space="preserve"> și în Regulamentul de punere în aplicare (UE) 2015/2447</w:t>
      </w:r>
      <w:r w:rsidRPr="00A75A84">
        <w:rPr>
          <w:rStyle w:val="FootnoteReference"/>
          <w:noProof/>
        </w:rPr>
        <w:footnoteReference w:id="8"/>
      </w:r>
      <w:r w:rsidRPr="00A75A84">
        <w:rPr>
          <w:noProof/>
        </w:rPr>
        <w:t>.</w:t>
      </w:r>
    </w:p>
    <w:bookmarkEnd w:id="1"/>
    <w:p w:rsidR="002D0030" w:rsidRPr="00A75A84" w:rsidRDefault="3ADA9EB6">
      <w:pPr>
        <w:pStyle w:val="ManualConsidrant"/>
        <w:rPr>
          <w:noProof/>
        </w:rPr>
      </w:pPr>
      <w:r>
        <w:rPr>
          <w:noProof/>
        </w:rPr>
        <w:t>(7)</w:t>
      </w:r>
      <w:r>
        <w:rPr>
          <w:noProof/>
        </w:rPr>
        <w:tab/>
      </w:r>
      <w:r w:rsidRPr="00A75A84">
        <w:rPr>
          <w:noProof/>
        </w:rPr>
        <w:t>Este necesar ca Armenia să se abțină de la: introducerea de noi taxe vamale sau de impozite cu efect echivalent sau de noi restricții cantitative sau de măsuri cu efect echivalent; creșterea nivelurilor actuale ale taxelor vamale sau ale impozitelor; sau introducerea oricăror alte restricții în comerțul cu Uniunea. Dacă Armenia nu respectă oricare dintre condițiile respective, este necesară împuternicirea Comisiei pentru a suspenda temporar toate sau o parte din regimurile preferențiale stabilite prin prezentul regulament.</w:t>
      </w:r>
    </w:p>
    <w:p w:rsidR="002D0030" w:rsidRPr="00A75A84" w:rsidRDefault="3ADA9EB6">
      <w:pPr>
        <w:pStyle w:val="ManualConsidrant"/>
        <w:rPr>
          <w:noProof/>
        </w:rPr>
      </w:pPr>
      <w:r>
        <w:rPr>
          <w:noProof/>
        </w:rPr>
        <w:t>(8)</w:t>
      </w:r>
      <w:r>
        <w:rPr>
          <w:noProof/>
        </w:rPr>
        <w:tab/>
      </w:r>
      <w:r w:rsidRPr="00A75A84">
        <w:rPr>
          <w:noProof/>
        </w:rPr>
        <w:t>Articolele 2 și 9 din acordul de parteneriat stabilesc respectarea principiilor democratice, a statului de drept, a drepturilor omului și a libertăților fundamentale, precum și combaterea proliferării armelor de distrugere în masă, ca elemente esențiale ale acordului respectiv. Este adecvat să se prevadă posibilitatea de a suspenda temporar regimurile preferențiale stabilite prin prezentul regulament în cazul în care Armenia nu respectă oricare dintre dispozițiile identificate ca elemente esențiale în acordul de parteneriat.</w:t>
      </w:r>
    </w:p>
    <w:p w:rsidR="00F75CEA" w:rsidRPr="00A75A84" w:rsidRDefault="00F75CEA" w:rsidP="00F75CEA">
      <w:pPr>
        <w:pStyle w:val="ManualConsidrant"/>
        <w:rPr>
          <w:noProof/>
        </w:rPr>
      </w:pPr>
      <w:r>
        <w:rPr>
          <w:noProof/>
        </w:rPr>
        <w:t>(9)</w:t>
      </w:r>
      <w:r>
        <w:rPr>
          <w:noProof/>
        </w:rPr>
        <w:tab/>
      </w:r>
      <w:r w:rsidRPr="00A75A84">
        <w:rPr>
          <w:noProof/>
        </w:rPr>
        <w:t>Sub rezerva unei evaluări efectuată de Comisie, realizată în contextul monitorizării periodice a impactului prezentului regulament și lansată fie în urma unei cereri justificate în mod corespunzător din partea unui stat membru, fie la inițiativa Comisiei, este necesar să se prevadă posibilitatea de a lua toate măsurile necesare privind importurile oricăror produse care intră în domeniul de aplicare al prezentului regulament care afectează negativ piața Uniunii sau piața unuia sau a mai multor state membre pentru produse similare sau direct concurente.</w:t>
      </w:r>
    </w:p>
    <w:p w:rsidR="002D0030" w:rsidRPr="00A75A84" w:rsidRDefault="1E3C5B69" w:rsidP="3BC9BE56">
      <w:pPr>
        <w:pStyle w:val="ManualConsidrant"/>
        <w:rPr>
          <w:noProof/>
        </w:rPr>
      </w:pPr>
      <w:r>
        <w:rPr>
          <w:noProof/>
        </w:rPr>
        <w:t>(10)</w:t>
      </w:r>
      <w:r>
        <w:rPr>
          <w:noProof/>
        </w:rPr>
        <w:tab/>
      </w:r>
      <w:r w:rsidRPr="00A75A84">
        <w:rPr>
          <w:noProof/>
        </w:rPr>
        <w:t>În vederea asigurării unor condiții uniforme pentru punerea în aplicare a prezentului regulament este necesar să fie conferite competențe de executare Comisiei pentru a suspenda temporar regimurile preferențiale menționate în considerentul 5 și pentru a introduce măsuri corective în cazul în care producătorii din Uniune de produse similare sau direct concurente sunt, sau ar putea fi, grav afectați de importurile efectuate în temeiul prezentului regulament. Este necesar ca respectivele competențe să fie exercitate în conformitate cu Regulamentul (UE) nr. 182/2011 al Parlamentului European și al Consiliului</w:t>
      </w:r>
      <w:r w:rsidRPr="00A75A84">
        <w:rPr>
          <w:rStyle w:val="FootnoteReference"/>
          <w:noProof/>
        </w:rPr>
        <w:footnoteReference w:id="9"/>
      </w:r>
      <w:r w:rsidRPr="00A75A84">
        <w:rPr>
          <w:noProof/>
        </w:rPr>
        <w:t>. Este necesar să se prevadă posibilitatea de a reintroduce, în urma unei investigații efectuate de Comisie, taxe vamale asupra importurilor de oricare produse care intră în domeniul de aplicare al prezentului regulament și care cauzează, sau amenință să cauzeze, dificultăți grave producătorilor din Uniune de produse similare sau direct concurente.</w:t>
      </w:r>
    </w:p>
    <w:p w:rsidR="00BC64D6" w:rsidRPr="00A75A84" w:rsidRDefault="77EF3BAB" w:rsidP="009A7000">
      <w:pPr>
        <w:pStyle w:val="ManualConsidrant"/>
        <w:spacing w:after="240"/>
        <w:rPr>
          <w:noProof/>
        </w:rPr>
      </w:pPr>
      <w:r>
        <w:rPr>
          <w:noProof/>
        </w:rPr>
        <w:t>(11)</w:t>
      </w:r>
      <w:r>
        <w:rPr>
          <w:noProof/>
        </w:rPr>
        <w:tab/>
      </w:r>
      <w:r w:rsidRPr="00A75A84">
        <w:rPr>
          <w:noProof/>
        </w:rPr>
        <w:t xml:space="preserve">Având în vedere situația urgentă din Armenia, este necesar ca prezentul regulament să intre în vigoare în ziua următoare datei publicării în </w:t>
      </w:r>
      <w:r w:rsidRPr="00A75A84">
        <w:rPr>
          <w:i/>
          <w:iCs/>
          <w:noProof/>
        </w:rPr>
        <w:t>Jurnalul Oficial al Uniunii Europene</w:t>
      </w:r>
      <w:r w:rsidRPr="00A75A84">
        <w:rPr>
          <w:noProof/>
        </w:rPr>
        <w:t xml:space="preserve"> și să se aplice timp de doi ani,</w:t>
      </w:r>
    </w:p>
    <w:p w:rsidR="00192045" w:rsidRPr="00A75A84" w:rsidRDefault="00192045">
      <w:pPr>
        <w:pStyle w:val="Formuledadoption"/>
        <w:rPr>
          <w:noProof/>
        </w:rPr>
      </w:pPr>
      <w:r w:rsidRPr="00A75A84">
        <w:rPr>
          <w:noProof/>
        </w:rPr>
        <w:t>ADOPTĂ PREZENTUL REGULAMENT:</w:t>
      </w:r>
    </w:p>
    <w:p w:rsidR="00192045" w:rsidRPr="00A75A84" w:rsidRDefault="00192045">
      <w:pPr>
        <w:pStyle w:val="Titrearticle"/>
        <w:rPr>
          <w:noProof/>
        </w:rPr>
      </w:pPr>
      <w:r w:rsidRPr="00A75A84">
        <w:rPr>
          <w:noProof/>
        </w:rPr>
        <w:t>Articolul 1</w:t>
      </w:r>
    </w:p>
    <w:p w:rsidR="001C2E23" w:rsidRPr="00A75A84" w:rsidRDefault="001C2E23" w:rsidP="001C2E23">
      <w:pPr>
        <w:jc w:val="center"/>
        <w:rPr>
          <w:b/>
          <w:bCs/>
          <w:noProof/>
        </w:rPr>
      </w:pPr>
      <w:r w:rsidRPr="00A75A84">
        <w:rPr>
          <w:b/>
          <w:noProof/>
        </w:rPr>
        <w:t>Măsuri de liberalizare a comerțului</w:t>
      </w:r>
    </w:p>
    <w:p w:rsidR="001C2E23" w:rsidRPr="00A75A84" w:rsidRDefault="5D7DE428" w:rsidP="00E07979">
      <w:pPr>
        <w:rPr>
          <w:noProof/>
        </w:rPr>
      </w:pPr>
      <w:r w:rsidRPr="00A75A84">
        <w:rPr>
          <w:noProof/>
        </w:rPr>
        <w:t>Se introduc următoarele regimuri preferențiale:</w:t>
      </w:r>
    </w:p>
    <w:p w:rsidR="0C52AEEE" w:rsidRPr="00A75A84" w:rsidRDefault="00FA0584" w:rsidP="00F15033">
      <w:pPr>
        <w:pStyle w:val="Point0"/>
        <w:rPr>
          <w:noProof/>
        </w:rPr>
      </w:pPr>
      <w:r>
        <w:rPr>
          <w:noProof/>
        </w:rPr>
        <w:t>(a)</w:t>
      </w:r>
      <w:r>
        <w:rPr>
          <w:noProof/>
        </w:rPr>
        <w:tab/>
      </w:r>
      <w:r w:rsidRPr="00A75A84">
        <w:rPr>
          <w:noProof/>
        </w:rPr>
        <w:t xml:space="preserve">produsele originare din Armenia enumerate în anexa I se admit la importul în Uniune scutite de taxe la import </w:t>
      </w:r>
      <w:r w:rsidRPr="00A75A84">
        <w:rPr>
          <w:i/>
          <w:iCs/>
          <w:noProof/>
        </w:rPr>
        <w:t>ad valorem</w:t>
      </w:r>
      <w:r w:rsidRPr="00A75A84">
        <w:rPr>
          <w:noProof/>
        </w:rPr>
        <w:t>;</w:t>
      </w:r>
    </w:p>
    <w:p w:rsidR="00FA0584" w:rsidRPr="00A75A84" w:rsidRDefault="00FA0584" w:rsidP="00CE028F">
      <w:pPr>
        <w:pStyle w:val="Point0"/>
        <w:rPr>
          <w:noProof/>
        </w:rPr>
      </w:pPr>
      <w:r>
        <w:rPr>
          <w:noProof/>
        </w:rPr>
        <w:t>(b)</w:t>
      </w:r>
      <w:r>
        <w:rPr>
          <w:noProof/>
        </w:rPr>
        <w:tab/>
      </w:r>
      <w:r w:rsidRPr="00A75A84">
        <w:rPr>
          <w:noProof/>
        </w:rPr>
        <w:t xml:space="preserve">produsele originare din Armenia listate în anexa II se admit la import în Uniune scutite de taxe la import </w:t>
      </w:r>
      <w:r w:rsidRPr="00A75A84">
        <w:rPr>
          <w:i/>
          <w:iCs/>
          <w:noProof/>
        </w:rPr>
        <w:t>ad valorem</w:t>
      </w:r>
      <w:r w:rsidRPr="00A75A84">
        <w:rPr>
          <w:noProof/>
        </w:rPr>
        <w:t xml:space="preserve"> în limitele contingentelor tarifare stabilite de Uniune și redate în anexa respectivă.</w:t>
      </w:r>
    </w:p>
    <w:p w:rsidR="6F7335CA" w:rsidRPr="00A75A84" w:rsidRDefault="1EEE0568" w:rsidP="009A7000">
      <w:pPr>
        <w:rPr>
          <w:noProof/>
        </w:rPr>
      </w:pPr>
      <w:r w:rsidRPr="00A75A84">
        <w:rPr>
          <w:noProof/>
        </w:rPr>
        <w:t>Contingentele tarifare menționate la primul paragraf litera (b) se gestionează de Comisie în conformitate cu articolele 49 – 54 din Regulamentul de punere în aplicare (UE) 2015/2447 al Comisiei.</w:t>
      </w:r>
    </w:p>
    <w:p w:rsidR="001C2E23" w:rsidRPr="00A75A84" w:rsidRDefault="001C2E23" w:rsidP="001C2E23">
      <w:pPr>
        <w:pStyle w:val="Titrearticle"/>
        <w:rPr>
          <w:noProof/>
        </w:rPr>
      </w:pPr>
      <w:r w:rsidRPr="00A75A84">
        <w:rPr>
          <w:noProof/>
        </w:rPr>
        <w:t>Articolul 2</w:t>
      </w:r>
    </w:p>
    <w:p w:rsidR="001C2E23" w:rsidRPr="00A75A84" w:rsidRDefault="001C2E23" w:rsidP="001C2E23">
      <w:pPr>
        <w:jc w:val="center"/>
        <w:rPr>
          <w:b/>
          <w:bCs/>
          <w:noProof/>
        </w:rPr>
      </w:pPr>
      <w:r w:rsidRPr="00A75A84">
        <w:rPr>
          <w:b/>
          <w:noProof/>
        </w:rPr>
        <w:t>Condiții de acordare a regimurilor preferențiale</w:t>
      </w:r>
    </w:p>
    <w:p w:rsidR="001C2E23" w:rsidRPr="00A75A84" w:rsidRDefault="5D7DE428" w:rsidP="003509D0">
      <w:pPr>
        <w:rPr>
          <w:noProof/>
        </w:rPr>
      </w:pPr>
      <w:r w:rsidRPr="00A75A84">
        <w:rPr>
          <w:noProof/>
        </w:rPr>
        <w:t>Regimurile preferențiale prevăzute la articolul 1 se supun următoarelor condiții:</w:t>
      </w:r>
    </w:p>
    <w:p w:rsidR="4053E4DD" w:rsidRPr="00A75A84" w:rsidRDefault="017AB468" w:rsidP="00F15033">
      <w:pPr>
        <w:pStyle w:val="Point0"/>
        <w:rPr>
          <w:noProof/>
        </w:rPr>
      </w:pPr>
      <w:r>
        <w:rPr>
          <w:noProof/>
        </w:rPr>
        <w:t>(a)</w:t>
      </w:r>
      <w:r>
        <w:rPr>
          <w:noProof/>
        </w:rPr>
        <w:tab/>
      </w:r>
      <w:r w:rsidRPr="00A75A84">
        <w:rPr>
          <w:noProof/>
        </w:rPr>
        <w:t>respectarea de către Armenia a regulilor de origine prevăzute la articolele 59 – 70 din Regulamentul delegat (UE) 2015/2446 și la articolele 113 – 126 din Regulamentul de punere în aplicare (UE) 2015/2447</w:t>
      </w:r>
      <w:r w:rsidR="00A75A84" w:rsidRPr="00A75A84">
        <w:rPr>
          <w:noProof/>
        </w:rPr>
        <w:t>;</w:t>
      </w:r>
    </w:p>
    <w:p w:rsidR="1AED28D2" w:rsidRPr="00A75A84" w:rsidRDefault="0D3A8E7D" w:rsidP="009A7000">
      <w:pPr>
        <w:pStyle w:val="Text1"/>
        <w:rPr>
          <w:noProof/>
        </w:rPr>
      </w:pPr>
      <w:r w:rsidRPr="00A75A84">
        <w:rPr>
          <w:noProof/>
        </w:rPr>
        <w:t>Fără a aduce atingere articolului 119 alineatul (1) din Regulamentul de punere în aplicare (UE) 2015/2447, o declarație pe factură poate fi întocmită și de un exportator armean înregistrat în sistemul exportatorilor înregistrați (REX) al Uniunii, în conformitate cu dispozițiile relevante de la articolele 70, 71, 72, 86, 89 și 91 din Regulamentul de punere în aplicare (UE) 2015/2447;</w:t>
      </w:r>
    </w:p>
    <w:p w:rsidR="1AED28D2" w:rsidRPr="00A75A84" w:rsidRDefault="1AAB1113" w:rsidP="005C6A25">
      <w:pPr>
        <w:pStyle w:val="Point0"/>
        <w:rPr>
          <w:noProof/>
        </w:rPr>
      </w:pPr>
      <w:r>
        <w:rPr>
          <w:noProof/>
        </w:rPr>
        <w:t>(b)</w:t>
      </w:r>
      <w:r>
        <w:rPr>
          <w:noProof/>
        </w:rPr>
        <w:tab/>
      </w:r>
      <w:r w:rsidRPr="00A75A84">
        <w:rPr>
          <w:noProof/>
        </w:rPr>
        <w:t xml:space="preserve">implicarea Armeniei într-o cooperare administrativă efectivă cu Uniunea, inclusiv în ceea ce privește verificarea dovezilor cu privire la origine, pentru a preveni orice risc de fraude; </w:t>
      </w:r>
    </w:p>
    <w:p w:rsidR="001C2E23" w:rsidRPr="00A75A84" w:rsidRDefault="00D62F43" w:rsidP="009A7000">
      <w:pPr>
        <w:pStyle w:val="Point0"/>
        <w:rPr>
          <w:noProof/>
        </w:rPr>
      </w:pPr>
      <w:r>
        <w:rPr>
          <w:noProof/>
        </w:rPr>
        <w:t>(c)</w:t>
      </w:r>
      <w:r>
        <w:rPr>
          <w:noProof/>
        </w:rPr>
        <w:tab/>
      </w:r>
      <w:r w:rsidRPr="00A75A84">
        <w:rPr>
          <w:noProof/>
        </w:rPr>
        <w:t>neintroducerea de către Armenia a unor noi taxe vamale sau a unor impozite cu efect echivalent sau a unor noi restricții cantitative sau a unor măsuri cu efect echivalent asupra importurilor originare din Uniune, nemajorarea nivelurilor taxelor vamale sau ale altor impozite în vigoare și neintroducerea oricăror alte restricții privind comerțul cu Uniunea, inclusiv a unor măsuri administrative interne discriminatorii, cu excepția cazului în care aceste măsuri sunt justificate în mod corespunzător și notificate Comisiei; și</w:t>
      </w:r>
    </w:p>
    <w:p w:rsidR="00C855D0" w:rsidRPr="00A75A84" w:rsidRDefault="02C64867" w:rsidP="005C6A25">
      <w:pPr>
        <w:pStyle w:val="Point0"/>
        <w:rPr>
          <w:noProof/>
        </w:rPr>
      </w:pPr>
      <w:r>
        <w:rPr>
          <w:noProof/>
        </w:rPr>
        <w:t>(d)</w:t>
      </w:r>
      <w:r>
        <w:rPr>
          <w:noProof/>
        </w:rPr>
        <w:tab/>
      </w:r>
      <w:r w:rsidRPr="00A75A84">
        <w:rPr>
          <w:noProof/>
        </w:rPr>
        <w:t xml:space="preserve">respectarea de către Armenia a principiilor democratice, a statului de drept, a drepturilor omului și a libertăților fundamentale, precum și combaterea proliferării armelor de distrugere în masă, prevăzute la articolele 2 și 9 din acordul de parteneriat. </w:t>
      </w:r>
    </w:p>
    <w:p w:rsidR="001C2E23" w:rsidRPr="00A75A84" w:rsidRDefault="001C2E23" w:rsidP="001C2E23">
      <w:pPr>
        <w:pStyle w:val="Titrearticle"/>
        <w:rPr>
          <w:noProof/>
        </w:rPr>
      </w:pPr>
      <w:r w:rsidRPr="00A75A84">
        <w:rPr>
          <w:noProof/>
        </w:rPr>
        <w:t>Articolul 3</w:t>
      </w:r>
    </w:p>
    <w:p w:rsidR="001C2E23" w:rsidRPr="00A75A84" w:rsidRDefault="001C2E23" w:rsidP="001C2E23">
      <w:pPr>
        <w:jc w:val="center"/>
        <w:rPr>
          <w:b/>
          <w:bCs/>
          <w:noProof/>
        </w:rPr>
      </w:pPr>
      <w:r w:rsidRPr="00A75A84">
        <w:rPr>
          <w:b/>
          <w:noProof/>
        </w:rPr>
        <w:t>Suspendare temporară</w:t>
      </w:r>
    </w:p>
    <w:p w:rsidR="001C2E23" w:rsidRPr="00A75A84" w:rsidRDefault="28CC9853" w:rsidP="00DD6986">
      <w:pPr>
        <w:pStyle w:val="ManualNumPar1"/>
        <w:rPr>
          <w:noProof/>
        </w:rPr>
      </w:pPr>
      <w:r>
        <w:rPr>
          <w:noProof/>
        </w:rPr>
        <w:t>1.</w:t>
      </w:r>
      <w:r>
        <w:rPr>
          <w:noProof/>
        </w:rPr>
        <w:tab/>
      </w:r>
      <w:r w:rsidRPr="00A75A84">
        <w:rPr>
          <w:noProof/>
        </w:rPr>
        <w:t>În cazul în care constată că există suficiente dovezi ale nerespectării de către Armenia a condițiilor stabilite la articolul 2, Comisia poate suspenda, integral sau parțial, prin intermediul unui act de punere în aplicare, regimurile preferențiale prevăzute la articolul 1. Respectivul act de punere în aplicare se adoptă în conformitate cu procedura de examinare menționată la articolul 5 alineatul (3).</w:t>
      </w:r>
    </w:p>
    <w:p w:rsidR="00BD276D" w:rsidRPr="00A75A84" w:rsidRDefault="5D7DE428" w:rsidP="003509D0">
      <w:pPr>
        <w:pStyle w:val="ManualNumPar1"/>
        <w:rPr>
          <w:noProof/>
        </w:rPr>
      </w:pPr>
      <w:r>
        <w:rPr>
          <w:noProof/>
        </w:rPr>
        <w:t>2.</w:t>
      </w:r>
      <w:r>
        <w:rPr>
          <w:noProof/>
        </w:rPr>
        <w:tab/>
      </w:r>
      <w:r w:rsidRPr="00A75A84">
        <w:rPr>
          <w:noProof/>
        </w:rPr>
        <w:t>În cazul în care un stat membru solicită Comisiei să suspende oricare dintre regimurile preferențiale din cauza nerespectării de către Armenia a condițiilor prevăzute la articolul 2 litera (c), Comisia furnizează, în termen de patru luni de la cerere, un aviz motivat cu privire la temeinicia reclamației că Armenia nu a respectat condițiile respective. În cazul în care concluzionează că reclamația este întemeiată, Comisia deschide procedura menționată la alineatul (1).</w:t>
      </w:r>
    </w:p>
    <w:p w:rsidR="001C2E23" w:rsidRPr="00A75A84" w:rsidRDefault="001C2E23" w:rsidP="001C2E23">
      <w:pPr>
        <w:pStyle w:val="Titrearticle"/>
        <w:rPr>
          <w:noProof/>
        </w:rPr>
      </w:pPr>
      <w:r w:rsidRPr="00A75A84">
        <w:rPr>
          <w:noProof/>
        </w:rPr>
        <w:t>Articolul 4</w:t>
      </w:r>
    </w:p>
    <w:p w:rsidR="001C2E23" w:rsidRPr="00A75A84" w:rsidRDefault="5D7DE428" w:rsidP="001C2E23">
      <w:pPr>
        <w:jc w:val="center"/>
        <w:rPr>
          <w:b/>
          <w:bCs/>
          <w:noProof/>
        </w:rPr>
      </w:pPr>
      <w:r w:rsidRPr="00A75A84">
        <w:rPr>
          <w:b/>
          <w:noProof/>
        </w:rPr>
        <w:t>Măsuri de salvgardare</w:t>
      </w:r>
    </w:p>
    <w:p w:rsidR="00BD276D" w:rsidRPr="00A75A84" w:rsidRDefault="02D7FB82" w:rsidP="00F15033">
      <w:pPr>
        <w:pStyle w:val="ManualNumPar1"/>
        <w:rPr>
          <w:noProof/>
        </w:rPr>
      </w:pPr>
      <w:r>
        <w:rPr>
          <w:noProof/>
        </w:rPr>
        <w:t>1.</w:t>
      </w:r>
      <w:r>
        <w:rPr>
          <w:noProof/>
        </w:rPr>
        <w:tab/>
      </w:r>
      <w:r w:rsidRPr="00A75A84">
        <w:rPr>
          <w:noProof/>
        </w:rPr>
        <w:t>În cazul în care un produs care intră sub incidența articolului 1 originar din Armenia este importat în condiții care afectează negativ piața Uniunii sau piața unuia sau a mai multor state membre pentru produse similare sau direct concurente, Comisia poate institui, prin intermediul unui act de punere în aplicare, orice măsură necesară. Respectivul act de punere în aplicare se adoptă în conformitate cu procedura de examinare menționată la articolul 5 alineatul (3).</w:t>
      </w:r>
    </w:p>
    <w:p w:rsidR="00BD276D" w:rsidRPr="00A75A84" w:rsidRDefault="003268D1" w:rsidP="003509D0">
      <w:pPr>
        <w:pStyle w:val="Text1"/>
        <w:rPr>
          <w:noProof/>
        </w:rPr>
      </w:pPr>
      <w:r w:rsidRPr="00A75A84">
        <w:rPr>
          <w:noProof/>
        </w:rPr>
        <w:t>Această măsură poate fi instituită oricât timp este necesar în vederea contracarării efectelor adverse asupra pieței Uniunii sau asupra pieței unuia sau a mai multor state membre pentru produse similare sau direct concurente.</w:t>
      </w:r>
    </w:p>
    <w:p w:rsidR="008221C2" w:rsidRPr="00A75A84" w:rsidRDefault="02D7FB82" w:rsidP="003509D0">
      <w:pPr>
        <w:pStyle w:val="ManualNumPar1"/>
        <w:rPr>
          <w:noProof/>
        </w:rPr>
      </w:pPr>
      <w:r>
        <w:rPr>
          <w:noProof/>
        </w:rPr>
        <w:t>2.</w:t>
      </w:r>
      <w:r>
        <w:rPr>
          <w:noProof/>
        </w:rPr>
        <w:tab/>
      </w:r>
      <w:r w:rsidRPr="00A75A84">
        <w:rPr>
          <w:noProof/>
        </w:rPr>
        <w:t>Comisia trebuie să efectueze o evaluare a situației pieței Uniunii sau a pieței unuia sau a mai multor state membre pentru produse similare sau direct concurente în vederea instituirii de măsuri în conformitate cu alineatul (1). Evaluarea respectivă se inițiază:</w:t>
      </w:r>
    </w:p>
    <w:p w:rsidR="008221C2" w:rsidRPr="00A75A84" w:rsidRDefault="5D7DE428" w:rsidP="003509D0">
      <w:pPr>
        <w:pStyle w:val="Point1"/>
        <w:rPr>
          <w:noProof/>
        </w:rPr>
      </w:pPr>
      <w:r>
        <w:rPr>
          <w:noProof/>
        </w:rPr>
        <w:t>(a)</w:t>
      </w:r>
      <w:r>
        <w:rPr>
          <w:noProof/>
        </w:rPr>
        <w:tab/>
      </w:r>
      <w:r w:rsidRPr="00A75A84">
        <w:rPr>
          <w:noProof/>
        </w:rPr>
        <w:t xml:space="preserve">în urma unei cereri justificate în mod corespunzător din partea unui stat membru care să includă suficiente elemente de probă de tip </w:t>
      </w:r>
      <w:r w:rsidRPr="00A75A84">
        <w:rPr>
          <w:i/>
          <w:iCs/>
          <w:noProof/>
        </w:rPr>
        <w:t>prima facie</w:t>
      </w:r>
      <w:r w:rsidRPr="00A75A84">
        <w:rPr>
          <w:noProof/>
        </w:rPr>
        <w:t xml:space="preserve"> de care dispune în mod rezonabil statul membru respectiv în temeiul alineatului (3) cu privire la importurile care afectează negativ piața menționată la alineatul (1); sau</w:t>
      </w:r>
    </w:p>
    <w:p w:rsidR="008221C2" w:rsidRPr="00A75A84" w:rsidRDefault="02D7FB82" w:rsidP="003509D0">
      <w:pPr>
        <w:pStyle w:val="Point1"/>
        <w:rPr>
          <w:noProof/>
        </w:rPr>
      </w:pPr>
      <w:r>
        <w:rPr>
          <w:noProof/>
        </w:rPr>
        <w:t>(b)</w:t>
      </w:r>
      <w:r>
        <w:rPr>
          <w:noProof/>
        </w:rPr>
        <w:tab/>
      </w:r>
      <w:r w:rsidRPr="00A75A84">
        <w:rPr>
          <w:noProof/>
        </w:rPr>
        <w:t xml:space="preserve">din proprie inițiativă, după ce Comisia a constatat că există suficiente elemente de probă de tip </w:t>
      </w:r>
      <w:r w:rsidRPr="00A75A84">
        <w:rPr>
          <w:i/>
          <w:iCs/>
          <w:noProof/>
        </w:rPr>
        <w:t>prima facie</w:t>
      </w:r>
      <w:r w:rsidRPr="00A75A84">
        <w:rPr>
          <w:noProof/>
        </w:rPr>
        <w:t xml:space="preserve"> privind importurile care afectează advers piața menționată la alineatul (1).</w:t>
      </w:r>
    </w:p>
    <w:p w:rsidR="001C2E23" w:rsidRPr="00A75A84" w:rsidRDefault="5D7DE428" w:rsidP="003509D0">
      <w:pPr>
        <w:pStyle w:val="Text1"/>
        <w:rPr>
          <w:noProof/>
        </w:rPr>
      </w:pPr>
      <w:r w:rsidRPr="00A75A84">
        <w:rPr>
          <w:noProof/>
        </w:rPr>
        <w:t>Evaluarea menționată la primul paragraf se încheie în termen de patru luni de la inițierea ei.</w:t>
      </w:r>
    </w:p>
    <w:p w:rsidR="008221C2" w:rsidRPr="00A75A84" w:rsidRDefault="5D7DE428" w:rsidP="003509D0">
      <w:pPr>
        <w:pStyle w:val="ManualNumPar1"/>
        <w:rPr>
          <w:noProof/>
        </w:rPr>
      </w:pPr>
      <w:r>
        <w:rPr>
          <w:noProof/>
        </w:rPr>
        <w:t>3.</w:t>
      </w:r>
      <w:r>
        <w:rPr>
          <w:noProof/>
        </w:rPr>
        <w:tab/>
      </w:r>
      <w:r w:rsidRPr="00A75A84">
        <w:rPr>
          <w:noProof/>
        </w:rPr>
        <w:t>În procesul de evaluare derulat în temeiul alineatului (2), Comisia ia în considerare toate evoluțiile relevante ale pieței, inclusiv impactul importurilor în cauză asupra situației pieței Uniunii sau a pieței unuia sau a mai multor state membre pentru produse similare sau direct concurente. Evaluarea respectivă include următorii factori:</w:t>
      </w:r>
    </w:p>
    <w:p w:rsidR="001C2E23" w:rsidRPr="00A75A84" w:rsidRDefault="02D7FB82" w:rsidP="00F15033">
      <w:pPr>
        <w:pStyle w:val="Point1"/>
        <w:rPr>
          <w:noProof/>
        </w:rPr>
      </w:pPr>
      <w:r>
        <w:rPr>
          <w:noProof/>
        </w:rPr>
        <w:t>(a)</w:t>
      </w:r>
      <w:r>
        <w:rPr>
          <w:noProof/>
        </w:rPr>
        <w:tab/>
      </w:r>
      <w:r w:rsidRPr="00A75A84">
        <w:rPr>
          <w:noProof/>
        </w:rPr>
        <w:t>rata și volumul creșterii importurilor din Armenia a produsului în cauză în termeni absoluți și relativi;</w:t>
      </w:r>
    </w:p>
    <w:p w:rsidR="001C2E23" w:rsidRPr="00A75A84" w:rsidRDefault="02D7FB82" w:rsidP="003509D0">
      <w:pPr>
        <w:pStyle w:val="Point1"/>
        <w:rPr>
          <w:noProof/>
        </w:rPr>
      </w:pPr>
      <w:r>
        <w:rPr>
          <w:noProof/>
        </w:rPr>
        <w:t>(b)</w:t>
      </w:r>
      <w:r>
        <w:rPr>
          <w:noProof/>
        </w:rPr>
        <w:tab/>
      </w:r>
      <w:r w:rsidRPr="00A75A84">
        <w:rPr>
          <w:noProof/>
        </w:rPr>
        <w:t>efectul importurilor în cauză asupra producției și a prețurilor de pe piața Uniunii sau a unuia sau mai multor state membre, luând în considerare, în același timp, evoluția importurilor din alte surse.</w:t>
      </w:r>
    </w:p>
    <w:p w:rsidR="001C2E23" w:rsidRPr="00A75A84" w:rsidRDefault="445CF482" w:rsidP="003509D0">
      <w:pPr>
        <w:pStyle w:val="Text1"/>
        <w:rPr>
          <w:noProof/>
        </w:rPr>
      </w:pPr>
      <w:r w:rsidRPr="00A75A84">
        <w:rPr>
          <w:noProof/>
        </w:rPr>
        <w:t>Lista factorilor menționați la primul paragraf nu este exhaustivă și pot fi luați în considerare și alți factori relevanți.</w:t>
      </w:r>
    </w:p>
    <w:p w:rsidR="00BD276D" w:rsidRPr="00A75A84" w:rsidRDefault="5D7DE428" w:rsidP="003509D0">
      <w:pPr>
        <w:pStyle w:val="ManualNumPar1"/>
        <w:rPr>
          <w:noProof/>
        </w:rPr>
      </w:pPr>
      <w:r>
        <w:rPr>
          <w:noProof/>
        </w:rPr>
        <w:t>4.</w:t>
      </w:r>
      <w:r>
        <w:rPr>
          <w:noProof/>
        </w:rPr>
        <w:tab/>
      </w:r>
      <w:r w:rsidRPr="00A75A84">
        <w:rPr>
          <w:noProof/>
        </w:rPr>
        <w:t>În circumstanțe critice în care o întârziere ar cauza pieței relevante un prejudiciu care ar fi dificil de reparat, Comisia poate impune provizoriu, prin intermediul unui act de punere în aplicare, orice măsură necesară. O astfel de măsură de salvgardare poate fi impusă numai în urma unei cereri justificate în mod corespunzător din partea unui stat membru în temeiul alineatului (2) primul paragraf litera (a) și se adoptă în termen de 21 de zile de la primirea cererii respective. Respectivul act de punere în aplicare se adoptă în conformitate cu procedura de consultare menționată la articolul 5 alineatul (4). Durata aplicării unei măsuri de salvgardare provizorii trebuie să nu depășească 120 de zile.</w:t>
      </w:r>
    </w:p>
    <w:p w:rsidR="001C2E23" w:rsidRPr="00A75A84" w:rsidRDefault="5D7DE428" w:rsidP="003509D0">
      <w:pPr>
        <w:pStyle w:val="ManualNumPar1"/>
        <w:rPr>
          <w:noProof/>
        </w:rPr>
      </w:pPr>
      <w:r>
        <w:rPr>
          <w:noProof/>
        </w:rPr>
        <w:t>5.</w:t>
      </w:r>
      <w:r>
        <w:rPr>
          <w:noProof/>
        </w:rPr>
        <w:tab/>
      </w:r>
      <w:r w:rsidRPr="00A75A84">
        <w:rPr>
          <w:noProof/>
        </w:rPr>
        <w:t>În cazul în care, în urma evaluării menționate la alineatul (2), Comisia consideră că piața Uniunii sau a unuia sau mai multor state membre pentru produse similare sau direct concurente a fost afectată negativ și intenționează să impună o măsură definitivă în temeiul alineatului (1), ea publică în</w:t>
      </w:r>
      <w:r w:rsidRPr="00A75A84">
        <w:rPr>
          <w:i/>
          <w:iCs/>
          <w:noProof/>
        </w:rPr>
        <w:t xml:space="preserve"> Jurnalul Oficial al Uniunii Europene</w:t>
      </w:r>
      <w:r w:rsidRPr="00A75A84">
        <w:rPr>
          <w:noProof/>
        </w:rPr>
        <w:t xml:space="preserve"> un aviz prin care anunță intenția ei de a impune o astfel de măsură. Avizul respectiv trebuie să conțină un rezumat al principalelor rezultate ale evaluării și să specifice perioada în care părțile interesate pot transmite punctele lor de vedere în scris. Perioada respectivă trebuie să nu depășească 10 zile de la data publicării avizului.</w:t>
      </w:r>
    </w:p>
    <w:p w:rsidR="001C2E23" w:rsidRPr="00A75A84" w:rsidRDefault="001C2E23" w:rsidP="001C2E23">
      <w:pPr>
        <w:pStyle w:val="Titrearticle"/>
        <w:rPr>
          <w:noProof/>
        </w:rPr>
      </w:pPr>
      <w:r w:rsidRPr="00A75A84">
        <w:rPr>
          <w:noProof/>
        </w:rPr>
        <w:t>Articolul 5</w:t>
      </w:r>
    </w:p>
    <w:p w:rsidR="001C2E23" w:rsidRPr="00A75A84" w:rsidRDefault="001C2E23" w:rsidP="00D62F43">
      <w:pPr>
        <w:jc w:val="center"/>
        <w:rPr>
          <w:b/>
          <w:bCs/>
          <w:noProof/>
        </w:rPr>
      </w:pPr>
      <w:r w:rsidRPr="00A75A84">
        <w:rPr>
          <w:b/>
          <w:noProof/>
        </w:rPr>
        <w:t>Procedura comitetului</w:t>
      </w:r>
    </w:p>
    <w:p w:rsidR="00D62F43" w:rsidRPr="00A75A84" w:rsidRDefault="02D7FB82" w:rsidP="00F15033">
      <w:pPr>
        <w:pStyle w:val="ManualNumPar1"/>
        <w:rPr>
          <w:noProof/>
        </w:rPr>
      </w:pPr>
      <w:r>
        <w:rPr>
          <w:noProof/>
        </w:rPr>
        <w:t>1.</w:t>
      </w:r>
      <w:r>
        <w:rPr>
          <w:noProof/>
        </w:rPr>
        <w:tab/>
      </w:r>
      <w:r w:rsidRPr="00A75A84">
        <w:rPr>
          <w:noProof/>
        </w:rPr>
        <w:t>Comisia este asistată de Comitetul Codului Vamal instituit prin articolul 285 alineatul (1) din Regulamentul (UE) nr. 952/2013 al Parlamentului European și al Consiliului</w:t>
      </w:r>
      <w:r w:rsidRPr="00A75A84">
        <w:rPr>
          <w:rStyle w:val="FootnoteReference"/>
          <w:noProof/>
        </w:rPr>
        <w:footnoteReference w:id="10"/>
      </w:r>
      <w:r w:rsidRPr="00A75A84">
        <w:rPr>
          <w:noProof/>
        </w:rPr>
        <w:t xml:space="preserve"> cu privire la articolul 3 alineatul (1) din prezentul regulament. Respectivul comitet este un comitet în înțelesul Regulamentului (UE) nr. 182/2011.</w:t>
      </w:r>
    </w:p>
    <w:p w:rsidR="00D62F43" w:rsidRPr="00A75A84" w:rsidRDefault="02D7FB82" w:rsidP="003509D0">
      <w:pPr>
        <w:pStyle w:val="ManualNumPar1"/>
        <w:rPr>
          <w:noProof/>
        </w:rPr>
      </w:pPr>
      <w:r>
        <w:rPr>
          <w:noProof/>
        </w:rPr>
        <w:t>2.</w:t>
      </w:r>
      <w:r>
        <w:rPr>
          <w:noProof/>
        </w:rPr>
        <w:tab/>
      </w:r>
      <w:r w:rsidRPr="00A75A84">
        <w:rPr>
          <w:noProof/>
        </w:rPr>
        <w:t>În ce privește articolul 4 alineatul (1) din prezentul regulament, Comisia este asistată de Comitetul pentru măsuri de salvgardare. Respectivul comitet este un comitet în înțelesul Regulamentului (UE) nr. 182/2011.</w:t>
      </w:r>
    </w:p>
    <w:p w:rsidR="00D62F43" w:rsidRPr="00A75A84" w:rsidRDefault="02D7FB82" w:rsidP="003509D0">
      <w:pPr>
        <w:pStyle w:val="ManualNumPar1"/>
        <w:rPr>
          <w:noProof/>
        </w:rPr>
      </w:pPr>
      <w:r>
        <w:rPr>
          <w:noProof/>
        </w:rPr>
        <w:t>3.</w:t>
      </w:r>
      <w:r>
        <w:rPr>
          <w:noProof/>
        </w:rPr>
        <w:tab/>
      </w:r>
      <w:r w:rsidRPr="00A75A84">
        <w:rPr>
          <w:noProof/>
        </w:rPr>
        <w:t>În cazul în care se face trimitere la prezentul alineat, se aplică articolul 5 din Regulamentul (UE) nr. 182/2011.</w:t>
      </w:r>
    </w:p>
    <w:p w:rsidR="001C2E23" w:rsidRPr="00A75A84" w:rsidRDefault="02D7FB82" w:rsidP="003509D0">
      <w:pPr>
        <w:pStyle w:val="ManualNumPar1"/>
        <w:rPr>
          <w:noProof/>
        </w:rPr>
      </w:pPr>
      <w:r>
        <w:rPr>
          <w:noProof/>
        </w:rPr>
        <w:t>4.</w:t>
      </w:r>
      <w:r>
        <w:rPr>
          <w:noProof/>
        </w:rPr>
        <w:tab/>
      </w:r>
      <w:r w:rsidRPr="00A75A84">
        <w:rPr>
          <w:noProof/>
        </w:rPr>
        <w:t>În cazul în care se face trimitere la prezentul alineat, se aplică articolul 4 din Regulamentul (UE) nr. 182/2011.</w:t>
      </w:r>
    </w:p>
    <w:p w:rsidR="001C2E23" w:rsidRPr="00A75A84" w:rsidRDefault="001C2E23" w:rsidP="001C2E23">
      <w:pPr>
        <w:pStyle w:val="Titrearticle"/>
        <w:rPr>
          <w:noProof/>
        </w:rPr>
      </w:pPr>
      <w:r w:rsidRPr="00A75A84">
        <w:rPr>
          <w:noProof/>
        </w:rPr>
        <w:t>Articolul 6</w:t>
      </w:r>
    </w:p>
    <w:p w:rsidR="001C2E23" w:rsidRPr="00A75A84" w:rsidRDefault="001C2E23" w:rsidP="001C2E23">
      <w:pPr>
        <w:jc w:val="center"/>
        <w:rPr>
          <w:b/>
          <w:bCs/>
          <w:noProof/>
        </w:rPr>
      </w:pPr>
      <w:r w:rsidRPr="00A75A84">
        <w:rPr>
          <w:b/>
          <w:noProof/>
        </w:rPr>
        <w:t>Evaluarea punerii în aplicare a măsurilor de liberalizare a comerțului</w:t>
      </w:r>
    </w:p>
    <w:p w:rsidR="0053055D" w:rsidRPr="00A75A84" w:rsidRDefault="6B94A45E" w:rsidP="1AED28D2">
      <w:pPr>
        <w:jc w:val="left"/>
        <w:rPr>
          <w:noProof/>
        </w:rPr>
      </w:pPr>
      <w:r w:rsidRPr="00A75A84">
        <w:rPr>
          <w:noProof/>
        </w:rPr>
        <w:t>Părțile vor raporta cu privire la punerea în aplicare a măsurilor de liberalizare a comerțului stabilite prin prezentul regulament în cadrul Comitetului de parteneriat reunit în configurația comerț, instituit în temeiul acordului de parteneriat.</w:t>
      </w:r>
    </w:p>
    <w:p w:rsidR="007B5864" w:rsidRPr="00A75A84" w:rsidRDefault="007B5864" w:rsidP="007B5864">
      <w:pPr>
        <w:pStyle w:val="Titrearticle"/>
        <w:rPr>
          <w:noProof/>
        </w:rPr>
      </w:pPr>
      <w:r w:rsidRPr="00A75A84">
        <w:rPr>
          <w:noProof/>
        </w:rPr>
        <w:t>Articolul 7</w:t>
      </w:r>
    </w:p>
    <w:p w:rsidR="007B5864" w:rsidRPr="00A75A84" w:rsidRDefault="007B5864" w:rsidP="007B5864">
      <w:pPr>
        <w:jc w:val="center"/>
        <w:rPr>
          <w:b/>
          <w:bCs/>
          <w:noProof/>
        </w:rPr>
      </w:pPr>
      <w:r w:rsidRPr="00A75A84">
        <w:rPr>
          <w:b/>
          <w:noProof/>
        </w:rPr>
        <w:t>Intrarea în vigoare și aplicarea</w:t>
      </w:r>
    </w:p>
    <w:p w:rsidR="007B5864" w:rsidRPr="00A75A84" w:rsidRDefault="75B618A6" w:rsidP="1AED28D2">
      <w:pPr>
        <w:rPr>
          <w:noProof/>
          <w:highlight w:val="yellow"/>
        </w:rPr>
      </w:pPr>
      <w:r w:rsidRPr="00A75A84">
        <w:rPr>
          <w:noProof/>
        </w:rPr>
        <w:t xml:space="preserve">Prezentul regulament intră în vigoare în ziua următoare datei publicării în </w:t>
      </w:r>
      <w:r w:rsidRPr="00A75A84">
        <w:rPr>
          <w:i/>
          <w:noProof/>
        </w:rPr>
        <w:t>Jurnalul Oficial al Uniunii Europene</w:t>
      </w:r>
      <w:r w:rsidRPr="00A75A84">
        <w:rPr>
          <w:noProof/>
        </w:rPr>
        <w:t xml:space="preserve">. </w:t>
      </w:r>
    </w:p>
    <w:p w:rsidR="007B5864" w:rsidRPr="00A75A84" w:rsidRDefault="087C0B1D">
      <w:pPr>
        <w:rPr>
          <w:noProof/>
        </w:rPr>
      </w:pPr>
      <w:r w:rsidRPr="00A75A84">
        <w:rPr>
          <w:noProof/>
        </w:rPr>
        <w:t>Prezentul regulament se aplică timp de doi ani de la data intrării în vigoare.</w:t>
      </w:r>
    </w:p>
    <w:p w:rsidR="00192045" w:rsidRPr="00A75A84" w:rsidRDefault="00192045">
      <w:pPr>
        <w:pStyle w:val="Applicationdirecte"/>
        <w:rPr>
          <w:noProof/>
        </w:rPr>
      </w:pPr>
      <w:r w:rsidRPr="00A75A84">
        <w:rPr>
          <w:noProof/>
        </w:rPr>
        <w:t>Prezentul regulament este obligatoriu în toate elementele sale și se aplică direct în toate statele membre.</w:t>
      </w:r>
    </w:p>
    <w:p w:rsidR="00192045" w:rsidRPr="00A75A84" w:rsidRDefault="00906EAC" w:rsidP="009C177A">
      <w:pPr>
        <w:pStyle w:val="Fait"/>
        <w:rPr>
          <w:noProof/>
        </w:rPr>
      </w:pPr>
      <w:r>
        <w:rPr>
          <w:noProof/>
        </w:rPr>
        <w:t>Adoptat la Bruxelles,</w:t>
      </w:r>
    </w:p>
    <w:p w:rsidR="00192045" w:rsidRPr="00A75A84" w:rsidRDefault="00192045" w:rsidP="009C177A">
      <w:pPr>
        <w:pStyle w:val="Institutionquisigne"/>
        <w:rPr>
          <w:noProof/>
        </w:rPr>
      </w:pPr>
      <w:r w:rsidRPr="00A75A84">
        <w:rPr>
          <w:noProof/>
        </w:rPr>
        <w:t>Pentru Parlamentul European</w:t>
      </w:r>
      <w:r w:rsidRPr="00A75A84">
        <w:rPr>
          <w:noProof/>
        </w:rPr>
        <w:tab/>
        <w:t>Pentru Consiliu</w:t>
      </w:r>
    </w:p>
    <w:p w:rsidR="00192045" w:rsidRPr="00A75A84" w:rsidRDefault="00192045" w:rsidP="00192045">
      <w:pPr>
        <w:pStyle w:val="Personnequisigne"/>
        <w:rPr>
          <w:noProof/>
        </w:rPr>
      </w:pPr>
      <w:r w:rsidRPr="00A75A84">
        <w:rPr>
          <w:noProof/>
        </w:rPr>
        <w:t>Președintele</w:t>
      </w:r>
      <w:r w:rsidRPr="00A75A84">
        <w:rPr>
          <w:noProof/>
        </w:rPr>
        <w:tab/>
        <w:t>Președintele</w:t>
      </w:r>
    </w:p>
    <w:p w:rsidR="00192045" w:rsidRPr="00A75A84" w:rsidRDefault="00192045" w:rsidP="00192045">
      <w:pPr>
        <w:rPr>
          <w:noProof/>
        </w:rPr>
        <w:sectPr w:rsidR="00192045" w:rsidRPr="00A75A84" w:rsidSect="003A0479">
          <w:pgSz w:w="11907" w:h="16839"/>
          <w:pgMar w:top="1134" w:right="1417" w:bottom="1134" w:left="1417" w:header="709" w:footer="709" w:gutter="0"/>
          <w:cols w:space="708"/>
          <w:docGrid w:linePitch="360"/>
        </w:sectPr>
      </w:pPr>
    </w:p>
    <w:p w:rsidR="00DE146E" w:rsidRPr="00A75A84" w:rsidRDefault="648F2270" w:rsidP="005B7292">
      <w:pPr>
        <w:pStyle w:val="Fichefinanciretitre"/>
        <w:rPr>
          <w:noProof/>
        </w:rPr>
      </w:pPr>
      <w:r w:rsidRPr="00A75A84">
        <w:rPr>
          <w:noProof/>
        </w:rPr>
        <w:t>FIȘĂ FINANCIARĂ LEGISLATIVĂ „VENITURI” – PENTRU PROPUNERI CU IMPACT BUGETAR ASUPRA PĂRȚII DE VENITURI A BUGETULUI</w:t>
      </w:r>
    </w:p>
    <w:p w:rsidR="648F2270" w:rsidRPr="00A75A84" w:rsidRDefault="648F2270" w:rsidP="00303970">
      <w:pPr>
        <w:spacing w:before="360"/>
        <w:rPr>
          <w:noProof/>
        </w:rPr>
      </w:pPr>
      <w:r w:rsidRPr="00A75A84">
        <w:rPr>
          <w:b/>
          <w:smallCaps/>
          <w:noProof/>
        </w:rPr>
        <w:t>1.</w:t>
      </w:r>
      <w:r w:rsidRPr="00A75A84">
        <w:rPr>
          <w:noProof/>
        </w:rPr>
        <w:tab/>
      </w:r>
      <w:r w:rsidRPr="00A75A84">
        <w:rPr>
          <w:b/>
          <w:smallCaps/>
          <w:noProof/>
        </w:rPr>
        <w:t>TITLUL PROPUNERII</w:t>
      </w:r>
    </w:p>
    <w:p w:rsidR="648F2270" w:rsidRPr="00A75A84" w:rsidRDefault="648F2270" w:rsidP="00303970">
      <w:pPr>
        <w:pStyle w:val="Text1"/>
        <w:rPr>
          <w:noProof/>
        </w:rPr>
      </w:pPr>
      <w:r w:rsidRPr="00A75A84">
        <w:rPr>
          <w:noProof/>
        </w:rPr>
        <w:t>Propunere de Regulament al Parlamentului European și al Consiliului privind unele măsuri de liberalizare temporară a comerțului aplicabile produselor armene</w:t>
      </w:r>
    </w:p>
    <w:p w:rsidR="648F2270" w:rsidRPr="00A75A84" w:rsidRDefault="648F2270" w:rsidP="00303970">
      <w:pPr>
        <w:spacing w:before="360"/>
        <w:rPr>
          <w:noProof/>
        </w:rPr>
      </w:pPr>
      <w:r w:rsidRPr="00A75A84">
        <w:rPr>
          <w:b/>
          <w:smallCaps/>
          <w:noProof/>
        </w:rPr>
        <w:t>2.</w:t>
      </w:r>
      <w:r w:rsidRPr="00A75A84">
        <w:rPr>
          <w:noProof/>
        </w:rPr>
        <w:tab/>
      </w:r>
      <w:r w:rsidRPr="00A75A84">
        <w:rPr>
          <w:b/>
          <w:smallCaps/>
          <w:noProof/>
        </w:rPr>
        <w:t>LINII BUGETARE</w:t>
      </w:r>
    </w:p>
    <w:p w:rsidR="648F2270" w:rsidRPr="00A75A84" w:rsidRDefault="648F2270" w:rsidP="00303970">
      <w:pPr>
        <w:pStyle w:val="Text1"/>
        <w:rPr>
          <w:noProof/>
        </w:rPr>
      </w:pPr>
      <w:r w:rsidRPr="00A75A84">
        <w:rPr>
          <w:noProof/>
        </w:rPr>
        <w:t>Linia pentru venituri (capitol/articol/post): capitolul 12, articolul 120</w:t>
      </w:r>
    </w:p>
    <w:p w:rsidR="648F2270" w:rsidRPr="00A75A84" w:rsidRDefault="648F2270" w:rsidP="00303970">
      <w:pPr>
        <w:pStyle w:val="Text1"/>
        <w:rPr>
          <w:noProof/>
          <w:highlight w:val="yellow"/>
        </w:rPr>
      </w:pPr>
      <w:r w:rsidRPr="00A75A84">
        <w:rPr>
          <w:noProof/>
        </w:rPr>
        <w:t>Suma bugetată pentru exercițiul financiar în cauză: (2026) 21 368 300 000 EUR</w:t>
      </w:r>
    </w:p>
    <w:p w:rsidR="648F2270" w:rsidRPr="00A75A84" w:rsidRDefault="648F2270" w:rsidP="00303970">
      <w:pPr>
        <w:spacing w:before="360"/>
        <w:rPr>
          <w:noProof/>
        </w:rPr>
      </w:pPr>
      <w:r w:rsidRPr="00A75A84">
        <w:rPr>
          <w:b/>
          <w:smallCaps/>
          <w:noProof/>
        </w:rPr>
        <w:t>3.</w:t>
      </w:r>
      <w:r w:rsidRPr="00A75A84">
        <w:rPr>
          <w:noProof/>
        </w:rPr>
        <w:tab/>
      </w:r>
      <w:r w:rsidRPr="00A75A84">
        <w:rPr>
          <w:b/>
          <w:smallCaps/>
          <w:noProof/>
        </w:rPr>
        <w:t>IMPACT FINANCIAR</w:t>
      </w:r>
    </w:p>
    <w:p w:rsidR="648F2270" w:rsidRPr="00A75A84" w:rsidRDefault="648F2270" w:rsidP="00303970">
      <w:pPr>
        <w:pStyle w:val="Text1"/>
        <w:rPr>
          <w:noProof/>
        </w:rPr>
      </w:pPr>
      <w:r w:rsidRPr="00A75A84">
        <w:rPr>
          <w:rFonts w:ascii="Wingdings" w:hAnsi="Wingdings"/>
          <w:noProof/>
        </w:rPr>
        <w:t></w:t>
      </w:r>
      <w:r w:rsidRPr="00A75A84">
        <w:rPr>
          <w:noProof/>
        </w:rPr>
        <w:tab/>
        <w:t>Propunerea nu are implicații financiare</w:t>
      </w:r>
    </w:p>
    <w:p w:rsidR="648F2270" w:rsidRPr="00A75A84" w:rsidRDefault="648F2270" w:rsidP="00303970">
      <w:pPr>
        <w:pStyle w:val="Text1"/>
        <w:rPr>
          <w:noProof/>
        </w:rPr>
      </w:pPr>
      <w:r w:rsidRPr="00A75A84">
        <w:rPr>
          <w:noProof/>
        </w:rPr>
        <w:t>X</w:t>
      </w:r>
      <w:r w:rsidRPr="00A75A84">
        <w:rPr>
          <w:noProof/>
        </w:rPr>
        <w:tab/>
        <w:t>Propunerea nu are impact financiar asupra cheltuielilor, dar are impact financiar asupra veniturilor</w:t>
      </w:r>
    </w:p>
    <w:p w:rsidR="648F2270" w:rsidRPr="00A75A84" w:rsidRDefault="648F2270" w:rsidP="00303970">
      <w:pPr>
        <w:pStyle w:val="Text1"/>
        <w:rPr>
          <w:noProof/>
        </w:rPr>
      </w:pPr>
      <w:r w:rsidRPr="00A75A84">
        <w:rPr>
          <w:rFonts w:ascii="Wingdings" w:hAnsi="Wingdings"/>
          <w:noProof/>
        </w:rPr>
        <w:t></w:t>
      </w:r>
      <w:r w:rsidRPr="00A75A84">
        <w:rPr>
          <w:noProof/>
        </w:rPr>
        <w:tab/>
        <w:t>Propunerea are un impact financiar asupra veniturilor alocate</w:t>
      </w:r>
    </w:p>
    <w:p w:rsidR="648F2270" w:rsidRPr="00A75A84" w:rsidRDefault="648F2270" w:rsidP="00303970">
      <w:pPr>
        <w:pStyle w:val="Text1"/>
        <w:rPr>
          <w:noProof/>
        </w:rPr>
      </w:pPr>
      <w:r w:rsidRPr="00A75A84">
        <w:rPr>
          <w:noProof/>
        </w:rPr>
        <w:t>Efectul este următorul:</w:t>
      </w:r>
      <w:r w:rsidRPr="00A75A84">
        <w:rPr>
          <w:i/>
          <w:noProof/>
          <w:sz w:val="20"/>
        </w:rPr>
        <w:t xml:space="preserve"> </w:t>
      </w:r>
    </w:p>
    <w:p w:rsidR="648F2270" w:rsidRPr="00A75A84" w:rsidRDefault="648F2270" w:rsidP="00CB4B17">
      <w:pPr>
        <w:pStyle w:val="Text6"/>
        <w:rPr>
          <w:i/>
          <w:iCs/>
          <w:noProof/>
          <w:sz w:val="20"/>
          <w:szCs w:val="20"/>
        </w:rPr>
      </w:pPr>
      <w:r w:rsidRPr="00A75A84">
        <w:rPr>
          <w:i/>
          <w:noProof/>
          <w:sz w:val="20"/>
        </w:rPr>
        <w:t>(milioane EUR cu o zecimală)</w:t>
      </w:r>
    </w:p>
    <w:tbl>
      <w:tblPr>
        <w:tblW w:w="6750" w:type="dxa"/>
        <w:tblInd w:w="540" w:type="dxa"/>
        <w:tblLook w:val="06A0" w:firstRow="1" w:lastRow="0" w:firstColumn="1" w:lastColumn="0" w:noHBand="1" w:noVBand="1"/>
      </w:tblPr>
      <w:tblGrid>
        <w:gridCol w:w="2070"/>
        <w:gridCol w:w="1980"/>
        <w:gridCol w:w="2700"/>
      </w:tblGrid>
      <w:tr w:rsidR="1AED28D2" w:rsidRPr="00A75A84" w:rsidTr="2E63B89E">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C81BF36">
            <w:pPr>
              <w:rPr>
                <w:rFonts w:eastAsia="Times New Roman"/>
                <w:noProof/>
                <w:sz w:val="22"/>
              </w:rPr>
            </w:pPr>
            <w:r w:rsidRPr="00A75A84">
              <w:rPr>
                <w:noProof/>
                <w:sz w:val="22"/>
              </w:rPr>
              <w:t>Linia pentru venituri</w:t>
            </w:r>
          </w:p>
        </w:tc>
        <w:tc>
          <w:tcPr>
            <w:tcW w:w="198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C81BF36">
            <w:pPr>
              <w:jc w:val="center"/>
              <w:rPr>
                <w:rFonts w:eastAsia="Times New Roman"/>
                <w:noProof/>
                <w:sz w:val="22"/>
              </w:rPr>
            </w:pPr>
            <w:r w:rsidRPr="00A75A84">
              <w:rPr>
                <w:noProof/>
                <w:sz w:val="22"/>
              </w:rPr>
              <w:t>Impactul asupra veniturilor</w:t>
            </w:r>
            <w:r w:rsidRPr="00A75A84">
              <w:rPr>
                <w:rStyle w:val="FootnoteReference"/>
                <w:rFonts w:eastAsia="Times New Roman"/>
                <w:noProof/>
                <w:sz w:val="22"/>
              </w:rPr>
              <w:footnoteReference w:id="11"/>
            </w:r>
            <w:r w:rsidR="00A75A84" w:rsidRPr="00A75A84">
              <w:rPr>
                <w:noProof/>
                <w:sz w:val="22"/>
                <w:vertAlign w:val="superscript"/>
              </w:rPr>
              <w:t>,</w:t>
            </w:r>
            <w:r w:rsidRPr="00A75A84">
              <w:rPr>
                <w:rStyle w:val="FootnoteReference"/>
                <w:rFonts w:eastAsia="Times New Roman"/>
                <w:noProof/>
                <w:sz w:val="22"/>
              </w:rPr>
              <w:footnoteReference w:id="12"/>
            </w:r>
          </w:p>
        </w:tc>
        <w:tc>
          <w:tcPr>
            <w:tcW w:w="2700" w:type="dxa"/>
            <w:tcBorders>
              <w:top w:val="single" w:sz="8" w:space="0" w:color="auto"/>
              <w:left w:val="single" w:sz="8" w:space="0" w:color="auto"/>
              <w:bottom w:val="single" w:sz="8" w:space="0" w:color="auto"/>
              <w:right w:val="single" w:sz="8" w:space="0" w:color="auto"/>
            </w:tcBorders>
            <w:tcMar>
              <w:left w:w="56" w:type="dxa"/>
              <w:right w:w="56" w:type="dxa"/>
            </w:tcMar>
          </w:tcPr>
          <w:p w:rsidR="1F49B376" w:rsidRPr="00A75A84" w:rsidRDefault="6E341890" w:rsidP="1C81BF36">
            <w:pPr>
              <w:jc w:val="center"/>
              <w:rPr>
                <w:rFonts w:eastAsia="Times New Roman"/>
                <w:i/>
                <w:iCs/>
                <w:noProof/>
                <w:sz w:val="22"/>
              </w:rPr>
            </w:pPr>
            <w:r w:rsidRPr="00A75A84">
              <w:rPr>
                <w:noProof/>
                <w:sz w:val="22"/>
              </w:rPr>
              <w:t>perioadă de 24 luni începând cu 1.1.2027 (</w:t>
            </w:r>
            <w:r w:rsidRPr="00A75A84">
              <w:rPr>
                <w:i/>
                <w:noProof/>
                <w:sz w:val="22"/>
              </w:rPr>
              <w:t>dacă este cazul</w:t>
            </w:r>
            <w:r w:rsidRPr="00A75A84">
              <w:rPr>
                <w:noProof/>
                <w:sz w:val="22"/>
              </w:rPr>
              <w:t>)</w:t>
            </w:r>
          </w:p>
        </w:tc>
      </w:tr>
      <w:tr w:rsidR="1AED28D2" w:rsidRPr="00A75A84" w:rsidTr="2E63B89E">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C81BF36">
            <w:pPr>
              <w:rPr>
                <w:rFonts w:eastAsia="Times New Roman"/>
                <w:noProof/>
                <w:sz w:val="22"/>
              </w:rPr>
            </w:pPr>
            <w:r w:rsidRPr="00A75A84">
              <w:rPr>
                <w:noProof/>
                <w:sz w:val="22"/>
              </w:rPr>
              <w:t>capitolul 12, articolul 120</w:t>
            </w:r>
          </w:p>
        </w:tc>
        <w:tc>
          <w:tcPr>
            <w:tcW w:w="198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C81BF36">
            <w:pPr>
              <w:jc w:val="center"/>
              <w:rPr>
                <w:rFonts w:eastAsia="Times New Roman"/>
                <w:noProof/>
                <w:sz w:val="22"/>
              </w:rPr>
            </w:pPr>
            <w:r w:rsidRPr="00A75A84">
              <w:rPr>
                <w:noProof/>
                <w:sz w:val="22"/>
              </w:rPr>
              <w:t>Impact asupra resurselor proprii</w:t>
            </w:r>
          </w:p>
        </w:tc>
        <w:tc>
          <w:tcPr>
            <w:tcW w:w="270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5F7F543A" w:rsidP="1C81BF36">
            <w:pPr>
              <w:spacing w:before="0" w:after="0"/>
              <w:jc w:val="left"/>
              <w:rPr>
                <w:rFonts w:eastAsia="Times New Roman"/>
                <w:noProof/>
                <w:sz w:val="22"/>
              </w:rPr>
            </w:pPr>
            <w:r w:rsidRPr="00A75A84">
              <w:rPr>
                <w:noProof/>
                <w:sz w:val="22"/>
              </w:rPr>
              <w:t>-5,4</w:t>
            </w:r>
          </w:p>
        </w:tc>
      </w:tr>
    </w:tbl>
    <w:p w:rsidR="648F2270" w:rsidRPr="00A75A84" w:rsidRDefault="648F2270" w:rsidP="1AED28D2">
      <w:pPr>
        <w:rPr>
          <w:noProof/>
        </w:rPr>
      </w:pPr>
    </w:p>
    <w:tbl>
      <w:tblPr>
        <w:tblW w:w="0" w:type="auto"/>
        <w:tblInd w:w="540" w:type="dxa"/>
        <w:tblLook w:val="06A0" w:firstRow="1" w:lastRow="0" w:firstColumn="1" w:lastColumn="0" w:noHBand="1" w:noVBand="1"/>
      </w:tblPr>
      <w:tblGrid>
        <w:gridCol w:w="2070"/>
        <w:gridCol w:w="1275"/>
        <w:gridCol w:w="1275"/>
        <w:gridCol w:w="1275"/>
        <w:gridCol w:w="1275"/>
        <w:gridCol w:w="1170"/>
      </w:tblGrid>
      <w:tr w:rsidR="1AED28D2" w:rsidRPr="00A75A84" w:rsidTr="1C81BF36">
        <w:trPr>
          <w:trHeight w:val="300"/>
        </w:trPr>
        <w:tc>
          <w:tcPr>
            <w:tcW w:w="8340" w:type="dxa"/>
            <w:gridSpan w:val="6"/>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AED28D2">
            <w:pPr>
              <w:jc w:val="center"/>
              <w:rPr>
                <w:noProof/>
              </w:rPr>
            </w:pPr>
            <w:r w:rsidRPr="00A75A84">
              <w:rPr>
                <w:noProof/>
                <w:sz w:val="18"/>
              </w:rPr>
              <w:t>Situația după acțiune</w:t>
            </w:r>
          </w:p>
        </w:tc>
      </w:tr>
      <w:tr w:rsidR="1AED28D2" w:rsidRPr="00A75A84" w:rsidTr="1C81BF36">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1AED28D2" w:rsidP="1AED28D2">
            <w:pPr>
              <w:jc w:val="center"/>
              <w:rPr>
                <w:noProof/>
              </w:rPr>
            </w:pPr>
            <w:r w:rsidRPr="00A75A84">
              <w:rPr>
                <w:noProof/>
                <w:sz w:val="22"/>
              </w:rPr>
              <w:t>Linia pentru venituri</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A75A84" w:rsidRDefault="2E93FDC6" w:rsidP="1C81BF36">
            <w:pPr>
              <w:jc w:val="center"/>
              <w:rPr>
                <w:noProof/>
              </w:rPr>
            </w:pPr>
            <w:r w:rsidRPr="00A75A84">
              <w:rPr>
                <w:noProof/>
                <w:sz w:val="18"/>
              </w:rPr>
              <w:t>2027</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A75A84" w:rsidRDefault="2E93FDC6" w:rsidP="1C81BF36">
            <w:pPr>
              <w:jc w:val="center"/>
              <w:rPr>
                <w:rFonts w:eastAsia="Times New Roman"/>
                <w:noProof/>
                <w:sz w:val="18"/>
                <w:szCs w:val="18"/>
              </w:rPr>
            </w:pPr>
            <w:r w:rsidRPr="00A75A84">
              <w:rPr>
                <w:noProof/>
                <w:sz w:val="18"/>
              </w:rPr>
              <w:t>2028</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A75A84" w:rsidRDefault="2E93FDC6" w:rsidP="1C81BF36">
            <w:pPr>
              <w:jc w:val="center"/>
              <w:rPr>
                <w:rFonts w:eastAsia="Times New Roman"/>
                <w:noProof/>
                <w:sz w:val="18"/>
                <w:szCs w:val="18"/>
              </w:rPr>
            </w:pPr>
            <w:r w:rsidRPr="00A75A84">
              <w:rPr>
                <w:noProof/>
                <w:sz w:val="18"/>
              </w:rPr>
              <w:t>2029</w:t>
            </w:r>
          </w:p>
        </w:tc>
        <w:tc>
          <w:tcPr>
            <w:tcW w:w="1275" w:type="dxa"/>
            <w:tcBorders>
              <w:top w:val="nil"/>
              <w:left w:val="single" w:sz="8" w:space="0" w:color="auto"/>
              <w:bottom w:val="single" w:sz="8" w:space="0" w:color="auto"/>
              <w:right w:val="single" w:sz="8" w:space="0" w:color="auto"/>
            </w:tcBorders>
            <w:tcMar>
              <w:left w:w="56" w:type="dxa"/>
              <w:right w:w="56" w:type="dxa"/>
            </w:tcMar>
          </w:tcPr>
          <w:p w:rsidR="1AED28D2" w:rsidRPr="00A75A84" w:rsidRDefault="2E93FDC6" w:rsidP="1C81BF36">
            <w:pPr>
              <w:jc w:val="center"/>
              <w:rPr>
                <w:rFonts w:eastAsia="Times New Roman"/>
                <w:noProof/>
                <w:sz w:val="18"/>
                <w:szCs w:val="18"/>
              </w:rPr>
            </w:pPr>
            <w:r w:rsidRPr="00A75A84">
              <w:rPr>
                <w:noProof/>
                <w:sz w:val="18"/>
              </w:rPr>
              <w:t>2030</w:t>
            </w:r>
          </w:p>
        </w:tc>
        <w:tc>
          <w:tcPr>
            <w:tcW w:w="1170" w:type="dxa"/>
            <w:tcBorders>
              <w:top w:val="nil"/>
              <w:left w:val="single" w:sz="8" w:space="0" w:color="auto"/>
              <w:bottom w:val="single" w:sz="8" w:space="0" w:color="auto"/>
              <w:right w:val="single" w:sz="8" w:space="0" w:color="auto"/>
            </w:tcBorders>
            <w:tcMar>
              <w:left w:w="56" w:type="dxa"/>
              <w:right w:w="56" w:type="dxa"/>
            </w:tcMar>
          </w:tcPr>
          <w:p w:rsidR="1AED28D2" w:rsidRPr="00A75A84" w:rsidRDefault="2E93FDC6" w:rsidP="1C81BF36">
            <w:pPr>
              <w:jc w:val="center"/>
              <w:rPr>
                <w:rFonts w:eastAsia="Times New Roman"/>
                <w:noProof/>
                <w:sz w:val="18"/>
                <w:szCs w:val="18"/>
              </w:rPr>
            </w:pPr>
            <w:r w:rsidRPr="00A75A84">
              <w:rPr>
                <w:noProof/>
                <w:sz w:val="18"/>
              </w:rPr>
              <w:t>2031</w:t>
            </w:r>
          </w:p>
        </w:tc>
      </w:tr>
      <w:tr w:rsidR="1AED28D2" w:rsidRPr="00A75A84" w:rsidTr="1C81BF36">
        <w:trPr>
          <w:trHeight w:val="300"/>
        </w:trPr>
        <w:tc>
          <w:tcPr>
            <w:tcW w:w="20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00903E04" w:rsidP="1AED28D2">
            <w:pPr>
              <w:rPr>
                <w:noProof/>
              </w:rPr>
            </w:pPr>
            <w:r w:rsidRPr="00A75A84">
              <w:rPr>
                <w:noProof/>
                <w:sz w:val="20"/>
              </w:rPr>
              <w:t>capitolul 12, articolul 120</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0E5D5368" w:rsidP="1C81BF36">
            <w:pPr>
              <w:jc w:val="center"/>
              <w:rPr>
                <w:rFonts w:eastAsia="Times New Roman"/>
                <w:noProof/>
              </w:rPr>
            </w:pPr>
            <w:r w:rsidRPr="00A75A84">
              <w:rPr>
                <w:noProof/>
              </w:rPr>
              <w:t>- 2,475</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0E5D5368" w:rsidP="1C81BF36">
            <w:pPr>
              <w:jc w:val="center"/>
              <w:rPr>
                <w:rFonts w:eastAsia="Times New Roman"/>
                <w:noProof/>
              </w:rPr>
            </w:pPr>
            <w:r w:rsidRPr="00A75A84">
              <w:rPr>
                <w:noProof/>
              </w:rPr>
              <w:t>- 2,97</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3D637FEB" w:rsidP="1AED28D2">
            <w:pPr>
              <w:jc w:val="center"/>
              <w:rPr>
                <w:noProof/>
              </w:rPr>
            </w:pPr>
            <w:r w:rsidRPr="00A75A84">
              <w:rPr>
                <w:noProof/>
              </w:rPr>
              <w:t xml:space="preserve">- </w:t>
            </w:r>
          </w:p>
        </w:tc>
        <w:tc>
          <w:tcPr>
            <w:tcW w:w="1275"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2AFF683F" w:rsidP="1AED28D2">
            <w:pPr>
              <w:jc w:val="center"/>
              <w:rPr>
                <w:noProof/>
              </w:rPr>
            </w:pPr>
            <w:r w:rsidRPr="00A75A84">
              <w:rPr>
                <w:noProof/>
              </w:rPr>
              <w:t>-</w:t>
            </w:r>
          </w:p>
        </w:tc>
        <w:tc>
          <w:tcPr>
            <w:tcW w:w="1170" w:type="dxa"/>
            <w:tcBorders>
              <w:top w:val="single" w:sz="8" w:space="0" w:color="auto"/>
              <w:left w:val="single" w:sz="8" w:space="0" w:color="auto"/>
              <w:bottom w:val="single" w:sz="8" w:space="0" w:color="auto"/>
              <w:right w:val="single" w:sz="8" w:space="0" w:color="auto"/>
            </w:tcBorders>
            <w:tcMar>
              <w:left w:w="56" w:type="dxa"/>
              <w:right w:w="56" w:type="dxa"/>
            </w:tcMar>
          </w:tcPr>
          <w:p w:rsidR="1AED28D2" w:rsidRPr="00A75A84" w:rsidRDefault="3B851769" w:rsidP="1AED28D2">
            <w:pPr>
              <w:jc w:val="center"/>
              <w:rPr>
                <w:noProof/>
              </w:rPr>
            </w:pPr>
            <w:r w:rsidRPr="00A75A84">
              <w:rPr>
                <w:noProof/>
              </w:rPr>
              <w:t>-</w:t>
            </w:r>
          </w:p>
        </w:tc>
      </w:tr>
    </w:tbl>
    <w:p w:rsidR="648F2270" w:rsidRPr="00A75A84" w:rsidRDefault="648F2270" w:rsidP="00CB4B17">
      <w:pPr>
        <w:spacing w:before="360"/>
        <w:rPr>
          <w:noProof/>
        </w:rPr>
      </w:pPr>
      <w:r w:rsidRPr="00A75A84">
        <w:rPr>
          <w:b/>
          <w:smallCaps/>
          <w:noProof/>
        </w:rPr>
        <w:t>4.</w:t>
      </w:r>
      <w:r w:rsidRPr="00A75A84">
        <w:rPr>
          <w:noProof/>
        </w:rPr>
        <w:tab/>
      </w:r>
      <w:r w:rsidRPr="00A75A84">
        <w:rPr>
          <w:b/>
          <w:smallCaps/>
          <w:noProof/>
        </w:rPr>
        <w:t>MĂSURI ANTIFRAUDĂ</w:t>
      </w:r>
    </w:p>
    <w:p w:rsidR="13A3C47E" w:rsidRPr="00A75A84" w:rsidRDefault="13A3C47E" w:rsidP="1C81BF36">
      <w:pPr>
        <w:rPr>
          <w:rFonts w:eastAsia="Times New Roman"/>
          <w:noProof/>
        </w:rPr>
      </w:pPr>
      <w:r w:rsidRPr="00A75A84">
        <w:rPr>
          <w:noProof/>
        </w:rPr>
        <w:t xml:space="preserve">În vederea prevenirii fraudelor, este necesar ca dreptul de a beneficia de măsurile comerciale stabilite prin regulamentul propus să fie condiționat de respectarea de către Armenia a tuturor condițiilor relevante pentru obținerea de beneficii în temeiul regulamentului, inclusiv a regulilor de origine aplicabile produselor în cauză și a procedurilor aferente, precum și de implicarea Armeniei în cooperarea administrativă strânsă cu Uniunea. </w:t>
      </w:r>
    </w:p>
    <w:p w:rsidR="648F2270" w:rsidRPr="00A75A84" w:rsidRDefault="648F2270" w:rsidP="00CB4B17">
      <w:pPr>
        <w:spacing w:before="360"/>
        <w:rPr>
          <w:noProof/>
        </w:rPr>
      </w:pPr>
      <w:r w:rsidRPr="00A75A84">
        <w:rPr>
          <w:b/>
          <w:smallCaps/>
          <w:noProof/>
        </w:rPr>
        <w:t>5.</w:t>
      </w:r>
      <w:r w:rsidRPr="00A75A84">
        <w:rPr>
          <w:noProof/>
        </w:rPr>
        <w:tab/>
      </w:r>
      <w:r w:rsidRPr="00A75A84">
        <w:rPr>
          <w:b/>
          <w:smallCaps/>
          <w:noProof/>
        </w:rPr>
        <w:t>ALTE OBSERVAȚII</w:t>
      </w:r>
    </w:p>
    <w:p w:rsidR="648F2270" w:rsidRPr="00A75A84" w:rsidRDefault="648F2270" w:rsidP="1AED28D2">
      <w:pPr>
        <w:rPr>
          <w:noProof/>
        </w:rPr>
      </w:pPr>
      <w:r w:rsidRPr="00A75A84">
        <w:rPr>
          <w:noProof/>
        </w:rPr>
        <w:t>Calculele sunt bazate pe volumele importurilor din 2025 de produse care fac obiectul regulamentului propus. 2025 a fost cel mai recent an înainte de introducerea măsurilor comerciale autonome.</w:t>
      </w:r>
    </w:p>
    <w:p w:rsidR="00192045" w:rsidRPr="00A75A84" w:rsidRDefault="494C7858" w:rsidP="00383A7E">
      <w:pPr>
        <w:rPr>
          <w:noProof/>
        </w:rPr>
      </w:pPr>
      <w:r w:rsidRPr="00A75A84">
        <w:rPr>
          <w:noProof/>
        </w:rPr>
        <w:t>Pe baza calculelor de mai sus, pierderea de venituri din resurse proprii tradiționale care rezultă din regulamentul propus este estimată la 3,3 milioane EUR (valoare brută, inclusiv costurile de colectare) x 0,75 = 2,475 milioane EUR pentru 2027 și la 3,3 milioane EUR (valoare brută, inclusiv costurile de colectare) x 0,9 = 2,97 milioane EUR pentru 2028. Totalul net pentru perioada de doi ani care face obiectul măsurii este de 5,44 milioane EUR</w:t>
      </w:r>
      <w:r w:rsidRPr="00A75A84">
        <w:rPr>
          <w:rStyle w:val="FootnoteReference"/>
          <w:rFonts w:eastAsia="Times New Roman"/>
          <w:noProof/>
        </w:rPr>
        <w:footnoteReference w:id="13"/>
      </w:r>
      <w:r w:rsidRPr="00A75A84">
        <w:rPr>
          <w:noProof/>
        </w:rPr>
        <w:t>.</w:t>
      </w:r>
    </w:p>
    <w:sectPr w:rsidR="00192045" w:rsidRPr="00A75A84" w:rsidSect="003A047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DB1" w:rsidRDefault="00E50DB1" w:rsidP="00192045">
      <w:pPr>
        <w:spacing w:before="0" w:after="0"/>
      </w:pPr>
      <w:r>
        <w:separator/>
      </w:r>
    </w:p>
  </w:endnote>
  <w:endnote w:type="continuationSeparator" w:id="0">
    <w:p w:rsidR="00E50DB1" w:rsidRDefault="00E50DB1" w:rsidP="001920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Pr="003A0479" w:rsidRDefault="003A0479" w:rsidP="003A0479">
    <w:pPr>
      <w:pStyle w:val="Footer"/>
      <w:rPr>
        <w:rFonts w:ascii="Arial" w:hAnsi="Arial" w:cs="Arial"/>
        <w:b/>
        <w:sz w:val="48"/>
      </w:rPr>
    </w:pPr>
    <w:r w:rsidRPr="003A0479">
      <w:rPr>
        <w:rFonts w:ascii="Arial" w:hAnsi="Arial" w:cs="Arial"/>
        <w:b/>
        <w:sz w:val="48"/>
      </w:rPr>
      <w:t>RO</w:t>
    </w:r>
    <w:r w:rsidRPr="003A0479">
      <w:rPr>
        <w:rFonts w:ascii="Arial" w:hAnsi="Arial" w:cs="Arial"/>
        <w:b/>
        <w:sz w:val="48"/>
      </w:rPr>
      <w:tab/>
    </w:r>
    <w:r w:rsidRPr="003A0479">
      <w:rPr>
        <w:rFonts w:ascii="Arial" w:hAnsi="Arial" w:cs="Arial"/>
        <w:b/>
        <w:sz w:val="48"/>
      </w:rPr>
      <w:tab/>
    </w:r>
    <w:r w:rsidRPr="003A0479">
      <w:tab/>
    </w:r>
    <w:r w:rsidRPr="003A047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Pr="003A0479" w:rsidRDefault="003A0479" w:rsidP="003A0479">
    <w:pPr>
      <w:pStyle w:val="Footer"/>
      <w:rPr>
        <w:rFonts w:ascii="Arial" w:hAnsi="Arial" w:cs="Arial"/>
        <w:b/>
        <w:sz w:val="48"/>
      </w:rPr>
    </w:pPr>
    <w:r w:rsidRPr="003A0479">
      <w:rPr>
        <w:rFonts w:ascii="Arial" w:hAnsi="Arial" w:cs="Arial"/>
        <w:b/>
        <w:sz w:val="48"/>
      </w:rPr>
      <w:t>RO</w:t>
    </w:r>
    <w:r w:rsidRPr="003A0479">
      <w:rPr>
        <w:rFonts w:ascii="Arial" w:hAnsi="Arial" w:cs="Arial"/>
        <w:b/>
        <w:sz w:val="48"/>
      </w:rPr>
      <w:tab/>
    </w:r>
    <w:r w:rsidRPr="003A0479">
      <w:rPr>
        <w:rFonts w:ascii="Arial" w:hAnsi="Arial" w:cs="Arial"/>
        <w:b/>
        <w:sz w:val="48"/>
      </w:rPr>
      <w:tab/>
    </w:r>
    <w:r w:rsidRPr="003A0479">
      <w:tab/>
    </w:r>
    <w:r w:rsidRPr="003A047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Default="003A04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Pr="003A0479" w:rsidRDefault="003A0479" w:rsidP="003A0479">
    <w:pPr>
      <w:pStyle w:val="Footer"/>
      <w:rPr>
        <w:rFonts w:ascii="Arial" w:hAnsi="Arial" w:cs="Arial"/>
        <w:b/>
        <w:sz w:val="48"/>
      </w:rPr>
    </w:pPr>
    <w:r w:rsidRPr="003A0479">
      <w:rPr>
        <w:rFonts w:ascii="Arial" w:hAnsi="Arial" w:cs="Arial"/>
        <w:b/>
        <w:sz w:val="48"/>
      </w:rPr>
      <w:t>RO</w:t>
    </w:r>
    <w:r w:rsidRPr="003A0479">
      <w:rPr>
        <w:rFonts w:ascii="Arial" w:hAnsi="Arial" w:cs="Arial"/>
        <w:b/>
        <w:sz w:val="48"/>
      </w:rPr>
      <w:tab/>
    </w:r>
    <w:r>
      <w:fldChar w:fldCharType="begin"/>
    </w:r>
    <w:r>
      <w:instrText xml:space="preserve"> PAGE  \* MERGEFORMAT </w:instrText>
    </w:r>
    <w:r>
      <w:fldChar w:fldCharType="separate"/>
    </w:r>
    <w:r w:rsidR="009C177A">
      <w:rPr>
        <w:noProof/>
      </w:rPr>
      <w:t>10</w:t>
    </w:r>
    <w:r>
      <w:fldChar w:fldCharType="end"/>
    </w:r>
    <w:r>
      <w:tab/>
    </w:r>
    <w:r w:rsidRPr="003A0479">
      <w:tab/>
    </w:r>
    <w:r w:rsidRPr="003A047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Default="003A0479" w:rsidP="003A0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DB1" w:rsidRDefault="00E50DB1" w:rsidP="00192045">
      <w:pPr>
        <w:spacing w:before="0" w:after="0"/>
      </w:pPr>
      <w:r>
        <w:separator/>
      </w:r>
    </w:p>
  </w:footnote>
  <w:footnote w:type="continuationSeparator" w:id="0">
    <w:p w:rsidR="00E50DB1" w:rsidRDefault="00E50DB1" w:rsidP="00192045">
      <w:pPr>
        <w:spacing w:before="0" w:after="0"/>
      </w:pPr>
      <w:r>
        <w:continuationSeparator/>
      </w:r>
    </w:p>
  </w:footnote>
  <w:footnote w:id="1">
    <w:p w:rsidR="1AED28D2" w:rsidRPr="003A3F3F" w:rsidRDefault="1AED28D2" w:rsidP="00CB4B17">
      <w:pPr>
        <w:pStyle w:val="FootnoteText"/>
        <w:shd w:val="clear" w:color="auto" w:fill="FFFFFF" w:themeFill="background1"/>
        <w:spacing w:after="75"/>
        <w:jc w:val="left"/>
        <w:rPr>
          <w:rFonts w:eastAsia="Times New Roman"/>
        </w:rPr>
      </w:pPr>
      <w:r>
        <w:rPr>
          <w:rStyle w:val="FootnoteReference"/>
        </w:rPr>
        <w:footnoteRef/>
      </w:r>
      <w:r>
        <w:tab/>
      </w:r>
      <w:r>
        <w:rPr>
          <w:color w:val="333333"/>
        </w:rPr>
        <w:t xml:space="preserve">Acord de parteneriat cuprinzător și consolidat între Uniunea Europeană și Comunitatea Europeană a Energiei Atomice și statele membre ale acestora, pe de o parte, și Republica Armenia, pe de altă parte (JO L </w:t>
      </w:r>
      <w:r w:rsidRPr="00A75A84">
        <w:rPr>
          <w:color w:val="333333"/>
        </w:rPr>
        <w:t>23</w:t>
      </w:r>
      <w:r>
        <w:rPr>
          <w:color w:val="333333"/>
        </w:rPr>
        <w:t xml:space="preserve">, </w:t>
      </w:r>
      <w:r w:rsidRPr="00A75A84">
        <w:rPr>
          <w:color w:val="333333"/>
        </w:rPr>
        <w:t>26</w:t>
      </w:r>
      <w:r>
        <w:rPr>
          <w:color w:val="333333"/>
        </w:rPr>
        <w:t>.</w:t>
      </w:r>
      <w:r w:rsidRPr="00A75A84">
        <w:rPr>
          <w:color w:val="333333"/>
        </w:rPr>
        <w:t>1</w:t>
      </w:r>
      <w:r>
        <w:rPr>
          <w:color w:val="333333"/>
        </w:rPr>
        <w:t>.</w:t>
      </w:r>
      <w:r w:rsidRPr="00A75A84">
        <w:rPr>
          <w:color w:val="333333"/>
        </w:rPr>
        <w:t>2018</w:t>
      </w:r>
      <w:r>
        <w:rPr>
          <w:color w:val="333333"/>
        </w:rPr>
        <w:t xml:space="preserve">, p. </w:t>
      </w:r>
      <w:r w:rsidRPr="00A75A84">
        <w:rPr>
          <w:color w:val="333333"/>
        </w:rPr>
        <w:t>4</w:t>
      </w:r>
      <w:r>
        <w:rPr>
          <w:color w:val="333333"/>
        </w:rPr>
        <w:t>, ELI: </w:t>
      </w:r>
      <w:hyperlink r:id="rId1" w:tooltip="Gives access to this document through its ELI URI." w:history="1">
        <w:r>
          <w:rPr>
            <w:rStyle w:val="Hyperlink"/>
          </w:rPr>
          <w:t>http://data.europa.eu/eli/agree_internation/</w:t>
        </w:r>
        <w:r w:rsidRPr="00A75A84">
          <w:rPr>
            <w:rStyle w:val="Hyperlink"/>
          </w:rPr>
          <w:t>2018</w:t>
        </w:r>
        <w:r>
          <w:rPr>
            <w:rStyle w:val="Hyperlink"/>
          </w:rPr>
          <w:t>/</w:t>
        </w:r>
        <w:r w:rsidRPr="00A75A84">
          <w:rPr>
            <w:rStyle w:val="Hyperlink"/>
          </w:rPr>
          <w:t>104</w:t>
        </w:r>
        <w:r>
          <w:rPr>
            <w:rStyle w:val="Hyperlink"/>
          </w:rPr>
          <w:t>/oj</w:t>
        </w:r>
      </w:hyperlink>
      <w:r>
        <w:rPr>
          <w:color w:val="333333"/>
        </w:rPr>
        <w:t>).</w:t>
      </w:r>
    </w:p>
  </w:footnote>
  <w:footnote w:id="2">
    <w:p w:rsidR="2E63B89E" w:rsidRDefault="2E63B89E" w:rsidP="00AA58CF">
      <w:pPr>
        <w:pStyle w:val="FootnoteText"/>
      </w:pPr>
      <w:r>
        <w:rPr>
          <w:rStyle w:val="FootnoteReference"/>
        </w:rPr>
        <w:footnoteRef/>
      </w:r>
      <w:r>
        <w:tab/>
      </w:r>
      <w:hyperlink r:id="rId2" w:history="1">
        <w:r>
          <w:rPr>
            <w:rStyle w:val="Hyperlink"/>
          </w:rPr>
          <w:t>https://policy.trade.ec.europa.eu/eu-trade-relationships-country-and-region/countries-and-regions/armenia_en</w:t>
        </w:r>
      </w:hyperlink>
      <w:r>
        <w:t xml:space="preserve">; </w:t>
      </w:r>
      <w:hyperlink r:id="rId3" w:history="1">
        <w:r>
          <w:rPr>
            <w:rStyle w:val="Hyperlink"/>
          </w:rPr>
          <w:t>https://policy.trade.ec.europa.eu/analysis-and-assessment/statistics_en</w:t>
        </w:r>
      </w:hyperlink>
      <w:r>
        <w:t>.</w:t>
      </w:r>
    </w:p>
  </w:footnote>
  <w:footnote w:id="3">
    <w:p w:rsidR="001D21C4" w:rsidRPr="003A3F3F" w:rsidRDefault="001D21C4" w:rsidP="77ECB820">
      <w:pPr>
        <w:pStyle w:val="FootnoteText"/>
        <w:rPr>
          <w:rFonts w:ascii="Segoe UI" w:eastAsia="Segoe UI" w:hAnsi="Segoe UI" w:cs="Segoe UI"/>
          <w:color w:val="242424"/>
          <w:sz w:val="21"/>
          <w:szCs w:val="21"/>
        </w:rPr>
      </w:pPr>
      <w:r>
        <w:rPr>
          <w:rStyle w:val="FootnoteReference"/>
        </w:rPr>
        <w:footnoteRef/>
      </w:r>
      <w:r>
        <w:tab/>
        <w:t xml:space="preserve">Poziția Parlamentului European din xx xx </w:t>
      </w:r>
      <w:r w:rsidRPr="00A75A84">
        <w:t>2026</w:t>
      </w:r>
      <w:r>
        <w:t xml:space="preserve"> (nepublicată încă în </w:t>
      </w:r>
      <w:r>
        <w:rPr>
          <w:i/>
          <w:iCs/>
        </w:rPr>
        <w:t>Jurnalul Oficial</w:t>
      </w:r>
      <w:r>
        <w:t xml:space="preserve">) și Decizia Consiliului din xx xx </w:t>
      </w:r>
      <w:r w:rsidRPr="00A75A84">
        <w:t>2026</w:t>
      </w:r>
      <w:r>
        <w:t>.</w:t>
      </w:r>
    </w:p>
  </w:footnote>
  <w:footnote w:id="4">
    <w:p w:rsidR="00773A17" w:rsidRPr="00AA58CF" w:rsidRDefault="00773A17">
      <w:pPr>
        <w:pStyle w:val="FootnoteText"/>
      </w:pPr>
      <w:r>
        <w:rPr>
          <w:rStyle w:val="FootnoteReference"/>
        </w:rPr>
        <w:footnoteRef/>
      </w:r>
      <w:r>
        <w:tab/>
        <w:t xml:space="preserve">JO L </w:t>
      </w:r>
      <w:r w:rsidRPr="00A75A84">
        <w:t>23</w:t>
      </w:r>
      <w:r>
        <w:t xml:space="preserve">, </w:t>
      </w:r>
      <w:r w:rsidRPr="00A75A84">
        <w:t>26</w:t>
      </w:r>
      <w:r>
        <w:t>.</w:t>
      </w:r>
      <w:r w:rsidRPr="00A75A84">
        <w:t>1</w:t>
      </w:r>
      <w:r>
        <w:t>.</w:t>
      </w:r>
      <w:r w:rsidRPr="00A75A84">
        <w:t>2018</w:t>
      </w:r>
      <w:r>
        <w:t xml:space="preserve">, p. </w:t>
      </w:r>
      <w:r w:rsidRPr="00A75A84">
        <w:t>4</w:t>
      </w:r>
      <w:r>
        <w:t>, ELI: </w:t>
      </w:r>
      <w:hyperlink r:id="rId4" w:tooltip="Gives access to this document through its ELI URI." w:history="1">
        <w:r>
          <w:rPr>
            <w:rStyle w:val="Hyperlink"/>
          </w:rPr>
          <w:t>http://data.europa.eu/eli/agree_internation/</w:t>
        </w:r>
        <w:r w:rsidRPr="00A75A84">
          <w:rPr>
            <w:rStyle w:val="Hyperlink"/>
          </w:rPr>
          <w:t>2018</w:t>
        </w:r>
        <w:r>
          <w:rPr>
            <w:rStyle w:val="Hyperlink"/>
          </w:rPr>
          <w:t>/</w:t>
        </w:r>
        <w:r w:rsidRPr="00A75A84">
          <w:rPr>
            <w:rStyle w:val="Hyperlink"/>
          </w:rPr>
          <w:t>104</w:t>
        </w:r>
        <w:r>
          <w:rPr>
            <w:rStyle w:val="Hyperlink"/>
          </w:rPr>
          <w:t>/oj</w:t>
        </w:r>
      </w:hyperlink>
      <w:r>
        <w:t>.</w:t>
      </w:r>
    </w:p>
  </w:footnote>
  <w:footnote w:id="5">
    <w:p w:rsidR="00773A17" w:rsidRPr="003A3F3F" w:rsidRDefault="00773A17" w:rsidP="00CB4B17">
      <w:pPr>
        <w:pStyle w:val="FootnoteText"/>
        <w:shd w:val="clear" w:color="auto" w:fill="FFFFFF" w:themeFill="background1"/>
        <w:spacing w:after="75"/>
        <w:rPr>
          <w:rFonts w:eastAsia="Times New Roman"/>
          <w:highlight w:val="yellow"/>
        </w:rPr>
      </w:pPr>
      <w:r>
        <w:rPr>
          <w:rStyle w:val="FootnoteReference"/>
        </w:rPr>
        <w:footnoteRef/>
      </w:r>
      <w:r>
        <w:tab/>
      </w:r>
      <w:r>
        <w:rPr>
          <w:color w:val="333333"/>
        </w:rPr>
        <w:t xml:space="preserve">Decizia (UE) </w:t>
      </w:r>
      <w:r w:rsidRPr="00A75A84">
        <w:rPr>
          <w:color w:val="333333"/>
        </w:rPr>
        <w:t>2018</w:t>
      </w:r>
      <w:r>
        <w:rPr>
          <w:color w:val="333333"/>
        </w:rPr>
        <w:t>/</w:t>
      </w:r>
      <w:r w:rsidRPr="00A75A84">
        <w:rPr>
          <w:color w:val="333333"/>
        </w:rPr>
        <w:t>104</w:t>
      </w:r>
      <w:r>
        <w:rPr>
          <w:color w:val="333333"/>
        </w:rPr>
        <w:t xml:space="preserve"> a Consiliului din </w:t>
      </w:r>
      <w:r w:rsidRPr="00A75A84">
        <w:rPr>
          <w:color w:val="333333"/>
        </w:rPr>
        <w:t>20</w:t>
      </w:r>
      <w:r>
        <w:rPr>
          <w:color w:val="333333"/>
        </w:rPr>
        <w:t xml:space="preserve"> noiembrie </w:t>
      </w:r>
      <w:r w:rsidRPr="00A75A84">
        <w:rPr>
          <w:color w:val="333333"/>
        </w:rPr>
        <w:t>2017</w:t>
      </w:r>
      <w:r>
        <w:rPr>
          <w:color w:val="333333"/>
        </w:rPr>
        <w:t xml:space="preserve"> privind semnarea, în numele Uniunii, și aplicarea cu titlu provizoriu a Acordului de parteneriat cuprinzător și consolidat dintre Uniunea Europeană și Comunitatea Europeană a Energiei Atomice și statele membre ale acestora, pe de o parte, și Republica Armenia, pe de altă parte (JO L </w:t>
      </w:r>
      <w:r w:rsidRPr="00A75A84">
        <w:rPr>
          <w:color w:val="333333"/>
        </w:rPr>
        <w:t>23</w:t>
      </w:r>
      <w:r>
        <w:rPr>
          <w:color w:val="333333"/>
        </w:rPr>
        <w:t xml:space="preserve">, </w:t>
      </w:r>
      <w:r w:rsidRPr="00A75A84">
        <w:rPr>
          <w:color w:val="333333"/>
        </w:rPr>
        <w:t>26</w:t>
      </w:r>
      <w:r>
        <w:rPr>
          <w:color w:val="333333"/>
        </w:rPr>
        <w:t>.</w:t>
      </w:r>
      <w:r w:rsidRPr="00A75A84">
        <w:rPr>
          <w:color w:val="333333"/>
        </w:rPr>
        <w:t>1</w:t>
      </w:r>
      <w:r>
        <w:rPr>
          <w:color w:val="333333"/>
        </w:rPr>
        <w:t>.</w:t>
      </w:r>
      <w:r w:rsidRPr="00A75A84">
        <w:rPr>
          <w:color w:val="333333"/>
        </w:rPr>
        <w:t>2018</w:t>
      </w:r>
      <w:r>
        <w:rPr>
          <w:color w:val="333333"/>
        </w:rPr>
        <w:t xml:space="preserve">, p. </w:t>
      </w:r>
      <w:r w:rsidRPr="00A75A84">
        <w:rPr>
          <w:color w:val="333333"/>
        </w:rPr>
        <w:t>1</w:t>
      </w:r>
      <w:r>
        <w:rPr>
          <w:color w:val="333333"/>
        </w:rPr>
        <w:t>, ELI: </w:t>
      </w:r>
      <w:hyperlink r:id="rId5" w:tooltip="Gives access to this document through its ELI URI." w:history="1">
        <w:r>
          <w:rPr>
            <w:rStyle w:val="Hyperlink"/>
          </w:rPr>
          <w:t>http://data.europa.eu/eli/dec/</w:t>
        </w:r>
        <w:r w:rsidRPr="00A75A84">
          <w:rPr>
            <w:rStyle w:val="Hyperlink"/>
          </w:rPr>
          <w:t>2018</w:t>
        </w:r>
        <w:r>
          <w:rPr>
            <w:rStyle w:val="Hyperlink"/>
          </w:rPr>
          <w:t>/</w:t>
        </w:r>
        <w:r w:rsidRPr="00A75A84">
          <w:rPr>
            <w:rStyle w:val="Hyperlink"/>
          </w:rPr>
          <w:t>104</w:t>
        </w:r>
        <w:r>
          <w:rPr>
            <w:rStyle w:val="Hyperlink"/>
          </w:rPr>
          <w:t>/oj</w:t>
        </w:r>
      </w:hyperlink>
      <w:r>
        <w:rPr>
          <w:color w:val="333333"/>
        </w:rPr>
        <w:t>).</w:t>
      </w:r>
    </w:p>
  </w:footnote>
  <w:footnote w:id="6">
    <w:p w:rsidR="006C25E6" w:rsidRPr="00AA58CF" w:rsidRDefault="006C25E6">
      <w:pPr>
        <w:pStyle w:val="FootnoteText"/>
      </w:pPr>
      <w:r w:rsidRPr="00D42553">
        <w:rPr>
          <w:rStyle w:val="FootnoteReference"/>
        </w:rPr>
        <w:footnoteRef/>
      </w:r>
      <w:r w:rsidR="00D42553">
        <w:tab/>
      </w:r>
      <w:hyperlink r:id="rId6" w:history="1">
        <w:r>
          <w:rPr>
            <w:rStyle w:val="Hyperlink"/>
          </w:rPr>
          <w:t>Uniunea Europeană și Armenia adoptă o nouă agendă strategică pentru aprofundarea parteneriatului – Extindere și vecinătatea estică</w:t>
        </w:r>
      </w:hyperlink>
      <w:r>
        <w:t>.</w:t>
      </w:r>
    </w:p>
  </w:footnote>
  <w:footnote w:id="7">
    <w:p w:rsidR="1AED28D2" w:rsidRPr="003A3F3F" w:rsidRDefault="1AED28D2" w:rsidP="1AED28D2">
      <w:pPr>
        <w:pStyle w:val="FootnoteText"/>
        <w:rPr>
          <w:rFonts w:eastAsia="Times New Roman"/>
        </w:rPr>
      </w:pPr>
      <w:r>
        <w:rPr>
          <w:rStyle w:val="FootnoteReference"/>
        </w:rPr>
        <w:footnoteRef/>
      </w:r>
      <w:r>
        <w:tab/>
      </w:r>
      <w:r>
        <w:rPr>
          <w:color w:val="333333"/>
        </w:rPr>
        <w:t>Regulamentul delegat (UE) </w:t>
      </w:r>
      <w:r w:rsidRPr="00A75A84">
        <w:rPr>
          <w:color w:val="333333"/>
        </w:rPr>
        <w:t>2015</w:t>
      </w:r>
      <w:r>
        <w:rPr>
          <w:color w:val="333333"/>
        </w:rPr>
        <w:t>/</w:t>
      </w:r>
      <w:r w:rsidRPr="00A75A84">
        <w:rPr>
          <w:color w:val="333333"/>
        </w:rPr>
        <w:t>2446</w:t>
      </w:r>
      <w:r>
        <w:rPr>
          <w:color w:val="333333"/>
        </w:rPr>
        <w:t xml:space="preserve"> al Comisiei din </w:t>
      </w:r>
      <w:r w:rsidRPr="00A75A84">
        <w:rPr>
          <w:color w:val="333333"/>
        </w:rPr>
        <w:t>28</w:t>
      </w:r>
      <w:r>
        <w:rPr>
          <w:color w:val="333333"/>
        </w:rPr>
        <w:t xml:space="preserve"> iulie </w:t>
      </w:r>
      <w:r w:rsidRPr="00A75A84">
        <w:rPr>
          <w:color w:val="333333"/>
        </w:rPr>
        <w:t>2015</w:t>
      </w:r>
      <w:r>
        <w:rPr>
          <w:color w:val="333333"/>
        </w:rPr>
        <w:t xml:space="preserve"> de completare a Regulamentului (UE) nr. </w:t>
      </w:r>
      <w:r w:rsidRPr="00A75A84">
        <w:rPr>
          <w:color w:val="333333"/>
        </w:rPr>
        <w:t>952</w:t>
      </w:r>
      <w:r>
        <w:rPr>
          <w:color w:val="333333"/>
        </w:rPr>
        <w:t>/</w:t>
      </w:r>
      <w:r w:rsidRPr="00A75A84">
        <w:rPr>
          <w:color w:val="333333"/>
        </w:rPr>
        <w:t>2013</w:t>
      </w:r>
      <w:r>
        <w:rPr>
          <w:color w:val="333333"/>
        </w:rPr>
        <w:t xml:space="preserve"> al Parlamentului European și al Consiliului în ceea ce privește normele detaliate ale anumitor dispoziții ale Codului vamal al Uniunii</w:t>
      </w:r>
      <w:r>
        <w:t xml:space="preserve"> (</w:t>
      </w:r>
      <w:r>
        <w:rPr>
          <w:color w:val="333333"/>
        </w:rPr>
        <w:t xml:space="preserve">JO L </w:t>
      </w:r>
      <w:r w:rsidRPr="00A75A84">
        <w:rPr>
          <w:color w:val="333333"/>
        </w:rPr>
        <w:t>343</w:t>
      </w:r>
      <w:r>
        <w:rPr>
          <w:color w:val="333333"/>
        </w:rPr>
        <w:t xml:space="preserve">, </w:t>
      </w:r>
      <w:r w:rsidRPr="00A75A84">
        <w:rPr>
          <w:color w:val="333333"/>
        </w:rPr>
        <w:t>29</w:t>
      </w:r>
      <w:r>
        <w:rPr>
          <w:color w:val="333333"/>
        </w:rPr>
        <w:t>.</w:t>
      </w:r>
      <w:r w:rsidRPr="00A75A84">
        <w:rPr>
          <w:color w:val="333333"/>
        </w:rPr>
        <w:t>12</w:t>
      </w:r>
      <w:r>
        <w:rPr>
          <w:color w:val="333333"/>
        </w:rPr>
        <w:t>.</w:t>
      </w:r>
      <w:r w:rsidRPr="00A75A84">
        <w:rPr>
          <w:color w:val="333333"/>
        </w:rPr>
        <w:t>2015</w:t>
      </w:r>
      <w:r>
        <w:rPr>
          <w:color w:val="333333"/>
        </w:rPr>
        <w:t xml:space="preserve">, p. </w:t>
      </w:r>
      <w:r w:rsidRPr="00A75A84">
        <w:rPr>
          <w:color w:val="333333"/>
        </w:rPr>
        <w:t>1</w:t>
      </w:r>
      <w:r>
        <w:rPr>
          <w:color w:val="333333"/>
        </w:rPr>
        <w:t>, ELI: </w:t>
      </w:r>
      <w:hyperlink r:id="rId7" w:tooltip="Gives access to this document through its ELI URI." w:history="1">
        <w:r>
          <w:rPr>
            <w:rStyle w:val="Hyperlink"/>
          </w:rPr>
          <w:t>http://data.europa.eu/eli/reg_del/</w:t>
        </w:r>
        <w:r w:rsidRPr="00A75A84">
          <w:rPr>
            <w:rStyle w:val="Hyperlink"/>
          </w:rPr>
          <w:t>2015</w:t>
        </w:r>
        <w:r>
          <w:rPr>
            <w:rStyle w:val="Hyperlink"/>
          </w:rPr>
          <w:t>/</w:t>
        </w:r>
        <w:r w:rsidRPr="00A75A84">
          <w:rPr>
            <w:rStyle w:val="Hyperlink"/>
          </w:rPr>
          <w:t>2446</w:t>
        </w:r>
        <w:r>
          <w:rPr>
            <w:rStyle w:val="Hyperlink"/>
          </w:rPr>
          <w:t>/oj</w:t>
        </w:r>
      </w:hyperlink>
      <w:r>
        <w:rPr>
          <w:color w:val="333333"/>
        </w:rPr>
        <w:t>).</w:t>
      </w:r>
    </w:p>
  </w:footnote>
  <w:footnote w:id="8">
    <w:p w:rsidR="00A62F73" w:rsidRPr="00AC2D86" w:rsidRDefault="00A62F73" w:rsidP="00A62F73">
      <w:pPr>
        <w:pStyle w:val="FootnoteText"/>
      </w:pPr>
      <w:r>
        <w:rPr>
          <w:rStyle w:val="FootnoteReference"/>
        </w:rPr>
        <w:footnoteRef/>
      </w:r>
      <w:r>
        <w:tab/>
        <w:t xml:space="preserve">Regulamentul de punere în aplicare (UE) </w:t>
      </w:r>
      <w:r w:rsidRPr="00A75A84">
        <w:t>2015</w:t>
      </w:r>
      <w:r>
        <w:t>/</w:t>
      </w:r>
      <w:r w:rsidRPr="00A75A84">
        <w:t>2447</w:t>
      </w:r>
      <w:r>
        <w:t xml:space="preserve"> al Comisiei din </w:t>
      </w:r>
      <w:r w:rsidRPr="00A75A84">
        <w:t>24</w:t>
      </w:r>
      <w:r>
        <w:t xml:space="preserve"> noiembrie </w:t>
      </w:r>
      <w:r w:rsidRPr="00A75A84">
        <w:t>2015</w:t>
      </w:r>
      <w:r>
        <w:t xml:space="preserve"> de stabilire a unor norme pentru punerea în aplicare a anumitor dispoziții din Regulamentul (UE) nr. </w:t>
      </w:r>
      <w:r w:rsidRPr="00A75A84">
        <w:t>952</w:t>
      </w:r>
      <w:r>
        <w:t>/</w:t>
      </w:r>
      <w:r w:rsidRPr="00A75A84">
        <w:t>2013</w:t>
      </w:r>
      <w:r>
        <w:t xml:space="preserve"> al Parlamentului European și al Consiliului de stabilire a Codului vamal al Uniunii (JO L </w:t>
      </w:r>
      <w:r w:rsidRPr="00A75A84">
        <w:t>343</w:t>
      </w:r>
      <w:r>
        <w:t xml:space="preserve">, </w:t>
      </w:r>
      <w:r w:rsidRPr="00A75A84">
        <w:t>29</w:t>
      </w:r>
      <w:r>
        <w:t>.</w:t>
      </w:r>
      <w:r w:rsidRPr="00A75A84">
        <w:t>12</w:t>
      </w:r>
      <w:r>
        <w:t>.</w:t>
      </w:r>
      <w:r w:rsidRPr="00A75A84">
        <w:t>2015</w:t>
      </w:r>
      <w:r>
        <w:t xml:space="preserve">, p. </w:t>
      </w:r>
      <w:r w:rsidRPr="00A75A84">
        <w:t>558</w:t>
      </w:r>
      <w:r>
        <w:t>).</w:t>
      </w:r>
    </w:p>
  </w:footnote>
  <w:footnote w:id="9">
    <w:p w:rsidR="009E15A4" w:rsidRPr="003A3F3F" w:rsidRDefault="009E15A4">
      <w:pPr>
        <w:pStyle w:val="FootnoteText"/>
      </w:pPr>
      <w:r>
        <w:rPr>
          <w:rStyle w:val="FootnoteReference"/>
        </w:rPr>
        <w:footnoteRef/>
      </w:r>
      <w:r>
        <w:tab/>
        <w:t>Regulamentul (UE) nr. </w:t>
      </w:r>
      <w:r w:rsidRPr="00A75A84">
        <w:t>182</w:t>
      </w:r>
      <w:r>
        <w:t>/</w:t>
      </w:r>
      <w:r w:rsidRPr="00A75A84">
        <w:t>2011</w:t>
      </w:r>
      <w:r>
        <w:t xml:space="preserve"> al Parlamentului European și al Consiliului din </w:t>
      </w:r>
      <w:r w:rsidRPr="00A75A84">
        <w:t>16</w:t>
      </w:r>
      <w:r>
        <w:t xml:space="preserve"> februarie </w:t>
      </w:r>
      <w:r w:rsidRPr="00A75A84">
        <w:t>2011</w:t>
      </w:r>
      <w:r>
        <w:t xml:space="preserve"> de stabilire a normelor și principiilor generale privind mecanismele de control de către statele membre al exercitării competențelor de executare de către Comisie (JO L </w:t>
      </w:r>
      <w:r w:rsidRPr="00A75A84">
        <w:t>55</w:t>
      </w:r>
      <w:r>
        <w:t xml:space="preserve">, </w:t>
      </w:r>
      <w:r w:rsidRPr="00A75A84">
        <w:t>28</w:t>
      </w:r>
      <w:r>
        <w:t>.</w:t>
      </w:r>
      <w:r w:rsidRPr="00A75A84">
        <w:t>2</w:t>
      </w:r>
      <w:r>
        <w:t>.</w:t>
      </w:r>
      <w:r w:rsidRPr="00A75A84">
        <w:t>2011</w:t>
      </w:r>
      <w:r>
        <w:t xml:space="preserve">, p. </w:t>
      </w:r>
      <w:r w:rsidRPr="00A75A84">
        <w:t>13</w:t>
      </w:r>
      <w:r>
        <w:t>, ELI: </w:t>
      </w:r>
      <w:hyperlink r:id="rId8" w:tooltip="Gives access to this document through its ELI URI." w:history="1">
        <w:r>
          <w:rPr>
            <w:rStyle w:val="Hyperlink"/>
          </w:rPr>
          <w:t>http://data.europa.eu/eli/reg/</w:t>
        </w:r>
        <w:r w:rsidRPr="00A75A84">
          <w:rPr>
            <w:rStyle w:val="Hyperlink"/>
          </w:rPr>
          <w:t>2011</w:t>
        </w:r>
        <w:r>
          <w:rPr>
            <w:rStyle w:val="Hyperlink"/>
          </w:rPr>
          <w:t>/</w:t>
        </w:r>
        <w:r w:rsidRPr="00A75A84">
          <w:rPr>
            <w:rStyle w:val="Hyperlink"/>
          </w:rPr>
          <w:t>182</w:t>
        </w:r>
        <w:r>
          <w:rPr>
            <w:rStyle w:val="Hyperlink"/>
          </w:rPr>
          <w:t>/oj</w:t>
        </w:r>
      </w:hyperlink>
      <w:r>
        <w:t>).</w:t>
      </w:r>
    </w:p>
  </w:footnote>
  <w:footnote w:id="10">
    <w:p w:rsidR="00CE35AA" w:rsidRPr="00AA58CF" w:rsidRDefault="00CE35AA">
      <w:pPr>
        <w:pStyle w:val="FootnoteText"/>
      </w:pPr>
      <w:r>
        <w:rPr>
          <w:rStyle w:val="FootnoteReference"/>
        </w:rPr>
        <w:footnoteRef/>
      </w:r>
      <w:r>
        <w:tab/>
        <w:t>Regulamentul (UE) nr. </w:t>
      </w:r>
      <w:r w:rsidRPr="00A75A84">
        <w:t>952</w:t>
      </w:r>
      <w:r>
        <w:t>/</w:t>
      </w:r>
      <w:r w:rsidRPr="00A75A84">
        <w:t>2013</w:t>
      </w:r>
      <w:r>
        <w:t xml:space="preserve"> al Parlamentului European și al Consiliului din </w:t>
      </w:r>
      <w:r w:rsidRPr="00A75A84">
        <w:t>9</w:t>
      </w:r>
      <w:r>
        <w:t xml:space="preserve"> octombrie </w:t>
      </w:r>
      <w:r w:rsidRPr="00A75A84">
        <w:t>2013</w:t>
      </w:r>
      <w:r>
        <w:t xml:space="preserve"> de stabilire a Codului vamal al Uniunii (reformare) (JO L </w:t>
      </w:r>
      <w:r w:rsidRPr="00A75A84">
        <w:t>269</w:t>
      </w:r>
      <w:r>
        <w:t xml:space="preserve">, p. </w:t>
      </w:r>
      <w:r w:rsidRPr="00A75A84">
        <w:t>1</w:t>
      </w:r>
      <w:r>
        <w:t xml:space="preserve">, ELI: </w:t>
      </w:r>
      <w:hyperlink r:id="rId9" w:history="1">
        <w:r>
          <w:rPr>
            <w:rStyle w:val="Hyperlink"/>
          </w:rPr>
          <w:t>http://data.europa.eu/eli/reg/</w:t>
        </w:r>
        <w:r w:rsidRPr="00A75A84">
          <w:rPr>
            <w:rStyle w:val="Hyperlink"/>
          </w:rPr>
          <w:t>2013</w:t>
        </w:r>
        <w:r>
          <w:rPr>
            <w:rStyle w:val="Hyperlink"/>
          </w:rPr>
          <w:t>/</w:t>
        </w:r>
        <w:r w:rsidRPr="00A75A84">
          <w:rPr>
            <w:rStyle w:val="Hyperlink"/>
          </w:rPr>
          <w:t>952</w:t>
        </w:r>
        <w:r>
          <w:rPr>
            <w:rStyle w:val="Hyperlink"/>
          </w:rPr>
          <w:t>/oj</w:t>
        </w:r>
      </w:hyperlink>
      <w:r>
        <w:t>).</w:t>
      </w:r>
    </w:p>
  </w:footnote>
  <w:footnote w:id="11">
    <w:p w:rsidR="00630547" w:rsidRPr="00630547" w:rsidRDefault="00630547">
      <w:pPr>
        <w:pStyle w:val="FootnoteText"/>
      </w:pPr>
      <w:r>
        <w:rPr>
          <w:rStyle w:val="FootnoteReference"/>
        </w:rPr>
        <w:footnoteRef/>
      </w:r>
      <w:r>
        <w:tab/>
        <w:t xml:space="preserve">Sumele per an trebuie să fie estimate pe baza formulei sau a metodei definite în secțiunea </w:t>
      </w:r>
      <w:r w:rsidRPr="00A75A84">
        <w:t>5</w:t>
      </w:r>
      <w:r>
        <w:t>. Pentru primul an, suma anuală se plătește în mod normal fără o reducere sau proporționalizare.</w:t>
      </w:r>
    </w:p>
  </w:footnote>
  <w:footnote w:id="12">
    <w:p w:rsidR="00630547" w:rsidRPr="00630547" w:rsidRDefault="00630547">
      <w:pPr>
        <w:pStyle w:val="FootnoteText"/>
      </w:pPr>
      <w:r w:rsidRPr="00D42553">
        <w:rPr>
          <w:rStyle w:val="FootnoteReference"/>
        </w:rPr>
        <w:footnoteRef/>
      </w:r>
      <w:r w:rsidR="00D42553">
        <w:tab/>
      </w:r>
      <w:r>
        <w:t xml:space="preserve">În cazul resurselor proprii tradiționale (taxe vamale, cotizații pentru zahăr), sumele indicate trebuie să fie sume nete și anume: sume brute după deducerea a </w:t>
      </w:r>
      <w:r w:rsidRPr="00A75A84">
        <w:t>25</w:t>
      </w:r>
      <w:r>
        <w:t xml:space="preserve"> % pentru costurile de colectare până în </w:t>
      </w:r>
      <w:r w:rsidRPr="00A75A84">
        <w:t>2027</w:t>
      </w:r>
      <w:r>
        <w:t xml:space="preserve"> inclusiv și a </w:t>
      </w:r>
      <w:r w:rsidRPr="00A75A84">
        <w:t>10</w:t>
      </w:r>
      <w:r>
        <w:t> % ulterior, astfel cum se propune în COM(</w:t>
      </w:r>
      <w:r w:rsidRPr="00A75A84">
        <w:t>2025</w:t>
      </w:r>
      <w:r>
        <w:t xml:space="preserve">) </w:t>
      </w:r>
      <w:r w:rsidRPr="00A75A84">
        <w:t>574</w:t>
      </w:r>
      <w:r>
        <w:t>.</w:t>
      </w:r>
    </w:p>
  </w:footnote>
  <w:footnote w:id="13">
    <w:p w:rsidR="77ECB820" w:rsidRDefault="77ECB820" w:rsidP="00AA58CF">
      <w:pPr>
        <w:pStyle w:val="FootnoteText"/>
      </w:pPr>
      <w:r w:rsidRPr="00D42553">
        <w:rPr>
          <w:rStyle w:val="FootnoteReference"/>
        </w:rPr>
        <w:footnoteRef/>
      </w:r>
      <w:r w:rsidR="00D42553">
        <w:tab/>
      </w:r>
      <w:r>
        <w:t xml:space="preserve">Impactul asupra veniturilor în </w:t>
      </w:r>
      <w:r w:rsidRPr="00A75A84">
        <w:t>2026</w:t>
      </w:r>
      <w:r>
        <w:t xml:space="preserve"> nu este luat în considerare din cauza magnitudinii sale limitate.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Default="003A0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79" w:rsidRDefault="003A0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26"/>
  </w:num>
  <w:num w:numId="28">
    <w:abstractNumId w:val="6"/>
  </w:num>
  <w:num w:numId="29">
    <w:abstractNumId w:val="13"/>
  </w:num>
  <w:num w:numId="30">
    <w:abstractNumId w:val="14"/>
  </w:num>
  <w:num w:numId="31">
    <w:abstractNumId w:val="4"/>
  </w:num>
  <w:num w:numId="32">
    <w:abstractNumId w:val="25"/>
  </w:num>
  <w:num w:numId="33">
    <w:abstractNumId w:val="3"/>
  </w:num>
  <w:num w:numId="34">
    <w:abstractNumId w:val="15"/>
  </w:num>
  <w:num w:numId="35">
    <w:abstractNumId w:val="21"/>
  </w:num>
  <w:num w:numId="36">
    <w:abstractNumId w:val="22"/>
  </w:num>
  <w:num w:numId="37">
    <w:abstractNumId w:val="5"/>
  </w:num>
  <w:num w:numId="38">
    <w:abstractNumId w:val="19"/>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51: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B7AF933-B622-4AE4-825F-675E01528B0D"/>
    <w:docVar w:name="LW_COVERPAGE_TYPE" w:val="1"/>
    <w:docVar w:name="LW_CreatedUtc" w:val="2026-06-12T07:07:31.5224995Z"/>
    <w:docVar w:name="LW_CROSSREFERENCE" w:val="&lt;UNUSED&gt;"/>
    <w:docVar w:name="LW_DocType" w:val="COM"/>
    <w:docVar w:name="LW_EMISSION" w:val="2.7.2026"/>
    <w:docVar w:name="LW_EMISSION_ISODATE" w:val="2026-07-02"/>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89"/>
    <w:docVar w:name="LW_REF.II.NEW.CP_YEAR" w:val="2026"/>
    <w:docVar w:name="LW_REF.INST.NEW" w:val="COM"/>
    <w:docVar w:name="LW_REF.INST.NEW_ADOPTED" w:val="final"/>
    <w:docVar w:name="LW_REF.INST.NEW_TEXT" w:val="(2026) 3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ele m\u259?suri de liberalizare temporar\u259? a comer\u539?ului aplicabile produselor armene"/>
    <w:docVar w:name="LW_TYPE.DOC.CP" w:val="REGULAMENT AL PARLAMENTULUI EUROPEAN \u536?I AL CONSILIULUI"/>
    <w:docVar w:name="LwApiVersions" w:val="LW4CoDe 1.24.5.0; LW 9.2, Build 20251112"/>
  </w:docVars>
  <w:rsids>
    <w:rsidRoot w:val="00192045"/>
    <w:rsid w:val="00000ECB"/>
    <w:rsid w:val="00003361"/>
    <w:rsid w:val="00011034"/>
    <w:rsid w:val="00025CCA"/>
    <w:rsid w:val="0003120D"/>
    <w:rsid w:val="0003362B"/>
    <w:rsid w:val="00034F8D"/>
    <w:rsid w:val="0004073C"/>
    <w:rsid w:val="000429FF"/>
    <w:rsid w:val="0004700C"/>
    <w:rsid w:val="00056D30"/>
    <w:rsid w:val="00066526"/>
    <w:rsid w:val="00066D19"/>
    <w:rsid w:val="0007049B"/>
    <w:rsid w:val="00091FD5"/>
    <w:rsid w:val="000944C4"/>
    <w:rsid w:val="000A6616"/>
    <w:rsid w:val="000B1743"/>
    <w:rsid w:val="000C1FF6"/>
    <w:rsid w:val="000C2333"/>
    <w:rsid w:val="000C525A"/>
    <w:rsid w:val="000D6BEB"/>
    <w:rsid w:val="000E0A91"/>
    <w:rsid w:val="000F12E0"/>
    <w:rsid w:val="000F18A3"/>
    <w:rsid w:val="000F38E9"/>
    <w:rsid w:val="000F579F"/>
    <w:rsid w:val="001065F5"/>
    <w:rsid w:val="00114A1A"/>
    <w:rsid w:val="001238EF"/>
    <w:rsid w:val="001549E6"/>
    <w:rsid w:val="00164F10"/>
    <w:rsid w:val="00171C8D"/>
    <w:rsid w:val="00180EBF"/>
    <w:rsid w:val="00185224"/>
    <w:rsid w:val="00192045"/>
    <w:rsid w:val="00193173"/>
    <w:rsid w:val="001940C0"/>
    <w:rsid w:val="001949DC"/>
    <w:rsid w:val="00195B4E"/>
    <w:rsid w:val="00197613"/>
    <w:rsid w:val="001B2DDD"/>
    <w:rsid w:val="001B4352"/>
    <w:rsid w:val="001B5772"/>
    <w:rsid w:val="001B7F7F"/>
    <w:rsid w:val="001C2E23"/>
    <w:rsid w:val="001C514A"/>
    <w:rsid w:val="001C6A3A"/>
    <w:rsid w:val="001D21C4"/>
    <w:rsid w:val="001D5193"/>
    <w:rsid w:val="001E50F5"/>
    <w:rsid w:val="001F5866"/>
    <w:rsid w:val="00207728"/>
    <w:rsid w:val="002109BD"/>
    <w:rsid w:val="00224061"/>
    <w:rsid w:val="00230087"/>
    <w:rsid w:val="00230DF0"/>
    <w:rsid w:val="00233DC7"/>
    <w:rsid w:val="00245D32"/>
    <w:rsid w:val="00247779"/>
    <w:rsid w:val="00263634"/>
    <w:rsid w:val="002727EF"/>
    <w:rsid w:val="00280747"/>
    <w:rsid w:val="0028146A"/>
    <w:rsid w:val="00283AF7"/>
    <w:rsid w:val="00285BEE"/>
    <w:rsid w:val="0029533F"/>
    <w:rsid w:val="002A368B"/>
    <w:rsid w:val="002A3F36"/>
    <w:rsid w:val="002A5EB2"/>
    <w:rsid w:val="002B1B84"/>
    <w:rsid w:val="002B30AF"/>
    <w:rsid w:val="002B78DC"/>
    <w:rsid w:val="002C0517"/>
    <w:rsid w:val="002D0030"/>
    <w:rsid w:val="002D7983"/>
    <w:rsid w:val="002F0E1E"/>
    <w:rsid w:val="002F5612"/>
    <w:rsid w:val="003007B0"/>
    <w:rsid w:val="00303970"/>
    <w:rsid w:val="0031088D"/>
    <w:rsid w:val="0031152C"/>
    <w:rsid w:val="00323CF0"/>
    <w:rsid w:val="003268D1"/>
    <w:rsid w:val="0033344A"/>
    <w:rsid w:val="003509D0"/>
    <w:rsid w:val="00350FD0"/>
    <w:rsid w:val="00360BAA"/>
    <w:rsid w:val="00364AF6"/>
    <w:rsid w:val="00372238"/>
    <w:rsid w:val="00383A7E"/>
    <w:rsid w:val="00390865"/>
    <w:rsid w:val="00393C73"/>
    <w:rsid w:val="003A0479"/>
    <w:rsid w:val="003A3F3F"/>
    <w:rsid w:val="003A7BF4"/>
    <w:rsid w:val="003B5BA4"/>
    <w:rsid w:val="003C1A19"/>
    <w:rsid w:val="003C4287"/>
    <w:rsid w:val="003D36B4"/>
    <w:rsid w:val="003D666B"/>
    <w:rsid w:val="003E236A"/>
    <w:rsid w:val="003F0794"/>
    <w:rsid w:val="003F4D98"/>
    <w:rsid w:val="00410722"/>
    <w:rsid w:val="00416845"/>
    <w:rsid w:val="00420E19"/>
    <w:rsid w:val="00424A83"/>
    <w:rsid w:val="0042648E"/>
    <w:rsid w:val="0043652C"/>
    <w:rsid w:val="00454496"/>
    <w:rsid w:val="004611FB"/>
    <w:rsid w:val="004661EE"/>
    <w:rsid w:val="00471C70"/>
    <w:rsid w:val="004936D2"/>
    <w:rsid w:val="00497216"/>
    <w:rsid w:val="004A3EDE"/>
    <w:rsid w:val="004A5A77"/>
    <w:rsid w:val="004A6618"/>
    <w:rsid w:val="004A6781"/>
    <w:rsid w:val="004B54A3"/>
    <w:rsid w:val="004B737B"/>
    <w:rsid w:val="004C221F"/>
    <w:rsid w:val="004C383A"/>
    <w:rsid w:val="004C758B"/>
    <w:rsid w:val="004D5C9B"/>
    <w:rsid w:val="004E0659"/>
    <w:rsid w:val="004F1AF4"/>
    <w:rsid w:val="004F57B5"/>
    <w:rsid w:val="005075B6"/>
    <w:rsid w:val="005261FD"/>
    <w:rsid w:val="0053055D"/>
    <w:rsid w:val="005328B9"/>
    <w:rsid w:val="00541592"/>
    <w:rsid w:val="00563741"/>
    <w:rsid w:val="0057011F"/>
    <w:rsid w:val="00576A5B"/>
    <w:rsid w:val="00583226"/>
    <w:rsid w:val="00583542"/>
    <w:rsid w:val="005904CD"/>
    <w:rsid w:val="005A1C00"/>
    <w:rsid w:val="005B177C"/>
    <w:rsid w:val="005B1EB6"/>
    <w:rsid w:val="005B7292"/>
    <w:rsid w:val="005C07E5"/>
    <w:rsid w:val="005C6A25"/>
    <w:rsid w:val="005D1F90"/>
    <w:rsid w:val="005D253C"/>
    <w:rsid w:val="005F2454"/>
    <w:rsid w:val="00604CEF"/>
    <w:rsid w:val="00612D09"/>
    <w:rsid w:val="006130A4"/>
    <w:rsid w:val="0061462E"/>
    <w:rsid w:val="00630547"/>
    <w:rsid w:val="00634A35"/>
    <w:rsid w:val="00635103"/>
    <w:rsid w:val="006374EF"/>
    <w:rsid w:val="006439B5"/>
    <w:rsid w:val="00647265"/>
    <w:rsid w:val="0065643F"/>
    <w:rsid w:val="0065686D"/>
    <w:rsid w:val="00663731"/>
    <w:rsid w:val="00664BFF"/>
    <w:rsid w:val="00665EFB"/>
    <w:rsid w:val="0066608D"/>
    <w:rsid w:val="0066610C"/>
    <w:rsid w:val="00681FEB"/>
    <w:rsid w:val="0069298E"/>
    <w:rsid w:val="006A5FAD"/>
    <w:rsid w:val="006A717A"/>
    <w:rsid w:val="006B16CE"/>
    <w:rsid w:val="006C25E6"/>
    <w:rsid w:val="006C2EB5"/>
    <w:rsid w:val="006C6806"/>
    <w:rsid w:val="006D36FE"/>
    <w:rsid w:val="006F4A1A"/>
    <w:rsid w:val="00711ADA"/>
    <w:rsid w:val="00711EB7"/>
    <w:rsid w:val="007131B2"/>
    <w:rsid w:val="007240CA"/>
    <w:rsid w:val="00733D23"/>
    <w:rsid w:val="0073405A"/>
    <w:rsid w:val="007608EA"/>
    <w:rsid w:val="007609AA"/>
    <w:rsid w:val="00772D40"/>
    <w:rsid w:val="00773331"/>
    <w:rsid w:val="00773A17"/>
    <w:rsid w:val="007751AC"/>
    <w:rsid w:val="007816EE"/>
    <w:rsid w:val="00782C2A"/>
    <w:rsid w:val="007932EF"/>
    <w:rsid w:val="007A375B"/>
    <w:rsid w:val="007A49B9"/>
    <w:rsid w:val="007A58BA"/>
    <w:rsid w:val="007A6A5A"/>
    <w:rsid w:val="007B170F"/>
    <w:rsid w:val="007B5864"/>
    <w:rsid w:val="007C1898"/>
    <w:rsid w:val="007D2C86"/>
    <w:rsid w:val="007D4489"/>
    <w:rsid w:val="007E05B0"/>
    <w:rsid w:val="007F65B9"/>
    <w:rsid w:val="00813F71"/>
    <w:rsid w:val="00814A4B"/>
    <w:rsid w:val="00815EF2"/>
    <w:rsid w:val="00816FF9"/>
    <w:rsid w:val="008221C2"/>
    <w:rsid w:val="00827ED2"/>
    <w:rsid w:val="00833D13"/>
    <w:rsid w:val="008409D0"/>
    <w:rsid w:val="008424AE"/>
    <w:rsid w:val="00852F76"/>
    <w:rsid w:val="00854EA8"/>
    <w:rsid w:val="00860A9E"/>
    <w:rsid w:val="00863DF6"/>
    <w:rsid w:val="00874C3E"/>
    <w:rsid w:val="00874D22"/>
    <w:rsid w:val="008A2914"/>
    <w:rsid w:val="008C7F6B"/>
    <w:rsid w:val="008D075E"/>
    <w:rsid w:val="008D24BF"/>
    <w:rsid w:val="008E2D6D"/>
    <w:rsid w:val="008E4D8E"/>
    <w:rsid w:val="00903E04"/>
    <w:rsid w:val="00906EAC"/>
    <w:rsid w:val="00923960"/>
    <w:rsid w:val="009267A9"/>
    <w:rsid w:val="0093141D"/>
    <w:rsid w:val="00932D90"/>
    <w:rsid w:val="009456E2"/>
    <w:rsid w:val="00964147"/>
    <w:rsid w:val="00964C0D"/>
    <w:rsid w:val="00965F97"/>
    <w:rsid w:val="009709AA"/>
    <w:rsid w:val="00976ECC"/>
    <w:rsid w:val="00981F3D"/>
    <w:rsid w:val="009821B6"/>
    <w:rsid w:val="00982573"/>
    <w:rsid w:val="00995451"/>
    <w:rsid w:val="009A0761"/>
    <w:rsid w:val="009A7000"/>
    <w:rsid w:val="009C177A"/>
    <w:rsid w:val="009D5DDF"/>
    <w:rsid w:val="009E15A4"/>
    <w:rsid w:val="009F46E5"/>
    <w:rsid w:val="00A01A57"/>
    <w:rsid w:val="00A02519"/>
    <w:rsid w:val="00A16AD3"/>
    <w:rsid w:val="00A2133D"/>
    <w:rsid w:val="00A463C6"/>
    <w:rsid w:val="00A60BBC"/>
    <w:rsid w:val="00A62F73"/>
    <w:rsid w:val="00A75A84"/>
    <w:rsid w:val="00A90F29"/>
    <w:rsid w:val="00AA58CF"/>
    <w:rsid w:val="00AA6501"/>
    <w:rsid w:val="00AA6C3E"/>
    <w:rsid w:val="00AC1929"/>
    <w:rsid w:val="00AC7634"/>
    <w:rsid w:val="00AD1E36"/>
    <w:rsid w:val="00AD4693"/>
    <w:rsid w:val="00AD65A0"/>
    <w:rsid w:val="00AF0AAD"/>
    <w:rsid w:val="00B01863"/>
    <w:rsid w:val="00B06B9B"/>
    <w:rsid w:val="00B100E9"/>
    <w:rsid w:val="00B11941"/>
    <w:rsid w:val="00B14391"/>
    <w:rsid w:val="00B143D7"/>
    <w:rsid w:val="00B33F28"/>
    <w:rsid w:val="00B45636"/>
    <w:rsid w:val="00B61282"/>
    <w:rsid w:val="00B654E0"/>
    <w:rsid w:val="00B65EFF"/>
    <w:rsid w:val="00B7028B"/>
    <w:rsid w:val="00B70BBF"/>
    <w:rsid w:val="00B83FCD"/>
    <w:rsid w:val="00B86114"/>
    <w:rsid w:val="00B934B0"/>
    <w:rsid w:val="00B95327"/>
    <w:rsid w:val="00BA33D9"/>
    <w:rsid w:val="00BC64D6"/>
    <w:rsid w:val="00BD276D"/>
    <w:rsid w:val="00BF0166"/>
    <w:rsid w:val="00BF0B34"/>
    <w:rsid w:val="00BF2273"/>
    <w:rsid w:val="00BF7BFC"/>
    <w:rsid w:val="00C12301"/>
    <w:rsid w:val="00C14D4E"/>
    <w:rsid w:val="00C23F6E"/>
    <w:rsid w:val="00C5294A"/>
    <w:rsid w:val="00C53ACC"/>
    <w:rsid w:val="00C70EDB"/>
    <w:rsid w:val="00C80B3E"/>
    <w:rsid w:val="00C80E63"/>
    <w:rsid w:val="00C82764"/>
    <w:rsid w:val="00C83C44"/>
    <w:rsid w:val="00C855D0"/>
    <w:rsid w:val="00C90A44"/>
    <w:rsid w:val="00CA17DD"/>
    <w:rsid w:val="00CA45B4"/>
    <w:rsid w:val="00CA4767"/>
    <w:rsid w:val="00CB4B17"/>
    <w:rsid w:val="00CE028F"/>
    <w:rsid w:val="00CE35AA"/>
    <w:rsid w:val="00CF1CD2"/>
    <w:rsid w:val="00D164CB"/>
    <w:rsid w:val="00D20381"/>
    <w:rsid w:val="00D2515D"/>
    <w:rsid w:val="00D40336"/>
    <w:rsid w:val="00D42553"/>
    <w:rsid w:val="00D42E9D"/>
    <w:rsid w:val="00D436CD"/>
    <w:rsid w:val="00D551A9"/>
    <w:rsid w:val="00D62F43"/>
    <w:rsid w:val="00D71E0A"/>
    <w:rsid w:val="00D84C2E"/>
    <w:rsid w:val="00D90361"/>
    <w:rsid w:val="00D964F2"/>
    <w:rsid w:val="00D976D8"/>
    <w:rsid w:val="00DB3173"/>
    <w:rsid w:val="00DB754E"/>
    <w:rsid w:val="00DC0408"/>
    <w:rsid w:val="00DD01BB"/>
    <w:rsid w:val="00DD1643"/>
    <w:rsid w:val="00DD6986"/>
    <w:rsid w:val="00DE146E"/>
    <w:rsid w:val="00DE4010"/>
    <w:rsid w:val="00DE7D12"/>
    <w:rsid w:val="00E01DB0"/>
    <w:rsid w:val="00E07979"/>
    <w:rsid w:val="00E15528"/>
    <w:rsid w:val="00E175FB"/>
    <w:rsid w:val="00E22617"/>
    <w:rsid w:val="00E22F91"/>
    <w:rsid w:val="00E34CAD"/>
    <w:rsid w:val="00E4424A"/>
    <w:rsid w:val="00E50DB1"/>
    <w:rsid w:val="00E664ED"/>
    <w:rsid w:val="00E73E5A"/>
    <w:rsid w:val="00E7633D"/>
    <w:rsid w:val="00E7781A"/>
    <w:rsid w:val="00E8241E"/>
    <w:rsid w:val="00E8409B"/>
    <w:rsid w:val="00E84262"/>
    <w:rsid w:val="00E875A5"/>
    <w:rsid w:val="00E96516"/>
    <w:rsid w:val="00EA1C8F"/>
    <w:rsid w:val="00EB5CD6"/>
    <w:rsid w:val="00EC3442"/>
    <w:rsid w:val="00EC4A8F"/>
    <w:rsid w:val="00ED3E89"/>
    <w:rsid w:val="00EF03A5"/>
    <w:rsid w:val="00EF08A6"/>
    <w:rsid w:val="00EF35B7"/>
    <w:rsid w:val="00F05826"/>
    <w:rsid w:val="00F11869"/>
    <w:rsid w:val="00F15033"/>
    <w:rsid w:val="00F25E8A"/>
    <w:rsid w:val="00F27F13"/>
    <w:rsid w:val="00F35A25"/>
    <w:rsid w:val="00F418F4"/>
    <w:rsid w:val="00F424EA"/>
    <w:rsid w:val="00F75CEA"/>
    <w:rsid w:val="00F848BA"/>
    <w:rsid w:val="00FA0584"/>
    <w:rsid w:val="00FB47F6"/>
    <w:rsid w:val="00FB4C13"/>
    <w:rsid w:val="00FB65D9"/>
    <w:rsid w:val="00FC016B"/>
    <w:rsid w:val="00FC38F8"/>
    <w:rsid w:val="00FC737A"/>
    <w:rsid w:val="00FD6030"/>
    <w:rsid w:val="00FF05EC"/>
    <w:rsid w:val="0101766B"/>
    <w:rsid w:val="010F63A8"/>
    <w:rsid w:val="01135F11"/>
    <w:rsid w:val="012BAF42"/>
    <w:rsid w:val="013C404B"/>
    <w:rsid w:val="01507865"/>
    <w:rsid w:val="01637B99"/>
    <w:rsid w:val="016B44E0"/>
    <w:rsid w:val="016E1DCA"/>
    <w:rsid w:val="017AB468"/>
    <w:rsid w:val="01EF95C6"/>
    <w:rsid w:val="0200C29A"/>
    <w:rsid w:val="02063FD4"/>
    <w:rsid w:val="0219D178"/>
    <w:rsid w:val="021D182B"/>
    <w:rsid w:val="0231718A"/>
    <w:rsid w:val="023BED1B"/>
    <w:rsid w:val="0251C106"/>
    <w:rsid w:val="02C64867"/>
    <w:rsid w:val="02D7FB82"/>
    <w:rsid w:val="02E518E4"/>
    <w:rsid w:val="0303F9F1"/>
    <w:rsid w:val="0307364A"/>
    <w:rsid w:val="03137EC6"/>
    <w:rsid w:val="032EB4C4"/>
    <w:rsid w:val="036CF572"/>
    <w:rsid w:val="0376A826"/>
    <w:rsid w:val="03B6B77B"/>
    <w:rsid w:val="03B8058C"/>
    <w:rsid w:val="03D4438C"/>
    <w:rsid w:val="03DC9AEC"/>
    <w:rsid w:val="03E89D08"/>
    <w:rsid w:val="0446C2A3"/>
    <w:rsid w:val="044FED9B"/>
    <w:rsid w:val="045BD24A"/>
    <w:rsid w:val="049C28A3"/>
    <w:rsid w:val="04AAB880"/>
    <w:rsid w:val="0517EF60"/>
    <w:rsid w:val="051DC3E5"/>
    <w:rsid w:val="05264165"/>
    <w:rsid w:val="05718B14"/>
    <w:rsid w:val="057494E9"/>
    <w:rsid w:val="05B1897D"/>
    <w:rsid w:val="05B32957"/>
    <w:rsid w:val="05B5C043"/>
    <w:rsid w:val="05BFF207"/>
    <w:rsid w:val="05C0E61F"/>
    <w:rsid w:val="05C3A7D5"/>
    <w:rsid w:val="05D4811A"/>
    <w:rsid w:val="062149C1"/>
    <w:rsid w:val="062652F3"/>
    <w:rsid w:val="062BD530"/>
    <w:rsid w:val="06363480"/>
    <w:rsid w:val="0648621E"/>
    <w:rsid w:val="065AD155"/>
    <w:rsid w:val="06925B2F"/>
    <w:rsid w:val="069A36FD"/>
    <w:rsid w:val="06A95F25"/>
    <w:rsid w:val="06E519C5"/>
    <w:rsid w:val="0714FDF5"/>
    <w:rsid w:val="0724F089"/>
    <w:rsid w:val="0759301A"/>
    <w:rsid w:val="075A5BF3"/>
    <w:rsid w:val="079A5390"/>
    <w:rsid w:val="08312101"/>
    <w:rsid w:val="0854C361"/>
    <w:rsid w:val="0856E54D"/>
    <w:rsid w:val="087C0B1D"/>
    <w:rsid w:val="089B47B1"/>
    <w:rsid w:val="08CB3347"/>
    <w:rsid w:val="08D49AAA"/>
    <w:rsid w:val="08F679AA"/>
    <w:rsid w:val="08FA5EB7"/>
    <w:rsid w:val="0925C2EA"/>
    <w:rsid w:val="093885D9"/>
    <w:rsid w:val="0975D578"/>
    <w:rsid w:val="0989B653"/>
    <w:rsid w:val="0996F1AD"/>
    <w:rsid w:val="09A2900C"/>
    <w:rsid w:val="09CA6A0E"/>
    <w:rsid w:val="09DD4BEF"/>
    <w:rsid w:val="09FBB68A"/>
    <w:rsid w:val="0A5BB526"/>
    <w:rsid w:val="0A6826F6"/>
    <w:rsid w:val="0A7EC1A9"/>
    <w:rsid w:val="0A8C306E"/>
    <w:rsid w:val="0A985B20"/>
    <w:rsid w:val="0ADCB3D8"/>
    <w:rsid w:val="0B3862E9"/>
    <w:rsid w:val="0B4186F6"/>
    <w:rsid w:val="0B5EBB56"/>
    <w:rsid w:val="0B8FD215"/>
    <w:rsid w:val="0B903B8B"/>
    <w:rsid w:val="0B9656C8"/>
    <w:rsid w:val="0B98C93B"/>
    <w:rsid w:val="0B9C2321"/>
    <w:rsid w:val="0BAC5AD2"/>
    <w:rsid w:val="0BBA5319"/>
    <w:rsid w:val="0BC38D52"/>
    <w:rsid w:val="0BFF30D7"/>
    <w:rsid w:val="0C4DE199"/>
    <w:rsid w:val="0C52AEEE"/>
    <w:rsid w:val="0C6B9745"/>
    <w:rsid w:val="0CB2D6C4"/>
    <w:rsid w:val="0CDA0A09"/>
    <w:rsid w:val="0D0D4B09"/>
    <w:rsid w:val="0D13AF4C"/>
    <w:rsid w:val="0D1CB8B5"/>
    <w:rsid w:val="0D2D2288"/>
    <w:rsid w:val="0D3A8E7D"/>
    <w:rsid w:val="0D4BD242"/>
    <w:rsid w:val="0D68F715"/>
    <w:rsid w:val="0DC2C2CD"/>
    <w:rsid w:val="0DD2EF48"/>
    <w:rsid w:val="0DF259D8"/>
    <w:rsid w:val="0E080CB3"/>
    <w:rsid w:val="0E2AD4F0"/>
    <w:rsid w:val="0E5945AD"/>
    <w:rsid w:val="0E5D5368"/>
    <w:rsid w:val="0E98FFE8"/>
    <w:rsid w:val="0EBA4381"/>
    <w:rsid w:val="0EF8F250"/>
    <w:rsid w:val="0F189CE0"/>
    <w:rsid w:val="0F2FF852"/>
    <w:rsid w:val="0F45AD6E"/>
    <w:rsid w:val="0F60460C"/>
    <w:rsid w:val="0F676386"/>
    <w:rsid w:val="0F869B86"/>
    <w:rsid w:val="0F887220"/>
    <w:rsid w:val="0F899E2A"/>
    <w:rsid w:val="0F9C48C3"/>
    <w:rsid w:val="0FC5D1E9"/>
    <w:rsid w:val="0FCD7A36"/>
    <w:rsid w:val="0FDD25C4"/>
    <w:rsid w:val="10012EA9"/>
    <w:rsid w:val="1053DEAD"/>
    <w:rsid w:val="107373DE"/>
    <w:rsid w:val="107C49F5"/>
    <w:rsid w:val="10A6C054"/>
    <w:rsid w:val="10D89D6D"/>
    <w:rsid w:val="10D8E1CD"/>
    <w:rsid w:val="10E98AC0"/>
    <w:rsid w:val="1100F7EE"/>
    <w:rsid w:val="112E78E6"/>
    <w:rsid w:val="11533FA8"/>
    <w:rsid w:val="115C2522"/>
    <w:rsid w:val="115D4AF6"/>
    <w:rsid w:val="119490EB"/>
    <w:rsid w:val="11ADB279"/>
    <w:rsid w:val="11E3D8B4"/>
    <w:rsid w:val="11E4E265"/>
    <w:rsid w:val="11E7E9B4"/>
    <w:rsid w:val="129B7E14"/>
    <w:rsid w:val="129FCDC8"/>
    <w:rsid w:val="12D9A2BD"/>
    <w:rsid w:val="13A3C47E"/>
    <w:rsid w:val="140AC9EE"/>
    <w:rsid w:val="142B2314"/>
    <w:rsid w:val="143F9EDA"/>
    <w:rsid w:val="1466838E"/>
    <w:rsid w:val="1479A7B2"/>
    <w:rsid w:val="14D273A6"/>
    <w:rsid w:val="14D82E33"/>
    <w:rsid w:val="14E77E76"/>
    <w:rsid w:val="150102A8"/>
    <w:rsid w:val="15195EB3"/>
    <w:rsid w:val="154EE644"/>
    <w:rsid w:val="1598855E"/>
    <w:rsid w:val="15BAD5A3"/>
    <w:rsid w:val="15CC0E6F"/>
    <w:rsid w:val="15CD70E9"/>
    <w:rsid w:val="15ECC8AC"/>
    <w:rsid w:val="15ED6E04"/>
    <w:rsid w:val="16105498"/>
    <w:rsid w:val="161E4F83"/>
    <w:rsid w:val="165C03DC"/>
    <w:rsid w:val="166C2543"/>
    <w:rsid w:val="1696E490"/>
    <w:rsid w:val="16BC0BC9"/>
    <w:rsid w:val="16E44A2C"/>
    <w:rsid w:val="1725AAA4"/>
    <w:rsid w:val="17682A08"/>
    <w:rsid w:val="1809C7DA"/>
    <w:rsid w:val="182CAC4E"/>
    <w:rsid w:val="184969D8"/>
    <w:rsid w:val="19334467"/>
    <w:rsid w:val="1944CC31"/>
    <w:rsid w:val="197F3E9E"/>
    <w:rsid w:val="1993FF05"/>
    <w:rsid w:val="19945DC4"/>
    <w:rsid w:val="19C99AD1"/>
    <w:rsid w:val="19CD393B"/>
    <w:rsid w:val="1A0170D2"/>
    <w:rsid w:val="1A01CC64"/>
    <w:rsid w:val="1A18866C"/>
    <w:rsid w:val="1A6C8E08"/>
    <w:rsid w:val="1AAB1113"/>
    <w:rsid w:val="1AB273C7"/>
    <w:rsid w:val="1ABAA2AE"/>
    <w:rsid w:val="1ADB8FC8"/>
    <w:rsid w:val="1AED28D2"/>
    <w:rsid w:val="1AF5C019"/>
    <w:rsid w:val="1AFA954D"/>
    <w:rsid w:val="1B06E305"/>
    <w:rsid w:val="1B2AF676"/>
    <w:rsid w:val="1B2E5498"/>
    <w:rsid w:val="1B85B1F1"/>
    <w:rsid w:val="1BBBDF40"/>
    <w:rsid w:val="1BD9B466"/>
    <w:rsid w:val="1BEAFB2C"/>
    <w:rsid w:val="1BF7695E"/>
    <w:rsid w:val="1C08902B"/>
    <w:rsid w:val="1C41472B"/>
    <w:rsid w:val="1C5809EB"/>
    <w:rsid w:val="1C5A4C57"/>
    <w:rsid w:val="1C6C49E0"/>
    <w:rsid w:val="1C81BF36"/>
    <w:rsid w:val="1C8ABDD8"/>
    <w:rsid w:val="1CA04311"/>
    <w:rsid w:val="1CACAF46"/>
    <w:rsid w:val="1CB84F95"/>
    <w:rsid w:val="1CBDC5CD"/>
    <w:rsid w:val="1CC1FD78"/>
    <w:rsid w:val="1D25EAEA"/>
    <w:rsid w:val="1D61B054"/>
    <w:rsid w:val="1D6B1543"/>
    <w:rsid w:val="1D6BA749"/>
    <w:rsid w:val="1D76BC21"/>
    <w:rsid w:val="1D7E0384"/>
    <w:rsid w:val="1D7EE877"/>
    <w:rsid w:val="1DA8A668"/>
    <w:rsid w:val="1DD16C54"/>
    <w:rsid w:val="1DE8AC9F"/>
    <w:rsid w:val="1E2656BF"/>
    <w:rsid w:val="1E37AD3C"/>
    <w:rsid w:val="1E3C5B69"/>
    <w:rsid w:val="1E4B8290"/>
    <w:rsid w:val="1E7054A1"/>
    <w:rsid w:val="1E9CA3CD"/>
    <w:rsid w:val="1EC841F2"/>
    <w:rsid w:val="1EC8C185"/>
    <w:rsid w:val="1EEE0568"/>
    <w:rsid w:val="1EFF2A3B"/>
    <w:rsid w:val="1F1304F2"/>
    <w:rsid w:val="1F2AC0DE"/>
    <w:rsid w:val="1F3EC7DA"/>
    <w:rsid w:val="1F49B376"/>
    <w:rsid w:val="1F4A371B"/>
    <w:rsid w:val="1FC04082"/>
    <w:rsid w:val="1FDC521C"/>
    <w:rsid w:val="1FF28727"/>
    <w:rsid w:val="1FF84766"/>
    <w:rsid w:val="1FFC0726"/>
    <w:rsid w:val="203015A5"/>
    <w:rsid w:val="204A1CB3"/>
    <w:rsid w:val="20703017"/>
    <w:rsid w:val="20A3F92F"/>
    <w:rsid w:val="20F0AD5E"/>
    <w:rsid w:val="21082F77"/>
    <w:rsid w:val="2123A506"/>
    <w:rsid w:val="2158F9AB"/>
    <w:rsid w:val="215EE305"/>
    <w:rsid w:val="218B100F"/>
    <w:rsid w:val="21B9AC98"/>
    <w:rsid w:val="220CFC12"/>
    <w:rsid w:val="220DA017"/>
    <w:rsid w:val="22353035"/>
    <w:rsid w:val="22442104"/>
    <w:rsid w:val="225FA82F"/>
    <w:rsid w:val="22656E67"/>
    <w:rsid w:val="2283CF9F"/>
    <w:rsid w:val="2285F858"/>
    <w:rsid w:val="22B3E7F1"/>
    <w:rsid w:val="22B8190F"/>
    <w:rsid w:val="22EC9AA2"/>
    <w:rsid w:val="232DD68A"/>
    <w:rsid w:val="23313422"/>
    <w:rsid w:val="2341610D"/>
    <w:rsid w:val="23C0BC3F"/>
    <w:rsid w:val="23E5A585"/>
    <w:rsid w:val="244C9543"/>
    <w:rsid w:val="24A4294B"/>
    <w:rsid w:val="2537E536"/>
    <w:rsid w:val="25460A29"/>
    <w:rsid w:val="2547707A"/>
    <w:rsid w:val="25A7675C"/>
    <w:rsid w:val="25FB195B"/>
    <w:rsid w:val="26135BDC"/>
    <w:rsid w:val="262211E7"/>
    <w:rsid w:val="262CD9A0"/>
    <w:rsid w:val="2639742B"/>
    <w:rsid w:val="26A1861B"/>
    <w:rsid w:val="27383F8C"/>
    <w:rsid w:val="275D3F2D"/>
    <w:rsid w:val="279B32D6"/>
    <w:rsid w:val="27B46BC2"/>
    <w:rsid w:val="28141023"/>
    <w:rsid w:val="28143F1B"/>
    <w:rsid w:val="28A257B2"/>
    <w:rsid w:val="28B19AAE"/>
    <w:rsid w:val="28B740D8"/>
    <w:rsid w:val="28CC9853"/>
    <w:rsid w:val="28D31214"/>
    <w:rsid w:val="28E19EAA"/>
    <w:rsid w:val="28E6C065"/>
    <w:rsid w:val="291F1D4F"/>
    <w:rsid w:val="295C42B7"/>
    <w:rsid w:val="298F26B1"/>
    <w:rsid w:val="29E5833F"/>
    <w:rsid w:val="2A0EED57"/>
    <w:rsid w:val="2A32299C"/>
    <w:rsid w:val="2A4B41C7"/>
    <w:rsid w:val="2A6C0EF5"/>
    <w:rsid w:val="2A8AB518"/>
    <w:rsid w:val="2A96396B"/>
    <w:rsid w:val="2AECF3B6"/>
    <w:rsid w:val="2AFF683F"/>
    <w:rsid w:val="2B018D62"/>
    <w:rsid w:val="2B870BE8"/>
    <w:rsid w:val="2BE26C32"/>
    <w:rsid w:val="2BE5F867"/>
    <w:rsid w:val="2BF50105"/>
    <w:rsid w:val="2C168AB3"/>
    <w:rsid w:val="2C2348BF"/>
    <w:rsid w:val="2C39DD77"/>
    <w:rsid w:val="2C803A14"/>
    <w:rsid w:val="2C9756F6"/>
    <w:rsid w:val="2CC937AB"/>
    <w:rsid w:val="2CCD1DE0"/>
    <w:rsid w:val="2CE0E8E2"/>
    <w:rsid w:val="2CFB267C"/>
    <w:rsid w:val="2D06B696"/>
    <w:rsid w:val="2D16F949"/>
    <w:rsid w:val="2D3E5B75"/>
    <w:rsid w:val="2D653D8F"/>
    <w:rsid w:val="2D93349F"/>
    <w:rsid w:val="2D9B5701"/>
    <w:rsid w:val="2DF275BC"/>
    <w:rsid w:val="2E63B89E"/>
    <w:rsid w:val="2E93FDC6"/>
    <w:rsid w:val="2E95974B"/>
    <w:rsid w:val="2ECEFC4A"/>
    <w:rsid w:val="2EF55320"/>
    <w:rsid w:val="2F21A21F"/>
    <w:rsid w:val="2F27BD95"/>
    <w:rsid w:val="2F384921"/>
    <w:rsid w:val="2F5B23DE"/>
    <w:rsid w:val="2FC1D208"/>
    <w:rsid w:val="2FC6511C"/>
    <w:rsid w:val="30009ABF"/>
    <w:rsid w:val="303BD0FD"/>
    <w:rsid w:val="304189DE"/>
    <w:rsid w:val="3064659C"/>
    <w:rsid w:val="30821F30"/>
    <w:rsid w:val="30B2333A"/>
    <w:rsid w:val="30DC735A"/>
    <w:rsid w:val="313F6D1C"/>
    <w:rsid w:val="317B5900"/>
    <w:rsid w:val="318F12EE"/>
    <w:rsid w:val="31A7686E"/>
    <w:rsid w:val="31BB8B03"/>
    <w:rsid w:val="31CE673D"/>
    <w:rsid w:val="31D73155"/>
    <w:rsid w:val="31D83342"/>
    <w:rsid w:val="31E36D21"/>
    <w:rsid w:val="321175B6"/>
    <w:rsid w:val="329C925F"/>
    <w:rsid w:val="32BC1C40"/>
    <w:rsid w:val="32F8BA4F"/>
    <w:rsid w:val="3309AC21"/>
    <w:rsid w:val="330B61AD"/>
    <w:rsid w:val="334C2DC8"/>
    <w:rsid w:val="336BBB75"/>
    <w:rsid w:val="33B3CD77"/>
    <w:rsid w:val="33BA60BE"/>
    <w:rsid w:val="33EB624A"/>
    <w:rsid w:val="33F35159"/>
    <w:rsid w:val="3456DA27"/>
    <w:rsid w:val="352DBD2E"/>
    <w:rsid w:val="3543EEFC"/>
    <w:rsid w:val="3550C3E4"/>
    <w:rsid w:val="35595BED"/>
    <w:rsid w:val="356A50FE"/>
    <w:rsid w:val="357C110A"/>
    <w:rsid w:val="35940563"/>
    <w:rsid w:val="35B20BB7"/>
    <w:rsid w:val="35D3EC84"/>
    <w:rsid w:val="35DE2377"/>
    <w:rsid w:val="35E54D94"/>
    <w:rsid w:val="35EE7825"/>
    <w:rsid w:val="360069DC"/>
    <w:rsid w:val="3607AE4A"/>
    <w:rsid w:val="3670587E"/>
    <w:rsid w:val="3685A40D"/>
    <w:rsid w:val="36D56F52"/>
    <w:rsid w:val="36FA5BD8"/>
    <w:rsid w:val="3725FFF2"/>
    <w:rsid w:val="375C5466"/>
    <w:rsid w:val="3786969E"/>
    <w:rsid w:val="37A4F57A"/>
    <w:rsid w:val="37B79890"/>
    <w:rsid w:val="38102C04"/>
    <w:rsid w:val="3822EC99"/>
    <w:rsid w:val="385FE36C"/>
    <w:rsid w:val="38B774DC"/>
    <w:rsid w:val="38D29CBD"/>
    <w:rsid w:val="38FF44FE"/>
    <w:rsid w:val="39115EFE"/>
    <w:rsid w:val="396D5FB1"/>
    <w:rsid w:val="39723015"/>
    <w:rsid w:val="3980132D"/>
    <w:rsid w:val="39B6C2B8"/>
    <w:rsid w:val="3A1274E0"/>
    <w:rsid w:val="3A54A503"/>
    <w:rsid w:val="3A6BC3AD"/>
    <w:rsid w:val="3A889313"/>
    <w:rsid w:val="3A9B7228"/>
    <w:rsid w:val="3AD6BBBC"/>
    <w:rsid w:val="3ADA9EB6"/>
    <w:rsid w:val="3B48E2AE"/>
    <w:rsid w:val="3B5A5F7A"/>
    <w:rsid w:val="3B851769"/>
    <w:rsid w:val="3B973442"/>
    <w:rsid w:val="3B9A3384"/>
    <w:rsid w:val="3BAF06D6"/>
    <w:rsid w:val="3BC9BE56"/>
    <w:rsid w:val="3C2B848A"/>
    <w:rsid w:val="3C65FB33"/>
    <w:rsid w:val="3C8B5294"/>
    <w:rsid w:val="3C908E7E"/>
    <w:rsid w:val="3CCE5E7E"/>
    <w:rsid w:val="3D12B6BE"/>
    <w:rsid w:val="3D18DA18"/>
    <w:rsid w:val="3D28E49F"/>
    <w:rsid w:val="3D5CB581"/>
    <w:rsid w:val="3D637FEB"/>
    <w:rsid w:val="3D9B2097"/>
    <w:rsid w:val="3DA3DCF1"/>
    <w:rsid w:val="3DC120A9"/>
    <w:rsid w:val="3DDDFD1C"/>
    <w:rsid w:val="3DE6B9E2"/>
    <w:rsid w:val="3E7EC4EF"/>
    <w:rsid w:val="3EE7E3F9"/>
    <w:rsid w:val="3EE81B93"/>
    <w:rsid w:val="3EF384DD"/>
    <w:rsid w:val="3EF59FC9"/>
    <w:rsid w:val="3EF91D0D"/>
    <w:rsid w:val="3F088679"/>
    <w:rsid w:val="3F8B8CB7"/>
    <w:rsid w:val="3FB2C3FC"/>
    <w:rsid w:val="3FCC3910"/>
    <w:rsid w:val="3FFC99D4"/>
    <w:rsid w:val="3FFEB72B"/>
    <w:rsid w:val="402377BE"/>
    <w:rsid w:val="4053E4DD"/>
    <w:rsid w:val="409ABB71"/>
    <w:rsid w:val="411C5B71"/>
    <w:rsid w:val="411D3200"/>
    <w:rsid w:val="4124A11B"/>
    <w:rsid w:val="4169ACDC"/>
    <w:rsid w:val="41C20DBF"/>
    <w:rsid w:val="41C6EE8C"/>
    <w:rsid w:val="41D2C803"/>
    <w:rsid w:val="4219A7F5"/>
    <w:rsid w:val="42730D50"/>
    <w:rsid w:val="428B7F08"/>
    <w:rsid w:val="42E3A925"/>
    <w:rsid w:val="42E3D2D6"/>
    <w:rsid w:val="4334DB4F"/>
    <w:rsid w:val="43357A22"/>
    <w:rsid w:val="43366333"/>
    <w:rsid w:val="43AB74E7"/>
    <w:rsid w:val="43BB1958"/>
    <w:rsid w:val="43CEA4A9"/>
    <w:rsid w:val="440D72FB"/>
    <w:rsid w:val="443BD5BF"/>
    <w:rsid w:val="443BE070"/>
    <w:rsid w:val="445CF482"/>
    <w:rsid w:val="4463B0A6"/>
    <w:rsid w:val="446E0B79"/>
    <w:rsid w:val="44DAB8C8"/>
    <w:rsid w:val="44E36200"/>
    <w:rsid w:val="44F85AC3"/>
    <w:rsid w:val="45229F67"/>
    <w:rsid w:val="45477A5C"/>
    <w:rsid w:val="457A8C0A"/>
    <w:rsid w:val="45B3ED3D"/>
    <w:rsid w:val="45BD4870"/>
    <w:rsid w:val="45CA9D2F"/>
    <w:rsid w:val="45E152A8"/>
    <w:rsid w:val="45F8EF49"/>
    <w:rsid w:val="45F96352"/>
    <w:rsid w:val="46169257"/>
    <w:rsid w:val="46291B5D"/>
    <w:rsid w:val="4631761A"/>
    <w:rsid w:val="4677AE45"/>
    <w:rsid w:val="4686C337"/>
    <w:rsid w:val="47180A13"/>
    <w:rsid w:val="4725DC15"/>
    <w:rsid w:val="473E89C9"/>
    <w:rsid w:val="4743D690"/>
    <w:rsid w:val="476A1238"/>
    <w:rsid w:val="47C6F06E"/>
    <w:rsid w:val="47F995BC"/>
    <w:rsid w:val="4841301B"/>
    <w:rsid w:val="4898AB53"/>
    <w:rsid w:val="48FD08F0"/>
    <w:rsid w:val="490F18BE"/>
    <w:rsid w:val="491543E5"/>
    <w:rsid w:val="493F1CE9"/>
    <w:rsid w:val="494011A4"/>
    <w:rsid w:val="494C7858"/>
    <w:rsid w:val="495AD47A"/>
    <w:rsid w:val="49CFD7C6"/>
    <w:rsid w:val="49F5E48C"/>
    <w:rsid w:val="4A0B546E"/>
    <w:rsid w:val="4B1F4809"/>
    <w:rsid w:val="4B5DBF33"/>
    <w:rsid w:val="4BE4DAA8"/>
    <w:rsid w:val="4BF7A83A"/>
    <w:rsid w:val="4C17B083"/>
    <w:rsid w:val="4C9C4777"/>
    <w:rsid w:val="4D1395BB"/>
    <w:rsid w:val="4D3C8387"/>
    <w:rsid w:val="4D49A40B"/>
    <w:rsid w:val="4D5D043D"/>
    <w:rsid w:val="4D62B2E5"/>
    <w:rsid w:val="4D6B55D4"/>
    <w:rsid w:val="4D795630"/>
    <w:rsid w:val="4E0CCAF3"/>
    <w:rsid w:val="4E0EDD25"/>
    <w:rsid w:val="4E133E7C"/>
    <w:rsid w:val="4E7155D3"/>
    <w:rsid w:val="4E86C422"/>
    <w:rsid w:val="4E890CA6"/>
    <w:rsid w:val="4E9B47D1"/>
    <w:rsid w:val="4F02F063"/>
    <w:rsid w:val="4F07976B"/>
    <w:rsid w:val="4F441F98"/>
    <w:rsid w:val="4F51FA8E"/>
    <w:rsid w:val="4F625DD9"/>
    <w:rsid w:val="4F7058EE"/>
    <w:rsid w:val="4F94F534"/>
    <w:rsid w:val="4F988541"/>
    <w:rsid w:val="4FADCAEC"/>
    <w:rsid w:val="4FB2FB6A"/>
    <w:rsid w:val="4FB629B0"/>
    <w:rsid w:val="502103F8"/>
    <w:rsid w:val="5117950F"/>
    <w:rsid w:val="511BE586"/>
    <w:rsid w:val="511C80CD"/>
    <w:rsid w:val="512E777A"/>
    <w:rsid w:val="513A0F8E"/>
    <w:rsid w:val="5140F3BF"/>
    <w:rsid w:val="51475ECA"/>
    <w:rsid w:val="5156EC8A"/>
    <w:rsid w:val="51A06177"/>
    <w:rsid w:val="51A939F2"/>
    <w:rsid w:val="51A9E156"/>
    <w:rsid w:val="51E1D1DC"/>
    <w:rsid w:val="51E4EFDF"/>
    <w:rsid w:val="5202A114"/>
    <w:rsid w:val="5260F49D"/>
    <w:rsid w:val="526B7F9E"/>
    <w:rsid w:val="526F739B"/>
    <w:rsid w:val="52A524FB"/>
    <w:rsid w:val="52A63C50"/>
    <w:rsid w:val="52CD3324"/>
    <w:rsid w:val="52D7F551"/>
    <w:rsid w:val="533B757E"/>
    <w:rsid w:val="535166D1"/>
    <w:rsid w:val="5391D80B"/>
    <w:rsid w:val="53C821A7"/>
    <w:rsid w:val="541E37BC"/>
    <w:rsid w:val="54ADF61C"/>
    <w:rsid w:val="54BC7187"/>
    <w:rsid w:val="54BF89EC"/>
    <w:rsid w:val="54EF5BA9"/>
    <w:rsid w:val="559C30DE"/>
    <w:rsid w:val="55A1ADDF"/>
    <w:rsid w:val="55BCD7FE"/>
    <w:rsid w:val="55BEECF3"/>
    <w:rsid w:val="5601381F"/>
    <w:rsid w:val="562EDC49"/>
    <w:rsid w:val="56404704"/>
    <w:rsid w:val="564761C7"/>
    <w:rsid w:val="567AEDD4"/>
    <w:rsid w:val="56E897B2"/>
    <w:rsid w:val="56EFC96D"/>
    <w:rsid w:val="571D30D9"/>
    <w:rsid w:val="5759DF45"/>
    <w:rsid w:val="57ABED0F"/>
    <w:rsid w:val="57B444CC"/>
    <w:rsid w:val="57BC3E20"/>
    <w:rsid w:val="57D03911"/>
    <w:rsid w:val="57F9328B"/>
    <w:rsid w:val="57FAB264"/>
    <w:rsid w:val="5833DBAA"/>
    <w:rsid w:val="589A5476"/>
    <w:rsid w:val="58BEEF00"/>
    <w:rsid w:val="58D62696"/>
    <w:rsid w:val="58F1BCF0"/>
    <w:rsid w:val="59028E7D"/>
    <w:rsid w:val="59088696"/>
    <w:rsid w:val="59739388"/>
    <w:rsid w:val="597662A1"/>
    <w:rsid w:val="5988B865"/>
    <w:rsid w:val="59E42EDD"/>
    <w:rsid w:val="5A087705"/>
    <w:rsid w:val="5A247A4A"/>
    <w:rsid w:val="5A31442B"/>
    <w:rsid w:val="5A3311F7"/>
    <w:rsid w:val="5A4A1580"/>
    <w:rsid w:val="5A80A09D"/>
    <w:rsid w:val="5B1A227F"/>
    <w:rsid w:val="5B388058"/>
    <w:rsid w:val="5B479615"/>
    <w:rsid w:val="5B4F8948"/>
    <w:rsid w:val="5B782E3A"/>
    <w:rsid w:val="5B79B101"/>
    <w:rsid w:val="5B81FCFE"/>
    <w:rsid w:val="5BDB717C"/>
    <w:rsid w:val="5BFE6B42"/>
    <w:rsid w:val="5BFF05AA"/>
    <w:rsid w:val="5C42D60E"/>
    <w:rsid w:val="5C6EC4B8"/>
    <w:rsid w:val="5C8F796E"/>
    <w:rsid w:val="5CA6C914"/>
    <w:rsid w:val="5D293F12"/>
    <w:rsid w:val="5D3F1713"/>
    <w:rsid w:val="5D54E802"/>
    <w:rsid w:val="5D7DE428"/>
    <w:rsid w:val="5D7F452F"/>
    <w:rsid w:val="5DC61941"/>
    <w:rsid w:val="5E69FDF1"/>
    <w:rsid w:val="5E8322BC"/>
    <w:rsid w:val="5E8964B6"/>
    <w:rsid w:val="5ED90A32"/>
    <w:rsid w:val="5F140CA6"/>
    <w:rsid w:val="5F37F404"/>
    <w:rsid w:val="5F7F543A"/>
    <w:rsid w:val="6030ED61"/>
    <w:rsid w:val="60335CBB"/>
    <w:rsid w:val="606EC7C8"/>
    <w:rsid w:val="6077BC46"/>
    <w:rsid w:val="60997B24"/>
    <w:rsid w:val="609EA443"/>
    <w:rsid w:val="60CD1FB3"/>
    <w:rsid w:val="60EC78AD"/>
    <w:rsid w:val="612AC78D"/>
    <w:rsid w:val="6132B044"/>
    <w:rsid w:val="6137AC9B"/>
    <w:rsid w:val="6147124E"/>
    <w:rsid w:val="618400BC"/>
    <w:rsid w:val="618495B5"/>
    <w:rsid w:val="61B30811"/>
    <w:rsid w:val="61EC28A0"/>
    <w:rsid w:val="622B094A"/>
    <w:rsid w:val="624BCF04"/>
    <w:rsid w:val="626EAA32"/>
    <w:rsid w:val="628424BF"/>
    <w:rsid w:val="62A64183"/>
    <w:rsid w:val="62AD7FED"/>
    <w:rsid w:val="62CEC08D"/>
    <w:rsid w:val="633BF037"/>
    <w:rsid w:val="6395A930"/>
    <w:rsid w:val="63D6293D"/>
    <w:rsid w:val="6423062D"/>
    <w:rsid w:val="64320B94"/>
    <w:rsid w:val="646B4F17"/>
    <w:rsid w:val="646E3E56"/>
    <w:rsid w:val="647DDE05"/>
    <w:rsid w:val="648F2270"/>
    <w:rsid w:val="64A46751"/>
    <w:rsid w:val="64D09AA0"/>
    <w:rsid w:val="64E2EC35"/>
    <w:rsid w:val="6508D11A"/>
    <w:rsid w:val="650D3F66"/>
    <w:rsid w:val="653C705C"/>
    <w:rsid w:val="659606A6"/>
    <w:rsid w:val="65A6039E"/>
    <w:rsid w:val="65BB4B52"/>
    <w:rsid w:val="66270988"/>
    <w:rsid w:val="666B81BF"/>
    <w:rsid w:val="6676670B"/>
    <w:rsid w:val="667B8697"/>
    <w:rsid w:val="668C7AB7"/>
    <w:rsid w:val="66E4251A"/>
    <w:rsid w:val="66E7E735"/>
    <w:rsid w:val="66EAA979"/>
    <w:rsid w:val="672C4C04"/>
    <w:rsid w:val="673E538D"/>
    <w:rsid w:val="674BA8DA"/>
    <w:rsid w:val="675A70E7"/>
    <w:rsid w:val="67B11EDB"/>
    <w:rsid w:val="67C150FB"/>
    <w:rsid w:val="67D22C31"/>
    <w:rsid w:val="67D84449"/>
    <w:rsid w:val="67F408F2"/>
    <w:rsid w:val="67F96ED5"/>
    <w:rsid w:val="68039531"/>
    <w:rsid w:val="68043140"/>
    <w:rsid w:val="681494A7"/>
    <w:rsid w:val="6833D893"/>
    <w:rsid w:val="687C4D26"/>
    <w:rsid w:val="68A9855A"/>
    <w:rsid w:val="68D434AC"/>
    <w:rsid w:val="6909CD67"/>
    <w:rsid w:val="69111902"/>
    <w:rsid w:val="6914FD16"/>
    <w:rsid w:val="692E7971"/>
    <w:rsid w:val="69525106"/>
    <w:rsid w:val="6A005744"/>
    <w:rsid w:val="6A2A99AA"/>
    <w:rsid w:val="6AA0A7B0"/>
    <w:rsid w:val="6AB01752"/>
    <w:rsid w:val="6AB0D8DE"/>
    <w:rsid w:val="6AB9677E"/>
    <w:rsid w:val="6AFC676C"/>
    <w:rsid w:val="6B0CF7D9"/>
    <w:rsid w:val="6B28DA90"/>
    <w:rsid w:val="6B5ADDE8"/>
    <w:rsid w:val="6B94A45E"/>
    <w:rsid w:val="6BBD6B54"/>
    <w:rsid w:val="6C130663"/>
    <w:rsid w:val="6C31EAC6"/>
    <w:rsid w:val="6C3D1D5F"/>
    <w:rsid w:val="6C8F8364"/>
    <w:rsid w:val="6C9151EB"/>
    <w:rsid w:val="6CABFA6E"/>
    <w:rsid w:val="6CF02308"/>
    <w:rsid w:val="6D17F223"/>
    <w:rsid w:val="6D254528"/>
    <w:rsid w:val="6D5334EF"/>
    <w:rsid w:val="6D866F1E"/>
    <w:rsid w:val="6D9C7C99"/>
    <w:rsid w:val="6DD12AE4"/>
    <w:rsid w:val="6DDB841B"/>
    <w:rsid w:val="6DF787B9"/>
    <w:rsid w:val="6E01E383"/>
    <w:rsid w:val="6E177B30"/>
    <w:rsid w:val="6E341890"/>
    <w:rsid w:val="6EBF415D"/>
    <w:rsid w:val="6EE1189E"/>
    <w:rsid w:val="6EFF83A2"/>
    <w:rsid w:val="6F09F6CF"/>
    <w:rsid w:val="6F0B6C44"/>
    <w:rsid w:val="6F13265E"/>
    <w:rsid w:val="6F1C8A5F"/>
    <w:rsid w:val="6F328731"/>
    <w:rsid w:val="6F56BC55"/>
    <w:rsid w:val="6F7335CA"/>
    <w:rsid w:val="6FA8DA59"/>
    <w:rsid w:val="6FB31C2B"/>
    <w:rsid w:val="6FC64499"/>
    <w:rsid w:val="6FE1CBB1"/>
    <w:rsid w:val="6FED068A"/>
    <w:rsid w:val="6FF237F7"/>
    <w:rsid w:val="70620B0D"/>
    <w:rsid w:val="70BADE4C"/>
    <w:rsid w:val="710422D6"/>
    <w:rsid w:val="7166910D"/>
    <w:rsid w:val="717BC75F"/>
    <w:rsid w:val="71BBFDE3"/>
    <w:rsid w:val="71CCB6DF"/>
    <w:rsid w:val="71E173C9"/>
    <w:rsid w:val="71F1D78A"/>
    <w:rsid w:val="71F218A9"/>
    <w:rsid w:val="723981F6"/>
    <w:rsid w:val="725B02B2"/>
    <w:rsid w:val="72883B0D"/>
    <w:rsid w:val="72A7E584"/>
    <w:rsid w:val="72D2131A"/>
    <w:rsid w:val="72FA48C9"/>
    <w:rsid w:val="72FF8B03"/>
    <w:rsid w:val="734F3B70"/>
    <w:rsid w:val="73F6548E"/>
    <w:rsid w:val="74595C49"/>
    <w:rsid w:val="7468B8BD"/>
    <w:rsid w:val="748B5D52"/>
    <w:rsid w:val="74A79911"/>
    <w:rsid w:val="74AC44F8"/>
    <w:rsid w:val="74C4B4A5"/>
    <w:rsid w:val="74CB091C"/>
    <w:rsid w:val="74CD6E61"/>
    <w:rsid w:val="74D7C38B"/>
    <w:rsid w:val="74DE3E1A"/>
    <w:rsid w:val="74F393D5"/>
    <w:rsid w:val="7515F500"/>
    <w:rsid w:val="751D8651"/>
    <w:rsid w:val="7521F498"/>
    <w:rsid w:val="7538C624"/>
    <w:rsid w:val="75B618A6"/>
    <w:rsid w:val="75CCCDEA"/>
    <w:rsid w:val="75DF999D"/>
    <w:rsid w:val="75E4B598"/>
    <w:rsid w:val="75F40A63"/>
    <w:rsid w:val="75F56D43"/>
    <w:rsid w:val="762119DD"/>
    <w:rsid w:val="764B0712"/>
    <w:rsid w:val="7664964B"/>
    <w:rsid w:val="76663CE7"/>
    <w:rsid w:val="767521C0"/>
    <w:rsid w:val="76C08C61"/>
    <w:rsid w:val="76D27E79"/>
    <w:rsid w:val="76E7F30C"/>
    <w:rsid w:val="77054416"/>
    <w:rsid w:val="771D6D80"/>
    <w:rsid w:val="776241B4"/>
    <w:rsid w:val="77735EC5"/>
    <w:rsid w:val="7784ECB4"/>
    <w:rsid w:val="77993A63"/>
    <w:rsid w:val="779C1CF7"/>
    <w:rsid w:val="77B01A91"/>
    <w:rsid w:val="77C633BC"/>
    <w:rsid w:val="77D94955"/>
    <w:rsid w:val="77DEF94B"/>
    <w:rsid w:val="77ECB820"/>
    <w:rsid w:val="77EF3BAB"/>
    <w:rsid w:val="77F2E74C"/>
    <w:rsid w:val="783CB609"/>
    <w:rsid w:val="7860B386"/>
    <w:rsid w:val="78BED528"/>
    <w:rsid w:val="794E148B"/>
    <w:rsid w:val="79548EA3"/>
    <w:rsid w:val="795A91AC"/>
    <w:rsid w:val="799A6FBF"/>
    <w:rsid w:val="79E4D5EE"/>
    <w:rsid w:val="79FD3A7A"/>
    <w:rsid w:val="7A23656C"/>
    <w:rsid w:val="7A48E868"/>
    <w:rsid w:val="7A7FF504"/>
    <w:rsid w:val="7AFCCA2B"/>
    <w:rsid w:val="7B20A0A0"/>
    <w:rsid w:val="7B43BFC8"/>
    <w:rsid w:val="7B4B9CB0"/>
    <w:rsid w:val="7B4E2F68"/>
    <w:rsid w:val="7B6A4EC9"/>
    <w:rsid w:val="7B6A9483"/>
    <w:rsid w:val="7B8A59D4"/>
    <w:rsid w:val="7BAB8E6A"/>
    <w:rsid w:val="7BC130AB"/>
    <w:rsid w:val="7BD3A616"/>
    <w:rsid w:val="7BFC6FE7"/>
    <w:rsid w:val="7C20AF55"/>
    <w:rsid w:val="7C230B88"/>
    <w:rsid w:val="7CA61C1C"/>
    <w:rsid w:val="7CE33F42"/>
    <w:rsid w:val="7D5C483F"/>
    <w:rsid w:val="7D6106F1"/>
    <w:rsid w:val="7E1264A0"/>
    <w:rsid w:val="7E208DBB"/>
    <w:rsid w:val="7E48CB73"/>
    <w:rsid w:val="7E71DEBE"/>
    <w:rsid w:val="7E724AD5"/>
    <w:rsid w:val="7E8EE742"/>
    <w:rsid w:val="7EB14372"/>
    <w:rsid w:val="7EFF0A6A"/>
    <w:rsid w:val="7F485572"/>
    <w:rsid w:val="7F48775E"/>
    <w:rsid w:val="7F7C5216"/>
    <w:rsid w:val="7FB53413"/>
    <w:rsid w:val="7FB6146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D71C838-5171-4A54-A1C6-A7AFB4C9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92045"/>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9204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92045"/>
    <w:pPr>
      <w:numPr>
        <w:numId w:val="1"/>
      </w:numPr>
      <w:tabs>
        <w:tab w:val="clear" w:pos="1134"/>
      </w:tabs>
      <w:ind w:left="0" w:firstLine="0"/>
    </w:pPr>
    <w:rPr>
      <w:rFonts w:eastAsia="Times New Roman"/>
      <w:lang w:eastAsia="de-DE"/>
    </w:rPr>
  </w:style>
  <w:style w:type="paragraph" w:customStyle="1" w:styleId="ListDash">
    <w:name w:val="List Dash"/>
    <w:basedOn w:val="Normal"/>
    <w:rsid w:val="00192045"/>
    <w:pPr>
      <w:numPr>
        <w:numId w:val="3"/>
      </w:numPr>
      <w:tabs>
        <w:tab w:val="clear" w:pos="283"/>
      </w:tabs>
      <w:ind w:left="0" w:firstLine="0"/>
    </w:pPr>
    <w:rPr>
      <w:rFonts w:eastAsia="Times New Roman"/>
      <w:lang w:eastAsia="de-DE"/>
    </w:rPr>
  </w:style>
  <w:style w:type="paragraph" w:customStyle="1" w:styleId="ListDash1">
    <w:name w:val="List Dash 1"/>
    <w:basedOn w:val="Normal"/>
    <w:rsid w:val="00192045"/>
    <w:pPr>
      <w:numPr>
        <w:numId w:val="4"/>
      </w:numPr>
      <w:tabs>
        <w:tab w:val="clear" w:pos="1134"/>
      </w:tabs>
      <w:ind w:left="0" w:firstLine="0"/>
    </w:pPr>
    <w:rPr>
      <w:rFonts w:eastAsia="Times New Roman"/>
      <w:lang w:eastAsia="de-DE"/>
    </w:rPr>
  </w:style>
  <w:style w:type="paragraph" w:customStyle="1" w:styleId="ListDash2">
    <w:name w:val="List Dash 2"/>
    <w:basedOn w:val="Normal"/>
    <w:rsid w:val="0019204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9204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9204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92045"/>
    <w:pPr>
      <w:numPr>
        <w:ilvl w:val="3"/>
        <w:numId w:val="6"/>
      </w:numPr>
      <w:tabs>
        <w:tab w:val="clear" w:pos="2835"/>
      </w:tabs>
      <w:ind w:left="0" w:firstLine="0"/>
    </w:pPr>
    <w:rPr>
      <w:rFonts w:eastAsia="Times New Roman"/>
      <w:lang w:eastAsia="de-DE"/>
    </w:rPr>
  </w:style>
  <w:style w:type="table" w:styleId="TableGrid">
    <w:name w:val="Table Grid"/>
    <w:basedOn w:val="TableNormal"/>
    <w:rsid w:val="0019204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92045"/>
    <w:rPr>
      <w:color w:val="0000FF"/>
      <w:u w:val="single"/>
    </w:rPr>
  </w:style>
  <w:style w:type="paragraph" w:styleId="ListBullet">
    <w:name w:val="List Bullet"/>
    <w:basedOn w:val="Normal"/>
    <w:rsid w:val="00192045"/>
    <w:pPr>
      <w:numPr>
        <w:numId w:val="7"/>
      </w:numPr>
      <w:tabs>
        <w:tab w:val="clear" w:pos="283"/>
      </w:tabs>
      <w:ind w:left="0" w:firstLine="0"/>
    </w:pPr>
    <w:rPr>
      <w:rFonts w:eastAsia="Times New Roman"/>
      <w:lang w:eastAsia="en-GB"/>
    </w:rPr>
  </w:style>
  <w:style w:type="paragraph" w:styleId="ListBullet2">
    <w:name w:val="List Bullet 2"/>
    <w:basedOn w:val="Normal"/>
    <w:rsid w:val="00192045"/>
    <w:pPr>
      <w:numPr>
        <w:numId w:val="8"/>
      </w:numPr>
      <w:tabs>
        <w:tab w:val="clear" w:pos="1134"/>
      </w:tabs>
      <w:ind w:left="0" w:firstLine="0"/>
    </w:pPr>
    <w:rPr>
      <w:rFonts w:eastAsia="Times New Roman"/>
      <w:lang w:eastAsia="en-GB"/>
    </w:rPr>
  </w:style>
  <w:style w:type="paragraph" w:styleId="ListBullet3">
    <w:name w:val="List Bullet 3"/>
    <w:basedOn w:val="Normal"/>
    <w:rsid w:val="00192045"/>
    <w:pPr>
      <w:numPr>
        <w:numId w:val="9"/>
      </w:numPr>
      <w:tabs>
        <w:tab w:val="clear" w:pos="1134"/>
      </w:tabs>
      <w:ind w:left="0" w:firstLine="0"/>
    </w:pPr>
    <w:rPr>
      <w:rFonts w:eastAsia="Times New Roman"/>
      <w:lang w:eastAsia="en-GB"/>
    </w:rPr>
  </w:style>
  <w:style w:type="paragraph" w:styleId="ListNumber2">
    <w:name w:val="List Number 2"/>
    <w:basedOn w:val="Normal"/>
    <w:rsid w:val="00192045"/>
    <w:pPr>
      <w:numPr>
        <w:numId w:val="13"/>
      </w:numPr>
      <w:tabs>
        <w:tab w:val="clear" w:pos="1560"/>
      </w:tabs>
      <w:ind w:left="0" w:firstLine="0"/>
    </w:pPr>
    <w:rPr>
      <w:rFonts w:eastAsia="Times New Roman"/>
      <w:lang w:eastAsia="en-GB"/>
    </w:rPr>
  </w:style>
  <w:style w:type="paragraph" w:styleId="ListNumber3">
    <w:name w:val="List Number 3"/>
    <w:basedOn w:val="Normal"/>
    <w:rsid w:val="00192045"/>
    <w:pPr>
      <w:numPr>
        <w:numId w:val="14"/>
      </w:numPr>
      <w:tabs>
        <w:tab w:val="clear" w:pos="1560"/>
      </w:tabs>
      <w:ind w:left="0" w:firstLine="0"/>
    </w:pPr>
    <w:rPr>
      <w:rFonts w:eastAsia="Times New Roman"/>
      <w:lang w:eastAsia="en-GB"/>
    </w:rPr>
  </w:style>
  <w:style w:type="paragraph" w:styleId="ListNumber4">
    <w:name w:val="List Number 4"/>
    <w:basedOn w:val="Normal"/>
    <w:rsid w:val="00192045"/>
    <w:pPr>
      <w:numPr>
        <w:numId w:val="15"/>
      </w:numPr>
      <w:tabs>
        <w:tab w:val="clear" w:pos="1560"/>
      </w:tabs>
      <w:ind w:left="0" w:firstLine="0"/>
    </w:pPr>
    <w:rPr>
      <w:rFonts w:eastAsia="Times New Roman"/>
      <w:lang w:eastAsia="en-GB"/>
    </w:rPr>
  </w:style>
  <w:style w:type="paragraph" w:customStyle="1" w:styleId="ListDash3">
    <w:name w:val="List Dash 3"/>
    <w:basedOn w:val="Normal"/>
    <w:rsid w:val="00192045"/>
    <w:pPr>
      <w:numPr>
        <w:numId w:val="10"/>
      </w:numPr>
      <w:tabs>
        <w:tab w:val="clear" w:pos="1134"/>
      </w:tabs>
      <w:ind w:left="0" w:firstLine="0"/>
    </w:pPr>
    <w:rPr>
      <w:rFonts w:eastAsia="Times New Roman"/>
      <w:lang w:eastAsia="en-GB"/>
    </w:rPr>
  </w:style>
  <w:style w:type="paragraph" w:customStyle="1" w:styleId="ListDash4">
    <w:name w:val="List Dash 4"/>
    <w:basedOn w:val="Normal"/>
    <w:rsid w:val="00192045"/>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9204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9204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9204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9204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92045"/>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9204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9204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9204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92045"/>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9204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9204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9204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92045"/>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92045"/>
    <w:pPr>
      <w:jc w:val="center"/>
    </w:pPr>
    <w:rPr>
      <w:rFonts w:eastAsia="Times New Roman"/>
      <w:b/>
      <w:u w:val="single"/>
      <w:lang w:eastAsia="en-GB"/>
    </w:rPr>
  </w:style>
  <w:style w:type="paragraph" w:customStyle="1" w:styleId="Annexetitreexposglobal">
    <w:name w:val="Annexe titre (exposé global)"/>
    <w:basedOn w:val="Normal"/>
    <w:next w:val="Normal"/>
    <w:rsid w:val="00192045"/>
    <w:pPr>
      <w:jc w:val="center"/>
    </w:pPr>
    <w:rPr>
      <w:rFonts w:eastAsia="Times New Roman"/>
      <w:b/>
      <w:u w:val="single"/>
      <w:lang w:eastAsia="en-GB"/>
    </w:rPr>
  </w:style>
  <w:style w:type="paragraph" w:customStyle="1" w:styleId="Annexetitrefichefinacte">
    <w:name w:val="Annexe titre (fiche fin. acte)"/>
    <w:basedOn w:val="Normal"/>
    <w:next w:val="Normal"/>
    <w:rsid w:val="00192045"/>
    <w:pPr>
      <w:jc w:val="center"/>
    </w:pPr>
    <w:rPr>
      <w:rFonts w:eastAsia="Times New Roman"/>
      <w:b/>
      <w:u w:val="single"/>
      <w:lang w:eastAsia="en-GB"/>
    </w:rPr>
  </w:style>
  <w:style w:type="paragraph" w:customStyle="1" w:styleId="Annexetitrefichefinglobale">
    <w:name w:val="Annexe titre (fiche fin. globale)"/>
    <w:basedOn w:val="Normal"/>
    <w:next w:val="Normal"/>
    <w:rsid w:val="00192045"/>
    <w:pPr>
      <w:jc w:val="center"/>
    </w:pPr>
    <w:rPr>
      <w:rFonts w:eastAsia="Times New Roman"/>
      <w:b/>
      <w:u w:val="single"/>
      <w:lang w:eastAsia="en-GB"/>
    </w:rPr>
  </w:style>
  <w:style w:type="paragraph" w:customStyle="1" w:styleId="Annexetitreglobale">
    <w:name w:val="Annexe titre (globale)"/>
    <w:basedOn w:val="Normal"/>
    <w:next w:val="Normal"/>
    <w:rsid w:val="00192045"/>
    <w:pPr>
      <w:jc w:val="center"/>
    </w:pPr>
    <w:rPr>
      <w:rFonts w:eastAsia="Times New Roman"/>
      <w:b/>
      <w:u w:val="single"/>
      <w:lang w:eastAsia="en-GB"/>
    </w:rPr>
  </w:style>
  <w:style w:type="paragraph" w:customStyle="1" w:styleId="Exposdesmotifstitreglobal">
    <w:name w:val="Exposé des motifs titre (global)"/>
    <w:basedOn w:val="Normal"/>
    <w:next w:val="Normal"/>
    <w:rsid w:val="00192045"/>
    <w:pPr>
      <w:jc w:val="center"/>
    </w:pPr>
    <w:rPr>
      <w:rFonts w:eastAsia="Times New Roman"/>
      <w:b/>
      <w:u w:val="single"/>
      <w:lang w:eastAsia="en-GB"/>
    </w:rPr>
  </w:style>
  <w:style w:type="paragraph" w:customStyle="1" w:styleId="Langueoriginale">
    <w:name w:val="Langue originale"/>
    <w:basedOn w:val="Normal"/>
    <w:rsid w:val="00192045"/>
    <w:pPr>
      <w:spacing w:before="360"/>
      <w:jc w:val="center"/>
    </w:pPr>
    <w:rPr>
      <w:rFonts w:eastAsia="Times New Roman"/>
      <w:caps/>
      <w:lang w:eastAsia="en-GB"/>
    </w:rPr>
  </w:style>
  <w:style w:type="paragraph" w:customStyle="1" w:styleId="Phrasefinale">
    <w:name w:val="Phrase finale"/>
    <w:basedOn w:val="Normal"/>
    <w:next w:val="Normal"/>
    <w:rsid w:val="00192045"/>
    <w:pPr>
      <w:spacing w:before="360" w:after="0"/>
      <w:jc w:val="center"/>
    </w:pPr>
    <w:rPr>
      <w:rFonts w:eastAsia="Times New Roman"/>
      <w:lang w:eastAsia="en-GB"/>
    </w:rPr>
  </w:style>
  <w:style w:type="paragraph" w:customStyle="1" w:styleId="Prliminairetitre">
    <w:name w:val="Préliminaire titre"/>
    <w:basedOn w:val="Normal"/>
    <w:next w:val="Normal"/>
    <w:rsid w:val="00192045"/>
    <w:pPr>
      <w:spacing w:before="360" w:after="360"/>
      <w:jc w:val="center"/>
    </w:pPr>
    <w:rPr>
      <w:rFonts w:eastAsia="Times New Roman"/>
      <w:b/>
      <w:lang w:eastAsia="en-GB"/>
    </w:rPr>
  </w:style>
  <w:style w:type="paragraph" w:customStyle="1" w:styleId="Prliminairetype">
    <w:name w:val="Préliminaire type"/>
    <w:basedOn w:val="Normal"/>
    <w:next w:val="Normal"/>
    <w:rsid w:val="0019204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9204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9204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92045"/>
    <w:pPr>
      <w:spacing w:before="0" w:after="0"/>
      <w:ind w:left="5103"/>
      <w:jc w:val="left"/>
    </w:pPr>
    <w:rPr>
      <w:rFonts w:eastAsia="Times New Roman"/>
      <w:lang w:eastAsia="en-GB"/>
    </w:rPr>
  </w:style>
  <w:style w:type="paragraph" w:customStyle="1" w:styleId="Sous-titreobjetprliminaire">
    <w:name w:val="Sous-titre objet (préliminaire)"/>
    <w:basedOn w:val="Normal"/>
    <w:rsid w:val="00192045"/>
    <w:pPr>
      <w:spacing w:before="0" w:after="0"/>
      <w:jc w:val="center"/>
    </w:pPr>
    <w:rPr>
      <w:rFonts w:eastAsia="Times New Roman"/>
      <w:b/>
      <w:lang w:eastAsia="en-GB"/>
    </w:rPr>
  </w:style>
  <w:style w:type="paragraph" w:customStyle="1" w:styleId="Statutprliminaire">
    <w:name w:val="Statut (préliminaire)"/>
    <w:basedOn w:val="Normal"/>
    <w:next w:val="Normal"/>
    <w:rsid w:val="00192045"/>
    <w:pPr>
      <w:spacing w:before="360" w:after="0"/>
      <w:jc w:val="center"/>
    </w:pPr>
    <w:rPr>
      <w:rFonts w:eastAsia="Times New Roman"/>
      <w:lang w:eastAsia="en-GB"/>
    </w:rPr>
  </w:style>
  <w:style w:type="paragraph" w:customStyle="1" w:styleId="Titreobjetprliminaire">
    <w:name w:val="Titre objet (préliminaire)"/>
    <w:basedOn w:val="Normal"/>
    <w:next w:val="Normal"/>
    <w:rsid w:val="0019204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9204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9204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92045"/>
    <w:pPr>
      <w:jc w:val="center"/>
    </w:pPr>
    <w:rPr>
      <w:rFonts w:eastAsia="Times New Roman"/>
      <w:b/>
      <w:u w:val="single"/>
      <w:lang w:eastAsia="en-GB"/>
    </w:rPr>
  </w:style>
  <w:style w:type="paragraph" w:customStyle="1" w:styleId="Fichefinanciretravailtitre">
    <w:name w:val="Fiche financière (travail) titre"/>
    <w:basedOn w:val="Normal"/>
    <w:next w:val="Normal"/>
    <w:rsid w:val="0019204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9204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9204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92045"/>
    <w:pPr>
      <w:jc w:val="center"/>
    </w:pPr>
    <w:rPr>
      <w:rFonts w:eastAsia="Times New Roman"/>
      <w:b/>
      <w:u w:val="single"/>
      <w:lang w:eastAsia="en-GB"/>
    </w:rPr>
  </w:style>
  <w:style w:type="character" w:styleId="CommentReference">
    <w:name w:val="annotation reference"/>
    <w:rsid w:val="00192045"/>
    <w:rPr>
      <w:rFonts w:cs="Times New Roman"/>
      <w:sz w:val="16"/>
      <w:szCs w:val="16"/>
    </w:rPr>
  </w:style>
  <w:style w:type="paragraph" w:styleId="CommentText">
    <w:name w:val="annotation text"/>
    <w:basedOn w:val="Normal"/>
    <w:link w:val="CommentTextChar"/>
    <w:rsid w:val="00192045"/>
    <w:rPr>
      <w:rFonts w:eastAsia="Times New Roman"/>
      <w:sz w:val="20"/>
      <w:szCs w:val="20"/>
      <w:lang w:eastAsia="en-GB"/>
    </w:rPr>
  </w:style>
  <w:style w:type="character" w:customStyle="1" w:styleId="CommentTextChar">
    <w:name w:val="Comment Text Char"/>
    <w:basedOn w:val="DefaultParagraphFont"/>
    <w:link w:val="CommentText"/>
    <w:rsid w:val="00192045"/>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192045"/>
    <w:rPr>
      <w:b/>
      <w:bCs/>
    </w:rPr>
  </w:style>
  <w:style w:type="character" w:customStyle="1" w:styleId="CommentSubjectChar">
    <w:name w:val="Comment Subject Char"/>
    <w:basedOn w:val="CommentTextChar"/>
    <w:link w:val="CommentSubject"/>
    <w:rsid w:val="00192045"/>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192045"/>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92045"/>
    <w:rPr>
      <w:rFonts w:ascii="Tahoma" w:eastAsia="Times New Roman" w:hAnsi="Tahoma" w:cs="Tahoma"/>
      <w:sz w:val="16"/>
      <w:szCs w:val="16"/>
      <w:lang w:val="ro-RO" w:eastAsia="en-GB"/>
    </w:rPr>
  </w:style>
  <w:style w:type="paragraph" w:styleId="Caption">
    <w:name w:val="caption"/>
    <w:basedOn w:val="Normal"/>
    <w:next w:val="Normal"/>
    <w:qFormat/>
    <w:rsid w:val="00192045"/>
    <w:rPr>
      <w:rFonts w:eastAsia="Times New Roman"/>
      <w:b/>
      <w:bCs/>
      <w:sz w:val="20"/>
      <w:szCs w:val="20"/>
      <w:lang w:eastAsia="en-GB"/>
    </w:rPr>
  </w:style>
  <w:style w:type="paragraph" w:styleId="TableofFigures">
    <w:name w:val="table of figures"/>
    <w:basedOn w:val="Normal"/>
    <w:next w:val="Normal"/>
    <w:rsid w:val="00192045"/>
    <w:rPr>
      <w:rFonts w:eastAsia="Times New Roman"/>
      <w:lang w:eastAsia="en-GB"/>
    </w:rPr>
  </w:style>
  <w:style w:type="character" w:styleId="PageNumber">
    <w:name w:val="page number"/>
    <w:rsid w:val="00192045"/>
  </w:style>
  <w:style w:type="character" w:customStyle="1" w:styleId="tw4winMark">
    <w:name w:val="tw4winMark"/>
    <w:rsid w:val="00192045"/>
    <w:rPr>
      <w:vanish/>
      <w:color w:val="800080"/>
      <w:vertAlign w:val="subscript"/>
    </w:rPr>
  </w:style>
  <w:style w:type="character" w:styleId="FollowedHyperlink">
    <w:name w:val="FollowedHyperlink"/>
    <w:rsid w:val="00192045"/>
    <w:rPr>
      <w:color w:val="800080"/>
      <w:u w:val="single"/>
    </w:rPr>
  </w:style>
  <w:style w:type="paragraph" w:customStyle="1" w:styleId="Sous-titreobjet">
    <w:name w:val="Sous-titre objet"/>
    <w:basedOn w:val="Normal"/>
    <w:rsid w:val="0019204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92045"/>
  </w:style>
  <w:style w:type="paragraph" w:styleId="Revision">
    <w:name w:val="Revision"/>
    <w:hidden/>
    <w:uiPriority w:val="99"/>
    <w:semiHidden/>
    <w:rsid w:val="00192045"/>
    <w:rPr>
      <w:rFonts w:ascii="Calibri" w:eastAsia="Calibri" w:hAnsi="Calibri" w:cs="Times New Roman"/>
      <w:sz w:val="24"/>
      <w:lang w:eastAsia="en-GB"/>
    </w:rPr>
  </w:style>
  <w:style w:type="paragraph" w:customStyle="1" w:styleId="FooterCoverPage">
    <w:name w:val="Footer Cover Page"/>
    <w:basedOn w:val="Normal"/>
    <w:link w:val="FooterCoverPageChar"/>
    <w:rsid w:val="0019204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92045"/>
    <w:rPr>
      <w:rFonts w:ascii="Times New Roman" w:hAnsi="Times New Roman" w:cs="Times New Roman"/>
      <w:b/>
      <w:sz w:val="28"/>
      <w:lang w:val="ro-RO"/>
    </w:rPr>
  </w:style>
  <w:style w:type="character" w:customStyle="1" w:styleId="FooterCoverPageChar">
    <w:name w:val="Footer Cover Page Char"/>
    <w:link w:val="FooterCoverPage"/>
    <w:rsid w:val="00192045"/>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9204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92045"/>
    <w:rPr>
      <w:rFonts w:ascii="Times New Roman" w:eastAsia="Calibri" w:hAnsi="Times New Roman" w:cs="Times New Roman"/>
      <w:sz w:val="24"/>
      <w:lang w:val="ro-RO" w:eastAsia="en-GB"/>
    </w:rPr>
  </w:style>
  <w:style w:type="character" w:customStyle="1" w:styleId="FooterSensitivityChar">
    <w:name w:val="Footer Sensitivity Char"/>
    <w:rsid w:val="00192045"/>
    <w:rPr>
      <w:rFonts w:ascii="Times New Roman" w:hAnsi="Times New Roman" w:cs="Times New Roman"/>
      <w:b/>
      <w:sz w:val="32"/>
      <w:lang w:val="ro-RO"/>
    </w:rPr>
  </w:style>
  <w:style w:type="character" w:customStyle="1" w:styleId="HeaderSensitivityChar">
    <w:name w:val="Header Sensitivity Char"/>
    <w:rsid w:val="00192045"/>
    <w:rPr>
      <w:rFonts w:ascii="Times New Roman" w:hAnsi="Times New Roman" w:cs="Times New Roman"/>
      <w:b/>
      <w:sz w:val="32"/>
      <w:lang w:val="ro-RO"/>
    </w:rPr>
  </w:style>
  <w:style w:type="character" w:customStyle="1" w:styleId="HeaderSensitivityRightChar">
    <w:name w:val="Header Sensitivity Right Char"/>
    <w:rsid w:val="00192045"/>
    <w:rPr>
      <w:rFonts w:ascii="Times New Roman" w:hAnsi="Times New Roman" w:cs="Times New Roman"/>
      <w:sz w:val="28"/>
      <w:lang w:val="ro-RO"/>
    </w:rPr>
  </w:style>
  <w:style w:type="paragraph" w:customStyle="1" w:styleId="LegalNumPar">
    <w:name w:val="LegalNumPar"/>
    <w:basedOn w:val="Normal"/>
    <w:rsid w:val="00192045"/>
    <w:pPr>
      <w:numPr>
        <w:numId w:val="16"/>
      </w:numPr>
      <w:spacing w:line="360" w:lineRule="auto"/>
      <w:ind w:left="0" w:firstLine="0"/>
    </w:pPr>
    <w:rPr>
      <w:rFonts w:eastAsia="Times New Roman"/>
      <w:lang w:eastAsia="en-GB"/>
    </w:rPr>
  </w:style>
  <w:style w:type="paragraph" w:customStyle="1" w:styleId="LegalNumPar2">
    <w:name w:val="LegalNumPar2"/>
    <w:basedOn w:val="Normal"/>
    <w:rsid w:val="00192045"/>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92045"/>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92045"/>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92045"/>
    <w:rPr>
      <w:color w:val="605E5C"/>
      <w:shd w:val="clear" w:color="auto" w:fill="E1DFDD"/>
    </w:rPr>
  </w:style>
  <w:style w:type="character" w:styleId="Strong">
    <w:name w:val="Strong"/>
    <w:basedOn w:val="DefaultParagraphFont"/>
    <w:qFormat/>
    <w:rsid w:val="00192045"/>
    <w:rPr>
      <w:b/>
      <w:bCs/>
    </w:rPr>
  </w:style>
  <w:style w:type="character" w:styleId="Emphasis">
    <w:name w:val="Emphasis"/>
    <w:basedOn w:val="DefaultParagraphFont"/>
    <w:qFormat/>
    <w:rsid w:val="00192045"/>
    <w:rPr>
      <w:i/>
      <w:iCs/>
    </w:rPr>
  </w:style>
  <w:style w:type="character" w:customStyle="1" w:styleId="Mention">
    <w:name w:val="Mention"/>
    <w:basedOn w:val="DefaultParagraphFont"/>
    <w:uiPriority w:val="99"/>
    <w:unhideWhenUsed/>
    <w:rsid w:val="00192045"/>
    <w:rPr>
      <w:color w:val="2B579A"/>
      <w:shd w:val="clear" w:color="auto" w:fill="E1DFDD"/>
    </w:rPr>
  </w:style>
  <w:style w:type="character" w:customStyle="1" w:styleId="normaltextrun">
    <w:name w:val="normaltextrun"/>
    <w:basedOn w:val="DefaultParagraphFont"/>
    <w:rsid w:val="00192045"/>
  </w:style>
  <w:style w:type="character" w:customStyle="1" w:styleId="eop">
    <w:name w:val="eop"/>
    <w:basedOn w:val="DefaultParagraphFont"/>
    <w:rsid w:val="00192045"/>
  </w:style>
  <w:style w:type="paragraph" w:styleId="EndnoteText">
    <w:name w:val="endnote text"/>
    <w:basedOn w:val="Normal"/>
    <w:link w:val="EndnoteTextChar"/>
    <w:uiPriority w:val="99"/>
    <w:semiHidden/>
    <w:unhideWhenUsed/>
    <w:rsid w:val="00C53ACC"/>
    <w:pPr>
      <w:spacing w:before="0" w:after="0"/>
    </w:pPr>
    <w:rPr>
      <w:sz w:val="20"/>
      <w:szCs w:val="20"/>
    </w:rPr>
  </w:style>
  <w:style w:type="character" w:customStyle="1" w:styleId="EndnoteTextChar">
    <w:name w:val="Endnote Text Char"/>
    <w:basedOn w:val="DefaultParagraphFont"/>
    <w:link w:val="EndnoteText"/>
    <w:uiPriority w:val="99"/>
    <w:semiHidden/>
    <w:rsid w:val="00C53ACC"/>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C53ACC"/>
    <w:rPr>
      <w:vertAlign w:val="superscript"/>
    </w:rPr>
  </w:style>
  <w:style w:type="character" w:customStyle="1" w:styleId="HeaderChar">
    <w:name w:val="Header Char"/>
    <w:basedOn w:val="DefaultParagraphFont"/>
    <w:link w:val="Header"/>
    <w:uiPriority w:val="99"/>
    <w:rsid w:val="003A0479"/>
    <w:rPr>
      <w:rFonts w:ascii="Times New Roman" w:hAnsi="Times New Roman" w:cs="Times New Roman"/>
      <w:sz w:val="24"/>
      <w:lang w:val="ro-RO"/>
    </w:rPr>
  </w:style>
  <w:style w:type="character" w:customStyle="1" w:styleId="FooterChar">
    <w:name w:val="Footer Char"/>
    <w:basedOn w:val="DefaultParagraphFont"/>
    <w:link w:val="Footer"/>
    <w:uiPriority w:val="99"/>
    <w:rsid w:val="003A047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A047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A0479"/>
    <w:pPr>
      <w:spacing w:before="0"/>
      <w:jc w:val="right"/>
    </w:pPr>
    <w:rPr>
      <w:sz w:val="28"/>
    </w:rPr>
  </w:style>
  <w:style w:type="paragraph" w:customStyle="1" w:styleId="FooterSensitivity">
    <w:name w:val="Footer Sensitivity"/>
    <w:basedOn w:val="Normal"/>
    <w:rsid w:val="003A047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A0479"/>
    <w:pPr>
      <w:tabs>
        <w:tab w:val="center" w:pos="4535"/>
        <w:tab w:val="right" w:pos="9071"/>
      </w:tabs>
      <w:spacing w:before="0"/>
    </w:pPr>
  </w:style>
  <w:style w:type="paragraph" w:customStyle="1" w:styleId="HeaderLandscape">
    <w:name w:val="HeaderLandscape"/>
    <w:basedOn w:val="Normal"/>
    <w:rsid w:val="003A0479"/>
    <w:pPr>
      <w:tabs>
        <w:tab w:val="center" w:pos="7285"/>
        <w:tab w:val="right" w:pos="14003"/>
      </w:tabs>
      <w:spacing w:before="0"/>
    </w:pPr>
  </w:style>
  <w:style w:type="paragraph" w:styleId="Footer">
    <w:name w:val="footer"/>
    <w:basedOn w:val="Normal"/>
    <w:link w:val="FooterChar"/>
    <w:uiPriority w:val="99"/>
    <w:unhideWhenUsed/>
    <w:rsid w:val="003A047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A047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05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1/182/oj" TargetMode="External"/><Relationship Id="rId3" Type="http://schemas.openxmlformats.org/officeDocument/2006/relationships/hyperlink" Target="https://policy.trade.ec.europa.eu/analysis-and-assessment/statistics_en" TargetMode="External"/><Relationship Id="rId7" Type="http://schemas.openxmlformats.org/officeDocument/2006/relationships/hyperlink" Target="http://data.europa.eu/eli/reg_del/2015/2446/oj" TargetMode="External"/><Relationship Id="rId2" Type="http://schemas.openxmlformats.org/officeDocument/2006/relationships/hyperlink" Target="https://policy.trade.ec.europa.eu/eu-trade-relationships-country-and-region/countries-and-regions/armenia_en" TargetMode="External"/><Relationship Id="rId1" Type="http://schemas.openxmlformats.org/officeDocument/2006/relationships/hyperlink" Target="http://data.europa.eu/eli/agree_internation/2018/104/oj" TargetMode="External"/><Relationship Id="rId6" Type="http://schemas.openxmlformats.org/officeDocument/2006/relationships/hyperlink" Target="https://enlargement.ec.europa.eu/news/european-union-and-armenia-adopt-new-strategic-agenda-deepen-partnership-2025-12-02_en" TargetMode="External"/><Relationship Id="rId5" Type="http://schemas.openxmlformats.org/officeDocument/2006/relationships/hyperlink" Target="http://data.europa.eu/eli/dec/2018/104/oj" TargetMode="External"/><Relationship Id="rId4" Type="http://schemas.openxmlformats.org/officeDocument/2006/relationships/hyperlink" Target="http://data.europa.eu/eli/agree_internation/2018/104/oj" TargetMode="External"/><Relationship Id="rId9" Type="http://schemas.openxmlformats.org/officeDocument/2006/relationships/hyperlink" Target="http://data.europa.eu/eli/reg/2013/9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17" ma:contentTypeDescription="Create a new document." ma:contentTypeScope="" ma:versionID="617c163415ed2c5fd607bc305baa2395">
  <xsd:schema xmlns:xsd="http://www.w3.org/2001/XMLSchema" xmlns:xs="http://www.w3.org/2001/XMLSchema" xmlns:p="http://schemas.microsoft.com/office/2006/metadata/properties" xmlns:ns2="bf5373a9-3ae6-4627-894d-852f27c3d4f0" xmlns:ns3="3b32b93a-a41f-449a-9492-9bc9f41ec6d7" targetNamespace="http://schemas.microsoft.com/office/2006/metadata/properties" ma:root="true" ma:fieldsID="b6da4e06c82615f7e283fbe250dfd71e" ns2:_="" ns3:_="">
    <xsd:import namespace="bf5373a9-3ae6-4627-894d-852f27c3d4f0"/>
    <xsd:import namespace="3b32b93a-a41f-449a-9492-9bc9f41ec6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32b93a-a41f-449a-9492-9bc9f41ec6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0aa601-896c-4231-9ada-b91350ff9040}" ma:internalName="TaxCatchAll" ma:showField="CatchAllData" ma:web="3b32b93a-a41f-449a-9492-9bc9f41ec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32b93a-a41f-449a-9492-9bc9f41ec6d7" xsi:nil="true"/>
    <lcf76f155ced4ddcb4097134ff3c332f xmlns="bf5373a9-3ae6-4627-894d-852f27c3d4f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65C40-3628-4A77-B8A6-CA5E3D28D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3b32b93a-a41f-449a-9492-9bc9f41ec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AF7E0-CA37-41A4-958F-17030F1294E4}">
  <ds:schemaRefs>
    <ds:schemaRef ds:uri="http://schemas.microsoft.com/sharepoint/v3/contenttype/forms"/>
  </ds:schemaRefs>
</ds:datastoreItem>
</file>

<file path=customXml/itemProps3.xml><?xml version="1.0" encoding="utf-8"?>
<ds:datastoreItem xmlns:ds="http://schemas.openxmlformats.org/officeDocument/2006/customXml" ds:itemID="{2E6981AC-EAAE-41EB-AD52-8E914E682D14}">
  <ds:schemaRefs>
    <ds:schemaRef ds:uri="http://schemas.microsoft.com/office/2006/metadata/properties"/>
    <ds:schemaRef ds:uri="http://schemas.microsoft.com/office/infopath/2007/PartnerControls"/>
    <ds:schemaRef ds:uri="3b32b93a-a41f-449a-9492-9bc9f41ec6d7"/>
    <ds:schemaRef ds:uri="bf5373a9-3ae6-4627-894d-852f27c3d4f0"/>
  </ds:schemaRefs>
</ds:datastoreItem>
</file>

<file path=customXml/itemProps4.xml><?xml version="1.0" encoding="utf-8"?>
<ds:datastoreItem xmlns:ds="http://schemas.openxmlformats.org/officeDocument/2006/customXml" ds:itemID="{4C3E0FDC-21F5-41E8-8E62-52A4FF92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92</TotalTime>
  <Pages>12</Pages>
  <Words>4265</Words>
  <Characters>24311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96</cp:revision>
  <dcterms:created xsi:type="dcterms:W3CDTF">2026-06-24T17:12:00Z</dcterms:created>
  <dcterms:modified xsi:type="dcterms:W3CDTF">2026-07-24T16:51:00Z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2026-06-12T07:08:45Z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47e36536-72a2-4020-a76d-fc786634cef5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0x010100E98322858357ED4DB8ACEC003F271AA8</vt:lpwstr>
  </property>
  <property fmtid="{D5CDD505-2E9C-101B-9397-08002B2CF9AE}" pid="19" name="MediaServiceImageTags">
    <vt:lpwstr/>
  </property>
  <property fmtid="{D5CDD505-2E9C-101B-9397-08002B2CF9AE}" pid="20" name="DQCStatus">
    <vt:lpwstr>Green (DQC version 03)</vt:lpwstr>
  </property>
</Properties>
</file>