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39BB2" w14:textId="7414F5DE" w:rsidR="00097901" w:rsidRDefault="00D96C63" w:rsidP="00D96C63">
      <w:pPr>
        <w:pStyle w:val="Pagedecouverture"/>
        <w:rPr>
          <w:noProof/>
        </w:rPr>
      </w:pPr>
      <w:bookmarkStart w:id="0" w:name="LW_BM_COVERPAGE"/>
      <w:r>
        <w:rPr>
          <w:noProof/>
        </w:rPr>
        <w:pict w14:anchorId="1A2E14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097B472-0FD0-495A-B0B9-A2749745D8F0" style="width:455.25pt;height:313.5pt">
            <v:imagedata r:id="rId11" o:title=""/>
          </v:shape>
        </w:pict>
      </w:r>
    </w:p>
    <w:bookmarkEnd w:id="0"/>
    <w:p w14:paraId="7D9F2C05" w14:textId="77777777" w:rsidR="00EF4C6C" w:rsidRDefault="00EF4C6C" w:rsidP="00EF4C6C">
      <w:pPr>
        <w:rPr>
          <w:noProof/>
        </w:rPr>
        <w:sectPr w:rsidR="00EF4C6C" w:rsidSect="00D96C6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22186A8" w14:textId="42A3A7A7" w:rsidR="0020135D" w:rsidRPr="0026245E" w:rsidRDefault="0020135D" w:rsidP="0020135D">
      <w:pPr>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RAPPORT DE LA COMMISSION AU PARLEMENT EUROPÉEN ET AU CONSEIL</w:t>
      </w:r>
    </w:p>
    <w:p w14:paraId="4C3B9844" w14:textId="3FF863CF" w:rsidR="00EC16B4" w:rsidRPr="0026245E" w:rsidRDefault="0020135D" w:rsidP="0020135D">
      <w:pPr>
        <w:jc w:val="center"/>
        <w:rPr>
          <w:rFonts w:ascii="Times New Roman" w:hAnsi="Times New Roman" w:cs="Times New Roman"/>
          <w:b/>
          <w:bCs/>
          <w:noProof/>
          <w:sz w:val="24"/>
          <w:szCs w:val="24"/>
        </w:rPr>
      </w:pPr>
      <w:r>
        <w:rPr>
          <w:rFonts w:ascii="Times New Roman" w:hAnsi="Times New Roman"/>
          <w:b/>
          <w:noProof/>
          <w:sz w:val="24"/>
        </w:rPr>
        <w:t>Rapport 2019-2024 sur la situation financière du régime d’assurance contre le chômage en faveur des anciens agents temporaires ou contractuels et des assistants parlementaires se trouvant sans emploi après la cessation de leurs fonctions auprès d’une institution de l’Union européenne</w:t>
      </w:r>
    </w:p>
    <w:p w14:paraId="6A42434A" w14:textId="77777777" w:rsidR="00146CB9" w:rsidRDefault="00146CB9" w:rsidP="0020135D">
      <w:pPr>
        <w:jc w:val="center"/>
        <w:rPr>
          <w:b/>
          <w:bCs/>
          <w:noProof/>
        </w:rPr>
      </w:pPr>
    </w:p>
    <w:sdt>
      <w:sdtPr>
        <w:rPr>
          <w:rFonts w:ascii="Times New Roman" w:hAnsi="Times New Roman" w:cs="Times New Roman"/>
          <w:b w:val="0"/>
          <w:sz w:val="24"/>
          <w:szCs w:val="24"/>
        </w:rPr>
        <w:id w:val="118719153"/>
        <w:docPartObj>
          <w:docPartGallery w:val="Table of Contents"/>
          <w:docPartUnique/>
        </w:docPartObj>
      </w:sdtPr>
      <w:sdtEndPr/>
      <w:sdtContent>
        <w:p w14:paraId="0C217FB5" w14:textId="584EF868" w:rsidR="00A25E93" w:rsidRPr="00A25E93" w:rsidRDefault="00C802F6">
          <w:pPr>
            <w:pStyle w:val="TOC1"/>
            <w:tabs>
              <w:tab w:val="left" w:pos="440"/>
            </w:tabs>
            <w:rPr>
              <w:rFonts w:ascii="Times New Roman" w:eastAsiaTheme="minorEastAsia" w:hAnsi="Times New Roman"/>
              <w:b w:val="0"/>
              <w:sz w:val="24"/>
              <w:szCs w:val="24"/>
              <w:lang w:val="en-US"/>
            </w:rPr>
          </w:pPr>
          <w:r>
            <w:rPr>
              <w:rFonts w:ascii="Times New Roman" w:hAnsi="Times New Roman" w:cs="Times New Roman"/>
              <w:sz w:val="24"/>
            </w:rPr>
            <w:fldChar w:fldCharType="begin"/>
          </w:r>
          <w:r>
            <w:rPr>
              <w:rFonts w:ascii="Times New Roman" w:hAnsi="Times New Roman" w:cs="Times New Roman"/>
              <w:sz w:val="24"/>
            </w:rPr>
            <w:instrText>TOC \o "1-3" \z \u \h</w:instrText>
          </w:r>
          <w:r>
            <w:rPr>
              <w:rFonts w:ascii="Times New Roman" w:hAnsi="Times New Roman" w:cs="Times New Roman"/>
              <w:sz w:val="24"/>
            </w:rPr>
            <w:fldChar w:fldCharType="separate"/>
          </w:r>
          <w:hyperlink w:anchor="_Toc233386980" w:history="1">
            <w:r w:rsidR="00A25E93" w:rsidRPr="00A25E93">
              <w:rPr>
                <w:rStyle w:val="Hyperlink"/>
                <w:rFonts w:ascii="Times New Roman" w:hAnsi="Times New Roman"/>
                <w:sz w:val="24"/>
              </w:rPr>
              <w:t>1.</w:t>
            </w:r>
            <w:r w:rsidR="00A25E93" w:rsidRPr="00A25E93">
              <w:rPr>
                <w:rFonts w:ascii="Times New Roman" w:eastAsiaTheme="minorEastAsia" w:hAnsi="Times New Roman"/>
                <w:b w:val="0"/>
                <w:sz w:val="24"/>
                <w:szCs w:val="24"/>
                <w:lang w:val="en-US"/>
              </w:rPr>
              <w:tab/>
            </w:r>
            <w:r w:rsidR="00A25E93" w:rsidRPr="00A25E93">
              <w:rPr>
                <w:rStyle w:val="Hyperlink"/>
                <w:rFonts w:ascii="Times New Roman" w:hAnsi="Times New Roman"/>
                <w:sz w:val="24"/>
              </w:rPr>
              <w:t>Informations générales</w:t>
            </w:r>
            <w:r w:rsidR="00A25E93" w:rsidRPr="00A25E93">
              <w:rPr>
                <w:rFonts w:ascii="Times New Roman" w:hAnsi="Times New Roman"/>
                <w:webHidden/>
                <w:sz w:val="24"/>
              </w:rPr>
              <w:tab/>
            </w:r>
            <w:r w:rsidR="00A25E93" w:rsidRPr="00A25E93">
              <w:rPr>
                <w:rFonts w:ascii="Times New Roman" w:hAnsi="Times New Roman"/>
                <w:webHidden/>
                <w:sz w:val="24"/>
              </w:rPr>
              <w:fldChar w:fldCharType="begin"/>
            </w:r>
            <w:r w:rsidR="00A25E93" w:rsidRPr="00A25E93">
              <w:rPr>
                <w:rFonts w:ascii="Times New Roman" w:hAnsi="Times New Roman"/>
                <w:webHidden/>
                <w:sz w:val="24"/>
              </w:rPr>
              <w:instrText xml:space="preserve"> PAGEREF _Toc233386980 \h </w:instrText>
            </w:r>
            <w:r w:rsidR="00A25E93" w:rsidRPr="00A25E93">
              <w:rPr>
                <w:rFonts w:ascii="Times New Roman" w:hAnsi="Times New Roman"/>
                <w:webHidden/>
                <w:sz w:val="24"/>
              </w:rPr>
            </w:r>
            <w:r w:rsidR="00A25E93" w:rsidRPr="00A25E93">
              <w:rPr>
                <w:rFonts w:ascii="Times New Roman" w:hAnsi="Times New Roman"/>
                <w:webHidden/>
                <w:sz w:val="24"/>
              </w:rPr>
              <w:fldChar w:fldCharType="separate"/>
            </w:r>
            <w:r w:rsidR="00A25E93" w:rsidRPr="00A25E93">
              <w:rPr>
                <w:rFonts w:ascii="Times New Roman" w:hAnsi="Times New Roman"/>
                <w:webHidden/>
                <w:sz w:val="24"/>
              </w:rPr>
              <w:t>1</w:t>
            </w:r>
            <w:r w:rsidR="00A25E93" w:rsidRPr="00A25E93">
              <w:rPr>
                <w:rFonts w:ascii="Times New Roman" w:hAnsi="Times New Roman"/>
                <w:webHidden/>
                <w:sz w:val="24"/>
              </w:rPr>
              <w:fldChar w:fldCharType="end"/>
            </w:r>
          </w:hyperlink>
        </w:p>
        <w:p w14:paraId="7C2D0B82" w14:textId="5B6A09A2" w:rsidR="00A25E93" w:rsidRPr="00A25E93" w:rsidRDefault="00D96C63">
          <w:pPr>
            <w:pStyle w:val="TOC2"/>
            <w:tabs>
              <w:tab w:val="left" w:pos="960"/>
              <w:tab w:val="right" w:leader="dot" w:pos="9016"/>
            </w:tabs>
            <w:rPr>
              <w:rFonts w:ascii="Times New Roman" w:eastAsiaTheme="minorEastAsia" w:hAnsi="Times New Roman"/>
              <w:noProof/>
              <w:sz w:val="24"/>
              <w:szCs w:val="24"/>
              <w:lang w:val="en-US"/>
            </w:rPr>
          </w:pPr>
          <w:hyperlink w:anchor="_Toc233386981" w:history="1">
            <w:r w:rsidR="00A25E93" w:rsidRPr="00A25E93">
              <w:rPr>
                <w:rStyle w:val="Hyperlink"/>
                <w:rFonts w:ascii="Times New Roman" w:hAnsi="Times New Roman"/>
                <w:noProof/>
                <w:sz w:val="24"/>
              </w:rPr>
              <w:t>1.1</w:t>
            </w:r>
            <w:r w:rsidR="00A25E93" w:rsidRPr="00A25E93">
              <w:rPr>
                <w:rFonts w:ascii="Times New Roman" w:eastAsiaTheme="minorEastAsia" w:hAnsi="Times New Roman"/>
                <w:noProof/>
                <w:sz w:val="24"/>
                <w:szCs w:val="24"/>
                <w:lang w:val="en-US"/>
              </w:rPr>
              <w:tab/>
            </w:r>
            <w:r w:rsidR="00A25E93" w:rsidRPr="00A25E93">
              <w:rPr>
                <w:rStyle w:val="Hyperlink"/>
                <w:rFonts w:ascii="Times New Roman" w:hAnsi="Times New Roman"/>
                <w:noProof/>
                <w:sz w:val="24"/>
              </w:rPr>
              <w:t>Structure du rapport</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_Toc233386981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2</w:t>
            </w:r>
            <w:r w:rsidR="00A25E93" w:rsidRPr="00A25E93">
              <w:rPr>
                <w:rFonts w:ascii="Times New Roman" w:hAnsi="Times New Roman"/>
                <w:noProof/>
                <w:webHidden/>
                <w:sz w:val="24"/>
              </w:rPr>
              <w:fldChar w:fldCharType="end"/>
            </w:r>
          </w:hyperlink>
        </w:p>
        <w:p w14:paraId="671F6260" w14:textId="44AB1689" w:rsidR="00A25E93" w:rsidRPr="00A25E93" w:rsidRDefault="00D96C63">
          <w:pPr>
            <w:pStyle w:val="TOC1"/>
            <w:rPr>
              <w:rFonts w:ascii="Times New Roman" w:eastAsiaTheme="minorEastAsia" w:hAnsi="Times New Roman"/>
              <w:b w:val="0"/>
              <w:sz w:val="24"/>
              <w:szCs w:val="24"/>
              <w:lang w:val="en-US"/>
            </w:rPr>
          </w:pPr>
          <w:hyperlink w:anchor="_Toc233386982" w:history="1">
            <w:r w:rsidR="00A25E93" w:rsidRPr="00A25E93">
              <w:rPr>
                <w:rStyle w:val="Hyperlink"/>
                <w:rFonts w:ascii="Times New Roman" w:hAnsi="Times New Roman"/>
                <w:sz w:val="24"/>
              </w:rPr>
              <w:t>2. Cadre réglementaire</w:t>
            </w:r>
            <w:r w:rsidR="00A25E93" w:rsidRPr="00A25E93">
              <w:rPr>
                <w:rFonts w:ascii="Times New Roman" w:hAnsi="Times New Roman"/>
                <w:webHidden/>
                <w:sz w:val="24"/>
              </w:rPr>
              <w:tab/>
            </w:r>
            <w:r w:rsidR="00A25E93" w:rsidRPr="00A25E93">
              <w:rPr>
                <w:rFonts w:ascii="Times New Roman" w:hAnsi="Times New Roman"/>
                <w:webHidden/>
                <w:sz w:val="24"/>
              </w:rPr>
              <w:fldChar w:fldCharType="begin"/>
            </w:r>
            <w:r w:rsidR="00A25E93" w:rsidRPr="00A25E93">
              <w:rPr>
                <w:rFonts w:ascii="Times New Roman" w:hAnsi="Times New Roman"/>
                <w:webHidden/>
                <w:sz w:val="24"/>
              </w:rPr>
              <w:instrText xml:space="preserve"> PAGEREF _Toc233386982 \h </w:instrText>
            </w:r>
            <w:r w:rsidR="00A25E93" w:rsidRPr="00A25E93">
              <w:rPr>
                <w:rFonts w:ascii="Times New Roman" w:hAnsi="Times New Roman"/>
                <w:webHidden/>
                <w:sz w:val="24"/>
              </w:rPr>
            </w:r>
            <w:r w:rsidR="00A25E93" w:rsidRPr="00A25E93">
              <w:rPr>
                <w:rFonts w:ascii="Times New Roman" w:hAnsi="Times New Roman"/>
                <w:webHidden/>
                <w:sz w:val="24"/>
              </w:rPr>
              <w:fldChar w:fldCharType="separate"/>
            </w:r>
            <w:r w:rsidR="00A25E93" w:rsidRPr="00A25E93">
              <w:rPr>
                <w:rFonts w:ascii="Times New Roman" w:hAnsi="Times New Roman"/>
                <w:webHidden/>
                <w:sz w:val="24"/>
              </w:rPr>
              <w:t>4</w:t>
            </w:r>
            <w:r w:rsidR="00A25E93" w:rsidRPr="00A25E93">
              <w:rPr>
                <w:rFonts w:ascii="Times New Roman" w:hAnsi="Times New Roman"/>
                <w:webHidden/>
                <w:sz w:val="24"/>
              </w:rPr>
              <w:fldChar w:fldCharType="end"/>
            </w:r>
          </w:hyperlink>
        </w:p>
        <w:p w14:paraId="3A0DE94C" w14:textId="0EC6AF24" w:rsidR="00A25E93" w:rsidRPr="00A25E93" w:rsidRDefault="00D96C63">
          <w:pPr>
            <w:pStyle w:val="TOC2"/>
            <w:tabs>
              <w:tab w:val="left" w:pos="960"/>
              <w:tab w:val="right" w:leader="dot" w:pos="9016"/>
            </w:tabs>
            <w:rPr>
              <w:rFonts w:ascii="Times New Roman" w:eastAsiaTheme="minorEastAsia" w:hAnsi="Times New Roman"/>
              <w:noProof/>
              <w:sz w:val="24"/>
              <w:szCs w:val="24"/>
              <w:lang w:val="en-US"/>
            </w:rPr>
          </w:pPr>
          <w:hyperlink w:anchor="_Toc233386983" w:history="1">
            <w:r w:rsidR="00A25E93" w:rsidRPr="00A25E93">
              <w:rPr>
                <w:rStyle w:val="Hyperlink"/>
                <w:rFonts w:ascii="Times New Roman" w:hAnsi="Times New Roman"/>
                <w:noProof/>
                <w:sz w:val="24"/>
              </w:rPr>
              <w:t>2.1</w:t>
            </w:r>
            <w:r w:rsidR="00A25E93" w:rsidRPr="00A25E93">
              <w:rPr>
                <w:rFonts w:ascii="Times New Roman" w:eastAsiaTheme="minorEastAsia" w:hAnsi="Times New Roman"/>
                <w:noProof/>
                <w:sz w:val="24"/>
                <w:szCs w:val="24"/>
                <w:lang w:val="en-US"/>
              </w:rPr>
              <w:tab/>
            </w:r>
            <w:r w:rsidR="00A25E93" w:rsidRPr="00A25E93">
              <w:rPr>
                <w:rStyle w:val="Hyperlink"/>
                <w:rFonts w:ascii="Times New Roman" w:hAnsi="Times New Roman"/>
                <w:noProof/>
                <w:sz w:val="24"/>
              </w:rPr>
              <w:t>Cadre juridique</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_Toc233386983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4</w:t>
            </w:r>
            <w:r w:rsidR="00A25E93" w:rsidRPr="00A25E93">
              <w:rPr>
                <w:rFonts w:ascii="Times New Roman" w:hAnsi="Times New Roman"/>
                <w:noProof/>
                <w:webHidden/>
                <w:sz w:val="24"/>
              </w:rPr>
              <w:fldChar w:fldCharType="end"/>
            </w:r>
          </w:hyperlink>
        </w:p>
        <w:p w14:paraId="42BBDC14" w14:textId="7985C31E"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6984" w:history="1">
            <w:r w:rsidR="00A25E93" w:rsidRPr="00A25E93">
              <w:rPr>
                <w:rStyle w:val="Hyperlink"/>
                <w:rFonts w:ascii="Times New Roman" w:hAnsi="Times New Roman"/>
                <w:noProof/>
                <w:sz w:val="24"/>
              </w:rPr>
              <w:t>2.2 Description du régime</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_Toc233386984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4</w:t>
            </w:r>
            <w:r w:rsidR="00A25E93" w:rsidRPr="00A25E93">
              <w:rPr>
                <w:rFonts w:ascii="Times New Roman" w:hAnsi="Times New Roman"/>
                <w:noProof/>
                <w:webHidden/>
                <w:sz w:val="24"/>
              </w:rPr>
              <w:fldChar w:fldCharType="end"/>
            </w:r>
          </w:hyperlink>
        </w:p>
        <w:p w14:paraId="3BF6D271" w14:textId="3159F429" w:rsidR="00A25E93" w:rsidRPr="00A25E93" w:rsidRDefault="00D96C63">
          <w:pPr>
            <w:pStyle w:val="TOC1"/>
            <w:rPr>
              <w:rFonts w:ascii="Times New Roman" w:eastAsiaTheme="minorEastAsia" w:hAnsi="Times New Roman"/>
              <w:b w:val="0"/>
              <w:sz w:val="24"/>
              <w:szCs w:val="24"/>
              <w:lang w:val="en-US"/>
            </w:rPr>
          </w:pPr>
          <w:hyperlink w:anchor="_Toc233386985" w:history="1">
            <w:r w:rsidR="00A25E93" w:rsidRPr="00A25E93">
              <w:rPr>
                <w:rStyle w:val="Hyperlink"/>
                <w:rFonts w:ascii="Times New Roman" w:hAnsi="Times New Roman"/>
                <w:sz w:val="24"/>
              </w:rPr>
              <w:t>3. La situation de caisse et d’exercice 2019-2024 du Fonds de chômage</w:t>
            </w:r>
            <w:r w:rsidR="00A25E93" w:rsidRPr="00A25E93">
              <w:rPr>
                <w:rFonts w:ascii="Times New Roman" w:hAnsi="Times New Roman"/>
                <w:webHidden/>
                <w:sz w:val="24"/>
              </w:rPr>
              <w:tab/>
            </w:r>
            <w:r w:rsidR="00A25E93" w:rsidRPr="00A25E93">
              <w:rPr>
                <w:rFonts w:ascii="Times New Roman" w:hAnsi="Times New Roman"/>
                <w:webHidden/>
                <w:sz w:val="24"/>
              </w:rPr>
              <w:fldChar w:fldCharType="begin"/>
            </w:r>
            <w:r w:rsidR="00A25E93" w:rsidRPr="00A25E93">
              <w:rPr>
                <w:rFonts w:ascii="Times New Roman" w:hAnsi="Times New Roman"/>
                <w:webHidden/>
                <w:sz w:val="24"/>
              </w:rPr>
              <w:instrText xml:space="preserve"> PAGEREF _Toc233386985 \h </w:instrText>
            </w:r>
            <w:r w:rsidR="00A25E93" w:rsidRPr="00A25E93">
              <w:rPr>
                <w:rFonts w:ascii="Times New Roman" w:hAnsi="Times New Roman"/>
                <w:webHidden/>
                <w:sz w:val="24"/>
              </w:rPr>
            </w:r>
            <w:r w:rsidR="00A25E93" w:rsidRPr="00A25E93">
              <w:rPr>
                <w:rFonts w:ascii="Times New Roman" w:hAnsi="Times New Roman"/>
                <w:webHidden/>
                <w:sz w:val="24"/>
              </w:rPr>
              <w:fldChar w:fldCharType="separate"/>
            </w:r>
            <w:r w:rsidR="00A25E93" w:rsidRPr="00A25E93">
              <w:rPr>
                <w:rFonts w:ascii="Times New Roman" w:hAnsi="Times New Roman"/>
                <w:webHidden/>
                <w:sz w:val="24"/>
              </w:rPr>
              <w:t>5</w:t>
            </w:r>
            <w:r w:rsidR="00A25E93" w:rsidRPr="00A25E93">
              <w:rPr>
                <w:rFonts w:ascii="Times New Roman" w:hAnsi="Times New Roman"/>
                <w:webHidden/>
                <w:sz w:val="24"/>
              </w:rPr>
              <w:fldChar w:fldCharType="end"/>
            </w:r>
          </w:hyperlink>
        </w:p>
        <w:p w14:paraId="06F41777" w14:textId="7391259E"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6986" w:history="1">
            <w:r w:rsidR="00A25E93" w:rsidRPr="00A25E93">
              <w:rPr>
                <w:rStyle w:val="Hyperlink"/>
                <w:rFonts w:ascii="Times New Roman" w:hAnsi="Times New Roman"/>
                <w:noProof/>
                <w:sz w:val="24"/>
              </w:rPr>
              <w:t>3.1 Situation de «caisse»: résultats courants et soldes cumulés 2019-2024</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_Toc233386986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6</w:t>
            </w:r>
            <w:r w:rsidR="00A25E93" w:rsidRPr="00A25E93">
              <w:rPr>
                <w:rFonts w:ascii="Times New Roman" w:hAnsi="Times New Roman"/>
                <w:noProof/>
                <w:webHidden/>
                <w:sz w:val="24"/>
              </w:rPr>
              <w:fldChar w:fldCharType="end"/>
            </w:r>
          </w:hyperlink>
        </w:p>
        <w:p w14:paraId="5D34DE9C" w14:textId="68E4B1B1" w:rsidR="00A25E93" w:rsidRPr="00A25E93" w:rsidRDefault="00D96C63">
          <w:pPr>
            <w:pStyle w:val="TOC3"/>
            <w:tabs>
              <w:tab w:val="right" w:leader="dot" w:pos="9016"/>
            </w:tabs>
            <w:rPr>
              <w:rFonts w:ascii="Times New Roman" w:eastAsiaTheme="minorEastAsia" w:hAnsi="Times New Roman"/>
              <w:noProof/>
              <w:sz w:val="24"/>
              <w:szCs w:val="24"/>
              <w:lang w:val="en-US"/>
            </w:rPr>
          </w:pPr>
          <w:hyperlink w:anchor="_Toc233386987" w:history="1">
            <w:r w:rsidR="00A25E93" w:rsidRPr="00A25E93">
              <w:rPr>
                <w:rStyle w:val="Hyperlink"/>
                <w:rFonts w:ascii="Times New Roman" w:hAnsi="Times New Roman"/>
                <w:b/>
                <w:noProof/>
                <w:sz w:val="24"/>
              </w:rPr>
              <w:t>Évolution du compte courant et des comptes de placement</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_Toc233386987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7</w:t>
            </w:r>
            <w:r w:rsidR="00A25E93" w:rsidRPr="00A25E93">
              <w:rPr>
                <w:rFonts w:ascii="Times New Roman" w:hAnsi="Times New Roman"/>
                <w:noProof/>
                <w:webHidden/>
                <w:sz w:val="24"/>
              </w:rPr>
              <w:fldChar w:fldCharType="end"/>
            </w:r>
          </w:hyperlink>
        </w:p>
        <w:p w14:paraId="504CF138" w14:textId="17D26B15"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6988" w:history="1">
            <w:r w:rsidR="00A25E93" w:rsidRPr="00A25E93">
              <w:rPr>
                <w:rStyle w:val="Hyperlink"/>
                <w:rFonts w:ascii="Times New Roman" w:hAnsi="Times New Roman"/>
                <w:noProof/>
                <w:sz w:val="24"/>
              </w:rPr>
              <w:t>3.2 Situation d’exercice: résultats courants 2019-2024</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_Toc233386988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7</w:t>
            </w:r>
            <w:r w:rsidR="00A25E93" w:rsidRPr="00A25E93">
              <w:rPr>
                <w:rFonts w:ascii="Times New Roman" w:hAnsi="Times New Roman"/>
                <w:noProof/>
                <w:webHidden/>
                <w:sz w:val="24"/>
              </w:rPr>
              <w:fldChar w:fldCharType="end"/>
            </w:r>
          </w:hyperlink>
        </w:p>
        <w:p w14:paraId="32CED66C" w14:textId="2BF018F9"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6989" w:history="1">
            <w:r w:rsidR="00A25E93" w:rsidRPr="00A25E93">
              <w:rPr>
                <w:rStyle w:val="Hyperlink"/>
                <w:rFonts w:ascii="Times New Roman" w:hAnsi="Times New Roman"/>
                <w:noProof/>
                <w:sz w:val="24"/>
              </w:rPr>
              <w:t>3.3 Résultat courant 2019-2024</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_Toc233386989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8</w:t>
            </w:r>
            <w:r w:rsidR="00A25E93" w:rsidRPr="00A25E93">
              <w:rPr>
                <w:rFonts w:ascii="Times New Roman" w:hAnsi="Times New Roman"/>
                <w:noProof/>
                <w:webHidden/>
                <w:sz w:val="24"/>
              </w:rPr>
              <w:fldChar w:fldCharType="end"/>
            </w:r>
          </w:hyperlink>
        </w:p>
        <w:p w14:paraId="4404C859" w14:textId="17275687"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6990" w:history="1">
            <w:r w:rsidR="00A25E93" w:rsidRPr="00A25E93">
              <w:rPr>
                <w:rStyle w:val="Hyperlink"/>
                <w:rFonts w:ascii="Times New Roman" w:hAnsi="Times New Roman"/>
                <w:noProof/>
                <w:sz w:val="24"/>
              </w:rPr>
              <w:t>3.4 Situation d’exercice: ventilation des dépenses et des recettes</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_Toc233386990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9</w:t>
            </w:r>
            <w:r w:rsidR="00A25E93" w:rsidRPr="00A25E93">
              <w:rPr>
                <w:rFonts w:ascii="Times New Roman" w:hAnsi="Times New Roman"/>
                <w:noProof/>
                <w:webHidden/>
                <w:sz w:val="24"/>
              </w:rPr>
              <w:fldChar w:fldCharType="end"/>
            </w:r>
          </w:hyperlink>
        </w:p>
        <w:p w14:paraId="0686D361" w14:textId="3BD17BBB" w:rsidR="00A25E93" w:rsidRPr="00A25E93" w:rsidRDefault="00D96C63">
          <w:pPr>
            <w:pStyle w:val="TOC1"/>
            <w:rPr>
              <w:rFonts w:ascii="Times New Roman" w:eastAsiaTheme="minorEastAsia" w:hAnsi="Times New Roman"/>
              <w:b w:val="0"/>
              <w:sz w:val="24"/>
              <w:szCs w:val="24"/>
              <w:lang w:val="en-US"/>
            </w:rPr>
          </w:pPr>
          <w:hyperlink w:anchor="_Toc233386991" w:history="1">
            <w:r w:rsidR="00A25E93" w:rsidRPr="00A25E93">
              <w:rPr>
                <w:rStyle w:val="Hyperlink"/>
                <w:rFonts w:ascii="Times New Roman" w:hAnsi="Times New Roman"/>
                <w:sz w:val="24"/>
              </w:rPr>
              <w:t>4. Analyse des affiliés, des bénéficiaires et des allocations accordées</w:t>
            </w:r>
            <w:r w:rsidR="00A25E93" w:rsidRPr="00A25E93">
              <w:rPr>
                <w:rFonts w:ascii="Times New Roman" w:hAnsi="Times New Roman"/>
                <w:webHidden/>
                <w:sz w:val="24"/>
              </w:rPr>
              <w:tab/>
            </w:r>
            <w:r w:rsidR="00A25E93" w:rsidRPr="00A25E93">
              <w:rPr>
                <w:rFonts w:ascii="Times New Roman" w:hAnsi="Times New Roman"/>
                <w:webHidden/>
                <w:sz w:val="24"/>
              </w:rPr>
              <w:fldChar w:fldCharType="begin"/>
            </w:r>
            <w:r w:rsidR="00A25E93" w:rsidRPr="00A25E93">
              <w:rPr>
                <w:rFonts w:ascii="Times New Roman" w:hAnsi="Times New Roman"/>
                <w:webHidden/>
                <w:sz w:val="24"/>
              </w:rPr>
              <w:instrText xml:space="preserve"> PAGEREF _Toc233386991 \h </w:instrText>
            </w:r>
            <w:r w:rsidR="00A25E93" w:rsidRPr="00A25E93">
              <w:rPr>
                <w:rFonts w:ascii="Times New Roman" w:hAnsi="Times New Roman"/>
                <w:webHidden/>
                <w:sz w:val="24"/>
              </w:rPr>
            </w:r>
            <w:r w:rsidR="00A25E93" w:rsidRPr="00A25E93">
              <w:rPr>
                <w:rFonts w:ascii="Times New Roman" w:hAnsi="Times New Roman"/>
                <w:webHidden/>
                <w:sz w:val="24"/>
              </w:rPr>
              <w:fldChar w:fldCharType="separate"/>
            </w:r>
            <w:r w:rsidR="00A25E93" w:rsidRPr="00A25E93">
              <w:rPr>
                <w:rFonts w:ascii="Times New Roman" w:hAnsi="Times New Roman"/>
                <w:webHidden/>
                <w:sz w:val="24"/>
              </w:rPr>
              <w:t>10</w:t>
            </w:r>
            <w:r w:rsidR="00A25E93" w:rsidRPr="00A25E93">
              <w:rPr>
                <w:rFonts w:ascii="Times New Roman" w:hAnsi="Times New Roman"/>
                <w:webHidden/>
                <w:sz w:val="24"/>
              </w:rPr>
              <w:fldChar w:fldCharType="end"/>
            </w:r>
          </w:hyperlink>
        </w:p>
        <w:p w14:paraId="7D67E9EE" w14:textId="6D18A29A"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6992" w:history="1">
            <w:r w:rsidR="00A25E93" w:rsidRPr="00A25E93">
              <w:rPr>
                <w:rStyle w:val="Hyperlink"/>
                <w:rFonts w:ascii="Times New Roman" w:hAnsi="Times New Roman"/>
                <w:noProof/>
                <w:sz w:val="24"/>
              </w:rPr>
              <w:t>4.1 Aspects méthodologiques</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_Toc233386992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10</w:t>
            </w:r>
            <w:r w:rsidR="00A25E93" w:rsidRPr="00A25E93">
              <w:rPr>
                <w:rFonts w:ascii="Times New Roman" w:hAnsi="Times New Roman"/>
                <w:noProof/>
                <w:webHidden/>
                <w:sz w:val="24"/>
              </w:rPr>
              <w:fldChar w:fldCharType="end"/>
            </w:r>
          </w:hyperlink>
        </w:p>
        <w:p w14:paraId="16864A6C" w14:textId="04F21DC4"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6993" w:history="1">
            <w:r w:rsidR="00A25E93" w:rsidRPr="00A25E93">
              <w:rPr>
                <w:rStyle w:val="Hyperlink"/>
                <w:rFonts w:ascii="Times New Roman" w:hAnsi="Times New Roman"/>
                <w:noProof/>
                <w:sz w:val="24"/>
              </w:rPr>
              <w:t>4.2. Nombre d’assurés</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_Toc233386993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10</w:t>
            </w:r>
            <w:r w:rsidR="00A25E93" w:rsidRPr="00A25E93">
              <w:rPr>
                <w:rFonts w:ascii="Times New Roman" w:hAnsi="Times New Roman"/>
                <w:noProof/>
                <w:webHidden/>
                <w:sz w:val="24"/>
              </w:rPr>
              <w:fldChar w:fldCharType="end"/>
            </w:r>
          </w:hyperlink>
        </w:p>
        <w:p w14:paraId="38E1C78F" w14:textId="7E0A4374"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6994" w:history="1">
            <w:r w:rsidR="00A25E93" w:rsidRPr="00A25E93">
              <w:rPr>
                <w:rStyle w:val="Hyperlink"/>
                <w:rFonts w:ascii="Times New Roman" w:hAnsi="Times New Roman"/>
                <w:noProof/>
                <w:sz w:val="24"/>
              </w:rPr>
              <w:t>4.3 Nombre de bénéficiaires du régime d’assurance contre le chômage et «taux de chômage»</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_Toc233386994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11</w:t>
            </w:r>
            <w:r w:rsidR="00A25E93" w:rsidRPr="00A25E93">
              <w:rPr>
                <w:rFonts w:ascii="Times New Roman" w:hAnsi="Times New Roman"/>
                <w:noProof/>
                <w:webHidden/>
                <w:sz w:val="24"/>
              </w:rPr>
              <w:fldChar w:fldCharType="end"/>
            </w:r>
          </w:hyperlink>
        </w:p>
        <w:p w14:paraId="48B186E0" w14:textId="0031FFC1" w:rsidR="00A25E93" w:rsidRPr="00A25E93" w:rsidRDefault="00D96C63">
          <w:pPr>
            <w:pStyle w:val="TOC3"/>
            <w:tabs>
              <w:tab w:val="right" w:leader="dot" w:pos="9016"/>
            </w:tabs>
            <w:rPr>
              <w:rFonts w:ascii="Times New Roman" w:eastAsiaTheme="minorEastAsia" w:hAnsi="Times New Roman"/>
              <w:noProof/>
              <w:sz w:val="24"/>
              <w:szCs w:val="24"/>
              <w:lang w:val="en-US"/>
            </w:rPr>
          </w:pPr>
          <w:hyperlink w:anchor="_Toc233386995" w:history="1">
            <w:r w:rsidR="00A25E93" w:rsidRPr="00A25E93">
              <w:rPr>
                <w:rStyle w:val="Hyperlink"/>
                <w:rFonts w:ascii="Times New Roman" w:hAnsi="Times New Roman"/>
                <w:noProof/>
                <w:sz w:val="24"/>
              </w:rPr>
              <w:t>4.3.1 Nombre de bénéficiaires d’une allocation de chômage</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_Toc233386995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11</w:t>
            </w:r>
            <w:r w:rsidR="00A25E93" w:rsidRPr="00A25E93">
              <w:rPr>
                <w:rFonts w:ascii="Times New Roman" w:hAnsi="Times New Roman"/>
                <w:noProof/>
                <w:webHidden/>
                <w:sz w:val="24"/>
              </w:rPr>
              <w:fldChar w:fldCharType="end"/>
            </w:r>
          </w:hyperlink>
        </w:p>
        <w:p w14:paraId="5D90159E" w14:textId="783DEE14" w:rsidR="00A25E93" w:rsidRPr="00A25E93" w:rsidRDefault="00D96C63">
          <w:pPr>
            <w:pStyle w:val="TOC3"/>
            <w:tabs>
              <w:tab w:val="right" w:leader="dot" w:pos="9016"/>
            </w:tabs>
            <w:rPr>
              <w:rFonts w:ascii="Times New Roman" w:eastAsiaTheme="minorEastAsia" w:hAnsi="Times New Roman"/>
              <w:noProof/>
              <w:sz w:val="24"/>
              <w:szCs w:val="24"/>
              <w:lang w:val="en-US"/>
            </w:rPr>
          </w:pPr>
          <w:hyperlink w:anchor="_Toc233386996" w:history="1">
            <w:r w:rsidR="00A25E93" w:rsidRPr="00A25E93">
              <w:rPr>
                <w:rStyle w:val="Hyperlink"/>
                <w:rFonts w:ascii="Times New Roman" w:hAnsi="Times New Roman"/>
                <w:noProof/>
                <w:sz w:val="24"/>
              </w:rPr>
              <w:t>4.3.2 Taux de chômage au sein des institutions de l’UE</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_Toc233386996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13</w:t>
            </w:r>
            <w:r w:rsidR="00A25E93" w:rsidRPr="00A25E93">
              <w:rPr>
                <w:rFonts w:ascii="Times New Roman" w:hAnsi="Times New Roman"/>
                <w:noProof/>
                <w:webHidden/>
                <w:sz w:val="24"/>
              </w:rPr>
              <w:fldChar w:fldCharType="end"/>
            </w:r>
          </w:hyperlink>
        </w:p>
        <w:p w14:paraId="7B9A2ADB" w14:textId="011DED57"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6997" w:history="1">
            <w:r w:rsidR="00A25E93" w:rsidRPr="00A25E93">
              <w:rPr>
                <w:rStyle w:val="Hyperlink"/>
                <w:rFonts w:ascii="Times New Roman" w:hAnsi="Times New Roman"/>
                <w:noProof/>
                <w:sz w:val="24"/>
              </w:rPr>
              <w:t>4.4 Vue d’ensemble de l’allocation de chômage et de sa durée</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_Toc233386997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16</w:t>
            </w:r>
            <w:r w:rsidR="00A25E93" w:rsidRPr="00A25E93">
              <w:rPr>
                <w:rFonts w:ascii="Times New Roman" w:hAnsi="Times New Roman"/>
                <w:noProof/>
                <w:webHidden/>
                <w:sz w:val="24"/>
              </w:rPr>
              <w:fldChar w:fldCharType="end"/>
            </w:r>
          </w:hyperlink>
        </w:p>
        <w:p w14:paraId="646B194E" w14:textId="11FDE926" w:rsidR="00A25E93" w:rsidRPr="00A25E93" w:rsidRDefault="00D96C63">
          <w:pPr>
            <w:pStyle w:val="TOC3"/>
            <w:tabs>
              <w:tab w:val="right" w:leader="dot" w:pos="9016"/>
            </w:tabs>
            <w:rPr>
              <w:rFonts w:ascii="Times New Roman" w:eastAsiaTheme="minorEastAsia" w:hAnsi="Times New Roman"/>
              <w:noProof/>
              <w:sz w:val="24"/>
              <w:szCs w:val="24"/>
              <w:lang w:val="en-US"/>
            </w:rPr>
          </w:pPr>
          <w:hyperlink w:anchor="_Toc233386998" w:history="1">
            <w:r w:rsidR="00A25E93" w:rsidRPr="00A25E93">
              <w:rPr>
                <w:rStyle w:val="Hyperlink"/>
                <w:rFonts w:ascii="Times New Roman" w:hAnsi="Times New Roman"/>
                <w:noProof/>
                <w:sz w:val="24"/>
              </w:rPr>
              <w:t>4.4.1 Nombre d’allocations de chômage mensuelles versées</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_Toc233386998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16</w:t>
            </w:r>
            <w:r w:rsidR="00A25E93" w:rsidRPr="00A25E93">
              <w:rPr>
                <w:rFonts w:ascii="Times New Roman" w:hAnsi="Times New Roman"/>
                <w:noProof/>
                <w:webHidden/>
                <w:sz w:val="24"/>
              </w:rPr>
              <w:fldChar w:fldCharType="end"/>
            </w:r>
          </w:hyperlink>
        </w:p>
        <w:p w14:paraId="7BB6A803" w14:textId="193EF128" w:rsidR="00A25E93" w:rsidRPr="00A25E93" w:rsidRDefault="00D96C63">
          <w:pPr>
            <w:pStyle w:val="TOC3"/>
            <w:tabs>
              <w:tab w:val="right" w:leader="dot" w:pos="9016"/>
            </w:tabs>
            <w:rPr>
              <w:rFonts w:ascii="Times New Roman" w:eastAsiaTheme="minorEastAsia" w:hAnsi="Times New Roman"/>
              <w:noProof/>
              <w:sz w:val="24"/>
              <w:szCs w:val="24"/>
              <w:lang w:val="en-US"/>
            </w:rPr>
          </w:pPr>
          <w:hyperlink w:anchor="_Toc233386999" w:history="1">
            <w:r w:rsidR="00A25E93" w:rsidRPr="00A25E93">
              <w:rPr>
                <w:rStyle w:val="Hyperlink"/>
                <w:rFonts w:ascii="Times New Roman" w:hAnsi="Times New Roman"/>
                <w:noProof/>
                <w:sz w:val="24"/>
              </w:rPr>
              <w:t>4.4.2 Durée de la période indemnisée</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_Toc233386999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17</w:t>
            </w:r>
            <w:r w:rsidR="00A25E93" w:rsidRPr="00A25E93">
              <w:rPr>
                <w:rFonts w:ascii="Times New Roman" w:hAnsi="Times New Roman"/>
                <w:noProof/>
                <w:webHidden/>
                <w:sz w:val="24"/>
              </w:rPr>
              <w:fldChar w:fldCharType="end"/>
            </w:r>
          </w:hyperlink>
        </w:p>
        <w:p w14:paraId="295883C3" w14:textId="534262E0"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7000" w:history="1">
            <w:r w:rsidR="00A25E93" w:rsidRPr="00A25E93">
              <w:rPr>
                <w:rStyle w:val="Hyperlink"/>
                <w:rFonts w:ascii="Times New Roman" w:hAnsi="Times New Roman"/>
                <w:noProof/>
                <w:sz w:val="24"/>
              </w:rPr>
              <w:t>4.5 Répartition du chômage par pays</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_Toc233387000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18</w:t>
            </w:r>
            <w:r w:rsidR="00A25E93" w:rsidRPr="00A25E93">
              <w:rPr>
                <w:rFonts w:ascii="Times New Roman" w:hAnsi="Times New Roman"/>
                <w:noProof/>
                <w:webHidden/>
                <w:sz w:val="24"/>
              </w:rPr>
              <w:fldChar w:fldCharType="end"/>
            </w:r>
          </w:hyperlink>
        </w:p>
        <w:p w14:paraId="43C38F4E" w14:textId="61F5F67E" w:rsidR="00A25E93" w:rsidRPr="00A25E93" w:rsidRDefault="00D96C63">
          <w:pPr>
            <w:pStyle w:val="TOC1"/>
            <w:rPr>
              <w:rFonts w:ascii="Times New Roman" w:eastAsiaTheme="minorEastAsia" w:hAnsi="Times New Roman"/>
              <w:b w:val="0"/>
              <w:sz w:val="24"/>
              <w:szCs w:val="24"/>
              <w:lang w:val="en-US"/>
            </w:rPr>
          </w:pPr>
          <w:hyperlink w:anchor="_Toc233387001" w:history="1">
            <w:r w:rsidR="00A25E93" w:rsidRPr="00A25E93">
              <w:rPr>
                <w:rStyle w:val="Hyperlink"/>
                <w:rFonts w:ascii="Times New Roman" w:hAnsi="Times New Roman"/>
                <w:sz w:val="24"/>
              </w:rPr>
              <w:t>5. Conclusion</w:t>
            </w:r>
            <w:r w:rsidR="00A25E93" w:rsidRPr="00A25E93">
              <w:rPr>
                <w:rFonts w:ascii="Times New Roman" w:hAnsi="Times New Roman"/>
                <w:webHidden/>
                <w:sz w:val="24"/>
              </w:rPr>
              <w:tab/>
            </w:r>
            <w:r w:rsidR="00A25E93" w:rsidRPr="00A25E93">
              <w:rPr>
                <w:rFonts w:ascii="Times New Roman" w:hAnsi="Times New Roman"/>
                <w:webHidden/>
                <w:sz w:val="24"/>
              </w:rPr>
              <w:fldChar w:fldCharType="begin"/>
            </w:r>
            <w:r w:rsidR="00A25E93" w:rsidRPr="00A25E93">
              <w:rPr>
                <w:rFonts w:ascii="Times New Roman" w:hAnsi="Times New Roman"/>
                <w:webHidden/>
                <w:sz w:val="24"/>
              </w:rPr>
              <w:instrText xml:space="preserve"> PAGEREF _Toc233387001 \h </w:instrText>
            </w:r>
            <w:r w:rsidR="00A25E93" w:rsidRPr="00A25E93">
              <w:rPr>
                <w:rFonts w:ascii="Times New Roman" w:hAnsi="Times New Roman"/>
                <w:webHidden/>
                <w:sz w:val="24"/>
              </w:rPr>
            </w:r>
            <w:r w:rsidR="00A25E93" w:rsidRPr="00A25E93">
              <w:rPr>
                <w:rFonts w:ascii="Times New Roman" w:hAnsi="Times New Roman"/>
                <w:webHidden/>
                <w:sz w:val="24"/>
              </w:rPr>
              <w:fldChar w:fldCharType="separate"/>
            </w:r>
            <w:r w:rsidR="00A25E93" w:rsidRPr="00A25E93">
              <w:rPr>
                <w:rFonts w:ascii="Times New Roman" w:hAnsi="Times New Roman"/>
                <w:webHidden/>
                <w:sz w:val="24"/>
              </w:rPr>
              <w:t>20</w:t>
            </w:r>
            <w:r w:rsidR="00A25E93" w:rsidRPr="00A25E93">
              <w:rPr>
                <w:rFonts w:ascii="Times New Roman" w:hAnsi="Times New Roman"/>
                <w:webHidden/>
                <w:sz w:val="24"/>
              </w:rPr>
              <w:fldChar w:fldCharType="end"/>
            </w:r>
          </w:hyperlink>
        </w:p>
        <w:p w14:paraId="405D7768" w14:textId="35FB6FC7" w:rsidR="00A25E93" w:rsidRPr="00A25E93" w:rsidRDefault="00D96C63">
          <w:pPr>
            <w:pStyle w:val="TOC2"/>
            <w:tabs>
              <w:tab w:val="right" w:leader="dot" w:pos="9016"/>
            </w:tabs>
            <w:rPr>
              <w:rFonts w:ascii="Times New Roman" w:eastAsiaTheme="minorEastAsia" w:hAnsi="Times New Roman"/>
              <w:noProof/>
              <w:sz w:val="24"/>
              <w:szCs w:val="24"/>
              <w:lang w:val="en-US"/>
            </w:rPr>
          </w:pPr>
          <w:hyperlink w:anchor="_Toc233387002" w:history="1">
            <w:r w:rsidR="00A25E93" w:rsidRPr="00A25E93">
              <w:rPr>
                <w:rStyle w:val="Hyperlink"/>
                <w:rFonts w:ascii="Times New Roman" w:hAnsi="Times New Roman"/>
                <w:noProof/>
                <w:sz w:val="24"/>
              </w:rPr>
              <w:t>5.1 Période 2019-2024</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_Toc233387002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20</w:t>
            </w:r>
            <w:r w:rsidR="00A25E93" w:rsidRPr="00A25E93">
              <w:rPr>
                <w:rFonts w:ascii="Times New Roman" w:hAnsi="Times New Roman"/>
                <w:noProof/>
                <w:webHidden/>
                <w:sz w:val="24"/>
              </w:rPr>
              <w:fldChar w:fldCharType="end"/>
            </w:r>
          </w:hyperlink>
        </w:p>
        <w:p w14:paraId="5CBAA2FA" w14:textId="21C8606D" w:rsidR="00A25E93" w:rsidRDefault="00D96C63">
          <w:pPr>
            <w:pStyle w:val="TOC2"/>
            <w:tabs>
              <w:tab w:val="right" w:leader="dot" w:pos="9016"/>
            </w:tabs>
            <w:rPr>
              <w:rFonts w:eastAsiaTheme="minorEastAsia"/>
              <w:noProof/>
              <w:sz w:val="24"/>
              <w:szCs w:val="24"/>
              <w:lang w:val="en-US"/>
            </w:rPr>
          </w:pPr>
          <w:hyperlink w:anchor="_Toc233387003" w:history="1">
            <w:r w:rsidR="00A25E93" w:rsidRPr="00A25E93">
              <w:rPr>
                <w:rStyle w:val="Hyperlink"/>
                <w:rFonts w:ascii="Times New Roman" w:hAnsi="Times New Roman"/>
                <w:noProof/>
                <w:sz w:val="24"/>
              </w:rPr>
              <w:t>5.2 Perspectives du Fonds de chômage à court et moyen terme</w:t>
            </w:r>
            <w:r w:rsidR="00A25E93" w:rsidRPr="00A25E93">
              <w:rPr>
                <w:rFonts w:ascii="Times New Roman" w:hAnsi="Times New Roman"/>
                <w:noProof/>
                <w:webHidden/>
                <w:sz w:val="24"/>
              </w:rPr>
              <w:tab/>
            </w:r>
            <w:r w:rsidR="00A25E93" w:rsidRPr="00A25E93">
              <w:rPr>
                <w:rFonts w:ascii="Times New Roman" w:hAnsi="Times New Roman"/>
                <w:noProof/>
                <w:webHidden/>
                <w:sz w:val="24"/>
              </w:rPr>
              <w:fldChar w:fldCharType="begin"/>
            </w:r>
            <w:r w:rsidR="00A25E93" w:rsidRPr="00A25E93">
              <w:rPr>
                <w:rFonts w:ascii="Times New Roman" w:hAnsi="Times New Roman"/>
                <w:noProof/>
                <w:webHidden/>
                <w:sz w:val="24"/>
              </w:rPr>
              <w:instrText xml:space="preserve"> PAGEREF _Toc233387003 \h </w:instrText>
            </w:r>
            <w:r w:rsidR="00A25E93" w:rsidRPr="00A25E93">
              <w:rPr>
                <w:rFonts w:ascii="Times New Roman" w:hAnsi="Times New Roman"/>
                <w:noProof/>
                <w:webHidden/>
                <w:sz w:val="24"/>
              </w:rPr>
            </w:r>
            <w:r w:rsidR="00A25E93" w:rsidRPr="00A25E93">
              <w:rPr>
                <w:rFonts w:ascii="Times New Roman" w:hAnsi="Times New Roman"/>
                <w:noProof/>
                <w:webHidden/>
                <w:sz w:val="24"/>
              </w:rPr>
              <w:fldChar w:fldCharType="separate"/>
            </w:r>
            <w:r w:rsidR="00A25E93" w:rsidRPr="00A25E93">
              <w:rPr>
                <w:rFonts w:ascii="Times New Roman" w:hAnsi="Times New Roman"/>
                <w:noProof/>
                <w:webHidden/>
                <w:sz w:val="24"/>
              </w:rPr>
              <w:t>20</w:t>
            </w:r>
            <w:r w:rsidR="00A25E93" w:rsidRPr="00A25E93">
              <w:rPr>
                <w:rFonts w:ascii="Times New Roman" w:hAnsi="Times New Roman"/>
                <w:noProof/>
                <w:webHidden/>
                <w:sz w:val="24"/>
              </w:rPr>
              <w:fldChar w:fldCharType="end"/>
            </w:r>
          </w:hyperlink>
        </w:p>
        <w:p w14:paraId="302B0B43" w14:textId="7F0B349F" w:rsidR="00C802F6" w:rsidRDefault="00C802F6" w:rsidP="00E0023E">
          <w:pPr>
            <w:pStyle w:val="TOC2"/>
            <w:tabs>
              <w:tab w:val="right" w:leader="dot" w:pos="9015"/>
            </w:tabs>
            <w:ind w:left="0"/>
            <w:rPr>
              <w:rStyle w:val="Hyperlink"/>
              <w:noProof/>
            </w:rPr>
          </w:pPr>
          <w:r>
            <w:rPr>
              <w:rFonts w:ascii="Times New Roman" w:hAnsi="Times New Roman" w:cs="Times New Roman"/>
              <w:noProof/>
              <w:sz w:val="24"/>
            </w:rPr>
            <w:fldChar w:fldCharType="end"/>
          </w:r>
        </w:p>
      </w:sdtContent>
    </w:sdt>
    <w:p w14:paraId="4F4DF8BE" w14:textId="2937A8AB" w:rsidR="00AA5C3D" w:rsidRDefault="00AA5C3D">
      <w:pPr>
        <w:rPr>
          <w:noProof/>
        </w:rPr>
      </w:pPr>
    </w:p>
    <w:p w14:paraId="0EF686F6" w14:textId="3D26530E" w:rsidR="00664E55" w:rsidRPr="003B4409" w:rsidRDefault="00DA61D3" w:rsidP="009E1A09">
      <w:pPr>
        <w:pStyle w:val="Heading1"/>
        <w:numPr>
          <w:ilvl w:val="0"/>
          <w:numId w:val="26"/>
        </w:numPr>
        <w:rPr>
          <w:noProof/>
        </w:rPr>
      </w:pPr>
      <w:bookmarkStart w:id="2" w:name="_Toc233386980"/>
      <w:r>
        <w:rPr>
          <w:noProof/>
        </w:rPr>
        <w:t>Informations générales</w:t>
      </w:r>
      <w:bookmarkEnd w:id="2"/>
    </w:p>
    <w:p w14:paraId="06B7C196" w14:textId="3C4A6738" w:rsidR="00FE4F22" w:rsidRPr="002F15B8" w:rsidRDefault="00CF531A" w:rsidP="002F618B">
      <w:pPr>
        <w:jc w:val="both"/>
        <w:rPr>
          <w:rFonts w:ascii="Times New Roman" w:hAnsi="Times New Roman" w:cs="Times New Roman"/>
          <w:noProof/>
          <w:sz w:val="24"/>
          <w:szCs w:val="24"/>
        </w:rPr>
      </w:pPr>
      <w:r>
        <w:rPr>
          <w:rFonts w:ascii="Times New Roman" w:hAnsi="Times New Roman"/>
          <w:noProof/>
          <w:sz w:val="24"/>
        </w:rPr>
        <w:t>Conformément au régime applicable aux autres agents (RAA), l’allocation de chômage est destinée à l’ancien agent temporaire (AT), agent contractuel (AC) ou assistant parlementaire accrédité (APA) se trouvant sans emploi contre son gré (excluant, par exemple, les agents démissionnaires) après la cessation de son service auprès d’une institution de l’Union européenne au sens de l’article 1</w:t>
      </w:r>
      <w:r>
        <w:rPr>
          <w:rFonts w:ascii="Times New Roman" w:hAnsi="Times New Roman"/>
          <w:noProof/>
          <w:sz w:val="24"/>
          <w:vertAlign w:val="superscript"/>
        </w:rPr>
        <w:t>er</w:t>
      </w:r>
      <w:r>
        <w:rPr>
          <w:rFonts w:ascii="Times New Roman" w:hAnsi="Times New Roman"/>
          <w:noProof/>
          <w:sz w:val="24"/>
        </w:rPr>
        <w:t> </w:t>
      </w:r>
      <w:r>
        <w:rPr>
          <w:rFonts w:ascii="Times New Roman" w:hAnsi="Times New Roman"/>
          <w:i/>
          <w:iCs/>
          <w:noProof/>
          <w:sz w:val="24"/>
        </w:rPr>
        <w:t>bis</w:t>
      </w:r>
      <w:r>
        <w:rPr>
          <w:rFonts w:ascii="Times New Roman" w:hAnsi="Times New Roman"/>
          <w:noProof/>
          <w:sz w:val="24"/>
        </w:rPr>
        <w:t xml:space="preserve"> et de l’article 1</w:t>
      </w:r>
      <w:r>
        <w:rPr>
          <w:rFonts w:ascii="Times New Roman" w:hAnsi="Times New Roman"/>
          <w:noProof/>
          <w:sz w:val="24"/>
          <w:vertAlign w:val="superscript"/>
        </w:rPr>
        <w:t>er</w:t>
      </w:r>
      <w:r>
        <w:rPr>
          <w:rFonts w:ascii="Times New Roman" w:hAnsi="Times New Roman"/>
          <w:noProof/>
          <w:sz w:val="24"/>
        </w:rPr>
        <w:t> </w:t>
      </w:r>
      <w:r>
        <w:rPr>
          <w:rFonts w:ascii="Times New Roman" w:hAnsi="Times New Roman"/>
          <w:i/>
          <w:iCs/>
          <w:noProof/>
          <w:sz w:val="24"/>
        </w:rPr>
        <w:t>ter</w:t>
      </w:r>
      <w:r>
        <w:rPr>
          <w:rFonts w:ascii="Times New Roman" w:hAnsi="Times New Roman"/>
          <w:noProof/>
          <w:sz w:val="24"/>
        </w:rPr>
        <w:t xml:space="preserve"> du statut des fonctionnaires de l’Union européenne </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Cette allocation vient en complément de l’éventuelle allocation de chômage nationale perçue par l’ancien agent. </w:t>
      </w:r>
    </w:p>
    <w:p w14:paraId="52A7F9D4" w14:textId="29C9459B" w:rsidR="00930F0E" w:rsidRPr="002F15B8" w:rsidRDefault="00CF531A" w:rsidP="00F916B4">
      <w:pPr>
        <w:jc w:val="both"/>
        <w:rPr>
          <w:rFonts w:ascii="Times New Roman" w:hAnsi="Times New Roman" w:cs="Times New Roman"/>
          <w:noProof/>
          <w:sz w:val="24"/>
          <w:szCs w:val="24"/>
        </w:rPr>
      </w:pPr>
      <w:r>
        <w:rPr>
          <w:rFonts w:ascii="Times New Roman" w:hAnsi="Times New Roman"/>
          <w:noProof/>
          <w:sz w:val="24"/>
        </w:rPr>
        <w:t>Ces allocations sont payées par le Fonds de chômage (le «Fonds»)</w:t>
      </w:r>
      <w:r w:rsidR="0032532C">
        <w:rPr>
          <w:rFonts w:ascii="Times New Roman" w:hAnsi="Times New Roman"/>
          <w:noProof/>
          <w:sz w:val="24"/>
        </w:rPr>
        <w:t>, qui</w:t>
      </w:r>
      <w:r>
        <w:rPr>
          <w:rFonts w:ascii="Times New Roman" w:hAnsi="Times New Roman"/>
          <w:noProof/>
          <w:sz w:val="24"/>
        </w:rPr>
        <w:t xml:space="preserve"> est financé d’une part par les cotisations des agents couverts par le RAA, potentiellement bénéficiaires et, d’autre part, par les cotisations de l’employeur desdits agents.</w:t>
      </w:r>
    </w:p>
    <w:p w14:paraId="437AA7FC" w14:textId="2E9834C0" w:rsidR="000866C2" w:rsidRPr="00D45CAD" w:rsidRDefault="00E46825" w:rsidP="00D45CAD">
      <w:pPr>
        <w:jc w:val="both"/>
        <w:rPr>
          <w:b/>
          <w:bCs/>
          <w:noProof/>
        </w:rPr>
      </w:pPr>
      <w:r>
        <w:rPr>
          <w:rFonts w:ascii="Times New Roman" w:hAnsi="Times New Roman"/>
          <w:noProof/>
          <w:sz w:val="24"/>
        </w:rPr>
        <w:t>L’article 28 </w:t>
      </w:r>
      <w:r>
        <w:rPr>
          <w:rFonts w:ascii="Times New Roman" w:hAnsi="Times New Roman"/>
          <w:i/>
          <w:iCs/>
          <w:noProof/>
          <w:sz w:val="24"/>
        </w:rPr>
        <w:t>bis</w:t>
      </w:r>
      <w:r>
        <w:rPr>
          <w:rFonts w:ascii="Times New Roman" w:hAnsi="Times New Roman"/>
          <w:noProof/>
          <w:sz w:val="24"/>
        </w:rPr>
        <w:t>, paragraphe 11, et l’article 96, paragraphe 11, du RAA prévoient une obligation pour la Commission de présenter tous les deux ans un rapport sur la situation financière du régime d’assurance contre le chômage. Pour faciliter le suivi de l’évolution du Fonds, la Commission établit toujours ce rapport bisannuel pour une période de référence de cinq ans. Le rapport précédent couvrait la période 2017-2022, la période de référence du présent rapport s’étend de 2019 à 2024.</w:t>
      </w:r>
    </w:p>
    <w:p w14:paraId="6530372A" w14:textId="40F6C2B1" w:rsidR="00C4326F" w:rsidRPr="00D45CAD" w:rsidRDefault="00C4326F" w:rsidP="009D024C">
      <w:pPr>
        <w:pStyle w:val="Heading2"/>
        <w:numPr>
          <w:ilvl w:val="1"/>
          <w:numId w:val="25"/>
        </w:numPr>
        <w:rPr>
          <w:noProof/>
        </w:rPr>
      </w:pPr>
      <w:bookmarkStart w:id="3" w:name="_Toc233386981"/>
      <w:r>
        <w:rPr>
          <w:noProof/>
        </w:rPr>
        <w:t>Structure du rapport</w:t>
      </w:r>
      <w:bookmarkEnd w:id="3"/>
    </w:p>
    <w:p w14:paraId="5B2215D6" w14:textId="45CD3F07" w:rsidR="00C4326F" w:rsidRPr="00D45CAD" w:rsidRDefault="4D61433D" w:rsidP="7E3AAFD6">
      <w:pPr>
        <w:jc w:val="both"/>
        <w:rPr>
          <w:rFonts w:ascii="Times New Roman" w:hAnsi="Times New Roman" w:cs="Times New Roman"/>
          <w:noProof/>
          <w:sz w:val="24"/>
          <w:szCs w:val="24"/>
        </w:rPr>
      </w:pPr>
      <w:r>
        <w:rPr>
          <w:rFonts w:ascii="Times New Roman" w:hAnsi="Times New Roman"/>
          <w:noProof/>
          <w:sz w:val="24"/>
        </w:rPr>
        <w:t xml:space="preserve">Après un bref résumé des principaux enseignements livré par le rapport, le chapitre 2 présente un aperçu du cadre juridique, y compris des principales caractéristiques du régime de chômage ainsi que des références juridiques pertinentes. </w:t>
      </w:r>
    </w:p>
    <w:p w14:paraId="41317C80" w14:textId="4476ED71" w:rsidR="00C4326F" w:rsidRPr="00D45CAD" w:rsidRDefault="53EE67C0" w:rsidP="7E3AAFD6">
      <w:pPr>
        <w:jc w:val="both"/>
        <w:rPr>
          <w:rFonts w:ascii="Times New Roman" w:hAnsi="Times New Roman" w:cs="Times New Roman"/>
          <w:noProof/>
          <w:sz w:val="24"/>
          <w:szCs w:val="24"/>
        </w:rPr>
      </w:pPr>
      <w:r>
        <w:rPr>
          <w:rFonts w:ascii="Times New Roman" w:hAnsi="Times New Roman"/>
          <w:noProof/>
          <w:sz w:val="24"/>
        </w:rPr>
        <w:t xml:space="preserve">Le chapitre 3 est consacré aux aspects financiers du Fonds au cours de la période de référence et met en évidence l’évolution des recettes, des dépenses ainsi que du solde cumulé. </w:t>
      </w:r>
    </w:p>
    <w:p w14:paraId="3A8E06B8" w14:textId="4F2E7E28" w:rsidR="001645BF" w:rsidRDefault="53EE67C0" w:rsidP="7E3AAFD6">
      <w:pPr>
        <w:jc w:val="both"/>
        <w:rPr>
          <w:rFonts w:ascii="Times New Roman" w:hAnsi="Times New Roman" w:cs="Times New Roman"/>
          <w:noProof/>
          <w:sz w:val="24"/>
          <w:szCs w:val="24"/>
        </w:rPr>
      </w:pPr>
      <w:r>
        <w:rPr>
          <w:rFonts w:ascii="Times New Roman" w:hAnsi="Times New Roman"/>
          <w:noProof/>
          <w:sz w:val="24"/>
        </w:rPr>
        <w:t xml:space="preserve">Le chapitre 4 analyse les aspects démographiques relatifs aux affiliés et aux bénéficiaires du régime ainsi que d’autres caractéristiques clés telles que la durée de la période indemnisée et la répartition des pays de résidence. </w:t>
      </w:r>
    </w:p>
    <w:p w14:paraId="772F3903" w14:textId="75814A0C" w:rsidR="001645BF" w:rsidRPr="002721B3" w:rsidRDefault="001645BF" w:rsidP="7E3AAFD6">
      <w:pPr>
        <w:jc w:val="both"/>
        <w:rPr>
          <w:rFonts w:ascii="Times New Roman" w:hAnsi="Times New Roman" w:cs="Times New Roman"/>
          <w:noProof/>
          <w:sz w:val="24"/>
          <w:szCs w:val="24"/>
        </w:rPr>
      </w:pPr>
      <w:r>
        <w:rPr>
          <w:rFonts w:ascii="Times New Roman" w:hAnsi="Times New Roman"/>
          <w:noProof/>
          <w:sz w:val="24"/>
        </w:rPr>
        <w:t>Le rapport se conclut par quelques considérations sur l’avenir.</w:t>
      </w:r>
    </w:p>
    <w:p w14:paraId="16EF24FE" w14:textId="2046BB42" w:rsidR="007527B6" w:rsidRPr="007527B6" w:rsidRDefault="007527B6" w:rsidP="002840D9">
      <w:pPr>
        <w:jc w:val="both"/>
        <w:rPr>
          <w:noProof/>
        </w:rPr>
      </w:pPr>
      <w:r>
        <w:rPr>
          <w:noProof/>
          <w:lang w:val="en-GB" w:eastAsia="en-GB"/>
        </w:rPr>
        <mc:AlternateContent>
          <mc:Choice Requires="wps">
            <w:drawing>
              <wp:anchor distT="0" distB="0" distL="114300" distR="114300" simplePos="0" relativeHeight="251658242" behindDoc="0" locked="0" layoutInCell="1" allowOverlap="1" wp14:anchorId="2164773D" wp14:editId="5916DA7E">
                <wp:simplePos x="0" y="0"/>
                <wp:positionH relativeFrom="margin">
                  <wp:align>left</wp:align>
                </wp:positionH>
                <wp:positionV relativeFrom="paragraph">
                  <wp:posOffset>0</wp:posOffset>
                </wp:positionV>
                <wp:extent cx="5880100" cy="8883650"/>
                <wp:effectExtent l="0" t="0" r="25400" b="12700"/>
                <wp:wrapTopAndBottom/>
                <wp:docPr id="1501662131" name="Rectangle: Rounded Corners 1"/>
                <wp:cNvGraphicFramePr/>
                <a:graphic xmlns:a="http://schemas.openxmlformats.org/drawingml/2006/main">
                  <a:graphicData uri="http://schemas.microsoft.com/office/word/2010/wordprocessingShape">
                    <wps:wsp>
                      <wps:cNvSpPr/>
                      <wps:spPr>
                        <a:xfrm>
                          <a:off x="0" y="0"/>
                          <a:ext cx="5880100" cy="8883650"/>
                        </a:xfrm>
                        <a:prstGeom prst="roundRect">
                          <a:avLst>
                            <a:gd name="adj" fmla="val 4486"/>
                          </a:avLst>
                        </a:prstGeom>
                        <a:solidFill>
                          <a:srgbClr val="4472C4">
                            <a:alpha val="30196"/>
                          </a:srgb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EE7AF5C" w14:textId="77777777" w:rsidR="00B47451" w:rsidRPr="002721B3" w:rsidRDefault="00B47451" w:rsidP="00B47451">
                            <w:pPr>
                              <w:jc w:val="center"/>
                              <w:rPr>
                                <w:rFonts w:ascii="Times New Roman" w:hAnsi="Times New Roman" w:cs="Times New Roman"/>
                                <w:b/>
                                <w:bCs/>
                                <w:color w:val="000000" w:themeColor="text1"/>
                                <w:sz w:val="32"/>
                                <w:szCs w:val="32"/>
                              </w:rPr>
                            </w:pPr>
                            <w:r>
                              <w:rPr>
                                <w:rFonts w:ascii="Times New Roman" w:hAnsi="Times New Roman"/>
                                <w:b/>
                                <w:color w:val="000000" w:themeColor="text1"/>
                                <w:sz w:val="32"/>
                              </w:rPr>
                              <w:t>Principaux enseignements à tirer entre 2019 et 2024:</w:t>
                            </w:r>
                          </w:p>
                          <w:tbl>
                            <w:tblPr>
                              <w:tblStyle w:val="TableGrid"/>
                              <w:tblW w:w="103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8676"/>
                            </w:tblGrid>
                            <w:tr w:rsidR="00B47451" w:rsidRPr="002721B3" w14:paraId="32D42CB6" w14:textId="77777777" w:rsidTr="00071AAD">
                              <w:trPr>
                                <w:jc w:val="center"/>
                              </w:trPr>
                              <w:tc>
                                <w:tcPr>
                                  <w:tcW w:w="1656" w:type="dxa"/>
                                  <w:vAlign w:val="center"/>
                                </w:tcPr>
                                <w:p w14:paraId="393F0CE7" w14:textId="77777777" w:rsidR="00B47451" w:rsidRPr="002721B3" w:rsidRDefault="00B47451" w:rsidP="00B701D2">
                                  <w:pPr>
                                    <w:rPr>
                                      <w:rFonts w:ascii="Times New Roman" w:hAnsi="Times New Roman" w:cs="Times New Roman"/>
                                    </w:rPr>
                                  </w:pPr>
                                  <w:r>
                                    <w:rPr>
                                      <w:rFonts w:ascii="Times New Roman" w:hAnsi="Times New Roman"/>
                                      <w:noProof/>
                                      <w:lang w:val="en-GB" w:eastAsia="en-GB"/>
                                    </w:rPr>
                                    <w:drawing>
                                      <wp:inline distT="0" distB="0" distL="0" distR="0" wp14:anchorId="7D945387" wp14:editId="4DDBEABE">
                                        <wp:extent cx="882869" cy="613410"/>
                                        <wp:effectExtent l="0" t="0" r="0" b="0"/>
                                        <wp:docPr id="101470286" name="Graphic 2" descr="Icône e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75518" name="Graphic 1277275518" descr="Euro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19"/>
                                                    </a:ext>
                                                  </a:extLst>
                                                </a:blip>
                                                <a:stretch>
                                                  <a:fillRect/>
                                                </a:stretch>
                                              </pic:blipFill>
                                              <pic:spPr>
                                                <a:xfrm>
                                                  <a:off x="0" y="0"/>
                                                  <a:ext cx="882869" cy="613410"/>
                                                </a:xfrm>
                                                <a:prstGeom prst="rect">
                                                  <a:avLst/>
                                                </a:prstGeom>
                                              </pic:spPr>
                                            </pic:pic>
                                          </a:graphicData>
                                        </a:graphic>
                                      </wp:inline>
                                    </w:drawing>
                                  </w:r>
                                </w:p>
                              </w:tc>
                              <w:tc>
                                <w:tcPr>
                                  <w:tcW w:w="8676" w:type="dxa"/>
                                  <w:vAlign w:val="center"/>
                                </w:tcPr>
                                <w:p w14:paraId="42DEC166" w14:textId="776E32A9" w:rsidR="00B47451" w:rsidRPr="002721B3" w:rsidRDefault="00071AAD" w:rsidP="00B701D2">
                                  <w:pPr>
                                    <w:rPr>
                                      <w:rFonts w:ascii="Times New Roman" w:hAnsi="Times New Roman" w:cs="Times New Roman"/>
                                      <w:color w:val="000000" w:themeColor="text1"/>
                                    </w:rPr>
                                  </w:pPr>
                                  <w:r w:rsidRPr="00071AAD">
                                    <w:rPr>
                                      <w:rFonts w:ascii="Times New Roman" w:hAnsi="Times New Roman"/>
                                      <w:noProof/>
                                      <w:lang w:val="en-GB" w:eastAsia="en-GB"/>
                                    </w:rPr>
                                    <w:drawing>
                                      <wp:inline distT="0" distB="0" distL="0" distR="0" wp14:anchorId="599A63D2" wp14:editId="68E69A1D">
                                        <wp:extent cx="4106917" cy="1505585"/>
                                        <wp:effectExtent l="0" t="0" r="8255" b="18415"/>
                                        <wp:docPr id="1130545364" name="Chart 1">
                                          <a:extLst xmlns:a="http://schemas.openxmlformats.org/drawingml/2006/main">
                                            <a:ext uri="{FF2B5EF4-FFF2-40B4-BE49-F238E27FC236}">
                                              <a16:creationId xmlns:a16="http://schemas.microsoft.com/office/drawing/2014/main" id="{F42E2776-01D0-CFE2-1916-5EBBA64E7A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AE4AD5" w14:textId="77777777" w:rsidR="00B47451" w:rsidRPr="002721B3" w:rsidRDefault="00B47451" w:rsidP="00B701D2">
                                  <w:pPr>
                                    <w:rPr>
                                      <w:rFonts w:ascii="Times New Roman" w:hAnsi="Times New Roman" w:cs="Times New Roman"/>
                                      <w:color w:val="000000" w:themeColor="text1"/>
                                    </w:rPr>
                                  </w:pPr>
                                  <w:r>
                                    <w:rPr>
                                      <w:rFonts w:ascii="Times New Roman" w:hAnsi="Times New Roman"/>
                                      <w:color w:val="000000" w:themeColor="text1"/>
                                    </w:rPr>
                                    <w:t xml:space="preserve">Les </w:t>
                                  </w:r>
                                  <w:r>
                                    <w:rPr>
                                      <w:rFonts w:ascii="Times New Roman" w:hAnsi="Times New Roman"/>
                                      <w:b/>
                                      <w:bCs/>
                                      <w:color w:val="000000" w:themeColor="text1"/>
                                    </w:rPr>
                                    <w:t>réserves du Fonds</w:t>
                                  </w:r>
                                  <w:r>
                                    <w:rPr>
                                      <w:rFonts w:ascii="Times New Roman" w:hAnsi="Times New Roman"/>
                                      <w:color w:val="000000" w:themeColor="text1"/>
                                    </w:rPr>
                                    <w:t xml:space="preserve"> ont augmenté au cours de la période de référence, atteignant fin 2024 plus de 106 millions d’EUR, contre environ 31 millions d’EUR en 2019.</w:t>
                                  </w:r>
                                </w:p>
                                <w:p w14:paraId="1779B2FC" w14:textId="77777777" w:rsidR="00B47451" w:rsidRPr="002721B3" w:rsidRDefault="00B47451" w:rsidP="00B701D2">
                                  <w:pPr>
                                    <w:rPr>
                                      <w:rFonts w:ascii="Times New Roman" w:hAnsi="Times New Roman" w:cs="Times New Roman"/>
                                      <w:color w:val="000000" w:themeColor="text1"/>
                                    </w:rPr>
                                  </w:pPr>
                                </w:p>
                              </w:tc>
                            </w:tr>
                            <w:tr w:rsidR="00B47451" w:rsidRPr="002721B3" w14:paraId="4A63B4F7" w14:textId="77777777" w:rsidTr="00071AAD">
                              <w:trPr>
                                <w:jc w:val="center"/>
                              </w:trPr>
                              <w:tc>
                                <w:tcPr>
                                  <w:tcW w:w="1656" w:type="dxa"/>
                                  <w:vAlign w:val="center"/>
                                </w:tcPr>
                                <w:p w14:paraId="10C420AE" w14:textId="77777777" w:rsidR="00B47451" w:rsidRPr="002721B3" w:rsidRDefault="00B47451" w:rsidP="00B701D2">
                                  <w:pPr>
                                    <w:rPr>
                                      <w:rFonts w:ascii="Times New Roman" w:hAnsi="Times New Roman" w:cs="Times New Roman"/>
                                      <w:noProof/>
                                    </w:rPr>
                                  </w:pPr>
                                  <w:r>
                                    <w:rPr>
                                      <w:rFonts w:ascii="Times New Roman" w:hAnsi="Times New Roman"/>
                                      <w:noProof/>
                                      <w:lang w:val="en-GB" w:eastAsia="en-GB"/>
                                    </w:rPr>
                                    <w:drawing>
                                      <wp:inline distT="0" distB="0" distL="0" distR="0" wp14:anchorId="3151CF8E" wp14:editId="2A9436AE">
                                        <wp:extent cx="914400" cy="914400"/>
                                        <wp:effectExtent l="0" t="0" r="0" b="0"/>
                                        <wp:docPr id="749467323" name="Graphic 3" descr="Icône grou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8565" name="Graphic 44268565" descr="Group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2"/>
                                                    </a:ext>
                                                  </a:extLst>
                                                </a:blip>
                                                <a:stretch>
                                                  <a:fillRect/>
                                                </a:stretch>
                                              </pic:blipFill>
                                              <pic:spPr>
                                                <a:xfrm>
                                                  <a:off x="0" y="0"/>
                                                  <a:ext cx="914400" cy="914400"/>
                                                </a:xfrm>
                                                <a:prstGeom prst="rect">
                                                  <a:avLst/>
                                                </a:prstGeom>
                                              </pic:spPr>
                                            </pic:pic>
                                          </a:graphicData>
                                        </a:graphic>
                                      </wp:inline>
                                    </w:drawing>
                                  </w:r>
                                </w:p>
                              </w:tc>
                              <w:tc>
                                <w:tcPr>
                                  <w:tcW w:w="8676" w:type="dxa"/>
                                  <w:vAlign w:val="center"/>
                                </w:tcPr>
                                <w:p w14:paraId="4F266F87" w14:textId="1F9CB041" w:rsidR="00B47451" w:rsidRPr="002721B3" w:rsidRDefault="00071AAD" w:rsidP="00B701D2">
                                  <w:pPr>
                                    <w:rPr>
                                      <w:rFonts w:ascii="Times New Roman" w:hAnsi="Times New Roman" w:cs="Times New Roman"/>
                                      <w:noProof/>
                                      <w:color w:val="000000" w:themeColor="text1"/>
                                    </w:rPr>
                                  </w:pPr>
                                  <w:r w:rsidRPr="00071AAD">
                                    <w:rPr>
                                      <w:rFonts w:ascii="Times New Roman" w:hAnsi="Times New Roman"/>
                                      <w:noProof/>
                                      <w:lang w:val="en-GB" w:eastAsia="en-GB"/>
                                    </w:rPr>
                                    <w:drawing>
                                      <wp:inline distT="0" distB="0" distL="0" distR="0" wp14:anchorId="59225E3E" wp14:editId="4A574227">
                                        <wp:extent cx="4942490" cy="2861442"/>
                                        <wp:effectExtent l="0" t="0" r="10795" b="15240"/>
                                        <wp:docPr id="1156347366" name="Chart 1">
                                          <a:extLst xmlns:a="http://schemas.openxmlformats.org/drawingml/2006/main">
                                            <a:ext uri="{FF2B5EF4-FFF2-40B4-BE49-F238E27FC236}">
                                              <a16:creationId xmlns:a16="http://schemas.microsoft.com/office/drawing/2014/main" id="{E408C1EA-0368-4536-BED2-B256FADFD053}"/>
                                            </a:ext>
                                            <a:ext uri="{147F2762-F138-4A5C-976F-8EAC2B608ADB}">
                                              <a16:predDERef xmlns:a16="http://schemas.microsoft.com/office/drawing/2014/main" pred="{49FC7227-F6DF-E58A-0EF0-667B9FFE79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91705A" w14:textId="77777777" w:rsidR="00B47451" w:rsidRPr="002721B3" w:rsidRDefault="00B47451" w:rsidP="00B701D2">
                                  <w:pPr>
                                    <w:rPr>
                                      <w:rFonts w:ascii="Times New Roman" w:hAnsi="Times New Roman" w:cs="Times New Roman"/>
                                      <w:noProof/>
                                      <w:color w:val="000000" w:themeColor="text1"/>
                                    </w:rPr>
                                  </w:pPr>
                                  <w:r>
                                    <w:rPr>
                                      <w:rFonts w:ascii="Times New Roman" w:hAnsi="Times New Roman"/>
                                      <w:color w:val="000000" w:themeColor="text1"/>
                                    </w:rPr>
                                    <w:t>Le nombre d’</w:t>
                                  </w:r>
                                  <w:r>
                                    <w:rPr>
                                      <w:rFonts w:ascii="Times New Roman" w:hAnsi="Times New Roman"/>
                                      <w:b/>
                                      <w:bCs/>
                                      <w:color w:val="000000" w:themeColor="text1"/>
                                    </w:rPr>
                                    <w:t>affiliés</w:t>
                                  </w:r>
                                  <w:r>
                                    <w:rPr>
                                      <w:rFonts w:ascii="Times New Roman" w:hAnsi="Times New Roman"/>
                                      <w:color w:val="000000" w:themeColor="text1"/>
                                    </w:rPr>
                                    <w:t xml:space="preserve"> a augmenté à plus de 36 689 (soit une hausse de 33 % par rapport à 2019). Dans le même temps, le nombre de </w:t>
                                  </w:r>
                                  <w:r>
                                    <w:rPr>
                                      <w:rFonts w:ascii="Times New Roman" w:hAnsi="Times New Roman"/>
                                      <w:b/>
                                      <w:bCs/>
                                      <w:color w:val="000000" w:themeColor="text1"/>
                                    </w:rPr>
                                    <w:t>bénéficiaires</w:t>
                                  </w:r>
                                  <w:r>
                                    <w:rPr>
                                      <w:rFonts w:ascii="Times New Roman" w:hAnsi="Times New Roman"/>
                                      <w:color w:val="000000" w:themeColor="text1"/>
                                    </w:rPr>
                                    <w:t xml:space="preserve"> a chuté d’un tiers, à 754.</w:t>
                                  </w:r>
                                </w:p>
                                <w:p w14:paraId="368FEC29" w14:textId="77777777" w:rsidR="00B47451" w:rsidRPr="002721B3" w:rsidRDefault="00B47451" w:rsidP="00B701D2">
                                  <w:pPr>
                                    <w:rPr>
                                      <w:rFonts w:ascii="Times New Roman" w:hAnsi="Times New Roman" w:cs="Times New Roman"/>
                                      <w:noProof/>
                                      <w:color w:val="000000" w:themeColor="text1"/>
                                    </w:rPr>
                                  </w:pPr>
                                </w:p>
                              </w:tc>
                            </w:tr>
                            <w:tr w:rsidR="00B47451" w:rsidRPr="002721B3" w14:paraId="53009EC5" w14:textId="77777777" w:rsidTr="00071AAD">
                              <w:trPr>
                                <w:jc w:val="center"/>
                              </w:trPr>
                              <w:tc>
                                <w:tcPr>
                                  <w:tcW w:w="1656" w:type="dxa"/>
                                  <w:vAlign w:val="center"/>
                                </w:tcPr>
                                <w:p w14:paraId="6E2239ED" w14:textId="77777777" w:rsidR="00B47451" w:rsidRPr="002721B3" w:rsidRDefault="00B47451" w:rsidP="00B701D2">
                                  <w:pPr>
                                    <w:rPr>
                                      <w:rFonts w:ascii="Times New Roman" w:hAnsi="Times New Roman" w:cs="Times New Roman"/>
                                    </w:rPr>
                                  </w:pPr>
                                  <w:r>
                                    <w:rPr>
                                      <w:rFonts w:ascii="Times New Roman" w:hAnsi="Times New Roman"/>
                                      <w:noProof/>
                                      <w:lang w:val="en-GB" w:eastAsia="en-GB"/>
                                    </w:rPr>
                                    <w:drawing>
                                      <wp:inline distT="0" distB="0" distL="0" distR="0" wp14:anchorId="2186A93C" wp14:editId="46171932">
                                        <wp:extent cx="914400" cy="914400"/>
                                        <wp:effectExtent l="0" t="0" r="0" b="0"/>
                                        <wp:docPr id="456011320" name="Graphic 1" descr="Icône pièces de monna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descr="Philanthropy with solid fill"/>
                                                <pic:cNvPicPr>
                                                  <a:picLocks noChangeAspect="1"/>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tretch>
                                                  <a:fillRect/>
                                                </a:stretch>
                                              </pic:blipFill>
                                              <pic:spPr>
                                                <a:xfrm>
                                                  <a:off x="0" y="0"/>
                                                  <a:ext cx="914400" cy="914400"/>
                                                </a:xfrm>
                                                <a:prstGeom prst="rect">
                                                  <a:avLst/>
                                                </a:prstGeom>
                                              </pic:spPr>
                                            </pic:pic>
                                          </a:graphicData>
                                        </a:graphic>
                                      </wp:inline>
                                    </w:drawing>
                                  </w:r>
                                </w:p>
                              </w:tc>
                              <w:tc>
                                <w:tcPr>
                                  <w:tcW w:w="8676" w:type="dxa"/>
                                  <w:vAlign w:val="center"/>
                                </w:tcPr>
                                <w:p w14:paraId="32151CE7" w14:textId="6063FA6B" w:rsidR="00B47451" w:rsidRPr="002721B3" w:rsidRDefault="00071AAD" w:rsidP="00B701D2">
                                  <w:pPr>
                                    <w:rPr>
                                      <w:rFonts w:ascii="Times New Roman" w:hAnsi="Times New Roman" w:cs="Times New Roman"/>
                                      <w:color w:val="000000" w:themeColor="text1"/>
                                    </w:rPr>
                                  </w:pPr>
                                  <w:r w:rsidRPr="00071AAD">
                                    <w:rPr>
                                      <w:rFonts w:ascii="Times New Roman" w:hAnsi="Times New Roman"/>
                                      <w:noProof/>
                                      <w:lang w:val="en-GB" w:eastAsia="en-GB"/>
                                    </w:rPr>
                                    <w:drawing>
                                      <wp:inline distT="0" distB="0" distL="0" distR="0" wp14:anchorId="768AB84E" wp14:editId="366FDEB0">
                                        <wp:extent cx="4540469" cy="2388476"/>
                                        <wp:effectExtent l="0" t="0" r="12700" b="12065"/>
                                        <wp:docPr id="1201315221" name="Chart 1">
                                          <a:extLst xmlns:a="http://schemas.openxmlformats.org/drawingml/2006/main">
                                            <a:ext uri="{FF2B5EF4-FFF2-40B4-BE49-F238E27FC236}">
                                              <a16:creationId xmlns:a16="http://schemas.microsoft.com/office/drawing/2014/main" id="{E69AB561-B63B-4768-B8F9-24E57AD6DE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F02A1A8" w14:textId="77777777" w:rsidR="00B47451" w:rsidRPr="002721B3" w:rsidRDefault="00B47451" w:rsidP="00B701D2">
                                  <w:pPr>
                                    <w:rPr>
                                      <w:rFonts w:ascii="Times New Roman" w:hAnsi="Times New Roman" w:cs="Times New Roman"/>
                                      <w:color w:val="000000" w:themeColor="text1"/>
                                    </w:rPr>
                                  </w:pPr>
                                  <w:r>
                                    <w:rPr>
                                      <w:rFonts w:ascii="Times New Roman" w:hAnsi="Times New Roman"/>
                                      <w:color w:val="000000" w:themeColor="text1"/>
                                    </w:rPr>
                                    <w:t xml:space="preserve">Le </w:t>
                                  </w:r>
                                  <w:r>
                                    <w:rPr>
                                      <w:rFonts w:ascii="Times New Roman" w:hAnsi="Times New Roman"/>
                                      <w:b/>
                                      <w:bCs/>
                                      <w:color w:val="000000" w:themeColor="text1"/>
                                    </w:rPr>
                                    <w:t>nombre d’allocations de chômage</w:t>
                                  </w:r>
                                  <w:r>
                                    <w:rPr>
                                      <w:rFonts w:ascii="Times New Roman" w:hAnsi="Times New Roman"/>
                                      <w:color w:val="000000" w:themeColor="text1"/>
                                    </w:rPr>
                                    <w:t xml:space="preserve"> versées a progressé dans toutes les catégories. Les allocations moyennes versées aux AC ont enregistré une légère hausse, alors qu’elles ont légèrement diminué pour les AT et les APA. </w:t>
                                  </w:r>
                                </w:p>
                              </w:tc>
                            </w:tr>
                          </w:tbl>
                          <w:p w14:paraId="59D7C567" w14:textId="77777777" w:rsidR="00B47451" w:rsidRPr="002721B3" w:rsidRDefault="00B47451" w:rsidP="00B47451">
                            <w:pPr>
                              <w:jc w:val="center"/>
                              <w:rPr>
                                <w:rFonts w:ascii="Times New Roman" w:hAnsi="Times New Roman" w:cs="Times New Roman"/>
                              </w:rPr>
                            </w:pPr>
                          </w:p>
                          <w:p w14:paraId="45BCF874" w14:textId="77777777" w:rsidR="00B47451" w:rsidRDefault="00B47451" w:rsidP="00B4745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64773D" id="Rectangle: Rounded Corners 1" o:spid="_x0000_s1026" style="position:absolute;left:0;text-align:left;margin-left:0;margin-top:0;width:463pt;height:699.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29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" fillcolor="#4472c4" strokecolor="#09101d [484]" strokeweight="1pt">
                <v:fill opacity="19789f"/>
                <v:stroke joinstyle="miter"/>
                <v:textbox>
                  <w:txbxContent>
                    <w:p w14:paraId="1EE7AF5C" w14:textId="77777777" w:rsidR="00B47451" w:rsidRPr="002721B3" w:rsidRDefault="00B47451" w:rsidP="00B47451">
                      <w:pPr>
                        <w:jc w:val="center"/>
                        <w:rPr>
                          <w:rFonts w:ascii="Times New Roman" w:hAnsi="Times New Roman" w:cs="Times New Roman"/>
                          <w:b/>
                          <w:bCs/>
                          <w:color w:val="000000" w:themeColor="text1"/>
                          <w:sz w:val="32"/>
                          <w:szCs w:val="32"/>
                        </w:rPr>
                      </w:pPr>
                      <w:r>
                        <w:rPr>
                          <w:rFonts w:ascii="Times New Roman" w:hAnsi="Times New Roman"/>
                          <w:b/>
                          <w:color w:val="000000" w:themeColor="text1"/>
                          <w:sz w:val="32"/>
                        </w:rPr>
                        <w:t>Principaux enseignements à tirer entre 2019 et 2024:</w:t>
                      </w:r>
                    </w:p>
                    <w:tbl>
                      <w:tblPr>
                        <w:tblStyle w:val="TableGrid"/>
                        <w:tblW w:w="103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8676"/>
                      </w:tblGrid>
                      <w:tr w:rsidR="00B47451" w:rsidRPr="002721B3" w14:paraId="32D42CB6" w14:textId="77777777" w:rsidTr="00071AAD">
                        <w:trPr>
                          <w:jc w:val="center"/>
                        </w:trPr>
                        <w:tc>
                          <w:tcPr>
                            <w:tcW w:w="1656" w:type="dxa"/>
                            <w:vAlign w:val="center"/>
                          </w:tcPr>
                          <w:p w14:paraId="393F0CE7" w14:textId="77777777" w:rsidR="00B47451" w:rsidRPr="002721B3" w:rsidRDefault="00B47451" w:rsidP="00B701D2">
                            <w:pPr>
                              <w:rPr>
                                <w:rFonts w:ascii="Times New Roman" w:hAnsi="Times New Roman" w:cs="Times New Roman"/>
                              </w:rPr>
                            </w:pPr>
                            <w:r>
                              <w:rPr>
                                <w:rFonts w:ascii="Times New Roman" w:hAnsi="Times New Roman"/>
                                <w:noProof/>
                                <w:lang w:val="en-GB" w:eastAsia="en-GB"/>
                              </w:rPr>
                              <w:drawing>
                                <wp:inline distT="0" distB="0" distL="0" distR="0" wp14:anchorId="7D945387" wp14:editId="4DDBEABE">
                                  <wp:extent cx="882869" cy="613410"/>
                                  <wp:effectExtent l="0" t="0" r="0" b="0"/>
                                  <wp:docPr id="101470286" name="Graphic 2" descr="Icône e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75518" name="Graphic 1277275518" descr="Euro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19"/>
                                              </a:ext>
                                            </a:extLst>
                                          </a:blip>
                                          <a:stretch>
                                            <a:fillRect/>
                                          </a:stretch>
                                        </pic:blipFill>
                                        <pic:spPr>
                                          <a:xfrm>
                                            <a:off x="0" y="0"/>
                                            <a:ext cx="882869" cy="613410"/>
                                          </a:xfrm>
                                          <a:prstGeom prst="rect">
                                            <a:avLst/>
                                          </a:prstGeom>
                                        </pic:spPr>
                                      </pic:pic>
                                    </a:graphicData>
                                  </a:graphic>
                                </wp:inline>
                              </w:drawing>
                            </w:r>
                          </w:p>
                        </w:tc>
                        <w:tc>
                          <w:tcPr>
                            <w:tcW w:w="8676" w:type="dxa"/>
                            <w:vAlign w:val="center"/>
                          </w:tcPr>
                          <w:p w14:paraId="42DEC166" w14:textId="776E32A9" w:rsidR="00B47451" w:rsidRPr="002721B3" w:rsidRDefault="00071AAD" w:rsidP="00B701D2">
                            <w:pPr>
                              <w:rPr>
                                <w:rFonts w:ascii="Times New Roman" w:hAnsi="Times New Roman" w:cs="Times New Roman"/>
                                <w:color w:val="000000" w:themeColor="text1"/>
                              </w:rPr>
                            </w:pPr>
                            <w:r w:rsidRPr="00071AAD">
                              <w:rPr>
                                <w:rFonts w:ascii="Times New Roman" w:hAnsi="Times New Roman"/>
                                <w:noProof/>
                                <w:lang w:val="en-GB" w:eastAsia="en-GB"/>
                              </w:rPr>
                              <w:drawing>
                                <wp:inline distT="0" distB="0" distL="0" distR="0" wp14:anchorId="599A63D2" wp14:editId="68E69A1D">
                                  <wp:extent cx="4106917" cy="1505585"/>
                                  <wp:effectExtent l="0" t="0" r="8255" b="18415"/>
                                  <wp:docPr id="1130545364" name="Chart 1">
                                    <a:extLst xmlns:a="http://schemas.openxmlformats.org/drawingml/2006/main">
                                      <a:ext uri="{FF2B5EF4-FFF2-40B4-BE49-F238E27FC236}">
                                        <a16:creationId xmlns:a16="http://schemas.microsoft.com/office/drawing/2014/main" id="{F42E2776-01D0-CFE2-1916-5EBBA64E7A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AE4AD5" w14:textId="77777777" w:rsidR="00B47451" w:rsidRPr="002721B3" w:rsidRDefault="00B47451" w:rsidP="00B701D2">
                            <w:pPr>
                              <w:rPr>
                                <w:rFonts w:ascii="Times New Roman" w:hAnsi="Times New Roman" w:cs="Times New Roman"/>
                                <w:color w:val="000000" w:themeColor="text1"/>
                              </w:rPr>
                            </w:pPr>
                            <w:r>
                              <w:rPr>
                                <w:rFonts w:ascii="Times New Roman" w:hAnsi="Times New Roman"/>
                                <w:color w:val="000000" w:themeColor="text1"/>
                              </w:rPr>
                              <w:t xml:space="preserve">Les </w:t>
                            </w:r>
                            <w:r>
                              <w:rPr>
                                <w:rFonts w:ascii="Times New Roman" w:hAnsi="Times New Roman"/>
                                <w:b/>
                                <w:bCs/>
                                <w:color w:val="000000" w:themeColor="text1"/>
                              </w:rPr>
                              <w:t>réserves du Fonds</w:t>
                            </w:r>
                            <w:r>
                              <w:rPr>
                                <w:rFonts w:ascii="Times New Roman" w:hAnsi="Times New Roman"/>
                                <w:color w:val="000000" w:themeColor="text1"/>
                              </w:rPr>
                              <w:t xml:space="preserve"> ont augmenté au cours de la période de référence, atteignant fin 2024 plus de 106 millions d’EUR, contre environ 31 millions d’EUR en 2019.</w:t>
                            </w:r>
                          </w:p>
                          <w:p w14:paraId="1779B2FC" w14:textId="77777777" w:rsidR="00B47451" w:rsidRPr="002721B3" w:rsidRDefault="00B47451" w:rsidP="00B701D2">
                            <w:pPr>
                              <w:rPr>
                                <w:rFonts w:ascii="Times New Roman" w:hAnsi="Times New Roman" w:cs="Times New Roman"/>
                                <w:color w:val="000000" w:themeColor="text1"/>
                              </w:rPr>
                            </w:pPr>
                          </w:p>
                        </w:tc>
                      </w:tr>
                      <w:tr w:rsidR="00B47451" w:rsidRPr="002721B3" w14:paraId="4A63B4F7" w14:textId="77777777" w:rsidTr="00071AAD">
                        <w:trPr>
                          <w:jc w:val="center"/>
                        </w:trPr>
                        <w:tc>
                          <w:tcPr>
                            <w:tcW w:w="1656" w:type="dxa"/>
                            <w:vAlign w:val="center"/>
                          </w:tcPr>
                          <w:p w14:paraId="10C420AE" w14:textId="77777777" w:rsidR="00B47451" w:rsidRPr="002721B3" w:rsidRDefault="00B47451" w:rsidP="00B701D2">
                            <w:pPr>
                              <w:rPr>
                                <w:rFonts w:ascii="Times New Roman" w:hAnsi="Times New Roman" w:cs="Times New Roman"/>
                                <w:noProof/>
                              </w:rPr>
                            </w:pPr>
                            <w:r>
                              <w:rPr>
                                <w:rFonts w:ascii="Times New Roman" w:hAnsi="Times New Roman"/>
                                <w:noProof/>
                                <w:lang w:val="en-GB" w:eastAsia="en-GB"/>
                              </w:rPr>
                              <w:drawing>
                                <wp:inline distT="0" distB="0" distL="0" distR="0" wp14:anchorId="3151CF8E" wp14:editId="2A9436AE">
                                  <wp:extent cx="914400" cy="914400"/>
                                  <wp:effectExtent l="0" t="0" r="0" b="0"/>
                                  <wp:docPr id="749467323" name="Graphic 3" descr="Icône grou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8565" name="Graphic 44268565" descr="Group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2"/>
                                              </a:ext>
                                            </a:extLst>
                                          </a:blip>
                                          <a:stretch>
                                            <a:fillRect/>
                                          </a:stretch>
                                        </pic:blipFill>
                                        <pic:spPr>
                                          <a:xfrm>
                                            <a:off x="0" y="0"/>
                                            <a:ext cx="914400" cy="914400"/>
                                          </a:xfrm>
                                          <a:prstGeom prst="rect">
                                            <a:avLst/>
                                          </a:prstGeom>
                                        </pic:spPr>
                                      </pic:pic>
                                    </a:graphicData>
                                  </a:graphic>
                                </wp:inline>
                              </w:drawing>
                            </w:r>
                          </w:p>
                        </w:tc>
                        <w:tc>
                          <w:tcPr>
                            <w:tcW w:w="8676" w:type="dxa"/>
                            <w:vAlign w:val="center"/>
                          </w:tcPr>
                          <w:p w14:paraId="4F266F87" w14:textId="1F9CB041" w:rsidR="00B47451" w:rsidRPr="002721B3" w:rsidRDefault="00071AAD" w:rsidP="00B701D2">
                            <w:pPr>
                              <w:rPr>
                                <w:rFonts w:ascii="Times New Roman" w:hAnsi="Times New Roman" w:cs="Times New Roman"/>
                                <w:noProof/>
                                <w:color w:val="000000" w:themeColor="text1"/>
                              </w:rPr>
                            </w:pPr>
                            <w:r w:rsidRPr="00071AAD">
                              <w:rPr>
                                <w:rFonts w:ascii="Times New Roman" w:hAnsi="Times New Roman"/>
                                <w:noProof/>
                                <w:lang w:val="en-GB" w:eastAsia="en-GB"/>
                              </w:rPr>
                              <w:drawing>
                                <wp:inline distT="0" distB="0" distL="0" distR="0" wp14:anchorId="59225E3E" wp14:editId="4A574227">
                                  <wp:extent cx="4942490" cy="2861442"/>
                                  <wp:effectExtent l="0" t="0" r="10795" b="15240"/>
                                  <wp:docPr id="1156347366" name="Chart 1">
                                    <a:extLst xmlns:a="http://schemas.openxmlformats.org/drawingml/2006/main">
                                      <a:ext uri="{FF2B5EF4-FFF2-40B4-BE49-F238E27FC236}">
                                        <a16:creationId xmlns:a16="http://schemas.microsoft.com/office/drawing/2014/main" id="{E408C1EA-0368-4536-BED2-B256FADFD053}"/>
                                      </a:ext>
                                      <a:ext uri="{147F2762-F138-4A5C-976F-8EAC2B608ADB}">
                                        <a16:predDERef xmlns:a16="http://schemas.microsoft.com/office/drawing/2014/main" pred="{49FC7227-F6DF-E58A-0EF0-667B9FFE79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91705A" w14:textId="77777777" w:rsidR="00B47451" w:rsidRPr="002721B3" w:rsidRDefault="00B47451" w:rsidP="00B701D2">
                            <w:pPr>
                              <w:rPr>
                                <w:rFonts w:ascii="Times New Roman" w:hAnsi="Times New Roman" w:cs="Times New Roman"/>
                                <w:noProof/>
                                <w:color w:val="000000" w:themeColor="text1"/>
                              </w:rPr>
                            </w:pPr>
                            <w:r>
                              <w:rPr>
                                <w:rFonts w:ascii="Times New Roman" w:hAnsi="Times New Roman"/>
                                <w:color w:val="000000" w:themeColor="text1"/>
                              </w:rPr>
                              <w:t>Le nombre d’</w:t>
                            </w:r>
                            <w:r>
                              <w:rPr>
                                <w:rFonts w:ascii="Times New Roman" w:hAnsi="Times New Roman"/>
                                <w:b/>
                                <w:bCs/>
                                <w:color w:val="000000" w:themeColor="text1"/>
                              </w:rPr>
                              <w:t>affiliés</w:t>
                            </w:r>
                            <w:r>
                              <w:rPr>
                                <w:rFonts w:ascii="Times New Roman" w:hAnsi="Times New Roman"/>
                                <w:color w:val="000000" w:themeColor="text1"/>
                              </w:rPr>
                              <w:t xml:space="preserve"> a augmenté à plus de 36 689 (soit une hausse de 33 % par rapport à 2019). Dans le même temps, le nombre de </w:t>
                            </w:r>
                            <w:r>
                              <w:rPr>
                                <w:rFonts w:ascii="Times New Roman" w:hAnsi="Times New Roman"/>
                                <w:b/>
                                <w:bCs/>
                                <w:color w:val="000000" w:themeColor="text1"/>
                              </w:rPr>
                              <w:t>bénéficiaires</w:t>
                            </w:r>
                            <w:r>
                              <w:rPr>
                                <w:rFonts w:ascii="Times New Roman" w:hAnsi="Times New Roman"/>
                                <w:color w:val="000000" w:themeColor="text1"/>
                              </w:rPr>
                              <w:t xml:space="preserve"> a chuté d’un tiers, à 754.</w:t>
                            </w:r>
                          </w:p>
                          <w:p w14:paraId="368FEC29" w14:textId="77777777" w:rsidR="00B47451" w:rsidRPr="002721B3" w:rsidRDefault="00B47451" w:rsidP="00B701D2">
                            <w:pPr>
                              <w:rPr>
                                <w:rFonts w:ascii="Times New Roman" w:hAnsi="Times New Roman" w:cs="Times New Roman"/>
                                <w:noProof/>
                                <w:color w:val="000000" w:themeColor="text1"/>
                              </w:rPr>
                            </w:pPr>
                          </w:p>
                        </w:tc>
                      </w:tr>
                      <w:tr w:rsidR="00B47451" w:rsidRPr="002721B3" w14:paraId="53009EC5" w14:textId="77777777" w:rsidTr="00071AAD">
                        <w:trPr>
                          <w:jc w:val="center"/>
                        </w:trPr>
                        <w:tc>
                          <w:tcPr>
                            <w:tcW w:w="1656" w:type="dxa"/>
                            <w:vAlign w:val="center"/>
                          </w:tcPr>
                          <w:p w14:paraId="6E2239ED" w14:textId="77777777" w:rsidR="00B47451" w:rsidRPr="002721B3" w:rsidRDefault="00B47451" w:rsidP="00B701D2">
                            <w:pPr>
                              <w:rPr>
                                <w:rFonts w:ascii="Times New Roman" w:hAnsi="Times New Roman" w:cs="Times New Roman"/>
                              </w:rPr>
                            </w:pPr>
                            <w:r>
                              <w:rPr>
                                <w:rFonts w:ascii="Times New Roman" w:hAnsi="Times New Roman"/>
                                <w:noProof/>
                                <w:lang w:val="en-GB" w:eastAsia="en-GB"/>
                              </w:rPr>
                              <w:drawing>
                                <wp:inline distT="0" distB="0" distL="0" distR="0" wp14:anchorId="2186A93C" wp14:editId="46171932">
                                  <wp:extent cx="914400" cy="914400"/>
                                  <wp:effectExtent l="0" t="0" r="0" b="0"/>
                                  <wp:docPr id="456011320" name="Graphic 1" descr="Icône pièces de monna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descr="Philanthropy with solid fill"/>
                                          <pic:cNvPicPr>
                                            <a:picLocks noChangeAspect="1"/>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tretch>
                                            <a:fillRect/>
                                          </a:stretch>
                                        </pic:blipFill>
                                        <pic:spPr>
                                          <a:xfrm>
                                            <a:off x="0" y="0"/>
                                            <a:ext cx="914400" cy="914400"/>
                                          </a:xfrm>
                                          <a:prstGeom prst="rect">
                                            <a:avLst/>
                                          </a:prstGeom>
                                        </pic:spPr>
                                      </pic:pic>
                                    </a:graphicData>
                                  </a:graphic>
                                </wp:inline>
                              </w:drawing>
                            </w:r>
                          </w:p>
                        </w:tc>
                        <w:tc>
                          <w:tcPr>
                            <w:tcW w:w="8676" w:type="dxa"/>
                            <w:vAlign w:val="center"/>
                          </w:tcPr>
                          <w:p w14:paraId="32151CE7" w14:textId="6063FA6B" w:rsidR="00B47451" w:rsidRPr="002721B3" w:rsidRDefault="00071AAD" w:rsidP="00B701D2">
                            <w:pPr>
                              <w:rPr>
                                <w:rFonts w:ascii="Times New Roman" w:hAnsi="Times New Roman" w:cs="Times New Roman"/>
                                <w:color w:val="000000" w:themeColor="text1"/>
                              </w:rPr>
                            </w:pPr>
                            <w:r w:rsidRPr="00071AAD">
                              <w:rPr>
                                <w:rFonts w:ascii="Times New Roman" w:hAnsi="Times New Roman"/>
                                <w:noProof/>
                                <w:lang w:val="en-GB" w:eastAsia="en-GB"/>
                              </w:rPr>
                              <w:drawing>
                                <wp:inline distT="0" distB="0" distL="0" distR="0" wp14:anchorId="768AB84E" wp14:editId="366FDEB0">
                                  <wp:extent cx="4540469" cy="2388476"/>
                                  <wp:effectExtent l="0" t="0" r="12700" b="12065"/>
                                  <wp:docPr id="1201315221" name="Chart 1">
                                    <a:extLst xmlns:a="http://schemas.openxmlformats.org/drawingml/2006/main">
                                      <a:ext uri="{FF2B5EF4-FFF2-40B4-BE49-F238E27FC236}">
                                        <a16:creationId xmlns:a16="http://schemas.microsoft.com/office/drawing/2014/main" id="{E69AB561-B63B-4768-B8F9-24E57AD6DE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F02A1A8" w14:textId="77777777" w:rsidR="00B47451" w:rsidRPr="002721B3" w:rsidRDefault="00B47451" w:rsidP="00B701D2">
                            <w:pPr>
                              <w:rPr>
                                <w:rFonts w:ascii="Times New Roman" w:hAnsi="Times New Roman" w:cs="Times New Roman"/>
                                <w:color w:val="000000" w:themeColor="text1"/>
                              </w:rPr>
                            </w:pPr>
                            <w:r>
                              <w:rPr>
                                <w:rFonts w:ascii="Times New Roman" w:hAnsi="Times New Roman"/>
                                <w:color w:val="000000" w:themeColor="text1"/>
                              </w:rPr>
                              <w:t xml:space="preserve">Le </w:t>
                            </w:r>
                            <w:r>
                              <w:rPr>
                                <w:rFonts w:ascii="Times New Roman" w:hAnsi="Times New Roman"/>
                                <w:b/>
                                <w:bCs/>
                                <w:color w:val="000000" w:themeColor="text1"/>
                              </w:rPr>
                              <w:t>nombre d’allocations de chômage</w:t>
                            </w:r>
                            <w:r>
                              <w:rPr>
                                <w:rFonts w:ascii="Times New Roman" w:hAnsi="Times New Roman"/>
                                <w:color w:val="000000" w:themeColor="text1"/>
                              </w:rPr>
                              <w:t xml:space="preserve"> versées a progressé dans toutes les catégories. Les allocations moyennes versées aux AC ont enregistré une légère hausse, alors qu’elles ont légèrement diminué pour les AT et les APA. </w:t>
                            </w:r>
                          </w:p>
                        </w:tc>
                      </w:tr>
                    </w:tbl>
                    <w:p w14:paraId="59D7C567" w14:textId="77777777" w:rsidR="00B47451" w:rsidRPr="002721B3" w:rsidRDefault="00B47451" w:rsidP="00B47451">
                      <w:pPr>
                        <w:jc w:val="center"/>
                        <w:rPr>
                          <w:rFonts w:ascii="Times New Roman" w:hAnsi="Times New Roman" w:cs="Times New Roman"/>
                        </w:rPr>
                      </w:pPr>
                    </w:p>
                    <w:p w14:paraId="45BCF874" w14:textId="77777777" w:rsidR="00B47451" w:rsidRDefault="00B47451" w:rsidP="00B47451"/>
                  </w:txbxContent>
                </v:textbox>
                <w10:wrap type="topAndBottom" anchorx="margin"/>
              </v:roundrect>
            </w:pict>
          </mc:Fallback>
        </mc:AlternateContent>
      </w:r>
      <w:r>
        <w:rPr>
          <w:rFonts w:ascii="Times New Roman" w:hAnsi="Times New Roman"/>
          <w:noProof/>
          <w:sz w:val="24"/>
        </w:rPr>
        <w:t xml:space="preserve"> </w:t>
      </w:r>
    </w:p>
    <w:p w14:paraId="5E4DA845" w14:textId="78C3CF18" w:rsidR="00C00B75" w:rsidRDefault="00F05C9F" w:rsidP="00810F44">
      <w:pPr>
        <w:pStyle w:val="Heading1"/>
        <w:numPr>
          <w:ilvl w:val="0"/>
          <w:numId w:val="0"/>
        </w:numPr>
        <w:rPr>
          <w:noProof/>
        </w:rPr>
      </w:pPr>
      <w:bookmarkStart w:id="4" w:name="_Toc233386982"/>
      <w:r>
        <w:rPr>
          <w:noProof/>
        </w:rPr>
        <w:t>2. Cadre réglementaire</w:t>
      </w:r>
      <w:bookmarkEnd w:id="4"/>
    </w:p>
    <w:p w14:paraId="62097761" w14:textId="4B25A5F0" w:rsidR="007613E5" w:rsidRDefault="00810F44" w:rsidP="007613E5">
      <w:pPr>
        <w:pStyle w:val="Heading2"/>
        <w:numPr>
          <w:ilvl w:val="1"/>
          <w:numId w:val="28"/>
        </w:numPr>
        <w:rPr>
          <w:noProof/>
        </w:rPr>
      </w:pPr>
      <w:bookmarkStart w:id="5" w:name="_Toc233386983"/>
      <w:r>
        <w:rPr>
          <w:noProof/>
        </w:rPr>
        <w:t>Cadre juridique</w:t>
      </w:r>
      <w:bookmarkEnd w:id="5"/>
      <w:r>
        <w:rPr>
          <w:noProof/>
        </w:rPr>
        <w:t xml:space="preserve"> </w:t>
      </w:r>
    </w:p>
    <w:p w14:paraId="0EC2239A" w14:textId="184172B4"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Les conditions d’octroi de l’allocation de chômage aux agents temporaires sont fixées à l’article 28 </w:t>
      </w:r>
      <w:r>
        <w:rPr>
          <w:rFonts w:ascii="Times New Roman" w:hAnsi="Times New Roman"/>
          <w:i/>
          <w:iCs/>
          <w:noProof/>
          <w:sz w:val="24"/>
        </w:rPr>
        <w:t>bis</w:t>
      </w:r>
      <w:r>
        <w:rPr>
          <w:rFonts w:ascii="Times New Roman" w:hAnsi="Times New Roman"/>
          <w:noProof/>
          <w:sz w:val="24"/>
        </w:rPr>
        <w:t xml:space="preserve"> du RAA </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et à l’article 5 de son annexe.</w:t>
      </w:r>
    </w:p>
    <w:p w14:paraId="4FE79004" w14:textId="6F1F14E9"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Les règles correspondantes applicables aux agents contractuels sont énoncées à l’article 96 du RAA </w:t>
      </w:r>
      <w:r>
        <w:rPr>
          <w:rStyle w:val="FootnoteReference"/>
          <w:rFonts w:ascii="Times New Roman" w:hAnsi="Times New Roman" w:cs="Times New Roman"/>
          <w:noProof/>
          <w:sz w:val="24"/>
          <w:szCs w:val="24"/>
        </w:rPr>
        <w:footnoteReference w:id="4"/>
      </w:r>
      <w:r>
        <w:rPr>
          <w:rFonts w:ascii="Times New Roman" w:hAnsi="Times New Roman"/>
          <w:noProof/>
          <w:sz w:val="24"/>
        </w:rPr>
        <w:t>.</w:t>
      </w:r>
    </w:p>
    <w:p w14:paraId="1007879A" w14:textId="51A94361"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Les dispositions techniques relatives aux prestations de sécurité sociale figurent aux articles 135 et 136 du RAA.</w:t>
      </w:r>
    </w:p>
    <w:p w14:paraId="26709CEF" w14:textId="7133147A"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L’actualisation des rémunérations et des montants financiers s’y rapportant, y compris l’allocation de chômage, est régie par l’article 65, paragraphe 1, du statut.</w:t>
      </w:r>
    </w:p>
    <w:p w14:paraId="6618EDDF" w14:textId="41A72765" w:rsidR="007613E5" w:rsidRPr="0050426A" w:rsidRDefault="007613E5" w:rsidP="0050426A">
      <w:pPr>
        <w:jc w:val="both"/>
        <w:rPr>
          <w:rFonts w:ascii="Times New Roman" w:hAnsi="Times New Roman" w:cs="Times New Roman"/>
          <w:noProof/>
          <w:sz w:val="24"/>
          <w:szCs w:val="24"/>
        </w:rPr>
      </w:pPr>
      <w:r>
        <w:rPr>
          <w:rFonts w:ascii="Times New Roman" w:hAnsi="Times New Roman"/>
          <w:noProof/>
          <w:sz w:val="24"/>
        </w:rPr>
        <w:t>Les modalités d’application du régime d’allocation de chômage sont établies par le règlement (CE) nº 780/2009 de la Commission </w:t>
      </w:r>
      <w:r>
        <w:rPr>
          <w:rStyle w:val="FootnoteReference"/>
          <w:rFonts w:ascii="Times New Roman" w:eastAsia="Calibri" w:hAnsi="Times New Roman" w:cs="Times New Roman"/>
          <w:noProof/>
          <w:sz w:val="24"/>
          <w:szCs w:val="24"/>
        </w:rPr>
        <w:footnoteReference w:id="5"/>
      </w:r>
      <w:r>
        <w:rPr>
          <w:rFonts w:ascii="Times New Roman" w:hAnsi="Times New Roman"/>
          <w:noProof/>
          <w:sz w:val="24"/>
        </w:rPr>
        <w:t>.</w:t>
      </w:r>
    </w:p>
    <w:p w14:paraId="29E6B35E" w14:textId="279873EC" w:rsidR="00810F44" w:rsidRPr="0050426A" w:rsidRDefault="007613E5" w:rsidP="0050426A">
      <w:pPr>
        <w:jc w:val="both"/>
        <w:rPr>
          <w:rFonts w:cs="Times New Roman"/>
          <w:noProof/>
          <w:sz w:val="24"/>
          <w:szCs w:val="24"/>
        </w:rPr>
      </w:pPr>
      <w:r>
        <w:rPr>
          <w:rFonts w:ascii="Times New Roman" w:hAnsi="Times New Roman"/>
          <w:noProof/>
          <w:sz w:val="24"/>
        </w:rPr>
        <w:t>Les modalités d’octroi des allocations de chômage aux agents temporaires sont fixées dans la réglementation de la Commission du 14 juillet 1988 en exécution de l’article 28 </w:t>
      </w:r>
      <w:r>
        <w:rPr>
          <w:rFonts w:ascii="Times New Roman" w:hAnsi="Times New Roman"/>
          <w:i/>
          <w:iCs/>
          <w:noProof/>
          <w:sz w:val="24"/>
        </w:rPr>
        <w:t>bis</w:t>
      </w:r>
      <w:r>
        <w:rPr>
          <w:rFonts w:ascii="Times New Roman" w:hAnsi="Times New Roman"/>
          <w:noProof/>
          <w:sz w:val="24"/>
        </w:rPr>
        <w:t>, paragraphe 10, du RAA </w:t>
      </w:r>
      <w:r>
        <w:rPr>
          <w:rStyle w:val="FootnoteReference"/>
          <w:rFonts w:ascii="Times New Roman" w:hAnsi="Times New Roman" w:cs="Times New Roman"/>
          <w:noProof/>
          <w:sz w:val="24"/>
          <w:szCs w:val="24"/>
        </w:rPr>
        <w:footnoteReference w:id="6"/>
      </w:r>
      <w:r>
        <w:rPr>
          <w:rFonts w:ascii="Times New Roman" w:hAnsi="Times New Roman"/>
          <w:noProof/>
          <w:sz w:val="24"/>
        </w:rPr>
        <w:t>.</w:t>
      </w:r>
    </w:p>
    <w:p w14:paraId="53603937" w14:textId="0130D76C" w:rsidR="00C00B75" w:rsidRPr="000B578F" w:rsidRDefault="00F05C9F" w:rsidP="00DF5D65">
      <w:pPr>
        <w:pStyle w:val="Heading2"/>
        <w:numPr>
          <w:ilvl w:val="0"/>
          <w:numId w:val="0"/>
        </w:numPr>
        <w:ind w:left="576" w:hanging="576"/>
        <w:rPr>
          <w:noProof/>
          <w:highlight w:val="yellow"/>
        </w:rPr>
      </w:pPr>
      <w:bookmarkStart w:id="6" w:name="_Toc233386984"/>
      <w:r>
        <w:rPr>
          <w:noProof/>
        </w:rPr>
        <w:t>2.2 Description du régime</w:t>
      </w:r>
      <w:bookmarkEnd w:id="6"/>
      <w:r>
        <w:rPr>
          <w:noProof/>
        </w:rPr>
        <w:t xml:space="preserve"> </w:t>
      </w:r>
    </w:p>
    <w:p w14:paraId="32FDA4C6" w14:textId="390F36FB" w:rsidR="00B67026" w:rsidRPr="002721B3" w:rsidRDefault="00DA61D3" w:rsidP="00320D37">
      <w:pPr>
        <w:jc w:val="both"/>
        <w:rPr>
          <w:rFonts w:ascii="Times New Roman" w:hAnsi="Times New Roman" w:cs="Times New Roman"/>
          <w:noProof/>
          <w:sz w:val="24"/>
          <w:szCs w:val="24"/>
        </w:rPr>
      </w:pPr>
      <w:bookmarkStart w:id="7" w:name="_Hlk221723703"/>
      <w:r>
        <w:rPr>
          <w:rFonts w:ascii="Times New Roman" w:hAnsi="Times New Roman"/>
          <w:noProof/>
          <w:sz w:val="24"/>
        </w:rPr>
        <w:t>Comme indiqué au chapitre 1, l’allocation de chômage est destinée à l’ancien agent temporaire (AT), agent contractuel (AC) ou assistant parlementaire accrédité (APA) se trouvant sans emploi contre son gré après la cessation de son service auprès d’une institution de l’Union européenne au sens de l’article 1</w:t>
      </w:r>
      <w:r>
        <w:rPr>
          <w:rFonts w:ascii="Times New Roman" w:hAnsi="Times New Roman"/>
          <w:noProof/>
          <w:sz w:val="24"/>
          <w:vertAlign w:val="superscript"/>
        </w:rPr>
        <w:t>er</w:t>
      </w:r>
      <w:r>
        <w:rPr>
          <w:rFonts w:ascii="Times New Roman" w:hAnsi="Times New Roman"/>
          <w:noProof/>
          <w:sz w:val="24"/>
        </w:rPr>
        <w:t xml:space="preserve"> du statut des fonctionnaires de l’Union européenne. Cette allocation vient en complément de l’éventuelle allocation de chômage nationale perçue par l’ancien agent.</w:t>
      </w:r>
      <w:r>
        <w:rPr>
          <w:rStyle w:val="FootnoteReference"/>
          <w:rFonts w:ascii="Times New Roman" w:hAnsi="Times New Roman"/>
          <w:noProof/>
          <w:sz w:val="24"/>
        </w:rPr>
        <w:t xml:space="preserve"> </w:t>
      </w:r>
      <w:r>
        <w:rPr>
          <w:rStyle w:val="FootnoteReference"/>
          <w:rFonts w:ascii="Times New Roman" w:hAnsi="Times New Roman" w:cs="Times New Roman"/>
          <w:noProof/>
          <w:sz w:val="24"/>
          <w:szCs w:val="24"/>
        </w:rPr>
        <w:footnoteReference w:id="7"/>
      </w:r>
    </w:p>
    <w:bookmarkEnd w:id="7"/>
    <w:p w14:paraId="3B0EF9B9" w14:textId="70BA84AB" w:rsidR="00DA61D3" w:rsidRPr="00366B21" w:rsidRDefault="00036473" w:rsidP="00320D37">
      <w:pPr>
        <w:jc w:val="both"/>
        <w:rPr>
          <w:rFonts w:ascii="Times New Roman" w:hAnsi="Times New Roman" w:cs="Times New Roman"/>
          <w:noProof/>
          <w:sz w:val="24"/>
          <w:szCs w:val="24"/>
        </w:rPr>
      </w:pPr>
      <w:r>
        <w:rPr>
          <w:rFonts w:ascii="Times New Roman" w:hAnsi="Times New Roman"/>
          <w:noProof/>
          <w:sz w:val="24"/>
        </w:rPr>
        <w:t>Les bénéficiaires ont droit à 60 % du dernier traitement de base au cours des 12 premiers mois. Ce pourcentage passe à 45 % au cours des 12 mois suivants et à 30 % au cours des 12 derniers mois. Ce n’est qu’à partir du septième mois que les allocations de chômage sont plafonnées.</w:t>
      </w:r>
    </w:p>
    <w:p w14:paraId="19D92BD1" w14:textId="0943DCC4" w:rsidR="003B325A" w:rsidRDefault="00DA61D3" w:rsidP="00320D37">
      <w:pPr>
        <w:jc w:val="both"/>
        <w:rPr>
          <w:rFonts w:ascii="Times New Roman" w:hAnsi="Times New Roman" w:cs="Times New Roman"/>
          <w:noProof/>
          <w:sz w:val="24"/>
          <w:szCs w:val="24"/>
        </w:rPr>
      </w:pPr>
      <w:r>
        <w:rPr>
          <w:rFonts w:ascii="Times New Roman" w:hAnsi="Times New Roman"/>
          <w:noProof/>
          <w:sz w:val="24"/>
        </w:rPr>
        <w:t>Depuis le dernier rapport, publié début 2024, qui analysait la situation jusqu’en 2022, la contribution à l’assurance chômage du personnel concerné a été réduite. En effet, à la suite des conclusions du dernier rapport </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 qui prévoyait une augmentation des réserves du Fonds — la Commission a adapté la contribution au régime d’assurance contre le chômage par l’intermédiaire d’un règlement délégué </w:t>
      </w:r>
      <w:r>
        <w:rPr>
          <w:rStyle w:val="FootnoteReference"/>
          <w:rFonts w:ascii="Times New Roman" w:hAnsi="Times New Roman" w:cs="Times New Roman"/>
          <w:noProof/>
          <w:sz w:val="24"/>
          <w:szCs w:val="24"/>
        </w:rPr>
        <w:footnoteReference w:id="9"/>
      </w:r>
      <w:r>
        <w:rPr>
          <w:rFonts w:ascii="Times New Roman" w:hAnsi="Times New Roman"/>
          <w:noProof/>
          <w:sz w:val="24"/>
        </w:rPr>
        <w:t xml:space="preserve">. Le nouveau taux de contribution à l’assurance chômage pour les agents temporaires et contractuels est de 0,51 %. Par ailleurs, la nouvelle contribution des institutions concernées est ramenée de 1,62 % à 1,02 %. Étant donné que le règlement délégué n’était pas encore entré en vigueur à la fin de 2024, la modification du taux de contribution à l’assurance chômage ne relève pas du champ d’application temporel du présent rapport. Ses effets seront donc évalués dans le prochain rapport, couvrant la période 2021-2026. </w:t>
      </w:r>
    </w:p>
    <w:p w14:paraId="53EC7BD1" w14:textId="65D9ABD5" w:rsidR="0095480E" w:rsidRPr="002721B3" w:rsidRDefault="006D34BE" w:rsidP="00320D37">
      <w:pPr>
        <w:jc w:val="both"/>
        <w:rPr>
          <w:rFonts w:ascii="Times New Roman" w:hAnsi="Times New Roman" w:cs="Times New Roman"/>
          <w:noProof/>
          <w:sz w:val="24"/>
          <w:szCs w:val="24"/>
        </w:rPr>
      </w:pPr>
      <w:r>
        <w:rPr>
          <w:rFonts w:ascii="Times New Roman" w:hAnsi="Times New Roman"/>
          <w:noProof/>
          <w:sz w:val="24"/>
        </w:rPr>
        <w:t xml:space="preserve">Au cours de la période couverte par le rapport, le Fonds a été financé par les contributions versées par les agents temporaires ou contractuels et les assistants parlementaires accrédités ainsi que par les institutions de l’Union européenne qui les emploient, à hauteur de respectivement 0,81 % et 1,62 % du traitement de base. </w:t>
      </w:r>
    </w:p>
    <w:p w14:paraId="6C87A098" w14:textId="269D12BF" w:rsidR="001D336A" w:rsidRPr="002721B3" w:rsidRDefault="00B67026" w:rsidP="00320D37">
      <w:pPr>
        <w:jc w:val="both"/>
        <w:rPr>
          <w:rFonts w:ascii="Times New Roman" w:hAnsi="Times New Roman" w:cs="Times New Roman"/>
          <w:noProof/>
          <w:sz w:val="24"/>
          <w:szCs w:val="24"/>
        </w:rPr>
      </w:pPr>
      <w:r>
        <w:rPr>
          <w:rFonts w:ascii="Times New Roman" w:hAnsi="Times New Roman"/>
          <w:noProof/>
          <w:sz w:val="24"/>
        </w:rPr>
        <w:t xml:space="preserve">Les montants des abattements forfaitaires, des plafonds et des planchers sont mis à jour de la même manière que les rémunérations et conformément à l’article 65 du statut. </w:t>
      </w:r>
    </w:p>
    <w:p w14:paraId="70357DF6" w14:textId="2F627CC5" w:rsidR="00EB0D37" w:rsidRDefault="00B67026" w:rsidP="0027738C">
      <w:pPr>
        <w:jc w:val="both"/>
        <w:rPr>
          <w:noProof/>
        </w:rPr>
      </w:pPr>
      <w:r>
        <w:rPr>
          <w:rFonts w:ascii="Times New Roman" w:hAnsi="Times New Roman"/>
          <w:noProof/>
          <w:sz w:val="24"/>
        </w:rPr>
        <w:t>Les allocations familiales éventuelles s’ajoutent à l’allocation de chômage. La cotisation au régime commun d’assurance maladie (RCAM) de l’Union européenne (5,1 % du traitement de base de référence du chômeur) est à la charge du régime d’assurance contre le chômage. Les prestations sociales perçues au niveau national (allocations de chômage, allocations familiales, prestations de maladie, allocations de naissance, etc.) sont déduites.</w:t>
      </w:r>
      <w:r>
        <w:rPr>
          <w:noProof/>
        </w:rPr>
        <w:t xml:space="preserve"> </w:t>
      </w:r>
    </w:p>
    <w:p w14:paraId="1C1CA884" w14:textId="48F2D3B3" w:rsidR="00C00B75" w:rsidRDefault="0048247F" w:rsidP="00AD6F48">
      <w:pPr>
        <w:pStyle w:val="Heading1"/>
        <w:numPr>
          <w:ilvl w:val="0"/>
          <w:numId w:val="0"/>
        </w:numPr>
        <w:ind w:left="432" w:hanging="432"/>
        <w:rPr>
          <w:noProof/>
        </w:rPr>
      </w:pPr>
      <w:bookmarkStart w:id="8" w:name="_Toc233386985"/>
      <w:r>
        <w:rPr>
          <w:noProof/>
          <w:lang w:val="en-GB" w:eastAsia="en-GB"/>
        </w:rPr>
        <mc:AlternateContent>
          <mc:Choice Requires="wps">
            <w:drawing>
              <wp:anchor distT="0" distB="0" distL="114300" distR="114300" simplePos="0" relativeHeight="251658241" behindDoc="0" locked="0" layoutInCell="1" allowOverlap="1" wp14:anchorId="7AD743B0" wp14:editId="2F9092AB">
                <wp:simplePos x="0" y="0"/>
                <wp:positionH relativeFrom="margin">
                  <wp:align>left</wp:align>
                </wp:positionH>
                <wp:positionV relativeFrom="paragraph">
                  <wp:posOffset>516912</wp:posOffset>
                </wp:positionV>
                <wp:extent cx="5867400" cy="3121572"/>
                <wp:effectExtent l="0" t="0" r="19050" b="22225"/>
                <wp:wrapNone/>
                <wp:docPr id="517256875" name="Rectangle: Rounded Corners 5"/>
                <wp:cNvGraphicFramePr/>
                <a:graphic xmlns:a="http://schemas.openxmlformats.org/drawingml/2006/main">
                  <a:graphicData uri="http://schemas.microsoft.com/office/word/2010/wordprocessingShape">
                    <wps:wsp>
                      <wps:cNvSpPr/>
                      <wps:spPr>
                        <a:xfrm>
                          <a:off x="0" y="0"/>
                          <a:ext cx="5867400" cy="3121572"/>
                        </a:xfrm>
                        <a:prstGeom prst="roundRect">
                          <a:avLst>
                            <a:gd name="adj" fmla="val 6122"/>
                          </a:avLst>
                        </a:prstGeom>
                        <a:solidFill>
                          <a:srgbClr val="4472C4">
                            <a:alpha val="30196"/>
                          </a:srgb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536DAE" w14:textId="04BA6F36" w:rsidR="00262F73" w:rsidRPr="00D45CAD" w:rsidRDefault="003030C0" w:rsidP="00262F73">
                            <w:p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Informations clés:</w:t>
                            </w:r>
                          </w:p>
                          <w:p w14:paraId="00FFD2D8" w14:textId="5FCC8919" w:rsidR="00262F73" w:rsidRPr="00D45CAD" w:rsidRDefault="006A1620"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La </w:t>
                            </w:r>
                            <w:r>
                              <w:rPr>
                                <w:rFonts w:ascii="Times New Roman" w:hAnsi="Times New Roman"/>
                                <w:b/>
                                <w:bCs/>
                                <w:color w:val="000000" w:themeColor="text1"/>
                                <w:sz w:val="24"/>
                              </w:rPr>
                              <w:t>situation d’exercice du Fonds en 2024</w:t>
                            </w:r>
                            <w:r>
                              <w:rPr>
                                <w:rFonts w:ascii="Times New Roman" w:hAnsi="Times New Roman"/>
                                <w:color w:val="000000" w:themeColor="text1"/>
                                <w:sz w:val="24"/>
                              </w:rPr>
                              <w:t xml:space="preserve"> fait apparaître des réserves globales de plus de 106 millions d’EUR, dont 27 millions d’EUR sur le compte courant et plus de 79 millions d’EUR sur le compte de placement, ce qui représente une augmentation de 243 % par rapport à 2019.</w:t>
                            </w:r>
                          </w:p>
                          <w:p w14:paraId="7148532D" w14:textId="04E75C83"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Au cours des derniers mois de 2024, les </w:t>
                            </w:r>
                            <w:r>
                              <w:rPr>
                                <w:rFonts w:ascii="Times New Roman" w:hAnsi="Times New Roman"/>
                                <w:b/>
                                <w:bCs/>
                                <w:color w:val="000000" w:themeColor="text1"/>
                                <w:sz w:val="24"/>
                              </w:rPr>
                              <w:t>dépenses</w:t>
                            </w:r>
                            <w:r>
                              <w:rPr>
                                <w:rFonts w:ascii="Times New Roman" w:hAnsi="Times New Roman"/>
                                <w:color w:val="000000" w:themeColor="text1"/>
                                <w:sz w:val="24"/>
                              </w:rPr>
                              <w:t xml:space="preserve"> se sont inscrites à la hausse sous l’effet de la forte croissance du nombre de bénéficiaires parmi les APA en raison des élections au Parlement européen de 2024. Par rapport à 2019, on observe ainsi une hausse de 10 %, représentant 29 millions d’EUR en 2024.</w:t>
                            </w:r>
                          </w:p>
                          <w:p w14:paraId="7EABD3B7" w14:textId="0AB9D122"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Les chiffres des </w:t>
                            </w:r>
                            <w:r>
                              <w:rPr>
                                <w:rFonts w:ascii="Times New Roman" w:hAnsi="Times New Roman"/>
                                <w:b/>
                                <w:bCs/>
                                <w:color w:val="000000" w:themeColor="text1"/>
                                <w:sz w:val="24"/>
                              </w:rPr>
                              <w:t>contributions</w:t>
                            </w:r>
                            <w:r>
                              <w:rPr>
                                <w:rFonts w:ascii="Times New Roman" w:hAnsi="Times New Roman"/>
                                <w:color w:val="000000" w:themeColor="text1"/>
                                <w:sz w:val="24"/>
                              </w:rPr>
                              <w:t xml:space="preserve"> ont affiché une progression stable. Par rapport à 2019, on enregistre une hausse de 65 %, atteignant plus de 48 millions d’EUR en 2024.</w:t>
                            </w:r>
                          </w:p>
                          <w:p w14:paraId="20E60E4A" w14:textId="5888799E" w:rsidR="00262F73" w:rsidRPr="00D45CAD" w:rsidRDefault="00262F73" w:rsidP="00262F73">
                            <w:pPr>
                              <w:pStyle w:val="ListParagraph"/>
                              <w:numPr>
                                <w:ilvl w:val="0"/>
                                <w:numId w:val="10"/>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Les </w:t>
                            </w:r>
                            <w:r>
                              <w:rPr>
                                <w:rFonts w:ascii="Times New Roman" w:hAnsi="Times New Roman"/>
                                <w:b/>
                                <w:bCs/>
                                <w:color w:val="000000" w:themeColor="text1"/>
                                <w:sz w:val="24"/>
                              </w:rPr>
                              <w:t>réserves du Fonds</w:t>
                            </w:r>
                            <w:r>
                              <w:rPr>
                                <w:rFonts w:ascii="Times New Roman" w:hAnsi="Times New Roman"/>
                                <w:color w:val="000000" w:themeColor="text1"/>
                                <w:sz w:val="24"/>
                              </w:rPr>
                              <w:t xml:space="preserve"> ont généré plus de 4 millions d’EUR en 2022 et 2023.</w:t>
                            </w:r>
                          </w:p>
                          <w:p w14:paraId="34BEFBA2" w14:textId="4BFFD738"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Ventilation par institution:</w:t>
                            </w:r>
                            <w:r>
                              <w:rPr>
                                <w:rFonts w:ascii="Times New Roman" w:hAnsi="Times New Roman"/>
                                <w:color w:val="000000" w:themeColor="text1"/>
                                <w:sz w:val="24"/>
                              </w:rPr>
                              <w:t xml:space="preserve"> La Commission, le Parlement européen et les agences représentent environ 90 % du total des dépenses et des contributions du régime. Ce chiffre est resté stable au cours de la période de référence. </w:t>
                            </w:r>
                          </w:p>
                          <w:p w14:paraId="6DDBB2FB" w14:textId="19EBA815" w:rsidR="00262F73" w:rsidRPr="00C6689C" w:rsidRDefault="00262F73" w:rsidP="00262F73">
                            <w:pPr>
                              <w:rPr>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D743B0" id="Rectangle: Rounded Corners 5" o:spid="_x0000_s1027" style="position:absolute;left:0;text-align:left;margin-left:0;margin-top:40.7pt;width:462pt;height:245.8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40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" fillcolor="#4472c4" strokecolor="#09101d [484]" strokeweight="1pt">
                <v:fill opacity="19789f"/>
                <v:stroke joinstyle="miter"/>
                <v:textbox>
                  <w:txbxContent>
                    <w:p w14:paraId="62536DAE" w14:textId="04BA6F36" w:rsidR="00262F73" w:rsidRPr="00D45CAD" w:rsidRDefault="003030C0" w:rsidP="00262F73">
                      <w:p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Informations clés:</w:t>
                      </w:r>
                    </w:p>
                    <w:p w14:paraId="00FFD2D8" w14:textId="5FCC8919" w:rsidR="00262F73" w:rsidRPr="00D45CAD" w:rsidRDefault="006A1620"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La </w:t>
                      </w:r>
                      <w:r>
                        <w:rPr>
                          <w:rFonts w:ascii="Times New Roman" w:hAnsi="Times New Roman"/>
                          <w:b/>
                          <w:bCs/>
                          <w:color w:val="000000" w:themeColor="text1"/>
                          <w:sz w:val="24"/>
                        </w:rPr>
                        <w:t>situation d’exercice du Fonds en 2024</w:t>
                      </w:r>
                      <w:r>
                        <w:rPr>
                          <w:rFonts w:ascii="Times New Roman" w:hAnsi="Times New Roman"/>
                          <w:color w:val="000000" w:themeColor="text1"/>
                          <w:sz w:val="24"/>
                        </w:rPr>
                        <w:t xml:space="preserve"> fait apparaître des réserves globales de plus de 106 millions d’EUR, dont 27 millions d’EUR sur le compte courant et plus de 79 millions d’EUR sur le compte de placement, ce qui représente une augmentation de 243 % par rapport à 2019.</w:t>
                      </w:r>
                    </w:p>
                    <w:p w14:paraId="7148532D" w14:textId="04E75C83"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Au cours des derniers mois de 2024, les </w:t>
                      </w:r>
                      <w:r>
                        <w:rPr>
                          <w:rFonts w:ascii="Times New Roman" w:hAnsi="Times New Roman"/>
                          <w:b/>
                          <w:bCs/>
                          <w:color w:val="000000" w:themeColor="text1"/>
                          <w:sz w:val="24"/>
                        </w:rPr>
                        <w:t>dépenses</w:t>
                      </w:r>
                      <w:r>
                        <w:rPr>
                          <w:rFonts w:ascii="Times New Roman" w:hAnsi="Times New Roman"/>
                          <w:color w:val="000000" w:themeColor="text1"/>
                          <w:sz w:val="24"/>
                        </w:rPr>
                        <w:t xml:space="preserve"> se sont inscrites à la hausse sous l’effet de la forte croissance du nombre de bénéficiaires parmi les APA en raison des élections au Parlement européen de 2024. Par rapport à 2019, on observe ainsi une hausse de 10 %, représentant 29 millions d’EUR en 2024.</w:t>
                      </w:r>
                    </w:p>
                    <w:p w14:paraId="7EABD3B7" w14:textId="0AB9D122"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Les chiffres des </w:t>
                      </w:r>
                      <w:r>
                        <w:rPr>
                          <w:rFonts w:ascii="Times New Roman" w:hAnsi="Times New Roman"/>
                          <w:b/>
                          <w:bCs/>
                          <w:color w:val="000000" w:themeColor="text1"/>
                          <w:sz w:val="24"/>
                        </w:rPr>
                        <w:t>contributions</w:t>
                      </w:r>
                      <w:r>
                        <w:rPr>
                          <w:rFonts w:ascii="Times New Roman" w:hAnsi="Times New Roman"/>
                          <w:color w:val="000000" w:themeColor="text1"/>
                          <w:sz w:val="24"/>
                        </w:rPr>
                        <w:t xml:space="preserve"> ont affiché une progression stable. Par rapport à 2019, on enregistre une hausse de 65 %, atteignant plus de 48 millions d’EUR en 2024.</w:t>
                      </w:r>
                    </w:p>
                    <w:p w14:paraId="20E60E4A" w14:textId="5888799E" w:rsidR="00262F73" w:rsidRPr="00D45CAD" w:rsidRDefault="00262F73" w:rsidP="00262F73">
                      <w:pPr>
                        <w:pStyle w:val="ListParagraph"/>
                        <w:numPr>
                          <w:ilvl w:val="0"/>
                          <w:numId w:val="10"/>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Les </w:t>
                      </w:r>
                      <w:r>
                        <w:rPr>
                          <w:rFonts w:ascii="Times New Roman" w:hAnsi="Times New Roman"/>
                          <w:b/>
                          <w:bCs/>
                          <w:color w:val="000000" w:themeColor="text1"/>
                          <w:sz w:val="24"/>
                        </w:rPr>
                        <w:t>réserves du Fonds</w:t>
                      </w:r>
                      <w:r>
                        <w:rPr>
                          <w:rFonts w:ascii="Times New Roman" w:hAnsi="Times New Roman"/>
                          <w:color w:val="000000" w:themeColor="text1"/>
                          <w:sz w:val="24"/>
                        </w:rPr>
                        <w:t xml:space="preserve"> ont généré plus de 4 millions d’EUR en 2022 et 2023.</w:t>
                      </w:r>
                    </w:p>
                    <w:p w14:paraId="34BEFBA2" w14:textId="4BFFD738"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Pr>
                          <w:rFonts w:ascii="Times New Roman" w:hAnsi="Times New Roman"/>
                          <w:b/>
                          <w:color w:val="000000" w:themeColor="text1"/>
                          <w:sz w:val="24"/>
                        </w:rPr>
                        <w:t>Ventilation par institution:</w:t>
                      </w:r>
                      <w:r>
                        <w:rPr>
                          <w:rFonts w:ascii="Times New Roman" w:hAnsi="Times New Roman"/>
                          <w:color w:val="000000" w:themeColor="text1"/>
                          <w:sz w:val="24"/>
                        </w:rPr>
                        <w:t xml:space="preserve"> La Commission, le Parlement européen et les agences représentent environ 90 % du total des dépenses et des contributions du régime. Ce chiffre est resté stable au cours de la période de référence. </w:t>
                      </w:r>
                    </w:p>
                    <w:p w14:paraId="6DDBB2FB" w14:textId="19EBA815" w:rsidR="00262F73" w:rsidRPr="00C6689C" w:rsidRDefault="00262F73" w:rsidP="00262F73">
                      <w:pPr>
                        <w:rPr>
                          <w:b/>
                          <w:bCs/>
                          <w:color w:val="000000" w:themeColor="text1"/>
                        </w:rPr>
                      </w:pPr>
                    </w:p>
                  </w:txbxContent>
                </v:textbox>
                <w10:wrap anchorx="margin"/>
              </v:roundrect>
            </w:pict>
          </mc:Fallback>
        </mc:AlternateContent>
      </w:r>
      <w:r w:rsidR="00A50F37">
        <w:rPr>
          <w:noProof/>
        </w:rPr>
        <w:t>3. La situation de caisse et d’exercice 2019-2024 du Fonds de chômage</w:t>
      </w:r>
      <w:bookmarkEnd w:id="8"/>
    </w:p>
    <w:p w14:paraId="60C2B2D2" w14:textId="6B1CBFB1" w:rsidR="00262F73" w:rsidRDefault="00262F73" w:rsidP="00262F73">
      <w:pPr>
        <w:rPr>
          <w:noProof/>
        </w:rPr>
      </w:pPr>
    </w:p>
    <w:p w14:paraId="730527CA" w14:textId="6DC934BE" w:rsidR="00262F73" w:rsidRDefault="00262F73" w:rsidP="00262F73">
      <w:pPr>
        <w:rPr>
          <w:noProof/>
        </w:rPr>
      </w:pPr>
    </w:p>
    <w:p w14:paraId="1C3D98D3" w14:textId="4F2EF52F" w:rsidR="00262F73" w:rsidRDefault="00262F73" w:rsidP="00262F73">
      <w:pPr>
        <w:rPr>
          <w:noProof/>
        </w:rPr>
      </w:pPr>
    </w:p>
    <w:p w14:paraId="79EC4209" w14:textId="77777777" w:rsidR="00262F73" w:rsidRDefault="00262F73" w:rsidP="00262F73">
      <w:pPr>
        <w:rPr>
          <w:noProof/>
        </w:rPr>
      </w:pPr>
    </w:p>
    <w:p w14:paraId="1EE7A519" w14:textId="77777777" w:rsidR="00262F73" w:rsidRDefault="00262F73" w:rsidP="00262F73">
      <w:pPr>
        <w:rPr>
          <w:noProof/>
        </w:rPr>
      </w:pPr>
    </w:p>
    <w:p w14:paraId="45295194" w14:textId="77777777" w:rsidR="00262F73" w:rsidRDefault="00262F73" w:rsidP="00262F73">
      <w:pPr>
        <w:rPr>
          <w:noProof/>
        </w:rPr>
      </w:pPr>
    </w:p>
    <w:p w14:paraId="65FD1D4D" w14:textId="77777777" w:rsidR="00262F73" w:rsidRDefault="00262F73" w:rsidP="00262F73">
      <w:pPr>
        <w:rPr>
          <w:noProof/>
        </w:rPr>
      </w:pPr>
    </w:p>
    <w:p w14:paraId="272C55BF" w14:textId="77777777" w:rsidR="00262F73" w:rsidRDefault="00262F73" w:rsidP="00262F73">
      <w:pPr>
        <w:rPr>
          <w:noProof/>
        </w:rPr>
      </w:pPr>
    </w:p>
    <w:p w14:paraId="036DD124" w14:textId="77777777" w:rsidR="00262F73" w:rsidRDefault="00262F73" w:rsidP="00262F73">
      <w:pPr>
        <w:rPr>
          <w:noProof/>
        </w:rPr>
      </w:pPr>
    </w:p>
    <w:p w14:paraId="54B0DFE9" w14:textId="77777777" w:rsidR="00262F73" w:rsidRDefault="00262F73" w:rsidP="00262F73">
      <w:pPr>
        <w:rPr>
          <w:noProof/>
        </w:rPr>
      </w:pPr>
    </w:p>
    <w:p w14:paraId="09585799" w14:textId="77777777" w:rsidR="00262F73" w:rsidRDefault="00262F73" w:rsidP="00262F73">
      <w:pPr>
        <w:rPr>
          <w:noProof/>
        </w:rPr>
      </w:pPr>
    </w:p>
    <w:p w14:paraId="1FAEC9AB" w14:textId="77777777" w:rsidR="001107DD" w:rsidRDefault="001107DD" w:rsidP="007D4221">
      <w:pPr>
        <w:jc w:val="both"/>
        <w:rPr>
          <w:noProof/>
        </w:rPr>
      </w:pPr>
    </w:p>
    <w:p w14:paraId="1869CB0F" w14:textId="671E302D" w:rsidR="00EA61BF" w:rsidRPr="001107DD" w:rsidRDefault="007D4221" w:rsidP="007D4221">
      <w:pPr>
        <w:jc w:val="both"/>
        <w:rPr>
          <w:rFonts w:ascii="Times New Roman" w:hAnsi="Times New Roman" w:cs="Times New Roman"/>
          <w:noProof/>
          <w:sz w:val="24"/>
          <w:szCs w:val="24"/>
        </w:rPr>
      </w:pPr>
      <w:r>
        <w:rPr>
          <w:rFonts w:ascii="Times New Roman" w:hAnsi="Times New Roman"/>
          <w:noProof/>
          <w:sz w:val="24"/>
        </w:rPr>
        <w:t xml:space="preserve">Le présent chapitre présente l’évolution de la situation d’exercice du Fonds, et plus particulièrement de ses recettes et de ses dépenses, ainsi que l’évolution de ses réserves. </w:t>
      </w:r>
    </w:p>
    <w:p w14:paraId="12E84E43" w14:textId="2FEFEC70" w:rsidR="00F63837" w:rsidRPr="001107DD" w:rsidRDefault="007D4221" w:rsidP="007D4221">
      <w:pPr>
        <w:jc w:val="both"/>
        <w:rPr>
          <w:rFonts w:ascii="Times New Roman" w:hAnsi="Times New Roman" w:cs="Times New Roman"/>
          <w:noProof/>
          <w:sz w:val="24"/>
          <w:szCs w:val="24"/>
        </w:rPr>
      </w:pPr>
      <w:r>
        <w:rPr>
          <w:rFonts w:ascii="Times New Roman" w:hAnsi="Times New Roman"/>
          <w:noProof/>
          <w:sz w:val="24"/>
        </w:rPr>
        <w:t>Le Fonds repose sur deux instruments de gestion pour ses dépenses et recettes:</w:t>
      </w:r>
    </w:p>
    <w:p w14:paraId="08ACB320" w14:textId="54435A2A" w:rsidR="00142D28" w:rsidRPr="00D45CAD" w:rsidRDefault="00F63837" w:rsidP="00142D28">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un compte courant situé à Bruxelles auprès de l’Office de gestion et de liquidation des droits individuels, qui collecte les contributions mensuelles auprès des agents contractuels ou temporaires et des APA ainsi qu’auprès de leurs institutions et agences respectives et verse à la fois l’allocation de chômage et la contribution correspondante au RCAM;</w:t>
      </w:r>
    </w:p>
    <w:p w14:paraId="69325090" w14:textId="260973C6" w:rsidR="00E64581" w:rsidRPr="00D45CAD" w:rsidRDefault="00815AC4" w:rsidP="00142D28">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des comptes de placement situés à Luxembourg et gérés par la DG BUDG. </w:t>
      </w:r>
    </w:p>
    <w:p w14:paraId="52DADC80" w14:textId="77777777" w:rsidR="00950F30" w:rsidRPr="00142D28" w:rsidRDefault="00950F30" w:rsidP="00DF5D65">
      <w:pPr>
        <w:pStyle w:val="ListParagraph"/>
        <w:jc w:val="both"/>
        <w:rPr>
          <w:noProof/>
        </w:rPr>
      </w:pPr>
    </w:p>
    <w:p w14:paraId="75AFA1DD" w14:textId="37FCDA95" w:rsidR="00950F30" w:rsidRDefault="00003C62" w:rsidP="007C3E45">
      <w:pPr>
        <w:pStyle w:val="Heading2"/>
        <w:numPr>
          <w:ilvl w:val="0"/>
          <w:numId w:val="0"/>
        </w:numPr>
        <w:rPr>
          <w:noProof/>
        </w:rPr>
      </w:pPr>
      <w:bookmarkStart w:id="9" w:name="_Toc233386986"/>
      <w:r>
        <w:rPr>
          <w:noProof/>
        </w:rPr>
        <w:t>3.1 Situation de «caisse»: résultats courants et soldes cumulés 2019-2024</w:t>
      </w:r>
      <w:bookmarkEnd w:id="9"/>
    </w:p>
    <w:p w14:paraId="19C403D0" w14:textId="7E7EC92E" w:rsidR="00B90B4D" w:rsidRDefault="00950F30" w:rsidP="00E537A2">
      <w:pPr>
        <w:jc w:val="both"/>
        <w:rPr>
          <w:noProof/>
        </w:rPr>
      </w:pPr>
      <w:r>
        <w:rPr>
          <w:rFonts w:ascii="Times New Roman" w:hAnsi="Times New Roman"/>
          <w:noProof/>
          <w:sz w:val="24"/>
        </w:rPr>
        <w:t>Dans le cadre d’une comptabilité de caisse, les opérations ne sont inscrites que lorsqu’une entrée ou une sortie de trésorerie s’est produite au cours de la période analysée et fait état avec précision du montant de trésorerie effectivement transféré/reçu au cours d’une période donnée. Le tableau 1 présente un récapitulatif des recettes et des dépenses telles qu’inscrites dans la comptabilité, ainsi que le solde courant qui en découle </w:t>
      </w:r>
      <w:r>
        <w:rPr>
          <w:rStyle w:val="FootnoteReference"/>
          <w:noProof/>
        </w:rPr>
        <w:footnoteReference w:id="10"/>
      </w:r>
      <w:r>
        <w:rPr>
          <w:rFonts w:ascii="Times New Roman" w:hAnsi="Times New Roman"/>
          <w:noProof/>
          <w:sz w:val="24"/>
        </w:rPr>
        <w:t>.</w:t>
      </w:r>
    </w:p>
    <w:p w14:paraId="788AA702" w14:textId="6CBCB7CC" w:rsidR="00E537A2" w:rsidRPr="009729C4" w:rsidRDefault="00E537A2" w:rsidP="00E537A2">
      <w:pPr>
        <w:jc w:val="both"/>
        <w:rPr>
          <w:rFonts w:ascii="Times New Roman" w:hAnsi="Times New Roman" w:cs="Times New Roman"/>
          <w:b/>
          <w:bCs/>
          <w:noProof/>
        </w:rPr>
      </w:pPr>
      <w:r>
        <w:rPr>
          <w:rFonts w:ascii="Times New Roman" w:hAnsi="Times New Roman"/>
          <w:b/>
          <w:noProof/>
        </w:rPr>
        <w:t>Tableau 1 – Fonds de chômage – Situation de caisse – Résultats courants (2019-2024)</w:t>
      </w:r>
    </w:p>
    <w:p w14:paraId="029DDED7" w14:textId="3768CDD3" w:rsidR="000356BF" w:rsidRDefault="00764C37" w:rsidP="00E537A2">
      <w:pPr>
        <w:jc w:val="both"/>
        <w:rPr>
          <w:noProof/>
        </w:rPr>
      </w:pPr>
      <w:r w:rsidRPr="00764C37">
        <w:rPr>
          <w:noProof/>
          <w:lang w:val="en-GB" w:eastAsia="en-GB"/>
        </w:rPr>
        <w:drawing>
          <wp:inline distT="0" distB="0" distL="0" distR="0" wp14:anchorId="74C4B97A" wp14:editId="0E002A70">
            <wp:extent cx="5731510" cy="2870200"/>
            <wp:effectExtent l="0" t="0" r="2540" b="6350"/>
            <wp:docPr id="687401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2870200"/>
                    </a:xfrm>
                    <a:prstGeom prst="rect">
                      <a:avLst/>
                    </a:prstGeom>
                    <a:noFill/>
                    <a:ln>
                      <a:noFill/>
                    </a:ln>
                  </pic:spPr>
                </pic:pic>
              </a:graphicData>
            </a:graphic>
          </wp:inline>
        </w:drawing>
      </w:r>
    </w:p>
    <w:p w14:paraId="05E90C7C" w14:textId="13409DA9" w:rsidR="00AD21B3" w:rsidRPr="002840D9" w:rsidRDefault="007B70AB" w:rsidP="00DF5D65">
      <w:pPr>
        <w:pStyle w:val="Heading3"/>
        <w:numPr>
          <w:ilvl w:val="0"/>
          <w:numId w:val="0"/>
        </w:numPr>
        <w:rPr>
          <w:b/>
          <w:bCs/>
          <w:noProof/>
        </w:rPr>
      </w:pPr>
      <w:bookmarkStart w:id="10" w:name="_Toc221812761"/>
      <w:bookmarkStart w:id="11" w:name="_Toc233386987"/>
      <w:r>
        <w:rPr>
          <w:b/>
          <w:noProof/>
        </w:rPr>
        <w:t>Évolution du compte courant et des comptes de placement</w:t>
      </w:r>
      <w:bookmarkEnd w:id="10"/>
      <w:bookmarkEnd w:id="11"/>
    </w:p>
    <w:p w14:paraId="2BBDD2CD" w14:textId="62550BD0" w:rsidR="00437752" w:rsidRPr="005766D7" w:rsidRDefault="00437752" w:rsidP="00437752">
      <w:pPr>
        <w:jc w:val="both"/>
        <w:rPr>
          <w:rFonts w:ascii="Times New Roman" w:hAnsi="Times New Roman" w:cs="Times New Roman"/>
          <w:noProof/>
          <w:sz w:val="24"/>
          <w:szCs w:val="24"/>
        </w:rPr>
      </w:pPr>
      <w:r>
        <w:rPr>
          <w:rFonts w:ascii="Times New Roman" w:hAnsi="Times New Roman"/>
          <w:noProof/>
          <w:sz w:val="24"/>
        </w:rPr>
        <w:t xml:space="preserve">Outre le compte courant, qui fournit les liquidités quotidiennes et gère les opérations des bénéficiaires et des institutions concernées, le Fonds a affecté au portefeuille les fonds qui ne sont pas nécessaires actuellement à ses obligations et dont le placement est géré par la DG BUDG. </w:t>
      </w:r>
    </w:p>
    <w:p w14:paraId="4FC9801F" w14:textId="4E2B33CF" w:rsidR="00CE76C0" w:rsidRDefault="00AD21B3" w:rsidP="00AD21B3">
      <w:pPr>
        <w:jc w:val="both"/>
        <w:rPr>
          <w:b/>
          <w:bCs/>
          <w:noProof/>
        </w:rPr>
      </w:pPr>
      <w:r>
        <w:rPr>
          <w:rFonts w:ascii="Times New Roman" w:hAnsi="Times New Roman"/>
          <w:noProof/>
          <w:sz w:val="24"/>
        </w:rPr>
        <w:t xml:space="preserve">L’analyse des comptes du Fonds montre que la principale évolution observée au cours des cinq dernières années a été le transfert de 75 millions d’EUR en 2023 du compte courant vers le compte de portefeuille. Ces réserves ont été initialement investies dans des produits d’épargne à durée déterminée générant un rendement d’environ 3 % à 4 % par an, soit environ 900 000 EUR en 2023 et 3,2 millions d’EUR en 2024. </w:t>
      </w:r>
    </w:p>
    <w:p w14:paraId="3E2888B1" w14:textId="5B39B45F" w:rsidR="00AD21B3" w:rsidRPr="005766D7" w:rsidRDefault="00AD21B3" w:rsidP="00AD21B3">
      <w:pPr>
        <w:jc w:val="both"/>
        <w:rPr>
          <w:rFonts w:ascii="Times New Roman" w:hAnsi="Times New Roman" w:cs="Times New Roman"/>
          <w:b/>
          <w:bCs/>
          <w:noProof/>
        </w:rPr>
      </w:pPr>
      <w:r>
        <w:rPr>
          <w:rFonts w:ascii="Times New Roman" w:hAnsi="Times New Roman"/>
          <w:b/>
          <w:noProof/>
        </w:rPr>
        <w:t>Tableau 2 – Fonds de chômage – Situation de caisse (évolution du solde cumulé 2019-2024)</w:t>
      </w:r>
    </w:p>
    <w:p w14:paraId="3410BE8D" w14:textId="03BC3F98" w:rsidR="00AD21B3" w:rsidRPr="00A13CA3" w:rsidRDefault="00764C37" w:rsidP="00AD21B3">
      <w:pPr>
        <w:jc w:val="both"/>
        <w:rPr>
          <w:b/>
          <w:bCs/>
          <w:noProof/>
        </w:rPr>
      </w:pPr>
      <w:r w:rsidRPr="00764C37">
        <w:rPr>
          <w:noProof/>
          <w:lang w:val="en-GB" w:eastAsia="en-GB"/>
        </w:rPr>
        <w:drawing>
          <wp:inline distT="0" distB="0" distL="0" distR="0" wp14:anchorId="5D1B4510" wp14:editId="5DB1A964">
            <wp:extent cx="5731510" cy="2705735"/>
            <wp:effectExtent l="0" t="0" r="2540" b="0"/>
            <wp:docPr id="5036146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2705735"/>
                    </a:xfrm>
                    <a:prstGeom prst="rect">
                      <a:avLst/>
                    </a:prstGeom>
                    <a:noFill/>
                    <a:ln>
                      <a:noFill/>
                    </a:ln>
                  </pic:spPr>
                </pic:pic>
              </a:graphicData>
            </a:graphic>
          </wp:inline>
        </w:drawing>
      </w:r>
    </w:p>
    <w:p w14:paraId="22447B06" w14:textId="070A72F7" w:rsidR="00DC33F5" w:rsidRPr="0005603A" w:rsidRDefault="00DC33F5" w:rsidP="00DF5D65">
      <w:pPr>
        <w:jc w:val="both"/>
        <w:rPr>
          <w:rFonts w:ascii="Times New Roman" w:hAnsi="Times New Roman" w:cs="Times New Roman"/>
          <w:noProof/>
          <w:sz w:val="24"/>
          <w:szCs w:val="24"/>
        </w:rPr>
      </w:pPr>
      <w:r>
        <w:rPr>
          <w:rFonts w:ascii="Times New Roman" w:hAnsi="Times New Roman"/>
          <w:noProof/>
          <w:sz w:val="24"/>
        </w:rPr>
        <w:t xml:space="preserve">Le tableau 3 présente le solde cumulé du Fonds de manière plus synthétique. Le compte courant a débuté et terminé la période de référence à des niveaux similaires, aux alentours de 27 millions d’EUR, tandis que la rubrique «Placements» est passée d’environ 22 000 EUR à plus de 79 millions d’EUR. </w:t>
      </w:r>
    </w:p>
    <w:p w14:paraId="7C0B75A3" w14:textId="77777777" w:rsidR="00BF7B3E" w:rsidRPr="005766D7" w:rsidRDefault="00BF7B3E" w:rsidP="00BF7B3E">
      <w:pPr>
        <w:jc w:val="both"/>
        <w:rPr>
          <w:rFonts w:ascii="Times New Roman" w:hAnsi="Times New Roman" w:cs="Times New Roman"/>
          <w:b/>
          <w:bCs/>
          <w:noProof/>
        </w:rPr>
      </w:pPr>
      <w:r>
        <w:rPr>
          <w:rFonts w:ascii="Times New Roman" w:hAnsi="Times New Roman"/>
          <w:b/>
          <w:noProof/>
        </w:rPr>
        <w:t>Tableau 3 – Fonds de chômage– Solde cumulé (2019-2024)</w:t>
      </w:r>
    </w:p>
    <w:p w14:paraId="65587963" w14:textId="2CB47EBE" w:rsidR="00927604" w:rsidRDefault="00764C37" w:rsidP="00D45CAD">
      <w:pPr>
        <w:jc w:val="both"/>
        <w:rPr>
          <w:noProof/>
        </w:rPr>
      </w:pPr>
      <w:r w:rsidRPr="00764C37">
        <w:rPr>
          <w:noProof/>
          <w:lang w:val="en-GB" w:eastAsia="en-GB"/>
        </w:rPr>
        <w:drawing>
          <wp:inline distT="0" distB="0" distL="0" distR="0" wp14:anchorId="0892159E" wp14:editId="6ED9984C">
            <wp:extent cx="5731510" cy="817245"/>
            <wp:effectExtent l="0" t="0" r="2540" b="1905"/>
            <wp:docPr id="3343188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817245"/>
                    </a:xfrm>
                    <a:prstGeom prst="rect">
                      <a:avLst/>
                    </a:prstGeom>
                    <a:noFill/>
                    <a:ln>
                      <a:noFill/>
                    </a:ln>
                  </pic:spPr>
                </pic:pic>
              </a:graphicData>
            </a:graphic>
          </wp:inline>
        </w:drawing>
      </w:r>
    </w:p>
    <w:p w14:paraId="761944C9" w14:textId="456ACBF5" w:rsidR="000356BF" w:rsidRDefault="00C45822" w:rsidP="007137E9">
      <w:pPr>
        <w:pStyle w:val="Heading2"/>
        <w:numPr>
          <w:ilvl w:val="0"/>
          <w:numId w:val="0"/>
        </w:numPr>
        <w:rPr>
          <w:noProof/>
        </w:rPr>
      </w:pPr>
      <w:bookmarkStart w:id="12" w:name="_Toc233386988"/>
      <w:r>
        <w:rPr>
          <w:noProof/>
        </w:rPr>
        <w:t>3.2 Situation d’exercice: résultats courants 2019-2024</w:t>
      </w:r>
      <w:bookmarkEnd w:id="12"/>
    </w:p>
    <w:p w14:paraId="73748CE4" w14:textId="575DC3BE" w:rsidR="00B90B4D" w:rsidRDefault="000356BF" w:rsidP="000356BF">
      <w:pPr>
        <w:jc w:val="both"/>
        <w:rPr>
          <w:b/>
          <w:bCs/>
          <w:noProof/>
        </w:rPr>
      </w:pPr>
      <w:r>
        <w:rPr>
          <w:rFonts w:ascii="Times New Roman" w:hAnsi="Times New Roman"/>
          <w:noProof/>
          <w:sz w:val="24"/>
        </w:rPr>
        <w:t xml:space="preserve">Dans le cadre d’une comptabilité d’exercice, les opérations sont inscrites dans la comptabilité au moment où la contribution au Fonds ou le paiement de l’allocation de chômage sont dus. Il en résulte certaines divergences avec la comptabilité de caisse, étant donné que certaines contributions reçues au début de l’exercice N couvrent des périodes d’activité de la fin de l’exercice N-1 ou que certains montants payés au début de l’exercice N couvrent des périodes de chômage de la fin de l’exercice N-1. </w:t>
      </w:r>
    </w:p>
    <w:p w14:paraId="508C06A4" w14:textId="5797BE83" w:rsidR="000356BF" w:rsidRPr="00A178DF" w:rsidRDefault="000356BF" w:rsidP="00A5228F">
      <w:pPr>
        <w:keepNext/>
        <w:jc w:val="both"/>
        <w:rPr>
          <w:rFonts w:ascii="Times New Roman" w:hAnsi="Times New Roman" w:cs="Times New Roman"/>
          <w:b/>
          <w:bCs/>
          <w:noProof/>
        </w:rPr>
      </w:pPr>
      <w:r>
        <w:rPr>
          <w:rFonts w:ascii="Times New Roman" w:hAnsi="Times New Roman"/>
          <w:b/>
          <w:noProof/>
        </w:rPr>
        <w:t>Tableau 4 – Fonds de chômage – Situation d’exercice – Résultats courants (2019-2024)</w:t>
      </w:r>
    </w:p>
    <w:p w14:paraId="38A47F18" w14:textId="6600E0D5" w:rsidR="00DE623F" w:rsidRDefault="00764C37" w:rsidP="000356BF">
      <w:pPr>
        <w:jc w:val="both"/>
        <w:rPr>
          <w:b/>
          <w:bCs/>
          <w:noProof/>
        </w:rPr>
      </w:pPr>
      <w:r w:rsidRPr="00764C37">
        <w:rPr>
          <w:noProof/>
          <w:lang w:val="en-GB" w:eastAsia="en-GB"/>
        </w:rPr>
        <w:drawing>
          <wp:inline distT="0" distB="0" distL="0" distR="0" wp14:anchorId="4071383C" wp14:editId="5F1E963D">
            <wp:extent cx="5731510" cy="2863850"/>
            <wp:effectExtent l="0" t="0" r="2540" b="0"/>
            <wp:docPr id="4018433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2863850"/>
                    </a:xfrm>
                    <a:prstGeom prst="rect">
                      <a:avLst/>
                    </a:prstGeom>
                    <a:noFill/>
                    <a:ln>
                      <a:noFill/>
                    </a:ln>
                  </pic:spPr>
                </pic:pic>
              </a:graphicData>
            </a:graphic>
          </wp:inline>
        </w:drawing>
      </w:r>
    </w:p>
    <w:p w14:paraId="55AA97AE" w14:textId="561410EC" w:rsidR="00582E3E" w:rsidRPr="009566FD" w:rsidRDefault="00C45822" w:rsidP="00DF5D65">
      <w:pPr>
        <w:pStyle w:val="Heading2"/>
        <w:numPr>
          <w:ilvl w:val="0"/>
          <w:numId w:val="0"/>
        </w:numPr>
        <w:rPr>
          <w:noProof/>
        </w:rPr>
      </w:pPr>
      <w:bookmarkStart w:id="13" w:name="_Toc233386989"/>
      <w:r>
        <w:rPr>
          <w:noProof/>
        </w:rPr>
        <w:t>3.3 Résultat courant 2019-2024</w:t>
      </w:r>
      <w:bookmarkEnd w:id="13"/>
      <w:r>
        <w:rPr>
          <w:noProof/>
        </w:rPr>
        <w:t xml:space="preserve"> </w:t>
      </w:r>
    </w:p>
    <w:p w14:paraId="50B4A7F2" w14:textId="73CEED03" w:rsidR="00163150" w:rsidRPr="00A178DF" w:rsidRDefault="63F08DE2" w:rsidP="34F540BD">
      <w:pPr>
        <w:jc w:val="both"/>
        <w:rPr>
          <w:rFonts w:ascii="Times New Roman" w:hAnsi="Times New Roman" w:cs="Times New Roman"/>
          <w:noProof/>
          <w:sz w:val="24"/>
          <w:szCs w:val="24"/>
        </w:rPr>
      </w:pPr>
      <w:r>
        <w:rPr>
          <w:rFonts w:ascii="Times New Roman" w:hAnsi="Times New Roman"/>
          <w:noProof/>
          <w:sz w:val="24"/>
        </w:rPr>
        <w:t xml:space="preserve">Ces dernières années, le résultat courant du Fonds a affiché de solides performances, avec des gains d’environ 12 millions d’EUR par an en moyenne au cours de la période de référence, les trois dernières années oscillant même aux alentours de 20 millions d’EUR. Portées par cette dynamique, les réserves cumulées ont atteint plus de 106 millions d’EUR à la fin de 2024, soit une hausse de plus de 243 % par rapport au montant de 30 millions d’EUR enregistré en 2019. </w:t>
      </w:r>
    </w:p>
    <w:p w14:paraId="51627630" w14:textId="2383F312" w:rsidR="00524D0F" w:rsidRPr="00D45CAD" w:rsidRDefault="42AA47F0" w:rsidP="34F540BD">
      <w:pPr>
        <w:jc w:val="both"/>
        <w:rPr>
          <w:rFonts w:ascii="Times New Roman" w:hAnsi="Times New Roman" w:cs="Times New Roman"/>
          <w:noProof/>
          <w:sz w:val="24"/>
          <w:szCs w:val="24"/>
        </w:rPr>
      </w:pPr>
      <w:r>
        <w:rPr>
          <w:rFonts w:ascii="Times New Roman" w:hAnsi="Times New Roman"/>
          <w:noProof/>
          <w:sz w:val="24"/>
        </w:rPr>
        <w:t xml:space="preserve">Le caractère notoirement cyclique des dépenses, qui a entraîné un accroissement temporaire du nombre d’APA au chômage, a contribué à l’augmentation des dépenses en 2024. Néanmoins, au cours de cette année, seul le mois d’octobre a affiché un déficit, d’une valeur de 600 000 EUR. Fin 2024, le compte courant détenait 27 millions d’EUR. Ce montant, conjugué au montant d’environ 78 millions d’EUR figurant au portefeuille, fournit au régime une réserve de liquidités propre à amortir d’éventuels déficits en 2025, dus au nombre d’APA au chômage. </w:t>
      </w:r>
    </w:p>
    <w:p w14:paraId="47AE884E" w14:textId="72047B6E" w:rsidR="00E31FD5" w:rsidRPr="00D45CAD" w:rsidRDefault="00330F92" w:rsidP="009417D9">
      <w:pPr>
        <w:jc w:val="both"/>
        <w:rPr>
          <w:rFonts w:ascii="Times New Roman" w:hAnsi="Times New Roman" w:cs="Times New Roman"/>
          <w:noProof/>
          <w:sz w:val="24"/>
          <w:szCs w:val="24"/>
        </w:rPr>
      </w:pPr>
      <w:r>
        <w:rPr>
          <w:rFonts w:ascii="Times New Roman" w:hAnsi="Times New Roman"/>
          <w:noProof/>
          <w:sz w:val="24"/>
        </w:rPr>
        <w:t xml:space="preserve">L’analyse de l’évolution des recettes au cours des cinq dernières années indique une augmentation annuelle moyenne de 10 % sur la période 2019-2024, soit une légère accélération par rapport à la moyenne du précédent rapport (2017-2022), où l’augmentation moyenne avait été d’environ 9 %. En 2024, les recettes totales se sont élevées à 48 millions d’EUR. </w:t>
      </w:r>
    </w:p>
    <w:p w14:paraId="180B259A" w14:textId="2159DCEE" w:rsidR="00B90B4D" w:rsidRDefault="00C12BD3" w:rsidP="009417D9">
      <w:pPr>
        <w:jc w:val="both"/>
        <w:rPr>
          <w:b/>
          <w:bCs/>
          <w:noProof/>
        </w:rPr>
      </w:pPr>
      <w:r>
        <w:rPr>
          <w:rFonts w:ascii="Times New Roman" w:hAnsi="Times New Roman"/>
          <w:noProof/>
          <w:sz w:val="24"/>
        </w:rPr>
        <w:t xml:space="preserve">Ces cinq dernières années, après s’être inscrites à la baisse en 2021 et 2022, les dépenses ont rebondi de près de 9 % en 2023 et de plus de 34 % en 2024, pour atteindre près de 30 millions d’EUR, un niveau supérieur d’environ 10 % à celui de 2019, mais inférieur au pic de 32 millions d’EUR observé en 2020. </w:t>
      </w:r>
    </w:p>
    <w:p w14:paraId="29657E7A" w14:textId="6842D8DF" w:rsidR="00E1334F" w:rsidRPr="003A6EF8" w:rsidRDefault="00825768" w:rsidP="00A5228F">
      <w:pPr>
        <w:keepNext/>
        <w:jc w:val="both"/>
        <w:rPr>
          <w:rFonts w:ascii="Times New Roman" w:hAnsi="Times New Roman" w:cs="Times New Roman"/>
          <w:b/>
          <w:bCs/>
          <w:noProof/>
        </w:rPr>
      </w:pPr>
      <w:r>
        <w:rPr>
          <w:rFonts w:ascii="Times New Roman" w:hAnsi="Times New Roman"/>
          <w:b/>
          <w:noProof/>
        </w:rPr>
        <w:t>Graphique 3.3.1 Évolution du Fonds de chômage</w:t>
      </w:r>
      <w:r>
        <w:rPr>
          <w:rFonts w:ascii="Times New Roman" w:hAnsi="Times New Roman"/>
          <w:noProof/>
        </w:rPr>
        <w:t xml:space="preserve"> </w:t>
      </w:r>
    </w:p>
    <w:p w14:paraId="19957E8B" w14:textId="1F613928" w:rsidR="00B74DBE" w:rsidRDefault="0032532C" w:rsidP="00E1334F">
      <w:pPr>
        <w:jc w:val="center"/>
        <w:rPr>
          <w:noProof/>
        </w:rPr>
      </w:pPr>
      <w:r w:rsidRPr="0032532C">
        <w:rPr>
          <w:noProof/>
        </w:rPr>
        <w:t xml:space="preserve">Ces allocations sont payées par le Fonds de chômage (le «Fonds»). Ce Fonds est financé d’une </w:t>
      </w:r>
      <w:r w:rsidR="003D6BC3" w:rsidRPr="003D6BC3">
        <w:rPr>
          <w:noProof/>
          <w:lang w:val="en-GB" w:eastAsia="en-GB"/>
        </w:rPr>
        <w:drawing>
          <wp:inline distT="0" distB="0" distL="0" distR="0" wp14:anchorId="3B844FEC" wp14:editId="3BB3C9E6">
            <wp:extent cx="6101569" cy="3517900"/>
            <wp:effectExtent l="0" t="0" r="0" b="6350"/>
            <wp:docPr id="812734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05159" cy="3519970"/>
                    </a:xfrm>
                    <a:prstGeom prst="rect">
                      <a:avLst/>
                    </a:prstGeom>
                    <a:noFill/>
                    <a:ln>
                      <a:noFill/>
                    </a:ln>
                  </pic:spPr>
                </pic:pic>
              </a:graphicData>
            </a:graphic>
          </wp:inline>
        </w:drawing>
      </w:r>
      <w:r w:rsidR="003D6BC3" w:rsidRPr="003D6BC3">
        <w:rPr>
          <w:noProof/>
        </w:rPr>
        <w:t xml:space="preserve"> </w:t>
      </w:r>
    </w:p>
    <w:p w14:paraId="74A2ED4B" w14:textId="3F042B44" w:rsidR="00532C90" w:rsidRPr="00CE3230" w:rsidRDefault="2192F9BC" w:rsidP="00CE3230">
      <w:pPr>
        <w:rPr>
          <w:rFonts w:ascii="Times New Roman" w:hAnsi="Times New Roman" w:cs="Times New Roman"/>
          <w:noProof/>
        </w:rPr>
      </w:pPr>
      <w:r>
        <w:rPr>
          <w:rFonts w:ascii="Times New Roman" w:hAnsi="Times New Roman"/>
          <w:noProof/>
        </w:rPr>
        <w:t>Source: tableau 1, tableau 2</w:t>
      </w:r>
    </w:p>
    <w:p w14:paraId="646735AA" w14:textId="2FA55462" w:rsidR="00FE45FC" w:rsidRPr="009566FD" w:rsidRDefault="00C45822" w:rsidP="00DF5D65">
      <w:pPr>
        <w:pStyle w:val="Heading2"/>
        <w:numPr>
          <w:ilvl w:val="0"/>
          <w:numId w:val="0"/>
        </w:numPr>
        <w:ind w:left="576" w:hanging="576"/>
        <w:rPr>
          <w:noProof/>
        </w:rPr>
      </w:pPr>
      <w:bookmarkStart w:id="14" w:name="_Toc233386990"/>
      <w:r>
        <w:rPr>
          <w:noProof/>
        </w:rPr>
        <w:t>3.4 Situation d’exercice: ventilation des dépenses et des recettes</w:t>
      </w:r>
      <w:bookmarkEnd w:id="14"/>
      <w:r>
        <w:rPr>
          <w:noProof/>
        </w:rPr>
        <w:t xml:space="preserve"> </w:t>
      </w:r>
    </w:p>
    <w:p w14:paraId="0A6FCA73" w14:textId="43288D1F" w:rsidR="00856431" w:rsidRPr="003A6EF8" w:rsidRDefault="7CC85989" w:rsidP="7E3AAFD6">
      <w:pPr>
        <w:jc w:val="both"/>
        <w:rPr>
          <w:rFonts w:ascii="Times New Roman" w:hAnsi="Times New Roman" w:cs="Times New Roman"/>
          <w:noProof/>
          <w:sz w:val="24"/>
          <w:szCs w:val="24"/>
        </w:rPr>
      </w:pPr>
      <w:r>
        <w:rPr>
          <w:rFonts w:ascii="Times New Roman" w:hAnsi="Times New Roman"/>
          <w:noProof/>
          <w:sz w:val="24"/>
        </w:rPr>
        <w:t xml:space="preserve">Le tableau 5 présente une ventilation des dépenses et des recettes par institution et pour l’ensemble des agences, en termes tant absolus que relatifs. L’évolution des contributions et des dépenses de chaque institution et des agences livre un tableau hétérogène. </w:t>
      </w:r>
    </w:p>
    <w:p w14:paraId="5A8A4455" w14:textId="1B5272DC" w:rsidR="00AC4117" w:rsidRPr="003A6EF8" w:rsidRDefault="00AC4117" w:rsidP="00AC4117">
      <w:pPr>
        <w:jc w:val="both"/>
        <w:rPr>
          <w:rFonts w:ascii="Times New Roman" w:hAnsi="Times New Roman" w:cs="Times New Roman"/>
          <w:b/>
          <w:bCs/>
          <w:noProof/>
        </w:rPr>
      </w:pPr>
      <w:r>
        <w:rPr>
          <w:rFonts w:ascii="Times New Roman" w:hAnsi="Times New Roman"/>
          <w:b/>
          <w:noProof/>
        </w:rPr>
        <w:t xml:space="preserve">Tableau 5 – Fonds de chômage – Situation d’exercice: ventilation des recettes et des dépenses par institution (2019-2024) </w:t>
      </w:r>
    </w:p>
    <w:p w14:paraId="15597987" w14:textId="387E17B8" w:rsidR="00AA5C3D" w:rsidRPr="005138DA" w:rsidRDefault="00764C37" w:rsidP="00F74D46">
      <w:pPr>
        <w:jc w:val="both"/>
        <w:rPr>
          <w:b/>
          <w:bCs/>
          <w:noProof/>
        </w:rPr>
      </w:pPr>
      <w:r w:rsidRPr="00764C37">
        <w:rPr>
          <w:noProof/>
          <w:lang w:val="en-GB" w:eastAsia="en-GB"/>
        </w:rPr>
        <w:drawing>
          <wp:inline distT="0" distB="0" distL="0" distR="0" wp14:anchorId="758E8605" wp14:editId="77FCCE2A">
            <wp:extent cx="5731510" cy="2816860"/>
            <wp:effectExtent l="0" t="0" r="2540" b="2540"/>
            <wp:docPr id="2224417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2816860"/>
                    </a:xfrm>
                    <a:prstGeom prst="rect">
                      <a:avLst/>
                    </a:prstGeom>
                    <a:noFill/>
                    <a:ln>
                      <a:noFill/>
                    </a:ln>
                  </pic:spPr>
                </pic:pic>
              </a:graphicData>
            </a:graphic>
          </wp:inline>
        </w:drawing>
      </w:r>
    </w:p>
    <w:p w14:paraId="3BF5851F" w14:textId="4A36A9D3" w:rsidR="006D5660" w:rsidRDefault="00CC2AFE" w:rsidP="007137E9">
      <w:pPr>
        <w:pStyle w:val="Heading1"/>
        <w:numPr>
          <w:ilvl w:val="0"/>
          <w:numId w:val="0"/>
        </w:numPr>
        <w:ind w:left="360"/>
        <w:rPr>
          <w:noProof/>
        </w:rPr>
      </w:pPr>
      <w:bookmarkStart w:id="15" w:name="_Toc233386991"/>
      <w:r>
        <w:rPr>
          <w:noProof/>
        </w:rPr>
        <w:t>4. Analyse des affiliés, des bénéficiaires et des allocations accordées</w:t>
      </w:r>
      <w:bookmarkEnd w:id="15"/>
    </w:p>
    <w:p w14:paraId="0B10999C" w14:textId="141E3684" w:rsidR="00BE669A" w:rsidRDefault="00C6689C" w:rsidP="0086573C">
      <w:pPr>
        <w:rPr>
          <w:noProof/>
        </w:rPr>
      </w:pPr>
      <w:r>
        <w:rPr>
          <w:noProof/>
          <w:lang w:val="en-GB" w:eastAsia="en-GB"/>
        </w:rPr>
        <mc:AlternateContent>
          <mc:Choice Requires="wps">
            <w:drawing>
              <wp:anchor distT="0" distB="0" distL="114300" distR="114300" simplePos="0" relativeHeight="251658240" behindDoc="0" locked="0" layoutInCell="1" allowOverlap="1" wp14:anchorId="6529323C" wp14:editId="7B8D1FFB">
                <wp:simplePos x="0" y="0"/>
                <wp:positionH relativeFrom="margin">
                  <wp:align>right</wp:align>
                </wp:positionH>
                <wp:positionV relativeFrom="paragraph">
                  <wp:posOffset>85058</wp:posOffset>
                </wp:positionV>
                <wp:extent cx="5717894" cy="3314700"/>
                <wp:effectExtent l="0" t="0" r="16510" b="19050"/>
                <wp:wrapNone/>
                <wp:docPr id="1330594680" name="Rectangle: Rounded Corners 5"/>
                <wp:cNvGraphicFramePr/>
                <a:graphic xmlns:a="http://schemas.openxmlformats.org/drawingml/2006/main">
                  <a:graphicData uri="http://schemas.microsoft.com/office/word/2010/wordprocessingShape">
                    <wps:wsp>
                      <wps:cNvSpPr/>
                      <wps:spPr>
                        <a:xfrm>
                          <a:off x="0" y="0"/>
                          <a:ext cx="5717894" cy="3314700"/>
                        </a:xfrm>
                        <a:prstGeom prst="roundRect">
                          <a:avLst/>
                        </a:prstGeom>
                        <a:solidFill>
                          <a:schemeClr val="accent1">
                            <a:alpha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F239D58" w14:textId="0DB84578" w:rsidR="00C6689C" w:rsidRPr="00D45CAD" w:rsidRDefault="00071029" w:rsidP="00C6689C">
                            <w:pPr>
                              <w:rPr>
                                <w:rFonts w:ascii="Times New Roman" w:hAnsi="Times New Roman" w:cs="Times New Roman"/>
                                <w:b/>
                                <w:bCs/>
                                <w:color w:val="000000" w:themeColor="text1"/>
                                <w:sz w:val="24"/>
                                <w:szCs w:val="24"/>
                              </w:rPr>
                            </w:pPr>
                            <w:r>
                              <w:rPr>
                                <w:rFonts w:ascii="Times New Roman" w:hAnsi="Times New Roman"/>
                                <w:b/>
                                <w:color w:val="000000" w:themeColor="text1"/>
                                <w:sz w:val="24"/>
                              </w:rPr>
                              <w:t>Informations clés:</w:t>
                            </w:r>
                          </w:p>
                          <w:p w14:paraId="645803F8" w14:textId="523D2F5D"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En décembre 2024, le </w:t>
                            </w:r>
                            <w:r>
                              <w:rPr>
                                <w:rFonts w:ascii="Times New Roman" w:hAnsi="Times New Roman"/>
                                <w:b/>
                                <w:bCs/>
                                <w:color w:val="000000" w:themeColor="text1"/>
                                <w:sz w:val="24"/>
                              </w:rPr>
                              <w:t>nombre de contributeurs</w:t>
                            </w:r>
                            <w:r>
                              <w:rPr>
                                <w:rFonts w:ascii="Times New Roman" w:hAnsi="Times New Roman"/>
                                <w:color w:val="000000" w:themeColor="text1"/>
                                <w:sz w:val="24"/>
                              </w:rPr>
                              <w:t xml:space="preserve"> s’élevait à </w:t>
                            </w:r>
                            <w:r>
                              <w:rPr>
                                <w:rFonts w:ascii="Times New Roman" w:hAnsi="Times New Roman"/>
                                <w:b/>
                                <w:bCs/>
                                <w:color w:val="000000" w:themeColor="text1"/>
                                <w:sz w:val="24"/>
                              </w:rPr>
                              <w:t>36 689</w:t>
                            </w:r>
                            <w:r>
                              <w:rPr>
                                <w:rFonts w:ascii="Times New Roman" w:hAnsi="Times New Roman"/>
                                <w:color w:val="000000" w:themeColor="text1"/>
                                <w:sz w:val="24"/>
                              </w:rPr>
                              <w:t xml:space="preserve">, soit une hausse de 34 % par rapport à 2019. </w:t>
                            </w:r>
                          </w:p>
                          <w:p w14:paraId="7CAB16D7" w14:textId="7890A39B"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En décembre 2024, le </w:t>
                            </w:r>
                            <w:r>
                              <w:rPr>
                                <w:rFonts w:ascii="Times New Roman" w:hAnsi="Times New Roman"/>
                                <w:b/>
                                <w:bCs/>
                                <w:color w:val="000000" w:themeColor="text1"/>
                                <w:sz w:val="24"/>
                              </w:rPr>
                              <w:t>nombre de bénéficiaires</w:t>
                            </w:r>
                            <w:r>
                              <w:rPr>
                                <w:rFonts w:ascii="Times New Roman" w:hAnsi="Times New Roman"/>
                                <w:color w:val="000000" w:themeColor="text1"/>
                                <w:sz w:val="24"/>
                              </w:rPr>
                              <w:t xml:space="preserve"> s’élevait à </w:t>
                            </w:r>
                            <w:r>
                              <w:rPr>
                                <w:rFonts w:ascii="Times New Roman" w:hAnsi="Times New Roman"/>
                                <w:b/>
                                <w:bCs/>
                                <w:color w:val="000000" w:themeColor="text1"/>
                                <w:sz w:val="24"/>
                              </w:rPr>
                              <w:t>754</w:t>
                            </w:r>
                            <w:r>
                              <w:rPr>
                                <w:rFonts w:ascii="Times New Roman" w:hAnsi="Times New Roman"/>
                                <w:color w:val="000000" w:themeColor="text1"/>
                                <w:sz w:val="24"/>
                              </w:rPr>
                              <w:t xml:space="preserve">, soit une contraction de 31 % par rapport à 2019. </w:t>
                            </w:r>
                          </w:p>
                          <w:p w14:paraId="289991C5" w14:textId="2DDD311D" w:rsidR="006F0E97" w:rsidRPr="00D45CAD" w:rsidRDefault="007551A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Le</w:t>
                            </w:r>
                            <w:r>
                              <w:rPr>
                                <w:rFonts w:ascii="Times New Roman" w:hAnsi="Times New Roman"/>
                                <w:b/>
                                <w:bCs/>
                                <w:color w:val="000000" w:themeColor="text1"/>
                                <w:sz w:val="24"/>
                              </w:rPr>
                              <w:t xml:space="preserve"> taux de chômage agrégé</w:t>
                            </w:r>
                            <w:r>
                              <w:rPr>
                                <w:rFonts w:ascii="Times New Roman" w:hAnsi="Times New Roman"/>
                                <w:color w:val="000000" w:themeColor="text1"/>
                                <w:sz w:val="24"/>
                              </w:rPr>
                              <w:t xml:space="preserve"> toutes institutions et agences confondues a chuté au cours de la période, passant de 4 % à 2 %. </w:t>
                            </w:r>
                          </w:p>
                          <w:p w14:paraId="7E19459E" w14:textId="7127F855"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La </w:t>
                            </w:r>
                            <w:r>
                              <w:rPr>
                                <w:rFonts w:ascii="Times New Roman" w:hAnsi="Times New Roman"/>
                                <w:b/>
                                <w:bCs/>
                                <w:color w:val="000000" w:themeColor="text1"/>
                                <w:sz w:val="24"/>
                              </w:rPr>
                              <w:t>durée du chômage</w:t>
                            </w:r>
                            <w:r>
                              <w:rPr>
                                <w:rFonts w:ascii="Times New Roman" w:hAnsi="Times New Roman"/>
                                <w:color w:val="000000" w:themeColor="text1"/>
                                <w:sz w:val="24"/>
                              </w:rPr>
                              <w:t xml:space="preserve"> s’est légèrement allongée, passant de 8,5 mois en 2019 à 8,8 mois en moyenne en 2024.</w:t>
                            </w:r>
                          </w:p>
                          <w:p w14:paraId="5504A5DB" w14:textId="2BDC2B58"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Pr>
                                <w:rFonts w:ascii="Times New Roman" w:hAnsi="Times New Roman"/>
                                <w:b/>
                                <w:bCs/>
                                <w:color w:val="000000" w:themeColor="text1"/>
                                <w:sz w:val="24"/>
                              </w:rPr>
                              <w:t>Répartition géographique des bénéficiaires</w:t>
                            </w:r>
                            <w:r>
                              <w:rPr>
                                <w:rFonts w:ascii="Times New Roman" w:hAnsi="Times New Roman"/>
                                <w:color w:val="000000" w:themeColor="text1"/>
                                <w:sz w:val="24"/>
                              </w:rPr>
                              <w:t>: en 2024, 51 % des bénéficiaires résidaient en Belgique et 27 % d’entre eux au Luxembourg, en Italie, en Espagne et en France.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29323C" id="_x0000_s1028" style="position:absolute;margin-left:399.05pt;margin-top:6.7pt;width:450.25pt;height:261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" fillcolor="#4472c4 [3204]" strokecolor="#09101d [484]" strokeweight="1pt">
                <v:fill opacity="32896f"/>
                <v:stroke joinstyle="miter"/>
                <v:textbox>
                  <w:txbxContent>
                    <w:p w14:paraId="0F239D58" w14:textId="0DB84578" w:rsidR="00C6689C" w:rsidRPr="00D45CAD" w:rsidRDefault="00071029" w:rsidP="00C6689C">
                      <w:pPr>
                        <w:rPr>
                          <w:rFonts w:ascii="Times New Roman" w:hAnsi="Times New Roman" w:cs="Times New Roman"/>
                          <w:b/>
                          <w:bCs/>
                          <w:color w:val="000000" w:themeColor="text1"/>
                          <w:sz w:val="24"/>
                          <w:szCs w:val="24"/>
                        </w:rPr>
                      </w:pPr>
                      <w:r>
                        <w:rPr>
                          <w:rFonts w:ascii="Times New Roman" w:hAnsi="Times New Roman"/>
                          <w:b/>
                          <w:color w:val="000000" w:themeColor="text1"/>
                          <w:sz w:val="24"/>
                        </w:rPr>
                        <w:t>Informations clés:</w:t>
                      </w:r>
                    </w:p>
                    <w:p w14:paraId="645803F8" w14:textId="523D2F5D"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En décembre 2024, le </w:t>
                      </w:r>
                      <w:r>
                        <w:rPr>
                          <w:rFonts w:ascii="Times New Roman" w:hAnsi="Times New Roman"/>
                          <w:b/>
                          <w:bCs/>
                          <w:color w:val="000000" w:themeColor="text1"/>
                          <w:sz w:val="24"/>
                        </w:rPr>
                        <w:t>nombre de contributeurs</w:t>
                      </w:r>
                      <w:r>
                        <w:rPr>
                          <w:rFonts w:ascii="Times New Roman" w:hAnsi="Times New Roman"/>
                          <w:color w:val="000000" w:themeColor="text1"/>
                          <w:sz w:val="24"/>
                        </w:rPr>
                        <w:t xml:space="preserve"> s’élevait à </w:t>
                      </w:r>
                      <w:r>
                        <w:rPr>
                          <w:rFonts w:ascii="Times New Roman" w:hAnsi="Times New Roman"/>
                          <w:b/>
                          <w:bCs/>
                          <w:color w:val="000000" w:themeColor="text1"/>
                          <w:sz w:val="24"/>
                        </w:rPr>
                        <w:t>36 689</w:t>
                      </w:r>
                      <w:r>
                        <w:rPr>
                          <w:rFonts w:ascii="Times New Roman" w:hAnsi="Times New Roman"/>
                          <w:color w:val="000000" w:themeColor="text1"/>
                          <w:sz w:val="24"/>
                        </w:rPr>
                        <w:t xml:space="preserve">, soit une hausse de 34 % par rapport à 2019. </w:t>
                      </w:r>
                    </w:p>
                    <w:p w14:paraId="7CAB16D7" w14:textId="7890A39B"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 xml:space="preserve">En décembre 2024, le </w:t>
                      </w:r>
                      <w:r>
                        <w:rPr>
                          <w:rFonts w:ascii="Times New Roman" w:hAnsi="Times New Roman"/>
                          <w:b/>
                          <w:bCs/>
                          <w:color w:val="000000" w:themeColor="text1"/>
                          <w:sz w:val="24"/>
                        </w:rPr>
                        <w:t>nombre de bénéficiaires</w:t>
                      </w:r>
                      <w:r>
                        <w:rPr>
                          <w:rFonts w:ascii="Times New Roman" w:hAnsi="Times New Roman"/>
                          <w:color w:val="000000" w:themeColor="text1"/>
                          <w:sz w:val="24"/>
                        </w:rPr>
                        <w:t xml:space="preserve"> s’élevait à </w:t>
                      </w:r>
                      <w:r>
                        <w:rPr>
                          <w:rFonts w:ascii="Times New Roman" w:hAnsi="Times New Roman"/>
                          <w:b/>
                          <w:bCs/>
                          <w:color w:val="000000" w:themeColor="text1"/>
                          <w:sz w:val="24"/>
                        </w:rPr>
                        <w:t>754</w:t>
                      </w:r>
                      <w:r>
                        <w:rPr>
                          <w:rFonts w:ascii="Times New Roman" w:hAnsi="Times New Roman"/>
                          <w:color w:val="000000" w:themeColor="text1"/>
                          <w:sz w:val="24"/>
                        </w:rPr>
                        <w:t xml:space="preserve">, soit une contraction de 31 % par rapport à 2019. </w:t>
                      </w:r>
                    </w:p>
                    <w:p w14:paraId="289991C5" w14:textId="2DDD311D" w:rsidR="006F0E97" w:rsidRPr="00D45CAD" w:rsidRDefault="007551A1" w:rsidP="00D45CAD">
                      <w:pPr>
                        <w:pStyle w:val="ListParagraph"/>
                        <w:numPr>
                          <w:ilvl w:val="0"/>
                          <w:numId w:val="11"/>
                        </w:numPr>
                        <w:jc w:val="both"/>
                        <w:rPr>
                          <w:rFonts w:ascii="Times New Roman" w:hAnsi="Times New Roman" w:cs="Times New Roman"/>
                          <w:color w:val="000000" w:themeColor="text1"/>
                          <w:sz w:val="24"/>
                          <w:szCs w:val="24"/>
                        </w:rPr>
                      </w:pPr>
                      <w:r>
                        <w:rPr>
                          <w:rFonts w:ascii="Times New Roman" w:hAnsi="Times New Roman"/>
                          <w:color w:val="000000" w:themeColor="text1"/>
                          <w:sz w:val="24"/>
                        </w:rPr>
                        <w:t>Le</w:t>
                      </w:r>
                      <w:r>
                        <w:rPr>
                          <w:rFonts w:ascii="Times New Roman" w:hAnsi="Times New Roman"/>
                          <w:b/>
                          <w:bCs/>
                          <w:color w:val="000000" w:themeColor="text1"/>
                          <w:sz w:val="24"/>
                        </w:rPr>
                        <w:t xml:space="preserve"> taux de chômage agrégé</w:t>
                      </w:r>
                      <w:r>
                        <w:rPr>
                          <w:rFonts w:ascii="Times New Roman" w:hAnsi="Times New Roman"/>
                          <w:color w:val="000000" w:themeColor="text1"/>
                          <w:sz w:val="24"/>
                        </w:rPr>
                        <w:t xml:space="preserve"> toutes institutions et agences confondues a chuté au cours de la période, passant de 4 % à 2 %. </w:t>
                      </w:r>
                    </w:p>
                    <w:p w14:paraId="7E19459E" w14:textId="7127F855"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Pr>
                          <w:rFonts w:ascii="Times New Roman" w:hAnsi="Times New Roman"/>
                          <w:color w:val="000000" w:themeColor="text1"/>
                          <w:sz w:val="24"/>
                        </w:rPr>
                        <w:t xml:space="preserve">La </w:t>
                      </w:r>
                      <w:r>
                        <w:rPr>
                          <w:rFonts w:ascii="Times New Roman" w:hAnsi="Times New Roman"/>
                          <w:b/>
                          <w:bCs/>
                          <w:color w:val="000000" w:themeColor="text1"/>
                          <w:sz w:val="24"/>
                        </w:rPr>
                        <w:t>durée du chômage</w:t>
                      </w:r>
                      <w:r>
                        <w:rPr>
                          <w:rFonts w:ascii="Times New Roman" w:hAnsi="Times New Roman"/>
                          <w:color w:val="000000" w:themeColor="text1"/>
                          <w:sz w:val="24"/>
                        </w:rPr>
                        <w:t xml:space="preserve"> s’est légèrement allongée, passant de 8,5 mois en 2019 à 8,8 mois en moyenne en 2024.</w:t>
                      </w:r>
                    </w:p>
                    <w:p w14:paraId="5504A5DB" w14:textId="2BDC2B58"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Pr>
                          <w:rFonts w:ascii="Times New Roman" w:hAnsi="Times New Roman"/>
                          <w:b/>
                          <w:bCs/>
                          <w:color w:val="000000" w:themeColor="text1"/>
                          <w:sz w:val="24"/>
                        </w:rPr>
                        <w:t>Répartition géographique des bénéficiaires</w:t>
                      </w:r>
                      <w:r>
                        <w:rPr>
                          <w:rFonts w:ascii="Times New Roman" w:hAnsi="Times New Roman"/>
                          <w:color w:val="000000" w:themeColor="text1"/>
                          <w:sz w:val="24"/>
                        </w:rPr>
                        <w:t>: en 2024, 51 % des bénéficiaires résidaient en Belgique et 27 % d’entre eux au Luxembourg, en Italie, en Espagne et en France.</w:t>
                      </w:r>
                    </w:p>
                  </w:txbxContent>
                </v:textbox>
                <w10:wrap anchorx="margin"/>
              </v:roundrect>
            </w:pict>
          </mc:Fallback>
        </mc:AlternateContent>
      </w:r>
    </w:p>
    <w:p w14:paraId="2B2178AD" w14:textId="43068D10" w:rsidR="00C6689C" w:rsidRPr="0086573C" w:rsidRDefault="00C6689C" w:rsidP="0086573C">
      <w:pPr>
        <w:rPr>
          <w:noProof/>
        </w:rPr>
      </w:pPr>
    </w:p>
    <w:p w14:paraId="5ABC7D38" w14:textId="487A3A5F" w:rsidR="00D80609" w:rsidRDefault="00D80609" w:rsidP="00D80609">
      <w:pPr>
        <w:rPr>
          <w:noProof/>
        </w:rPr>
      </w:pPr>
    </w:p>
    <w:p w14:paraId="2C6EDAE0" w14:textId="77777777" w:rsidR="00C6689C" w:rsidRDefault="00C6689C" w:rsidP="004B5B73">
      <w:pPr>
        <w:jc w:val="both"/>
        <w:rPr>
          <w:noProof/>
        </w:rPr>
      </w:pPr>
    </w:p>
    <w:p w14:paraId="3C2E76EA" w14:textId="77777777" w:rsidR="00C6689C" w:rsidRDefault="00C6689C" w:rsidP="004B5B73">
      <w:pPr>
        <w:jc w:val="both"/>
        <w:rPr>
          <w:noProof/>
        </w:rPr>
      </w:pPr>
    </w:p>
    <w:p w14:paraId="30A1F63A" w14:textId="77777777" w:rsidR="00C6689C" w:rsidRDefault="00C6689C" w:rsidP="004B5B73">
      <w:pPr>
        <w:jc w:val="both"/>
        <w:rPr>
          <w:noProof/>
        </w:rPr>
      </w:pPr>
    </w:p>
    <w:p w14:paraId="70EDBCD0" w14:textId="77777777" w:rsidR="00C6689C" w:rsidRDefault="00C6689C" w:rsidP="004B5B73">
      <w:pPr>
        <w:jc w:val="both"/>
        <w:rPr>
          <w:noProof/>
        </w:rPr>
      </w:pPr>
    </w:p>
    <w:p w14:paraId="498587C2" w14:textId="77777777" w:rsidR="00C6689C" w:rsidRDefault="00C6689C" w:rsidP="004B5B73">
      <w:pPr>
        <w:jc w:val="both"/>
        <w:rPr>
          <w:noProof/>
        </w:rPr>
      </w:pPr>
    </w:p>
    <w:p w14:paraId="39A152D0" w14:textId="77777777" w:rsidR="00C6689C" w:rsidRDefault="00C6689C" w:rsidP="004B5B73">
      <w:pPr>
        <w:jc w:val="both"/>
        <w:rPr>
          <w:noProof/>
        </w:rPr>
      </w:pPr>
    </w:p>
    <w:p w14:paraId="57CF83D6" w14:textId="77777777" w:rsidR="008C3420" w:rsidRDefault="008C3420" w:rsidP="004B5B73">
      <w:pPr>
        <w:jc w:val="both"/>
        <w:rPr>
          <w:noProof/>
        </w:rPr>
      </w:pPr>
    </w:p>
    <w:p w14:paraId="08F8546C" w14:textId="77777777" w:rsidR="008C3420" w:rsidRDefault="008C3420" w:rsidP="004B5B73">
      <w:pPr>
        <w:jc w:val="both"/>
        <w:rPr>
          <w:noProof/>
        </w:rPr>
      </w:pPr>
    </w:p>
    <w:p w14:paraId="4E43C25A" w14:textId="77777777" w:rsidR="008C3420" w:rsidRDefault="008C3420" w:rsidP="004B5B73">
      <w:pPr>
        <w:jc w:val="both"/>
        <w:rPr>
          <w:noProof/>
        </w:rPr>
      </w:pPr>
    </w:p>
    <w:p w14:paraId="3E5D9B70" w14:textId="77777777" w:rsidR="00281675" w:rsidRDefault="00281675" w:rsidP="004B5B73">
      <w:pPr>
        <w:jc w:val="both"/>
        <w:rPr>
          <w:noProof/>
        </w:rPr>
      </w:pPr>
    </w:p>
    <w:p w14:paraId="37278D6D" w14:textId="77777777" w:rsidR="00132D6C" w:rsidRDefault="00132D6C" w:rsidP="004B5B73">
      <w:pPr>
        <w:jc w:val="both"/>
        <w:rPr>
          <w:noProof/>
        </w:rPr>
      </w:pPr>
    </w:p>
    <w:p w14:paraId="2D3791C9" w14:textId="48E17B89" w:rsidR="00800461" w:rsidRPr="00D45CAD" w:rsidRDefault="003B325A" w:rsidP="000A7BDF">
      <w:pPr>
        <w:pStyle w:val="Heading2"/>
        <w:numPr>
          <w:ilvl w:val="0"/>
          <w:numId w:val="0"/>
        </w:numPr>
        <w:ind w:left="576"/>
        <w:rPr>
          <w:noProof/>
        </w:rPr>
      </w:pPr>
      <w:bookmarkStart w:id="16" w:name="_Toc233386992"/>
      <w:r>
        <w:rPr>
          <w:noProof/>
        </w:rPr>
        <w:t>4.1 Aspects méthodologiques</w:t>
      </w:r>
      <w:bookmarkEnd w:id="16"/>
    </w:p>
    <w:p w14:paraId="3FA81358" w14:textId="39E0490F" w:rsidR="00792D8D" w:rsidRPr="00D45CAD" w:rsidRDefault="007A78E6" w:rsidP="00D45CAD">
      <w:pPr>
        <w:jc w:val="both"/>
        <w:rPr>
          <w:rFonts w:asciiTheme="majorHAnsi" w:eastAsiaTheme="majorEastAsia" w:hAnsiTheme="majorHAnsi" w:cstheme="majorBidi"/>
          <w:noProof/>
          <w:color w:val="2F5496" w:themeColor="accent1" w:themeShade="BF"/>
          <w:sz w:val="26"/>
          <w:szCs w:val="26"/>
        </w:rPr>
      </w:pPr>
      <w:r>
        <w:rPr>
          <w:rFonts w:ascii="Times New Roman" w:hAnsi="Times New Roman"/>
          <w:noProof/>
          <w:sz w:val="24"/>
        </w:rPr>
        <w:t>S’agissant de la population concernée par le régime, le rapport précédent et le présent rapport ont pris en considération, dans leur analyse, les personnes enregistrées en décembre de chaque année en qualité d’affiliés ou de bénéficiaires. Il s’agit là d’une approche analytique simple.</w:t>
      </w:r>
    </w:p>
    <w:p w14:paraId="61047076" w14:textId="38076825" w:rsidR="00696CC7" w:rsidRPr="003B325A" w:rsidRDefault="00CC2AFE" w:rsidP="000A7BDF">
      <w:pPr>
        <w:pStyle w:val="Heading2"/>
        <w:numPr>
          <w:ilvl w:val="0"/>
          <w:numId w:val="0"/>
        </w:numPr>
        <w:ind w:left="576"/>
        <w:rPr>
          <w:noProof/>
        </w:rPr>
      </w:pPr>
      <w:bookmarkStart w:id="17" w:name="_Toc233386993"/>
      <w:r>
        <w:rPr>
          <w:noProof/>
        </w:rPr>
        <w:t>4.2. Nombre d’assurés</w:t>
      </w:r>
      <w:bookmarkEnd w:id="17"/>
      <w:r>
        <w:rPr>
          <w:noProof/>
        </w:rPr>
        <w:t xml:space="preserve"> </w:t>
      </w:r>
    </w:p>
    <w:p w14:paraId="5C6B7E77" w14:textId="7047FC7E" w:rsidR="00725BF1" w:rsidRPr="00E64014" w:rsidRDefault="005D41E3" w:rsidP="00696CC7">
      <w:pPr>
        <w:jc w:val="both"/>
        <w:rPr>
          <w:rFonts w:ascii="Times New Roman" w:hAnsi="Times New Roman" w:cs="Times New Roman"/>
          <w:noProof/>
          <w:sz w:val="24"/>
          <w:szCs w:val="24"/>
        </w:rPr>
      </w:pPr>
      <w:r>
        <w:rPr>
          <w:rFonts w:ascii="Times New Roman" w:hAnsi="Times New Roman"/>
          <w:noProof/>
          <w:sz w:val="24"/>
        </w:rPr>
        <w:t>Si l’on considère les affiliés au régime en fin d’année, les données montrent une augmentation continue du nombre d’affiliés au cours des dernières années. Pendant la période de référence, le nombre d’agents temporaires a progressé de 34 %, pour atteindre 36 689 fin 2024.</w:t>
      </w:r>
    </w:p>
    <w:p w14:paraId="6F5AB071" w14:textId="1E14645F" w:rsidR="00BD4116" w:rsidRPr="00E64014" w:rsidRDefault="00BD4116" w:rsidP="00A5228F">
      <w:pPr>
        <w:keepNext/>
        <w:jc w:val="both"/>
        <w:rPr>
          <w:rFonts w:ascii="Times New Roman" w:hAnsi="Times New Roman" w:cs="Times New Roman"/>
          <w:b/>
          <w:bCs/>
          <w:noProof/>
        </w:rPr>
      </w:pPr>
      <w:r>
        <w:rPr>
          <w:rFonts w:ascii="Times New Roman" w:hAnsi="Times New Roman"/>
          <w:b/>
          <w:noProof/>
        </w:rPr>
        <w:t xml:space="preserve">Tableau 6 – Nombre d’affiliés au régime d’assurance contre le chômage </w:t>
      </w:r>
    </w:p>
    <w:p w14:paraId="052FD7C4" w14:textId="7BD0A1DC" w:rsidR="00BD4116" w:rsidRDefault="00764C37" w:rsidP="00BD4116">
      <w:pPr>
        <w:jc w:val="both"/>
        <w:rPr>
          <w:b/>
          <w:bCs/>
          <w:noProof/>
        </w:rPr>
      </w:pPr>
      <w:r w:rsidRPr="00764C37">
        <w:rPr>
          <w:noProof/>
          <w:lang w:val="en-GB" w:eastAsia="en-GB"/>
        </w:rPr>
        <w:drawing>
          <wp:inline distT="0" distB="0" distL="0" distR="0" wp14:anchorId="43C5709E" wp14:editId="25E9222B">
            <wp:extent cx="5731510" cy="5129530"/>
            <wp:effectExtent l="0" t="0" r="2540" b="0"/>
            <wp:docPr id="16605112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5129530"/>
                    </a:xfrm>
                    <a:prstGeom prst="rect">
                      <a:avLst/>
                    </a:prstGeom>
                    <a:noFill/>
                    <a:ln>
                      <a:noFill/>
                    </a:ln>
                  </pic:spPr>
                </pic:pic>
              </a:graphicData>
            </a:graphic>
          </wp:inline>
        </w:drawing>
      </w:r>
    </w:p>
    <w:p w14:paraId="05E297ED" w14:textId="234A7B52" w:rsidR="002B484D" w:rsidRPr="00D45CAD" w:rsidRDefault="0D6D3C6A" w:rsidP="00951A35">
      <w:pPr>
        <w:jc w:val="both"/>
        <w:rPr>
          <w:noProof/>
        </w:rPr>
      </w:pPr>
      <w:r>
        <w:rPr>
          <w:rFonts w:ascii="Times New Roman" w:hAnsi="Times New Roman"/>
          <w:noProof/>
          <w:sz w:val="24"/>
        </w:rPr>
        <w:t xml:space="preserve">Si toutes les catégories contractuelles se sont inscrites à la hausse en termes absolus, elles ont évolué à un rythme différent. Plus précisément, les AT ont augmenté de 54 % pour atteindre 16 929 affiliés, les AC ont progressé de 21 % pour atteindre 17 779 affiliés et les APA ont grimpé de 8 % pour atteindre 1 981 affiliés. </w:t>
      </w:r>
    </w:p>
    <w:p w14:paraId="2DD6C010" w14:textId="191CF562" w:rsidR="006A132F" w:rsidRPr="00D45CAD" w:rsidRDefault="005D7EF8" w:rsidP="00DF5D65">
      <w:pPr>
        <w:pStyle w:val="Heading2"/>
        <w:numPr>
          <w:ilvl w:val="0"/>
          <w:numId w:val="0"/>
        </w:numPr>
        <w:ind w:left="576" w:hanging="576"/>
        <w:rPr>
          <w:noProof/>
        </w:rPr>
      </w:pPr>
      <w:bookmarkStart w:id="18" w:name="_Toc233386994"/>
      <w:r>
        <w:rPr>
          <w:noProof/>
        </w:rPr>
        <w:t>4.3 Nombre de bénéficiaires du régime d’assurance contre le chômage et «taux de chômage»</w:t>
      </w:r>
      <w:bookmarkEnd w:id="18"/>
    </w:p>
    <w:p w14:paraId="16FF9F5D" w14:textId="7E89987F" w:rsidR="005F09A1" w:rsidRPr="00D45CAD" w:rsidRDefault="005D7EF8" w:rsidP="00DF5D65">
      <w:pPr>
        <w:pStyle w:val="Heading3"/>
        <w:numPr>
          <w:ilvl w:val="0"/>
          <w:numId w:val="0"/>
        </w:numPr>
        <w:ind w:left="720" w:hanging="720"/>
        <w:rPr>
          <w:noProof/>
        </w:rPr>
      </w:pPr>
      <w:bookmarkStart w:id="19" w:name="_Toc233386995"/>
      <w:r>
        <w:rPr>
          <w:noProof/>
        </w:rPr>
        <w:t>4.3.1 Nombre de bénéficiaires d’une allocation de chômage</w:t>
      </w:r>
      <w:bookmarkEnd w:id="19"/>
    </w:p>
    <w:p w14:paraId="433DBDF8" w14:textId="7D8B0464" w:rsidR="001529B1" w:rsidRPr="00D8306B" w:rsidRDefault="693427E0" w:rsidP="001529B1">
      <w:pPr>
        <w:jc w:val="both"/>
        <w:rPr>
          <w:rFonts w:ascii="Times New Roman" w:hAnsi="Times New Roman" w:cs="Times New Roman"/>
          <w:noProof/>
          <w:sz w:val="24"/>
          <w:szCs w:val="24"/>
        </w:rPr>
      </w:pPr>
      <w:r>
        <w:rPr>
          <w:rFonts w:ascii="Times New Roman" w:hAnsi="Times New Roman"/>
          <w:noProof/>
          <w:sz w:val="24"/>
        </w:rPr>
        <w:t xml:space="preserve">Le nombre de bénéficiaires recensés à la fin de chaque année au cours de la période de référence a diminué de plus de 31 %, passant de 1 096 en 2019 à 754 en 2024. Les principales corrections sont intervenues dans les catégories des AT (-43 %) et des AC (-40 %), tandis que le nombre de bénéficiaires parmi les APA a reculé de 14 %. </w:t>
      </w:r>
    </w:p>
    <w:p w14:paraId="268E5E3E" w14:textId="02DF189E" w:rsidR="00DE0F6D" w:rsidRPr="00D8306B" w:rsidRDefault="00DE0F6D" w:rsidP="00A5228F">
      <w:pPr>
        <w:keepNext/>
        <w:jc w:val="both"/>
        <w:rPr>
          <w:rFonts w:ascii="Times New Roman" w:hAnsi="Times New Roman" w:cs="Times New Roman"/>
          <w:b/>
          <w:bCs/>
          <w:noProof/>
        </w:rPr>
      </w:pPr>
      <w:r>
        <w:rPr>
          <w:rFonts w:ascii="Times New Roman" w:hAnsi="Times New Roman"/>
          <w:b/>
          <w:noProof/>
        </w:rPr>
        <w:t>Tableau 7 – Nombre de bénéficiaires du régime d’assurance contre le chômage</w:t>
      </w:r>
    </w:p>
    <w:p w14:paraId="3EC24950" w14:textId="66604EF5" w:rsidR="00DE0F6D" w:rsidRPr="003429B4" w:rsidRDefault="00764C37" w:rsidP="00DE0F6D">
      <w:pPr>
        <w:jc w:val="both"/>
        <w:rPr>
          <w:b/>
          <w:bCs/>
          <w:noProof/>
        </w:rPr>
      </w:pPr>
      <w:r w:rsidRPr="00764C37">
        <w:rPr>
          <w:noProof/>
          <w:lang w:val="en-GB" w:eastAsia="en-GB"/>
        </w:rPr>
        <w:drawing>
          <wp:inline distT="0" distB="0" distL="0" distR="0" wp14:anchorId="05339A4B" wp14:editId="5479F95D">
            <wp:extent cx="5731510" cy="6006465"/>
            <wp:effectExtent l="0" t="0" r="2540" b="0"/>
            <wp:docPr id="15660638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6006465"/>
                    </a:xfrm>
                    <a:prstGeom prst="rect">
                      <a:avLst/>
                    </a:prstGeom>
                    <a:noFill/>
                    <a:ln>
                      <a:noFill/>
                    </a:ln>
                  </pic:spPr>
                </pic:pic>
              </a:graphicData>
            </a:graphic>
          </wp:inline>
        </w:drawing>
      </w:r>
    </w:p>
    <w:p w14:paraId="3919405B" w14:textId="1328D69B" w:rsidR="009B25B2" w:rsidRPr="00D45CAD" w:rsidRDefault="007A4A9C" w:rsidP="001529B1">
      <w:pPr>
        <w:jc w:val="both"/>
        <w:rPr>
          <w:rFonts w:ascii="Times New Roman" w:hAnsi="Times New Roman" w:cs="Times New Roman"/>
          <w:noProof/>
          <w:sz w:val="24"/>
          <w:szCs w:val="24"/>
        </w:rPr>
      </w:pPr>
      <w:r>
        <w:rPr>
          <w:rFonts w:ascii="Times New Roman" w:hAnsi="Times New Roman"/>
          <w:noProof/>
          <w:sz w:val="24"/>
        </w:rPr>
        <w:t xml:space="preserve">Le nombre de bénéficiaires a diminué après 2020 dans toutes les catégories et est resté relativement stable jusqu’en 2023. En 2024, les bénéficiaires de la catégorie des APA ont augmenté pour devenir le groupe le plus important, tout en restant inférieurs au niveau atteint en 2019. </w:t>
      </w:r>
    </w:p>
    <w:p w14:paraId="6E289798" w14:textId="3E41CAEA" w:rsidR="00282D65" w:rsidRPr="00D45CAD" w:rsidRDefault="00282D65" w:rsidP="00A5228F">
      <w:pPr>
        <w:keepNext/>
        <w:jc w:val="both"/>
        <w:rPr>
          <w:rFonts w:ascii="Times New Roman" w:hAnsi="Times New Roman" w:cs="Times New Roman"/>
          <w:b/>
          <w:bCs/>
          <w:noProof/>
        </w:rPr>
      </w:pPr>
      <w:r>
        <w:rPr>
          <w:rFonts w:ascii="Times New Roman" w:hAnsi="Times New Roman"/>
          <w:b/>
          <w:noProof/>
        </w:rPr>
        <w:t>Graphique 4.3.1.1 Vue d’ensemble des bénéficiaires sur la période 2019-2024, par type de contrat</w:t>
      </w:r>
    </w:p>
    <w:p w14:paraId="66F23BBC" w14:textId="7ECF6415" w:rsidR="00282D65" w:rsidRPr="00D45CAD" w:rsidRDefault="0048247F" w:rsidP="00282D65">
      <w:pPr>
        <w:jc w:val="center"/>
        <w:rPr>
          <w:rFonts w:ascii="Times New Roman" w:hAnsi="Times New Roman" w:cs="Times New Roman"/>
          <w:noProof/>
          <w:highlight w:val="yellow"/>
        </w:rPr>
      </w:pPr>
      <w:r w:rsidRPr="0048247F">
        <w:rPr>
          <w:rFonts w:ascii="Times New Roman" w:hAnsi="Times New Roman"/>
          <w:noProof/>
          <w:highlight w:val="yellow"/>
          <w:lang w:val="en-GB" w:eastAsia="en-GB"/>
        </w:rPr>
        <w:drawing>
          <wp:inline distT="0" distB="0" distL="0" distR="0" wp14:anchorId="1AD0B739" wp14:editId="5411C518">
            <wp:extent cx="5610226" cy="2746375"/>
            <wp:effectExtent l="0" t="0" r="0" b="0"/>
            <wp:docPr id="1968622512" name="Chart 1">
              <a:extLst xmlns:a="http://schemas.openxmlformats.org/drawingml/2006/main">
                <a:ext uri="{FF2B5EF4-FFF2-40B4-BE49-F238E27FC236}">
                  <a16:creationId xmlns:a16="http://schemas.microsoft.com/office/drawing/2014/main" id="{524B1B91-F3D2-4B08-8D2A-DDBF182C85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4D29EB3" w14:textId="55FBA27C" w:rsidR="002606C6" w:rsidRPr="00D45CAD" w:rsidRDefault="002117D0" w:rsidP="00D45CAD">
      <w:pPr>
        <w:rPr>
          <w:noProof/>
        </w:rPr>
      </w:pPr>
      <w:r>
        <w:rPr>
          <w:rFonts w:ascii="Times New Roman" w:hAnsi="Times New Roman"/>
          <w:noProof/>
        </w:rPr>
        <w:t>Source: tableau 7</w:t>
      </w:r>
    </w:p>
    <w:p w14:paraId="0C5AA9B4" w14:textId="1381AE5B" w:rsidR="00BA1EAA" w:rsidRPr="00D45CAD" w:rsidRDefault="001F0FD5" w:rsidP="00DF5D65">
      <w:pPr>
        <w:pStyle w:val="Heading3"/>
        <w:numPr>
          <w:ilvl w:val="0"/>
          <w:numId w:val="0"/>
        </w:numPr>
        <w:ind w:left="720" w:hanging="720"/>
        <w:rPr>
          <w:noProof/>
        </w:rPr>
      </w:pPr>
      <w:bookmarkStart w:id="20" w:name="_Toc233386996"/>
      <w:r>
        <w:rPr>
          <w:noProof/>
        </w:rPr>
        <w:t>4.3.2 Taux de chômage au sein des institutions de l’UE</w:t>
      </w:r>
      <w:bookmarkEnd w:id="20"/>
    </w:p>
    <w:p w14:paraId="13F0670C" w14:textId="08338C6C" w:rsidR="00DE623F" w:rsidRPr="00D45CAD" w:rsidRDefault="09FDBBA8" w:rsidP="00471899">
      <w:pPr>
        <w:jc w:val="both"/>
        <w:rPr>
          <w:b/>
          <w:bCs/>
          <w:noProof/>
        </w:rPr>
      </w:pPr>
      <w:r>
        <w:rPr>
          <w:rFonts w:ascii="Times New Roman" w:hAnsi="Times New Roman"/>
          <w:noProof/>
          <w:sz w:val="24"/>
        </w:rPr>
        <w:t xml:space="preserve">La comparaison entre les bénéficiaires et les affiliés au régime permet d’évaluer le taux de chômage. L’augmentation continue du nombre d’affiliés et la baisse correspondante du nombre de bénéficiaires entre 2019 et 2024 se reflètent dans le taux de chômage agrégé, qui a reflué de près de 50 %, passant de 3,99 % en 2019 à 2,05 % en 2024. </w:t>
      </w:r>
    </w:p>
    <w:p w14:paraId="7852967A" w14:textId="0F772DA5" w:rsidR="00471899" w:rsidRPr="00D45CAD" w:rsidRDefault="00471899" w:rsidP="00471899">
      <w:pPr>
        <w:jc w:val="both"/>
        <w:rPr>
          <w:rFonts w:ascii="Times New Roman" w:hAnsi="Times New Roman" w:cs="Times New Roman"/>
          <w:b/>
          <w:bCs/>
          <w:noProof/>
          <w:sz w:val="24"/>
          <w:szCs w:val="24"/>
        </w:rPr>
      </w:pPr>
      <w:r>
        <w:rPr>
          <w:rFonts w:ascii="Times New Roman" w:hAnsi="Times New Roman"/>
          <w:b/>
          <w:noProof/>
          <w:sz w:val="24"/>
        </w:rPr>
        <w:t>Tableau 8 – Taux de chômage – Pourcentage de bénéficiaires d’une allocation de chômage au titre du Fonds de l’UE par rapport aux affiliés, chiffres de décembre (2019-2024)</w:t>
      </w:r>
    </w:p>
    <w:p w14:paraId="1363B8BD" w14:textId="06E05619" w:rsidR="00471899" w:rsidRPr="00D45CAD" w:rsidRDefault="00764C37" w:rsidP="00471899">
      <w:pPr>
        <w:jc w:val="center"/>
        <w:rPr>
          <w:b/>
          <w:bCs/>
          <w:noProof/>
        </w:rPr>
      </w:pPr>
      <w:r w:rsidRPr="00764C37">
        <w:rPr>
          <w:noProof/>
          <w:lang w:val="en-GB" w:eastAsia="en-GB"/>
        </w:rPr>
        <w:drawing>
          <wp:inline distT="0" distB="0" distL="0" distR="0" wp14:anchorId="64D89638" wp14:editId="031CE741">
            <wp:extent cx="5731510" cy="1703705"/>
            <wp:effectExtent l="0" t="0" r="2540" b="0"/>
            <wp:docPr id="16206162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1703705"/>
                    </a:xfrm>
                    <a:prstGeom prst="rect">
                      <a:avLst/>
                    </a:prstGeom>
                    <a:noFill/>
                    <a:ln>
                      <a:noFill/>
                    </a:ln>
                  </pic:spPr>
                </pic:pic>
              </a:graphicData>
            </a:graphic>
          </wp:inline>
        </w:drawing>
      </w:r>
    </w:p>
    <w:p w14:paraId="0FF2584F" w14:textId="1AD03544" w:rsidR="0048247F" w:rsidRDefault="145AD81C" w:rsidP="00D04E6D">
      <w:pPr>
        <w:jc w:val="both"/>
        <w:rPr>
          <w:rFonts w:ascii="Times New Roman" w:hAnsi="Times New Roman"/>
          <w:noProof/>
          <w:sz w:val="24"/>
        </w:rPr>
      </w:pPr>
      <w:r>
        <w:rPr>
          <w:rFonts w:ascii="Times New Roman" w:hAnsi="Times New Roman"/>
          <w:noProof/>
          <w:sz w:val="24"/>
        </w:rPr>
        <w:t xml:space="preserve">En particulier, la trajectoire cyclique des APA affiche une forte augmentation au cours de l’année des élections au Parlement européen et pendant l’année suivante. </w:t>
      </w:r>
    </w:p>
    <w:p w14:paraId="409843FA" w14:textId="77777777" w:rsidR="0048247F" w:rsidRDefault="0048247F">
      <w:pPr>
        <w:rPr>
          <w:rFonts w:ascii="Times New Roman" w:hAnsi="Times New Roman"/>
          <w:noProof/>
          <w:sz w:val="24"/>
        </w:rPr>
      </w:pPr>
      <w:r>
        <w:rPr>
          <w:rFonts w:ascii="Times New Roman" w:hAnsi="Times New Roman"/>
          <w:noProof/>
          <w:sz w:val="24"/>
        </w:rPr>
        <w:br w:type="page"/>
      </w:r>
    </w:p>
    <w:p w14:paraId="37001FC9" w14:textId="77777777" w:rsidR="005F19D2" w:rsidRPr="00D45CAD" w:rsidRDefault="005F19D2" w:rsidP="00D04E6D">
      <w:pPr>
        <w:jc w:val="both"/>
        <w:rPr>
          <w:b/>
          <w:bCs/>
          <w:noProof/>
        </w:rPr>
      </w:pPr>
    </w:p>
    <w:p w14:paraId="498569BC" w14:textId="6BC3B489" w:rsidR="00376BEA" w:rsidRPr="00383EA2" w:rsidRDefault="00D04E6D" w:rsidP="00D04E6D">
      <w:pPr>
        <w:jc w:val="both"/>
        <w:rPr>
          <w:rFonts w:ascii="Times New Roman" w:hAnsi="Times New Roman" w:cs="Times New Roman"/>
          <w:b/>
          <w:bCs/>
          <w:noProof/>
        </w:rPr>
      </w:pPr>
      <w:r>
        <w:rPr>
          <w:rFonts w:ascii="Times New Roman" w:hAnsi="Times New Roman"/>
          <w:b/>
          <w:noProof/>
        </w:rPr>
        <w:t xml:space="preserve">Graphique 4.3.2.1 Évolution du taux de chômage, ventilé par institution et comparé au régime global </w:t>
      </w:r>
    </w:p>
    <w:p w14:paraId="20A01531" w14:textId="0D4ADC1B" w:rsidR="001363FB" w:rsidRDefault="0048247F" w:rsidP="00376BEA">
      <w:pPr>
        <w:jc w:val="both"/>
        <w:rPr>
          <w:noProof/>
        </w:rPr>
      </w:pPr>
      <w:r w:rsidRPr="0048247F">
        <w:rPr>
          <w:rFonts w:ascii="Times New Roman" w:hAnsi="Times New Roman"/>
          <w:noProof/>
          <w:highlight w:val="yellow"/>
          <w:lang w:val="en-GB" w:eastAsia="en-GB"/>
        </w:rPr>
        <w:drawing>
          <wp:inline distT="0" distB="0" distL="0" distR="0" wp14:anchorId="669C0045" wp14:editId="73E758E9">
            <wp:extent cx="5589270" cy="3153103"/>
            <wp:effectExtent l="0" t="0" r="11430" b="9525"/>
            <wp:docPr id="1804795790" name="Chart 1">
              <a:extLst xmlns:a="http://schemas.openxmlformats.org/drawingml/2006/main">
                <a:ext uri="{FF2B5EF4-FFF2-40B4-BE49-F238E27FC236}">
                  <a16:creationId xmlns:a16="http://schemas.microsoft.com/office/drawing/2014/main" id="{7B640EE6-37B0-4DF4-9EE6-57252B79F4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C544040" w14:textId="77E2C85A" w:rsidR="00376BEA" w:rsidRPr="00376BEA" w:rsidRDefault="00376BEA">
      <w:pPr>
        <w:rPr>
          <w:rFonts w:ascii="Times New Roman" w:hAnsi="Times New Roman" w:cs="Times New Roman"/>
          <w:noProof/>
        </w:rPr>
        <w:sectPr w:rsidR="00376BEA" w:rsidRPr="00376BEA" w:rsidSect="00121CF2">
          <w:headerReference w:type="even" r:id="rId38"/>
          <w:headerReference w:type="default" r:id="rId39"/>
          <w:footerReference w:type="even" r:id="rId40"/>
          <w:footerReference w:type="default" r:id="rId41"/>
          <w:headerReference w:type="first" r:id="rId42"/>
          <w:footerReference w:type="first" r:id="rId43"/>
          <w:pgSz w:w="11906" w:h="16838"/>
          <w:pgMar w:top="1440" w:right="1440" w:bottom="1440" w:left="1440" w:header="708" w:footer="708" w:gutter="0"/>
          <w:cols w:space="720"/>
          <w:docGrid w:linePitch="360"/>
        </w:sectPr>
      </w:pPr>
      <w:r>
        <w:rPr>
          <w:rFonts w:ascii="Times New Roman" w:hAnsi="Times New Roman"/>
          <w:noProof/>
        </w:rPr>
        <w:t>Source: tableaux 6, 7 et 8</w:t>
      </w:r>
    </w:p>
    <w:p w14:paraId="31EF7DC0" w14:textId="77777777" w:rsidR="008E00C6" w:rsidRDefault="00966F4E" w:rsidP="008E00C6">
      <w:pPr>
        <w:jc w:val="both"/>
        <w:rPr>
          <w:rFonts w:ascii="Times New Roman" w:hAnsi="Times New Roman" w:cs="Times New Roman"/>
          <w:b/>
          <w:bCs/>
          <w:noProof/>
        </w:rPr>
      </w:pPr>
      <w:r>
        <w:rPr>
          <w:rFonts w:ascii="Times New Roman" w:hAnsi="Times New Roman"/>
          <w:b/>
          <w:noProof/>
        </w:rPr>
        <w:t>Tableau 8 B – Comparaison entre la population en activité et les bénéficiaires</w:t>
      </w:r>
    </w:p>
    <w:p w14:paraId="6D70A30F" w14:textId="5FF3A492" w:rsidR="008E00C6" w:rsidRDefault="00764C37" w:rsidP="008E00C6">
      <w:pPr>
        <w:jc w:val="both"/>
        <w:rPr>
          <w:rFonts w:ascii="Times New Roman" w:hAnsi="Times New Roman" w:cs="Times New Roman"/>
          <w:b/>
          <w:bCs/>
          <w:noProof/>
        </w:rPr>
      </w:pPr>
      <w:r w:rsidRPr="00764C37">
        <w:rPr>
          <w:noProof/>
          <w:lang w:val="en-GB" w:eastAsia="en-GB"/>
        </w:rPr>
        <w:drawing>
          <wp:inline distT="0" distB="0" distL="0" distR="0" wp14:anchorId="1F7CBE19" wp14:editId="6D548EB5">
            <wp:extent cx="8863330" cy="1018540"/>
            <wp:effectExtent l="0" t="0" r="0" b="0"/>
            <wp:docPr id="13413321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863330" cy="1018540"/>
                    </a:xfrm>
                    <a:prstGeom prst="rect">
                      <a:avLst/>
                    </a:prstGeom>
                    <a:noFill/>
                    <a:ln>
                      <a:noFill/>
                    </a:ln>
                  </pic:spPr>
                </pic:pic>
              </a:graphicData>
            </a:graphic>
          </wp:inline>
        </w:drawing>
      </w:r>
    </w:p>
    <w:p w14:paraId="68C5E300" w14:textId="70C851AA" w:rsidR="008E00C6" w:rsidRPr="008E00C6" w:rsidRDefault="008E00C6" w:rsidP="008E00C6">
      <w:pPr>
        <w:jc w:val="both"/>
        <w:rPr>
          <w:rFonts w:ascii="Times New Roman" w:hAnsi="Times New Roman" w:cs="Times New Roman"/>
          <w:b/>
          <w:bCs/>
          <w:noProof/>
        </w:rPr>
        <w:sectPr w:rsidR="008E00C6" w:rsidRPr="008E00C6" w:rsidSect="00966F4E">
          <w:headerReference w:type="default" r:id="rId45"/>
          <w:footerReference w:type="default" r:id="rId46"/>
          <w:pgSz w:w="16838" w:h="11906" w:orient="landscape"/>
          <w:pgMar w:top="1440" w:right="1440" w:bottom="1440" w:left="1440" w:header="708" w:footer="708" w:gutter="0"/>
          <w:cols w:space="708"/>
          <w:docGrid w:linePitch="360"/>
        </w:sectPr>
      </w:pPr>
    </w:p>
    <w:p w14:paraId="69D308E3" w14:textId="3E15516A" w:rsidR="004034E0" w:rsidRPr="00D45CAD" w:rsidRDefault="001F0FD5" w:rsidP="00DF5D65">
      <w:pPr>
        <w:pStyle w:val="Heading2"/>
        <w:numPr>
          <w:ilvl w:val="0"/>
          <w:numId w:val="0"/>
        </w:numPr>
        <w:ind w:left="576" w:hanging="576"/>
        <w:rPr>
          <w:noProof/>
        </w:rPr>
      </w:pPr>
      <w:bookmarkStart w:id="21" w:name="_Toc233386997"/>
      <w:r>
        <w:rPr>
          <w:noProof/>
        </w:rPr>
        <w:t>4.4 Vue d’ensemble de l’allocation de chômage et de sa durée</w:t>
      </w:r>
      <w:bookmarkEnd w:id="21"/>
    </w:p>
    <w:p w14:paraId="7F31A7E6" w14:textId="434347F2" w:rsidR="003666B1" w:rsidRPr="00D45CAD" w:rsidRDefault="00764C37" w:rsidP="0020512D">
      <w:pPr>
        <w:jc w:val="both"/>
        <w:rPr>
          <w:rFonts w:ascii="Times New Roman" w:hAnsi="Times New Roman" w:cs="Times New Roman"/>
          <w:noProof/>
          <w:sz w:val="24"/>
          <w:szCs w:val="24"/>
        </w:rPr>
      </w:pPr>
      <w:r>
        <w:rPr>
          <w:noProof/>
          <w:lang w:val="en-GB" w:eastAsia="en-GB"/>
        </w:rPr>
        <w:drawing>
          <wp:anchor distT="0" distB="0" distL="114300" distR="114300" simplePos="0" relativeHeight="251658243" behindDoc="0" locked="0" layoutInCell="1" allowOverlap="1" wp14:anchorId="7D596EA7" wp14:editId="7C28D80D">
            <wp:simplePos x="0" y="0"/>
            <wp:positionH relativeFrom="margin">
              <wp:align>right</wp:align>
            </wp:positionH>
            <wp:positionV relativeFrom="paragraph">
              <wp:posOffset>1559560</wp:posOffset>
            </wp:positionV>
            <wp:extent cx="5726430" cy="838200"/>
            <wp:effectExtent l="0" t="0" r="7620" b="0"/>
            <wp:wrapSquare wrapText="bothSides"/>
            <wp:docPr id="15119156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2643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0C95">
        <w:rPr>
          <w:rFonts w:ascii="Times New Roman" w:hAnsi="Times New Roman"/>
          <w:noProof/>
          <w:sz w:val="24"/>
        </w:rPr>
        <w:t>Conformément à l’article 28 </w:t>
      </w:r>
      <w:r w:rsidR="002E0C95">
        <w:rPr>
          <w:rFonts w:ascii="Times New Roman" w:hAnsi="Times New Roman"/>
          <w:i/>
          <w:iCs/>
          <w:noProof/>
          <w:sz w:val="24"/>
        </w:rPr>
        <w:t>bis</w:t>
      </w:r>
      <w:r w:rsidR="002E0C95">
        <w:rPr>
          <w:rFonts w:ascii="Times New Roman" w:hAnsi="Times New Roman"/>
          <w:noProof/>
          <w:sz w:val="24"/>
        </w:rPr>
        <w:t xml:space="preserve">, paragraphe 4 et à l’article 96, paragraphe 4, du RAA, l’allocation de chômage est versée pour une durée correspondant à un tiers de la période de service, jusqu’à concurrence de 36 mois. Dans ces mêmes articles, il est indiqué que l’UE verse soit la totalité de l’allocation éligible, soit la différence s’il existe des régimes nationaux auxquels le bénéficiaire a droit et si le montant versé par le régime national est inférieur au montant éligible auprès des institutions de l’UE. </w:t>
      </w:r>
    </w:p>
    <w:p w14:paraId="5CE49770" w14:textId="45F55A4A" w:rsidR="00AB670A" w:rsidRPr="00D45CAD" w:rsidRDefault="00E411AD" w:rsidP="00AB670A">
      <w:pPr>
        <w:jc w:val="both"/>
        <w:rPr>
          <w:rFonts w:ascii="Times New Roman" w:hAnsi="Times New Roman" w:cs="Times New Roman"/>
          <w:b/>
          <w:bCs/>
          <w:noProof/>
        </w:rPr>
      </w:pPr>
      <w:r>
        <w:rPr>
          <w:rFonts w:ascii="Times New Roman" w:hAnsi="Times New Roman"/>
          <w:b/>
          <w:noProof/>
        </w:rPr>
        <w:t xml:space="preserve">Tableau 9 – Ventilation du nombre de prestations versées par institution et par type de contrat  </w:t>
      </w:r>
    </w:p>
    <w:p w14:paraId="4E14BA3E" w14:textId="41E237A3" w:rsidR="006327FA" w:rsidRPr="00D45CAD" w:rsidRDefault="006327FA" w:rsidP="0020512D">
      <w:pPr>
        <w:jc w:val="both"/>
        <w:rPr>
          <w:noProof/>
        </w:rPr>
      </w:pPr>
    </w:p>
    <w:p w14:paraId="35702F18" w14:textId="0CDE06F9" w:rsidR="0000316D" w:rsidRPr="00D45CAD" w:rsidRDefault="00E368D3" w:rsidP="00DF5D65">
      <w:pPr>
        <w:pStyle w:val="Heading3"/>
        <w:numPr>
          <w:ilvl w:val="0"/>
          <w:numId w:val="0"/>
        </w:numPr>
        <w:ind w:left="720" w:hanging="720"/>
        <w:rPr>
          <w:noProof/>
        </w:rPr>
      </w:pPr>
      <w:bookmarkStart w:id="22" w:name="_Toc233386998"/>
      <w:r>
        <w:rPr>
          <w:noProof/>
        </w:rPr>
        <w:t>4.4.1 Nombre d’allocations de chômage mensuelles versées</w:t>
      </w:r>
      <w:bookmarkEnd w:id="22"/>
    </w:p>
    <w:p w14:paraId="371D2938" w14:textId="19B1C53A" w:rsidR="005E3670" w:rsidRPr="00FB0B48" w:rsidRDefault="0C8A9FFD" w:rsidP="005E3670">
      <w:pPr>
        <w:jc w:val="both"/>
        <w:rPr>
          <w:rFonts w:ascii="Times New Roman" w:hAnsi="Times New Roman" w:cs="Times New Roman"/>
          <w:noProof/>
          <w:sz w:val="24"/>
          <w:szCs w:val="24"/>
        </w:rPr>
      </w:pPr>
      <w:r>
        <w:rPr>
          <w:rFonts w:ascii="Times New Roman" w:hAnsi="Times New Roman"/>
          <w:noProof/>
          <w:sz w:val="24"/>
        </w:rPr>
        <w:t xml:space="preserve">Le nombre d’allocations versées est resté stable aux alentours de 11 800 entre 2019 et 2023, avant d’atteindre 15 869 en 2024. Si l’on compare le nombre de paiements en faveur des APA entre 2019 et 2024, on constate une augmentation de 58 %, à 5 427. Le nombre de paiements en faveur des AT et des AC a enregistré une augmentation respective de 53 % et de 15 % au cours de la période de référence, à l’opposé de la courbe du nombre de bénéficiaires pendant la même période. Ce constat peut s’expliquer par l’accroissement du nombre d’opérations effectuées par bénéficiaire et l’allongement de la durée moyenne des prestations reçues en 2024. </w:t>
      </w:r>
    </w:p>
    <w:p w14:paraId="0F9BF61D" w14:textId="77777777" w:rsidR="00FB0B48" w:rsidRDefault="00FB0B48" w:rsidP="006B1997">
      <w:pPr>
        <w:jc w:val="both"/>
        <w:rPr>
          <w:rFonts w:ascii="Times New Roman" w:hAnsi="Times New Roman" w:cs="Times New Roman"/>
          <w:b/>
          <w:bCs/>
          <w:noProof/>
        </w:rPr>
      </w:pPr>
    </w:p>
    <w:p w14:paraId="3B7CD81A" w14:textId="74417E6C" w:rsidR="006B1997" w:rsidRPr="00FB0B48" w:rsidRDefault="006B1997" w:rsidP="006B1997">
      <w:pPr>
        <w:jc w:val="both"/>
        <w:rPr>
          <w:rFonts w:ascii="Times New Roman" w:hAnsi="Times New Roman" w:cs="Times New Roman"/>
          <w:b/>
          <w:bCs/>
          <w:noProof/>
        </w:rPr>
      </w:pPr>
      <w:r>
        <w:rPr>
          <w:rFonts w:ascii="Times New Roman" w:hAnsi="Times New Roman"/>
          <w:b/>
          <w:noProof/>
        </w:rPr>
        <w:t>Tableau 10 – Nombre d’allocations mensuelles versées et allocation moyenne par type de contrat (2019-2024)</w:t>
      </w:r>
    </w:p>
    <w:p w14:paraId="3F7B2D05" w14:textId="1DF03FFB" w:rsidR="006B1997" w:rsidRDefault="00764C37" w:rsidP="00764C37">
      <w:pPr>
        <w:jc w:val="both"/>
        <w:rPr>
          <w:b/>
          <w:bCs/>
          <w:noProof/>
        </w:rPr>
      </w:pPr>
      <w:r w:rsidRPr="00764C37">
        <w:rPr>
          <w:noProof/>
          <w:lang w:val="en-GB" w:eastAsia="en-GB"/>
        </w:rPr>
        <w:drawing>
          <wp:inline distT="0" distB="0" distL="0" distR="0" wp14:anchorId="1F3973FE" wp14:editId="6E5EE020">
            <wp:extent cx="5731510" cy="3166745"/>
            <wp:effectExtent l="0" t="0" r="2540" b="0"/>
            <wp:docPr id="2842585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3166745"/>
                    </a:xfrm>
                    <a:prstGeom prst="rect">
                      <a:avLst/>
                    </a:prstGeom>
                    <a:noFill/>
                    <a:ln>
                      <a:noFill/>
                    </a:ln>
                  </pic:spPr>
                </pic:pic>
              </a:graphicData>
            </a:graphic>
          </wp:inline>
        </w:drawing>
      </w:r>
    </w:p>
    <w:p w14:paraId="213158A5" w14:textId="77777777" w:rsidR="006B1997" w:rsidRDefault="006B1997" w:rsidP="005E3670">
      <w:pPr>
        <w:jc w:val="both"/>
        <w:rPr>
          <w:noProof/>
        </w:rPr>
        <w:sectPr w:rsidR="006B1997" w:rsidSect="00DF5D65">
          <w:headerReference w:type="default" r:id="rId49"/>
          <w:footerReference w:type="default" r:id="rId50"/>
          <w:pgSz w:w="11906" w:h="16838"/>
          <w:pgMar w:top="1440" w:right="1440" w:bottom="1440" w:left="1440" w:header="708" w:footer="708" w:gutter="0"/>
          <w:cols w:space="708"/>
          <w:docGrid w:linePitch="360"/>
        </w:sectPr>
      </w:pPr>
    </w:p>
    <w:p w14:paraId="70796AB4" w14:textId="3DE7533A" w:rsidR="00484376" w:rsidRDefault="00E368D3" w:rsidP="00DF5D65">
      <w:pPr>
        <w:pStyle w:val="Heading3"/>
        <w:numPr>
          <w:ilvl w:val="0"/>
          <w:numId w:val="0"/>
        </w:numPr>
        <w:ind w:left="720" w:hanging="720"/>
        <w:rPr>
          <w:noProof/>
        </w:rPr>
      </w:pPr>
      <w:bookmarkStart w:id="23" w:name="_Toc233386999"/>
      <w:r>
        <w:rPr>
          <w:noProof/>
        </w:rPr>
        <w:t>4.4.2 Durée de la période indemnisée</w:t>
      </w:r>
      <w:bookmarkEnd w:id="23"/>
    </w:p>
    <w:p w14:paraId="25B64EF1" w14:textId="2EFF585A" w:rsidR="007447BD" w:rsidRDefault="7BFADDCE" w:rsidP="00DB0B87">
      <w:pPr>
        <w:jc w:val="both"/>
        <w:rPr>
          <w:b/>
          <w:bCs/>
          <w:noProof/>
        </w:rPr>
      </w:pPr>
      <w:r>
        <w:rPr>
          <w:rFonts w:ascii="Times New Roman" w:hAnsi="Times New Roman"/>
          <w:noProof/>
          <w:sz w:val="24"/>
        </w:rPr>
        <w:t xml:space="preserve">Au cours de la période de référence, la durée moyenne agrégée est passée de près de 8,5 mois en 2019 à environ 9,0 mois en 2024. Cette tendance est le résultat de l’allongement de la durée de paiement au Parlement, à la Cour de justice, à la Cour des comptes et au sein des agences. Le Parlement a suivi une trajectoire cyclique en raison de l’incidence des élections. </w:t>
      </w:r>
    </w:p>
    <w:p w14:paraId="44A80DC8" w14:textId="61449FCA" w:rsidR="00DB0B87" w:rsidRPr="007447BD" w:rsidRDefault="00DB0B87" w:rsidP="00DB0B87">
      <w:pPr>
        <w:jc w:val="both"/>
        <w:rPr>
          <w:rFonts w:ascii="Times New Roman" w:hAnsi="Times New Roman" w:cs="Times New Roman"/>
          <w:b/>
          <w:bCs/>
          <w:noProof/>
        </w:rPr>
      </w:pPr>
      <w:r>
        <w:rPr>
          <w:rFonts w:ascii="Times New Roman" w:hAnsi="Times New Roman"/>
          <w:b/>
          <w:noProof/>
        </w:rPr>
        <w:t xml:space="preserve">Tableau 11 – Durée de la période indemnisée, en mois </w:t>
      </w:r>
    </w:p>
    <w:p w14:paraId="7E2592E9" w14:textId="2E7AB512" w:rsidR="00DB0B87" w:rsidRDefault="00764C37" w:rsidP="00DB0B87">
      <w:pPr>
        <w:jc w:val="both"/>
        <w:rPr>
          <w:b/>
          <w:bCs/>
          <w:noProof/>
        </w:rPr>
      </w:pPr>
      <w:r w:rsidRPr="00764C37">
        <w:rPr>
          <w:noProof/>
          <w:lang w:val="en-GB" w:eastAsia="en-GB"/>
        </w:rPr>
        <w:drawing>
          <wp:inline distT="0" distB="0" distL="0" distR="0" wp14:anchorId="383DB5A8" wp14:editId="361DC0D0">
            <wp:extent cx="5731510" cy="2553970"/>
            <wp:effectExtent l="0" t="0" r="2540" b="0"/>
            <wp:docPr id="20953349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2553970"/>
                    </a:xfrm>
                    <a:prstGeom prst="rect">
                      <a:avLst/>
                    </a:prstGeom>
                    <a:noFill/>
                    <a:ln>
                      <a:noFill/>
                    </a:ln>
                  </pic:spPr>
                </pic:pic>
              </a:graphicData>
            </a:graphic>
          </wp:inline>
        </w:drawing>
      </w:r>
    </w:p>
    <w:p w14:paraId="771137B9" w14:textId="15603846" w:rsidR="00CA3543" w:rsidRPr="007447BD" w:rsidRDefault="7E8C12E1" w:rsidP="003F7947">
      <w:pPr>
        <w:jc w:val="both"/>
        <w:rPr>
          <w:rFonts w:ascii="Times New Roman" w:hAnsi="Times New Roman" w:cs="Times New Roman"/>
          <w:noProof/>
          <w:sz w:val="24"/>
          <w:szCs w:val="24"/>
        </w:rPr>
      </w:pPr>
      <w:r>
        <w:rPr>
          <w:rFonts w:ascii="Times New Roman" w:hAnsi="Times New Roman"/>
          <w:noProof/>
          <w:sz w:val="24"/>
        </w:rPr>
        <w:t xml:space="preserve">En 2019 et 2024, la durée de l’allocation de chômage au Parlement s’est avérée inférieure à celle observée les années précédentes, ce qui s’explique par l’afflux de bénéficiaires parmi les APA après les élections de juin, qui ont commencé à percevoir leurs allocations à partir d’août/septembre. Dans ces conditions, l’augmentation du nombre d’allocations s’est répercutée sur le dernier trimestre, faisant baisser la durée moyenne globale en conséquence. En 2024, la durée moyenne la plus courte a été enregistrée au Conseil (environ 6 mois), tandis que la durée la plus longue a été observée à la Cour des comptes et au sein des agences (plus de 11 mois dans les deux cas). </w:t>
      </w:r>
    </w:p>
    <w:p w14:paraId="290D0FE1" w14:textId="77777777" w:rsidR="00DB0B87" w:rsidRDefault="00DB0B87" w:rsidP="003F7947">
      <w:pPr>
        <w:jc w:val="both"/>
        <w:rPr>
          <w:b/>
          <w:bCs/>
          <w:noProof/>
        </w:rPr>
      </w:pPr>
    </w:p>
    <w:p w14:paraId="5CA9CB4D" w14:textId="0AD34B70" w:rsidR="00A314ED" w:rsidRPr="00D45CAD" w:rsidRDefault="00941AFA" w:rsidP="00A5228F">
      <w:pPr>
        <w:keepNext/>
        <w:jc w:val="both"/>
        <w:rPr>
          <w:rFonts w:ascii="Times New Roman" w:hAnsi="Times New Roman" w:cs="Times New Roman"/>
          <w:b/>
          <w:bCs/>
          <w:noProof/>
        </w:rPr>
      </w:pPr>
      <w:r>
        <w:rPr>
          <w:rFonts w:ascii="Times New Roman" w:hAnsi="Times New Roman"/>
          <w:b/>
          <w:noProof/>
        </w:rPr>
        <w:t>Graphique 4.4.2.1 Comparaison de la durée d’indemnisation en mois (2019-2024)</w:t>
      </w:r>
    </w:p>
    <w:p w14:paraId="2350D295" w14:textId="05BF4214" w:rsidR="00A314ED" w:rsidRPr="00D45CAD" w:rsidRDefault="0048247F" w:rsidP="003F7947">
      <w:pPr>
        <w:jc w:val="both"/>
        <w:rPr>
          <w:noProof/>
        </w:rPr>
      </w:pPr>
      <w:r w:rsidRPr="0048247F">
        <w:rPr>
          <w:noProof/>
          <w:lang w:val="en-GB" w:eastAsia="en-GB"/>
        </w:rPr>
        <w:drawing>
          <wp:inline distT="0" distB="0" distL="0" distR="0" wp14:anchorId="0D3ADFEE" wp14:editId="11ADAB87">
            <wp:extent cx="5731510" cy="3180080"/>
            <wp:effectExtent l="0" t="0" r="2540" b="1270"/>
            <wp:docPr id="201835674" name="Chart 1">
              <a:extLst xmlns:a="http://schemas.openxmlformats.org/drawingml/2006/main">
                <a:ext uri="{FF2B5EF4-FFF2-40B4-BE49-F238E27FC236}">
                  <a16:creationId xmlns:a16="http://schemas.microsoft.com/office/drawing/2014/main" id="{F8151A49-8CB7-4765-A6F2-25781E766179}"/>
                </a:ext>
                <a:ext uri="{147F2762-F138-4A5C-976F-8EAC2B608ADB}">
                  <a16:predDERef xmlns:a16="http://schemas.microsoft.com/office/drawing/2014/main" pred="{C659DD90-C0D5-4E7E-A5C2-21464864BB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2F44836" w14:textId="5E5D7E5E" w:rsidR="00F5359C" w:rsidRDefault="00E22ADC" w:rsidP="003F7947">
      <w:pPr>
        <w:jc w:val="both"/>
        <w:rPr>
          <w:rFonts w:ascii="Times New Roman" w:hAnsi="Times New Roman" w:cs="Times New Roman"/>
          <w:noProof/>
        </w:rPr>
      </w:pPr>
      <w:r>
        <w:rPr>
          <w:rFonts w:ascii="Times New Roman" w:hAnsi="Times New Roman"/>
          <w:noProof/>
        </w:rPr>
        <w:t>Source: tableau 11</w:t>
      </w:r>
    </w:p>
    <w:p w14:paraId="0767C33C" w14:textId="77777777" w:rsidR="00642ADF" w:rsidRPr="00D45CAD" w:rsidRDefault="00642ADF" w:rsidP="003F7947">
      <w:pPr>
        <w:jc w:val="both"/>
        <w:rPr>
          <w:rFonts w:ascii="Times New Roman" w:hAnsi="Times New Roman" w:cs="Times New Roman"/>
          <w:noProof/>
        </w:rPr>
      </w:pPr>
    </w:p>
    <w:p w14:paraId="3515F5B3" w14:textId="22BE3EAA" w:rsidR="002F21F9" w:rsidRPr="00D45CAD" w:rsidRDefault="00E368D3" w:rsidP="002F21F9">
      <w:pPr>
        <w:pStyle w:val="Heading2"/>
        <w:numPr>
          <w:ilvl w:val="0"/>
          <w:numId w:val="0"/>
        </w:numPr>
        <w:ind w:left="576" w:hanging="576"/>
        <w:rPr>
          <w:noProof/>
        </w:rPr>
      </w:pPr>
      <w:bookmarkStart w:id="24" w:name="_Toc233387000"/>
      <w:r>
        <w:rPr>
          <w:noProof/>
        </w:rPr>
        <w:t>4.5 Répartition du chômage par pays</w:t>
      </w:r>
      <w:bookmarkEnd w:id="24"/>
    </w:p>
    <w:p w14:paraId="5AA1043E" w14:textId="77777777" w:rsidR="00532C90" w:rsidRPr="00D45CAD" w:rsidRDefault="007D3F74" w:rsidP="00C452BC">
      <w:pPr>
        <w:jc w:val="both"/>
        <w:rPr>
          <w:rFonts w:ascii="Times New Roman" w:hAnsi="Times New Roman" w:cs="Times New Roman"/>
          <w:noProof/>
          <w:sz w:val="24"/>
          <w:szCs w:val="24"/>
        </w:rPr>
      </w:pPr>
      <w:r>
        <w:rPr>
          <w:rFonts w:ascii="Times New Roman" w:hAnsi="Times New Roman"/>
          <w:noProof/>
          <w:sz w:val="24"/>
        </w:rPr>
        <w:t>Eu égard au principe de complémentarité du régime d’assurance contre le chômage, le pays de résidence du bénéficiaire d’une allocation de chômage a son importance, notamment compte tenu des critères d’éligibilité à une allocation nationale qui varient d’un État membre à l’autre.</w:t>
      </w:r>
    </w:p>
    <w:p w14:paraId="674EA5BD" w14:textId="3B38AC33" w:rsidR="00AB05C4" w:rsidRPr="00D45CAD" w:rsidRDefault="0433273E" w:rsidP="00C452BC">
      <w:pPr>
        <w:jc w:val="both"/>
        <w:rPr>
          <w:rFonts w:ascii="Times New Roman" w:hAnsi="Times New Roman" w:cs="Times New Roman"/>
          <w:noProof/>
          <w:sz w:val="24"/>
          <w:szCs w:val="24"/>
        </w:rPr>
      </w:pPr>
      <w:r>
        <w:rPr>
          <w:rFonts w:ascii="Times New Roman" w:hAnsi="Times New Roman"/>
          <w:noProof/>
          <w:sz w:val="24"/>
        </w:rPr>
        <w:t>La plupart des bénéficiaires du régime résident en Belgique (51 %) et, dans une moindre mesure, en Espagne, en Italie, en France et au Luxembourg, ces quatre pays représentant ensemble 27 % du total.</w:t>
      </w:r>
    </w:p>
    <w:p w14:paraId="627BBCF7" w14:textId="4A3EA972" w:rsidR="00C22F7C" w:rsidRPr="007447BD" w:rsidRDefault="0030716C" w:rsidP="00C22F7C">
      <w:pPr>
        <w:jc w:val="both"/>
        <w:rPr>
          <w:rFonts w:ascii="Times New Roman" w:hAnsi="Times New Roman" w:cs="Times New Roman"/>
          <w:noProof/>
          <w:sz w:val="24"/>
          <w:szCs w:val="24"/>
        </w:rPr>
      </w:pPr>
      <w:r>
        <w:rPr>
          <w:rFonts w:ascii="Times New Roman" w:hAnsi="Times New Roman"/>
          <w:noProof/>
          <w:sz w:val="24"/>
        </w:rPr>
        <w:t>Jusqu’à la fin de la période de transition, le 31 décembre 2020, le Royaume-Uni était considéré comme un État membre </w:t>
      </w:r>
      <w:r>
        <w:rPr>
          <w:rStyle w:val="FootnoteReference"/>
          <w:rFonts w:ascii="Times New Roman" w:hAnsi="Times New Roman" w:cs="Times New Roman"/>
          <w:noProof/>
          <w:sz w:val="24"/>
          <w:szCs w:val="24"/>
        </w:rPr>
        <w:footnoteReference w:id="11"/>
      </w:r>
      <w:r>
        <w:rPr>
          <w:rFonts w:ascii="Times New Roman" w:hAnsi="Times New Roman"/>
          <w:noProof/>
          <w:sz w:val="24"/>
        </w:rPr>
        <w:t>, ce qui permettait aux anciens agents de percevoir l’allocation de chômage tout en résidant au Royaume-Uni. Conformément à l’article 115 de l’accord de retrait </w:t>
      </w:r>
      <w:r>
        <w:rPr>
          <w:rStyle w:val="FootnoteReference"/>
          <w:rFonts w:ascii="Times New Roman" w:hAnsi="Times New Roman" w:cs="Times New Roman"/>
          <w:noProof/>
          <w:sz w:val="24"/>
          <w:szCs w:val="24"/>
        </w:rPr>
        <w:footnoteReference w:id="12"/>
      </w:r>
      <w:r>
        <w:rPr>
          <w:rFonts w:ascii="Times New Roman" w:hAnsi="Times New Roman"/>
          <w:noProof/>
          <w:sz w:val="24"/>
        </w:rPr>
        <w:t>, les articles 28 </w:t>
      </w:r>
      <w:r>
        <w:rPr>
          <w:rFonts w:ascii="Times New Roman" w:hAnsi="Times New Roman"/>
          <w:i/>
          <w:iCs/>
          <w:noProof/>
          <w:sz w:val="24"/>
        </w:rPr>
        <w:t>bis</w:t>
      </w:r>
      <w:r>
        <w:rPr>
          <w:rFonts w:ascii="Times New Roman" w:hAnsi="Times New Roman"/>
          <w:noProof/>
          <w:sz w:val="24"/>
        </w:rPr>
        <w:t xml:space="preserve">, 96 et 136 du RAA s’appliqueront aux autres agents de l’Union de toute nationalité, y compris les anciens autres agents, qui ont cotisé au régime de chômage de l’Union avant la fin de la période de transition s’ils résident au Royaume-Uni et sont enregistrés auprès des services du chômage du Royaume-Uni. </w:t>
      </w:r>
    </w:p>
    <w:p w14:paraId="3EC81D32" w14:textId="1CD2EA85" w:rsidR="00C22F7C" w:rsidRPr="00D71BEF" w:rsidRDefault="00C22F7C" w:rsidP="00A5228F">
      <w:pPr>
        <w:keepNext/>
        <w:jc w:val="both"/>
        <w:rPr>
          <w:rFonts w:ascii="Times New Roman" w:hAnsi="Times New Roman" w:cs="Times New Roman"/>
          <w:b/>
          <w:bCs/>
          <w:noProof/>
        </w:rPr>
      </w:pPr>
      <w:r>
        <w:rPr>
          <w:rFonts w:ascii="Times New Roman" w:hAnsi="Times New Roman"/>
          <w:b/>
          <w:noProof/>
        </w:rPr>
        <w:t xml:space="preserve">Tableau 12 – Pays de résidence des bénéficiaires d’allocations de chômage de l’UE </w:t>
      </w:r>
    </w:p>
    <w:p w14:paraId="1E14E2F4" w14:textId="05887502" w:rsidR="00C22F7C" w:rsidRDefault="00764C37" w:rsidP="00C22F7C">
      <w:pPr>
        <w:jc w:val="center"/>
        <w:rPr>
          <w:b/>
          <w:bCs/>
          <w:noProof/>
        </w:rPr>
      </w:pPr>
      <w:r w:rsidRPr="00764C37">
        <w:rPr>
          <w:noProof/>
          <w:lang w:val="en-GB" w:eastAsia="en-GB"/>
        </w:rPr>
        <w:drawing>
          <wp:inline distT="0" distB="0" distL="0" distR="0" wp14:anchorId="6D3A19DC" wp14:editId="1AFD51B4">
            <wp:extent cx="5656580" cy="6734810"/>
            <wp:effectExtent l="0" t="0" r="1270" b="8890"/>
            <wp:docPr id="1071584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6580" cy="6734810"/>
                    </a:xfrm>
                    <a:prstGeom prst="rect">
                      <a:avLst/>
                    </a:prstGeom>
                    <a:noFill/>
                    <a:ln>
                      <a:noFill/>
                    </a:ln>
                  </pic:spPr>
                </pic:pic>
              </a:graphicData>
            </a:graphic>
          </wp:inline>
        </w:drawing>
      </w:r>
    </w:p>
    <w:p w14:paraId="695BC5F8" w14:textId="77777777" w:rsidR="00642ADF" w:rsidRDefault="00642ADF">
      <w:pPr>
        <w:rPr>
          <w:rFonts w:ascii="Times New Roman" w:eastAsiaTheme="majorEastAsia" w:hAnsi="Times New Roman" w:cstheme="majorBidi"/>
          <w:b/>
          <w:noProof/>
          <w:sz w:val="28"/>
          <w:szCs w:val="32"/>
        </w:rPr>
      </w:pPr>
      <w:bookmarkStart w:id="25" w:name="_Toc195605418"/>
      <w:bookmarkStart w:id="26" w:name="_Toc195543198"/>
      <w:bookmarkStart w:id="27" w:name="_Toc195543794"/>
      <w:bookmarkStart w:id="28" w:name="_Toc195543896"/>
      <w:bookmarkStart w:id="29" w:name="_Toc195543997"/>
      <w:bookmarkStart w:id="30" w:name="_Toc195544212"/>
      <w:bookmarkStart w:id="31" w:name="_Toc195544313"/>
      <w:bookmarkStart w:id="32" w:name="_Toc195544413"/>
      <w:bookmarkStart w:id="33" w:name="_Toc195605419"/>
      <w:bookmarkStart w:id="34" w:name="_Toc195543199"/>
      <w:bookmarkStart w:id="35" w:name="_Toc195543795"/>
      <w:bookmarkStart w:id="36" w:name="_Toc195543897"/>
      <w:bookmarkStart w:id="37" w:name="_Toc195543998"/>
      <w:bookmarkStart w:id="38" w:name="_Toc195544213"/>
      <w:bookmarkStart w:id="39" w:name="_Toc195544314"/>
      <w:bookmarkStart w:id="40" w:name="_Toc195544414"/>
      <w:bookmarkStart w:id="41" w:name="_Toc195605420"/>
      <w:bookmarkStart w:id="42" w:name="_Toc195543200"/>
      <w:bookmarkStart w:id="43" w:name="_Toc195543796"/>
      <w:bookmarkStart w:id="44" w:name="_Toc195543898"/>
      <w:bookmarkStart w:id="45" w:name="_Toc195543999"/>
      <w:bookmarkStart w:id="46" w:name="_Toc195544214"/>
      <w:bookmarkStart w:id="47" w:name="_Toc195544315"/>
      <w:bookmarkStart w:id="48" w:name="_Toc195544415"/>
      <w:bookmarkStart w:id="49" w:name="_Toc195605421"/>
      <w:bookmarkStart w:id="50" w:name="_Toc195543201"/>
      <w:bookmarkStart w:id="51" w:name="_Toc195543797"/>
      <w:bookmarkStart w:id="52" w:name="_Toc195543899"/>
      <w:bookmarkStart w:id="53" w:name="_Toc195544000"/>
      <w:bookmarkStart w:id="54" w:name="_Toc195544215"/>
      <w:bookmarkStart w:id="55" w:name="_Toc195544316"/>
      <w:bookmarkStart w:id="56" w:name="_Toc195544416"/>
      <w:bookmarkStart w:id="57" w:name="_Toc195605422"/>
      <w:bookmarkStart w:id="58" w:name="_Toc195543202"/>
      <w:bookmarkStart w:id="59" w:name="_Toc195543798"/>
      <w:bookmarkStart w:id="60" w:name="_Toc195543900"/>
      <w:bookmarkStart w:id="61" w:name="_Toc195544001"/>
      <w:bookmarkStart w:id="62" w:name="_Toc195544216"/>
      <w:bookmarkStart w:id="63" w:name="_Toc195544317"/>
      <w:bookmarkStart w:id="64" w:name="_Toc195544417"/>
      <w:bookmarkStart w:id="65" w:name="_Toc195605423"/>
      <w:bookmarkStart w:id="66" w:name="_Toc195543203"/>
      <w:bookmarkStart w:id="67" w:name="_Toc195543799"/>
      <w:bookmarkStart w:id="68" w:name="_Toc195543901"/>
      <w:bookmarkStart w:id="69" w:name="_Toc195544002"/>
      <w:bookmarkStart w:id="70" w:name="_Toc195544217"/>
      <w:bookmarkStart w:id="71" w:name="_Toc195544318"/>
      <w:bookmarkStart w:id="72" w:name="_Toc195544418"/>
      <w:bookmarkStart w:id="73" w:name="_Toc195605424"/>
      <w:bookmarkStart w:id="74" w:name="_Toc195543204"/>
      <w:bookmarkStart w:id="75" w:name="_Toc195543800"/>
      <w:bookmarkStart w:id="76" w:name="_Toc195543902"/>
      <w:bookmarkStart w:id="77" w:name="_Toc195544003"/>
      <w:bookmarkStart w:id="78" w:name="_Toc195544218"/>
      <w:bookmarkStart w:id="79" w:name="_Toc195544319"/>
      <w:bookmarkStart w:id="80" w:name="_Toc195544419"/>
      <w:bookmarkStart w:id="81" w:name="_Toc195605425"/>
      <w:bookmarkStart w:id="82" w:name="_Toc195543205"/>
      <w:bookmarkStart w:id="83" w:name="_Toc195543801"/>
      <w:bookmarkStart w:id="84" w:name="_Toc195543903"/>
      <w:bookmarkStart w:id="85" w:name="_Toc195544004"/>
      <w:bookmarkStart w:id="86" w:name="_Toc195544219"/>
      <w:bookmarkStart w:id="87" w:name="_Toc195544320"/>
      <w:bookmarkStart w:id="88" w:name="_Toc195544420"/>
      <w:bookmarkStart w:id="89" w:name="_Toc195605426"/>
      <w:bookmarkStart w:id="90" w:name="_Toc195543206"/>
      <w:bookmarkStart w:id="91" w:name="_Toc195543802"/>
      <w:bookmarkStart w:id="92" w:name="_Toc195543904"/>
      <w:bookmarkStart w:id="93" w:name="_Toc195544005"/>
      <w:bookmarkStart w:id="94" w:name="_Toc195544220"/>
      <w:bookmarkStart w:id="95" w:name="_Toc195544321"/>
      <w:bookmarkStart w:id="96" w:name="_Toc195544421"/>
      <w:bookmarkStart w:id="97" w:name="_Toc195605427"/>
      <w:bookmarkStart w:id="98" w:name="_Toc195543207"/>
      <w:bookmarkStart w:id="99" w:name="_Toc195543803"/>
      <w:bookmarkStart w:id="100" w:name="_Toc195543905"/>
      <w:bookmarkStart w:id="101" w:name="_Toc195544006"/>
      <w:bookmarkStart w:id="102" w:name="_Toc195544221"/>
      <w:bookmarkStart w:id="103" w:name="_Toc195544322"/>
      <w:bookmarkStart w:id="104" w:name="_Toc195544422"/>
      <w:bookmarkStart w:id="105" w:name="_Toc195605428"/>
      <w:bookmarkStart w:id="106" w:name="_Toc195543208"/>
      <w:bookmarkStart w:id="107" w:name="_Toc195543804"/>
      <w:bookmarkStart w:id="108" w:name="_Toc195543906"/>
      <w:bookmarkStart w:id="109" w:name="_Toc195544007"/>
      <w:bookmarkStart w:id="110" w:name="_Toc195544222"/>
      <w:bookmarkStart w:id="111" w:name="_Toc195544323"/>
      <w:bookmarkStart w:id="112" w:name="_Toc195544423"/>
      <w:bookmarkStart w:id="113" w:name="_Toc195605429"/>
      <w:bookmarkStart w:id="114" w:name="_Toc195543211"/>
      <w:bookmarkStart w:id="115" w:name="_Toc195543807"/>
      <w:bookmarkStart w:id="116" w:name="_Toc195543909"/>
      <w:bookmarkStart w:id="117" w:name="_Toc195544010"/>
      <w:bookmarkStart w:id="118" w:name="_Toc195544225"/>
      <w:bookmarkStart w:id="119" w:name="_Toc195544326"/>
      <w:bookmarkStart w:id="120" w:name="_Toc195544426"/>
      <w:bookmarkStart w:id="121" w:name="_Toc195605432"/>
      <w:bookmarkStart w:id="122" w:name="_Toc195544482"/>
      <w:bookmarkStart w:id="123" w:name="_Toc195605488"/>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noProof/>
        </w:rPr>
        <w:br w:type="page"/>
      </w:r>
    </w:p>
    <w:p w14:paraId="3FB750F1" w14:textId="1D117C38" w:rsidR="00DC27BE" w:rsidRPr="00DF5D65" w:rsidRDefault="00AF11C6" w:rsidP="008F52F4">
      <w:pPr>
        <w:pStyle w:val="Heading1"/>
        <w:numPr>
          <w:ilvl w:val="0"/>
          <w:numId w:val="0"/>
        </w:numPr>
        <w:rPr>
          <w:noProof/>
        </w:rPr>
      </w:pPr>
      <w:bookmarkStart w:id="124" w:name="_Toc233387001"/>
      <w:r>
        <w:rPr>
          <w:noProof/>
        </w:rPr>
        <w:t>5. Conclusion</w:t>
      </w:r>
      <w:bookmarkStart w:id="125" w:name="_Toc195543267"/>
      <w:bookmarkEnd w:id="122"/>
      <w:bookmarkEnd w:id="123"/>
      <w:bookmarkEnd w:id="125"/>
      <w:bookmarkEnd w:id="124"/>
    </w:p>
    <w:p w14:paraId="6665A317" w14:textId="4E49B8C0" w:rsidR="00E66FEA" w:rsidRDefault="00AF11C6" w:rsidP="00DF5D65">
      <w:pPr>
        <w:pStyle w:val="Heading2"/>
        <w:numPr>
          <w:ilvl w:val="0"/>
          <w:numId w:val="0"/>
        </w:numPr>
        <w:ind w:left="576" w:hanging="576"/>
        <w:rPr>
          <w:noProof/>
        </w:rPr>
      </w:pPr>
      <w:bookmarkStart w:id="126" w:name="_Toc195543268"/>
      <w:bookmarkStart w:id="127" w:name="_Toc195543864"/>
      <w:bookmarkStart w:id="128" w:name="_Toc195543966"/>
      <w:bookmarkStart w:id="129" w:name="_Toc195544067"/>
      <w:bookmarkStart w:id="130" w:name="_Toc195544282"/>
      <w:bookmarkStart w:id="131" w:name="_Toc233387002"/>
      <w:bookmarkEnd w:id="126"/>
      <w:bookmarkEnd w:id="127"/>
      <w:bookmarkEnd w:id="128"/>
      <w:bookmarkEnd w:id="129"/>
      <w:bookmarkEnd w:id="130"/>
      <w:r>
        <w:rPr>
          <w:noProof/>
        </w:rPr>
        <w:t>5.1 Période 2019-2024</w:t>
      </w:r>
      <w:bookmarkEnd w:id="131"/>
    </w:p>
    <w:p w14:paraId="4B8C5769" w14:textId="68D05CA4" w:rsidR="00AA6DA9" w:rsidRPr="00D71BEF" w:rsidRDefault="009C0BB4" w:rsidP="009250C8">
      <w:pPr>
        <w:jc w:val="both"/>
        <w:rPr>
          <w:rFonts w:ascii="Times New Roman" w:hAnsi="Times New Roman" w:cs="Times New Roman"/>
          <w:noProof/>
          <w:sz w:val="24"/>
          <w:szCs w:val="24"/>
        </w:rPr>
      </w:pPr>
      <w:r>
        <w:rPr>
          <w:rFonts w:ascii="Times New Roman" w:hAnsi="Times New Roman"/>
          <w:noProof/>
          <w:sz w:val="24"/>
        </w:rPr>
        <w:t xml:space="preserve">Le Fonds a vu ses réserves augmenter de manière significative, en particulier au cours de la seconde moitié de la période de référence, avec des résultats opérationnels annuels positifs d’environ 20 millions d’EUR pendant les trois dernières années. </w:t>
      </w:r>
    </w:p>
    <w:p w14:paraId="12593934" w14:textId="2558E06A" w:rsidR="00D22896" w:rsidRPr="00D71BEF" w:rsidRDefault="004175C1" w:rsidP="009250C8">
      <w:pPr>
        <w:jc w:val="both"/>
        <w:rPr>
          <w:rFonts w:ascii="Times New Roman" w:hAnsi="Times New Roman" w:cs="Times New Roman"/>
          <w:noProof/>
          <w:sz w:val="24"/>
          <w:szCs w:val="24"/>
        </w:rPr>
      </w:pPr>
      <w:r>
        <w:rPr>
          <w:rFonts w:ascii="Times New Roman" w:hAnsi="Times New Roman"/>
          <w:noProof/>
          <w:sz w:val="24"/>
        </w:rPr>
        <w:t>En conséquence, les réserves cumulées inscrites au compte courant ont atteint 27 millions d’EUR. Ce montant, conjugué aux 78 millions d’EUR du portefeuille d’investissement, porte le total général à plus de 106 millions d’EUR à la fin de 2024.</w:t>
      </w:r>
    </w:p>
    <w:p w14:paraId="3F180C6E" w14:textId="0D242835" w:rsidR="005B23E5" w:rsidRDefault="00AF11C6" w:rsidP="00DF5D65">
      <w:pPr>
        <w:pStyle w:val="Heading2"/>
        <w:numPr>
          <w:ilvl w:val="0"/>
          <w:numId w:val="0"/>
        </w:numPr>
        <w:ind w:left="576" w:hanging="576"/>
        <w:rPr>
          <w:noProof/>
        </w:rPr>
      </w:pPr>
      <w:bookmarkStart w:id="132" w:name="_Toc233387003"/>
      <w:r>
        <w:rPr>
          <w:noProof/>
        </w:rPr>
        <w:t>5.2 Perspectives du Fonds de chômage à court et moyen terme</w:t>
      </w:r>
      <w:bookmarkEnd w:id="132"/>
    </w:p>
    <w:p w14:paraId="29A5ED8B" w14:textId="7696F81B" w:rsidR="005B5B0E" w:rsidRDefault="005B5B0E" w:rsidP="009250C8">
      <w:pPr>
        <w:jc w:val="both"/>
        <w:rPr>
          <w:rFonts w:ascii="Times New Roman" w:hAnsi="Times New Roman" w:cs="Times New Roman"/>
          <w:noProof/>
          <w:sz w:val="24"/>
          <w:szCs w:val="24"/>
        </w:rPr>
      </w:pPr>
      <w:r>
        <w:rPr>
          <w:rFonts w:ascii="Times New Roman" w:hAnsi="Times New Roman"/>
          <w:noProof/>
          <w:sz w:val="24"/>
        </w:rPr>
        <w:t xml:space="preserve">Sur la base des observations figurant dans le rapport, le solde global devrait atteindre l’équilibre à court ou moyen terme. </w:t>
      </w:r>
    </w:p>
    <w:p w14:paraId="3654AAB6" w14:textId="643951FD" w:rsidR="00810F44" w:rsidRPr="00D71BEF" w:rsidRDefault="00810F44" w:rsidP="009250C8">
      <w:pPr>
        <w:jc w:val="both"/>
        <w:rPr>
          <w:rFonts w:ascii="Times New Roman" w:hAnsi="Times New Roman" w:cs="Times New Roman"/>
          <w:noProof/>
          <w:sz w:val="24"/>
          <w:szCs w:val="24"/>
        </w:rPr>
      </w:pPr>
      <w:r>
        <w:rPr>
          <w:rFonts w:ascii="Times New Roman" w:hAnsi="Times New Roman"/>
          <w:noProof/>
          <w:sz w:val="24"/>
        </w:rPr>
        <w:t>Comme indiqué au chapitre 2.2, à la suite des conclusions du dernier rapport sur le régime de chômage, la Commission a adapté la contribution au régime d’assurance contre le chômage par l’intermédiaire d’un règlement délégué </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Le nouveau taux de contribution à l’assurance chômage pour les agents temporaires et contractuels est de 0,51 %. Par ailleurs, la nouvelle contribution des institutions concernées est de 1,02 %. Étant donné que le règlement délégué n’était pas encore entré en vigueur à la fin de 2024, la modification du taux de contribution à l’assurance chômage ne relève pas du champ d’application temporel du présent rapport. Ses effets seront évalués dans le prochain rapport, couvrant la période 2021-2026. </w:t>
      </w:r>
    </w:p>
    <w:p w14:paraId="4C6FF15A" w14:textId="537E89F6" w:rsidR="002E4713" w:rsidRPr="00D71BEF" w:rsidRDefault="002E4713" w:rsidP="009250C8">
      <w:pPr>
        <w:jc w:val="both"/>
        <w:rPr>
          <w:rFonts w:ascii="Times New Roman" w:eastAsia="Times New Roman" w:hAnsi="Times New Roman" w:cs="Times New Roman"/>
          <w:noProof/>
          <w:sz w:val="24"/>
          <w:szCs w:val="24"/>
        </w:rPr>
      </w:pPr>
      <w:r>
        <w:rPr>
          <w:rFonts w:ascii="Times New Roman" w:hAnsi="Times New Roman"/>
          <w:noProof/>
          <w:sz w:val="24"/>
        </w:rPr>
        <w:t xml:space="preserve">La Commission continuera de suivre régulièrement la situation financière du Fonds et proposera des mesures appropriées en fonction des évolutions pertinentes, dans l’intérêt de l’équilibre du régime. </w:t>
      </w:r>
    </w:p>
    <w:p w14:paraId="06D67F7A" w14:textId="1390302B" w:rsidR="00AA6DA9" w:rsidRPr="00E66FEA" w:rsidRDefault="00AA6DA9" w:rsidP="00E66FEA">
      <w:pPr>
        <w:rPr>
          <w:noProof/>
        </w:rPr>
      </w:pPr>
    </w:p>
    <w:sectPr w:rsidR="00AA6DA9" w:rsidRPr="00E66FEA">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DC319" w14:textId="77777777" w:rsidR="004065B1" w:rsidRDefault="004065B1" w:rsidP="0025611A">
      <w:pPr>
        <w:spacing w:after="0" w:line="240" w:lineRule="auto"/>
      </w:pPr>
      <w:r>
        <w:separator/>
      </w:r>
    </w:p>
  </w:endnote>
  <w:endnote w:type="continuationSeparator" w:id="0">
    <w:p w14:paraId="0FA6D339" w14:textId="77777777" w:rsidR="004065B1" w:rsidRDefault="004065B1" w:rsidP="0025611A">
      <w:pPr>
        <w:spacing w:after="0" w:line="240" w:lineRule="auto"/>
      </w:pPr>
      <w:r>
        <w:continuationSeparator/>
      </w:r>
    </w:p>
  </w:endnote>
  <w:endnote w:type="continuationNotice" w:id="1">
    <w:p w14:paraId="797D10D9" w14:textId="77777777" w:rsidR="004065B1" w:rsidRDefault="004065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DCCB2" w14:textId="5296D522" w:rsidR="00D96C63" w:rsidRPr="00D96C63" w:rsidRDefault="00D96C63" w:rsidP="00D96C63">
    <w:pPr>
      <w:pStyle w:val="FooterCoverPage"/>
      <w:rPr>
        <w:rFonts w:ascii="Arial" w:hAnsi="Arial" w:cs="Arial"/>
        <w:b/>
        <w:sz w:val="48"/>
      </w:rPr>
    </w:pPr>
    <w:r w:rsidRPr="00D96C63">
      <w:rPr>
        <w:rFonts w:ascii="Arial" w:hAnsi="Arial" w:cs="Arial"/>
        <w:b/>
        <w:sz w:val="48"/>
      </w:rPr>
      <w:t>FR</w:t>
    </w:r>
    <w:r w:rsidRPr="00D96C63">
      <w:rPr>
        <w:rFonts w:ascii="Arial" w:hAnsi="Arial" w:cs="Arial"/>
        <w:b/>
        <w:sz w:val="48"/>
      </w:rPr>
      <w:tab/>
    </w:r>
    <w:r w:rsidRPr="00D96C63">
      <w:rPr>
        <w:rFonts w:ascii="Arial" w:hAnsi="Arial" w:cs="Arial"/>
        <w:b/>
        <w:sz w:val="48"/>
      </w:rPr>
      <w:tab/>
    </w:r>
    <w:r w:rsidRPr="00D96C63">
      <w:tab/>
    </w:r>
    <w:r w:rsidRPr="00D96C6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F29FB" w14:textId="6907789E" w:rsidR="00D96C63" w:rsidRPr="00D96C63" w:rsidRDefault="00D96C63" w:rsidP="00D96C63">
    <w:pPr>
      <w:pStyle w:val="FooterCoverPage"/>
      <w:rPr>
        <w:rFonts w:ascii="Arial" w:hAnsi="Arial" w:cs="Arial"/>
        <w:b/>
        <w:sz w:val="48"/>
      </w:rPr>
    </w:pPr>
    <w:r w:rsidRPr="00D96C63">
      <w:rPr>
        <w:rFonts w:ascii="Arial" w:hAnsi="Arial" w:cs="Arial"/>
        <w:b/>
        <w:sz w:val="48"/>
      </w:rPr>
      <w:t>FR</w:t>
    </w:r>
    <w:r w:rsidRPr="00D96C63">
      <w:rPr>
        <w:rFonts w:ascii="Arial" w:hAnsi="Arial" w:cs="Arial"/>
        <w:b/>
        <w:sz w:val="48"/>
      </w:rPr>
      <w:tab/>
    </w:r>
    <w:r w:rsidRPr="00D96C63">
      <w:rPr>
        <w:rFonts w:ascii="Arial" w:hAnsi="Arial" w:cs="Arial"/>
        <w:b/>
        <w:sz w:val="48"/>
      </w:rPr>
      <w:tab/>
    </w:r>
    <w:r w:rsidRPr="00D96C63">
      <w:tab/>
    </w:r>
    <w:r w:rsidRPr="00D96C6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80E42" w14:textId="77777777" w:rsidR="00D96C63" w:rsidRPr="00D96C63" w:rsidRDefault="00D96C63" w:rsidP="00D96C6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3F867" w14:textId="77777777" w:rsidR="00E72268" w:rsidRDefault="00E722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531046"/>
      <w:docPartObj>
        <w:docPartGallery w:val="Page Numbers (Bottom of Page)"/>
        <w:docPartUnique/>
      </w:docPartObj>
    </w:sdtPr>
    <w:sdtEndPr>
      <w:rPr>
        <w:noProof/>
      </w:rPr>
    </w:sdtEndPr>
    <w:sdtContent>
      <w:p w14:paraId="16327245" w14:textId="3935019A" w:rsidR="005F0E26" w:rsidRDefault="005F0E26">
        <w:pPr>
          <w:pStyle w:val="Footer"/>
          <w:jc w:val="center"/>
        </w:pPr>
        <w:r>
          <w:fldChar w:fldCharType="begin"/>
        </w:r>
        <w:r>
          <w:instrText xml:space="preserve"> PAGE   \* MERGEFORMAT </w:instrText>
        </w:r>
        <w:r>
          <w:fldChar w:fldCharType="separate"/>
        </w:r>
        <w:r w:rsidR="00D96C63">
          <w:rPr>
            <w:noProof/>
          </w:rPr>
          <w:t>1</w:t>
        </w:r>
        <w:r>
          <w:fldChar w:fldCharType="end"/>
        </w:r>
      </w:p>
    </w:sdtContent>
  </w:sdt>
  <w:p w14:paraId="285686D4" w14:textId="77777777" w:rsidR="005F0E26" w:rsidRDefault="005F0E26" w:rsidP="000D3C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45E86" w14:textId="77777777" w:rsidR="004633DA" w:rsidRDefault="004633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672072"/>
      <w:docPartObj>
        <w:docPartGallery w:val="Page Numbers (Bottom of Page)"/>
        <w:docPartUnique/>
      </w:docPartObj>
    </w:sdtPr>
    <w:sdtEndPr>
      <w:rPr>
        <w:noProof/>
      </w:rPr>
    </w:sdtEndPr>
    <w:sdtContent>
      <w:p w14:paraId="74F68E67" w14:textId="77777777" w:rsidR="00CD2D68" w:rsidRDefault="00CD2D68">
        <w:pPr>
          <w:pStyle w:val="Footer"/>
          <w:jc w:val="center"/>
        </w:pPr>
        <w:r>
          <w:fldChar w:fldCharType="begin"/>
        </w:r>
        <w:r>
          <w:instrText xml:space="preserve"> PAGE   \* MERGEFORMAT </w:instrText>
        </w:r>
        <w:r>
          <w:fldChar w:fldCharType="separate"/>
        </w:r>
        <w:r>
          <w:t>2</w:t>
        </w:r>
        <w:r>
          <w:fldChar w:fldCharType="end"/>
        </w:r>
      </w:p>
    </w:sdtContent>
  </w:sdt>
  <w:p w14:paraId="31C1F2AA" w14:textId="77777777" w:rsidR="00CD2D68" w:rsidRDefault="00CD2D68" w:rsidP="000D3C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5752912"/>
      <w:docPartObj>
        <w:docPartGallery w:val="Page Numbers (Bottom of Page)"/>
        <w:docPartUnique/>
      </w:docPartObj>
    </w:sdtPr>
    <w:sdtEndPr>
      <w:rPr>
        <w:noProof/>
      </w:rPr>
    </w:sdtEndPr>
    <w:sdtContent>
      <w:p w14:paraId="080FD41A" w14:textId="77777777" w:rsidR="00CD2D68" w:rsidRDefault="00CD2D68">
        <w:pPr>
          <w:pStyle w:val="Footer"/>
          <w:jc w:val="center"/>
        </w:pPr>
        <w:r>
          <w:fldChar w:fldCharType="begin"/>
        </w:r>
        <w:r>
          <w:instrText xml:space="preserve"> PAGE   \* MERGEFORMAT </w:instrText>
        </w:r>
        <w:r>
          <w:fldChar w:fldCharType="separate"/>
        </w:r>
        <w:r>
          <w:t>2</w:t>
        </w:r>
        <w:r>
          <w:fldChar w:fldCharType="end"/>
        </w:r>
      </w:p>
    </w:sdtContent>
  </w:sdt>
  <w:p w14:paraId="62489CD8" w14:textId="77777777" w:rsidR="00CD2D68" w:rsidRDefault="00CD2D68" w:rsidP="000D3C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F5C3E" w14:textId="77777777" w:rsidR="005130F2" w:rsidRDefault="005130F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38440655"/>
      <w:docPartObj>
        <w:docPartGallery w:val="Page Numbers (Bottom of Page)"/>
        <w:docPartUnique/>
      </w:docPartObj>
    </w:sdtPr>
    <w:sdtEndPr>
      <w:rPr>
        <w:noProof/>
      </w:rPr>
    </w:sdtEndPr>
    <w:sdtContent>
      <w:p w14:paraId="3A9A1BD5" w14:textId="2AC1B351" w:rsidR="00E84646" w:rsidRPr="007517B7" w:rsidRDefault="00E84646">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14:paraId="56D6A390" w14:textId="77777777" w:rsidR="005130F2" w:rsidRPr="007517B7" w:rsidRDefault="005130F2">
    <w:pPr>
      <w:pStyle w:val="Footer"/>
      <w:rPr>
        <w:rFonts w:ascii="Times New Roman" w:hAnsi="Times New Roman" w:cs="Times New Roman"/>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96734" w14:textId="77777777" w:rsidR="005130F2" w:rsidRDefault="00513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15C7E" w14:textId="77777777" w:rsidR="004065B1" w:rsidRDefault="004065B1" w:rsidP="0025611A">
      <w:pPr>
        <w:spacing w:after="0" w:line="240" w:lineRule="auto"/>
      </w:pPr>
      <w:r>
        <w:separator/>
      </w:r>
    </w:p>
  </w:footnote>
  <w:footnote w:type="continuationSeparator" w:id="0">
    <w:p w14:paraId="5EB0E716" w14:textId="77777777" w:rsidR="004065B1" w:rsidRDefault="004065B1" w:rsidP="0025611A">
      <w:pPr>
        <w:spacing w:after="0" w:line="240" w:lineRule="auto"/>
      </w:pPr>
      <w:r>
        <w:continuationSeparator/>
      </w:r>
    </w:p>
  </w:footnote>
  <w:footnote w:type="continuationNotice" w:id="1">
    <w:p w14:paraId="21B67007" w14:textId="77777777" w:rsidR="004065B1" w:rsidRDefault="004065B1">
      <w:pPr>
        <w:spacing w:after="0" w:line="240" w:lineRule="auto"/>
      </w:pPr>
    </w:p>
  </w:footnote>
  <w:footnote w:id="2">
    <w:p w14:paraId="1EC57384" w14:textId="51CFE2CA" w:rsidR="005C0ABA" w:rsidRPr="00E86A35" w:rsidRDefault="005C0ABA" w:rsidP="003B099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(CE, Euratom) nº 723/2004 du Conseil du 22 mars 2004 modifiant le statut des fonctionnaires des Communautés européennes ainsi que le régime applicable aux autres agents de ces Communautés, JO L 124 du 27.4.2004, ELI: </w:t>
      </w:r>
      <w:hyperlink r:id="rId1" w:history="1">
        <w:r>
          <w:rPr>
            <w:rStyle w:val="Hyperlink"/>
            <w:rFonts w:ascii="Times New Roman" w:hAnsi="Times New Roman"/>
          </w:rPr>
          <w:t>http://data.europa.eu/eli/reg/2004/723/oj</w:t>
        </w:r>
      </w:hyperlink>
      <w:r>
        <w:rPr>
          <w:rFonts w:ascii="Times New Roman" w:hAnsi="Times New Roman"/>
        </w:rPr>
        <w:t>.</w:t>
      </w:r>
    </w:p>
  </w:footnote>
  <w:footnote w:id="3">
    <w:p w14:paraId="23A5A278" w14:textId="0648CFA8" w:rsidR="005042AF" w:rsidRPr="00E86A35" w:rsidRDefault="005042AF" w:rsidP="00D45CA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Article 28 </w:t>
      </w:r>
      <w:r>
        <w:rPr>
          <w:rFonts w:ascii="Times New Roman" w:hAnsi="Times New Roman"/>
          <w:i/>
          <w:iCs/>
        </w:rPr>
        <w:t>bis</w:t>
      </w:r>
      <w:r>
        <w:rPr>
          <w:rFonts w:ascii="Times New Roman" w:hAnsi="Times New Roman"/>
        </w:rPr>
        <w:t xml:space="preserve"> du RAA tel qu’amendé par le règlement (UE, Euratom) nº 1023/2013 du Parlement européen et du Conseil du 22 octobre 2013, JO L 287 du 29.10.2013, ELI: </w:t>
      </w:r>
      <w:hyperlink r:id="rId2" w:tooltip="Donne accès à ce document par l’intermédiaire de son ELI URI." w:history="1">
        <w:r>
          <w:rPr>
            <w:rStyle w:val="Hyperlink"/>
            <w:rFonts w:ascii="Times New Roman" w:hAnsi="Times New Roman"/>
          </w:rPr>
          <w:t>http://data.europa.eu/eli/reg/2013/1023/oj</w:t>
        </w:r>
      </w:hyperlink>
      <w:r>
        <w:rPr>
          <w:rFonts w:ascii="Times New Roman" w:hAnsi="Times New Roman"/>
        </w:rPr>
        <w:t>.</w:t>
      </w:r>
    </w:p>
  </w:footnote>
  <w:footnote w:id="4">
    <w:p w14:paraId="091888FD" w14:textId="32530C3D" w:rsidR="005042AF" w:rsidRPr="00E86A35" w:rsidRDefault="005042AF" w:rsidP="00D45CAD">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Article 96 du RAA tel qu’amendé par le règlement (UE, Euratom) nº 1023/2013 du Parlement européen et du Conseil du 22 octobre 2013, JO L 287 du 29.10.2013, ELI: </w:t>
      </w:r>
      <w:hyperlink r:id="rId3" w:tooltip="Donne accès à ce document par l’intermédiaire de son ELI URI." w:history="1">
        <w:r>
          <w:rPr>
            <w:rStyle w:val="Hyperlink"/>
            <w:rFonts w:ascii="Times New Roman" w:hAnsi="Times New Roman"/>
          </w:rPr>
          <w:t>http://data.europa.eu/eli/reg/2013/1023/oj</w:t>
        </w:r>
      </w:hyperlink>
      <w:r>
        <w:rPr>
          <w:rFonts w:ascii="Times New Roman" w:hAnsi="Times New Roman"/>
        </w:rPr>
        <w:t>.</w:t>
      </w:r>
    </w:p>
  </w:footnote>
  <w:footnote w:id="5">
    <w:p w14:paraId="449F3325" w14:textId="65A39A33" w:rsidR="005042AF" w:rsidRPr="00EC46E0" w:rsidRDefault="005042AF" w:rsidP="00D45CAD">
      <w:pPr>
        <w:pStyle w:val="FootnoteText"/>
        <w:jc w:val="both"/>
        <w:rPr>
          <w:rFonts w:eastAsia="Calibri"/>
        </w:rPr>
      </w:pPr>
      <w:r>
        <w:rPr>
          <w:rStyle w:val="FootnoteReference"/>
          <w:rFonts w:ascii="Times New Roman" w:hAnsi="Times New Roman" w:cs="Times New Roman"/>
        </w:rPr>
        <w:footnoteRef/>
      </w:r>
      <w:r>
        <w:rPr>
          <w:rFonts w:ascii="Times New Roman" w:hAnsi="Times New Roman"/>
        </w:rPr>
        <w:t xml:space="preserve"> Règlement (CE) nº 780/2009 de la Commission du 27 août 2009 fixant les dispositions d’exécution de l’article 28 </w:t>
      </w:r>
      <w:r>
        <w:rPr>
          <w:rFonts w:ascii="Times New Roman" w:hAnsi="Times New Roman"/>
          <w:i/>
          <w:iCs/>
        </w:rPr>
        <w:t>bis</w:t>
      </w:r>
      <w:r>
        <w:rPr>
          <w:rFonts w:ascii="Times New Roman" w:hAnsi="Times New Roman"/>
        </w:rPr>
        <w:t>, paragraphe 2, troisième alinéa, et de l’article 96, paragraphe 2, troisième alinéa, du régime applicable aux autres agents des Communautés européennes (RAA), JO L 226 du 28.8.2009, ELI: </w:t>
      </w:r>
      <w:hyperlink r:id="rId4" w:tooltip="Donne accès à ce document par l’intermédiaire de son ELI URI." w:history="1">
        <w:r>
          <w:rPr>
            <w:rStyle w:val="Hyperlink"/>
            <w:rFonts w:ascii="Times New Roman" w:hAnsi="Times New Roman"/>
          </w:rPr>
          <w:t>http://data.europa.eu/eli/reg/2009/780/oj</w:t>
        </w:r>
      </w:hyperlink>
      <w:r>
        <w:rPr>
          <w:rFonts w:ascii="Times New Roman" w:hAnsi="Times New Roman"/>
        </w:rPr>
        <w:t>.</w:t>
      </w:r>
    </w:p>
  </w:footnote>
  <w:footnote w:id="6">
    <w:p w14:paraId="77F40CEE" w14:textId="46DC8570" w:rsidR="005042AF" w:rsidRPr="00E86A35" w:rsidRDefault="005042AF" w:rsidP="00D45CA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Réglementation de la Commission du 14 juillet 1988, après commun accord constaté par le président de la Cour de justice le 4 juillet 1989, fixant les modalités d’application des dispositions relatives à l’octroi de l’allocation de chômage aux agents temporaires en exécution de l’article 28 </w:t>
      </w:r>
      <w:r>
        <w:rPr>
          <w:rFonts w:ascii="Times New Roman" w:hAnsi="Times New Roman"/>
          <w:i/>
          <w:iCs/>
        </w:rPr>
        <w:t>bis</w:t>
      </w:r>
      <w:r>
        <w:rPr>
          <w:rFonts w:ascii="Times New Roman" w:hAnsi="Times New Roman"/>
        </w:rPr>
        <w:t>, paragraphe 10, du RAA.</w:t>
      </w:r>
    </w:p>
  </w:footnote>
  <w:footnote w:id="7">
    <w:p w14:paraId="10DE8878" w14:textId="2B83D372" w:rsidR="00036473" w:rsidRPr="00E86A35" w:rsidRDefault="00036473" w:rsidP="0003647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réforme du statut des fonctionnaires et du RAA, entrée en vigueur le 1</w:t>
      </w:r>
      <w:r>
        <w:rPr>
          <w:rFonts w:ascii="Times New Roman" w:hAnsi="Times New Roman"/>
          <w:vertAlign w:val="superscript"/>
        </w:rPr>
        <w:t>er</w:t>
      </w:r>
      <w:r>
        <w:rPr>
          <w:rFonts w:ascii="Times New Roman" w:hAnsi="Times New Roman"/>
        </w:rPr>
        <w:t> mai 2004, a modifié la base juridique qui régissait l’éligibilité au régime d’assurance contre le chômage ainsi que les règles de contribution à ce dernier, et ce, depuis 1985. Une nouvelle réforme, entrée en vigueur en janvier 2014, a prolongé la durée maximale des contrats des agents contractuels.</w:t>
      </w:r>
    </w:p>
  </w:footnote>
  <w:footnote w:id="8">
    <w:p w14:paraId="1EC170A4" w14:textId="7962EC49" w:rsidR="004C3532" w:rsidRPr="00E86A35" w:rsidRDefault="004C3532" w:rsidP="00545A4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RAPPORT DE LA COMMISSION AU PARLEMENT EUROPÉEN ET AU CONSEIL — Rapport 2017-2022 sur la situation financière du régime d’assurance contre le chômage en faveur des anciens agents temporaires ou contractuels et des assistants parlementaires se trouvant sans emploi après la cessation de leurs fonctions auprès d’une institution de l’Union européenne [COM(2024) 54 du 6 février 2024].</w:t>
      </w:r>
    </w:p>
  </w:footnote>
  <w:footnote w:id="9">
    <w:p w14:paraId="23BAE9AE" w14:textId="23D3EACA" w:rsidR="00DA61D3" w:rsidRPr="00E86A35" w:rsidRDefault="00DA61D3" w:rsidP="000911EF">
      <w:pPr>
        <w:pStyle w:val="FootnoteText"/>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Règlement délégué (UE) 2025/101 de la Commission du 27 novembre 2024 adaptant les contributions au financement du Fonds spécial de chômage prévues aux articles 28 </w:t>
      </w:r>
      <w:r>
        <w:rPr>
          <w:rFonts w:ascii="Times New Roman" w:hAnsi="Times New Roman"/>
          <w:i/>
          <w:iCs/>
        </w:rPr>
        <w:t>bis</w:t>
      </w:r>
      <w:r>
        <w:rPr>
          <w:rFonts w:ascii="Times New Roman" w:hAnsi="Times New Roman"/>
        </w:rPr>
        <w:t xml:space="preserve"> et 96 du régime applicable aux autres agents, JO L, 2025/101, 31.1.2025, ELI: </w:t>
      </w:r>
      <w:hyperlink r:id="rId5" w:tgtFrame="_blank" w:tooltip="Donne accès à ce document par l’intermédiaire de son ELI URI." w:history="1">
        <w:r>
          <w:rPr>
            <w:rStyle w:val="Hyperlink"/>
            <w:rFonts w:ascii="Times New Roman" w:hAnsi="Times New Roman"/>
          </w:rPr>
          <w:t>http://data.europa.eu/eli/reg_del/2025/101/oj</w:t>
        </w:r>
      </w:hyperlink>
      <w:r>
        <w:rPr>
          <w:rFonts w:ascii="Times New Roman" w:hAnsi="Times New Roman"/>
        </w:rPr>
        <w:t>.</w:t>
      </w:r>
    </w:p>
  </w:footnote>
  <w:footnote w:id="10">
    <w:p w14:paraId="60F8DFCC" w14:textId="09140CB7" w:rsidR="001363FB" w:rsidRPr="00E86A35" w:rsidRDefault="001363FB" w:rsidP="001363FB">
      <w:pPr>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Pour information, les cotisations au RCAM s’élevaient à 1 636 067,14 EUR en 2021 et à 1 209 776,99 EUR en 2022. Ces chiffres sont déjà compris dans la ligne relative aux allocations de chômage. Les données ne sont plus présentées séparément pour les deux dernières années, car ces contributions sont désormais payées en même temps que les autres composantes de l’allocation de chômage (plus de 15) et ne constituent pas un élément distinct, payé par une procédure manuelle.</w:t>
      </w:r>
    </w:p>
    <w:p w14:paraId="46AE7923" w14:textId="77777777" w:rsidR="001363FB" w:rsidRPr="00E86A35" w:rsidRDefault="001363FB" w:rsidP="001363FB">
      <w:pPr>
        <w:pStyle w:val="FootnoteText"/>
        <w:rPr>
          <w:rFonts w:ascii="Times New Roman" w:hAnsi="Times New Roman" w:cs="Times New Roman"/>
        </w:rPr>
      </w:pPr>
    </w:p>
  </w:footnote>
  <w:footnote w:id="11">
    <w:p w14:paraId="5551AEE6" w14:textId="265E2176" w:rsidR="007E7064" w:rsidRPr="00E86A35" w:rsidRDefault="007E7064" w:rsidP="00651A4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Article 127, paragraphe 6 de l’accord sur le retrait du Royaume-Uni de Grande-Bretagne et d’Irlande du Nord de l’Union européenne et de la Communauté européenne de l’énergie atomique, JO L 29 du 31.1.2020, p. 7, ELI: </w:t>
      </w:r>
      <w:hyperlink r:id="rId6" w:tooltip="Donne accès à ce document par l’intermédiaire de son ELI URI." w:history="1">
        <w:r>
          <w:rPr>
            <w:rStyle w:val="Hyperlink"/>
            <w:rFonts w:ascii="Times New Roman" w:hAnsi="Times New Roman"/>
          </w:rPr>
          <w:t>http://data.europa.eu/eli/treaty/withd_2020/sign</w:t>
        </w:r>
      </w:hyperlink>
      <w:r>
        <w:rPr>
          <w:rFonts w:ascii="Times New Roman" w:hAnsi="Times New Roman"/>
        </w:rPr>
        <w:t>.</w:t>
      </w:r>
    </w:p>
  </w:footnote>
  <w:footnote w:id="12">
    <w:p w14:paraId="31C96792" w14:textId="6767F8C4" w:rsidR="00334A0F" w:rsidRPr="00E86A35" w:rsidRDefault="00334A0F" w:rsidP="00651A4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Accord sur le retrait du Royaume-Uni de Grande-Bretagne et d’Irlande du Nord de l’Union européenne et de la Communauté européenne de l’énergie atomique, JO L 29 du 31.1.2020, p. 7, ELI: </w:t>
      </w:r>
      <w:hyperlink r:id="rId7" w:tooltip="Donne accès à ce document par l’intermédiaire de son ELI URI." w:history="1">
        <w:r>
          <w:rPr>
            <w:rStyle w:val="Hyperlink"/>
            <w:rFonts w:ascii="Times New Roman" w:hAnsi="Times New Roman"/>
          </w:rPr>
          <w:t>http://data.europa.eu/eli/treaty/withd_2020/sign</w:t>
        </w:r>
      </w:hyperlink>
      <w:r>
        <w:rPr>
          <w:rFonts w:ascii="Times New Roman" w:hAnsi="Times New Roman"/>
        </w:rPr>
        <w:t>,</w:t>
      </w:r>
    </w:p>
  </w:footnote>
  <w:footnote w:id="13">
    <w:p w14:paraId="126018AF" w14:textId="6709C37B" w:rsidR="00810F44" w:rsidRPr="00E86A35" w:rsidRDefault="00810F44" w:rsidP="00680D5E">
      <w:pPr>
        <w:pStyle w:val="FootnoteText"/>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Règlement délégué (UE) 2025/101 de la Commission du 27 novembre 2024 adaptant les contributions au financement du Fonds spécial de chômage prévues aux articles 28 </w:t>
      </w:r>
      <w:r>
        <w:rPr>
          <w:rFonts w:ascii="Times New Roman" w:hAnsi="Times New Roman"/>
          <w:i/>
          <w:iCs/>
        </w:rPr>
        <w:t>bis</w:t>
      </w:r>
      <w:r>
        <w:rPr>
          <w:rFonts w:ascii="Times New Roman" w:hAnsi="Times New Roman"/>
        </w:rPr>
        <w:t xml:space="preserve"> et 96 du régime applicable aux autres agents, JO L, 2025/101, 31.1.2025, ELI: </w:t>
      </w:r>
      <w:hyperlink r:id="rId8" w:tgtFrame="_blank" w:tooltip="Donne accès à ce document par l’intermédiaire de son ELI URI." w:history="1">
        <w:r>
          <w:rPr>
            <w:rStyle w:val="Hyperlink"/>
            <w:rFonts w:ascii="Times New Roman" w:hAnsi="Times New Roman"/>
          </w:rPr>
          <w:t>http://data.europa.eu/eli/reg_del/2025/101/oj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48692" w14:textId="77777777" w:rsidR="00D96C63" w:rsidRPr="00D96C63" w:rsidRDefault="00D96C63" w:rsidP="00D96C6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C1221" w14:textId="77777777" w:rsidR="00D96C63" w:rsidRPr="00D96C63" w:rsidRDefault="00D96C63" w:rsidP="00D96C6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F5151" w14:textId="77777777" w:rsidR="00D96C63" w:rsidRPr="00D96C63" w:rsidRDefault="00D96C63" w:rsidP="00D96C6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369FB" w14:textId="77777777" w:rsidR="00DE56F9" w:rsidRDefault="00DE56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EF4C6C" w14:paraId="73190C58" w14:textId="77777777" w:rsidTr="000D3CCA">
      <w:trPr>
        <w:trHeight w:val="300"/>
      </w:trPr>
      <w:tc>
        <w:tcPr>
          <w:tcW w:w="3005" w:type="dxa"/>
        </w:tcPr>
        <w:p w14:paraId="41CD028C" w14:textId="77777777" w:rsidR="00EF4C6C" w:rsidRDefault="00EF4C6C" w:rsidP="000D3CCA">
          <w:pPr>
            <w:pStyle w:val="Header"/>
            <w:ind w:left="-115"/>
          </w:pPr>
        </w:p>
      </w:tc>
      <w:tc>
        <w:tcPr>
          <w:tcW w:w="3005" w:type="dxa"/>
        </w:tcPr>
        <w:p w14:paraId="70E7989E" w14:textId="77777777" w:rsidR="00EF4C6C" w:rsidRDefault="00EF4C6C" w:rsidP="000D3CCA">
          <w:pPr>
            <w:pStyle w:val="Header"/>
            <w:jc w:val="center"/>
          </w:pPr>
        </w:p>
      </w:tc>
      <w:tc>
        <w:tcPr>
          <w:tcW w:w="3005" w:type="dxa"/>
        </w:tcPr>
        <w:p w14:paraId="7FD6EB97" w14:textId="77777777" w:rsidR="00EF4C6C" w:rsidRDefault="00EF4C6C" w:rsidP="000D3CCA">
          <w:pPr>
            <w:pStyle w:val="Header"/>
            <w:ind w:right="-115"/>
            <w:jc w:val="right"/>
          </w:pPr>
        </w:p>
      </w:tc>
    </w:tr>
  </w:tbl>
  <w:p w14:paraId="22FB7BFD" w14:textId="77777777" w:rsidR="00EF4C6C" w:rsidRDefault="00EF4C6C" w:rsidP="000D3C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AEC97" w14:textId="77777777" w:rsidR="006D4A1E" w:rsidRDefault="006D4A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CD2D68" w14:paraId="084C458F" w14:textId="77777777" w:rsidTr="000D3CCA">
      <w:trPr>
        <w:trHeight w:val="300"/>
      </w:trPr>
      <w:tc>
        <w:tcPr>
          <w:tcW w:w="3005" w:type="dxa"/>
        </w:tcPr>
        <w:p w14:paraId="7947BBF2" w14:textId="77777777" w:rsidR="00CD2D68" w:rsidRDefault="00CD2D68" w:rsidP="000D3CCA">
          <w:pPr>
            <w:pStyle w:val="Header"/>
            <w:ind w:left="-115"/>
          </w:pPr>
        </w:p>
      </w:tc>
      <w:tc>
        <w:tcPr>
          <w:tcW w:w="3005" w:type="dxa"/>
        </w:tcPr>
        <w:p w14:paraId="50023DE8" w14:textId="77777777" w:rsidR="00CD2D68" w:rsidRDefault="00CD2D68" w:rsidP="000D3CCA">
          <w:pPr>
            <w:pStyle w:val="Header"/>
            <w:jc w:val="center"/>
          </w:pPr>
        </w:p>
      </w:tc>
      <w:tc>
        <w:tcPr>
          <w:tcW w:w="3005" w:type="dxa"/>
        </w:tcPr>
        <w:p w14:paraId="010DC507" w14:textId="77777777" w:rsidR="00CD2D68" w:rsidRDefault="00CD2D68" w:rsidP="000D3CCA">
          <w:pPr>
            <w:pStyle w:val="Header"/>
            <w:ind w:right="-115"/>
            <w:jc w:val="right"/>
          </w:pPr>
        </w:p>
      </w:tc>
    </w:tr>
  </w:tbl>
  <w:p w14:paraId="71153246" w14:textId="77777777" w:rsidR="00CD2D68" w:rsidRDefault="00CD2D68" w:rsidP="000D3C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CD2D68" w14:paraId="0E6E92A8" w14:textId="77777777" w:rsidTr="000D3CCA">
      <w:trPr>
        <w:trHeight w:val="300"/>
      </w:trPr>
      <w:tc>
        <w:tcPr>
          <w:tcW w:w="3005" w:type="dxa"/>
        </w:tcPr>
        <w:p w14:paraId="6D504E3A" w14:textId="77777777" w:rsidR="00CD2D68" w:rsidRDefault="00CD2D68" w:rsidP="000D3CCA">
          <w:pPr>
            <w:pStyle w:val="Header"/>
            <w:ind w:left="-115"/>
          </w:pPr>
        </w:p>
      </w:tc>
      <w:tc>
        <w:tcPr>
          <w:tcW w:w="3005" w:type="dxa"/>
        </w:tcPr>
        <w:p w14:paraId="3CD5F178" w14:textId="77777777" w:rsidR="00CD2D68" w:rsidRDefault="00CD2D68" w:rsidP="000D3CCA">
          <w:pPr>
            <w:pStyle w:val="Header"/>
            <w:jc w:val="center"/>
          </w:pPr>
        </w:p>
      </w:tc>
      <w:tc>
        <w:tcPr>
          <w:tcW w:w="3005" w:type="dxa"/>
        </w:tcPr>
        <w:p w14:paraId="769D5FBB" w14:textId="77777777" w:rsidR="00CD2D68" w:rsidRDefault="00CD2D68" w:rsidP="000D3CCA">
          <w:pPr>
            <w:pStyle w:val="Header"/>
            <w:ind w:right="-115"/>
            <w:jc w:val="right"/>
          </w:pPr>
        </w:p>
      </w:tc>
    </w:tr>
  </w:tbl>
  <w:p w14:paraId="42FCE51D" w14:textId="77777777" w:rsidR="00CD2D68" w:rsidRDefault="00CD2D68" w:rsidP="000D3CC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E5D3E" w14:textId="77777777" w:rsidR="005130F2" w:rsidRDefault="005130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7F55B" w14:textId="77777777" w:rsidR="005130F2" w:rsidRDefault="005130F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DD907" w14:textId="77777777" w:rsidR="005130F2" w:rsidRDefault="005130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5A30"/>
    <w:multiLevelType w:val="hybridMultilevel"/>
    <w:tmpl w:val="13B4676E"/>
    <w:lvl w:ilvl="0" w:tplc="4056A6A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503445"/>
    <w:multiLevelType w:val="hybridMultilevel"/>
    <w:tmpl w:val="8FEE1FF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193F36"/>
    <w:multiLevelType w:val="multilevel"/>
    <w:tmpl w:val="DAD80C94"/>
    <w:lvl w:ilvl="0">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1D02536"/>
    <w:multiLevelType w:val="multilevel"/>
    <w:tmpl w:val="7AFC7D0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4735A7B"/>
    <w:multiLevelType w:val="hybridMultilevel"/>
    <w:tmpl w:val="971C8CA6"/>
    <w:lvl w:ilvl="0" w:tplc="B74091FA">
      <w:start w:val="4"/>
      <w:numFmt w:val="decimal"/>
      <w:lvlText w:val="%1."/>
      <w:lvlJc w:val="left"/>
      <w:pPr>
        <w:ind w:left="720" w:hanging="360"/>
      </w:pPr>
      <w:rPr>
        <w:rFonts w:cstheme="maj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CB0DA3"/>
    <w:multiLevelType w:val="hybridMultilevel"/>
    <w:tmpl w:val="BD34E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807106"/>
    <w:multiLevelType w:val="multilevel"/>
    <w:tmpl w:val="E5A8F0BE"/>
    <w:styleLink w:val="CurrentList1"/>
    <w:lvl w:ilvl="0">
      <w:start w:val="2"/>
      <w:numFmt w:val="decimal"/>
      <w:lvlText w:val="%1."/>
      <w:lvlJc w:val="left"/>
      <w:pPr>
        <w:ind w:left="360" w:hanging="360"/>
      </w:pPr>
      <w:rPr>
        <w:rFonts w:hint="default"/>
      </w:rPr>
    </w:lvl>
    <w:lvl w:ilvl="1">
      <w:start w:val="1"/>
      <w:numFmt w:val="decimal"/>
      <w:isLgl/>
      <w:lvlText w:val="%1.%2"/>
      <w:lvlJc w:val="left"/>
      <w:pPr>
        <w:ind w:left="3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1C61DB2"/>
    <w:multiLevelType w:val="multilevel"/>
    <w:tmpl w:val="B4D027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DF4AF5"/>
    <w:multiLevelType w:val="multilevel"/>
    <w:tmpl w:val="DAD80C94"/>
    <w:lvl w:ilvl="0">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B233F4"/>
    <w:multiLevelType w:val="hybridMultilevel"/>
    <w:tmpl w:val="8FEE1FF4"/>
    <w:lvl w:ilvl="0" w:tplc="2DB02FE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1F68C3"/>
    <w:multiLevelType w:val="hybridMultilevel"/>
    <w:tmpl w:val="0DB2E164"/>
    <w:lvl w:ilvl="0" w:tplc="41A830F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56A1BD3"/>
    <w:multiLevelType w:val="hybridMultilevel"/>
    <w:tmpl w:val="192CFA0E"/>
    <w:lvl w:ilvl="0" w:tplc="9968AC3A">
      <w:start w:val="1"/>
      <w:numFmt w:val="decimal"/>
      <w:lvlText w:val="%1)"/>
      <w:lvlJc w:val="left"/>
      <w:pPr>
        <w:ind w:left="720" w:hanging="360"/>
      </w:pPr>
      <w:rPr>
        <w:rFonts w:ascii="Times New Roman" w:eastAsiaTheme="minorHAnsi" w:hAnsi="Times New Roman" w:cs="Times New Roman"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F6482B"/>
    <w:multiLevelType w:val="hybridMultilevel"/>
    <w:tmpl w:val="7A9645D4"/>
    <w:lvl w:ilvl="0" w:tplc="1809000F">
      <w:start w:val="2"/>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0C4E36"/>
    <w:multiLevelType w:val="hybridMultilevel"/>
    <w:tmpl w:val="852448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1927B15"/>
    <w:multiLevelType w:val="multilevel"/>
    <w:tmpl w:val="37984BEE"/>
    <w:lvl w:ilvl="0">
      <w:start w:val="4"/>
      <w:numFmt w:val="decimal"/>
      <w:lvlText w:val="%1"/>
      <w:lvlJc w:val="left"/>
      <w:pPr>
        <w:ind w:left="360" w:hanging="360"/>
      </w:pPr>
      <w:rPr>
        <w:rFonts w:eastAsiaTheme="minorHAnsi" w:hint="default"/>
        <w:color w:val="0563C1" w:themeColor="hyperlink"/>
        <w:sz w:val="22"/>
        <w:u w:val="single"/>
      </w:rPr>
    </w:lvl>
    <w:lvl w:ilvl="1">
      <w:start w:val="2"/>
      <w:numFmt w:val="decimal"/>
      <w:lvlText w:val="%1.%2"/>
      <w:lvlJc w:val="left"/>
      <w:pPr>
        <w:ind w:left="940" w:hanging="720"/>
      </w:pPr>
      <w:rPr>
        <w:rFonts w:eastAsiaTheme="minorHAnsi" w:hint="default"/>
        <w:color w:val="0563C1" w:themeColor="hyperlink"/>
        <w:sz w:val="22"/>
        <w:u w:val="single"/>
      </w:rPr>
    </w:lvl>
    <w:lvl w:ilvl="2">
      <w:start w:val="1"/>
      <w:numFmt w:val="decimal"/>
      <w:lvlText w:val="%1.%2.%3"/>
      <w:lvlJc w:val="left"/>
      <w:pPr>
        <w:ind w:left="1160" w:hanging="720"/>
      </w:pPr>
      <w:rPr>
        <w:rFonts w:eastAsiaTheme="minorHAnsi" w:hint="default"/>
        <w:color w:val="0563C1" w:themeColor="hyperlink"/>
        <w:sz w:val="22"/>
        <w:u w:val="single"/>
      </w:rPr>
    </w:lvl>
    <w:lvl w:ilvl="3">
      <w:start w:val="1"/>
      <w:numFmt w:val="decimal"/>
      <w:lvlText w:val="%1.%2.%3.%4"/>
      <w:lvlJc w:val="left"/>
      <w:pPr>
        <w:ind w:left="1740" w:hanging="1080"/>
      </w:pPr>
      <w:rPr>
        <w:rFonts w:eastAsiaTheme="minorHAnsi" w:hint="default"/>
        <w:color w:val="0563C1" w:themeColor="hyperlink"/>
        <w:sz w:val="22"/>
        <w:u w:val="single"/>
      </w:rPr>
    </w:lvl>
    <w:lvl w:ilvl="4">
      <w:start w:val="1"/>
      <w:numFmt w:val="decimal"/>
      <w:lvlText w:val="%1.%2.%3.%4.%5"/>
      <w:lvlJc w:val="left"/>
      <w:pPr>
        <w:ind w:left="2320" w:hanging="1440"/>
      </w:pPr>
      <w:rPr>
        <w:rFonts w:eastAsiaTheme="minorHAnsi" w:hint="default"/>
        <w:color w:val="0563C1" w:themeColor="hyperlink"/>
        <w:sz w:val="22"/>
        <w:u w:val="single"/>
      </w:rPr>
    </w:lvl>
    <w:lvl w:ilvl="5">
      <w:start w:val="1"/>
      <w:numFmt w:val="decimal"/>
      <w:lvlText w:val="%1.%2.%3.%4.%5.%6"/>
      <w:lvlJc w:val="left"/>
      <w:pPr>
        <w:ind w:left="2540" w:hanging="1440"/>
      </w:pPr>
      <w:rPr>
        <w:rFonts w:eastAsiaTheme="minorHAnsi" w:hint="default"/>
        <w:color w:val="0563C1" w:themeColor="hyperlink"/>
        <w:sz w:val="22"/>
        <w:u w:val="single"/>
      </w:rPr>
    </w:lvl>
    <w:lvl w:ilvl="6">
      <w:start w:val="1"/>
      <w:numFmt w:val="decimal"/>
      <w:lvlText w:val="%1.%2.%3.%4.%5.%6.%7"/>
      <w:lvlJc w:val="left"/>
      <w:pPr>
        <w:ind w:left="3120" w:hanging="1800"/>
      </w:pPr>
      <w:rPr>
        <w:rFonts w:eastAsiaTheme="minorHAnsi" w:hint="default"/>
        <w:color w:val="0563C1" w:themeColor="hyperlink"/>
        <w:sz w:val="22"/>
        <w:u w:val="single"/>
      </w:rPr>
    </w:lvl>
    <w:lvl w:ilvl="7">
      <w:start w:val="1"/>
      <w:numFmt w:val="decimal"/>
      <w:lvlText w:val="%1.%2.%3.%4.%5.%6.%7.%8"/>
      <w:lvlJc w:val="left"/>
      <w:pPr>
        <w:ind w:left="3700" w:hanging="2160"/>
      </w:pPr>
      <w:rPr>
        <w:rFonts w:eastAsiaTheme="minorHAnsi" w:hint="default"/>
        <w:color w:val="0563C1" w:themeColor="hyperlink"/>
        <w:sz w:val="22"/>
        <w:u w:val="single"/>
      </w:rPr>
    </w:lvl>
    <w:lvl w:ilvl="8">
      <w:start w:val="1"/>
      <w:numFmt w:val="decimal"/>
      <w:lvlText w:val="%1.%2.%3.%4.%5.%6.%7.%8.%9"/>
      <w:lvlJc w:val="left"/>
      <w:pPr>
        <w:ind w:left="3920" w:hanging="2160"/>
      </w:pPr>
      <w:rPr>
        <w:rFonts w:eastAsiaTheme="minorHAnsi" w:hint="default"/>
        <w:color w:val="0563C1" w:themeColor="hyperlink"/>
        <w:sz w:val="22"/>
        <w:u w:val="single"/>
      </w:rPr>
    </w:lvl>
  </w:abstractNum>
  <w:abstractNum w:abstractNumId="16" w15:restartNumberingAfterBreak="0">
    <w:nsid w:val="33AC01B6"/>
    <w:multiLevelType w:val="hybridMultilevel"/>
    <w:tmpl w:val="A58C6A8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7224CCB"/>
    <w:multiLevelType w:val="hybridMultilevel"/>
    <w:tmpl w:val="DAB02B98"/>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7F02418"/>
    <w:multiLevelType w:val="multilevel"/>
    <w:tmpl w:val="CA98AA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331B8B"/>
    <w:multiLevelType w:val="hybridMultilevel"/>
    <w:tmpl w:val="5CCC7308"/>
    <w:lvl w:ilvl="0" w:tplc="67E8AD4A">
      <w:start w:val="22"/>
      <w:numFmt w:val="decimal"/>
      <w:lvlText w:val="%1."/>
      <w:lvlJc w:val="left"/>
      <w:pPr>
        <w:ind w:left="390" w:hanging="360"/>
      </w:pPr>
      <w:rPr>
        <w:rFonts w:hint="default"/>
      </w:rPr>
    </w:lvl>
    <w:lvl w:ilvl="1" w:tplc="18090019">
      <w:start w:val="1"/>
      <w:numFmt w:val="lowerLetter"/>
      <w:lvlText w:val="%2."/>
      <w:lvlJc w:val="left"/>
      <w:pPr>
        <w:ind w:left="1110" w:hanging="360"/>
      </w:pPr>
    </w:lvl>
    <w:lvl w:ilvl="2" w:tplc="1809001B" w:tentative="1">
      <w:start w:val="1"/>
      <w:numFmt w:val="lowerRoman"/>
      <w:lvlText w:val="%3."/>
      <w:lvlJc w:val="right"/>
      <w:pPr>
        <w:ind w:left="1830" w:hanging="180"/>
      </w:pPr>
    </w:lvl>
    <w:lvl w:ilvl="3" w:tplc="1809000F" w:tentative="1">
      <w:start w:val="1"/>
      <w:numFmt w:val="decimal"/>
      <w:lvlText w:val="%4."/>
      <w:lvlJc w:val="left"/>
      <w:pPr>
        <w:ind w:left="2550" w:hanging="360"/>
      </w:pPr>
    </w:lvl>
    <w:lvl w:ilvl="4" w:tplc="18090019" w:tentative="1">
      <w:start w:val="1"/>
      <w:numFmt w:val="lowerLetter"/>
      <w:lvlText w:val="%5."/>
      <w:lvlJc w:val="left"/>
      <w:pPr>
        <w:ind w:left="3270" w:hanging="360"/>
      </w:pPr>
    </w:lvl>
    <w:lvl w:ilvl="5" w:tplc="1809001B" w:tentative="1">
      <w:start w:val="1"/>
      <w:numFmt w:val="lowerRoman"/>
      <w:lvlText w:val="%6."/>
      <w:lvlJc w:val="right"/>
      <w:pPr>
        <w:ind w:left="3990" w:hanging="180"/>
      </w:pPr>
    </w:lvl>
    <w:lvl w:ilvl="6" w:tplc="1809000F" w:tentative="1">
      <w:start w:val="1"/>
      <w:numFmt w:val="decimal"/>
      <w:lvlText w:val="%7."/>
      <w:lvlJc w:val="left"/>
      <w:pPr>
        <w:ind w:left="4710" w:hanging="360"/>
      </w:pPr>
    </w:lvl>
    <w:lvl w:ilvl="7" w:tplc="18090019" w:tentative="1">
      <w:start w:val="1"/>
      <w:numFmt w:val="lowerLetter"/>
      <w:lvlText w:val="%8."/>
      <w:lvlJc w:val="left"/>
      <w:pPr>
        <w:ind w:left="5430" w:hanging="360"/>
      </w:pPr>
    </w:lvl>
    <w:lvl w:ilvl="8" w:tplc="1809001B" w:tentative="1">
      <w:start w:val="1"/>
      <w:numFmt w:val="lowerRoman"/>
      <w:lvlText w:val="%9."/>
      <w:lvlJc w:val="right"/>
      <w:pPr>
        <w:ind w:left="6150" w:hanging="180"/>
      </w:pPr>
    </w:lvl>
  </w:abstractNum>
  <w:abstractNum w:abstractNumId="20" w15:restartNumberingAfterBreak="0">
    <w:nsid w:val="41B85F90"/>
    <w:multiLevelType w:val="hybridMultilevel"/>
    <w:tmpl w:val="D2A0C6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C743465"/>
    <w:multiLevelType w:val="multilevel"/>
    <w:tmpl w:val="DAD80C94"/>
    <w:lvl w:ilvl="0">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CC5705"/>
    <w:multiLevelType w:val="hybridMultilevel"/>
    <w:tmpl w:val="4E928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7150DA2"/>
    <w:multiLevelType w:val="multilevel"/>
    <w:tmpl w:val="6570FD8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1B74C43"/>
    <w:multiLevelType w:val="multilevel"/>
    <w:tmpl w:val="DA928B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2A43C1E"/>
    <w:multiLevelType w:val="multilevel"/>
    <w:tmpl w:val="1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2"/>
  </w:num>
  <w:num w:numId="2">
    <w:abstractNumId w:val="14"/>
  </w:num>
  <w:num w:numId="3">
    <w:abstractNumId w:val="14"/>
  </w:num>
  <w:num w:numId="4">
    <w:abstractNumId w:val="14"/>
  </w:num>
  <w:num w:numId="5">
    <w:abstractNumId w:val="8"/>
  </w:num>
  <w:num w:numId="6">
    <w:abstractNumId w:val="21"/>
  </w:num>
  <w:num w:numId="7">
    <w:abstractNumId w:val="23"/>
  </w:num>
  <w:num w:numId="8">
    <w:abstractNumId w:val="10"/>
  </w:num>
  <w:num w:numId="9">
    <w:abstractNumId w:val="16"/>
  </w:num>
  <w:num w:numId="10">
    <w:abstractNumId w:val="11"/>
  </w:num>
  <w:num w:numId="11">
    <w:abstractNumId w:val="0"/>
  </w:num>
  <w:num w:numId="12">
    <w:abstractNumId w:val="20"/>
  </w:num>
  <w:num w:numId="13">
    <w:abstractNumId w:val="22"/>
  </w:num>
  <w:num w:numId="14">
    <w:abstractNumId w:val="17"/>
  </w:num>
  <w:num w:numId="15">
    <w:abstractNumId w:val="9"/>
  </w:num>
  <w:num w:numId="16">
    <w:abstractNumId w:val="1"/>
  </w:num>
  <w:num w:numId="17">
    <w:abstractNumId w:val="25"/>
  </w:num>
  <w:num w:numId="18">
    <w:abstractNumId w:val="19"/>
  </w:num>
  <w:num w:numId="19">
    <w:abstractNumId w:val="6"/>
  </w:num>
  <w:num w:numId="20">
    <w:abstractNumId w:val="12"/>
  </w:num>
  <w:num w:numId="21">
    <w:abstractNumId w:val="18"/>
  </w:num>
  <w:num w:numId="22">
    <w:abstractNumId w:val="7"/>
  </w:num>
  <w:num w:numId="23">
    <w:abstractNumId w:val="4"/>
  </w:num>
  <w:num w:numId="24">
    <w:abstractNumId w:val="15"/>
  </w:num>
  <w:num w:numId="25">
    <w:abstractNumId w:val="3"/>
  </w:num>
  <w:num w:numId="26">
    <w:abstractNumId w:val="13"/>
  </w:num>
  <w:num w:numId="27">
    <w:abstractNumId w:val="5"/>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097B472-0FD0-495A-B0B9-A2749745D8F0"/>
    <w:docVar w:name="LW_COVERPAGE_TYPE" w:val="1"/>
    <w:docVar w:name="LW_CROSSREFERENCE" w:val="&lt;UNUSED&gt;"/>
    <w:docVar w:name="LW_DocType" w:val="NORMAL"/>
    <w:docVar w:name="LW_EMISSION" w:val="8.7.2026"/>
    <w:docVar w:name="LW_EMISSION_ISODATE" w:val="2026-07-0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2019-2024 sur la situation financière du régime d\u8217?assurance contre le chômage en faveur des anciens agents temporaires ou contractuels et des assistants parlementaires se trouvant sans emploi après la cessation de leurs fonctions auprès d\u8217?une institution de l\u8217?Union européenne"/>
    <w:docVar w:name="LW_TYPE.DOC.CP" w:val="RAPPORT DE LA COMMISSION AU PARLEMENT EUROPÉEN ET AU CONSEIL"/>
    <w:docVar w:name="LwApiVersions" w:val="LW4CoDe 1.24.5.0; LW 9.2, Build 20251112"/>
  </w:docVars>
  <w:rsids>
    <w:rsidRoot w:val="00664E55"/>
    <w:rsid w:val="00001A08"/>
    <w:rsid w:val="00001A65"/>
    <w:rsid w:val="00001AAC"/>
    <w:rsid w:val="00001C29"/>
    <w:rsid w:val="00002838"/>
    <w:rsid w:val="0000316D"/>
    <w:rsid w:val="00003C62"/>
    <w:rsid w:val="00004256"/>
    <w:rsid w:val="00004547"/>
    <w:rsid w:val="00004CE7"/>
    <w:rsid w:val="00005351"/>
    <w:rsid w:val="000053CE"/>
    <w:rsid w:val="000057D7"/>
    <w:rsid w:val="00005891"/>
    <w:rsid w:val="000061C5"/>
    <w:rsid w:val="0000691E"/>
    <w:rsid w:val="00007B59"/>
    <w:rsid w:val="00007D1B"/>
    <w:rsid w:val="00010072"/>
    <w:rsid w:val="000103F8"/>
    <w:rsid w:val="0001092B"/>
    <w:rsid w:val="000119E3"/>
    <w:rsid w:val="00014C74"/>
    <w:rsid w:val="000157A6"/>
    <w:rsid w:val="00015E80"/>
    <w:rsid w:val="00015F2A"/>
    <w:rsid w:val="00016181"/>
    <w:rsid w:val="0001663E"/>
    <w:rsid w:val="00017F25"/>
    <w:rsid w:val="00020F72"/>
    <w:rsid w:val="00022B13"/>
    <w:rsid w:val="00022EEE"/>
    <w:rsid w:val="00023978"/>
    <w:rsid w:val="000248E3"/>
    <w:rsid w:val="00024F75"/>
    <w:rsid w:val="00025262"/>
    <w:rsid w:val="00025940"/>
    <w:rsid w:val="00025B5D"/>
    <w:rsid w:val="000269BE"/>
    <w:rsid w:val="00027A23"/>
    <w:rsid w:val="000314FD"/>
    <w:rsid w:val="0003253E"/>
    <w:rsid w:val="00032EEB"/>
    <w:rsid w:val="00033297"/>
    <w:rsid w:val="000336E9"/>
    <w:rsid w:val="00034721"/>
    <w:rsid w:val="000356BF"/>
    <w:rsid w:val="00036473"/>
    <w:rsid w:val="0003688D"/>
    <w:rsid w:val="00037ACD"/>
    <w:rsid w:val="00037EDD"/>
    <w:rsid w:val="000403E1"/>
    <w:rsid w:val="00040695"/>
    <w:rsid w:val="00040D0D"/>
    <w:rsid w:val="00043814"/>
    <w:rsid w:val="0004447C"/>
    <w:rsid w:val="0004449F"/>
    <w:rsid w:val="0004512E"/>
    <w:rsid w:val="00045546"/>
    <w:rsid w:val="00046151"/>
    <w:rsid w:val="00047896"/>
    <w:rsid w:val="00050BD6"/>
    <w:rsid w:val="00051062"/>
    <w:rsid w:val="00052023"/>
    <w:rsid w:val="00055C32"/>
    <w:rsid w:val="0005603A"/>
    <w:rsid w:val="0005624D"/>
    <w:rsid w:val="00056588"/>
    <w:rsid w:val="00056AC1"/>
    <w:rsid w:val="00056E32"/>
    <w:rsid w:val="00056FA0"/>
    <w:rsid w:val="00060051"/>
    <w:rsid w:val="0006088C"/>
    <w:rsid w:val="00060DD9"/>
    <w:rsid w:val="00060F54"/>
    <w:rsid w:val="0006114F"/>
    <w:rsid w:val="0006255E"/>
    <w:rsid w:val="000638F0"/>
    <w:rsid w:val="00063B27"/>
    <w:rsid w:val="000645CC"/>
    <w:rsid w:val="000651B1"/>
    <w:rsid w:val="00065AD3"/>
    <w:rsid w:val="00065B7C"/>
    <w:rsid w:val="00065C98"/>
    <w:rsid w:val="000669C7"/>
    <w:rsid w:val="00070735"/>
    <w:rsid w:val="00071029"/>
    <w:rsid w:val="00071154"/>
    <w:rsid w:val="00071224"/>
    <w:rsid w:val="00071AAD"/>
    <w:rsid w:val="000724DF"/>
    <w:rsid w:val="000727BC"/>
    <w:rsid w:val="00072A09"/>
    <w:rsid w:val="000733B7"/>
    <w:rsid w:val="0007377C"/>
    <w:rsid w:val="000739EF"/>
    <w:rsid w:val="00074904"/>
    <w:rsid w:val="00075CCC"/>
    <w:rsid w:val="0007613A"/>
    <w:rsid w:val="00076EAA"/>
    <w:rsid w:val="00077B9F"/>
    <w:rsid w:val="000803B4"/>
    <w:rsid w:val="00082010"/>
    <w:rsid w:val="00082207"/>
    <w:rsid w:val="0008223B"/>
    <w:rsid w:val="000824CB"/>
    <w:rsid w:val="0008292F"/>
    <w:rsid w:val="000841C6"/>
    <w:rsid w:val="00084F43"/>
    <w:rsid w:val="00085015"/>
    <w:rsid w:val="000860AD"/>
    <w:rsid w:val="00086399"/>
    <w:rsid w:val="000866C2"/>
    <w:rsid w:val="00086A8E"/>
    <w:rsid w:val="00086DDB"/>
    <w:rsid w:val="0009003C"/>
    <w:rsid w:val="0009022B"/>
    <w:rsid w:val="000911EF"/>
    <w:rsid w:val="00091331"/>
    <w:rsid w:val="00093AC5"/>
    <w:rsid w:val="0009643D"/>
    <w:rsid w:val="00096DC0"/>
    <w:rsid w:val="00096FFE"/>
    <w:rsid w:val="00097901"/>
    <w:rsid w:val="00097A29"/>
    <w:rsid w:val="000A0E1B"/>
    <w:rsid w:val="000A0E8C"/>
    <w:rsid w:val="000A0EA5"/>
    <w:rsid w:val="000A212F"/>
    <w:rsid w:val="000A25E5"/>
    <w:rsid w:val="000A2E81"/>
    <w:rsid w:val="000A4013"/>
    <w:rsid w:val="000A54D2"/>
    <w:rsid w:val="000A65FA"/>
    <w:rsid w:val="000A6D8E"/>
    <w:rsid w:val="000A7BDF"/>
    <w:rsid w:val="000B07BB"/>
    <w:rsid w:val="000B1303"/>
    <w:rsid w:val="000B260E"/>
    <w:rsid w:val="000B288F"/>
    <w:rsid w:val="000B2F9C"/>
    <w:rsid w:val="000B3300"/>
    <w:rsid w:val="000B3363"/>
    <w:rsid w:val="000B3B3E"/>
    <w:rsid w:val="000B4272"/>
    <w:rsid w:val="000B432A"/>
    <w:rsid w:val="000B578F"/>
    <w:rsid w:val="000B65FA"/>
    <w:rsid w:val="000B76F4"/>
    <w:rsid w:val="000C028F"/>
    <w:rsid w:val="000C046D"/>
    <w:rsid w:val="000C2B45"/>
    <w:rsid w:val="000C3515"/>
    <w:rsid w:val="000C3A80"/>
    <w:rsid w:val="000C5B17"/>
    <w:rsid w:val="000C5C15"/>
    <w:rsid w:val="000C5F9A"/>
    <w:rsid w:val="000C732D"/>
    <w:rsid w:val="000D0049"/>
    <w:rsid w:val="000D037B"/>
    <w:rsid w:val="000D0628"/>
    <w:rsid w:val="000D0CAB"/>
    <w:rsid w:val="000D0EF6"/>
    <w:rsid w:val="000D1FE1"/>
    <w:rsid w:val="000D26C0"/>
    <w:rsid w:val="000D2C30"/>
    <w:rsid w:val="000D2E6D"/>
    <w:rsid w:val="000D3CCA"/>
    <w:rsid w:val="000D42AA"/>
    <w:rsid w:val="000D479B"/>
    <w:rsid w:val="000D53E2"/>
    <w:rsid w:val="000D6797"/>
    <w:rsid w:val="000D6CDD"/>
    <w:rsid w:val="000D79CC"/>
    <w:rsid w:val="000E00F8"/>
    <w:rsid w:val="000E0324"/>
    <w:rsid w:val="000E048A"/>
    <w:rsid w:val="000E06D5"/>
    <w:rsid w:val="000E169C"/>
    <w:rsid w:val="000E2638"/>
    <w:rsid w:val="000E3191"/>
    <w:rsid w:val="000E3684"/>
    <w:rsid w:val="000E3A1D"/>
    <w:rsid w:val="000E3AD9"/>
    <w:rsid w:val="000E489C"/>
    <w:rsid w:val="000E6341"/>
    <w:rsid w:val="000E76D5"/>
    <w:rsid w:val="000E7D6B"/>
    <w:rsid w:val="000F05CC"/>
    <w:rsid w:val="000F080F"/>
    <w:rsid w:val="000F092C"/>
    <w:rsid w:val="000F0B01"/>
    <w:rsid w:val="000F0EBD"/>
    <w:rsid w:val="000F13A3"/>
    <w:rsid w:val="000F1540"/>
    <w:rsid w:val="000F161F"/>
    <w:rsid w:val="000F36B5"/>
    <w:rsid w:val="000F36C4"/>
    <w:rsid w:val="000F36F1"/>
    <w:rsid w:val="000F58FD"/>
    <w:rsid w:val="000F5F93"/>
    <w:rsid w:val="000F7633"/>
    <w:rsid w:val="000F795F"/>
    <w:rsid w:val="000F7CA3"/>
    <w:rsid w:val="00100A4F"/>
    <w:rsid w:val="0010150A"/>
    <w:rsid w:val="00101E85"/>
    <w:rsid w:val="00101F91"/>
    <w:rsid w:val="00102577"/>
    <w:rsid w:val="001035EA"/>
    <w:rsid w:val="0010367F"/>
    <w:rsid w:val="001057B2"/>
    <w:rsid w:val="001058DC"/>
    <w:rsid w:val="00106530"/>
    <w:rsid w:val="00106A18"/>
    <w:rsid w:val="00106DAD"/>
    <w:rsid w:val="0010720C"/>
    <w:rsid w:val="00107719"/>
    <w:rsid w:val="001079B6"/>
    <w:rsid w:val="001105C6"/>
    <w:rsid w:val="001107DD"/>
    <w:rsid w:val="00110828"/>
    <w:rsid w:val="00110E39"/>
    <w:rsid w:val="00111269"/>
    <w:rsid w:val="001112AF"/>
    <w:rsid w:val="00111837"/>
    <w:rsid w:val="00111DE8"/>
    <w:rsid w:val="00112611"/>
    <w:rsid w:val="00112616"/>
    <w:rsid w:val="00112797"/>
    <w:rsid w:val="00115735"/>
    <w:rsid w:val="00115CE1"/>
    <w:rsid w:val="00116F9C"/>
    <w:rsid w:val="001172E8"/>
    <w:rsid w:val="00117AF7"/>
    <w:rsid w:val="001201BE"/>
    <w:rsid w:val="00121070"/>
    <w:rsid w:val="00121521"/>
    <w:rsid w:val="00121CF2"/>
    <w:rsid w:val="00122775"/>
    <w:rsid w:val="001229B8"/>
    <w:rsid w:val="00122EA3"/>
    <w:rsid w:val="00122F39"/>
    <w:rsid w:val="0012375E"/>
    <w:rsid w:val="001239BF"/>
    <w:rsid w:val="00123DFC"/>
    <w:rsid w:val="00124339"/>
    <w:rsid w:val="00124A31"/>
    <w:rsid w:val="001256EE"/>
    <w:rsid w:val="0012570D"/>
    <w:rsid w:val="00125DF6"/>
    <w:rsid w:val="0012633C"/>
    <w:rsid w:val="001264E6"/>
    <w:rsid w:val="001268C0"/>
    <w:rsid w:val="00127326"/>
    <w:rsid w:val="00130F35"/>
    <w:rsid w:val="001316EB"/>
    <w:rsid w:val="00131753"/>
    <w:rsid w:val="00131907"/>
    <w:rsid w:val="00131B06"/>
    <w:rsid w:val="00132A3A"/>
    <w:rsid w:val="00132A7E"/>
    <w:rsid w:val="00132D6C"/>
    <w:rsid w:val="00132D80"/>
    <w:rsid w:val="00132F47"/>
    <w:rsid w:val="00134317"/>
    <w:rsid w:val="00134829"/>
    <w:rsid w:val="001363FB"/>
    <w:rsid w:val="00136F2B"/>
    <w:rsid w:val="00137003"/>
    <w:rsid w:val="00137EB6"/>
    <w:rsid w:val="001403CC"/>
    <w:rsid w:val="00140C3A"/>
    <w:rsid w:val="00140D05"/>
    <w:rsid w:val="00142D28"/>
    <w:rsid w:val="00144236"/>
    <w:rsid w:val="00144A0B"/>
    <w:rsid w:val="001451B7"/>
    <w:rsid w:val="001455FF"/>
    <w:rsid w:val="001457A7"/>
    <w:rsid w:val="001463EF"/>
    <w:rsid w:val="00146BB6"/>
    <w:rsid w:val="00146CB9"/>
    <w:rsid w:val="00147B08"/>
    <w:rsid w:val="00152874"/>
    <w:rsid w:val="001529B1"/>
    <w:rsid w:val="00153A0F"/>
    <w:rsid w:val="00153A64"/>
    <w:rsid w:val="00154282"/>
    <w:rsid w:val="00154856"/>
    <w:rsid w:val="001552D6"/>
    <w:rsid w:val="001559FD"/>
    <w:rsid w:val="00155BB9"/>
    <w:rsid w:val="00155CF1"/>
    <w:rsid w:val="001573AA"/>
    <w:rsid w:val="00157801"/>
    <w:rsid w:val="001579C0"/>
    <w:rsid w:val="00160C49"/>
    <w:rsid w:val="001614D9"/>
    <w:rsid w:val="001623A6"/>
    <w:rsid w:val="001625CA"/>
    <w:rsid w:val="001627B0"/>
    <w:rsid w:val="00163150"/>
    <w:rsid w:val="00163814"/>
    <w:rsid w:val="001639C9"/>
    <w:rsid w:val="00163E37"/>
    <w:rsid w:val="001641B9"/>
    <w:rsid w:val="001642B4"/>
    <w:rsid w:val="001645BF"/>
    <w:rsid w:val="00165766"/>
    <w:rsid w:val="001660B4"/>
    <w:rsid w:val="00166368"/>
    <w:rsid w:val="001664A3"/>
    <w:rsid w:val="0016703E"/>
    <w:rsid w:val="00167A5F"/>
    <w:rsid w:val="0017014C"/>
    <w:rsid w:val="00171C00"/>
    <w:rsid w:val="00171E89"/>
    <w:rsid w:val="001728E6"/>
    <w:rsid w:val="00173418"/>
    <w:rsid w:val="001736AC"/>
    <w:rsid w:val="00174436"/>
    <w:rsid w:val="00174E39"/>
    <w:rsid w:val="00174FEA"/>
    <w:rsid w:val="00175F9A"/>
    <w:rsid w:val="0017663E"/>
    <w:rsid w:val="001766FF"/>
    <w:rsid w:val="00177914"/>
    <w:rsid w:val="00180DE6"/>
    <w:rsid w:val="001824BF"/>
    <w:rsid w:val="001826F2"/>
    <w:rsid w:val="001834AF"/>
    <w:rsid w:val="00183933"/>
    <w:rsid w:val="001839D8"/>
    <w:rsid w:val="00183CE9"/>
    <w:rsid w:val="00183E59"/>
    <w:rsid w:val="001852F5"/>
    <w:rsid w:val="001855E6"/>
    <w:rsid w:val="00185CA9"/>
    <w:rsid w:val="00186A99"/>
    <w:rsid w:val="00187D90"/>
    <w:rsid w:val="00187E78"/>
    <w:rsid w:val="00192304"/>
    <w:rsid w:val="001923C0"/>
    <w:rsid w:val="00192C6E"/>
    <w:rsid w:val="00193040"/>
    <w:rsid w:val="00193D2E"/>
    <w:rsid w:val="00194412"/>
    <w:rsid w:val="00194866"/>
    <w:rsid w:val="00194C4B"/>
    <w:rsid w:val="00195FEE"/>
    <w:rsid w:val="001A044C"/>
    <w:rsid w:val="001A05A5"/>
    <w:rsid w:val="001A0764"/>
    <w:rsid w:val="001A16F2"/>
    <w:rsid w:val="001A1C37"/>
    <w:rsid w:val="001A3313"/>
    <w:rsid w:val="001A35C4"/>
    <w:rsid w:val="001A381A"/>
    <w:rsid w:val="001A4020"/>
    <w:rsid w:val="001A4B7A"/>
    <w:rsid w:val="001A4DC0"/>
    <w:rsid w:val="001A4F9B"/>
    <w:rsid w:val="001A52DF"/>
    <w:rsid w:val="001A56A3"/>
    <w:rsid w:val="001A6983"/>
    <w:rsid w:val="001A69BC"/>
    <w:rsid w:val="001A7E60"/>
    <w:rsid w:val="001B0849"/>
    <w:rsid w:val="001B0D6E"/>
    <w:rsid w:val="001B1114"/>
    <w:rsid w:val="001B154F"/>
    <w:rsid w:val="001B1E73"/>
    <w:rsid w:val="001B3020"/>
    <w:rsid w:val="001B3AD5"/>
    <w:rsid w:val="001B3BD2"/>
    <w:rsid w:val="001B3F4E"/>
    <w:rsid w:val="001B4570"/>
    <w:rsid w:val="001B50DD"/>
    <w:rsid w:val="001B6420"/>
    <w:rsid w:val="001B717E"/>
    <w:rsid w:val="001B769A"/>
    <w:rsid w:val="001C011D"/>
    <w:rsid w:val="001C0D4C"/>
    <w:rsid w:val="001C0E5A"/>
    <w:rsid w:val="001C29FC"/>
    <w:rsid w:val="001C427D"/>
    <w:rsid w:val="001C53B1"/>
    <w:rsid w:val="001C58AC"/>
    <w:rsid w:val="001C5986"/>
    <w:rsid w:val="001C7047"/>
    <w:rsid w:val="001C7F7C"/>
    <w:rsid w:val="001D0F53"/>
    <w:rsid w:val="001D1342"/>
    <w:rsid w:val="001D1545"/>
    <w:rsid w:val="001D1FC0"/>
    <w:rsid w:val="001D336A"/>
    <w:rsid w:val="001D3AFD"/>
    <w:rsid w:val="001D604B"/>
    <w:rsid w:val="001D616E"/>
    <w:rsid w:val="001D62E5"/>
    <w:rsid w:val="001D6612"/>
    <w:rsid w:val="001E008D"/>
    <w:rsid w:val="001E19AB"/>
    <w:rsid w:val="001E1BA4"/>
    <w:rsid w:val="001E1D32"/>
    <w:rsid w:val="001E27E2"/>
    <w:rsid w:val="001E3706"/>
    <w:rsid w:val="001E3B6F"/>
    <w:rsid w:val="001E3D47"/>
    <w:rsid w:val="001E3F86"/>
    <w:rsid w:val="001E3FF9"/>
    <w:rsid w:val="001E42BA"/>
    <w:rsid w:val="001E4F41"/>
    <w:rsid w:val="001E5517"/>
    <w:rsid w:val="001E5F81"/>
    <w:rsid w:val="001E7489"/>
    <w:rsid w:val="001F0138"/>
    <w:rsid w:val="001F07A7"/>
    <w:rsid w:val="001F0CAF"/>
    <w:rsid w:val="001F0FD5"/>
    <w:rsid w:val="001F152C"/>
    <w:rsid w:val="001F1696"/>
    <w:rsid w:val="001F29CA"/>
    <w:rsid w:val="001F2FB8"/>
    <w:rsid w:val="001F339B"/>
    <w:rsid w:val="001F42F0"/>
    <w:rsid w:val="001F4E4B"/>
    <w:rsid w:val="001F5213"/>
    <w:rsid w:val="001F7203"/>
    <w:rsid w:val="002008EF"/>
    <w:rsid w:val="0020135D"/>
    <w:rsid w:val="002022FA"/>
    <w:rsid w:val="00203165"/>
    <w:rsid w:val="0020359B"/>
    <w:rsid w:val="00203771"/>
    <w:rsid w:val="00204001"/>
    <w:rsid w:val="00204434"/>
    <w:rsid w:val="0020512D"/>
    <w:rsid w:val="0020595D"/>
    <w:rsid w:val="002067EE"/>
    <w:rsid w:val="002072F2"/>
    <w:rsid w:val="0021011E"/>
    <w:rsid w:val="002104A3"/>
    <w:rsid w:val="002117D0"/>
    <w:rsid w:val="00211A93"/>
    <w:rsid w:val="00211B5C"/>
    <w:rsid w:val="00212624"/>
    <w:rsid w:val="00212DEC"/>
    <w:rsid w:val="00212E20"/>
    <w:rsid w:val="0021333A"/>
    <w:rsid w:val="002139CA"/>
    <w:rsid w:val="00213BEF"/>
    <w:rsid w:val="00213E0F"/>
    <w:rsid w:val="002142E1"/>
    <w:rsid w:val="00214C1B"/>
    <w:rsid w:val="002151D1"/>
    <w:rsid w:val="0021616A"/>
    <w:rsid w:val="002161F5"/>
    <w:rsid w:val="00221B67"/>
    <w:rsid w:val="00222AC8"/>
    <w:rsid w:val="00222D10"/>
    <w:rsid w:val="0022398C"/>
    <w:rsid w:val="0022490A"/>
    <w:rsid w:val="00224AAC"/>
    <w:rsid w:val="0022670D"/>
    <w:rsid w:val="00226D89"/>
    <w:rsid w:val="00232F54"/>
    <w:rsid w:val="00233327"/>
    <w:rsid w:val="00233E0C"/>
    <w:rsid w:val="002343F5"/>
    <w:rsid w:val="00234F35"/>
    <w:rsid w:val="00235284"/>
    <w:rsid w:val="00235D6E"/>
    <w:rsid w:val="00236725"/>
    <w:rsid w:val="00236BFC"/>
    <w:rsid w:val="00236F8C"/>
    <w:rsid w:val="002403F7"/>
    <w:rsid w:val="0024096F"/>
    <w:rsid w:val="00240B9F"/>
    <w:rsid w:val="002416CF"/>
    <w:rsid w:val="00242554"/>
    <w:rsid w:val="00242910"/>
    <w:rsid w:val="00243AC4"/>
    <w:rsid w:val="002447C5"/>
    <w:rsid w:val="00245880"/>
    <w:rsid w:val="002459B9"/>
    <w:rsid w:val="00245DAC"/>
    <w:rsid w:val="0024612B"/>
    <w:rsid w:val="00246AE4"/>
    <w:rsid w:val="00246D71"/>
    <w:rsid w:val="00247A10"/>
    <w:rsid w:val="00250081"/>
    <w:rsid w:val="002501F1"/>
    <w:rsid w:val="00250478"/>
    <w:rsid w:val="0025101A"/>
    <w:rsid w:val="00251A9D"/>
    <w:rsid w:val="002527C2"/>
    <w:rsid w:val="0025345F"/>
    <w:rsid w:val="00253DED"/>
    <w:rsid w:val="002551B3"/>
    <w:rsid w:val="00255A00"/>
    <w:rsid w:val="00255F90"/>
    <w:rsid w:val="0025611A"/>
    <w:rsid w:val="00256439"/>
    <w:rsid w:val="0025654B"/>
    <w:rsid w:val="00257105"/>
    <w:rsid w:val="00257357"/>
    <w:rsid w:val="00257643"/>
    <w:rsid w:val="002606C6"/>
    <w:rsid w:val="00260722"/>
    <w:rsid w:val="00260A9D"/>
    <w:rsid w:val="00260B59"/>
    <w:rsid w:val="00261271"/>
    <w:rsid w:val="00261466"/>
    <w:rsid w:val="0026245E"/>
    <w:rsid w:val="00262F73"/>
    <w:rsid w:val="00263420"/>
    <w:rsid w:val="00263F26"/>
    <w:rsid w:val="002654BE"/>
    <w:rsid w:val="002654C7"/>
    <w:rsid w:val="00265B2F"/>
    <w:rsid w:val="00265D62"/>
    <w:rsid w:val="002663C7"/>
    <w:rsid w:val="00266714"/>
    <w:rsid w:val="00267027"/>
    <w:rsid w:val="00270009"/>
    <w:rsid w:val="00270FF8"/>
    <w:rsid w:val="00271E85"/>
    <w:rsid w:val="002721B3"/>
    <w:rsid w:val="00272A31"/>
    <w:rsid w:val="002735E6"/>
    <w:rsid w:val="002737E2"/>
    <w:rsid w:val="00273B9B"/>
    <w:rsid w:val="00273CA1"/>
    <w:rsid w:val="00274581"/>
    <w:rsid w:val="002749FF"/>
    <w:rsid w:val="00274B84"/>
    <w:rsid w:val="00274D7F"/>
    <w:rsid w:val="0027691C"/>
    <w:rsid w:val="0027695E"/>
    <w:rsid w:val="0027738C"/>
    <w:rsid w:val="00280585"/>
    <w:rsid w:val="0028129A"/>
    <w:rsid w:val="002813A2"/>
    <w:rsid w:val="00281675"/>
    <w:rsid w:val="00281DB5"/>
    <w:rsid w:val="0028223D"/>
    <w:rsid w:val="00282D65"/>
    <w:rsid w:val="00282D88"/>
    <w:rsid w:val="0028388D"/>
    <w:rsid w:val="002838D9"/>
    <w:rsid w:val="002840D9"/>
    <w:rsid w:val="00284521"/>
    <w:rsid w:val="002847F5"/>
    <w:rsid w:val="00285B05"/>
    <w:rsid w:val="00286983"/>
    <w:rsid w:val="00286AFE"/>
    <w:rsid w:val="00287986"/>
    <w:rsid w:val="0029126B"/>
    <w:rsid w:val="00291E61"/>
    <w:rsid w:val="0029260D"/>
    <w:rsid w:val="00292FED"/>
    <w:rsid w:val="00293443"/>
    <w:rsid w:val="0029401D"/>
    <w:rsid w:val="00294573"/>
    <w:rsid w:val="00294DBB"/>
    <w:rsid w:val="002958C5"/>
    <w:rsid w:val="00297C12"/>
    <w:rsid w:val="002A0719"/>
    <w:rsid w:val="002A1824"/>
    <w:rsid w:val="002A1829"/>
    <w:rsid w:val="002A293E"/>
    <w:rsid w:val="002A2A51"/>
    <w:rsid w:val="002A326F"/>
    <w:rsid w:val="002A380D"/>
    <w:rsid w:val="002A3F9D"/>
    <w:rsid w:val="002A4D0A"/>
    <w:rsid w:val="002A5FA1"/>
    <w:rsid w:val="002A7BDF"/>
    <w:rsid w:val="002B0AB1"/>
    <w:rsid w:val="002B2924"/>
    <w:rsid w:val="002B2E49"/>
    <w:rsid w:val="002B38C5"/>
    <w:rsid w:val="002B3DA0"/>
    <w:rsid w:val="002B46B9"/>
    <w:rsid w:val="002B484D"/>
    <w:rsid w:val="002B5820"/>
    <w:rsid w:val="002B6930"/>
    <w:rsid w:val="002B74C7"/>
    <w:rsid w:val="002B7893"/>
    <w:rsid w:val="002C077B"/>
    <w:rsid w:val="002C0C65"/>
    <w:rsid w:val="002C162C"/>
    <w:rsid w:val="002C1874"/>
    <w:rsid w:val="002C1DF9"/>
    <w:rsid w:val="002C206C"/>
    <w:rsid w:val="002C2361"/>
    <w:rsid w:val="002C2550"/>
    <w:rsid w:val="002C3480"/>
    <w:rsid w:val="002C3FCC"/>
    <w:rsid w:val="002C4C0E"/>
    <w:rsid w:val="002C6637"/>
    <w:rsid w:val="002C69BC"/>
    <w:rsid w:val="002C6A09"/>
    <w:rsid w:val="002C7188"/>
    <w:rsid w:val="002C72EE"/>
    <w:rsid w:val="002C73F6"/>
    <w:rsid w:val="002D0642"/>
    <w:rsid w:val="002D2C83"/>
    <w:rsid w:val="002D2E80"/>
    <w:rsid w:val="002D3F45"/>
    <w:rsid w:val="002D45FF"/>
    <w:rsid w:val="002D75CE"/>
    <w:rsid w:val="002E06F5"/>
    <w:rsid w:val="002E0C95"/>
    <w:rsid w:val="002E122E"/>
    <w:rsid w:val="002E19FD"/>
    <w:rsid w:val="002E1A2D"/>
    <w:rsid w:val="002E263C"/>
    <w:rsid w:val="002E2E1B"/>
    <w:rsid w:val="002E2F56"/>
    <w:rsid w:val="002E374E"/>
    <w:rsid w:val="002E3F93"/>
    <w:rsid w:val="002E40BB"/>
    <w:rsid w:val="002E4713"/>
    <w:rsid w:val="002F05AB"/>
    <w:rsid w:val="002F05DC"/>
    <w:rsid w:val="002F065B"/>
    <w:rsid w:val="002F0972"/>
    <w:rsid w:val="002F0B29"/>
    <w:rsid w:val="002F1554"/>
    <w:rsid w:val="002F15B8"/>
    <w:rsid w:val="002F21F9"/>
    <w:rsid w:val="002F2F00"/>
    <w:rsid w:val="002F375A"/>
    <w:rsid w:val="002F3817"/>
    <w:rsid w:val="002F4586"/>
    <w:rsid w:val="002F47B3"/>
    <w:rsid w:val="002F52BC"/>
    <w:rsid w:val="002F59A8"/>
    <w:rsid w:val="002F6189"/>
    <w:rsid w:val="002F618B"/>
    <w:rsid w:val="002F6C5A"/>
    <w:rsid w:val="002F72BA"/>
    <w:rsid w:val="002F739D"/>
    <w:rsid w:val="002F7A54"/>
    <w:rsid w:val="002F7EB6"/>
    <w:rsid w:val="003003B9"/>
    <w:rsid w:val="00301C37"/>
    <w:rsid w:val="00302045"/>
    <w:rsid w:val="003030BD"/>
    <w:rsid w:val="003030C0"/>
    <w:rsid w:val="003040EC"/>
    <w:rsid w:val="0030437A"/>
    <w:rsid w:val="0030463A"/>
    <w:rsid w:val="00304798"/>
    <w:rsid w:val="00304D00"/>
    <w:rsid w:val="003056B5"/>
    <w:rsid w:val="00306388"/>
    <w:rsid w:val="00306AD1"/>
    <w:rsid w:val="0030716C"/>
    <w:rsid w:val="003072BF"/>
    <w:rsid w:val="003074FD"/>
    <w:rsid w:val="00311D36"/>
    <w:rsid w:val="00311DFD"/>
    <w:rsid w:val="00312863"/>
    <w:rsid w:val="003139D6"/>
    <w:rsid w:val="00314522"/>
    <w:rsid w:val="00314AA5"/>
    <w:rsid w:val="00314C0C"/>
    <w:rsid w:val="0031534D"/>
    <w:rsid w:val="00315C42"/>
    <w:rsid w:val="003160D1"/>
    <w:rsid w:val="003172D4"/>
    <w:rsid w:val="00317EEF"/>
    <w:rsid w:val="00317F78"/>
    <w:rsid w:val="00320C4B"/>
    <w:rsid w:val="00320D37"/>
    <w:rsid w:val="00320D43"/>
    <w:rsid w:val="00320E97"/>
    <w:rsid w:val="00322A25"/>
    <w:rsid w:val="00322EB3"/>
    <w:rsid w:val="003234B2"/>
    <w:rsid w:val="003242D2"/>
    <w:rsid w:val="0032532C"/>
    <w:rsid w:val="003255B6"/>
    <w:rsid w:val="00326D42"/>
    <w:rsid w:val="00327594"/>
    <w:rsid w:val="00330F92"/>
    <w:rsid w:val="00331212"/>
    <w:rsid w:val="003312E1"/>
    <w:rsid w:val="00331669"/>
    <w:rsid w:val="00331B05"/>
    <w:rsid w:val="00332C58"/>
    <w:rsid w:val="00333778"/>
    <w:rsid w:val="003337E6"/>
    <w:rsid w:val="00333C88"/>
    <w:rsid w:val="003341F0"/>
    <w:rsid w:val="0033448C"/>
    <w:rsid w:val="00334583"/>
    <w:rsid w:val="003346B0"/>
    <w:rsid w:val="00334A0F"/>
    <w:rsid w:val="00334A27"/>
    <w:rsid w:val="00334DB3"/>
    <w:rsid w:val="00334EA3"/>
    <w:rsid w:val="00340ACE"/>
    <w:rsid w:val="00340E24"/>
    <w:rsid w:val="00341035"/>
    <w:rsid w:val="00342D50"/>
    <w:rsid w:val="003430CE"/>
    <w:rsid w:val="003438A8"/>
    <w:rsid w:val="00343A56"/>
    <w:rsid w:val="00345482"/>
    <w:rsid w:val="00345DBC"/>
    <w:rsid w:val="00345EC2"/>
    <w:rsid w:val="00345FDA"/>
    <w:rsid w:val="00346FAC"/>
    <w:rsid w:val="00350412"/>
    <w:rsid w:val="003506F1"/>
    <w:rsid w:val="00350E8E"/>
    <w:rsid w:val="0035154F"/>
    <w:rsid w:val="00351E1D"/>
    <w:rsid w:val="00353CE6"/>
    <w:rsid w:val="00353FF1"/>
    <w:rsid w:val="00354190"/>
    <w:rsid w:val="00354657"/>
    <w:rsid w:val="00354DBB"/>
    <w:rsid w:val="00356445"/>
    <w:rsid w:val="00356AAB"/>
    <w:rsid w:val="0035773B"/>
    <w:rsid w:val="003609F5"/>
    <w:rsid w:val="00362493"/>
    <w:rsid w:val="00363953"/>
    <w:rsid w:val="0036545D"/>
    <w:rsid w:val="00365746"/>
    <w:rsid w:val="003658C2"/>
    <w:rsid w:val="003666B1"/>
    <w:rsid w:val="00366B21"/>
    <w:rsid w:val="00367685"/>
    <w:rsid w:val="00367975"/>
    <w:rsid w:val="003679B2"/>
    <w:rsid w:val="00371658"/>
    <w:rsid w:val="00371CAD"/>
    <w:rsid w:val="00371EB8"/>
    <w:rsid w:val="003722F5"/>
    <w:rsid w:val="0037257A"/>
    <w:rsid w:val="00372A85"/>
    <w:rsid w:val="00373040"/>
    <w:rsid w:val="003738E0"/>
    <w:rsid w:val="003739A5"/>
    <w:rsid w:val="00374AEF"/>
    <w:rsid w:val="00375ABF"/>
    <w:rsid w:val="00375D93"/>
    <w:rsid w:val="00375EC8"/>
    <w:rsid w:val="00376BEA"/>
    <w:rsid w:val="00377D70"/>
    <w:rsid w:val="00380001"/>
    <w:rsid w:val="00381768"/>
    <w:rsid w:val="00382144"/>
    <w:rsid w:val="003823B6"/>
    <w:rsid w:val="00382D88"/>
    <w:rsid w:val="00383347"/>
    <w:rsid w:val="00383EA2"/>
    <w:rsid w:val="00386CAF"/>
    <w:rsid w:val="00386EAD"/>
    <w:rsid w:val="0038724A"/>
    <w:rsid w:val="003875EF"/>
    <w:rsid w:val="00387E3E"/>
    <w:rsid w:val="00390F04"/>
    <w:rsid w:val="00390FF7"/>
    <w:rsid w:val="00391053"/>
    <w:rsid w:val="00391E46"/>
    <w:rsid w:val="00394228"/>
    <w:rsid w:val="00394A5F"/>
    <w:rsid w:val="00395030"/>
    <w:rsid w:val="003951BE"/>
    <w:rsid w:val="00396196"/>
    <w:rsid w:val="00397EE6"/>
    <w:rsid w:val="003A0A07"/>
    <w:rsid w:val="003A1C58"/>
    <w:rsid w:val="003A2A56"/>
    <w:rsid w:val="003A2B0C"/>
    <w:rsid w:val="003A3840"/>
    <w:rsid w:val="003A4E13"/>
    <w:rsid w:val="003A4F7A"/>
    <w:rsid w:val="003A6EF8"/>
    <w:rsid w:val="003A7EA5"/>
    <w:rsid w:val="003B0990"/>
    <w:rsid w:val="003B0FFD"/>
    <w:rsid w:val="003B1C53"/>
    <w:rsid w:val="003B1E28"/>
    <w:rsid w:val="003B20FE"/>
    <w:rsid w:val="003B25D8"/>
    <w:rsid w:val="003B325A"/>
    <w:rsid w:val="003B4409"/>
    <w:rsid w:val="003B504B"/>
    <w:rsid w:val="003B5391"/>
    <w:rsid w:val="003B55C6"/>
    <w:rsid w:val="003B5EEB"/>
    <w:rsid w:val="003B79CC"/>
    <w:rsid w:val="003B7BBC"/>
    <w:rsid w:val="003C0648"/>
    <w:rsid w:val="003C163C"/>
    <w:rsid w:val="003C1FF7"/>
    <w:rsid w:val="003C26AE"/>
    <w:rsid w:val="003C28C5"/>
    <w:rsid w:val="003C2922"/>
    <w:rsid w:val="003C4B8B"/>
    <w:rsid w:val="003C4C98"/>
    <w:rsid w:val="003C5B4F"/>
    <w:rsid w:val="003C5B63"/>
    <w:rsid w:val="003C5F24"/>
    <w:rsid w:val="003D023A"/>
    <w:rsid w:val="003D1C73"/>
    <w:rsid w:val="003D261B"/>
    <w:rsid w:val="003D272C"/>
    <w:rsid w:val="003D3E1E"/>
    <w:rsid w:val="003D48AD"/>
    <w:rsid w:val="003D56FD"/>
    <w:rsid w:val="003D6B9C"/>
    <w:rsid w:val="003D6BC3"/>
    <w:rsid w:val="003D6FDD"/>
    <w:rsid w:val="003D7B5C"/>
    <w:rsid w:val="003E1740"/>
    <w:rsid w:val="003E17B1"/>
    <w:rsid w:val="003E21D8"/>
    <w:rsid w:val="003E238D"/>
    <w:rsid w:val="003E2DCC"/>
    <w:rsid w:val="003E33E2"/>
    <w:rsid w:val="003E38DD"/>
    <w:rsid w:val="003E3F6F"/>
    <w:rsid w:val="003E4655"/>
    <w:rsid w:val="003E4720"/>
    <w:rsid w:val="003E4E25"/>
    <w:rsid w:val="003E4EAE"/>
    <w:rsid w:val="003E5255"/>
    <w:rsid w:val="003E5BFA"/>
    <w:rsid w:val="003E5D9F"/>
    <w:rsid w:val="003E67B6"/>
    <w:rsid w:val="003E72DE"/>
    <w:rsid w:val="003F0D56"/>
    <w:rsid w:val="003F1D1A"/>
    <w:rsid w:val="003F2B46"/>
    <w:rsid w:val="003F2E42"/>
    <w:rsid w:val="003F2F24"/>
    <w:rsid w:val="003F3578"/>
    <w:rsid w:val="003F4D1F"/>
    <w:rsid w:val="003F501A"/>
    <w:rsid w:val="003F51C4"/>
    <w:rsid w:val="003F6EC8"/>
    <w:rsid w:val="003F725B"/>
    <w:rsid w:val="003F7947"/>
    <w:rsid w:val="003F79AE"/>
    <w:rsid w:val="004006BD"/>
    <w:rsid w:val="00400D5F"/>
    <w:rsid w:val="00400E8A"/>
    <w:rsid w:val="00401B85"/>
    <w:rsid w:val="00401BF7"/>
    <w:rsid w:val="00401C9B"/>
    <w:rsid w:val="004034E0"/>
    <w:rsid w:val="0040358C"/>
    <w:rsid w:val="0040385E"/>
    <w:rsid w:val="00404135"/>
    <w:rsid w:val="00404CC1"/>
    <w:rsid w:val="004059A3"/>
    <w:rsid w:val="00406496"/>
    <w:rsid w:val="004065B1"/>
    <w:rsid w:val="00407030"/>
    <w:rsid w:val="00410F6C"/>
    <w:rsid w:val="004110CF"/>
    <w:rsid w:val="00411F69"/>
    <w:rsid w:val="0041208A"/>
    <w:rsid w:val="00412EDD"/>
    <w:rsid w:val="004131C5"/>
    <w:rsid w:val="004134A4"/>
    <w:rsid w:val="00413F71"/>
    <w:rsid w:val="0041524E"/>
    <w:rsid w:val="00415629"/>
    <w:rsid w:val="004166F3"/>
    <w:rsid w:val="0041676D"/>
    <w:rsid w:val="00416A38"/>
    <w:rsid w:val="004175C1"/>
    <w:rsid w:val="004201C5"/>
    <w:rsid w:val="0042060D"/>
    <w:rsid w:val="0042145B"/>
    <w:rsid w:val="004217A6"/>
    <w:rsid w:val="00421887"/>
    <w:rsid w:val="00421C00"/>
    <w:rsid w:val="004225E7"/>
    <w:rsid w:val="00422897"/>
    <w:rsid w:val="004235AB"/>
    <w:rsid w:val="004237AE"/>
    <w:rsid w:val="0042427D"/>
    <w:rsid w:val="00424918"/>
    <w:rsid w:val="004253E4"/>
    <w:rsid w:val="00425518"/>
    <w:rsid w:val="0042568A"/>
    <w:rsid w:val="00425932"/>
    <w:rsid w:val="00426272"/>
    <w:rsid w:val="004268CB"/>
    <w:rsid w:val="00430B50"/>
    <w:rsid w:val="00430EC7"/>
    <w:rsid w:val="00431758"/>
    <w:rsid w:val="00431B55"/>
    <w:rsid w:val="0043404F"/>
    <w:rsid w:val="0043421C"/>
    <w:rsid w:val="00434765"/>
    <w:rsid w:val="00435269"/>
    <w:rsid w:val="0043546F"/>
    <w:rsid w:val="00435518"/>
    <w:rsid w:val="0043564B"/>
    <w:rsid w:val="00435BCA"/>
    <w:rsid w:val="00435EBE"/>
    <w:rsid w:val="00436CFE"/>
    <w:rsid w:val="00437018"/>
    <w:rsid w:val="004375C9"/>
    <w:rsid w:val="00437752"/>
    <w:rsid w:val="00437825"/>
    <w:rsid w:val="00437AB7"/>
    <w:rsid w:val="0043E724"/>
    <w:rsid w:val="004401F7"/>
    <w:rsid w:val="004407F9"/>
    <w:rsid w:val="00442C7C"/>
    <w:rsid w:val="00443456"/>
    <w:rsid w:val="004434A9"/>
    <w:rsid w:val="0044353E"/>
    <w:rsid w:val="00444271"/>
    <w:rsid w:val="004467C8"/>
    <w:rsid w:val="00447BFF"/>
    <w:rsid w:val="00447D48"/>
    <w:rsid w:val="00447DA8"/>
    <w:rsid w:val="00450D55"/>
    <w:rsid w:val="004514CC"/>
    <w:rsid w:val="00452B34"/>
    <w:rsid w:val="0045413C"/>
    <w:rsid w:val="00454D75"/>
    <w:rsid w:val="0045554B"/>
    <w:rsid w:val="00455FD4"/>
    <w:rsid w:val="00457068"/>
    <w:rsid w:val="00457B2A"/>
    <w:rsid w:val="00457E0A"/>
    <w:rsid w:val="00457E3E"/>
    <w:rsid w:val="004612EE"/>
    <w:rsid w:val="00461D17"/>
    <w:rsid w:val="00461E13"/>
    <w:rsid w:val="00462856"/>
    <w:rsid w:val="004633DA"/>
    <w:rsid w:val="004635FF"/>
    <w:rsid w:val="0046376C"/>
    <w:rsid w:val="00463D1B"/>
    <w:rsid w:val="00463E6B"/>
    <w:rsid w:val="00465186"/>
    <w:rsid w:val="00466E69"/>
    <w:rsid w:val="004671D3"/>
    <w:rsid w:val="0047137F"/>
    <w:rsid w:val="00471899"/>
    <w:rsid w:val="00471AF4"/>
    <w:rsid w:val="00471D43"/>
    <w:rsid w:val="00472DB0"/>
    <w:rsid w:val="00476096"/>
    <w:rsid w:val="00476800"/>
    <w:rsid w:val="00477202"/>
    <w:rsid w:val="00477752"/>
    <w:rsid w:val="00480FD1"/>
    <w:rsid w:val="0048247F"/>
    <w:rsid w:val="00482F7F"/>
    <w:rsid w:val="00483927"/>
    <w:rsid w:val="00483EB5"/>
    <w:rsid w:val="00484376"/>
    <w:rsid w:val="004843C7"/>
    <w:rsid w:val="004844D1"/>
    <w:rsid w:val="00484612"/>
    <w:rsid w:val="00484EF0"/>
    <w:rsid w:val="0048595E"/>
    <w:rsid w:val="00485C2E"/>
    <w:rsid w:val="00487284"/>
    <w:rsid w:val="0048760A"/>
    <w:rsid w:val="00490640"/>
    <w:rsid w:val="004909EF"/>
    <w:rsid w:val="00490C28"/>
    <w:rsid w:val="0049120E"/>
    <w:rsid w:val="00492609"/>
    <w:rsid w:val="00492A34"/>
    <w:rsid w:val="0049347A"/>
    <w:rsid w:val="00493980"/>
    <w:rsid w:val="004942F5"/>
    <w:rsid w:val="004943C4"/>
    <w:rsid w:val="00494E9E"/>
    <w:rsid w:val="0049562E"/>
    <w:rsid w:val="00496500"/>
    <w:rsid w:val="00496FFB"/>
    <w:rsid w:val="004979F8"/>
    <w:rsid w:val="004A020E"/>
    <w:rsid w:val="004A061A"/>
    <w:rsid w:val="004A0EE0"/>
    <w:rsid w:val="004A11C1"/>
    <w:rsid w:val="004A14E6"/>
    <w:rsid w:val="004A1C6F"/>
    <w:rsid w:val="004A3D7D"/>
    <w:rsid w:val="004A4659"/>
    <w:rsid w:val="004A49E6"/>
    <w:rsid w:val="004A54DA"/>
    <w:rsid w:val="004A589D"/>
    <w:rsid w:val="004A5B8B"/>
    <w:rsid w:val="004A5D84"/>
    <w:rsid w:val="004A5E78"/>
    <w:rsid w:val="004A6EC3"/>
    <w:rsid w:val="004B0E1E"/>
    <w:rsid w:val="004B0FA9"/>
    <w:rsid w:val="004B2F0F"/>
    <w:rsid w:val="004B2F4B"/>
    <w:rsid w:val="004B4266"/>
    <w:rsid w:val="004B4353"/>
    <w:rsid w:val="004B43EA"/>
    <w:rsid w:val="004B4435"/>
    <w:rsid w:val="004B4465"/>
    <w:rsid w:val="004B5A7D"/>
    <w:rsid w:val="004B5B73"/>
    <w:rsid w:val="004B73AE"/>
    <w:rsid w:val="004C0440"/>
    <w:rsid w:val="004C059F"/>
    <w:rsid w:val="004C1DAC"/>
    <w:rsid w:val="004C2CCD"/>
    <w:rsid w:val="004C3241"/>
    <w:rsid w:val="004C3532"/>
    <w:rsid w:val="004C5F65"/>
    <w:rsid w:val="004C6275"/>
    <w:rsid w:val="004C6B9C"/>
    <w:rsid w:val="004C7EF1"/>
    <w:rsid w:val="004D29CE"/>
    <w:rsid w:val="004D3058"/>
    <w:rsid w:val="004D3252"/>
    <w:rsid w:val="004D3755"/>
    <w:rsid w:val="004D3F5C"/>
    <w:rsid w:val="004D5762"/>
    <w:rsid w:val="004D5899"/>
    <w:rsid w:val="004D60C3"/>
    <w:rsid w:val="004D69D0"/>
    <w:rsid w:val="004D706C"/>
    <w:rsid w:val="004D7A0A"/>
    <w:rsid w:val="004D7C8A"/>
    <w:rsid w:val="004D7FB0"/>
    <w:rsid w:val="004E0117"/>
    <w:rsid w:val="004E0933"/>
    <w:rsid w:val="004E1CFB"/>
    <w:rsid w:val="004E1FE0"/>
    <w:rsid w:val="004E35E4"/>
    <w:rsid w:val="004E35FF"/>
    <w:rsid w:val="004E39AF"/>
    <w:rsid w:val="004E4ABF"/>
    <w:rsid w:val="004E4FD9"/>
    <w:rsid w:val="004E5639"/>
    <w:rsid w:val="004E644E"/>
    <w:rsid w:val="004E6E55"/>
    <w:rsid w:val="004E790C"/>
    <w:rsid w:val="004E7F37"/>
    <w:rsid w:val="004F07B8"/>
    <w:rsid w:val="004F0895"/>
    <w:rsid w:val="004F0B88"/>
    <w:rsid w:val="004F0F7C"/>
    <w:rsid w:val="004F11CB"/>
    <w:rsid w:val="004F25AB"/>
    <w:rsid w:val="004F3B2C"/>
    <w:rsid w:val="004F5400"/>
    <w:rsid w:val="004F5BBC"/>
    <w:rsid w:val="004F75AF"/>
    <w:rsid w:val="004F78FB"/>
    <w:rsid w:val="00501130"/>
    <w:rsid w:val="005026C6"/>
    <w:rsid w:val="005027A1"/>
    <w:rsid w:val="0050352A"/>
    <w:rsid w:val="005040C4"/>
    <w:rsid w:val="0050426A"/>
    <w:rsid w:val="005042AF"/>
    <w:rsid w:val="00505363"/>
    <w:rsid w:val="00505A7C"/>
    <w:rsid w:val="005066C1"/>
    <w:rsid w:val="00507294"/>
    <w:rsid w:val="005074BD"/>
    <w:rsid w:val="00507A84"/>
    <w:rsid w:val="00507CC9"/>
    <w:rsid w:val="00507CCB"/>
    <w:rsid w:val="00507FB5"/>
    <w:rsid w:val="005103BF"/>
    <w:rsid w:val="00511D14"/>
    <w:rsid w:val="00512337"/>
    <w:rsid w:val="005130F2"/>
    <w:rsid w:val="00513235"/>
    <w:rsid w:val="005138DA"/>
    <w:rsid w:val="00513A44"/>
    <w:rsid w:val="00513D41"/>
    <w:rsid w:val="005143C1"/>
    <w:rsid w:val="00514753"/>
    <w:rsid w:val="00514A1D"/>
    <w:rsid w:val="00514E1B"/>
    <w:rsid w:val="0051629B"/>
    <w:rsid w:val="0051656A"/>
    <w:rsid w:val="005167F3"/>
    <w:rsid w:val="0051686B"/>
    <w:rsid w:val="00516892"/>
    <w:rsid w:val="00516C07"/>
    <w:rsid w:val="00520761"/>
    <w:rsid w:val="00523248"/>
    <w:rsid w:val="00523348"/>
    <w:rsid w:val="00523BC8"/>
    <w:rsid w:val="00524C20"/>
    <w:rsid w:val="00524CD1"/>
    <w:rsid w:val="00524D0F"/>
    <w:rsid w:val="0052535E"/>
    <w:rsid w:val="00526B7C"/>
    <w:rsid w:val="00527070"/>
    <w:rsid w:val="005273CB"/>
    <w:rsid w:val="00527417"/>
    <w:rsid w:val="00527872"/>
    <w:rsid w:val="00527EC5"/>
    <w:rsid w:val="00532783"/>
    <w:rsid w:val="00532C90"/>
    <w:rsid w:val="00533A71"/>
    <w:rsid w:val="005358E8"/>
    <w:rsid w:val="00535ABE"/>
    <w:rsid w:val="00536890"/>
    <w:rsid w:val="00540502"/>
    <w:rsid w:val="00540C95"/>
    <w:rsid w:val="00541605"/>
    <w:rsid w:val="00541C41"/>
    <w:rsid w:val="005421A6"/>
    <w:rsid w:val="00543C4E"/>
    <w:rsid w:val="00544D2E"/>
    <w:rsid w:val="00544E3B"/>
    <w:rsid w:val="00545A44"/>
    <w:rsid w:val="0054629E"/>
    <w:rsid w:val="00547430"/>
    <w:rsid w:val="0054774A"/>
    <w:rsid w:val="00547828"/>
    <w:rsid w:val="00547892"/>
    <w:rsid w:val="00550A83"/>
    <w:rsid w:val="005511D9"/>
    <w:rsid w:val="005512A4"/>
    <w:rsid w:val="00551BF3"/>
    <w:rsid w:val="00552AC7"/>
    <w:rsid w:val="00552C85"/>
    <w:rsid w:val="005532AF"/>
    <w:rsid w:val="00553AAE"/>
    <w:rsid w:val="005554C5"/>
    <w:rsid w:val="005555E0"/>
    <w:rsid w:val="00555B9E"/>
    <w:rsid w:val="00557CA3"/>
    <w:rsid w:val="00560BEF"/>
    <w:rsid w:val="005615F3"/>
    <w:rsid w:val="0056597D"/>
    <w:rsid w:val="00566128"/>
    <w:rsid w:val="0056641C"/>
    <w:rsid w:val="00566513"/>
    <w:rsid w:val="00566B0F"/>
    <w:rsid w:val="00566BD4"/>
    <w:rsid w:val="005702FA"/>
    <w:rsid w:val="00570695"/>
    <w:rsid w:val="00571C7C"/>
    <w:rsid w:val="00573287"/>
    <w:rsid w:val="005734ED"/>
    <w:rsid w:val="0057371D"/>
    <w:rsid w:val="00573AC8"/>
    <w:rsid w:val="00573B6B"/>
    <w:rsid w:val="00573BFC"/>
    <w:rsid w:val="00575722"/>
    <w:rsid w:val="005766D7"/>
    <w:rsid w:val="00576EFB"/>
    <w:rsid w:val="00577147"/>
    <w:rsid w:val="00580159"/>
    <w:rsid w:val="00580366"/>
    <w:rsid w:val="005810BC"/>
    <w:rsid w:val="00581ED8"/>
    <w:rsid w:val="00582D4A"/>
    <w:rsid w:val="00582E3E"/>
    <w:rsid w:val="00583457"/>
    <w:rsid w:val="005840B8"/>
    <w:rsid w:val="00584244"/>
    <w:rsid w:val="00584251"/>
    <w:rsid w:val="00584C5C"/>
    <w:rsid w:val="0058571F"/>
    <w:rsid w:val="00585837"/>
    <w:rsid w:val="0058592B"/>
    <w:rsid w:val="005871DA"/>
    <w:rsid w:val="00590E5C"/>
    <w:rsid w:val="00591EDB"/>
    <w:rsid w:val="0059201E"/>
    <w:rsid w:val="00592371"/>
    <w:rsid w:val="0059397C"/>
    <w:rsid w:val="00593A94"/>
    <w:rsid w:val="005941FF"/>
    <w:rsid w:val="005949AC"/>
    <w:rsid w:val="0059554B"/>
    <w:rsid w:val="00595619"/>
    <w:rsid w:val="00597548"/>
    <w:rsid w:val="00597858"/>
    <w:rsid w:val="005A0F62"/>
    <w:rsid w:val="005A1DFA"/>
    <w:rsid w:val="005A234F"/>
    <w:rsid w:val="005A3B62"/>
    <w:rsid w:val="005A65B7"/>
    <w:rsid w:val="005A694C"/>
    <w:rsid w:val="005A6FB5"/>
    <w:rsid w:val="005A7199"/>
    <w:rsid w:val="005A736A"/>
    <w:rsid w:val="005A769B"/>
    <w:rsid w:val="005A7B0E"/>
    <w:rsid w:val="005B0FBA"/>
    <w:rsid w:val="005B14BF"/>
    <w:rsid w:val="005B23E5"/>
    <w:rsid w:val="005B2453"/>
    <w:rsid w:val="005B3239"/>
    <w:rsid w:val="005B3504"/>
    <w:rsid w:val="005B5501"/>
    <w:rsid w:val="005B57B5"/>
    <w:rsid w:val="005B5B0E"/>
    <w:rsid w:val="005B67BD"/>
    <w:rsid w:val="005B6C27"/>
    <w:rsid w:val="005B7250"/>
    <w:rsid w:val="005B7B38"/>
    <w:rsid w:val="005B7EEA"/>
    <w:rsid w:val="005C047E"/>
    <w:rsid w:val="005C08AE"/>
    <w:rsid w:val="005C0ABA"/>
    <w:rsid w:val="005C4A46"/>
    <w:rsid w:val="005C51CA"/>
    <w:rsid w:val="005C6799"/>
    <w:rsid w:val="005C6F78"/>
    <w:rsid w:val="005D083E"/>
    <w:rsid w:val="005D0E92"/>
    <w:rsid w:val="005D1144"/>
    <w:rsid w:val="005D12DB"/>
    <w:rsid w:val="005D328F"/>
    <w:rsid w:val="005D41E3"/>
    <w:rsid w:val="005D4836"/>
    <w:rsid w:val="005D521F"/>
    <w:rsid w:val="005D5DDD"/>
    <w:rsid w:val="005D5F3B"/>
    <w:rsid w:val="005D7EF8"/>
    <w:rsid w:val="005E03D9"/>
    <w:rsid w:val="005E065B"/>
    <w:rsid w:val="005E22D7"/>
    <w:rsid w:val="005E290B"/>
    <w:rsid w:val="005E2EC4"/>
    <w:rsid w:val="005E349C"/>
    <w:rsid w:val="005E3670"/>
    <w:rsid w:val="005E5059"/>
    <w:rsid w:val="005E5DEF"/>
    <w:rsid w:val="005E67D6"/>
    <w:rsid w:val="005E7B5A"/>
    <w:rsid w:val="005E7BB8"/>
    <w:rsid w:val="005F0362"/>
    <w:rsid w:val="005F0841"/>
    <w:rsid w:val="005F09A1"/>
    <w:rsid w:val="005F0C15"/>
    <w:rsid w:val="005F0E26"/>
    <w:rsid w:val="005F1011"/>
    <w:rsid w:val="005F109A"/>
    <w:rsid w:val="005F122E"/>
    <w:rsid w:val="005F19D2"/>
    <w:rsid w:val="005F1C91"/>
    <w:rsid w:val="005F28E0"/>
    <w:rsid w:val="005F29A1"/>
    <w:rsid w:val="005F3513"/>
    <w:rsid w:val="005F4E41"/>
    <w:rsid w:val="005F53A3"/>
    <w:rsid w:val="005F549D"/>
    <w:rsid w:val="005F55AC"/>
    <w:rsid w:val="005F622A"/>
    <w:rsid w:val="005F654F"/>
    <w:rsid w:val="005F6B31"/>
    <w:rsid w:val="005F7577"/>
    <w:rsid w:val="006005E9"/>
    <w:rsid w:val="006006C7"/>
    <w:rsid w:val="0060133F"/>
    <w:rsid w:val="00601D59"/>
    <w:rsid w:val="00607B78"/>
    <w:rsid w:val="00607E5F"/>
    <w:rsid w:val="0061114F"/>
    <w:rsid w:val="00611B15"/>
    <w:rsid w:val="00611BE2"/>
    <w:rsid w:val="00611D83"/>
    <w:rsid w:val="00611F28"/>
    <w:rsid w:val="006126F3"/>
    <w:rsid w:val="00613257"/>
    <w:rsid w:val="00613941"/>
    <w:rsid w:val="00613C34"/>
    <w:rsid w:val="00614012"/>
    <w:rsid w:val="006146F1"/>
    <w:rsid w:val="00616064"/>
    <w:rsid w:val="00616C1F"/>
    <w:rsid w:val="00617E3E"/>
    <w:rsid w:val="00620A03"/>
    <w:rsid w:val="00621791"/>
    <w:rsid w:val="00621AC4"/>
    <w:rsid w:val="00621C35"/>
    <w:rsid w:val="00622B24"/>
    <w:rsid w:val="00623591"/>
    <w:rsid w:val="00623F25"/>
    <w:rsid w:val="00624016"/>
    <w:rsid w:val="00625454"/>
    <w:rsid w:val="00625BE2"/>
    <w:rsid w:val="00625C5B"/>
    <w:rsid w:val="00627376"/>
    <w:rsid w:val="00627812"/>
    <w:rsid w:val="00630A4B"/>
    <w:rsid w:val="006321A8"/>
    <w:rsid w:val="00632637"/>
    <w:rsid w:val="006327FA"/>
    <w:rsid w:val="00633629"/>
    <w:rsid w:val="00633A20"/>
    <w:rsid w:val="00633BA9"/>
    <w:rsid w:val="00633C1F"/>
    <w:rsid w:val="00634501"/>
    <w:rsid w:val="00634974"/>
    <w:rsid w:val="00635636"/>
    <w:rsid w:val="00635FED"/>
    <w:rsid w:val="0064058A"/>
    <w:rsid w:val="006405A1"/>
    <w:rsid w:val="00641FE4"/>
    <w:rsid w:val="00642ADF"/>
    <w:rsid w:val="00643359"/>
    <w:rsid w:val="0064480C"/>
    <w:rsid w:val="00645191"/>
    <w:rsid w:val="006452E7"/>
    <w:rsid w:val="00645BDD"/>
    <w:rsid w:val="00646076"/>
    <w:rsid w:val="006468B3"/>
    <w:rsid w:val="006468F9"/>
    <w:rsid w:val="006472BA"/>
    <w:rsid w:val="00647CE9"/>
    <w:rsid w:val="00650783"/>
    <w:rsid w:val="0065091B"/>
    <w:rsid w:val="006509EB"/>
    <w:rsid w:val="00651A4D"/>
    <w:rsid w:val="00652054"/>
    <w:rsid w:val="00652F74"/>
    <w:rsid w:val="00655408"/>
    <w:rsid w:val="006561D1"/>
    <w:rsid w:val="00656A0C"/>
    <w:rsid w:val="00656EB5"/>
    <w:rsid w:val="0066006F"/>
    <w:rsid w:val="0066112E"/>
    <w:rsid w:val="006614D4"/>
    <w:rsid w:val="00662C8B"/>
    <w:rsid w:val="00662E3C"/>
    <w:rsid w:val="00664688"/>
    <w:rsid w:val="006649BB"/>
    <w:rsid w:val="00664E55"/>
    <w:rsid w:val="00664FA8"/>
    <w:rsid w:val="0066535F"/>
    <w:rsid w:val="00666102"/>
    <w:rsid w:val="006665F3"/>
    <w:rsid w:val="00667E39"/>
    <w:rsid w:val="0067032E"/>
    <w:rsid w:val="00670733"/>
    <w:rsid w:val="00671BD2"/>
    <w:rsid w:val="00673E16"/>
    <w:rsid w:val="00674BEC"/>
    <w:rsid w:val="00674EA7"/>
    <w:rsid w:val="006757A3"/>
    <w:rsid w:val="0067626A"/>
    <w:rsid w:val="00676CB9"/>
    <w:rsid w:val="00676F46"/>
    <w:rsid w:val="0067767D"/>
    <w:rsid w:val="00677760"/>
    <w:rsid w:val="00680D5E"/>
    <w:rsid w:val="00681E85"/>
    <w:rsid w:val="006827C7"/>
    <w:rsid w:val="006840E8"/>
    <w:rsid w:val="006847D0"/>
    <w:rsid w:val="00684AF1"/>
    <w:rsid w:val="00685E0E"/>
    <w:rsid w:val="006863DB"/>
    <w:rsid w:val="00686A0F"/>
    <w:rsid w:val="00687088"/>
    <w:rsid w:val="0069112B"/>
    <w:rsid w:val="00691776"/>
    <w:rsid w:val="006917A2"/>
    <w:rsid w:val="00691CAD"/>
    <w:rsid w:val="00693689"/>
    <w:rsid w:val="00694B88"/>
    <w:rsid w:val="00694DA1"/>
    <w:rsid w:val="00695917"/>
    <w:rsid w:val="00695CE9"/>
    <w:rsid w:val="00696423"/>
    <w:rsid w:val="00696645"/>
    <w:rsid w:val="00696CC7"/>
    <w:rsid w:val="006A0DFA"/>
    <w:rsid w:val="006A0F3E"/>
    <w:rsid w:val="006A132F"/>
    <w:rsid w:val="006A1620"/>
    <w:rsid w:val="006A1CB0"/>
    <w:rsid w:val="006A2FC2"/>
    <w:rsid w:val="006A31AE"/>
    <w:rsid w:val="006A526A"/>
    <w:rsid w:val="006A6C12"/>
    <w:rsid w:val="006A7305"/>
    <w:rsid w:val="006A7C3A"/>
    <w:rsid w:val="006B010F"/>
    <w:rsid w:val="006B1997"/>
    <w:rsid w:val="006B1E92"/>
    <w:rsid w:val="006B2495"/>
    <w:rsid w:val="006B289E"/>
    <w:rsid w:val="006B3118"/>
    <w:rsid w:val="006B31DF"/>
    <w:rsid w:val="006B46B4"/>
    <w:rsid w:val="006B4DCA"/>
    <w:rsid w:val="006B56DC"/>
    <w:rsid w:val="006B5F93"/>
    <w:rsid w:val="006B62AE"/>
    <w:rsid w:val="006B6B03"/>
    <w:rsid w:val="006B6B91"/>
    <w:rsid w:val="006B6F6B"/>
    <w:rsid w:val="006C0C11"/>
    <w:rsid w:val="006C0D08"/>
    <w:rsid w:val="006C188F"/>
    <w:rsid w:val="006C2A1C"/>
    <w:rsid w:val="006C2BE7"/>
    <w:rsid w:val="006C31BA"/>
    <w:rsid w:val="006C3C4F"/>
    <w:rsid w:val="006C4D9F"/>
    <w:rsid w:val="006C679F"/>
    <w:rsid w:val="006C772B"/>
    <w:rsid w:val="006C7E4F"/>
    <w:rsid w:val="006CEEC2"/>
    <w:rsid w:val="006D1712"/>
    <w:rsid w:val="006D1981"/>
    <w:rsid w:val="006D1E5A"/>
    <w:rsid w:val="006D34BE"/>
    <w:rsid w:val="006D34C8"/>
    <w:rsid w:val="006D3B15"/>
    <w:rsid w:val="006D4A1E"/>
    <w:rsid w:val="006D5660"/>
    <w:rsid w:val="006D5EB2"/>
    <w:rsid w:val="006D6BEB"/>
    <w:rsid w:val="006E1564"/>
    <w:rsid w:val="006E1EC7"/>
    <w:rsid w:val="006E1FF1"/>
    <w:rsid w:val="006E2C7A"/>
    <w:rsid w:val="006E3036"/>
    <w:rsid w:val="006E3891"/>
    <w:rsid w:val="006E4826"/>
    <w:rsid w:val="006E4B54"/>
    <w:rsid w:val="006E5CF4"/>
    <w:rsid w:val="006E762B"/>
    <w:rsid w:val="006F0081"/>
    <w:rsid w:val="006F0241"/>
    <w:rsid w:val="006F04E5"/>
    <w:rsid w:val="006F0E97"/>
    <w:rsid w:val="006F129B"/>
    <w:rsid w:val="006F1428"/>
    <w:rsid w:val="006F2AF9"/>
    <w:rsid w:val="006F354B"/>
    <w:rsid w:val="006F41C9"/>
    <w:rsid w:val="006F5FB2"/>
    <w:rsid w:val="006F7EB3"/>
    <w:rsid w:val="00700214"/>
    <w:rsid w:val="007016CE"/>
    <w:rsid w:val="0070186F"/>
    <w:rsid w:val="00701CBD"/>
    <w:rsid w:val="00702075"/>
    <w:rsid w:val="00702D16"/>
    <w:rsid w:val="00702DED"/>
    <w:rsid w:val="00703CF2"/>
    <w:rsid w:val="00703D56"/>
    <w:rsid w:val="00705D4D"/>
    <w:rsid w:val="00705E14"/>
    <w:rsid w:val="00706AA0"/>
    <w:rsid w:val="00706CE8"/>
    <w:rsid w:val="0070728B"/>
    <w:rsid w:val="00707AE5"/>
    <w:rsid w:val="007107F0"/>
    <w:rsid w:val="00710AC5"/>
    <w:rsid w:val="00711114"/>
    <w:rsid w:val="00711F68"/>
    <w:rsid w:val="0071252F"/>
    <w:rsid w:val="007137E9"/>
    <w:rsid w:val="00713CF5"/>
    <w:rsid w:val="007147CD"/>
    <w:rsid w:val="007156A9"/>
    <w:rsid w:val="00715855"/>
    <w:rsid w:val="00715C80"/>
    <w:rsid w:val="00715F75"/>
    <w:rsid w:val="00717184"/>
    <w:rsid w:val="007176B9"/>
    <w:rsid w:val="00720608"/>
    <w:rsid w:val="00720AD0"/>
    <w:rsid w:val="00720F2E"/>
    <w:rsid w:val="00721B45"/>
    <w:rsid w:val="00722CFC"/>
    <w:rsid w:val="007234B1"/>
    <w:rsid w:val="00723742"/>
    <w:rsid w:val="00725347"/>
    <w:rsid w:val="00725807"/>
    <w:rsid w:val="00725BF1"/>
    <w:rsid w:val="00726089"/>
    <w:rsid w:val="00726523"/>
    <w:rsid w:val="00726F6B"/>
    <w:rsid w:val="00727084"/>
    <w:rsid w:val="00727261"/>
    <w:rsid w:val="00730281"/>
    <w:rsid w:val="00732FD4"/>
    <w:rsid w:val="007337EB"/>
    <w:rsid w:val="0073390B"/>
    <w:rsid w:val="007346EE"/>
    <w:rsid w:val="0073473F"/>
    <w:rsid w:val="00735802"/>
    <w:rsid w:val="0073602E"/>
    <w:rsid w:val="00736D3D"/>
    <w:rsid w:val="007370CD"/>
    <w:rsid w:val="00737393"/>
    <w:rsid w:val="00740684"/>
    <w:rsid w:val="00740CDA"/>
    <w:rsid w:val="007411F5"/>
    <w:rsid w:val="0074198B"/>
    <w:rsid w:val="00742D12"/>
    <w:rsid w:val="00743330"/>
    <w:rsid w:val="0074388A"/>
    <w:rsid w:val="00743B80"/>
    <w:rsid w:val="007442F0"/>
    <w:rsid w:val="007447BD"/>
    <w:rsid w:val="00744968"/>
    <w:rsid w:val="00744AA1"/>
    <w:rsid w:val="0074538F"/>
    <w:rsid w:val="007461B0"/>
    <w:rsid w:val="00746361"/>
    <w:rsid w:val="007478E8"/>
    <w:rsid w:val="0075093F"/>
    <w:rsid w:val="00750C62"/>
    <w:rsid w:val="007517B7"/>
    <w:rsid w:val="007519C0"/>
    <w:rsid w:val="00752442"/>
    <w:rsid w:val="007527B6"/>
    <w:rsid w:val="00752C54"/>
    <w:rsid w:val="0075399C"/>
    <w:rsid w:val="00753C98"/>
    <w:rsid w:val="0075408C"/>
    <w:rsid w:val="00754CD2"/>
    <w:rsid w:val="007551A1"/>
    <w:rsid w:val="00755480"/>
    <w:rsid w:val="007566AB"/>
    <w:rsid w:val="007604A6"/>
    <w:rsid w:val="00760AF1"/>
    <w:rsid w:val="007613E5"/>
    <w:rsid w:val="0076197F"/>
    <w:rsid w:val="00761CF0"/>
    <w:rsid w:val="00761DCA"/>
    <w:rsid w:val="00762078"/>
    <w:rsid w:val="00762204"/>
    <w:rsid w:val="00762845"/>
    <w:rsid w:val="00762E58"/>
    <w:rsid w:val="00763F03"/>
    <w:rsid w:val="00763FB4"/>
    <w:rsid w:val="00764035"/>
    <w:rsid w:val="00764B5A"/>
    <w:rsid w:val="00764C37"/>
    <w:rsid w:val="00764F30"/>
    <w:rsid w:val="007656C2"/>
    <w:rsid w:val="00767E1D"/>
    <w:rsid w:val="00770079"/>
    <w:rsid w:val="007701A4"/>
    <w:rsid w:val="00771301"/>
    <w:rsid w:val="00772A3F"/>
    <w:rsid w:val="00772AC8"/>
    <w:rsid w:val="00772B36"/>
    <w:rsid w:val="00772DC7"/>
    <w:rsid w:val="00772F27"/>
    <w:rsid w:val="007738E3"/>
    <w:rsid w:val="0077461D"/>
    <w:rsid w:val="00774E0C"/>
    <w:rsid w:val="00775015"/>
    <w:rsid w:val="007768D4"/>
    <w:rsid w:val="00777131"/>
    <w:rsid w:val="0077744B"/>
    <w:rsid w:val="007774EE"/>
    <w:rsid w:val="0077788C"/>
    <w:rsid w:val="00777D80"/>
    <w:rsid w:val="00780751"/>
    <w:rsid w:val="0078080E"/>
    <w:rsid w:val="007808CA"/>
    <w:rsid w:val="00781227"/>
    <w:rsid w:val="007822DA"/>
    <w:rsid w:val="0078238D"/>
    <w:rsid w:val="007839A8"/>
    <w:rsid w:val="007845B2"/>
    <w:rsid w:val="00784971"/>
    <w:rsid w:val="00784E8A"/>
    <w:rsid w:val="00785202"/>
    <w:rsid w:val="00786942"/>
    <w:rsid w:val="007875C0"/>
    <w:rsid w:val="00787744"/>
    <w:rsid w:val="00787EFC"/>
    <w:rsid w:val="00790A33"/>
    <w:rsid w:val="00790D65"/>
    <w:rsid w:val="00790F4E"/>
    <w:rsid w:val="007910FC"/>
    <w:rsid w:val="00791844"/>
    <w:rsid w:val="00791E6E"/>
    <w:rsid w:val="0079233A"/>
    <w:rsid w:val="00792D8D"/>
    <w:rsid w:val="00793590"/>
    <w:rsid w:val="0079379C"/>
    <w:rsid w:val="00793C5C"/>
    <w:rsid w:val="00793F88"/>
    <w:rsid w:val="00797566"/>
    <w:rsid w:val="00797877"/>
    <w:rsid w:val="00797DD3"/>
    <w:rsid w:val="007A032C"/>
    <w:rsid w:val="007A08D2"/>
    <w:rsid w:val="007A18F7"/>
    <w:rsid w:val="007A277C"/>
    <w:rsid w:val="007A2FA7"/>
    <w:rsid w:val="007A3106"/>
    <w:rsid w:val="007A353C"/>
    <w:rsid w:val="007A357C"/>
    <w:rsid w:val="007A3A7B"/>
    <w:rsid w:val="007A3DAE"/>
    <w:rsid w:val="007A4A9C"/>
    <w:rsid w:val="007A5038"/>
    <w:rsid w:val="007A62AB"/>
    <w:rsid w:val="007A6B3C"/>
    <w:rsid w:val="007A6CEA"/>
    <w:rsid w:val="007A6F70"/>
    <w:rsid w:val="007A7159"/>
    <w:rsid w:val="007A78E6"/>
    <w:rsid w:val="007A7DC3"/>
    <w:rsid w:val="007A7E66"/>
    <w:rsid w:val="007B1025"/>
    <w:rsid w:val="007B1154"/>
    <w:rsid w:val="007B2329"/>
    <w:rsid w:val="007B27A5"/>
    <w:rsid w:val="007B2B4F"/>
    <w:rsid w:val="007B2EF9"/>
    <w:rsid w:val="007B3788"/>
    <w:rsid w:val="007B3B28"/>
    <w:rsid w:val="007B3F83"/>
    <w:rsid w:val="007B70AB"/>
    <w:rsid w:val="007B7A49"/>
    <w:rsid w:val="007C01C4"/>
    <w:rsid w:val="007C1CC6"/>
    <w:rsid w:val="007C2488"/>
    <w:rsid w:val="007C32A2"/>
    <w:rsid w:val="007C3C65"/>
    <w:rsid w:val="007C3E45"/>
    <w:rsid w:val="007C5872"/>
    <w:rsid w:val="007C598F"/>
    <w:rsid w:val="007C5B94"/>
    <w:rsid w:val="007C62E4"/>
    <w:rsid w:val="007C7126"/>
    <w:rsid w:val="007C7CC3"/>
    <w:rsid w:val="007D2853"/>
    <w:rsid w:val="007D366B"/>
    <w:rsid w:val="007D3B14"/>
    <w:rsid w:val="007D3F74"/>
    <w:rsid w:val="007D4221"/>
    <w:rsid w:val="007D43AC"/>
    <w:rsid w:val="007D4806"/>
    <w:rsid w:val="007D5930"/>
    <w:rsid w:val="007D5AB1"/>
    <w:rsid w:val="007D5D58"/>
    <w:rsid w:val="007D6845"/>
    <w:rsid w:val="007D7061"/>
    <w:rsid w:val="007D7D7E"/>
    <w:rsid w:val="007E0B9F"/>
    <w:rsid w:val="007E1905"/>
    <w:rsid w:val="007E1C3E"/>
    <w:rsid w:val="007E2317"/>
    <w:rsid w:val="007E2EA6"/>
    <w:rsid w:val="007E2F97"/>
    <w:rsid w:val="007E38C9"/>
    <w:rsid w:val="007E3909"/>
    <w:rsid w:val="007E4D96"/>
    <w:rsid w:val="007E5133"/>
    <w:rsid w:val="007E5AA3"/>
    <w:rsid w:val="007E7064"/>
    <w:rsid w:val="007E7812"/>
    <w:rsid w:val="007E78CC"/>
    <w:rsid w:val="007F0647"/>
    <w:rsid w:val="007F15D4"/>
    <w:rsid w:val="007F278A"/>
    <w:rsid w:val="007F3C43"/>
    <w:rsid w:val="007F5184"/>
    <w:rsid w:val="007F5481"/>
    <w:rsid w:val="007F5C70"/>
    <w:rsid w:val="007F5D16"/>
    <w:rsid w:val="007F5D31"/>
    <w:rsid w:val="007F621C"/>
    <w:rsid w:val="007F648C"/>
    <w:rsid w:val="007F75C9"/>
    <w:rsid w:val="007F7A1D"/>
    <w:rsid w:val="0080022B"/>
    <w:rsid w:val="00800461"/>
    <w:rsid w:val="00800B92"/>
    <w:rsid w:val="00801717"/>
    <w:rsid w:val="0080311E"/>
    <w:rsid w:val="0080373E"/>
    <w:rsid w:val="0080378E"/>
    <w:rsid w:val="00803969"/>
    <w:rsid w:val="00803A58"/>
    <w:rsid w:val="00803E75"/>
    <w:rsid w:val="00804712"/>
    <w:rsid w:val="008048D8"/>
    <w:rsid w:val="0080617E"/>
    <w:rsid w:val="00806C77"/>
    <w:rsid w:val="00806F70"/>
    <w:rsid w:val="0080720C"/>
    <w:rsid w:val="00807FF8"/>
    <w:rsid w:val="0081086F"/>
    <w:rsid w:val="00810F44"/>
    <w:rsid w:val="0081165D"/>
    <w:rsid w:val="0081257B"/>
    <w:rsid w:val="00812BFA"/>
    <w:rsid w:val="00813A42"/>
    <w:rsid w:val="00813C59"/>
    <w:rsid w:val="008142D1"/>
    <w:rsid w:val="00814606"/>
    <w:rsid w:val="00814D03"/>
    <w:rsid w:val="00815747"/>
    <w:rsid w:val="00815758"/>
    <w:rsid w:val="00815AC4"/>
    <w:rsid w:val="008165C8"/>
    <w:rsid w:val="00816AAC"/>
    <w:rsid w:val="00817655"/>
    <w:rsid w:val="00820353"/>
    <w:rsid w:val="0082091C"/>
    <w:rsid w:val="008209E8"/>
    <w:rsid w:val="00820B9C"/>
    <w:rsid w:val="008210C2"/>
    <w:rsid w:val="0082122F"/>
    <w:rsid w:val="00822D9A"/>
    <w:rsid w:val="00822EBD"/>
    <w:rsid w:val="00822FB3"/>
    <w:rsid w:val="00823216"/>
    <w:rsid w:val="0082353E"/>
    <w:rsid w:val="00823C61"/>
    <w:rsid w:val="008244D0"/>
    <w:rsid w:val="008249D7"/>
    <w:rsid w:val="00824A52"/>
    <w:rsid w:val="00824FA5"/>
    <w:rsid w:val="00825768"/>
    <w:rsid w:val="00825F5C"/>
    <w:rsid w:val="0082600C"/>
    <w:rsid w:val="00826AE9"/>
    <w:rsid w:val="00826D3C"/>
    <w:rsid w:val="0082787F"/>
    <w:rsid w:val="00827EC1"/>
    <w:rsid w:val="008302D5"/>
    <w:rsid w:val="008305DD"/>
    <w:rsid w:val="00830719"/>
    <w:rsid w:val="008308CD"/>
    <w:rsid w:val="00831006"/>
    <w:rsid w:val="008318E0"/>
    <w:rsid w:val="008329AF"/>
    <w:rsid w:val="0083380D"/>
    <w:rsid w:val="0083388E"/>
    <w:rsid w:val="00833AAF"/>
    <w:rsid w:val="00833F50"/>
    <w:rsid w:val="00834D98"/>
    <w:rsid w:val="00834FDD"/>
    <w:rsid w:val="00835B27"/>
    <w:rsid w:val="00835CB9"/>
    <w:rsid w:val="008367F8"/>
    <w:rsid w:val="00837738"/>
    <w:rsid w:val="0084029A"/>
    <w:rsid w:val="00841EBB"/>
    <w:rsid w:val="008427CC"/>
    <w:rsid w:val="00842945"/>
    <w:rsid w:val="008436DC"/>
    <w:rsid w:val="008448A7"/>
    <w:rsid w:val="00844CD4"/>
    <w:rsid w:val="00846618"/>
    <w:rsid w:val="00846F21"/>
    <w:rsid w:val="0084748A"/>
    <w:rsid w:val="00847CFB"/>
    <w:rsid w:val="0084B903"/>
    <w:rsid w:val="00854574"/>
    <w:rsid w:val="00854EA3"/>
    <w:rsid w:val="0085556E"/>
    <w:rsid w:val="00855AFA"/>
    <w:rsid w:val="00855E63"/>
    <w:rsid w:val="00855EE2"/>
    <w:rsid w:val="0085605C"/>
    <w:rsid w:val="00856431"/>
    <w:rsid w:val="00856576"/>
    <w:rsid w:val="00860957"/>
    <w:rsid w:val="00860A0E"/>
    <w:rsid w:val="00860C59"/>
    <w:rsid w:val="00860C87"/>
    <w:rsid w:val="00861929"/>
    <w:rsid w:val="0086285C"/>
    <w:rsid w:val="00863715"/>
    <w:rsid w:val="008647DE"/>
    <w:rsid w:val="0086573C"/>
    <w:rsid w:val="00865A99"/>
    <w:rsid w:val="00866D7D"/>
    <w:rsid w:val="008706BD"/>
    <w:rsid w:val="0087233A"/>
    <w:rsid w:val="0087313B"/>
    <w:rsid w:val="008734CC"/>
    <w:rsid w:val="00873DB6"/>
    <w:rsid w:val="00873E4E"/>
    <w:rsid w:val="00874195"/>
    <w:rsid w:val="0087580B"/>
    <w:rsid w:val="00876684"/>
    <w:rsid w:val="0087717B"/>
    <w:rsid w:val="00877834"/>
    <w:rsid w:val="008802D1"/>
    <w:rsid w:val="00880B1B"/>
    <w:rsid w:val="00880DD1"/>
    <w:rsid w:val="00881430"/>
    <w:rsid w:val="00881803"/>
    <w:rsid w:val="00883681"/>
    <w:rsid w:val="008836F7"/>
    <w:rsid w:val="00883871"/>
    <w:rsid w:val="008849CE"/>
    <w:rsid w:val="008864EF"/>
    <w:rsid w:val="0088657C"/>
    <w:rsid w:val="008905A4"/>
    <w:rsid w:val="008906D6"/>
    <w:rsid w:val="00893208"/>
    <w:rsid w:val="00893880"/>
    <w:rsid w:val="00893AD5"/>
    <w:rsid w:val="008949BE"/>
    <w:rsid w:val="00894C90"/>
    <w:rsid w:val="00895702"/>
    <w:rsid w:val="00895FEE"/>
    <w:rsid w:val="00896919"/>
    <w:rsid w:val="0089754B"/>
    <w:rsid w:val="00897D41"/>
    <w:rsid w:val="008A0960"/>
    <w:rsid w:val="008A10FB"/>
    <w:rsid w:val="008A1D17"/>
    <w:rsid w:val="008A1E70"/>
    <w:rsid w:val="008A1EC4"/>
    <w:rsid w:val="008A1F3E"/>
    <w:rsid w:val="008A26E4"/>
    <w:rsid w:val="008A3B12"/>
    <w:rsid w:val="008A4735"/>
    <w:rsid w:val="008A5497"/>
    <w:rsid w:val="008A5554"/>
    <w:rsid w:val="008A593F"/>
    <w:rsid w:val="008A5D08"/>
    <w:rsid w:val="008A65DE"/>
    <w:rsid w:val="008A7730"/>
    <w:rsid w:val="008A7B81"/>
    <w:rsid w:val="008B1765"/>
    <w:rsid w:val="008B207D"/>
    <w:rsid w:val="008B2FFB"/>
    <w:rsid w:val="008B3D6C"/>
    <w:rsid w:val="008B3F30"/>
    <w:rsid w:val="008B4A44"/>
    <w:rsid w:val="008B5B65"/>
    <w:rsid w:val="008B6410"/>
    <w:rsid w:val="008B6AA4"/>
    <w:rsid w:val="008B7231"/>
    <w:rsid w:val="008B776F"/>
    <w:rsid w:val="008C037B"/>
    <w:rsid w:val="008C0463"/>
    <w:rsid w:val="008C0606"/>
    <w:rsid w:val="008C0F2E"/>
    <w:rsid w:val="008C3420"/>
    <w:rsid w:val="008C41FE"/>
    <w:rsid w:val="008C4C43"/>
    <w:rsid w:val="008C527D"/>
    <w:rsid w:val="008C5353"/>
    <w:rsid w:val="008C5C72"/>
    <w:rsid w:val="008C5CF3"/>
    <w:rsid w:val="008C64E3"/>
    <w:rsid w:val="008C6BB3"/>
    <w:rsid w:val="008C737C"/>
    <w:rsid w:val="008C741F"/>
    <w:rsid w:val="008D17F0"/>
    <w:rsid w:val="008D294C"/>
    <w:rsid w:val="008D3D4C"/>
    <w:rsid w:val="008D3DAE"/>
    <w:rsid w:val="008D4771"/>
    <w:rsid w:val="008D48AB"/>
    <w:rsid w:val="008D651F"/>
    <w:rsid w:val="008D6B08"/>
    <w:rsid w:val="008D7632"/>
    <w:rsid w:val="008D7A36"/>
    <w:rsid w:val="008E00C6"/>
    <w:rsid w:val="008E02E9"/>
    <w:rsid w:val="008E0F79"/>
    <w:rsid w:val="008E1601"/>
    <w:rsid w:val="008E2E90"/>
    <w:rsid w:val="008E3340"/>
    <w:rsid w:val="008E3E37"/>
    <w:rsid w:val="008E65DE"/>
    <w:rsid w:val="008E7394"/>
    <w:rsid w:val="008E770D"/>
    <w:rsid w:val="008E7C24"/>
    <w:rsid w:val="008F1E27"/>
    <w:rsid w:val="008F2285"/>
    <w:rsid w:val="008F41ED"/>
    <w:rsid w:val="008F4A0F"/>
    <w:rsid w:val="008F52F4"/>
    <w:rsid w:val="008F5452"/>
    <w:rsid w:val="008F6D47"/>
    <w:rsid w:val="00901829"/>
    <w:rsid w:val="00901DB8"/>
    <w:rsid w:val="00901DF2"/>
    <w:rsid w:val="0090245E"/>
    <w:rsid w:val="00903540"/>
    <w:rsid w:val="0090472A"/>
    <w:rsid w:val="009048E1"/>
    <w:rsid w:val="009057DD"/>
    <w:rsid w:val="009058CD"/>
    <w:rsid w:val="009058D2"/>
    <w:rsid w:val="009063F3"/>
    <w:rsid w:val="00907529"/>
    <w:rsid w:val="00907715"/>
    <w:rsid w:val="00910421"/>
    <w:rsid w:val="00912B4E"/>
    <w:rsid w:val="00912F2B"/>
    <w:rsid w:val="00912FBD"/>
    <w:rsid w:val="009133E2"/>
    <w:rsid w:val="00913CDC"/>
    <w:rsid w:val="00913E39"/>
    <w:rsid w:val="00915B8D"/>
    <w:rsid w:val="00915C73"/>
    <w:rsid w:val="009164A6"/>
    <w:rsid w:val="00916ACA"/>
    <w:rsid w:val="00920212"/>
    <w:rsid w:val="00920F65"/>
    <w:rsid w:val="009219FB"/>
    <w:rsid w:val="00922339"/>
    <w:rsid w:val="00922F6B"/>
    <w:rsid w:val="00924C5E"/>
    <w:rsid w:val="00924F77"/>
    <w:rsid w:val="009250C8"/>
    <w:rsid w:val="009254CD"/>
    <w:rsid w:val="00925511"/>
    <w:rsid w:val="0092562B"/>
    <w:rsid w:val="00926A76"/>
    <w:rsid w:val="00927026"/>
    <w:rsid w:val="00927604"/>
    <w:rsid w:val="009305F8"/>
    <w:rsid w:val="00930F0E"/>
    <w:rsid w:val="009313E2"/>
    <w:rsid w:val="0093370B"/>
    <w:rsid w:val="0093382C"/>
    <w:rsid w:val="0093434E"/>
    <w:rsid w:val="00934BA3"/>
    <w:rsid w:val="009361BB"/>
    <w:rsid w:val="00936502"/>
    <w:rsid w:val="00936B99"/>
    <w:rsid w:val="0093700F"/>
    <w:rsid w:val="0093C508"/>
    <w:rsid w:val="00940BF2"/>
    <w:rsid w:val="009417D9"/>
    <w:rsid w:val="00941AFA"/>
    <w:rsid w:val="00941EB1"/>
    <w:rsid w:val="009422CF"/>
    <w:rsid w:val="009423B8"/>
    <w:rsid w:val="00943525"/>
    <w:rsid w:val="0094449C"/>
    <w:rsid w:val="009466C8"/>
    <w:rsid w:val="00947385"/>
    <w:rsid w:val="00950029"/>
    <w:rsid w:val="009502EF"/>
    <w:rsid w:val="00950486"/>
    <w:rsid w:val="00950912"/>
    <w:rsid w:val="00950A08"/>
    <w:rsid w:val="00950F30"/>
    <w:rsid w:val="00951A35"/>
    <w:rsid w:val="00951D90"/>
    <w:rsid w:val="0095230F"/>
    <w:rsid w:val="00952AD3"/>
    <w:rsid w:val="0095318F"/>
    <w:rsid w:val="009533D6"/>
    <w:rsid w:val="00953D1F"/>
    <w:rsid w:val="00953EA8"/>
    <w:rsid w:val="00954317"/>
    <w:rsid w:val="00954321"/>
    <w:rsid w:val="009543CC"/>
    <w:rsid w:val="0095480E"/>
    <w:rsid w:val="00954882"/>
    <w:rsid w:val="00954D7B"/>
    <w:rsid w:val="009564F8"/>
    <w:rsid w:val="009566FD"/>
    <w:rsid w:val="00957621"/>
    <w:rsid w:val="00957D1A"/>
    <w:rsid w:val="00957D8A"/>
    <w:rsid w:val="00957DD9"/>
    <w:rsid w:val="00957ED2"/>
    <w:rsid w:val="00960B34"/>
    <w:rsid w:val="00961C52"/>
    <w:rsid w:val="00962390"/>
    <w:rsid w:val="00962938"/>
    <w:rsid w:val="00962E2B"/>
    <w:rsid w:val="00962E49"/>
    <w:rsid w:val="00962EFA"/>
    <w:rsid w:val="00963179"/>
    <w:rsid w:val="00965301"/>
    <w:rsid w:val="0096624A"/>
    <w:rsid w:val="0096688F"/>
    <w:rsid w:val="00966F4E"/>
    <w:rsid w:val="00967451"/>
    <w:rsid w:val="009702EB"/>
    <w:rsid w:val="00970498"/>
    <w:rsid w:val="009708A4"/>
    <w:rsid w:val="00971204"/>
    <w:rsid w:val="009724ED"/>
    <w:rsid w:val="009729C4"/>
    <w:rsid w:val="009731E1"/>
    <w:rsid w:val="00973958"/>
    <w:rsid w:val="00973EFE"/>
    <w:rsid w:val="00973FE8"/>
    <w:rsid w:val="009740DA"/>
    <w:rsid w:val="009747A0"/>
    <w:rsid w:val="0097598A"/>
    <w:rsid w:val="00975B75"/>
    <w:rsid w:val="00976B9A"/>
    <w:rsid w:val="00976CD8"/>
    <w:rsid w:val="00977C0E"/>
    <w:rsid w:val="0098004B"/>
    <w:rsid w:val="00980A20"/>
    <w:rsid w:val="00980BBB"/>
    <w:rsid w:val="00981554"/>
    <w:rsid w:val="00982511"/>
    <w:rsid w:val="009838D5"/>
    <w:rsid w:val="00983F7E"/>
    <w:rsid w:val="0098462F"/>
    <w:rsid w:val="0098485E"/>
    <w:rsid w:val="00985202"/>
    <w:rsid w:val="009862A8"/>
    <w:rsid w:val="00987E25"/>
    <w:rsid w:val="00990C6F"/>
    <w:rsid w:val="00991200"/>
    <w:rsid w:val="00991DFC"/>
    <w:rsid w:val="0099236A"/>
    <w:rsid w:val="00992732"/>
    <w:rsid w:val="00992CD0"/>
    <w:rsid w:val="00995951"/>
    <w:rsid w:val="009959BE"/>
    <w:rsid w:val="00995F7F"/>
    <w:rsid w:val="00996530"/>
    <w:rsid w:val="00996EB5"/>
    <w:rsid w:val="0099720D"/>
    <w:rsid w:val="00997E62"/>
    <w:rsid w:val="009A028A"/>
    <w:rsid w:val="009A0753"/>
    <w:rsid w:val="009A0FFF"/>
    <w:rsid w:val="009A1C1D"/>
    <w:rsid w:val="009A1F7F"/>
    <w:rsid w:val="009A3D21"/>
    <w:rsid w:val="009A420F"/>
    <w:rsid w:val="009A666C"/>
    <w:rsid w:val="009A7941"/>
    <w:rsid w:val="009B014F"/>
    <w:rsid w:val="009B0BC0"/>
    <w:rsid w:val="009B0FF3"/>
    <w:rsid w:val="009B105F"/>
    <w:rsid w:val="009B1B79"/>
    <w:rsid w:val="009B25B2"/>
    <w:rsid w:val="009B3BA1"/>
    <w:rsid w:val="009B47B1"/>
    <w:rsid w:val="009B5074"/>
    <w:rsid w:val="009C0486"/>
    <w:rsid w:val="009C0B3C"/>
    <w:rsid w:val="009C0BB4"/>
    <w:rsid w:val="009C0D4F"/>
    <w:rsid w:val="009C1089"/>
    <w:rsid w:val="009C16C5"/>
    <w:rsid w:val="009C2D4C"/>
    <w:rsid w:val="009C3E19"/>
    <w:rsid w:val="009C52C2"/>
    <w:rsid w:val="009C57EB"/>
    <w:rsid w:val="009C5DED"/>
    <w:rsid w:val="009C6B41"/>
    <w:rsid w:val="009C79F2"/>
    <w:rsid w:val="009D0017"/>
    <w:rsid w:val="009D024C"/>
    <w:rsid w:val="009D04A2"/>
    <w:rsid w:val="009D0A3C"/>
    <w:rsid w:val="009D0EE2"/>
    <w:rsid w:val="009D3773"/>
    <w:rsid w:val="009D3AD1"/>
    <w:rsid w:val="009D3DDF"/>
    <w:rsid w:val="009D3FBC"/>
    <w:rsid w:val="009D41A1"/>
    <w:rsid w:val="009D4F94"/>
    <w:rsid w:val="009D56B7"/>
    <w:rsid w:val="009D6D56"/>
    <w:rsid w:val="009E11B1"/>
    <w:rsid w:val="009E178B"/>
    <w:rsid w:val="009E1A09"/>
    <w:rsid w:val="009E1E3A"/>
    <w:rsid w:val="009E3322"/>
    <w:rsid w:val="009E4263"/>
    <w:rsid w:val="009E42CF"/>
    <w:rsid w:val="009E46B1"/>
    <w:rsid w:val="009E5517"/>
    <w:rsid w:val="009E5B15"/>
    <w:rsid w:val="009E6E74"/>
    <w:rsid w:val="009E70A2"/>
    <w:rsid w:val="009E723A"/>
    <w:rsid w:val="009E77A0"/>
    <w:rsid w:val="009E7DB2"/>
    <w:rsid w:val="009F0C63"/>
    <w:rsid w:val="009F1503"/>
    <w:rsid w:val="009F153B"/>
    <w:rsid w:val="009F1922"/>
    <w:rsid w:val="009F247F"/>
    <w:rsid w:val="009F2C37"/>
    <w:rsid w:val="009F2FC3"/>
    <w:rsid w:val="009F3174"/>
    <w:rsid w:val="009F33B5"/>
    <w:rsid w:val="009F572E"/>
    <w:rsid w:val="009F58E7"/>
    <w:rsid w:val="009F6885"/>
    <w:rsid w:val="009F76D1"/>
    <w:rsid w:val="009F778D"/>
    <w:rsid w:val="009F7E9F"/>
    <w:rsid w:val="00A01FF7"/>
    <w:rsid w:val="00A02163"/>
    <w:rsid w:val="00A02802"/>
    <w:rsid w:val="00A02975"/>
    <w:rsid w:val="00A02A8E"/>
    <w:rsid w:val="00A03210"/>
    <w:rsid w:val="00A03A4F"/>
    <w:rsid w:val="00A03C57"/>
    <w:rsid w:val="00A04DFB"/>
    <w:rsid w:val="00A05388"/>
    <w:rsid w:val="00A05C1D"/>
    <w:rsid w:val="00A06591"/>
    <w:rsid w:val="00A07671"/>
    <w:rsid w:val="00A07D70"/>
    <w:rsid w:val="00A1167C"/>
    <w:rsid w:val="00A12403"/>
    <w:rsid w:val="00A1295C"/>
    <w:rsid w:val="00A13CA3"/>
    <w:rsid w:val="00A14092"/>
    <w:rsid w:val="00A14AAE"/>
    <w:rsid w:val="00A1551B"/>
    <w:rsid w:val="00A169EA"/>
    <w:rsid w:val="00A16A36"/>
    <w:rsid w:val="00A16D59"/>
    <w:rsid w:val="00A178DF"/>
    <w:rsid w:val="00A17CFF"/>
    <w:rsid w:val="00A20108"/>
    <w:rsid w:val="00A2064F"/>
    <w:rsid w:val="00A2106B"/>
    <w:rsid w:val="00A21086"/>
    <w:rsid w:val="00A213CA"/>
    <w:rsid w:val="00A21C83"/>
    <w:rsid w:val="00A221B2"/>
    <w:rsid w:val="00A22791"/>
    <w:rsid w:val="00A227CF"/>
    <w:rsid w:val="00A24ABD"/>
    <w:rsid w:val="00A24D00"/>
    <w:rsid w:val="00A25302"/>
    <w:rsid w:val="00A25A30"/>
    <w:rsid w:val="00A25E93"/>
    <w:rsid w:val="00A26A32"/>
    <w:rsid w:val="00A26D57"/>
    <w:rsid w:val="00A305D5"/>
    <w:rsid w:val="00A314ED"/>
    <w:rsid w:val="00A33074"/>
    <w:rsid w:val="00A33D76"/>
    <w:rsid w:val="00A34D7D"/>
    <w:rsid w:val="00A350E3"/>
    <w:rsid w:val="00A35349"/>
    <w:rsid w:val="00A35BFF"/>
    <w:rsid w:val="00A360DB"/>
    <w:rsid w:val="00A36A73"/>
    <w:rsid w:val="00A36D92"/>
    <w:rsid w:val="00A37732"/>
    <w:rsid w:val="00A37F7B"/>
    <w:rsid w:val="00A41B3E"/>
    <w:rsid w:val="00A42122"/>
    <w:rsid w:val="00A42383"/>
    <w:rsid w:val="00A439C9"/>
    <w:rsid w:val="00A43DEE"/>
    <w:rsid w:val="00A44102"/>
    <w:rsid w:val="00A44B1B"/>
    <w:rsid w:val="00A44D19"/>
    <w:rsid w:val="00A45435"/>
    <w:rsid w:val="00A4589D"/>
    <w:rsid w:val="00A459D9"/>
    <w:rsid w:val="00A46927"/>
    <w:rsid w:val="00A47018"/>
    <w:rsid w:val="00A47651"/>
    <w:rsid w:val="00A4766C"/>
    <w:rsid w:val="00A47817"/>
    <w:rsid w:val="00A479E1"/>
    <w:rsid w:val="00A503A1"/>
    <w:rsid w:val="00A506AA"/>
    <w:rsid w:val="00A50F37"/>
    <w:rsid w:val="00A51487"/>
    <w:rsid w:val="00A51E5E"/>
    <w:rsid w:val="00A5228F"/>
    <w:rsid w:val="00A5290F"/>
    <w:rsid w:val="00A52A24"/>
    <w:rsid w:val="00A53B07"/>
    <w:rsid w:val="00A5415E"/>
    <w:rsid w:val="00A5516C"/>
    <w:rsid w:val="00A569A0"/>
    <w:rsid w:val="00A57154"/>
    <w:rsid w:val="00A62ADE"/>
    <w:rsid w:val="00A635F4"/>
    <w:rsid w:val="00A63C14"/>
    <w:rsid w:val="00A63EAE"/>
    <w:rsid w:val="00A6445E"/>
    <w:rsid w:val="00A647F1"/>
    <w:rsid w:val="00A65BBD"/>
    <w:rsid w:val="00A66DF7"/>
    <w:rsid w:val="00A70A93"/>
    <w:rsid w:val="00A71079"/>
    <w:rsid w:val="00A71102"/>
    <w:rsid w:val="00A71294"/>
    <w:rsid w:val="00A7168A"/>
    <w:rsid w:val="00A72B83"/>
    <w:rsid w:val="00A73DE4"/>
    <w:rsid w:val="00A742B4"/>
    <w:rsid w:val="00A74545"/>
    <w:rsid w:val="00A748F8"/>
    <w:rsid w:val="00A74D29"/>
    <w:rsid w:val="00A74DFA"/>
    <w:rsid w:val="00A75426"/>
    <w:rsid w:val="00A75AE4"/>
    <w:rsid w:val="00A75C8B"/>
    <w:rsid w:val="00A75CC0"/>
    <w:rsid w:val="00A77181"/>
    <w:rsid w:val="00A801A7"/>
    <w:rsid w:val="00A803AD"/>
    <w:rsid w:val="00A8075C"/>
    <w:rsid w:val="00A80E81"/>
    <w:rsid w:val="00A82587"/>
    <w:rsid w:val="00A8444C"/>
    <w:rsid w:val="00A84FEB"/>
    <w:rsid w:val="00A850CB"/>
    <w:rsid w:val="00A8718C"/>
    <w:rsid w:val="00A87D3C"/>
    <w:rsid w:val="00A87EDC"/>
    <w:rsid w:val="00A90308"/>
    <w:rsid w:val="00A9193D"/>
    <w:rsid w:val="00A91C18"/>
    <w:rsid w:val="00A9252E"/>
    <w:rsid w:val="00A925DE"/>
    <w:rsid w:val="00A933CE"/>
    <w:rsid w:val="00A934ED"/>
    <w:rsid w:val="00A93A83"/>
    <w:rsid w:val="00A93E19"/>
    <w:rsid w:val="00A94A7B"/>
    <w:rsid w:val="00A94F5C"/>
    <w:rsid w:val="00A95846"/>
    <w:rsid w:val="00A9680C"/>
    <w:rsid w:val="00A96CD4"/>
    <w:rsid w:val="00A96F59"/>
    <w:rsid w:val="00A97081"/>
    <w:rsid w:val="00A97415"/>
    <w:rsid w:val="00A9784D"/>
    <w:rsid w:val="00AA018F"/>
    <w:rsid w:val="00AA0E5C"/>
    <w:rsid w:val="00AA1703"/>
    <w:rsid w:val="00AA20A0"/>
    <w:rsid w:val="00AA2977"/>
    <w:rsid w:val="00AA318F"/>
    <w:rsid w:val="00AA3329"/>
    <w:rsid w:val="00AA355C"/>
    <w:rsid w:val="00AA3FDD"/>
    <w:rsid w:val="00AA4DA5"/>
    <w:rsid w:val="00AA5C3D"/>
    <w:rsid w:val="00AA5C58"/>
    <w:rsid w:val="00AA6DA9"/>
    <w:rsid w:val="00AB04AD"/>
    <w:rsid w:val="00AB05C4"/>
    <w:rsid w:val="00AB0941"/>
    <w:rsid w:val="00AB1205"/>
    <w:rsid w:val="00AB1300"/>
    <w:rsid w:val="00AB1313"/>
    <w:rsid w:val="00AB135F"/>
    <w:rsid w:val="00AB1D97"/>
    <w:rsid w:val="00AB2619"/>
    <w:rsid w:val="00AB2715"/>
    <w:rsid w:val="00AB2922"/>
    <w:rsid w:val="00AB3357"/>
    <w:rsid w:val="00AB3C59"/>
    <w:rsid w:val="00AB48C9"/>
    <w:rsid w:val="00AB612F"/>
    <w:rsid w:val="00AB61E1"/>
    <w:rsid w:val="00AB670A"/>
    <w:rsid w:val="00AB7609"/>
    <w:rsid w:val="00AC15AF"/>
    <w:rsid w:val="00AC2163"/>
    <w:rsid w:val="00AC2830"/>
    <w:rsid w:val="00AC30CF"/>
    <w:rsid w:val="00AC3331"/>
    <w:rsid w:val="00AC4117"/>
    <w:rsid w:val="00AC4F03"/>
    <w:rsid w:val="00AC4F0F"/>
    <w:rsid w:val="00AC561A"/>
    <w:rsid w:val="00AC620B"/>
    <w:rsid w:val="00AC620C"/>
    <w:rsid w:val="00AC64A0"/>
    <w:rsid w:val="00AC662F"/>
    <w:rsid w:val="00AC7080"/>
    <w:rsid w:val="00AC785E"/>
    <w:rsid w:val="00AD084B"/>
    <w:rsid w:val="00AD0E43"/>
    <w:rsid w:val="00AD21B3"/>
    <w:rsid w:val="00AD31B9"/>
    <w:rsid w:val="00AD3931"/>
    <w:rsid w:val="00AD47FC"/>
    <w:rsid w:val="00AD669A"/>
    <w:rsid w:val="00AD6F48"/>
    <w:rsid w:val="00AD7E19"/>
    <w:rsid w:val="00AE01A7"/>
    <w:rsid w:val="00AE0759"/>
    <w:rsid w:val="00AE0831"/>
    <w:rsid w:val="00AE1D54"/>
    <w:rsid w:val="00AE1EA7"/>
    <w:rsid w:val="00AE1F7C"/>
    <w:rsid w:val="00AE33C8"/>
    <w:rsid w:val="00AE3587"/>
    <w:rsid w:val="00AE3A7C"/>
    <w:rsid w:val="00AE3F21"/>
    <w:rsid w:val="00AE4C93"/>
    <w:rsid w:val="00AE5817"/>
    <w:rsid w:val="00AE5F1A"/>
    <w:rsid w:val="00AE640E"/>
    <w:rsid w:val="00AE64A1"/>
    <w:rsid w:val="00AE6911"/>
    <w:rsid w:val="00AF0012"/>
    <w:rsid w:val="00AF022B"/>
    <w:rsid w:val="00AF0834"/>
    <w:rsid w:val="00AF0EEA"/>
    <w:rsid w:val="00AF1148"/>
    <w:rsid w:val="00AF11C6"/>
    <w:rsid w:val="00AF3C1F"/>
    <w:rsid w:val="00AF3F4B"/>
    <w:rsid w:val="00AF6550"/>
    <w:rsid w:val="00AF684B"/>
    <w:rsid w:val="00AF7C86"/>
    <w:rsid w:val="00AF7E87"/>
    <w:rsid w:val="00B00F6B"/>
    <w:rsid w:val="00B02A30"/>
    <w:rsid w:val="00B02F48"/>
    <w:rsid w:val="00B03244"/>
    <w:rsid w:val="00B033CE"/>
    <w:rsid w:val="00B048B2"/>
    <w:rsid w:val="00B06892"/>
    <w:rsid w:val="00B06D12"/>
    <w:rsid w:val="00B07C73"/>
    <w:rsid w:val="00B1022B"/>
    <w:rsid w:val="00B107BD"/>
    <w:rsid w:val="00B107E2"/>
    <w:rsid w:val="00B110FE"/>
    <w:rsid w:val="00B113C4"/>
    <w:rsid w:val="00B1330B"/>
    <w:rsid w:val="00B134DC"/>
    <w:rsid w:val="00B14ED8"/>
    <w:rsid w:val="00B170FA"/>
    <w:rsid w:val="00B17A59"/>
    <w:rsid w:val="00B17C6E"/>
    <w:rsid w:val="00B21294"/>
    <w:rsid w:val="00B21876"/>
    <w:rsid w:val="00B21B06"/>
    <w:rsid w:val="00B21D25"/>
    <w:rsid w:val="00B22B70"/>
    <w:rsid w:val="00B22EFA"/>
    <w:rsid w:val="00B23A52"/>
    <w:rsid w:val="00B23C8A"/>
    <w:rsid w:val="00B24230"/>
    <w:rsid w:val="00B2454B"/>
    <w:rsid w:val="00B2584E"/>
    <w:rsid w:val="00B27D90"/>
    <w:rsid w:val="00B307AC"/>
    <w:rsid w:val="00B30975"/>
    <w:rsid w:val="00B30ECE"/>
    <w:rsid w:val="00B31248"/>
    <w:rsid w:val="00B314FB"/>
    <w:rsid w:val="00B31DA4"/>
    <w:rsid w:val="00B3212B"/>
    <w:rsid w:val="00B323B2"/>
    <w:rsid w:val="00B32869"/>
    <w:rsid w:val="00B328BD"/>
    <w:rsid w:val="00B337A8"/>
    <w:rsid w:val="00B33F8D"/>
    <w:rsid w:val="00B34057"/>
    <w:rsid w:val="00B34E7F"/>
    <w:rsid w:val="00B36B9F"/>
    <w:rsid w:val="00B37210"/>
    <w:rsid w:val="00B37AFF"/>
    <w:rsid w:val="00B37F97"/>
    <w:rsid w:val="00B40557"/>
    <w:rsid w:val="00B408A2"/>
    <w:rsid w:val="00B41544"/>
    <w:rsid w:val="00B41BEA"/>
    <w:rsid w:val="00B41EAD"/>
    <w:rsid w:val="00B42076"/>
    <w:rsid w:val="00B423F7"/>
    <w:rsid w:val="00B428B3"/>
    <w:rsid w:val="00B428C4"/>
    <w:rsid w:val="00B42B24"/>
    <w:rsid w:val="00B432AA"/>
    <w:rsid w:val="00B43769"/>
    <w:rsid w:val="00B457C3"/>
    <w:rsid w:val="00B46675"/>
    <w:rsid w:val="00B467E3"/>
    <w:rsid w:val="00B46B68"/>
    <w:rsid w:val="00B46BD7"/>
    <w:rsid w:val="00B47451"/>
    <w:rsid w:val="00B47672"/>
    <w:rsid w:val="00B47B4F"/>
    <w:rsid w:val="00B47D7A"/>
    <w:rsid w:val="00B50472"/>
    <w:rsid w:val="00B50605"/>
    <w:rsid w:val="00B50EAA"/>
    <w:rsid w:val="00B513EA"/>
    <w:rsid w:val="00B516E3"/>
    <w:rsid w:val="00B51956"/>
    <w:rsid w:val="00B523B1"/>
    <w:rsid w:val="00B52814"/>
    <w:rsid w:val="00B53044"/>
    <w:rsid w:val="00B5367B"/>
    <w:rsid w:val="00B5629E"/>
    <w:rsid w:val="00B57150"/>
    <w:rsid w:val="00B600DD"/>
    <w:rsid w:val="00B6084A"/>
    <w:rsid w:val="00B61182"/>
    <w:rsid w:val="00B615C8"/>
    <w:rsid w:val="00B62AF0"/>
    <w:rsid w:val="00B63FD0"/>
    <w:rsid w:val="00B64A85"/>
    <w:rsid w:val="00B65FDA"/>
    <w:rsid w:val="00B66152"/>
    <w:rsid w:val="00B662A7"/>
    <w:rsid w:val="00B66BA8"/>
    <w:rsid w:val="00B67026"/>
    <w:rsid w:val="00B670C9"/>
    <w:rsid w:val="00B701D2"/>
    <w:rsid w:val="00B70DCF"/>
    <w:rsid w:val="00B71C45"/>
    <w:rsid w:val="00B740F8"/>
    <w:rsid w:val="00B74DBE"/>
    <w:rsid w:val="00B75233"/>
    <w:rsid w:val="00B76BEE"/>
    <w:rsid w:val="00B803DF"/>
    <w:rsid w:val="00B8086A"/>
    <w:rsid w:val="00B80A79"/>
    <w:rsid w:val="00B8108A"/>
    <w:rsid w:val="00B82437"/>
    <w:rsid w:val="00B836C5"/>
    <w:rsid w:val="00B84C31"/>
    <w:rsid w:val="00B859F5"/>
    <w:rsid w:val="00B873B4"/>
    <w:rsid w:val="00B87755"/>
    <w:rsid w:val="00B87BF7"/>
    <w:rsid w:val="00B90B4D"/>
    <w:rsid w:val="00B911E9"/>
    <w:rsid w:val="00B91ED2"/>
    <w:rsid w:val="00B929D1"/>
    <w:rsid w:val="00B94C25"/>
    <w:rsid w:val="00B94EF3"/>
    <w:rsid w:val="00B95376"/>
    <w:rsid w:val="00B95F82"/>
    <w:rsid w:val="00B9681E"/>
    <w:rsid w:val="00B96DBF"/>
    <w:rsid w:val="00BA0276"/>
    <w:rsid w:val="00BA0E57"/>
    <w:rsid w:val="00BA1EAA"/>
    <w:rsid w:val="00BA31C5"/>
    <w:rsid w:val="00BA327A"/>
    <w:rsid w:val="00BA382A"/>
    <w:rsid w:val="00BA44A9"/>
    <w:rsid w:val="00BA45FF"/>
    <w:rsid w:val="00BA4C89"/>
    <w:rsid w:val="00BA52A7"/>
    <w:rsid w:val="00BA59FC"/>
    <w:rsid w:val="00BA6642"/>
    <w:rsid w:val="00BA6A55"/>
    <w:rsid w:val="00BA769F"/>
    <w:rsid w:val="00BA7B23"/>
    <w:rsid w:val="00BA7FB9"/>
    <w:rsid w:val="00BB03AE"/>
    <w:rsid w:val="00BB05D7"/>
    <w:rsid w:val="00BB06E4"/>
    <w:rsid w:val="00BB2041"/>
    <w:rsid w:val="00BB5496"/>
    <w:rsid w:val="00BB5B26"/>
    <w:rsid w:val="00BB5EAB"/>
    <w:rsid w:val="00BB60A4"/>
    <w:rsid w:val="00BB68AF"/>
    <w:rsid w:val="00BB71C0"/>
    <w:rsid w:val="00BB7239"/>
    <w:rsid w:val="00BB74D8"/>
    <w:rsid w:val="00BB7CD4"/>
    <w:rsid w:val="00BC12D0"/>
    <w:rsid w:val="00BC229A"/>
    <w:rsid w:val="00BC3DAA"/>
    <w:rsid w:val="00BC4044"/>
    <w:rsid w:val="00BC4A06"/>
    <w:rsid w:val="00BC4A39"/>
    <w:rsid w:val="00BC563B"/>
    <w:rsid w:val="00BC66FB"/>
    <w:rsid w:val="00BC77A2"/>
    <w:rsid w:val="00BD023D"/>
    <w:rsid w:val="00BD0E26"/>
    <w:rsid w:val="00BD258B"/>
    <w:rsid w:val="00BD2616"/>
    <w:rsid w:val="00BD2C2A"/>
    <w:rsid w:val="00BD3095"/>
    <w:rsid w:val="00BD4116"/>
    <w:rsid w:val="00BD5A99"/>
    <w:rsid w:val="00BD6308"/>
    <w:rsid w:val="00BD6452"/>
    <w:rsid w:val="00BD6EC5"/>
    <w:rsid w:val="00BD710B"/>
    <w:rsid w:val="00BD716E"/>
    <w:rsid w:val="00BE04B0"/>
    <w:rsid w:val="00BE0BD7"/>
    <w:rsid w:val="00BE10D8"/>
    <w:rsid w:val="00BE144A"/>
    <w:rsid w:val="00BE158A"/>
    <w:rsid w:val="00BE1BCD"/>
    <w:rsid w:val="00BE29A3"/>
    <w:rsid w:val="00BE30A3"/>
    <w:rsid w:val="00BE450D"/>
    <w:rsid w:val="00BE4A3A"/>
    <w:rsid w:val="00BE6315"/>
    <w:rsid w:val="00BE669A"/>
    <w:rsid w:val="00BE7C50"/>
    <w:rsid w:val="00BE7DC6"/>
    <w:rsid w:val="00BF0005"/>
    <w:rsid w:val="00BF14B1"/>
    <w:rsid w:val="00BF18C7"/>
    <w:rsid w:val="00BF1955"/>
    <w:rsid w:val="00BF1DFC"/>
    <w:rsid w:val="00BF1E04"/>
    <w:rsid w:val="00BF21BE"/>
    <w:rsid w:val="00BF3156"/>
    <w:rsid w:val="00BF3244"/>
    <w:rsid w:val="00BF3352"/>
    <w:rsid w:val="00BF3562"/>
    <w:rsid w:val="00BF3F34"/>
    <w:rsid w:val="00BF43BE"/>
    <w:rsid w:val="00BF4497"/>
    <w:rsid w:val="00BF529A"/>
    <w:rsid w:val="00BF58B7"/>
    <w:rsid w:val="00BF5B8A"/>
    <w:rsid w:val="00BF5FD2"/>
    <w:rsid w:val="00BF71F8"/>
    <w:rsid w:val="00BF7B3E"/>
    <w:rsid w:val="00BF7BF5"/>
    <w:rsid w:val="00BF7CC7"/>
    <w:rsid w:val="00C001DA"/>
    <w:rsid w:val="00C00804"/>
    <w:rsid w:val="00C00B75"/>
    <w:rsid w:val="00C014D6"/>
    <w:rsid w:val="00C020A5"/>
    <w:rsid w:val="00C02D2F"/>
    <w:rsid w:val="00C04138"/>
    <w:rsid w:val="00C0596B"/>
    <w:rsid w:val="00C06FE7"/>
    <w:rsid w:val="00C074CF"/>
    <w:rsid w:val="00C12A3B"/>
    <w:rsid w:val="00C12BD3"/>
    <w:rsid w:val="00C12F8E"/>
    <w:rsid w:val="00C1306B"/>
    <w:rsid w:val="00C13098"/>
    <w:rsid w:val="00C1420F"/>
    <w:rsid w:val="00C14723"/>
    <w:rsid w:val="00C14E1B"/>
    <w:rsid w:val="00C1547B"/>
    <w:rsid w:val="00C156B6"/>
    <w:rsid w:val="00C17C62"/>
    <w:rsid w:val="00C22F7C"/>
    <w:rsid w:val="00C23088"/>
    <w:rsid w:val="00C23DAA"/>
    <w:rsid w:val="00C23E2E"/>
    <w:rsid w:val="00C24BCE"/>
    <w:rsid w:val="00C25869"/>
    <w:rsid w:val="00C25DBD"/>
    <w:rsid w:val="00C263B0"/>
    <w:rsid w:val="00C26A92"/>
    <w:rsid w:val="00C26C80"/>
    <w:rsid w:val="00C26DF3"/>
    <w:rsid w:val="00C27409"/>
    <w:rsid w:val="00C2741B"/>
    <w:rsid w:val="00C278F5"/>
    <w:rsid w:val="00C27D70"/>
    <w:rsid w:val="00C31580"/>
    <w:rsid w:val="00C338B2"/>
    <w:rsid w:val="00C3398D"/>
    <w:rsid w:val="00C35309"/>
    <w:rsid w:val="00C3587D"/>
    <w:rsid w:val="00C35F19"/>
    <w:rsid w:val="00C36471"/>
    <w:rsid w:val="00C37FBB"/>
    <w:rsid w:val="00C4042D"/>
    <w:rsid w:val="00C4278C"/>
    <w:rsid w:val="00C4326F"/>
    <w:rsid w:val="00C43C94"/>
    <w:rsid w:val="00C43DFA"/>
    <w:rsid w:val="00C448E5"/>
    <w:rsid w:val="00C452BC"/>
    <w:rsid w:val="00C45822"/>
    <w:rsid w:val="00C45B99"/>
    <w:rsid w:val="00C46097"/>
    <w:rsid w:val="00C462E4"/>
    <w:rsid w:val="00C47C97"/>
    <w:rsid w:val="00C51331"/>
    <w:rsid w:val="00C51588"/>
    <w:rsid w:val="00C51C8F"/>
    <w:rsid w:val="00C529E7"/>
    <w:rsid w:val="00C53423"/>
    <w:rsid w:val="00C539D1"/>
    <w:rsid w:val="00C54264"/>
    <w:rsid w:val="00C56332"/>
    <w:rsid w:val="00C564D9"/>
    <w:rsid w:val="00C56826"/>
    <w:rsid w:val="00C56A82"/>
    <w:rsid w:val="00C57C82"/>
    <w:rsid w:val="00C57FC0"/>
    <w:rsid w:val="00C6387D"/>
    <w:rsid w:val="00C639B1"/>
    <w:rsid w:val="00C646BF"/>
    <w:rsid w:val="00C64B6C"/>
    <w:rsid w:val="00C6596D"/>
    <w:rsid w:val="00C6689C"/>
    <w:rsid w:val="00C66A21"/>
    <w:rsid w:val="00C66C53"/>
    <w:rsid w:val="00C679BC"/>
    <w:rsid w:val="00C70008"/>
    <w:rsid w:val="00C70508"/>
    <w:rsid w:val="00C70DA2"/>
    <w:rsid w:val="00C712EC"/>
    <w:rsid w:val="00C713E9"/>
    <w:rsid w:val="00C714B4"/>
    <w:rsid w:val="00C71F9D"/>
    <w:rsid w:val="00C721DC"/>
    <w:rsid w:val="00C73AF8"/>
    <w:rsid w:val="00C73CB1"/>
    <w:rsid w:val="00C749EE"/>
    <w:rsid w:val="00C74BFD"/>
    <w:rsid w:val="00C75229"/>
    <w:rsid w:val="00C76B25"/>
    <w:rsid w:val="00C776E5"/>
    <w:rsid w:val="00C77ED9"/>
    <w:rsid w:val="00C802F6"/>
    <w:rsid w:val="00C80901"/>
    <w:rsid w:val="00C80C93"/>
    <w:rsid w:val="00C80D73"/>
    <w:rsid w:val="00C8128B"/>
    <w:rsid w:val="00C824B8"/>
    <w:rsid w:val="00C827DA"/>
    <w:rsid w:val="00C82AFB"/>
    <w:rsid w:val="00C83A14"/>
    <w:rsid w:val="00C84C89"/>
    <w:rsid w:val="00C869D5"/>
    <w:rsid w:val="00C879E8"/>
    <w:rsid w:val="00C9029E"/>
    <w:rsid w:val="00C90591"/>
    <w:rsid w:val="00C9069D"/>
    <w:rsid w:val="00C91263"/>
    <w:rsid w:val="00C9183D"/>
    <w:rsid w:val="00C927F2"/>
    <w:rsid w:val="00C93272"/>
    <w:rsid w:val="00C9361F"/>
    <w:rsid w:val="00C93E7E"/>
    <w:rsid w:val="00C945F3"/>
    <w:rsid w:val="00C94870"/>
    <w:rsid w:val="00C950A1"/>
    <w:rsid w:val="00C957FC"/>
    <w:rsid w:val="00C960C7"/>
    <w:rsid w:val="00C9647A"/>
    <w:rsid w:val="00C96C8A"/>
    <w:rsid w:val="00C96F05"/>
    <w:rsid w:val="00CA059E"/>
    <w:rsid w:val="00CA119C"/>
    <w:rsid w:val="00CA2379"/>
    <w:rsid w:val="00CA2B31"/>
    <w:rsid w:val="00CA2BFA"/>
    <w:rsid w:val="00CA2C0A"/>
    <w:rsid w:val="00CA3543"/>
    <w:rsid w:val="00CA3DBA"/>
    <w:rsid w:val="00CA3FC4"/>
    <w:rsid w:val="00CA5EFE"/>
    <w:rsid w:val="00CA6686"/>
    <w:rsid w:val="00CA6E1B"/>
    <w:rsid w:val="00CA74E2"/>
    <w:rsid w:val="00CA7BB6"/>
    <w:rsid w:val="00CA7F3A"/>
    <w:rsid w:val="00CB2564"/>
    <w:rsid w:val="00CB2719"/>
    <w:rsid w:val="00CB2C8E"/>
    <w:rsid w:val="00CB3C34"/>
    <w:rsid w:val="00CB5AAB"/>
    <w:rsid w:val="00CB5B3F"/>
    <w:rsid w:val="00CB5B6A"/>
    <w:rsid w:val="00CB5C40"/>
    <w:rsid w:val="00CB66AC"/>
    <w:rsid w:val="00CB6DB1"/>
    <w:rsid w:val="00CB70AF"/>
    <w:rsid w:val="00CB7C1C"/>
    <w:rsid w:val="00CC006F"/>
    <w:rsid w:val="00CC0C55"/>
    <w:rsid w:val="00CC111F"/>
    <w:rsid w:val="00CC250F"/>
    <w:rsid w:val="00CC2AFE"/>
    <w:rsid w:val="00CC3169"/>
    <w:rsid w:val="00CC32CE"/>
    <w:rsid w:val="00CC3585"/>
    <w:rsid w:val="00CC4291"/>
    <w:rsid w:val="00CC4806"/>
    <w:rsid w:val="00CC5F92"/>
    <w:rsid w:val="00CC6340"/>
    <w:rsid w:val="00CD12D1"/>
    <w:rsid w:val="00CD2075"/>
    <w:rsid w:val="00CD2D68"/>
    <w:rsid w:val="00CD32A5"/>
    <w:rsid w:val="00CD37A4"/>
    <w:rsid w:val="00CD3AD6"/>
    <w:rsid w:val="00CD430F"/>
    <w:rsid w:val="00CD45D7"/>
    <w:rsid w:val="00CD6C85"/>
    <w:rsid w:val="00CD6FA2"/>
    <w:rsid w:val="00CD7739"/>
    <w:rsid w:val="00CE0554"/>
    <w:rsid w:val="00CE0FEB"/>
    <w:rsid w:val="00CE1211"/>
    <w:rsid w:val="00CE1759"/>
    <w:rsid w:val="00CE19D5"/>
    <w:rsid w:val="00CE2DC4"/>
    <w:rsid w:val="00CE2E9D"/>
    <w:rsid w:val="00CE3230"/>
    <w:rsid w:val="00CE36F4"/>
    <w:rsid w:val="00CE38FE"/>
    <w:rsid w:val="00CE3B8F"/>
    <w:rsid w:val="00CE3D38"/>
    <w:rsid w:val="00CE3D82"/>
    <w:rsid w:val="00CE52FE"/>
    <w:rsid w:val="00CE5EA3"/>
    <w:rsid w:val="00CE5F1A"/>
    <w:rsid w:val="00CE688D"/>
    <w:rsid w:val="00CE6D3F"/>
    <w:rsid w:val="00CE76B2"/>
    <w:rsid w:val="00CE76C0"/>
    <w:rsid w:val="00CE792D"/>
    <w:rsid w:val="00CF11B6"/>
    <w:rsid w:val="00CF1A0F"/>
    <w:rsid w:val="00CF26CC"/>
    <w:rsid w:val="00CF2B11"/>
    <w:rsid w:val="00CF36B9"/>
    <w:rsid w:val="00CF410C"/>
    <w:rsid w:val="00CF4C2E"/>
    <w:rsid w:val="00CF531A"/>
    <w:rsid w:val="00CF5DF1"/>
    <w:rsid w:val="00CF708F"/>
    <w:rsid w:val="00D0063A"/>
    <w:rsid w:val="00D010D6"/>
    <w:rsid w:val="00D01D14"/>
    <w:rsid w:val="00D01E28"/>
    <w:rsid w:val="00D01E45"/>
    <w:rsid w:val="00D04E6D"/>
    <w:rsid w:val="00D0509A"/>
    <w:rsid w:val="00D0592F"/>
    <w:rsid w:val="00D1004B"/>
    <w:rsid w:val="00D1146E"/>
    <w:rsid w:val="00D13498"/>
    <w:rsid w:val="00D14520"/>
    <w:rsid w:val="00D152E0"/>
    <w:rsid w:val="00D1547E"/>
    <w:rsid w:val="00D15BC2"/>
    <w:rsid w:val="00D15FAB"/>
    <w:rsid w:val="00D1685B"/>
    <w:rsid w:val="00D16E4D"/>
    <w:rsid w:val="00D16EE9"/>
    <w:rsid w:val="00D172F9"/>
    <w:rsid w:val="00D1756F"/>
    <w:rsid w:val="00D17F3D"/>
    <w:rsid w:val="00D207FB"/>
    <w:rsid w:val="00D20D4E"/>
    <w:rsid w:val="00D20E9F"/>
    <w:rsid w:val="00D21B36"/>
    <w:rsid w:val="00D22052"/>
    <w:rsid w:val="00D22896"/>
    <w:rsid w:val="00D228C5"/>
    <w:rsid w:val="00D23EAE"/>
    <w:rsid w:val="00D24965"/>
    <w:rsid w:val="00D25F55"/>
    <w:rsid w:val="00D2610C"/>
    <w:rsid w:val="00D26BDB"/>
    <w:rsid w:val="00D27AB6"/>
    <w:rsid w:val="00D30462"/>
    <w:rsid w:val="00D30D12"/>
    <w:rsid w:val="00D31CE3"/>
    <w:rsid w:val="00D31E2E"/>
    <w:rsid w:val="00D3226F"/>
    <w:rsid w:val="00D324E9"/>
    <w:rsid w:val="00D32ADC"/>
    <w:rsid w:val="00D331CB"/>
    <w:rsid w:val="00D33486"/>
    <w:rsid w:val="00D33B2E"/>
    <w:rsid w:val="00D34D56"/>
    <w:rsid w:val="00D3570B"/>
    <w:rsid w:val="00D35881"/>
    <w:rsid w:val="00D36679"/>
    <w:rsid w:val="00D37367"/>
    <w:rsid w:val="00D37A8B"/>
    <w:rsid w:val="00D40210"/>
    <w:rsid w:val="00D40D47"/>
    <w:rsid w:val="00D41BD5"/>
    <w:rsid w:val="00D42F2C"/>
    <w:rsid w:val="00D438FA"/>
    <w:rsid w:val="00D43D8D"/>
    <w:rsid w:val="00D44822"/>
    <w:rsid w:val="00D448C3"/>
    <w:rsid w:val="00D448FF"/>
    <w:rsid w:val="00D45CAD"/>
    <w:rsid w:val="00D4606A"/>
    <w:rsid w:val="00D463CD"/>
    <w:rsid w:val="00D46EAA"/>
    <w:rsid w:val="00D46F82"/>
    <w:rsid w:val="00D47894"/>
    <w:rsid w:val="00D47E0C"/>
    <w:rsid w:val="00D50375"/>
    <w:rsid w:val="00D507D5"/>
    <w:rsid w:val="00D5160D"/>
    <w:rsid w:val="00D51BB1"/>
    <w:rsid w:val="00D52113"/>
    <w:rsid w:val="00D53F0E"/>
    <w:rsid w:val="00D551DD"/>
    <w:rsid w:val="00D55DEC"/>
    <w:rsid w:val="00D5638D"/>
    <w:rsid w:val="00D56626"/>
    <w:rsid w:val="00D60564"/>
    <w:rsid w:val="00D616E3"/>
    <w:rsid w:val="00D61C9A"/>
    <w:rsid w:val="00D6202A"/>
    <w:rsid w:val="00D64226"/>
    <w:rsid w:val="00D6645F"/>
    <w:rsid w:val="00D66792"/>
    <w:rsid w:val="00D66B82"/>
    <w:rsid w:val="00D66BA5"/>
    <w:rsid w:val="00D6782E"/>
    <w:rsid w:val="00D71B49"/>
    <w:rsid w:val="00D71BEF"/>
    <w:rsid w:val="00D71D4F"/>
    <w:rsid w:val="00D72D75"/>
    <w:rsid w:val="00D737D1"/>
    <w:rsid w:val="00D73814"/>
    <w:rsid w:val="00D740F7"/>
    <w:rsid w:val="00D7520F"/>
    <w:rsid w:val="00D75383"/>
    <w:rsid w:val="00D763B6"/>
    <w:rsid w:val="00D76483"/>
    <w:rsid w:val="00D765B2"/>
    <w:rsid w:val="00D76860"/>
    <w:rsid w:val="00D76914"/>
    <w:rsid w:val="00D76920"/>
    <w:rsid w:val="00D77C7E"/>
    <w:rsid w:val="00D77F28"/>
    <w:rsid w:val="00D802F2"/>
    <w:rsid w:val="00D803EE"/>
    <w:rsid w:val="00D804C1"/>
    <w:rsid w:val="00D80609"/>
    <w:rsid w:val="00D808EC"/>
    <w:rsid w:val="00D80D56"/>
    <w:rsid w:val="00D822F7"/>
    <w:rsid w:val="00D8306B"/>
    <w:rsid w:val="00D83BF9"/>
    <w:rsid w:val="00D84D87"/>
    <w:rsid w:val="00D861D9"/>
    <w:rsid w:val="00D86CB8"/>
    <w:rsid w:val="00D874CE"/>
    <w:rsid w:val="00D87FF8"/>
    <w:rsid w:val="00D9034A"/>
    <w:rsid w:val="00D90DE4"/>
    <w:rsid w:val="00D90ED1"/>
    <w:rsid w:val="00D92A3A"/>
    <w:rsid w:val="00D92D14"/>
    <w:rsid w:val="00D92D20"/>
    <w:rsid w:val="00D94405"/>
    <w:rsid w:val="00D94D91"/>
    <w:rsid w:val="00D94FF8"/>
    <w:rsid w:val="00D954CE"/>
    <w:rsid w:val="00D96C63"/>
    <w:rsid w:val="00D97B95"/>
    <w:rsid w:val="00D97E09"/>
    <w:rsid w:val="00D97EDE"/>
    <w:rsid w:val="00DA154C"/>
    <w:rsid w:val="00DA1A99"/>
    <w:rsid w:val="00DA212D"/>
    <w:rsid w:val="00DA27A0"/>
    <w:rsid w:val="00DA2E49"/>
    <w:rsid w:val="00DA4597"/>
    <w:rsid w:val="00DA4AAF"/>
    <w:rsid w:val="00DA4D34"/>
    <w:rsid w:val="00DA4F07"/>
    <w:rsid w:val="00DA5315"/>
    <w:rsid w:val="00DA55E3"/>
    <w:rsid w:val="00DA61D3"/>
    <w:rsid w:val="00DB0B87"/>
    <w:rsid w:val="00DB18F6"/>
    <w:rsid w:val="00DB2155"/>
    <w:rsid w:val="00DB2345"/>
    <w:rsid w:val="00DB391E"/>
    <w:rsid w:val="00DB44EE"/>
    <w:rsid w:val="00DB503C"/>
    <w:rsid w:val="00DB5A33"/>
    <w:rsid w:val="00DB7893"/>
    <w:rsid w:val="00DC0A94"/>
    <w:rsid w:val="00DC1022"/>
    <w:rsid w:val="00DC27BE"/>
    <w:rsid w:val="00DC2B32"/>
    <w:rsid w:val="00DC33F5"/>
    <w:rsid w:val="00DC3C50"/>
    <w:rsid w:val="00DC3FB0"/>
    <w:rsid w:val="00DC4101"/>
    <w:rsid w:val="00DC45FD"/>
    <w:rsid w:val="00DC53DF"/>
    <w:rsid w:val="00DC6969"/>
    <w:rsid w:val="00DC7EDE"/>
    <w:rsid w:val="00DD0503"/>
    <w:rsid w:val="00DD1407"/>
    <w:rsid w:val="00DD2044"/>
    <w:rsid w:val="00DD3586"/>
    <w:rsid w:val="00DD3725"/>
    <w:rsid w:val="00DD49AA"/>
    <w:rsid w:val="00DD4E49"/>
    <w:rsid w:val="00DD5E6B"/>
    <w:rsid w:val="00DD6756"/>
    <w:rsid w:val="00DD76B5"/>
    <w:rsid w:val="00DD77C9"/>
    <w:rsid w:val="00DE0F6D"/>
    <w:rsid w:val="00DE108B"/>
    <w:rsid w:val="00DE1974"/>
    <w:rsid w:val="00DE2A13"/>
    <w:rsid w:val="00DE2BE0"/>
    <w:rsid w:val="00DE367F"/>
    <w:rsid w:val="00DE3C02"/>
    <w:rsid w:val="00DE40FA"/>
    <w:rsid w:val="00DE52C5"/>
    <w:rsid w:val="00DE56F9"/>
    <w:rsid w:val="00DE623F"/>
    <w:rsid w:val="00DE652E"/>
    <w:rsid w:val="00DE681F"/>
    <w:rsid w:val="00DF02BB"/>
    <w:rsid w:val="00DF08F7"/>
    <w:rsid w:val="00DF0A38"/>
    <w:rsid w:val="00DF17D9"/>
    <w:rsid w:val="00DF2D8B"/>
    <w:rsid w:val="00DF2F43"/>
    <w:rsid w:val="00DF2F92"/>
    <w:rsid w:val="00DF3063"/>
    <w:rsid w:val="00DF339A"/>
    <w:rsid w:val="00DF41D0"/>
    <w:rsid w:val="00DF4629"/>
    <w:rsid w:val="00DF4B68"/>
    <w:rsid w:val="00DF5153"/>
    <w:rsid w:val="00DF51C1"/>
    <w:rsid w:val="00DF5384"/>
    <w:rsid w:val="00DF5BFA"/>
    <w:rsid w:val="00DF5C4F"/>
    <w:rsid w:val="00DF5D65"/>
    <w:rsid w:val="00DF5F88"/>
    <w:rsid w:val="00DF7AB6"/>
    <w:rsid w:val="00E0023E"/>
    <w:rsid w:val="00E01776"/>
    <w:rsid w:val="00E02247"/>
    <w:rsid w:val="00E024EB"/>
    <w:rsid w:val="00E027C4"/>
    <w:rsid w:val="00E0294A"/>
    <w:rsid w:val="00E02CD2"/>
    <w:rsid w:val="00E03117"/>
    <w:rsid w:val="00E0344D"/>
    <w:rsid w:val="00E03867"/>
    <w:rsid w:val="00E03ECA"/>
    <w:rsid w:val="00E041FF"/>
    <w:rsid w:val="00E04F4C"/>
    <w:rsid w:val="00E0548D"/>
    <w:rsid w:val="00E06BEB"/>
    <w:rsid w:val="00E076A9"/>
    <w:rsid w:val="00E10027"/>
    <w:rsid w:val="00E101FF"/>
    <w:rsid w:val="00E10881"/>
    <w:rsid w:val="00E10A19"/>
    <w:rsid w:val="00E11A3A"/>
    <w:rsid w:val="00E11D20"/>
    <w:rsid w:val="00E11D86"/>
    <w:rsid w:val="00E1289B"/>
    <w:rsid w:val="00E12ABC"/>
    <w:rsid w:val="00E12CD0"/>
    <w:rsid w:val="00E1334F"/>
    <w:rsid w:val="00E1408E"/>
    <w:rsid w:val="00E149A6"/>
    <w:rsid w:val="00E14D46"/>
    <w:rsid w:val="00E16186"/>
    <w:rsid w:val="00E16CBE"/>
    <w:rsid w:val="00E174C8"/>
    <w:rsid w:val="00E17932"/>
    <w:rsid w:val="00E20038"/>
    <w:rsid w:val="00E20A52"/>
    <w:rsid w:val="00E20F62"/>
    <w:rsid w:val="00E2147F"/>
    <w:rsid w:val="00E22ADC"/>
    <w:rsid w:val="00E23604"/>
    <w:rsid w:val="00E2747F"/>
    <w:rsid w:val="00E27ADA"/>
    <w:rsid w:val="00E30422"/>
    <w:rsid w:val="00E308D6"/>
    <w:rsid w:val="00E311DD"/>
    <w:rsid w:val="00E31264"/>
    <w:rsid w:val="00E31597"/>
    <w:rsid w:val="00E31EF4"/>
    <w:rsid w:val="00E31FD5"/>
    <w:rsid w:val="00E327CB"/>
    <w:rsid w:val="00E330AA"/>
    <w:rsid w:val="00E3316C"/>
    <w:rsid w:val="00E341D6"/>
    <w:rsid w:val="00E34FE7"/>
    <w:rsid w:val="00E368D3"/>
    <w:rsid w:val="00E37145"/>
    <w:rsid w:val="00E371D9"/>
    <w:rsid w:val="00E37265"/>
    <w:rsid w:val="00E372F6"/>
    <w:rsid w:val="00E3752F"/>
    <w:rsid w:val="00E40057"/>
    <w:rsid w:val="00E40D2E"/>
    <w:rsid w:val="00E411AD"/>
    <w:rsid w:val="00E4273E"/>
    <w:rsid w:val="00E42943"/>
    <w:rsid w:val="00E430BE"/>
    <w:rsid w:val="00E43BAA"/>
    <w:rsid w:val="00E43D2D"/>
    <w:rsid w:val="00E43F1F"/>
    <w:rsid w:val="00E459A7"/>
    <w:rsid w:val="00E46825"/>
    <w:rsid w:val="00E47B6F"/>
    <w:rsid w:val="00E508CC"/>
    <w:rsid w:val="00E510A5"/>
    <w:rsid w:val="00E51581"/>
    <w:rsid w:val="00E5176D"/>
    <w:rsid w:val="00E5267B"/>
    <w:rsid w:val="00E537A2"/>
    <w:rsid w:val="00E53E21"/>
    <w:rsid w:val="00E54124"/>
    <w:rsid w:val="00E547B1"/>
    <w:rsid w:val="00E54EC9"/>
    <w:rsid w:val="00E560D5"/>
    <w:rsid w:val="00E5631D"/>
    <w:rsid w:val="00E5639D"/>
    <w:rsid w:val="00E56E99"/>
    <w:rsid w:val="00E56FA4"/>
    <w:rsid w:val="00E57610"/>
    <w:rsid w:val="00E6014B"/>
    <w:rsid w:val="00E603F7"/>
    <w:rsid w:val="00E605C5"/>
    <w:rsid w:val="00E60F3C"/>
    <w:rsid w:val="00E61EA4"/>
    <w:rsid w:val="00E627C1"/>
    <w:rsid w:val="00E62FCB"/>
    <w:rsid w:val="00E637A0"/>
    <w:rsid w:val="00E64014"/>
    <w:rsid w:val="00E64581"/>
    <w:rsid w:val="00E651E7"/>
    <w:rsid w:val="00E65FC5"/>
    <w:rsid w:val="00E66593"/>
    <w:rsid w:val="00E66FEA"/>
    <w:rsid w:val="00E6A95B"/>
    <w:rsid w:val="00E70101"/>
    <w:rsid w:val="00E7067A"/>
    <w:rsid w:val="00E7081A"/>
    <w:rsid w:val="00E7162E"/>
    <w:rsid w:val="00E71C3D"/>
    <w:rsid w:val="00E72268"/>
    <w:rsid w:val="00E75952"/>
    <w:rsid w:val="00E76653"/>
    <w:rsid w:val="00E776CA"/>
    <w:rsid w:val="00E776DE"/>
    <w:rsid w:val="00E77E48"/>
    <w:rsid w:val="00E80EB6"/>
    <w:rsid w:val="00E8164C"/>
    <w:rsid w:val="00E823CF"/>
    <w:rsid w:val="00E829B5"/>
    <w:rsid w:val="00E82B94"/>
    <w:rsid w:val="00E83046"/>
    <w:rsid w:val="00E84165"/>
    <w:rsid w:val="00E84646"/>
    <w:rsid w:val="00E85ACA"/>
    <w:rsid w:val="00E86A35"/>
    <w:rsid w:val="00E876B1"/>
    <w:rsid w:val="00E87AC4"/>
    <w:rsid w:val="00E90659"/>
    <w:rsid w:val="00E908EE"/>
    <w:rsid w:val="00E9098E"/>
    <w:rsid w:val="00E90D24"/>
    <w:rsid w:val="00E918ED"/>
    <w:rsid w:val="00E925BD"/>
    <w:rsid w:val="00E92CA5"/>
    <w:rsid w:val="00E942E4"/>
    <w:rsid w:val="00E94AF8"/>
    <w:rsid w:val="00E95DC1"/>
    <w:rsid w:val="00E96709"/>
    <w:rsid w:val="00E97411"/>
    <w:rsid w:val="00E9785F"/>
    <w:rsid w:val="00E978D5"/>
    <w:rsid w:val="00E978E4"/>
    <w:rsid w:val="00E97E54"/>
    <w:rsid w:val="00EA0410"/>
    <w:rsid w:val="00EA20E3"/>
    <w:rsid w:val="00EA26CA"/>
    <w:rsid w:val="00EA31E0"/>
    <w:rsid w:val="00EA3CE0"/>
    <w:rsid w:val="00EA40ED"/>
    <w:rsid w:val="00EA40FA"/>
    <w:rsid w:val="00EA50A6"/>
    <w:rsid w:val="00EA5D08"/>
    <w:rsid w:val="00EA61BF"/>
    <w:rsid w:val="00EA63A4"/>
    <w:rsid w:val="00EA6DB5"/>
    <w:rsid w:val="00EA89A4"/>
    <w:rsid w:val="00EB0CE9"/>
    <w:rsid w:val="00EB0D37"/>
    <w:rsid w:val="00EB10A0"/>
    <w:rsid w:val="00EB1553"/>
    <w:rsid w:val="00EB4D90"/>
    <w:rsid w:val="00EB62FF"/>
    <w:rsid w:val="00EB770C"/>
    <w:rsid w:val="00EB792C"/>
    <w:rsid w:val="00EC030D"/>
    <w:rsid w:val="00EC0375"/>
    <w:rsid w:val="00EC04F0"/>
    <w:rsid w:val="00EC0682"/>
    <w:rsid w:val="00EC0BFC"/>
    <w:rsid w:val="00EC0DB0"/>
    <w:rsid w:val="00EC0FA5"/>
    <w:rsid w:val="00EC0FDF"/>
    <w:rsid w:val="00EC1106"/>
    <w:rsid w:val="00EC16B4"/>
    <w:rsid w:val="00EC1F1E"/>
    <w:rsid w:val="00EC2148"/>
    <w:rsid w:val="00EC34CE"/>
    <w:rsid w:val="00EC4114"/>
    <w:rsid w:val="00EC4406"/>
    <w:rsid w:val="00EC4524"/>
    <w:rsid w:val="00EC46E0"/>
    <w:rsid w:val="00EC5603"/>
    <w:rsid w:val="00EC5AB8"/>
    <w:rsid w:val="00EC6CCC"/>
    <w:rsid w:val="00EC6F8E"/>
    <w:rsid w:val="00ED05DC"/>
    <w:rsid w:val="00ED309E"/>
    <w:rsid w:val="00ED30E2"/>
    <w:rsid w:val="00ED39F3"/>
    <w:rsid w:val="00ED3EF5"/>
    <w:rsid w:val="00ED603B"/>
    <w:rsid w:val="00ED6043"/>
    <w:rsid w:val="00ED60C1"/>
    <w:rsid w:val="00ED6651"/>
    <w:rsid w:val="00ED6723"/>
    <w:rsid w:val="00ED6F7B"/>
    <w:rsid w:val="00EE0EE1"/>
    <w:rsid w:val="00EE102B"/>
    <w:rsid w:val="00EE1086"/>
    <w:rsid w:val="00EE1C60"/>
    <w:rsid w:val="00EE1C9D"/>
    <w:rsid w:val="00EE1EF4"/>
    <w:rsid w:val="00EE22CF"/>
    <w:rsid w:val="00EE24F6"/>
    <w:rsid w:val="00EE281E"/>
    <w:rsid w:val="00EE2A2F"/>
    <w:rsid w:val="00EE3349"/>
    <w:rsid w:val="00EE35B8"/>
    <w:rsid w:val="00EE3A13"/>
    <w:rsid w:val="00EE3BE9"/>
    <w:rsid w:val="00EE418D"/>
    <w:rsid w:val="00EE4363"/>
    <w:rsid w:val="00EE4690"/>
    <w:rsid w:val="00EE51C0"/>
    <w:rsid w:val="00EE5DE0"/>
    <w:rsid w:val="00EE6424"/>
    <w:rsid w:val="00EE65F3"/>
    <w:rsid w:val="00EE7000"/>
    <w:rsid w:val="00EE76F8"/>
    <w:rsid w:val="00EE781B"/>
    <w:rsid w:val="00EF02E2"/>
    <w:rsid w:val="00EF1393"/>
    <w:rsid w:val="00EF2161"/>
    <w:rsid w:val="00EF2F36"/>
    <w:rsid w:val="00EF3C0C"/>
    <w:rsid w:val="00EF45DC"/>
    <w:rsid w:val="00EF4C6C"/>
    <w:rsid w:val="00EF5780"/>
    <w:rsid w:val="00EF6B37"/>
    <w:rsid w:val="00EF742D"/>
    <w:rsid w:val="00F00C9A"/>
    <w:rsid w:val="00F00DF6"/>
    <w:rsid w:val="00F00FE3"/>
    <w:rsid w:val="00F01645"/>
    <w:rsid w:val="00F02495"/>
    <w:rsid w:val="00F02A20"/>
    <w:rsid w:val="00F032A3"/>
    <w:rsid w:val="00F03B2F"/>
    <w:rsid w:val="00F03FE5"/>
    <w:rsid w:val="00F0499A"/>
    <w:rsid w:val="00F04C61"/>
    <w:rsid w:val="00F04CF4"/>
    <w:rsid w:val="00F04E83"/>
    <w:rsid w:val="00F051C8"/>
    <w:rsid w:val="00F05C9F"/>
    <w:rsid w:val="00F05E7D"/>
    <w:rsid w:val="00F062CE"/>
    <w:rsid w:val="00F066B4"/>
    <w:rsid w:val="00F06B82"/>
    <w:rsid w:val="00F07150"/>
    <w:rsid w:val="00F07399"/>
    <w:rsid w:val="00F0740F"/>
    <w:rsid w:val="00F07693"/>
    <w:rsid w:val="00F10040"/>
    <w:rsid w:val="00F1017C"/>
    <w:rsid w:val="00F1147F"/>
    <w:rsid w:val="00F1177C"/>
    <w:rsid w:val="00F12560"/>
    <w:rsid w:val="00F12ABF"/>
    <w:rsid w:val="00F145AB"/>
    <w:rsid w:val="00F14CBA"/>
    <w:rsid w:val="00F15C36"/>
    <w:rsid w:val="00F162A0"/>
    <w:rsid w:val="00F164B3"/>
    <w:rsid w:val="00F16675"/>
    <w:rsid w:val="00F17D05"/>
    <w:rsid w:val="00F17E8A"/>
    <w:rsid w:val="00F21329"/>
    <w:rsid w:val="00F22546"/>
    <w:rsid w:val="00F226BC"/>
    <w:rsid w:val="00F22E49"/>
    <w:rsid w:val="00F242D4"/>
    <w:rsid w:val="00F24DFF"/>
    <w:rsid w:val="00F25544"/>
    <w:rsid w:val="00F271A9"/>
    <w:rsid w:val="00F271FF"/>
    <w:rsid w:val="00F27F8F"/>
    <w:rsid w:val="00F31521"/>
    <w:rsid w:val="00F315F0"/>
    <w:rsid w:val="00F31789"/>
    <w:rsid w:val="00F31D94"/>
    <w:rsid w:val="00F32126"/>
    <w:rsid w:val="00F32BFA"/>
    <w:rsid w:val="00F33149"/>
    <w:rsid w:val="00F334FB"/>
    <w:rsid w:val="00F33B39"/>
    <w:rsid w:val="00F33CAF"/>
    <w:rsid w:val="00F34402"/>
    <w:rsid w:val="00F3535D"/>
    <w:rsid w:val="00F356D4"/>
    <w:rsid w:val="00F36CB2"/>
    <w:rsid w:val="00F37AC0"/>
    <w:rsid w:val="00F408BF"/>
    <w:rsid w:val="00F41629"/>
    <w:rsid w:val="00F417A4"/>
    <w:rsid w:val="00F4187F"/>
    <w:rsid w:val="00F4201C"/>
    <w:rsid w:val="00F448A8"/>
    <w:rsid w:val="00F44D36"/>
    <w:rsid w:val="00F45A58"/>
    <w:rsid w:val="00F478AF"/>
    <w:rsid w:val="00F47968"/>
    <w:rsid w:val="00F47B3C"/>
    <w:rsid w:val="00F5004E"/>
    <w:rsid w:val="00F50286"/>
    <w:rsid w:val="00F50401"/>
    <w:rsid w:val="00F5135E"/>
    <w:rsid w:val="00F51DB2"/>
    <w:rsid w:val="00F51F9E"/>
    <w:rsid w:val="00F52F09"/>
    <w:rsid w:val="00F53039"/>
    <w:rsid w:val="00F5359C"/>
    <w:rsid w:val="00F5372D"/>
    <w:rsid w:val="00F53E83"/>
    <w:rsid w:val="00F541BC"/>
    <w:rsid w:val="00F554BD"/>
    <w:rsid w:val="00F561F6"/>
    <w:rsid w:val="00F565D0"/>
    <w:rsid w:val="00F578C3"/>
    <w:rsid w:val="00F57AE2"/>
    <w:rsid w:val="00F57C99"/>
    <w:rsid w:val="00F57D85"/>
    <w:rsid w:val="00F6004E"/>
    <w:rsid w:val="00F60243"/>
    <w:rsid w:val="00F6175E"/>
    <w:rsid w:val="00F6180C"/>
    <w:rsid w:val="00F61E15"/>
    <w:rsid w:val="00F61F24"/>
    <w:rsid w:val="00F6292E"/>
    <w:rsid w:val="00F632D2"/>
    <w:rsid w:val="00F635FB"/>
    <w:rsid w:val="00F63837"/>
    <w:rsid w:val="00F64584"/>
    <w:rsid w:val="00F647FB"/>
    <w:rsid w:val="00F649B7"/>
    <w:rsid w:val="00F650BD"/>
    <w:rsid w:val="00F65193"/>
    <w:rsid w:val="00F6567E"/>
    <w:rsid w:val="00F65B58"/>
    <w:rsid w:val="00F65B5B"/>
    <w:rsid w:val="00F65E56"/>
    <w:rsid w:val="00F66412"/>
    <w:rsid w:val="00F66A39"/>
    <w:rsid w:val="00F66A84"/>
    <w:rsid w:val="00F66FDB"/>
    <w:rsid w:val="00F67442"/>
    <w:rsid w:val="00F679C2"/>
    <w:rsid w:val="00F71814"/>
    <w:rsid w:val="00F71F9F"/>
    <w:rsid w:val="00F72A38"/>
    <w:rsid w:val="00F730D2"/>
    <w:rsid w:val="00F73BD0"/>
    <w:rsid w:val="00F74B18"/>
    <w:rsid w:val="00F74D46"/>
    <w:rsid w:val="00F7502C"/>
    <w:rsid w:val="00F757BD"/>
    <w:rsid w:val="00F75C73"/>
    <w:rsid w:val="00F75CDD"/>
    <w:rsid w:val="00F763F8"/>
    <w:rsid w:val="00F764A9"/>
    <w:rsid w:val="00F76A26"/>
    <w:rsid w:val="00F77AB2"/>
    <w:rsid w:val="00F77EEE"/>
    <w:rsid w:val="00F80194"/>
    <w:rsid w:val="00F811E9"/>
    <w:rsid w:val="00F81E01"/>
    <w:rsid w:val="00F82609"/>
    <w:rsid w:val="00F8260C"/>
    <w:rsid w:val="00F82CB4"/>
    <w:rsid w:val="00F835A9"/>
    <w:rsid w:val="00F844C5"/>
    <w:rsid w:val="00F8469D"/>
    <w:rsid w:val="00F85B08"/>
    <w:rsid w:val="00F868FD"/>
    <w:rsid w:val="00F905A0"/>
    <w:rsid w:val="00F90EC7"/>
    <w:rsid w:val="00F91294"/>
    <w:rsid w:val="00F916B4"/>
    <w:rsid w:val="00F92537"/>
    <w:rsid w:val="00F92881"/>
    <w:rsid w:val="00F932EF"/>
    <w:rsid w:val="00F9331D"/>
    <w:rsid w:val="00F94648"/>
    <w:rsid w:val="00F952D6"/>
    <w:rsid w:val="00F955EC"/>
    <w:rsid w:val="00F977A0"/>
    <w:rsid w:val="00F979C4"/>
    <w:rsid w:val="00F97DF5"/>
    <w:rsid w:val="00FA03BE"/>
    <w:rsid w:val="00FA044C"/>
    <w:rsid w:val="00FA144B"/>
    <w:rsid w:val="00FA16C0"/>
    <w:rsid w:val="00FA1EA0"/>
    <w:rsid w:val="00FA368D"/>
    <w:rsid w:val="00FA3C15"/>
    <w:rsid w:val="00FA433D"/>
    <w:rsid w:val="00FA53BB"/>
    <w:rsid w:val="00FA63F1"/>
    <w:rsid w:val="00FB0B48"/>
    <w:rsid w:val="00FB10D5"/>
    <w:rsid w:val="00FB1781"/>
    <w:rsid w:val="00FB1D77"/>
    <w:rsid w:val="00FB2532"/>
    <w:rsid w:val="00FB2902"/>
    <w:rsid w:val="00FB3C89"/>
    <w:rsid w:val="00FB3E08"/>
    <w:rsid w:val="00FB4176"/>
    <w:rsid w:val="00FB431B"/>
    <w:rsid w:val="00FB4F77"/>
    <w:rsid w:val="00FB50DD"/>
    <w:rsid w:val="00FB5572"/>
    <w:rsid w:val="00FB5CC9"/>
    <w:rsid w:val="00FB6860"/>
    <w:rsid w:val="00FB6C8C"/>
    <w:rsid w:val="00FC1DE7"/>
    <w:rsid w:val="00FC1FCE"/>
    <w:rsid w:val="00FC2681"/>
    <w:rsid w:val="00FC2FBA"/>
    <w:rsid w:val="00FC3280"/>
    <w:rsid w:val="00FC4820"/>
    <w:rsid w:val="00FC4A1A"/>
    <w:rsid w:val="00FC629D"/>
    <w:rsid w:val="00FD1770"/>
    <w:rsid w:val="00FD1A95"/>
    <w:rsid w:val="00FD2159"/>
    <w:rsid w:val="00FD2EE6"/>
    <w:rsid w:val="00FD331E"/>
    <w:rsid w:val="00FD3869"/>
    <w:rsid w:val="00FD3A5E"/>
    <w:rsid w:val="00FD5145"/>
    <w:rsid w:val="00FD5583"/>
    <w:rsid w:val="00FD5F5D"/>
    <w:rsid w:val="00FE1F8B"/>
    <w:rsid w:val="00FE302A"/>
    <w:rsid w:val="00FE3358"/>
    <w:rsid w:val="00FE3824"/>
    <w:rsid w:val="00FE45FC"/>
    <w:rsid w:val="00FE4F22"/>
    <w:rsid w:val="00FE5F91"/>
    <w:rsid w:val="00FE6493"/>
    <w:rsid w:val="00FE7BC7"/>
    <w:rsid w:val="00FF04E1"/>
    <w:rsid w:val="00FF06BC"/>
    <w:rsid w:val="00FF2F84"/>
    <w:rsid w:val="00FF2FC3"/>
    <w:rsid w:val="00FF3245"/>
    <w:rsid w:val="00FF3606"/>
    <w:rsid w:val="00FF376C"/>
    <w:rsid w:val="00FF3D62"/>
    <w:rsid w:val="00FF5550"/>
    <w:rsid w:val="00FF62C5"/>
    <w:rsid w:val="00FF7739"/>
    <w:rsid w:val="00FF77EF"/>
    <w:rsid w:val="00FF7801"/>
    <w:rsid w:val="019C54DB"/>
    <w:rsid w:val="01CAA54C"/>
    <w:rsid w:val="02886C04"/>
    <w:rsid w:val="02AC7C5C"/>
    <w:rsid w:val="02B960BB"/>
    <w:rsid w:val="02EE7595"/>
    <w:rsid w:val="03593AA3"/>
    <w:rsid w:val="036E5CA8"/>
    <w:rsid w:val="039E4361"/>
    <w:rsid w:val="03AC48BF"/>
    <w:rsid w:val="03EF03C1"/>
    <w:rsid w:val="0433273E"/>
    <w:rsid w:val="044CB552"/>
    <w:rsid w:val="0461FB1D"/>
    <w:rsid w:val="0489E2CA"/>
    <w:rsid w:val="048AD18B"/>
    <w:rsid w:val="0493B016"/>
    <w:rsid w:val="049DCB1B"/>
    <w:rsid w:val="04A51074"/>
    <w:rsid w:val="04C49899"/>
    <w:rsid w:val="04D25303"/>
    <w:rsid w:val="04D957F6"/>
    <w:rsid w:val="04DB4FE6"/>
    <w:rsid w:val="050E70A6"/>
    <w:rsid w:val="05205EC4"/>
    <w:rsid w:val="0571A6D2"/>
    <w:rsid w:val="059D80AF"/>
    <w:rsid w:val="05ABAA35"/>
    <w:rsid w:val="05DF5E1B"/>
    <w:rsid w:val="0611ED5F"/>
    <w:rsid w:val="06A21322"/>
    <w:rsid w:val="06BA977F"/>
    <w:rsid w:val="07256014"/>
    <w:rsid w:val="07336B82"/>
    <w:rsid w:val="07A37A3E"/>
    <w:rsid w:val="07AB8EFB"/>
    <w:rsid w:val="07C3EA6F"/>
    <w:rsid w:val="080F5152"/>
    <w:rsid w:val="081927CF"/>
    <w:rsid w:val="081A4D9E"/>
    <w:rsid w:val="083FD41F"/>
    <w:rsid w:val="0863F4FC"/>
    <w:rsid w:val="08BABC22"/>
    <w:rsid w:val="08C5B808"/>
    <w:rsid w:val="08D13AC2"/>
    <w:rsid w:val="0907CE42"/>
    <w:rsid w:val="093BEA51"/>
    <w:rsid w:val="09495DCF"/>
    <w:rsid w:val="0955FB72"/>
    <w:rsid w:val="0963B3EB"/>
    <w:rsid w:val="096B5590"/>
    <w:rsid w:val="09989FC9"/>
    <w:rsid w:val="09A2CEAD"/>
    <w:rsid w:val="09E05A29"/>
    <w:rsid w:val="09FDBBA8"/>
    <w:rsid w:val="0A47EA6D"/>
    <w:rsid w:val="0A4CBF95"/>
    <w:rsid w:val="0A6D4818"/>
    <w:rsid w:val="0A8E59FF"/>
    <w:rsid w:val="0AABB939"/>
    <w:rsid w:val="0AD9EEDE"/>
    <w:rsid w:val="0AE5346A"/>
    <w:rsid w:val="0B2B3E15"/>
    <w:rsid w:val="0B5B5F63"/>
    <w:rsid w:val="0C5C8B14"/>
    <w:rsid w:val="0C821672"/>
    <w:rsid w:val="0C8A9FFD"/>
    <w:rsid w:val="0CAC52F7"/>
    <w:rsid w:val="0CB86790"/>
    <w:rsid w:val="0CD85B06"/>
    <w:rsid w:val="0D564F6B"/>
    <w:rsid w:val="0D6D3C6A"/>
    <w:rsid w:val="0D7188ED"/>
    <w:rsid w:val="0D75AFDF"/>
    <w:rsid w:val="0DB8D447"/>
    <w:rsid w:val="0DD2814F"/>
    <w:rsid w:val="0DF4002C"/>
    <w:rsid w:val="0E2DA213"/>
    <w:rsid w:val="0E497AA0"/>
    <w:rsid w:val="0E51E2CD"/>
    <w:rsid w:val="0E67CC5A"/>
    <w:rsid w:val="0E843FB2"/>
    <w:rsid w:val="0EAA1AE9"/>
    <w:rsid w:val="0ED8AE3A"/>
    <w:rsid w:val="0F1B8A57"/>
    <w:rsid w:val="0F35545F"/>
    <w:rsid w:val="0F586211"/>
    <w:rsid w:val="0F759CC3"/>
    <w:rsid w:val="0FC478FA"/>
    <w:rsid w:val="0FC839E8"/>
    <w:rsid w:val="0FDF19AB"/>
    <w:rsid w:val="0FE0C039"/>
    <w:rsid w:val="101C0102"/>
    <w:rsid w:val="101FBD63"/>
    <w:rsid w:val="109B7532"/>
    <w:rsid w:val="113BE68C"/>
    <w:rsid w:val="1163E374"/>
    <w:rsid w:val="11A23EC3"/>
    <w:rsid w:val="11D80D10"/>
    <w:rsid w:val="11F31E06"/>
    <w:rsid w:val="12108419"/>
    <w:rsid w:val="122D5BE9"/>
    <w:rsid w:val="12301652"/>
    <w:rsid w:val="12334E0B"/>
    <w:rsid w:val="1249EEBD"/>
    <w:rsid w:val="125D6146"/>
    <w:rsid w:val="12944A61"/>
    <w:rsid w:val="12B2F586"/>
    <w:rsid w:val="12BC927F"/>
    <w:rsid w:val="12F24F01"/>
    <w:rsid w:val="12F2A359"/>
    <w:rsid w:val="13B08D8E"/>
    <w:rsid w:val="13E4D404"/>
    <w:rsid w:val="13F8792A"/>
    <w:rsid w:val="142D7554"/>
    <w:rsid w:val="145AD81C"/>
    <w:rsid w:val="147801C9"/>
    <w:rsid w:val="14B5CBBC"/>
    <w:rsid w:val="1517E753"/>
    <w:rsid w:val="157B17F0"/>
    <w:rsid w:val="15806AC3"/>
    <w:rsid w:val="159DA9C5"/>
    <w:rsid w:val="15F47E69"/>
    <w:rsid w:val="15F4E879"/>
    <w:rsid w:val="15FD7DC2"/>
    <w:rsid w:val="160B7C63"/>
    <w:rsid w:val="164767F5"/>
    <w:rsid w:val="1658FA26"/>
    <w:rsid w:val="166E8BD7"/>
    <w:rsid w:val="16943630"/>
    <w:rsid w:val="1698637C"/>
    <w:rsid w:val="169989F4"/>
    <w:rsid w:val="169E46A2"/>
    <w:rsid w:val="16BDC1C0"/>
    <w:rsid w:val="16DCA65A"/>
    <w:rsid w:val="171A7715"/>
    <w:rsid w:val="17828DDD"/>
    <w:rsid w:val="17C5A60E"/>
    <w:rsid w:val="17F1B3F4"/>
    <w:rsid w:val="181D75C6"/>
    <w:rsid w:val="181F0CA1"/>
    <w:rsid w:val="18469AE5"/>
    <w:rsid w:val="185495C2"/>
    <w:rsid w:val="18F98569"/>
    <w:rsid w:val="191BEE8D"/>
    <w:rsid w:val="193E4A2F"/>
    <w:rsid w:val="197990D7"/>
    <w:rsid w:val="1982F264"/>
    <w:rsid w:val="19D934E6"/>
    <w:rsid w:val="19E4B85B"/>
    <w:rsid w:val="1A1CC0B1"/>
    <w:rsid w:val="1A49449E"/>
    <w:rsid w:val="1A4F135E"/>
    <w:rsid w:val="1A539774"/>
    <w:rsid w:val="1AE027EA"/>
    <w:rsid w:val="1BBEAE6A"/>
    <w:rsid w:val="1BF77FC5"/>
    <w:rsid w:val="1C02EE1F"/>
    <w:rsid w:val="1C35E77D"/>
    <w:rsid w:val="1C76F84E"/>
    <w:rsid w:val="1C9D38BD"/>
    <w:rsid w:val="1CA6BC36"/>
    <w:rsid w:val="1CBB4DBF"/>
    <w:rsid w:val="1CEFF473"/>
    <w:rsid w:val="1D06965B"/>
    <w:rsid w:val="1D0A874E"/>
    <w:rsid w:val="1D4CE92A"/>
    <w:rsid w:val="1D5BE335"/>
    <w:rsid w:val="1D75B1AE"/>
    <w:rsid w:val="1D96A1F0"/>
    <w:rsid w:val="1E324D8F"/>
    <w:rsid w:val="1E7B85AD"/>
    <w:rsid w:val="1EBA327B"/>
    <w:rsid w:val="1EBE6016"/>
    <w:rsid w:val="1EFB8FE8"/>
    <w:rsid w:val="1F23E0C9"/>
    <w:rsid w:val="1F5C4B56"/>
    <w:rsid w:val="1F6334B9"/>
    <w:rsid w:val="1F75CC4E"/>
    <w:rsid w:val="1F82433D"/>
    <w:rsid w:val="1F8ABFE8"/>
    <w:rsid w:val="1FB4D926"/>
    <w:rsid w:val="1FBFE7AD"/>
    <w:rsid w:val="1FC85832"/>
    <w:rsid w:val="1FF87065"/>
    <w:rsid w:val="2087CAC9"/>
    <w:rsid w:val="20AEB799"/>
    <w:rsid w:val="20B56314"/>
    <w:rsid w:val="20F88AE3"/>
    <w:rsid w:val="212116AD"/>
    <w:rsid w:val="2156CF3E"/>
    <w:rsid w:val="2192F9BC"/>
    <w:rsid w:val="21A6A1EF"/>
    <w:rsid w:val="21A92D27"/>
    <w:rsid w:val="21B12FF7"/>
    <w:rsid w:val="22045B94"/>
    <w:rsid w:val="220CFB31"/>
    <w:rsid w:val="225EAE1C"/>
    <w:rsid w:val="22B2584C"/>
    <w:rsid w:val="22C91EB9"/>
    <w:rsid w:val="22DF72E5"/>
    <w:rsid w:val="23250FD6"/>
    <w:rsid w:val="23596439"/>
    <w:rsid w:val="2388FD66"/>
    <w:rsid w:val="23BDDAB8"/>
    <w:rsid w:val="23D87A8C"/>
    <w:rsid w:val="23DFBA6E"/>
    <w:rsid w:val="23F056EF"/>
    <w:rsid w:val="23F6011C"/>
    <w:rsid w:val="2435EFA8"/>
    <w:rsid w:val="243A35BB"/>
    <w:rsid w:val="2457E13A"/>
    <w:rsid w:val="245EC108"/>
    <w:rsid w:val="24B84BD2"/>
    <w:rsid w:val="24FEB0FB"/>
    <w:rsid w:val="250D6A8D"/>
    <w:rsid w:val="25135AE4"/>
    <w:rsid w:val="253BD44B"/>
    <w:rsid w:val="255CBE67"/>
    <w:rsid w:val="256E7C30"/>
    <w:rsid w:val="26185F7D"/>
    <w:rsid w:val="261A6CD6"/>
    <w:rsid w:val="262235FB"/>
    <w:rsid w:val="263E5786"/>
    <w:rsid w:val="266C400C"/>
    <w:rsid w:val="26A3CAE0"/>
    <w:rsid w:val="26DCA4DB"/>
    <w:rsid w:val="274D4676"/>
    <w:rsid w:val="27742C75"/>
    <w:rsid w:val="27798285"/>
    <w:rsid w:val="27ED35BF"/>
    <w:rsid w:val="283C730D"/>
    <w:rsid w:val="28D4B20E"/>
    <w:rsid w:val="296E0A82"/>
    <w:rsid w:val="299A0BE4"/>
    <w:rsid w:val="29D8B480"/>
    <w:rsid w:val="2A100C20"/>
    <w:rsid w:val="2A139342"/>
    <w:rsid w:val="2A532E8A"/>
    <w:rsid w:val="2A609608"/>
    <w:rsid w:val="2A6EC3B0"/>
    <w:rsid w:val="2A7556D5"/>
    <w:rsid w:val="2A9B1893"/>
    <w:rsid w:val="2AB18DA6"/>
    <w:rsid w:val="2AB91757"/>
    <w:rsid w:val="2ABE5221"/>
    <w:rsid w:val="2AD11095"/>
    <w:rsid w:val="2AD7F5DB"/>
    <w:rsid w:val="2ADA4B78"/>
    <w:rsid w:val="2AE146CF"/>
    <w:rsid w:val="2B29B4C4"/>
    <w:rsid w:val="2B63FECC"/>
    <w:rsid w:val="2BFF4665"/>
    <w:rsid w:val="2C008C39"/>
    <w:rsid w:val="2C0DD14A"/>
    <w:rsid w:val="2C168640"/>
    <w:rsid w:val="2C55BFF8"/>
    <w:rsid w:val="2C8F587B"/>
    <w:rsid w:val="2C96362D"/>
    <w:rsid w:val="2CE17F0E"/>
    <w:rsid w:val="2D1554D5"/>
    <w:rsid w:val="2D1A6F83"/>
    <w:rsid w:val="2D6B4CDC"/>
    <w:rsid w:val="2DA91141"/>
    <w:rsid w:val="2DC21D00"/>
    <w:rsid w:val="2E2AE831"/>
    <w:rsid w:val="2E3E3D9E"/>
    <w:rsid w:val="2E57979F"/>
    <w:rsid w:val="2E71A338"/>
    <w:rsid w:val="2E8FBFCC"/>
    <w:rsid w:val="2EA8287E"/>
    <w:rsid w:val="2EA83A41"/>
    <w:rsid w:val="2ECA5F20"/>
    <w:rsid w:val="2EE7E7DC"/>
    <w:rsid w:val="2F2A9563"/>
    <w:rsid w:val="2F36E6B2"/>
    <w:rsid w:val="2F5CC328"/>
    <w:rsid w:val="2FA8DD83"/>
    <w:rsid w:val="2FEC10E5"/>
    <w:rsid w:val="301FC8E5"/>
    <w:rsid w:val="304A16E8"/>
    <w:rsid w:val="309CDFFD"/>
    <w:rsid w:val="30AFE808"/>
    <w:rsid w:val="318F99B9"/>
    <w:rsid w:val="31D44361"/>
    <w:rsid w:val="31FFAB46"/>
    <w:rsid w:val="32086FFD"/>
    <w:rsid w:val="320CB30A"/>
    <w:rsid w:val="32104FF6"/>
    <w:rsid w:val="322CD2A2"/>
    <w:rsid w:val="323500B3"/>
    <w:rsid w:val="3253E4F3"/>
    <w:rsid w:val="327D23CA"/>
    <w:rsid w:val="3298CB6D"/>
    <w:rsid w:val="32C2827D"/>
    <w:rsid w:val="32CD9FCF"/>
    <w:rsid w:val="332AD792"/>
    <w:rsid w:val="336DE616"/>
    <w:rsid w:val="3384F4FE"/>
    <w:rsid w:val="33C17CC3"/>
    <w:rsid w:val="33EB8167"/>
    <w:rsid w:val="33F45296"/>
    <w:rsid w:val="3403F144"/>
    <w:rsid w:val="341620FC"/>
    <w:rsid w:val="345B4986"/>
    <w:rsid w:val="34C24835"/>
    <w:rsid w:val="34F540BD"/>
    <w:rsid w:val="34F6AF8B"/>
    <w:rsid w:val="3532ED42"/>
    <w:rsid w:val="35565769"/>
    <w:rsid w:val="355BD1FF"/>
    <w:rsid w:val="35AC2BCE"/>
    <w:rsid w:val="35DA7379"/>
    <w:rsid w:val="3663C1FE"/>
    <w:rsid w:val="36BE32BC"/>
    <w:rsid w:val="36CDCCF6"/>
    <w:rsid w:val="36EE60AC"/>
    <w:rsid w:val="37A3D699"/>
    <w:rsid w:val="37B3414B"/>
    <w:rsid w:val="37C88039"/>
    <w:rsid w:val="3800E497"/>
    <w:rsid w:val="385B2969"/>
    <w:rsid w:val="38843C00"/>
    <w:rsid w:val="38960983"/>
    <w:rsid w:val="389956CA"/>
    <w:rsid w:val="38B365AE"/>
    <w:rsid w:val="38D400DD"/>
    <w:rsid w:val="38E8F0B7"/>
    <w:rsid w:val="39164AB7"/>
    <w:rsid w:val="392054A9"/>
    <w:rsid w:val="3938764B"/>
    <w:rsid w:val="393C2AFF"/>
    <w:rsid w:val="39871310"/>
    <w:rsid w:val="39A7706A"/>
    <w:rsid w:val="39AC7D77"/>
    <w:rsid w:val="39B89A6C"/>
    <w:rsid w:val="39D9C038"/>
    <w:rsid w:val="39F7B8A6"/>
    <w:rsid w:val="3A1061C4"/>
    <w:rsid w:val="3A111F34"/>
    <w:rsid w:val="3A4AD388"/>
    <w:rsid w:val="3A4B4FBB"/>
    <w:rsid w:val="3A6094BC"/>
    <w:rsid w:val="3A6818BC"/>
    <w:rsid w:val="3A7CA888"/>
    <w:rsid w:val="3A9FDBDD"/>
    <w:rsid w:val="3ADB2568"/>
    <w:rsid w:val="3B03E2D7"/>
    <w:rsid w:val="3B3143B2"/>
    <w:rsid w:val="3B73BC82"/>
    <w:rsid w:val="3B80A665"/>
    <w:rsid w:val="3BA4FD77"/>
    <w:rsid w:val="3BCA1BC5"/>
    <w:rsid w:val="3C29740F"/>
    <w:rsid w:val="3C2E5CB6"/>
    <w:rsid w:val="3C5CC4CD"/>
    <w:rsid w:val="3C9A36C7"/>
    <w:rsid w:val="3C9E1917"/>
    <w:rsid w:val="3CD82376"/>
    <w:rsid w:val="3D22368A"/>
    <w:rsid w:val="3D5DE3F4"/>
    <w:rsid w:val="3D67A053"/>
    <w:rsid w:val="3DAA57FE"/>
    <w:rsid w:val="3DBD8E24"/>
    <w:rsid w:val="3DC4DD44"/>
    <w:rsid w:val="3E018FEA"/>
    <w:rsid w:val="3E0D8191"/>
    <w:rsid w:val="3E6B043D"/>
    <w:rsid w:val="3EDD1AC9"/>
    <w:rsid w:val="3EE1162F"/>
    <w:rsid w:val="3F6195E1"/>
    <w:rsid w:val="3F68ADBF"/>
    <w:rsid w:val="3F70B316"/>
    <w:rsid w:val="3FC123EB"/>
    <w:rsid w:val="4056C28C"/>
    <w:rsid w:val="405D9492"/>
    <w:rsid w:val="4065A5AA"/>
    <w:rsid w:val="408491E8"/>
    <w:rsid w:val="409FE198"/>
    <w:rsid w:val="40B9129A"/>
    <w:rsid w:val="40BDD228"/>
    <w:rsid w:val="411FD3EC"/>
    <w:rsid w:val="41283D8E"/>
    <w:rsid w:val="41435C22"/>
    <w:rsid w:val="4172407C"/>
    <w:rsid w:val="41A682AA"/>
    <w:rsid w:val="41B0F5FD"/>
    <w:rsid w:val="41C4706E"/>
    <w:rsid w:val="41CA118C"/>
    <w:rsid w:val="4227A11E"/>
    <w:rsid w:val="425C70B4"/>
    <w:rsid w:val="4270297E"/>
    <w:rsid w:val="42AA47F0"/>
    <w:rsid w:val="42D10258"/>
    <w:rsid w:val="4332FCA3"/>
    <w:rsid w:val="4385A54D"/>
    <w:rsid w:val="43AE5005"/>
    <w:rsid w:val="43B168FB"/>
    <w:rsid w:val="43BC2F7E"/>
    <w:rsid w:val="43C25822"/>
    <w:rsid w:val="43CEE3F4"/>
    <w:rsid w:val="440023DA"/>
    <w:rsid w:val="44619D0C"/>
    <w:rsid w:val="44647589"/>
    <w:rsid w:val="448D8292"/>
    <w:rsid w:val="44964248"/>
    <w:rsid w:val="44AF3537"/>
    <w:rsid w:val="44B8E5DC"/>
    <w:rsid w:val="44D41493"/>
    <w:rsid w:val="44E375E2"/>
    <w:rsid w:val="455E8DE5"/>
    <w:rsid w:val="456EE7E8"/>
    <w:rsid w:val="45856C68"/>
    <w:rsid w:val="45C93A9A"/>
    <w:rsid w:val="45D2E148"/>
    <w:rsid w:val="4612B456"/>
    <w:rsid w:val="46481036"/>
    <w:rsid w:val="4652C9AB"/>
    <w:rsid w:val="467CA57E"/>
    <w:rsid w:val="467F224A"/>
    <w:rsid w:val="46A79007"/>
    <w:rsid w:val="46D54398"/>
    <w:rsid w:val="46F252A0"/>
    <w:rsid w:val="47297591"/>
    <w:rsid w:val="472F2911"/>
    <w:rsid w:val="47DBAB65"/>
    <w:rsid w:val="482D422E"/>
    <w:rsid w:val="48C4984A"/>
    <w:rsid w:val="490C4E9D"/>
    <w:rsid w:val="491CB5DE"/>
    <w:rsid w:val="4936CF42"/>
    <w:rsid w:val="495C4EF8"/>
    <w:rsid w:val="4988583C"/>
    <w:rsid w:val="498BE6A2"/>
    <w:rsid w:val="49BCAF54"/>
    <w:rsid w:val="49DB9B15"/>
    <w:rsid w:val="4A431DD4"/>
    <w:rsid w:val="4A49918E"/>
    <w:rsid w:val="4A8BCB8C"/>
    <w:rsid w:val="4A95BD11"/>
    <w:rsid w:val="4A9FB360"/>
    <w:rsid w:val="4AAC35B0"/>
    <w:rsid w:val="4ABEBB77"/>
    <w:rsid w:val="4AD54C03"/>
    <w:rsid w:val="4AD7282E"/>
    <w:rsid w:val="4AEE332F"/>
    <w:rsid w:val="4B168579"/>
    <w:rsid w:val="4B676B45"/>
    <w:rsid w:val="4B80E18A"/>
    <w:rsid w:val="4BDA69BE"/>
    <w:rsid w:val="4C086FCD"/>
    <w:rsid w:val="4C28D0C0"/>
    <w:rsid w:val="4C4B6B2F"/>
    <w:rsid w:val="4CBD4859"/>
    <w:rsid w:val="4CBD4A0A"/>
    <w:rsid w:val="4CE097A8"/>
    <w:rsid w:val="4CF160BD"/>
    <w:rsid w:val="4D0AB412"/>
    <w:rsid w:val="4D2F5357"/>
    <w:rsid w:val="4D3F2DF6"/>
    <w:rsid w:val="4D61433D"/>
    <w:rsid w:val="4D6EFEA1"/>
    <w:rsid w:val="4DD03AEF"/>
    <w:rsid w:val="4E1E7FE7"/>
    <w:rsid w:val="4E4A6DB5"/>
    <w:rsid w:val="4E8D0B45"/>
    <w:rsid w:val="4E99FB40"/>
    <w:rsid w:val="4EA46072"/>
    <w:rsid w:val="4EC035A9"/>
    <w:rsid w:val="4ED85429"/>
    <w:rsid w:val="4F10D196"/>
    <w:rsid w:val="4F295364"/>
    <w:rsid w:val="4F354199"/>
    <w:rsid w:val="4F426C06"/>
    <w:rsid w:val="4F7A4B84"/>
    <w:rsid w:val="4F81E921"/>
    <w:rsid w:val="4F8C871D"/>
    <w:rsid w:val="4FBEB8DC"/>
    <w:rsid w:val="4FD65615"/>
    <w:rsid w:val="500BCB21"/>
    <w:rsid w:val="50219E69"/>
    <w:rsid w:val="5036B437"/>
    <w:rsid w:val="5081559C"/>
    <w:rsid w:val="50975229"/>
    <w:rsid w:val="50C14534"/>
    <w:rsid w:val="50CA9486"/>
    <w:rsid w:val="51169149"/>
    <w:rsid w:val="5123B508"/>
    <w:rsid w:val="5124C448"/>
    <w:rsid w:val="5131EEAA"/>
    <w:rsid w:val="5164F1E1"/>
    <w:rsid w:val="516F80B1"/>
    <w:rsid w:val="5183C330"/>
    <w:rsid w:val="519B80FD"/>
    <w:rsid w:val="519F5B0B"/>
    <w:rsid w:val="51CE274E"/>
    <w:rsid w:val="51D8033D"/>
    <w:rsid w:val="51F1A98C"/>
    <w:rsid w:val="51FFC592"/>
    <w:rsid w:val="5232534F"/>
    <w:rsid w:val="525E6D2C"/>
    <w:rsid w:val="5286A95F"/>
    <w:rsid w:val="528C2DE7"/>
    <w:rsid w:val="52C32422"/>
    <w:rsid w:val="52C6B4D0"/>
    <w:rsid w:val="52D8E864"/>
    <w:rsid w:val="52E3D8E4"/>
    <w:rsid w:val="52E96231"/>
    <w:rsid w:val="5326078B"/>
    <w:rsid w:val="5371E381"/>
    <w:rsid w:val="538A6A64"/>
    <w:rsid w:val="539B814B"/>
    <w:rsid w:val="53AE8A58"/>
    <w:rsid w:val="53BB80A9"/>
    <w:rsid w:val="53BF3B52"/>
    <w:rsid w:val="53C392F5"/>
    <w:rsid w:val="53EE67C0"/>
    <w:rsid w:val="545E6AB8"/>
    <w:rsid w:val="5460C67B"/>
    <w:rsid w:val="54661DC0"/>
    <w:rsid w:val="547DF233"/>
    <w:rsid w:val="54F9E724"/>
    <w:rsid w:val="551057DC"/>
    <w:rsid w:val="55179D1E"/>
    <w:rsid w:val="55403D88"/>
    <w:rsid w:val="5558A910"/>
    <w:rsid w:val="55B53CA8"/>
    <w:rsid w:val="55BFC5F4"/>
    <w:rsid w:val="55CB101F"/>
    <w:rsid w:val="55F925F2"/>
    <w:rsid w:val="56033B92"/>
    <w:rsid w:val="560E9634"/>
    <w:rsid w:val="5659C423"/>
    <w:rsid w:val="566CBEFA"/>
    <w:rsid w:val="568488F8"/>
    <w:rsid w:val="56A18E31"/>
    <w:rsid w:val="56B4D8EA"/>
    <w:rsid w:val="56BBE494"/>
    <w:rsid w:val="56C7DFA4"/>
    <w:rsid w:val="56E00461"/>
    <w:rsid w:val="56E308E1"/>
    <w:rsid w:val="56E76C7F"/>
    <w:rsid w:val="56F1E89D"/>
    <w:rsid w:val="56FCDA34"/>
    <w:rsid w:val="56FD62EB"/>
    <w:rsid w:val="57108BF6"/>
    <w:rsid w:val="57165A4A"/>
    <w:rsid w:val="573DD889"/>
    <w:rsid w:val="574E3796"/>
    <w:rsid w:val="575533F1"/>
    <w:rsid w:val="577B5B0E"/>
    <w:rsid w:val="57B958E1"/>
    <w:rsid w:val="57E21CBF"/>
    <w:rsid w:val="57E58027"/>
    <w:rsid w:val="57EB4D47"/>
    <w:rsid w:val="57FCD210"/>
    <w:rsid w:val="5892AA85"/>
    <w:rsid w:val="599531B8"/>
    <w:rsid w:val="5998D94F"/>
    <w:rsid w:val="59B598A9"/>
    <w:rsid w:val="59C9D18E"/>
    <w:rsid w:val="59DE64A5"/>
    <w:rsid w:val="59E557B7"/>
    <w:rsid w:val="5A1D3C61"/>
    <w:rsid w:val="5A2AC2D9"/>
    <w:rsid w:val="5A3D05E8"/>
    <w:rsid w:val="5A44320C"/>
    <w:rsid w:val="5A6847E6"/>
    <w:rsid w:val="5A797072"/>
    <w:rsid w:val="5A9D7E90"/>
    <w:rsid w:val="5AC15BBA"/>
    <w:rsid w:val="5AD166B2"/>
    <w:rsid w:val="5AF23BFD"/>
    <w:rsid w:val="5BB3CDE1"/>
    <w:rsid w:val="5BBD184D"/>
    <w:rsid w:val="5BD134EC"/>
    <w:rsid w:val="5BD184C3"/>
    <w:rsid w:val="5BEE524F"/>
    <w:rsid w:val="5C1E4DC4"/>
    <w:rsid w:val="5C39CF98"/>
    <w:rsid w:val="5C5482CF"/>
    <w:rsid w:val="5C5DC994"/>
    <w:rsid w:val="5CA7046D"/>
    <w:rsid w:val="5CBA8FBD"/>
    <w:rsid w:val="5CBE440C"/>
    <w:rsid w:val="5CE4D904"/>
    <w:rsid w:val="5CEEE255"/>
    <w:rsid w:val="5D09EC32"/>
    <w:rsid w:val="5D24FE42"/>
    <w:rsid w:val="5D48B11B"/>
    <w:rsid w:val="5D4BC8BA"/>
    <w:rsid w:val="5D7DE390"/>
    <w:rsid w:val="5D8B8756"/>
    <w:rsid w:val="5DC1C991"/>
    <w:rsid w:val="5DDECA1A"/>
    <w:rsid w:val="5E06060D"/>
    <w:rsid w:val="5E0EEA04"/>
    <w:rsid w:val="5E2CF4F5"/>
    <w:rsid w:val="5E52C98E"/>
    <w:rsid w:val="5E78F6CB"/>
    <w:rsid w:val="5ED52108"/>
    <w:rsid w:val="5EED65C7"/>
    <w:rsid w:val="5EF15A91"/>
    <w:rsid w:val="5F09B190"/>
    <w:rsid w:val="5F4322CF"/>
    <w:rsid w:val="5F6B63F8"/>
    <w:rsid w:val="5F77C250"/>
    <w:rsid w:val="5FDB695A"/>
    <w:rsid w:val="5FDF0E8D"/>
    <w:rsid w:val="60440556"/>
    <w:rsid w:val="6051D24E"/>
    <w:rsid w:val="60A2C6CD"/>
    <w:rsid w:val="60F7A53A"/>
    <w:rsid w:val="60FAAF62"/>
    <w:rsid w:val="612CF8D9"/>
    <w:rsid w:val="613EB1E3"/>
    <w:rsid w:val="616950C0"/>
    <w:rsid w:val="61ECEEE9"/>
    <w:rsid w:val="620FCF7E"/>
    <w:rsid w:val="62189433"/>
    <w:rsid w:val="623ABDBB"/>
    <w:rsid w:val="624BB370"/>
    <w:rsid w:val="6267CAF7"/>
    <w:rsid w:val="629C1FC7"/>
    <w:rsid w:val="62A81212"/>
    <w:rsid w:val="62C36235"/>
    <w:rsid w:val="62C91C9F"/>
    <w:rsid w:val="62CAFA12"/>
    <w:rsid w:val="6334BB81"/>
    <w:rsid w:val="633B6C9E"/>
    <w:rsid w:val="633F3436"/>
    <w:rsid w:val="637646CD"/>
    <w:rsid w:val="63BFAE19"/>
    <w:rsid w:val="63CDF58B"/>
    <w:rsid w:val="63F08DE2"/>
    <w:rsid w:val="6403DE48"/>
    <w:rsid w:val="642A0DF0"/>
    <w:rsid w:val="64520AF8"/>
    <w:rsid w:val="6454A7FD"/>
    <w:rsid w:val="6455FD81"/>
    <w:rsid w:val="646E090A"/>
    <w:rsid w:val="649D7009"/>
    <w:rsid w:val="64AAB2B9"/>
    <w:rsid w:val="64B099ED"/>
    <w:rsid w:val="64B6D51D"/>
    <w:rsid w:val="64EA81B0"/>
    <w:rsid w:val="6508EDC0"/>
    <w:rsid w:val="6589DDCF"/>
    <w:rsid w:val="65B75E60"/>
    <w:rsid w:val="65E17D18"/>
    <w:rsid w:val="662794C6"/>
    <w:rsid w:val="6636B82B"/>
    <w:rsid w:val="667A0C75"/>
    <w:rsid w:val="66CE4866"/>
    <w:rsid w:val="66D03612"/>
    <w:rsid w:val="66E8D8C1"/>
    <w:rsid w:val="67133454"/>
    <w:rsid w:val="6714ED30"/>
    <w:rsid w:val="671AB87D"/>
    <w:rsid w:val="679916C4"/>
    <w:rsid w:val="679F1CD3"/>
    <w:rsid w:val="67C17884"/>
    <w:rsid w:val="67CDC839"/>
    <w:rsid w:val="67D1DDED"/>
    <w:rsid w:val="68158C99"/>
    <w:rsid w:val="6816112B"/>
    <w:rsid w:val="68492DF9"/>
    <w:rsid w:val="684BAAB6"/>
    <w:rsid w:val="68620C5A"/>
    <w:rsid w:val="68C10119"/>
    <w:rsid w:val="68CF119B"/>
    <w:rsid w:val="68E3A538"/>
    <w:rsid w:val="690C2643"/>
    <w:rsid w:val="6919125B"/>
    <w:rsid w:val="69325D50"/>
    <w:rsid w:val="693427E0"/>
    <w:rsid w:val="69439FFD"/>
    <w:rsid w:val="695FCFED"/>
    <w:rsid w:val="698682C3"/>
    <w:rsid w:val="69898A12"/>
    <w:rsid w:val="698B3549"/>
    <w:rsid w:val="699A2817"/>
    <w:rsid w:val="69A63319"/>
    <w:rsid w:val="69E1C5C8"/>
    <w:rsid w:val="69FCC3B5"/>
    <w:rsid w:val="6A189381"/>
    <w:rsid w:val="6A64D576"/>
    <w:rsid w:val="6A6FE3BE"/>
    <w:rsid w:val="6AC43667"/>
    <w:rsid w:val="6AC46F5B"/>
    <w:rsid w:val="6AD197FE"/>
    <w:rsid w:val="6ADDE5FE"/>
    <w:rsid w:val="6AE9A197"/>
    <w:rsid w:val="6AFB435E"/>
    <w:rsid w:val="6B130E22"/>
    <w:rsid w:val="6B6F5533"/>
    <w:rsid w:val="6B7FCA09"/>
    <w:rsid w:val="6B8D8A8C"/>
    <w:rsid w:val="6BB8F13A"/>
    <w:rsid w:val="6BDEC295"/>
    <w:rsid w:val="6BE586D9"/>
    <w:rsid w:val="6BEB7C6E"/>
    <w:rsid w:val="6C07ACF6"/>
    <w:rsid w:val="6C0A0B90"/>
    <w:rsid w:val="6C6B2D0A"/>
    <w:rsid w:val="6C765257"/>
    <w:rsid w:val="6C8C99F5"/>
    <w:rsid w:val="6CB0E659"/>
    <w:rsid w:val="6CBB4E43"/>
    <w:rsid w:val="6CE6AF84"/>
    <w:rsid w:val="6CEB1D6E"/>
    <w:rsid w:val="6D1C6921"/>
    <w:rsid w:val="6D409345"/>
    <w:rsid w:val="6D457E57"/>
    <w:rsid w:val="6DB9248A"/>
    <w:rsid w:val="6E3B8637"/>
    <w:rsid w:val="6E80EC91"/>
    <w:rsid w:val="6ED65E75"/>
    <w:rsid w:val="6EE247B1"/>
    <w:rsid w:val="6EE433C5"/>
    <w:rsid w:val="6F04A448"/>
    <w:rsid w:val="6F2C351D"/>
    <w:rsid w:val="6F3C0425"/>
    <w:rsid w:val="6F6F8314"/>
    <w:rsid w:val="6F91A0D3"/>
    <w:rsid w:val="6F95BD81"/>
    <w:rsid w:val="6FA96467"/>
    <w:rsid w:val="6FAC4D0A"/>
    <w:rsid w:val="6FDFE991"/>
    <w:rsid w:val="6FE8B09D"/>
    <w:rsid w:val="6FEED1F2"/>
    <w:rsid w:val="7000445E"/>
    <w:rsid w:val="70037BEC"/>
    <w:rsid w:val="7015637D"/>
    <w:rsid w:val="702CCDAC"/>
    <w:rsid w:val="704C4569"/>
    <w:rsid w:val="70617F55"/>
    <w:rsid w:val="70670934"/>
    <w:rsid w:val="70E65AE8"/>
    <w:rsid w:val="71174C9F"/>
    <w:rsid w:val="7119E09B"/>
    <w:rsid w:val="71374FDC"/>
    <w:rsid w:val="713E5FC2"/>
    <w:rsid w:val="7252639D"/>
    <w:rsid w:val="729DBA6C"/>
    <w:rsid w:val="72B73214"/>
    <w:rsid w:val="72DF2E2B"/>
    <w:rsid w:val="72EDA573"/>
    <w:rsid w:val="73640E8A"/>
    <w:rsid w:val="7388F9BA"/>
    <w:rsid w:val="738DF667"/>
    <w:rsid w:val="73A579EC"/>
    <w:rsid w:val="73AC0F19"/>
    <w:rsid w:val="73AFB364"/>
    <w:rsid w:val="73F5DBE6"/>
    <w:rsid w:val="7404C218"/>
    <w:rsid w:val="741719FD"/>
    <w:rsid w:val="74584D6D"/>
    <w:rsid w:val="745D3F74"/>
    <w:rsid w:val="746D7C90"/>
    <w:rsid w:val="750D9727"/>
    <w:rsid w:val="751C41ED"/>
    <w:rsid w:val="7584ED58"/>
    <w:rsid w:val="75AE7246"/>
    <w:rsid w:val="75D2D91F"/>
    <w:rsid w:val="75FF55B9"/>
    <w:rsid w:val="7606C080"/>
    <w:rsid w:val="7626F2E4"/>
    <w:rsid w:val="76576E65"/>
    <w:rsid w:val="7657BA6E"/>
    <w:rsid w:val="768296F7"/>
    <w:rsid w:val="76A2D226"/>
    <w:rsid w:val="76B39869"/>
    <w:rsid w:val="76C776D2"/>
    <w:rsid w:val="77AEDC9C"/>
    <w:rsid w:val="77B7C926"/>
    <w:rsid w:val="77FF0615"/>
    <w:rsid w:val="780B061D"/>
    <w:rsid w:val="782A3958"/>
    <w:rsid w:val="78666D1C"/>
    <w:rsid w:val="787A92BA"/>
    <w:rsid w:val="78C7BF5D"/>
    <w:rsid w:val="78F5BDB3"/>
    <w:rsid w:val="7918EFCC"/>
    <w:rsid w:val="7988C295"/>
    <w:rsid w:val="79AD9A0D"/>
    <w:rsid w:val="79B42CC5"/>
    <w:rsid w:val="79F5E307"/>
    <w:rsid w:val="7A26EDB1"/>
    <w:rsid w:val="7A52BE11"/>
    <w:rsid w:val="7A740A44"/>
    <w:rsid w:val="7A76BF7C"/>
    <w:rsid w:val="7A8C5A3F"/>
    <w:rsid w:val="7AAD3C0C"/>
    <w:rsid w:val="7AC00100"/>
    <w:rsid w:val="7AC7262F"/>
    <w:rsid w:val="7ADE1E3F"/>
    <w:rsid w:val="7AE64771"/>
    <w:rsid w:val="7B1FBBF6"/>
    <w:rsid w:val="7B2A631E"/>
    <w:rsid w:val="7B6DF4EE"/>
    <w:rsid w:val="7B8FA880"/>
    <w:rsid w:val="7B9A458F"/>
    <w:rsid w:val="7B9A558B"/>
    <w:rsid w:val="7BBAE54A"/>
    <w:rsid w:val="7BC96E13"/>
    <w:rsid w:val="7BEBDCDB"/>
    <w:rsid w:val="7BFADDCE"/>
    <w:rsid w:val="7C2C2239"/>
    <w:rsid w:val="7C4D3609"/>
    <w:rsid w:val="7C5307B8"/>
    <w:rsid w:val="7C5D9843"/>
    <w:rsid w:val="7C6E2176"/>
    <w:rsid w:val="7CB992E9"/>
    <w:rsid w:val="7CC85989"/>
    <w:rsid w:val="7D16BF2A"/>
    <w:rsid w:val="7D1A7E25"/>
    <w:rsid w:val="7D878192"/>
    <w:rsid w:val="7DC15B03"/>
    <w:rsid w:val="7E264695"/>
    <w:rsid w:val="7E376F61"/>
    <w:rsid w:val="7E3AAFD6"/>
    <w:rsid w:val="7E643EFC"/>
    <w:rsid w:val="7E6B5DFC"/>
    <w:rsid w:val="7E8C12E1"/>
    <w:rsid w:val="7EDEDDC8"/>
    <w:rsid w:val="7EE6D05F"/>
    <w:rsid w:val="7EF6AD3C"/>
    <w:rsid w:val="7F3243DB"/>
    <w:rsid w:val="7F73C45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583612"/>
  <w15:chartTrackingRefBased/>
  <w15:docId w15:val="{9C38D560-C512-4F1B-874E-8B25CB0F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6A36"/>
    <w:pPr>
      <w:keepNext/>
      <w:keepLines/>
      <w:numPr>
        <w:numId w:val="17"/>
      </w:numPr>
      <w:spacing w:before="480" w:after="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A16A36"/>
    <w:pPr>
      <w:keepNext/>
      <w:keepLines/>
      <w:numPr>
        <w:ilvl w:val="1"/>
        <w:numId w:val="17"/>
      </w:numPr>
      <w:spacing w:before="160" w:after="120"/>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uiPriority w:val="9"/>
    <w:unhideWhenUsed/>
    <w:qFormat/>
    <w:rsid w:val="00132D6C"/>
    <w:pPr>
      <w:keepNext/>
      <w:keepLines/>
      <w:numPr>
        <w:ilvl w:val="2"/>
        <w:numId w:val="17"/>
      </w:numPr>
      <w:spacing w:before="40" w:after="0"/>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semiHidden/>
    <w:unhideWhenUsed/>
    <w:qFormat/>
    <w:rsid w:val="007F278A"/>
    <w:pPr>
      <w:keepNext/>
      <w:keepLines/>
      <w:numPr>
        <w:ilvl w:val="3"/>
        <w:numId w:val="1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278A"/>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278A"/>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278A"/>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278A"/>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278A"/>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E55"/>
    <w:pPr>
      <w:ind w:left="720"/>
      <w:contextualSpacing/>
    </w:pPr>
  </w:style>
  <w:style w:type="paragraph" w:customStyle="1" w:styleId="LegalNumPar">
    <w:name w:val="LegalNumPar"/>
    <w:basedOn w:val="Normal"/>
    <w:rsid w:val="00C00B75"/>
    <w:pPr>
      <w:numPr>
        <w:numId w:val="4"/>
      </w:numPr>
      <w:tabs>
        <w:tab w:val="num" w:pos="360"/>
      </w:tabs>
      <w:spacing w:line="360" w:lineRule="auto"/>
      <w:ind w:left="0" w:firstLine="0"/>
    </w:pPr>
    <w:rPr>
      <w:sz w:val="24"/>
    </w:rPr>
  </w:style>
  <w:style w:type="paragraph" w:customStyle="1" w:styleId="LegalNumPar2">
    <w:name w:val="LegalNumPar2"/>
    <w:basedOn w:val="Normal"/>
    <w:rsid w:val="00C00B75"/>
    <w:pPr>
      <w:numPr>
        <w:ilvl w:val="1"/>
        <w:numId w:val="4"/>
      </w:numPr>
      <w:tabs>
        <w:tab w:val="num" w:pos="360"/>
      </w:tabs>
      <w:spacing w:line="360" w:lineRule="auto"/>
      <w:ind w:left="0" w:firstLine="0"/>
    </w:pPr>
    <w:rPr>
      <w:sz w:val="24"/>
    </w:rPr>
  </w:style>
  <w:style w:type="paragraph" w:customStyle="1" w:styleId="LegalNumPar3">
    <w:name w:val="LegalNumPar3"/>
    <w:basedOn w:val="Normal"/>
    <w:rsid w:val="00C00B75"/>
    <w:pPr>
      <w:numPr>
        <w:ilvl w:val="2"/>
        <w:numId w:val="4"/>
      </w:numPr>
      <w:spacing w:line="360" w:lineRule="auto"/>
    </w:pPr>
    <w:rPr>
      <w:sz w:val="24"/>
    </w:rPr>
  </w:style>
  <w:style w:type="character" w:customStyle="1" w:styleId="Heading1Char">
    <w:name w:val="Heading 1 Char"/>
    <w:basedOn w:val="DefaultParagraphFont"/>
    <w:link w:val="Heading1"/>
    <w:uiPriority w:val="9"/>
    <w:rsid w:val="00A16A36"/>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A16A36"/>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132D6C"/>
    <w:rPr>
      <w:rFonts w:ascii="Times New Roman" w:eastAsiaTheme="majorEastAsia" w:hAnsi="Times New Roman" w:cstheme="majorBidi"/>
      <w:sz w:val="24"/>
      <w:szCs w:val="24"/>
    </w:rPr>
  </w:style>
  <w:style w:type="paragraph" w:styleId="TOCHeading">
    <w:name w:val="TOC Heading"/>
    <w:basedOn w:val="Heading1"/>
    <w:next w:val="Normal"/>
    <w:uiPriority w:val="39"/>
    <w:unhideWhenUsed/>
    <w:qFormat/>
    <w:rsid w:val="00AA5C3D"/>
    <w:pPr>
      <w:outlineLvl w:val="9"/>
    </w:pPr>
    <w:rPr>
      <w:kern w:val="0"/>
      <w14:ligatures w14:val="none"/>
    </w:rPr>
  </w:style>
  <w:style w:type="paragraph" w:styleId="TOC1">
    <w:name w:val="toc 1"/>
    <w:basedOn w:val="Normal"/>
    <w:next w:val="Normal"/>
    <w:autoRedefine/>
    <w:uiPriority w:val="39"/>
    <w:unhideWhenUsed/>
    <w:rsid w:val="00E37145"/>
    <w:pPr>
      <w:tabs>
        <w:tab w:val="right" w:leader="dot" w:pos="9016"/>
      </w:tabs>
      <w:spacing w:after="100"/>
    </w:pPr>
    <w:rPr>
      <w:b/>
      <w:noProof/>
    </w:rPr>
  </w:style>
  <w:style w:type="paragraph" w:styleId="TOC2">
    <w:name w:val="toc 2"/>
    <w:basedOn w:val="Normal"/>
    <w:next w:val="Normal"/>
    <w:autoRedefine/>
    <w:uiPriority w:val="39"/>
    <w:unhideWhenUsed/>
    <w:rsid w:val="00AA5C3D"/>
    <w:pPr>
      <w:spacing w:after="100"/>
      <w:ind w:left="220"/>
    </w:pPr>
  </w:style>
  <w:style w:type="paragraph" w:styleId="TOC3">
    <w:name w:val="toc 3"/>
    <w:basedOn w:val="Normal"/>
    <w:next w:val="Normal"/>
    <w:autoRedefine/>
    <w:uiPriority w:val="39"/>
    <w:unhideWhenUsed/>
    <w:rsid w:val="00AA5C3D"/>
    <w:pPr>
      <w:spacing w:after="100"/>
      <w:ind w:left="440"/>
    </w:pPr>
  </w:style>
  <w:style w:type="character" w:styleId="Hyperlink">
    <w:name w:val="Hyperlink"/>
    <w:basedOn w:val="DefaultParagraphFont"/>
    <w:uiPriority w:val="99"/>
    <w:unhideWhenUsed/>
    <w:rsid w:val="00AA5C3D"/>
    <w:rPr>
      <w:color w:val="0563C1" w:themeColor="hyperlink"/>
      <w:u w:val="single"/>
    </w:rPr>
  </w:style>
  <w:style w:type="table" w:styleId="TableGrid">
    <w:name w:val="Table Grid"/>
    <w:basedOn w:val="TableNormal"/>
    <w:uiPriority w:val="39"/>
    <w:rsid w:val="00B701D2"/>
    <w:pPr>
      <w:spacing w:after="0" w:line="240" w:lineRule="auto"/>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styleId="GridTable4-Accent1">
    <w:name w:val="Grid Table 4 Accent 1"/>
    <w:basedOn w:val="TableNormal"/>
    <w:uiPriority w:val="49"/>
    <w:rsid w:val="00B6702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uiPriority w:val="99"/>
    <w:semiHidden/>
    <w:unhideWhenUsed/>
    <w:rsid w:val="002561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611A"/>
    <w:rPr>
      <w:sz w:val="20"/>
      <w:szCs w:val="20"/>
    </w:rPr>
  </w:style>
  <w:style w:type="character" w:styleId="FootnoteReference">
    <w:name w:val="footnote reference"/>
    <w:basedOn w:val="DefaultParagraphFont"/>
    <w:uiPriority w:val="99"/>
    <w:semiHidden/>
    <w:unhideWhenUsed/>
    <w:rsid w:val="0025611A"/>
    <w:rPr>
      <w:vertAlign w:val="superscript"/>
    </w:rPr>
  </w:style>
  <w:style w:type="table" w:styleId="ListTable4">
    <w:name w:val="List Table 4"/>
    <w:basedOn w:val="TableNormal"/>
    <w:uiPriority w:val="49"/>
    <w:rsid w:val="0080720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0720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3-Accent1">
    <w:name w:val="List Table 3 Accent 1"/>
    <w:basedOn w:val="TableNormal"/>
    <w:uiPriority w:val="48"/>
    <w:rsid w:val="006D5EB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NormalWeb">
    <w:name w:val="Normal (Web)"/>
    <w:basedOn w:val="Normal"/>
    <w:uiPriority w:val="99"/>
    <w:semiHidden/>
    <w:unhideWhenUsed/>
    <w:rsid w:val="00A94A7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NoSpacing">
    <w:name w:val="No Spacing"/>
    <w:link w:val="NoSpacingChar"/>
    <w:uiPriority w:val="1"/>
    <w:qFormat/>
    <w:rsid w:val="00624016"/>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624016"/>
    <w:rPr>
      <w:rFonts w:eastAsiaTheme="minorEastAsia"/>
      <w:kern w:val="0"/>
      <w:lang w:val="fr-FR"/>
      <w14:ligatures w14:val="none"/>
    </w:rPr>
  </w:style>
  <w:style w:type="character" w:styleId="CommentReference">
    <w:name w:val="annotation reference"/>
    <w:basedOn w:val="DefaultParagraphFont"/>
    <w:uiPriority w:val="99"/>
    <w:semiHidden/>
    <w:unhideWhenUsed/>
    <w:rsid w:val="00621C35"/>
    <w:rPr>
      <w:sz w:val="16"/>
      <w:szCs w:val="16"/>
    </w:rPr>
  </w:style>
  <w:style w:type="paragraph" w:styleId="CommentText">
    <w:name w:val="annotation text"/>
    <w:basedOn w:val="Normal"/>
    <w:link w:val="CommentTextChar"/>
    <w:uiPriority w:val="99"/>
    <w:unhideWhenUsed/>
    <w:rsid w:val="00621C35"/>
    <w:pPr>
      <w:spacing w:line="240" w:lineRule="auto"/>
    </w:pPr>
    <w:rPr>
      <w:sz w:val="20"/>
      <w:szCs w:val="20"/>
    </w:rPr>
  </w:style>
  <w:style w:type="character" w:customStyle="1" w:styleId="CommentTextChar">
    <w:name w:val="Comment Text Char"/>
    <w:basedOn w:val="DefaultParagraphFont"/>
    <w:link w:val="CommentText"/>
    <w:uiPriority w:val="99"/>
    <w:rsid w:val="00621C35"/>
    <w:rPr>
      <w:sz w:val="20"/>
      <w:szCs w:val="20"/>
    </w:rPr>
  </w:style>
  <w:style w:type="paragraph" w:styleId="CommentSubject">
    <w:name w:val="annotation subject"/>
    <w:basedOn w:val="CommentText"/>
    <w:next w:val="CommentText"/>
    <w:link w:val="CommentSubjectChar"/>
    <w:uiPriority w:val="99"/>
    <w:semiHidden/>
    <w:unhideWhenUsed/>
    <w:rsid w:val="00621C35"/>
    <w:rPr>
      <w:b/>
      <w:bCs/>
    </w:rPr>
  </w:style>
  <w:style w:type="character" w:customStyle="1" w:styleId="CommentSubjectChar">
    <w:name w:val="Comment Subject Char"/>
    <w:basedOn w:val="CommentTextChar"/>
    <w:link w:val="CommentSubject"/>
    <w:uiPriority w:val="99"/>
    <w:semiHidden/>
    <w:rsid w:val="00621C35"/>
    <w:rPr>
      <w:b/>
      <w:bCs/>
      <w:sz w:val="20"/>
      <w:szCs w:val="20"/>
    </w:rPr>
  </w:style>
  <w:style w:type="table" w:styleId="GridTable5Dark-Accent1">
    <w:name w:val="Grid Table 5 Dark Accent 1"/>
    <w:basedOn w:val="TableNormal"/>
    <w:uiPriority w:val="50"/>
    <w:rsid w:val="009A075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58036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ion">
    <w:name w:val="Revision"/>
    <w:hidden/>
    <w:uiPriority w:val="99"/>
    <w:semiHidden/>
    <w:rsid w:val="00F835A9"/>
    <w:pPr>
      <w:spacing w:after="0" w:line="240" w:lineRule="auto"/>
    </w:pPr>
  </w:style>
  <w:style w:type="character" w:customStyle="1" w:styleId="UnresolvedMention">
    <w:name w:val="Unresolved Mention"/>
    <w:basedOn w:val="DefaultParagraphFont"/>
    <w:uiPriority w:val="99"/>
    <w:semiHidden/>
    <w:unhideWhenUsed/>
    <w:rsid w:val="00A97415"/>
    <w:rPr>
      <w:color w:val="605E5C"/>
      <w:shd w:val="clear" w:color="auto" w:fill="E1DFDD"/>
    </w:rPr>
  </w:style>
  <w:style w:type="paragraph" w:styleId="Header">
    <w:name w:val="header"/>
    <w:basedOn w:val="Normal"/>
    <w:link w:val="HeaderChar"/>
    <w:uiPriority w:val="99"/>
    <w:unhideWhenUsed/>
    <w:rsid w:val="003E5B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BFA"/>
  </w:style>
  <w:style w:type="paragraph" w:styleId="Footer">
    <w:name w:val="footer"/>
    <w:basedOn w:val="Normal"/>
    <w:link w:val="FooterChar"/>
    <w:uiPriority w:val="99"/>
    <w:unhideWhenUsed/>
    <w:rsid w:val="003E5B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BFA"/>
  </w:style>
  <w:style w:type="numbering" w:customStyle="1" w:styleId="CurrentList1">
    <w:name w:val="Current List1"/>
    <w:uiPriority w:val="99"/>
    <w:rsid w:val="007F278A"/>
    <w:pPr>
      <w:numPr>
        <w:numId w:val="19"/>
      </w:numPr>
    </w:pPr>
  </w:style>
  <w:style w:type="character" w:customStyle="1" w:styleId="Heading4Char">
    <w:name w:val="Heading 4 Char"/>
    <w:basedOn w:val="DefaultParagraphFont"/>
    <w:link w:val="Heading4"/>
    <w:uiPriority w:val="9"/>
    <w:semiHidden/>
    <w:rsid w:val="007F278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F278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F278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278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278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278A"/>
    <w:rPr>
      <w:rFonts w:asciiTheme="majorHAnsi" w:eastAsiaTheme="majorEastAsia" w:hAnsiTheme="majorHAnsi" w:cstheme="majorBidi"/>
      <w:i/>
      <w:iCs/>
      <w:color w:val="272727" w:themeColor="text1" w:themeTint="D8"/>
      <w:sz w:val="21"/>
      <w:szCs w:val="21"/>
    </w:rPr>
  </w:style>
  <w:style w:type="table" w:styleId="GridTable6Colorful-Accent2">
    <w:name w:val="Grid Table 6 Colorful Accent 2"/>
    <w:basedOn w:val="TableNormal"/>
    <w:uiPriority w:val="51"/>
    <w:rsid w:val="00DB5A3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Marker">
    <w:name w:val="Marker"/>
    <w:basedOn w:val="DefaultParagraphFont"/>
    <w:rsid w:val="00097901"/>
    <w:rPr>
      <w:color w:val="0000FF"/>
      <w:shd w:val="clear" w:color="auto" w:fill="auto"/>
    </w:rPr>
  </w:style>
  <w:style w:type="paragraph" w:customStyle="1" w:styleId="Pagedecouverture">
    <w:name w:val="Page de couverture"/>
    <w:basedOn w:val="Normal"/>
    <w:next w:val="Normal"/>
    <w:rsid w:val="00DE56F9"/>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D2D6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2D68"/>
    <w:rPr>
      <w:rFonts w:ascii="Times New Roman" w:hAnsi="Times New Roman" w:cs="Times New Roman"/>
      <w:sz w:val="24"/>
    </w:rPr>
  </w:style>
  <w:style w:type="paragraph" w:customStyle="1" w:styleId="FooterSensitivity">
    <w:name w:val="Footer Sensitivity"/>
    <w:basedOn w:val="Normal"/>
    <w:link w:val="FooterSensitivityChar"/>
    <w:rsid w:val="00CD2D6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2D68"/>
    <w:rPr>
      <w:rFonts w:ascii="Times New Roman" w:hAnsi="Times New Roman" w:cs="Times New Roman"/>
      <w:b/>
      <w:sz w:val="32"/>
    </w:rPr>
  </w:style>
  <w:style w:type="paragraph" w:customStyle="1" w:styleId="HeaderCoverPage">
    <w:name w:val="Header Cover Page"/>
    <w:basedOn w:val="Normal"/>
    <w:link w:val="HeaderCoverPageChar"/>
    <w:rsid w:val="00CD2D6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2D68"/>
    <w:rPr>
      <w:rFonts w:ascii="Times New Roman" w:hAnsi="Times New Roman" w:cs="Times New Roman"/>
      <w:sz w:val="24"/>
    </w:rPr>
  </w:style>
  <w:style w:type="paragraph" w:customStyle="1" w:styleId="HeaderSensitivity">
    <w:name w:val="Header Sensitivity"/>
    <w:basedOn w:val="Normal"/>
    <w:link w:val="HeaderSensitivityChar"/>
    <w:rsid w:val="00CD2D6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2D68"/>
    <w:rPr>
      <w:rFonts w:ascii="Times New Roman" w:hAnsi="Times New Roman" w:cs="Times New Roman"/>
      <w:b/>
      <w:sz w:val="32"/>
    </w:rPr>
  </w:style>
  <w:style w:type="paragraph" w:customStyle="1" w:styleId="HeaderSensitivityRight">
    <w:name w:val="Header Sensitivity Right"/>
    <w:basedOn w:val="Normal"/>
    <w:link w:val="HeaderSensitivityRightChar"/>
    <w:rsid w:val="00CD2D6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2D68"/>
    <w:rPr>
      <w:rFonts w:ascii="Times New Roman" w:hAnsi="Times New Roman" w:cs="Times New Roman"/>
      <w:sz w:val="28"/>
    </w:rPr>
  </w:style>
  <w:style w:type="character" w:styleId="FollowedHyperlink">
    <w:name w:val="FollowedHyperlink"/>
    <w:basedOn w:val="DefaultParagraphFont"/>
    <w:uiPriority w:val="99"/>
    <w:semiHidden/>
    <w:unhideWhenUsed/>
    <w:rsid w:val="002C20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17047">
      <w:bodyDiv w:val="1"/>
      <w:marLeft w:val="0"/>
      <w:marRight w:val="0"/>
      <w:marTop w:val="0"/>
      <w:marBottom w:val="0"/>
      <w:divBdr>
        <w:top w:val="none" w:sz="0" w:space="0" w:color="auto"/>
        <w:left w:val="none" w:sz="0" w:space="0" w:color="auto"/>
        <w:bottom w:val="none" w:sz="0" w:space="0" w:color="auto"/>
        <w:right w:val="none" w:sz="0" w:space="0" w:color="auto"/>
      </w:divBdr>
    </w:div>
    <w:div w:id="115611024">
      <w:bodyDiv w:val="1"/>
      <w:marLeft w:val="0"/>
      <w:marRight w:val="0"/>
      <w:marTop w:val="0"/>
      <w:marBottom w:val="0"/>
      <w:divBdr>
        <w:top w:val="none" w:sz="0" w:space="0" w:color="auto"/>
        <w:left w:val="none" w:sz="0" w:space="0" w:color="auto"/>
        <w:bottom w:val="none" w:sz="0" w:space="0" w:color="auto"/>
        <w:right w:val="none" w:sz="0" w:space="0" w:color="auto"/>
      </w:divBdr>
    </w:div>
    <w:div w:id="157162150">
      <w:bodyDiv w:val="1"/>
      <w:marLeft w:val="0"/>
      <w:marRight w:val="0"/>
      <w:marTop w:val="0"/>
      <w:marBottom w:val="0"/>
      <w:divBdr>
        <w:top w:val="none" w:sz="0" w:space="0" w:color="auto"/>
        <w:left w:val="none" w:sz="0" w:space="0" w:color="auto"/>
        <w:bottom w:val="none" w:sz="0" w:space="0" w:color="auto"/>
        <w:right w:val="none" w:sz="0" w:space="0" w:color="auto"/>
      </w:divBdr>
      <w:divsChild>
        <w:div w:id="1686596762">
          <w:marLeft w:val="0"/>
          <w:marRight w:val="0"/>
          <w:marTop w:val="0"/>
          <w:marBottom w:val="0"/>
          <w:divBdr>
            <w:top w:val="none" w:sz="0" w:space="0" w:color="auto"/>
            <w:left w:val="none" w:sz="0" w:space="0" w:color="auto"/>
            <w:bottom w:val="none" w:sz="0" w:space="0" w:color="auto"/>
            <w:right w:val="none" w:sz="0" w:space="0" w:color="auto"/>
          </w:divBdr>
          <w:divsChild>
            <w:div w:id="5247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92068">
      <w:bodyDiv w:val="1"/>
      <w:marLeft w:val="0"/>
      <w:marRight w:val="0"/>
      <w:marTop w:val="0"/>
      <w:marBottom w:val="0"/>
      <w:divBdr>
        <w:top w:val="none" w:sz="0" w:space="0" w:color="auto"/>
        <w:left w:val="none" w:sz="0" w:space="0" w:color="auto"/>
        <w:bottom w:val="none" w:sz="0" w:space="0" w:color="auto"/>
        <w:right w:val="none" w:sz="0" w:space="0" w:color="auto"/>
      </w:divBdr>
    </w:div>
    <w:div w:id="301423241">
      <w:bodyDiv w:val="1"/>
      <w:marLeft w:val="0"/>
      <w:marRight w:val="0"/>
      <w:marTop w:val="0"/>
      <w:marBottom w:val="0"/>
      <w:divBdr>
        <w:top w:val="none" w:sz="0" w:space="0" w:color="auto"/>
        <w:left w:val="none" w:sz="0" w:space="0" w:color="auto"/>
        <w:bottom w:val="none" w:sz="0" w:space="0" w:color="auto"/>
        <w:right w:val="none" w:sz="0" w:space="0" w:color="auto"/>
      </w:divBdr>
    </w:div>
    <w:div w:id="361173523">
      <w:bodyDiv w:val="1"/>
      <w:marLeft w:val="0"/>
      <w:marRight w:val="0"/>
      <w:marTop w:val="0"/>
      <w:marBottom w:val="0"/>
      <w:divBdr>
        <w:top w:val="none" w:sz="0" w:space="0" w:color="auto"/>
        <w:left w:val="none" w:sz="0" w:space="0" w:color="auto"/>
        <w:bottom w:val="none" w:sz="0" w:space="0" w:color="auto"/>
        <w:right w:val="none" w:sz="0" w:space="0" w:color="auto"/>
      </w:divBdr>
    </w:div>
    <w:div w:id="377356996">
      <w:bodyDiv w:val="1"/>
      <w:marLeft w:val="0"/>
      <w:marRight w:val="0"/>
      <w:marTop w:val="0"/>
      <w:marBottom w:val="0"/>
      <w:divBdr>
        <w:top w:val="none" w:sz="0" w:space="0" w:color="auto"/>
        <w:left w:val="none" w:sz="0" w:space="0" w:color="auto"/>
        <w:bottom w:val="none" w:sz="0" w:space="0" w:color="auto"/>
        <w:right w:val="none" w:sz="0" w:space="0" w:color="auto"/>
      </w:divBdr>
    </w:div>
    <w:div w:id="496263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2739">
          <w:marLeft w:val="0"/>
          <w:marRight w:val="0"/>
          <w:marTop w:val="0"/>
          <w:marBottom w:val="0"/>
          <w:divBdr>
            <w:top w:val="none" w:sz="0" w:space="0" w:color="auto"/>
            <w:left w:val="none" w:sz="0" w:space="0" w:color="auto"/>
            <w:bottom w:val="none" w:sz="0" w:space="0" w:color="auto"/>
            <w:right w:val="none" w:sz="0" w:space="0" w:color="auto"/>
          </w:divBdr>
          <w:divsChild>
            <w:div w:id="183823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039962">
      <w:bodyDiv w:val="1"/>
      <w:marLeft w:val="0"/>
      <w:marRight w:val="0"/>
      <w:marTop w:val="0"/>
      <w:marBottom w:val="0"/>
      <w:divBdr>
        <w:top w:val="none" w:sz="0" w:space="0" w:color="auto"/>
        <w:left w:val="none" w:sz="0" w:space="0" w:color="auto"/>
        <w:bottom w:val="none" w:sz="0" w:space="0" w:color="auto"/>
        <w:right w:val="none" w:sz="0" w:space="0" w:color="auto"/>
      </w:divBdr>
    </w:div>
    <w:div w:id="599341999">
      <w:bodyDiv w:val="1"/>
      <w:marLeft w:val="0"/>
      <w:marRight w:val="0"/>
      <w:marTop w:val="0"/>
      <w:marBottom w:val="0"/>
      <w:divBdr>
        <w:top w:val="none" w:sz="0" w:space="0" w:color="auto"/>
        <w:left w:val="none" w:sz="0" w:space="0" w:color="auto"/>
        <w:bottom w:val="none" w:sz="0" w:space="0" w:color="auto"/>
        <w:right w:val="none" w:sz="0" w:space="0" w:color="auto"/>
      </w:divBdr>
    </w:div>
    <w:div w:id="645164478">
      <w:bodyDiv w:val="1"/>
      <w:marLeft w:val="0"/>
      <w:marRight w:val="0"/>
      <w:marTop w:val="0"/>
      <w:marBottom w:val="0"/>
      <w:divBdr>
        <w:top w:val="none" w:sz="0" w:space="0" w:color="auto"/>
        <w:left w:val="none" w:sz="0" w:space="0" w:color="auto"/>
        <w:bottom w:val="none" w:sz="0" w:space="0" w:color="auto"/>
        <w:right w:val="none" w:sz="0" w:space="0" w:color="auto"/>
      </w:divBdr>
    </w:div>
    <w:div w:id="831680573">
      <w:bodyDiv w:val="1"/>
      <w:marLeft w:val="0"/>
      <w:marRight w:val="0"/>
      <w:marTop w:val="0"/>
      <w:marBottom w:val="0"/>
      <w:divBdr>
        <w:top w:val="none" w:sz="0" w:space="0" w:color="auto"/>
        <w:left w:val="none" w:sz="0" w:space="0" w:color="auto"/>
        <w:bottom w:val="none" w:sz="0" w:space="0" w:color="auto"/>
        <w:right w:val="none" w:sz="0" w:space="0" w:color="auto"/>
      </w:divBdr>
    </w:div>
    <w:div w:id="844056615">
      <w:bodyDiv w:val="1"/>
      <w:marLeft w:val="0"/>
      <w:marRight w:val="0"/>
      <w:marTop w:val="0"/>
      <w:marBottom w:val="0"/>
      <w:divBdr>
        <w:top w:val="none" w:sz="0" w:space="0" w:color="auto"/>
        <w:left w:val="none" w:sz="0" w:space="0" w:color="auto"/>
        <w:bottom w:val="none" w:sz="0" w:space="0" w:color="auto"/>
        <w:right w:val="none" w:sz="0" w:space="0" w:color="auto"/>
      </w:divBdr>
      <w:divsChild>
        <w:div w:id="793717781">
          <w:marLeft w:val="0"/>
          <w:marRight w:val="0"/>
          <w:marTop w:val="0"/>
          <w:marBottom w:val="0"/>
          <w:divBdr>
            <w:top w:val="none" w:sz="0" w:space="0" w:color="auto"/>
            <w:left w:val="none" w:sz="0" w:space="0" w:color="auto"/>
            <w:bottom w:val="none" w:sz="0" w:space="0" w:color="auto"/>
            <w:right w:val="none" w:sz="0" w:space="0" w:color="auto"/>
          </w:divBdr>
          <w:divsChild>
            <w:div w:id="189878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37500">
      <w:bodyDiv w:val="1"/>
      <w:marLeft w:val="0"/>
      <w:marRight w:val="0"/>
      <w:marTop w:val="0"/>
      <w:marBottom w:val="0"/>
      <w:divBdr>
        <w:top w:val="none" w:sz="0" w:space="0" w:color="auto"/>
        <w:left w:val="none" w:sz="0" w:space="0" w:color="auto"/>
        <w:bottom w:val="none" w:sz="0" w:space="0" w:color="auto"/>
        <w:right w:val="none" w:sz="0" w:space="0" w:color="auto"/>
      </w:divBdr>
    </w:div>
    <w:div w:id="946078145">
      <w:bodyDiv w:val="1"/>
      <w:marLeft w:val="0"/>
      <w:marRight w:val="0"/>
      <w:marTop w:val="0"/>
      <w:marBottom w:val="0"/>
      <w:divBdr>
        <w:top w:val="none" w:sz="0" w:space="0" w:color="auto"/>
        <w:left w:val="none" w:sz="0" w:space="0" w:color="auto"/>
        <w:bottom w:val="none" w:sz="0" w:space="0" w:color="auto"/>
        <w:right w:val="none" w:sz="0" w:space="0" w:color="auto"/>
      </w:divBdr>
    </w:div>
    <w:div w:id="1011026092">
      <w:bodyDiv w:val="1"/>
      <w:marLeft w:val="0"/>
      <w:marRight w:val="0"/>
      <w:marTop w:val="0"/>
      <w:marBottom w:val="0"/>
      <w:divBdr>
        <w:top w:val="none" w:sz="0" w:space="0" w:color="auto"/>
        <w:left w:val="none" w:sz="0" w:space="0" w:color="auto"/>
        <w:bottom w:val="none" w:sz="0" w:space="0" w:color="auto"/>
        <w:right w:val="none" w:sz="0" w:space="0" w:color="auto"/>
      </w:divBdr>
      <w:divsChild>
        <w:div w:id="1253391693">
          <w:marLeft w:val="0"/>
          <w:marRight w:val="0"/>
          <w:marTop w:val="0"/>
          <w:marBottom w:val="0"/>
          <w:divBdr>
            <w:top w:val="none" w:sz="0" w:space="0" w:color="auto"/>
            <w:left w:val="none" w:sz="0" w:space="0" w:color="auto"/>
            <w:bottom w:val="none" w:sz="0" w:space="0" w:color="auto"/>
            <w:right w:val="none" w:sz="0" w:space="0" w:color="auto"/>
          </w:divBdr>
        </w:div>
      </w:divsChild>
    </w:div>
    <w:div w:id="1057051207">
      <w:bodyDiv w:val="1"/>
      <w:marLeft w:val="0"/>
      <w:marRight w:val="0"/>
      <w:marTop w:val="0"/>
      <w:marBottom w:val="0"/>
      <w:divBdr>
        <w:top w:val="none" w:sz="0" w:space="0" w:color="auto"/>
        <w:left w:val="none" w:sz="0" w:space="0" w:color="auto"/>
        <w:bottom w:val="none" w:sz="0" w:space="0" w:color="auto"/>
        <w:right w:val="none" w:sz="0" w:space="0" w:color="auto"/>
      </w:divBdr>
      <w:divsChild>
        <w:div w:id="940067213">
          <w:marLeft w:val="0"/>
          <w:marRight w:val="0"/>
          <w:marTop w:val="0"/>
          <w:marBottom w:val="0"/>
          <w:divBdr>
            <w:top w:val="none" w:sz="0" w:space="0" w:color="auto"/>
            <w:left w:val="none" w:sz="0" w:space="0" w:color="auto"/>
            <w:bottom w:val="none" w:sz="0" w:space="0" w:color="auto"/>
            <w:right w:val="none" w:sz="0" w:space="0" w:color="auto"/>
          </w:divBdr>
          <w:divsChild>
            <w:div w:id="22730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207674">
      <w:bodyDiv w:val="1"/>
      <w:marLeft w:val="0"/>
      <w:marRight w:val="0"/>
      <w:marTop w:val="0"/>
      <w:marBottom w:val="0"/>
      <w:divBdr>
        <w:top w:val="none" w:sz="0" w:space="0" w:color="auto"/>
        <w:left w:val="none" w:sz="0" w:space="0" w:color="auto"/>
        <w:bottom w:val="none" w:sz="0" w:space="0" w:color="auto"/>
        <w:right w:val="none" w:sz="0" w:space="0" w:color="auto"/>
      </w:divBdr>
    </w:div>
    <w:div w:id="1131824845">
      <w:bodyDiv w:val="1"/>
      <w:marLeft w:val="0"/>
      <w:marRight w:val="0"/>
      <w:marTop w:val="0"/>
      <w:marBottom w:val="0"/>
      <w:divBdr>
        <w:top w:val="none" w:sz="0" w:space="0" w:color="auto"/>
        <w:left w:val="none" w:sz="0" w:space="0" w:color="auto"/>
        <w:bottom w:val="none" w:sz="0" w:space="0" w:color="auto"/>
        <w:right w:val="none" w:sz="0" w:space="0" w:color="auto"/>
      </w:divBdr>
    </w:div>
    <w:div w:id="1226793997">
      <w:bodyDiv w:val="1"/>
      <w:marLeft w:val="0"/>
      <w:marRight w:val="0"/>
      <w:marTop w:val="0"/>
      <w:marBottom w:val="0"/>
      <w:divBdr>
        <w:top w:val="none" w:sz="0" w:space="0" w:color="auto"/>
        <w:left w:val="none" w:sz="0" w:space="0" w:color="auto"/>
        <w:bottom w:val="none" w:sz="0" w:space="0" w:color="auto"/>
        <w:right w:val="none" w:sz="0" w:space="0" w:color="auto"/>
      </w:divBdr>
    </w:div>
    <w:div w:id="1363358370">
      <w:bodyDiv w:val="1"/>
      <w:marLeft w:val="0"/>
      <w:marRight w:val="0"/>
      <w:marTop w:val="0"/>
      <w:marBottom w:val="0"/>
      <w:divBdr>
        <w:top w:val="none" w:sz="0" w:space="0" w:color="auto"/>
        <w:left w:val="none" w:sz="0" w:space="0" w:color="auto"/>
        <w:bottom w:val="none" w:sz="0" w:space="0" w:color="auto"/>
        <w:right w:val="none" w:sz="0" w:space="0" w:color="auto"/>
      </w:divBdr>
    </w:div>
    <w:div w:id="1444379810">
      <w:bodyDiv w:val="1"/>
      <w:marLeft w:val="0"/>
      <w:marRight w:val="0"/>
      <w:marTop w:val="0"/>
      <w:marBottom w:val="0"/>
      <w:divBdr>
        <w:top w:val="none" w:sz="0" w:space="0" w:color="auto"/>
        <w:left w:val="none" w:sz="0" w:space="0" w:color="auto"/>
        <w:bottom w:val="none" w:sz="0" w:space="0" w:color="auto"/>
        <w:right w:val="none" w:sz="0" w:space="0" w:color="auto"/>
      </w:divBdr>
    </w:div>
    <w:div w:id="1500347496">
      <w:bodyDiv w:val="1"/>
      <w:marLeft w:val="0"/>
      <w:marRight w:val="0"/>
      <w:marTop w:val="0"/>
      <w:marBottom w:val="0"/>
      <w:divBdr>
        <w:top w:val="none" w:sz="0" w:space="0" w:color="auto"/>
        <w:left w:val="none" w:sz="0" w:space="0" w:color="auto"/>
        <w:bottom w:val="none" w:sz="0" w:space="0" w:color="auto"/>
        <w:right w:val="none" w:sz="0" w:space="0" w:color="auto"/>
      </w:divBdr>
      <w:divsChild>
        <w:div w:id="39674659">
          <w:marLeft w:val="0"/>
          <w:marRight w:val="0"/>
          <w:marTop w:val="0"/>
          <w:marBottom w:val="0"/>
          <w:divBdr>
            <w:top w:val="none" w:sz="0" w:space="0" w:color="auto"/>
            <w:left w:val="none" w:sz="0" w:space="0" w:color="auto"/>
            <w:bottom w:val="none" w:sz="0" w:space="0" w:color="auto"/>
            <w:right w:val="none" w:sz="0" w:space="0" w:color="auto"/>
          </w:divBdr>
        </w:div>
      </w:divsChild>
    </w:div>
    <w:div w:id="1610894253">
      <w:bodyDiv w:val="1"/>
      <w:marLeft w:val="0"/>
      <w:marRight w:val="0"/>
      <w:marTop w:val="0"/>
      <w:marBottom w:val="0"/>
      <w:divBdr>
        <w:top w:val="none" w:sz="0" w:space="0" w:color="auto"/>
        <w:left w:val="none" w:sz="0" w:space="0" w:color="auto"/>
        <w:bottom w:val="none" w:sz="0" w:space="0" w:color="auto"/>
        <w:right w:val="none" w:sz="0" w:space="0" w:color="auto"/>
      </w:divBdr>
    </w:div>
    <w:div w:id="1639259684">
      <w:bodyDiv w:val="1"/>
      <w:marLeft w:val="0"/>
      <w:marRight w:val="0"/>
      <w:marTop w:val="0"/>
      <w:marBottom w:val="0"/>
      <w:divBdr>
        <w:top w:val="none" w:sz="0" w:space="0" w:color="auto"/>
        <w:left w:val="none" w:sz="0" w:space="0" w:color="auto"/>
        <w:bottom w:val="none" w:sz="0" w:space="0" w:color="auto"/>
        <w:right w:val="none" w:sz="0" w:space="0" w:color="auto"/>
      </w:divBdr>
    </w:div>
    <w:div w:id="1702322173">
      <w:bodyDiv w:val="1"/>
      <w:marLeft w:val="0"/>
      <w:marRight w:val="0"/>
      <w:marTop w:val="0"/>
      <w:marBottom w:val="0"/>
      <w:divBdr>
        <w:top w:val="none" w:sz="0" w:space="0" w:color="auto"/>
        <w:left w:val="none" w:sz="0" w:space="0" w:color="auto"/>
        <w:bottom w:val="none" w:sz="0" w:space="0" w:color="auto"/>
        <w:right w:val="none" w:sz="0" w:space="0" w:color="auto"/>
      </w:divBdr>
    </w:div>
    <w:div w:id="1774548108">
      <w:bodyDiv w:val="1"/>
      <w:marLeft w:val="0"/>
      <w:marRight w:val="0"/>
      <w:marTop w:val="0"/>
      <w:marBottom w:val="0"/>
      <w:divBdr>
        <w:top w:val="none" w:sz="0" w:space="0" w:color="auto"/>
        <w:left w:val="none" w:sz="0" w:space="0" w:color="auto"/>
        <w:bottom w:val="none" w:sz="0" w:space="0" w:color="auto"/>
        <w:right w:val="none" w:sz="0" w:space="0" w:color="auto"/>
      </w:divBdr>
    </w:div>
    <w:div w:id="1799303234">
      <w:bodyDiv w:val="1"/>
      <w:marLeft w:val="0"/>
      <w:marRight w:val="0"/>
      <w:marTop w:val="0"/>
      <w:marBottom w:val="0"/>
      <w:divBdr>
        <w:top w:val="none" w:sz="0" w:space="0" w:color="auto"/>
        <w:left w:val="none" w:sz="0" w:space="0" w:color="auto"/>
        <w:bottom w:val="none" w:sz="0" w:space="0" w:color="auto"/>
        <w:right w:val="none" w:sz="0" w:space="0" w:color="auto"/>
      </w:divBdr>
    </w:div>
    <w:div w:id="1925912223">
      <w:bodyDiv w:val="1"/>
      <w:marLeft w:val="0"/>
      <w:marRight w:val="0"/>
      <w:marTop w:val="0"/>
      <w:marBottom w:val="0"/>
      <w:divBdr>
        <w:top w:val="none" w:sz="0" w:space="0" w:color="auto"/>
        <w:left w:val="none" w:sz="0" w:space="0" w:color="auto"/>
        <w:bottom w:val="none" w:sz="0" w:space="0" w:color="auto"/>
        <w:right w:val="none" w:sz="0" w:space="0" w:color="auto"/>
      </w:divBdr>
      <w:divsChild>
        <w:div w:id="174811546">
          <w:marLeft w:val="0"/>
          <w:marRight w:val="0"/>
          <w:marTop w:val="0"/>
          <w:marBottom w:val="0"/>
          <w:divBdr>
            <w:top w:val="none" w:sz="0" w:space="0" w:color="auto"/>
            <w:left w:val="none" w:sz="0" w:space="0" w:color="auto"/>
            <w:bottom w:val="none" w:sz="0" w:space="0" w:color="auto"/>
            <w:right w:val="none" w:sz="0" w:space="0" w:color="auto"/>
          </w:divBdr>
        </w:div>
      </w:divsChild>
    </w:div>
    <w:div w:id="1926257468">
      <w:bodyDiv w:val="1"/>
      <w:marLeft w:val="0"/>
      <w:marRight w:val="0"/>
      <w:marTop w:val="0"/>
      <w:marBottom w:val="0"/>
      <w:divBdr>
        <w:top w:val="none" w:sz="0" w:space="0" w:color="auto"/>
        <w:left w:val="none" w:sz="0" w:space="0" w:color="auto"/>
        <w:bottom w:val="none" w:sz="0" w:space="0" w:color="auto"/>
        <w:right w:val="none" w:sz="0" w:space="0" w:color="auto"/>
      </w:divBdr>
    </w:div>
    <w:div w:id="1941570151">
      <w:bodyDiv w:val="1"/>
      <w:marLeft w:val="0"/>
      <w:marRight w:val="0"/>
      <w:marTop w:val="0"/>
      <w:marBottom w:val="0"/>
      <w:divBdr>
        <w:top w:val="none" w:sz="0" w:space="0" w:color="auto"/>
        <w:left w:val="none" w:sz="0" w:space="0" w:color="auto"/>
        <w:bottom w:val="none" w:sz="0" w:space="0" w:color="auto"/>
        <w:right w:val="none" w:sz="0" w:space="0" w:color="auto"/>
      </w:divBdr>
    </w:div>
    <w:div w:id="2129276219">
      <w:bodyDiv w:val="1"/>
      <w:marLeft w:val="0"/>
      <w:marRight w:val="0"/>
      <w:marTop w:val="0"/>
      <w:marBottom w:val="0"/>
      <w:divBdr>
        <w:top w:val="none" w:sz="0" w:space="0" w:color="auto"/>
        <w:left w:val="none" w:sz="0" w:space="0" w:color="auto"/>
        <w:bottom w:val="none" w:sz="0" w:space="0" w:color="auto"/>
        <w:right w:val="none" w:sz="0" w:space="0" w:color="auto"/>
      </w:divBdr>
      <w:divsChild>
        <w:div w:id="766004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chart" Target="charts/chart3.xml"/><Relationship Id="rId39" Type="http://schemas.openxmlformats.org/officeDocument/2006/relationships/header" Target="header5.xml"/><Relationship Id="rId21" Type="http://schemas.openxmlformats.org/officeDocument/2006/relationships/image" Target="media/image3.png"/><Relationship Id="rId34" Type="http://schemas.openxmlformats.org/officeDocument/2006/relationships/image" Target="media/image12.emf"/><Relationship Id="rId42" Type="http://schemas.openxmlformats.org/officeDocument/2006/relationships/header" Target="header6.xml"/><Relationship Id="rId47" Type="http://schemas.openxmlformats.org/officeDocument/2006/relationships/image" Target="media/image15.emf"/><Relationship Id="rId50" Type="http://schemas.openxmlformats.org/officeDocument/2006/relationships/footer" Target="footer8.xml"/><Relationship Id="rId55" Type="http://schemas.openxmlformats.org/officeDocument/2006/relationships/header" Target="header1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1.xml"/><Relationship Id="rId29" Type="http://schemas.openxmlformats.org/officeDocument/2006/relationships/image" Target="media/image7.emf"/><Relationship Id="rId41" Type="http://schemas.openxmlformats.org/officeDocument/2006/relationships/footer" Target="footer5.xml"/><Relationship Id="rId54"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4.png"/><Relationship Id="rId32" Type="http://schemas.openxmlformats.org/officeDocument/2006/relationships/image" Target="media/image10.emf"/><Relationship Id="rId37" Type="http://schemas.openxmlformats.org/officeDocument/2006/relationships/chart" Target="charts/chart5.xml"/><Relationship Id="rId40" Type="http://schemas.openxmlformats.org/officeDocument/2006/relationships/footer" Target="footer4.xml"/><Relationship Id="rId45" Type="http://schemas.openxmlformats.org/officeDocument/2006/relationships/header" Target="header7.xml"/><Relationship Id="rId53" Type="http://schemas.openxmlformats.org/officeDocument/2006/relationships/image" Target="media/image18.emf"/><Relationship Id="rId58"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2.xml"/><Relationship Id="rId28" Type="http://schemas.openxmlformats.org/officeDocument/2006/relationships/image" Target="media/image6.emf"/><Relationship Id="rId36" Type="http://schemas.openxmlformats.org/officeDocument/2006/relationships/image" Target="media/image13.emf"/><Relationship Id="rId49" Type="http://schemas.openxmlformats.org/officeDocument/2006/relationships/header" Target="header8.xml"/><Relationship Id="rId57" Type="http://schemas.openxmlformats.org/officeDocument/2006/relationships/footer" Target="footer10.xml"/><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svg"/><Relationship Id="rId31" Type="http://schemas.openxmlformats.org/officeDocument/2006/relationships/image" Target="media/image9.emf"/><Relationship Id="rId44" Type="http://schemas.openxmlformats.org/officeDocument/2006/relationships/image" Target="media/image14.emf"/><Relationship Id="rId52" Type="http://schemas.openxmlformats.org/officeDocument/2006/relationships/chart" Target="charts/chart6.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svg"/><Relationship Id="rId27" Type="http://schemas.openxmlformats.org/officeDocument/2006/relationships/image" Target="media/image5.emf"/><Relationship Id="rId30" Type="http://schemas.openxmlformats.org/officeDocument/2006/relationships/image" Target="media/image8.emf"/><Relationship Id="rId35" Type="http://schemas.openxmlformats.org/officeDocument/2006/relationships/chart" Target="charts/chart4.xml"/><Relationship Id="rId43" Type="http://schemas.openxmlformats.org/officeDocument/2006/relationships/footer" Target="footer6.xml"/><Relationship Id="rId48" Type="http://schemas.openxmlformats.org/officeDocument/2006/relationships/image" Target="media/image16.emf"/><Relationship Id="rId56"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image" Target="media/image17.emf"/><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7.svg"/><Relationship Id="rId33" Type="http://schemas.openxmlformats.org/officeDocument/2006/relationships/image" Target="media/image11.emf"/><Relationship Id="rId38" Type="http://schemas.openxmlformats.org/officeDocument/2006/relationships/header" Target="header4.xml"/><Relationship Id="rId46" Type="http://schemas.openxmlformats.org/officeDocument/2006/relationships/footer" Target="footer7.xml"/><Relationship Id="rId59" Type="http://schemas.openxmlformats.org/officeDocument/2006/relationships/footer" Target="footer1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5/101/oj" TargetMode="External"/><Relationship Id="rId3" Type="http://schemas.openxmlformats.org/officeDocument/2006/relationships/hyperlink" Target="http://data.europa.eu/eli/reg/2013/1023/oj" TargetMode="External"/><Relationship Id="rId7" Type="http://schemas.openxmlformats.org/officeDocument/2006/relationships/hyperlink" Target="http://data.europa.eu/eli/treaty/withd_2020/sign" TargetMode="External"/><Relationship Id="rId2" Type="http://schemas.openxmlformats.org/officeDocument/2006/relationships/hyperlink" Target="http://data.europa.eu/eli/reg/2013/1023/oj" TargetMode="External"/><Relationship Id="rId1" Type="http://schemas.openxmlformats.org/officeDocument/2006/relationships/hyperlink" Target="http://data.europa.eu/eli/reg/2004/723/oj" TargetMode="External"/><Relationship Id="rId6" Type="http://schemas.openxmlformats.org/officeDocument/2006/relationships/hyperlink" Target="http://data.europa.eu/eli/treaty/withd_2020/sign" TargetMode="External"/><Relationship Id="rId5" Type="http://schemas.openxmlformats.org/officeDocument/2006/relationships/hyperlink" Target="http://data.europa.eu/eli/reg_del/2025/101/oj" TargetMode="External"/><Relationship Id="rId4" Type="http://schemas.openxmlformats.org/officeDocument/2006/relationships/hyperlink" Target="http://data.europa.eu/eli/reg/2009/780/oj"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ossiers.dgt.cec.eu.int\dossiers\HR\HR-2026-00173\HR-2026-00173-00-00-FR-SRC-00.20260617131519090898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ossiers.dgt.cec.eu.int\dossiers\HR\HR-2026-00173\HR-2026-00173-00-00-FR-SRC-00.20260617131519090898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ossiers.dgt.cec.eu.int\dossiers\HR\HR-2026-00173\HR-2026-00173-00-00-FR-SRC-00.20260617131519090898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ossiers.dgt.cec.eu.int\dossiers\HR\HR-2026-00173\HR-2026-00173-00-00-FR-SRC-00.20260617131519090898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ossiers.dgt.cec.eu.int\dossiers\HR\HR-2026-00173\HR-2026-00173-00-00-FR-SRC-00.202606171315190908989.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ossiers.dgt.cec.eu.int\dossiers\HR\HR-2026-00173\HR-2026-00173-00-00-FR-SRC-00.202606171315190908989.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300" b="1"/>
              <a:t>Comparaison des</a:t>
            </a:r>
            <a:r>
              <a:rPr lang="fr-FR" sz="1300" b="1" baseline="0"/>
              <a:t> comptes sur la période 2019-2024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'Take Away Figs'!$B$6</c:f>
              <c:strCache>
                <c:ptCount val="1"/>
                <c:pt idx="0">
                  <c:v>Compte courant </c:v>
                </c:pt>
              </c:strCache>
            </c:strRef>
          </c:tx>
          <c:spPr>
            <a:solidFill>
              <a:srgbClr val="FFC000"/>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'Take Away Figs'!$C$5:$D$5</c:f>
              <c:numCache>
                <c:formatCode>General</c:formatCode>
                <c:ptCount val="2"/>
                <c:pt idx="0">
                  <c:v>2019</c:v>
                </c:pt>
                <c:pt idx="1">
                  <c:v>2024</c:v>
                </c:pt>
              </c:numCache>
            </c:numRef>
          </c:cat>
          <c:val>
            <c:numRef>
              <c:f>'Take Away Figs'!$C$6:$D$6</c:f>
              <c:numCache>
                <c:formatCode>General</c:formatCode>
                <c:ptCount val="2"/>
                <c:pt idx="0">
                  <c:v>30670259.519999992</c:v>
                </c:pt>
                <c:pt idx="1">
                  <c:v>27077147.659999959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3F62-4888-8FE7-3F9F144DFB53}"/>
            </c:ext>
          </c:extLst>
        </c:ser>
        <c:ser>
          <c:idx val="1"/>
          <c:order val="1"/>
          <c:tx>
            <c:strRef>
              <c:f>'Take Away Figs'!$B$7</c:f>
              <c:strCache>
                <c:ptCount val="1"/>
                <c:pt idx="0">
                  <c:v>Placements</c:v>
                </c:pt>
              </c:strCache>
            </c:strRef>
          </c:tx>
          <c:spPr>
            <a:solidFill>
              <a:srgbClr val="FF3300"/>
            </a:solidFill>
            <a:ln>
              <a:noFill/>
            </a:ln>
            <a:effectLst/>
          </c:spPr>
          <c:invertIfNegative val="0"/>
          <c:dLbls>
            <c:dLbl>
              <c:idx val="0"/>
              <c:tx>
                <c:rich>
                  <a:bodyPr/>
                  <a:lstStyle/>
                  <a:p>
                    <a:r>
                      <a:rPr lang="en-US"/>
                      <a:t>           </a:t>
                    </a:r>
                    <a:fld id="{4F6DDD59-9F5D-4304-80FA-CBD6B65B34B9}" type="VALUE">
                      <a:rPr lang="en-US"/>
                      <a:pPr/>
                      <a:t>[VALUE]</a:t>
                    </a:fld>
                    <a:endParaRPr lang="en-US"/>
                  </a:p>
                </c:rich>
              </c:tx>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2-3F62-4888-8FE7-3F9F144DFB53}"/>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'Take Away Figs'!$C$5:$D$5</c:f>
              <c:numCache>
                <c:formatCode>General</c:formatCode>
                <c:ptCount val="2"/>
                <c:pt idx="0">
                  <c:v>2019</c:v>
                </c:pt>
                <c:pt idx="1">
                  <c:v>2024</c:v>
                </c:pt>
              </c:numCache>
            </c:numRef>
          </c:cat>
          <c:val>
            <c:numRef>
              <c:f>'Take Away Figs'!$C$7:$D$7</c:f>
              <c:numCache>
                <c:formatCode>General</c:formatCode>
                <c:ptCount val="2"/>
                <c:pt idx="0">
                  <c:v>22092.2</c:v>
                </c:pt>
                <c:pt idx="1">
                  <c:v>79187757.719999999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3F62-4888-8FE7-3F9F144DFB53}"/>
            </c:ext>
          </c:extLst>
        </c:ser>
        <c:dLbls>
          <c:dLblPos val="ctr"/>
          <c:showLegendKey val="0"/>
          <c:showVal val="1"/>
          <c:showCatName val="0"/>
          <c:showSerName val="0"/>
          <c:showPercent val="0"/>
          <c:showBubbleSize val="0"/>
        </c:dLbls>
        <c:gapWidth val="50"/>
        <c:overlap val="100"/>
        <c:axId val="1735301104"/>
        <c:axId val="1735293424"/>
      </c:barChart>
      <c:catAx>
        <c:axId val="1735301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5293424"/>
        <c:crosses val="autoZero"/>
        <c:auto val="1"/>
        <c:lblAlgn val="ctr"/>
        <c:lblOffset val="100"/>
        <c:noMultiLvlLbl val="0"/>
      </c:catAx>
      <c:valAx>
        <c:axId val="1735293424"/>
        <c:scaling>
          <c:orientation val="minMax"/>
          <c:max val="110000000.00000001"/>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5301104"/>
        <c:crosses val="autoZero"/>
        <c:crossBetween val="between"/>
        <c:dispUnits>
          <c:builtInUnit val="millions"/>
          <c:dispUnitsLbl>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b="1"/>
                    <a:t>en millions d'EUR</a:t>
                  </a:r>
                </a:p>
              </c:rich>
            </c:tx>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b="1"/>
              <a:t>Affiliés et</a:t>
            </a:r>
            <a:r>
              <a:rPr lang="fr-FR" b="1" baseline="0"/>
              <a:t> bénéficiaires au 31.12</a:t>
            </a:r>
          </a:p>
        </c:rich>
      </c:tx>
      <c:layout>
        <c:manualLayout>
          <c:xMode val="edge"/>
          <c:yMode val="edge"/>
          <c:x val="0.25643106963173545"/>
          <c:y val="1.660440233695849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949591917448675"/>
          <c:y val="0.12741549380905196"/>
          <c:w val="0.46878132527954552"/>
          <c:h val="0.8034878638527837"/>
        </c:manualLayout>
      </c:layout>
      <c:barChart>
        <c:barDir val="col"/>
        <c:grouping val="clustered"/>
        <c:varyColors val="0"/>
        <c:ser>
          <c:idx val="0"/>
          <c:order val="0"/>
          <c:tx>
            <c:strRef>
              <c:f>'Take Away Figs'!$C$27</c:f>
              <c:strCache>
                <c:ptCount val="1"/>
                <c:pt idx="0">
                  <c:v>AT affiliés</c:v>
                </c:pt>
              </c:strCache>
            </c:strRef>
          </c:tx>
          <c:spPr>
            <a:solidFill>
              <a:srgbClr val="002060">
                <a:alpha val="50000"/>
              </a:srgbClr>
            </a:solidFill>
            <a:ln w="3175">
              <a:solidFill>
                <a:srgbClr val="002060"/>
              </a:solidFill>
            </a:ln>
            <a:effectLst/>
          </c:spPr>
          <c:invertIfNegative val="0"/>
          <c:cat>
            <c:numRef>
              <c:f>'Take Away Figs'!$B$28:$B$29</c:f>
              <c:numCache>
                <c:formatCode>General</c:formatCode>
                <c:ptCount val="2"/>
                <c:pt idx="0">
                  <c:v>2019</c:v>
                </c:pt>
                <c:pt idx="1">
                  <c:v>2024</c:v>
                </c:pt>
              </c:numCache>
            </c:numRef>
          </c:cat>
          <c:val>
            <c:numRef>
              <c:f>'Take Away Figs'!$C$28:$C$29</c:f>
              <c:numCache>
                <c:formatCode>#,##0</c:formatCode>
                <c:ptCount val="2"/>
                <c:pt idx="0">
                  <c:v>10995</c:v>
                </c:pt>
                <c:pt idx="1">
                  <c:v>16929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C34-498D-B6FF-8EB10EB3942A}"/>
            </c:ext>
          </c:extLst>
        </c:ser>
        <c:ser>
          <c:idx val="1"/>
          <c:order val="1"/>
          <c:tx>
            <c:strRef>
              <c:f>'Take Away Figs'!$D$27</c:f>
              <c:strCache>
                <c:ptCount val="1"/>
                <c:pt idx="0">
                  <c:v>AC affiliés</c:v>
                </c:pt>
              </c:strCache>
            </c:strRef>
          </c:tx>
          <c:spPr>
            <a:solidFill>
              <a:srgbClr val="00B050">
                <a:alpha val="50000"/>
              </a:srgbClr>
            </a:solidFill>
            <a:ln w="3175">
              <a:solidFill>
                <a:srgbClr val="002060"/>
              </a:solidFill>
            </a:ln>
            <a:effectLst/>
          </c:spPr>
          <c:invertIfNegative val="0"/>
          <c:cat>
            <c:numRef>
              <c:f>'Take Away Figs'!$B$28:$B$29</c:f>
              <c:numCache>
                <c:formatCode>General</c:formatCode>
                <c:ptCount val="2"/>
                <c:pt idx="0">
                  <c:v>2019</c:v>
                </c:pt>
                <c:pt idx="1">
                  <c:v>2024</c:v>
                </c:pt>
              </c:numCache>
            </c:numRef>
          </c:cat>
          <c:val>
            <c:numRef>
              <c:f>'Take Away Figs'!$D$28:$D$29</c:f>
              <c:numCache>
                <c:formatCode>#,##0</c:formatCode>
                <c:ptCount val="2"/>
                <c:pt idx="0">
                  <c:v>14638</c:v>
                </c:pt>
                <c:pt idx="1">
                  <c:v>17779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C34-498D-B6FF-8EB10EB3942A}"/>
            </c:ext>
          </c:extLst>
        </c:ser>
        <c:ser>
          <c:idx val="2"/>
          <c:order val="2"/>
          <c:tx>
            <c:strRef>
              <c:f>'Take Away Figs'!$E$27</c:f>
              <c:strCache>
                <c:ptCount val="1"/>
                <c:pt idx="0">
                  <c:v>APA affiliés</c:v>
                </c:pt>
              </c:strCache>
            </c:strRef>
          </c:tx>
          <c:spPr>
            <a:solidFill>
              <a:srgbClr val="FFC000">
                <a:alpha val="50000"/>
              </a:srgbClr>
            </a:solidFill>
            <a:ln w="3175">
              <a:solidFill>
                <a:srgbClr val="002060"/>
              </a:solidFill>
            </a:ln>
            <a:effectLst/>
          </c:spPr>
          <c:invertIfNegative val="0"/>
          <c:cat>
            <c:numRef>
              <c:f>'Take Away Figs'!$B$28:$B$29</c:f>
              <c:numCache>
                <c:formatCode>General</c:formatCode>
                <c:ptCount val="2"/>
                <c:pt idx="0">
                  <c:v>2019</c:v>
                </c:pt>
                <c:pt idx="1">
                  <c:v>2024</c:v>
                </c:pt>
              </c:numCache>
            </c:numRef>
          </c:cat>
          <c:val>
            <c:numRef>
              <c:f>'Take Away Figs'!$E$28:$E$29</c:f>
              <c:numCache>
                <c:formatCode>#,##0</c:formatCode>
                <c:ptCount val="2"/>
                <c:pt idx="0">
                  <c:v>1831</c:v>
                </c:pt>
                <c:pt idx="1">
                  <c:v>1981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2C34-498D-B6FF-8EB10EB3942A}"/>
            </c:ext>
          </c:extLst>
        </c:ser>
        <c:dLbls>
          <c:showLegendKey val="0"/>
          <c:showVal val="0"/>
          <c:showCatName val="0"/>
          <c:showSerName val="0"/>
          <c:showPercent val="0"/>
          <c:showBubbleSize val="0"/>
        </c:dLbls>
        <c:gapWidth val="219"/>
        <c:axId val="1425715423"/>
        <c:axId val="1425689023"/>
      </c:barChart>
      <c:lineChart>
        <c:grouping val="standard"/>
        <c:varyColors val="0"/>
        <c:ser>
          <c:idx val="3"/>
          <c:order val="3"/>
          <c:tx>
            <c:strRef>
              <c:f>'Take Away Figs'!$F$27</c:f>
              <c:strCache>
                <c:ptCount val="1"/>
                <c:pt idx="0">
                  <c:v>AT bénéficiaires (cd)</c:v>
                </c:pt>
              </c:strCache>
            </c:strRef>
          </c:tx>
          <c:spPr>
            <a:ln w="28575" cap="rnd">
              <a:solidFill>
                <a:srgbClr val="002060"/>
              </a:solidFill>
              <a:round/>
            </a:ln>
            <a:effectLst/>
          </c:spPr>
          <c:marker>
            <c:symbol val="none"/>
          </c:marker>
          <c:cat>
            <c:numRef>
              <c:f>'Take Away Figs'!$B$28:$B$29</c:f>
              <c:numCache>
                <c:formatCode>General</c:formatCode>
                <c:ptCount val="2"/>
                <c:pt idx="0">
                  <c:v>2019</c:v>
                </c:pt>
                <c:pt idx="1">
                  <c:v>2024</c:v>
                </c:pt>
              </c:numCache>
            </c:numRef>
          </c:cat>
          <c:val>
            <c:numRef>
              <c:f>'Take Away Figs'!$F$28:$F$29</c:f>
              <c:numCache>
                <c:formatCode>General</c:formatCode>
                <c:ptCount val="2"/>
                <c:pt idx="0">
                  <c:v>263</c:v>
                </c:pt>
                <c:pt idx="1">
                  <c:v>149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2C34-498D-B6FF-8EB10EB3942A}"/>
            </c:ext>
          </c:extLst>
        </c:ser>
        <c:ser>
          <c:idx val="4"/>
          <c:order val="4"/>
          <c:tx>
            <c:strRef>
              <c:f>'Take Away Figs'!$G$27</c:f>
              <c:strCache>
                <c:ptCount val="1"/>
                <c:pt idx="0">
                  <c:v>AC bénéficiaires (cd)</c:v>
                </c:pt>
              </c:strCache>
            </c:strRef>
          </c:tx>
          <c:spPr>
            <a:ln w="28575" cap="rnd">
              <a:solidFill>
                <a:srgbClr val="00B050"/>
              </a:solidFill>
              <a:round/>
            </a:ln>
            <a:effectLst/>
          </c:spPr>
          <c:marker>
            <c:symbol val="none"/>
          </c:marker>
          <c:cat>
            <c:numRef>
              <c:f>'Take Away Figs'!$B$28:$B$29</c:f>
              <c:numCache>
                <c:formatCode>General</c:formatCode>
                <c:ptCount val="2"/>
                <c:pt idx="0">
                  <c:v>2019</c:v>
                </c:pt>
                <c:pt idx="1">
                  <c:v>2024</c:v>
                </c:pt>
              </c:numCache>
            </c:numRef>
          </c:cat>
          <c:val>
            <c:numRef>
              <c:f>'Take Away Figs'!$G$28:$G$29</c:f>
              <c:numCache>
                <c:formatCode>General</c:formatCode>
                <c:ptCount val="2"/>
                <c:pt idx="0">
                  <c:v>433</c:v>
                </c:pt>
                <c:pt idx="1">
                  <c:v>260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2C34-498D-B6FF-8EB10EB3942A}"/>
            </c:ext>
          </c:extLst>
        </c:ser>
        <c:ser>
          <c:idx val="5"/>
          <c:order val="5"/>
          <c:tx>
            <c:strRef>
              <c:f>'Take Away Figs'!$H$27</c:f>
              <c:strCache>
                <c:ptCount val="1"/>
                <c:pt idx="0">
                  <c:v>APA bénéficiaires (cd)</c:v>
                </c:pt>
              </c:strCache>
            </c:strRef>
          </c:tx>
          <c:spPr>
            <a:ln w="28575" cap="rnd">
              <a:solidFill>
                <a:srgbClr val="FFC000"/>
              </a:solidFill>
              <a:round/>
            </a:ln>
            <a:effectLst/>
          </c:spPr>
          <c:marker>
            <c:symbol val="none"/>
          </c:marker>
          <c:cat>
            <c:numRef>
              <c:f>'Take Away Figs'!$B$28:$B$29</c:f>
              <c:numCache>
                <c:formatCode>General</c:formatCode>
                <c:ptCount val="2"/>
                <c:pt idx="0">
                  <c:v>2019</c:v>
                </c:pt>
                <c:pt idx="1">
                  <c:v>2024</c:v>
                </c:pt>
              </c:numCache>
            </c:numRef>
          </c:cat>
          <c:val>
            <c:numRef>
              <c:f>'Take Away Figs'!$H$28:$H$29</c:f>
              <c:numCache>
                <c:formatCode>General</c:formatCode>
                <c:ptCount val="2"/>
                <c:pt idx="0">
                  <c:v>400</c:v>
                </c:pt>
                <c:pt idx="1">
                  <c:v>345</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2C34-498D-B6FF-8EB10EB3942A}"/>
            </c:ext>
          </c:extLst>
        </c:ser>
        <c:dLbls>
          <c:showLegendKey val="0"/>
          <c:showVal val="0"/>
          <c:showCatName val="0"/>
          <c:showSerName val="0"/>
          <c:showPercent val="0"/>
          <c:showBubbleSize val="0"/>
        </c:dLbls>
        <c:marker val="1"/>
        <c:smooth val="0"/>
        <c:axId val="1490145583"/>
        <c:axId val="1490147503"/>
      </c:lineChart>
      <c:catAx>
        <c:axId val="1425715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5689023"/>
        <c:crosses val="autoZero"/>
        <c:auto val="1"/>
        <c:lblAlgn val="ctr"/>
        <c:lblOffset val="100"/>
        <c:noMultiLvlLbl val="0"/>
      </c:catAx>
      <c:valAx>
        <c:axId val="1425689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b="1"/>
                  <a:t># agents </a:t>
                </a:r>
                <a:r>
                  <a:rPr lang="fr-FR" b="1" baseline="0"/>
                  <a:t>temporaires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 &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5715423"/>
        <c:crosses val="autoZero"/>
        <c:crossBetween val="between"/>
      </c:valAx>
      <c:valAx>
        <c:axId val="1490147503"/>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b="1"/>
                  <a:t>#</a:t>
                </a:r>
                <a:r>
                  <a:rPr lang="fr-FR" b="1" baseline="0"/>
                  <a:t> bénéficiaires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145583"/>
        <c:crosses val="max"/>
        <c:crossBetween val="between"/>
      </c:valAx>
      <c:catAx>
        <c:axId val="1490145583"/>
        <c:scaling>
          <c:orientation val="minMax"/>
        </c:scaling>
        <c:delete val="1"/>
        <c:axPos val="b"/>
        <c:numFmt formatCode="General" sourceLinked="1"/>
        <c:majorTickMark val="out"/>
        <c:minorTickMark val="none"/>
        <c:tickLblPos val="nextTo"/>
        <c:crossAx val="1490147503"/>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200" b="1"/>
              <a:t>montant moyen des</a:t>
            </a:r>
            <a:r>
              <a:rPr lang="fr-FR" sz="1200" b="1" baseline="0"/>
              <a:t> allocations et nombre d’allocations versées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'Take Away Figs'!$D$59</c:f>
              <c:strCache>
                <c:ptCount val="1"/>
                <c:pt idx="0">
                  <c:v>allocation moyenne AT</c:v>
                </c:pt>
              </c:strCache>
            </c:strRef>
          </c:tx>
          <c:spPr>
            <a:solidFill>
              <a:srgbClr val="002060">
                <a:alpha val="50000"/>
              </a:srgbClr>
            </a:solidFill>
            <a:ln>
              <a:noFill/>
            </a:ln>
            <a:effectLst/>
          </c:spPr>
          <c:invertIfNegative val="0"/>
          <c:cat>
            <c:numRef>
              <c:f>'Take Away Figs'!$E$58:$F$58</c:f>
              <c:numCache>
                <c:formatCode>General</c:formatCode>
                <c:ptCount val="2"/>
                <c:pt idx="0">
                  <c:v>2019</c:v>
                </c:pt>
                <c:pt idx="1">
                  <c:v>2024</c:v>
                </c:pt>
              </c:numCache>
            </c:numRef>
          </c:cat>
          <c:val>
            <c:numRef>
              <c:f>'Take Away Figs'!$E$59:$F$59</c:f>
              <c:numCache>
                <c:formatCode>_-* #,##0\ _€_-;\-* #,##0\ _€_-;_-* "-"??\ _€_-;_-@_-</c:formatCode>
                <c:ptCount val="2"/>
                <c:pt idx="0">
                  <c:v>2816.0941208896011</c:v>
                </c:pt>
                <c:pt idx="1">
                  <c:v>2229.138903394256</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A53D-4EB3-A159-B34FBE812AF3}"/>
            </c:ext>
          </c:extLst>
        </c:ser>
        <c:ser>
          <c:idx val="1"/>
          <c:order val="1"/>
          <c:tx>
            <c:strRef>
              <c:f>'Take Away Figs'!$D$60</c:f>
              <c:strCache>
                <c:ptCount val="1"/>
                <c:pt idx="0">
                  <c:v>allocation moyenne AC</c:v>
                </c:pt>
              </c:strCache>
            </c:strRef>
          </c:tx>
          <c:spPr>
            <a:solidFill>
              <a:srgbClr val="00B050">
                <a:alpha val="50000"/>
              </a:srgbClr>
            </a:solidFill>
            <a:ln>
              <a:noFill/>
            </a:ln>
            <a:effectLst/>
          </c:spPr>
          <c:invertIfNegative val="0"/>
          <c:cat>
            <c:numRef>
              <c:f>'Take Away Figs'!$E$58:$F$58</c:f>
              <c:numCache>
                <c:formatCode>General</c:formatCode>
                <c:ptCount val="2"/>
                <c:pt idx="0">
                  <c:v>2019</c:v>
                </c:pt>
                <c:pt idx="1">
                  <c:v>2024</c:v>
                </c:pt>
              </c:numCache>
            </c:numRef>
          </c:cat>
          <c:val>
            <c:numRef>
              <c:f>'Take Away Figs'!$E$60:$F$60</c:f>
              <c:numCache>
                <c:formatCode>_-* #,##0\ _€_-;\-* #,##0\ _€_-;_-* "-"??\ _€_-;_-@_-</c:formatCode>
                <c:ptCount val="2"/>
                <c:pt idx="0">
                  <c:v>1699.9037257386212</c:v>
                </c:pt>
                <c:pt idx="1">
                  <c:v>1765.0269207501512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A53D-4EB3-A159-B34FBE812AF3}"/>
            </c:ext>
          </c:extLst>
        </c:ser>
        <c:ser>
          <c:idx val="2"/>
          <c:order val="2"/>
          <c:tx>
            <c:strRef>
              <c:f>'Take Away Figs'!$D$61</c:f>
              <c:strCache>
                <c:ptCount val="1"/>
                <c:pt idx="0">
                  <c:v>allocation moyenne PA</c:v>
                </c:pt>
              </c:strCache>
            </c:strRef>
          </c:tx>
          <c:spPr>
            <a:solidFill>
              <a:schemeClr val="accent6">
                <a:lumMod val="75000"/>
                <a:alpha val="50000"/>
              </a:schemeClr>
            </a:solidFill>
            <a:ln>
              <a:noFill/>
            </a:ln>
            <a:effectLst/>
          </c:spPr>
          <c:invertIfNegative val="0"/>
          <c:cat>
            <c:numRef>
              <c:f>'Take Away Figs'!$E$58:$F$58</c:f>
              <c:numCache>
                <c:formatCode>General</c:formatCode>
                <c:ptCount val="2"/>
                <c:pt idx="0">
                  <c:v>2019</c:v>
                </c:pt>
                <c:pt idx="1">
                  <c:v>2024</c:v>
                </c:pt>
              </c:numCache>
            </c:numRef>
          </c:cat>
          <c:val>
            <c:numRef>
              <c:f>'Take Away Figs'!$E$61:$F$61</c:f>
              <c:numCache>
                <c:formatCode>_-* #,##0\ _€_-;\-* #,##0\ _€_-;_-* "-"??\ _€_-;_-@_-</c:formatCode>
                <c:ptCount val="2"/>
                <c:pt idx="0">
                  <c:v>2468.2129300801048</c:v>
                </c:pt>
                <c:pt idx="1">
                  <c:v>1975.331122166943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A53D-4EB3-A159-B34FBE812AF3}"/>
            </c:ext>
          </c:extLst>
        </c:ser>
        <c:dLbls>
          <c:showLegendKey val="0"/>
          <c:showVal val="0"/>
          <c:showCatName val="0"/>
          <c:showSerName val="0"/>
          <c:showPercent val="0"/>
          <c:showBubbleSize val="0"/>
        </c:dLbls>
        <c:gapWidth val="219"/>
        <c:axId val="1856247647"/>
        <c:axId val="1856244767"/>
      </c:barChart>
      <c:lineChart>
        <c:grouping val="standard"/>
        <c:varyColors val="0"/>
        <c:ser>
          <c:idx val="3"/>
          <c:order val="3"/>
          <c:tx>
            <c:strRef>
              <c:f>'Take Away Figs'!$D$62</c:f>
              <c:strCache>
                <c:ptCount val="1"/>
                <c:pt idx="0">
                  <c:v>#AT (cd)</c:v>
                </c:pt>
              </c:strCache>
            </c:strRef>
          </c:tx>
          <c:spPr>
            <a:ln w="28575" cap="rnd">
              <a:solidFill>
                <a:srgbClr val="002060"/>
              </a:solidFill>
              <a:round/>
            </a:ln>
            <a:effectLst/>
          </c:spPr>
          <c:marker>
            <c:symbol val="none"/>
          </c:marker>
          <c:cat>
            <c:numRef>
              <c:f>'Take Away Figs'!$E$58:$F$58</c:f>
              <c:numCache>
                <c:formatCode>General</c:formatCode>
                <c:ptCount val="2"/>
                <c:pt idx="0">
                  <c:v>2019</c:v>
                </c:pt>
                <c:pt idx="1">
                  <c:v>2024</c:v>
                </c:pt>
              </c:numCache>
            </c:numRef>
          </c:cat>
          <c:val>
            <c:numRef>
              <c:f>'Take Away Figs'!$E$62:$F$62</c:f>
              <c:numCache>
                <c:formatCode>_-* #,##0\ _€_-;\-* #,##0\ _€_-;_-* "-"??\ _€_-;_-@_-</c:formatCode>
                <c:ptCount val="2"/>
                <c:pt idx="0">
                  <c:v>2497</c:v>
                </c:pt>
                <c:pt idx="1">
                  <c:v>3830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A53D-4EB3-A159-B34FBE812AF3}"/>
            </c:ext>
          </c:extLst>
        </c:ser>
        <c:ser>
          <c:idx val="4"/>
          <c:order val="4"/>
          <c:tx>
            <c:strRef>
              <c:f>'Take Away Figs'!$D$63</c:f>
              <c:strCache>
                <c:ptCount val="1"/>
                <c:pt idx="0">
                  <c:v>#AC (cd)</c:v>
                </c:pt>
              </c:strCache>
            </c:strRef>
          </c:tx>
          <c:spPr>
            <a:ln w="28575" cap="rnd">
              <a:solidFill>
                <a:srgbClr val="00B050"/>
              </a:solidFill>
              <a:round/>
            </a:ln>
            <a:effectLst/>
          </c:spPr>
          <c:marker>
            <c:symbol val="none"/>
          </c:marker>
          <c:cat>
            <c:numRef>
              <c:f>'Take Away Figs'!$E$58:$F$58</c:f>
              <c:numCache>
                <c:formatCode>General</c:formatCode>
                <c:ptCount val="2"/>
                <c:pt idx="0">
                  <c:v>2019</c:v>
                </c:pt>
                <c:pt idx="1">
                  <c:v>2024</c:v>
                </c:pt>
              </c:numCache>
            </c:numRef>
          </c:cat>
          <c:val>
            <c:numRef>
              <c:f>'Take Away Figs'!$E$63:$F$63</c:f>
              <c:numCache>
                <c:formatCode>_-* #,##0\ _€_-;\-* #,##0\ _€_-;_-* "-"??\ _€_-;_-@_-</c:formatCode>
                <c:ptCount val="2"/>
                <c:pt idx="0">
                  <c:v>5767</c:v>
                </c:pt>
                <c:pt idx="1">
                  <c:v>6612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A53D-4EB3-A159-B34FBE812AF3}"/>
            </c:ext>
          </c:extLst>
        </c:ser>
        <c:ser>
          <c:idx val="5"/>
          <c:order val="5"/>
          <c:tx>
            <c:strRef>
              <c:f>'Take Away Figs'!$D$64</c:f>
              <c:strCache>
                <c:ptCount val="1"/>
                <c:pt idx="0">
                  <c:v>#APA (cd)</c:v>
                </c:pt>
              </c:strCache>
            </c:strRef>
          </c:tx>
          <c:spPr>
            <a:ln w="28575" cap="rnd">
              <a:solidFill>
                <a:schemeClr val="accent6">
                  <a:lumMod val="75000"/>
                </a:schemeClr>
              </a:solidFill>
              <a:round/>
            </a:ln>
            <a:effectLst/>
          </c:spPr>
          <c:marker>
            <c:symbol val="none"/>
          </c:marker>
          <c:cat>
            <c:numRef>
              <c:f>'Take Away Figs'!$E$58:$F$58</c:f>
              <c:numCache>
                <c:formatCode>General</c:formatCode>
                <c:ptCount val="2"/>
                <c:pt idx="0">
                  <c:v>2019</c:v>
                </c:pt>
                <c:pt idx="1">
                  <c:v>2024</c:v>
                </c:pt>
              </c:numCache>
            </c:numRef>
          </c:cat>
          <c:val>
            <c:numRef>
              <c:f>'Take Away Figs'!$E$64:$F$64</c:f>
              <c:numCache>
                <c:formatCode>_-* #,##0\ _€_-;\-* #,##0\ _€_-;_-* "-"??\ _€_-;_-@_-</c:formatCode>
                <c:ptCount val="2"/>
                <c:pt idx="0">
                  <c:v>3421</c:v>
                </c:pt>
                <c:pt idx="1">
                  <c:v>5427</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A53D-4EB3-A159-B34FBE812AF3}"/>
            </c:ext>
          </c:extLst>
        </c:ser>
        <c:dLbls>
          <c:showLegendKey val="0"/>
          <c:showVal val="0"/>
          <c:showCatName val="0"/>
          <c:showSerName val="0"/>
          <c:showPercent val="0"/>
          <c:showBubbleSize val="0"/>
        </c:dLbls>
        <c:marker val="1"/>
        <c:smooth val="0"/>
        <c:axId val="1486490079"/>
        <c:axId val="1486489599"/>
      </c:lineChart>
      <c:catAx>
        <c:axId val="1856247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6244767"/>
        <c:crosses val="autoZero"/>
        <c:auto val="1"/>
        <c:lblAlgn val="ctr"/>
        <c:lblOffset val="100"/>
        <c:noMultiLvlLbl val="0"/>
      </c:catAx>
      <c:valAx>
        <c:axId val="1856244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900" b="1"/>
                  <a:t>montant</a:t>
                </a:r>
                <a:r>
                  <a:rPr lang="fr-FR" sz="900" b="1" baseline="0"/>
                  <a:t> moyen de l’allocation (en EUR)</a:t>
                </a:r>
              </a:p>
            </c:rich>
          </c:tx>
          <c:layout>
            <c:manualLayout>
              <c:xMode val="edge"/>
              <c:yMode val="edge"/>
              <c:x val="2.9315820785273679E-2"/>
              <c:y val="9.6978328178032938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 &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6247647"/>
        <c:crosses val="autoZero"/>
        <c:crossBetween val="between"/>
      </c:valAx>
      <c:valAx>
        <c:axId val="1486489599"/>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900" b="1"/>
                  <a:t>nombre d’allocations versées</a:t>
                </a:r>
              </a:p>
            </c:rich>
          </c:tx>
          <c:layout>
            <c:manualLayout>
              <c:xMode val="edge"/>
              <c:yMode val="edge"/>
              <c:x val="0.93016161474143"/>
              <c:y val="0.1638599338180556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 &quot;##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6490079"/>
        <c:crosses val="max"/>
        <c:crossBetween val="between"/>
      </c:valAx>
      <c:catAx>
        <c:axId val="1486490079"/>
        <c:scaling>
          <c:orientation val="minMax"/>
        </c:scaling>
        <c:delete val="1"/>
        <c:axPos val="b"/>
        <c:numFmt formatCode="General" sourceLinked="1"/>
        <c:majorTickMark val="out"/>
        <c:minorTickMark val="none"/>
        <c:tickLblPos val="nextTo"/>
        <c:crossAx val="148648959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b="1"/>
              <a:t>Vue d’ensemble</a:t>
            </a:r>
            <a:r>
              <a:rPr lang="fr-FR" b="1" baseline="0"/>
              <a:t> des bénéficiaires sur la période 2019 - 2024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 4.3.1.1'!$D$5</c:f>
              <c:strCache>
                <c:ptCount val="1"/>
                <c:pt idx="0">
                  <c:v>AT</c:v>
                </c:pt>
              </c:strCache>
            </c:strRef>
          </c:tx>
          <c:spPr>
            <a:solidFill>
              <a:srgbClr val="002060"/>
            </a:solidFill>
            <a:ln w="3175">
              <a:solidFill>
                <a:srgbClr val="002060"/>
              </a:solidFill>
            </a:ln>
            <a:effectLst/>
          </c:spPr>
          <c:invertIfNegative val="0"/>
          <c:cat>
            <c:numRef>
              <c:f>'Fig. 4.3.1.1'!$C$6:$C$11</c:f>
              <c:numCache>
                <c:formatCode>General</c:formatCode>
                <c:ptCount val="6"/>
                <c:pt idx="0">
                  <c:v>2019</c:v>
                </c:pt>
                <c:pt idx="1">
                  <c:v>2020</c:v>
                </c:pt>
                <c:pt idx="2">
                  <c:v>2021</c:v>
                </c:pt>
                <c:pt idx="3">
                  <c:v>2022</c:v>
                </c:pt>
                <c:pt idx="4">
                  <c:v>2023</c:v>
                </c:pt>
                <c:pt idx="5">
                  <c:v>2024</c:v>
                </c:pt>
              </c:numCache>
            </c:numRef>
          </c:cat>
          <c:val>
            <c:numRef>
              <c:f>'Fig. 4.3.1.1'!$D$6:$D$11</c:f>
              <c:numCache>
                <c:formatCode>General</c:formatCode>
                <c:ptCount val="6"/>
                <c:pt idx="0">
                  <c:v>263</c:v>
                </c:pt>
                <c:pt idx="1">
                  <c:v>375</c:v>
                </c:pt>
                <c:pt idx="2">
                  <c:v>173</c:v>
                </c:pt>
                <c:pt idx="3">
                  <c:v>155</c:v>
                </c:pt>
                <c:pt idx="4">
                  <c:v>160</c:v>
                </c:pt>
                <c:pt idx="5">
                  <c:v>149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CDB-4232-ABD4-7DA4828BC1FC}"/>
            </c:ext>
          </c:extLst>
        </c:ser>
        <c:ser>
          <c:idx val="1"/>
          <c:order val="1"/>
          <c:tx>
            <c:strRef>
              <c:f>'Fig. 4.3.1.1'!$E$5</c:f>
              <c:strCache>
                <c:ptCount val="1"/>
                <c:pt idx="0">
                  <c:v>AC</c:v>
                </c:pt>
              </c:strCache>
            </c:strRef>
          </c:tx>
          <c:spPr>
            <a:solidFill>
              <a:srgbClr val="00B050"/>
            </a:solidFill>
            <a:ln w="3175">
              <a:solidFill>
                <a:srgbClr val="002060"/>
              </a:solidFill>
            </a:ln>
            <a:effectLst/>
          </c:spPr>
          <c:invertIfNegative val="0"/>
          <c:cat>
            <c:numRef>
              <c:f>'Fig. 4.3.1.1'!$C$6:$C$11</c:f>
              <c:numCache>
                <c:formatCode>General</c:formatCode>
                <c:ptCount val="6"/>
                <c:pt idx="0">
                  <c:v>2019</c:v>
                </c:pt>
                <c:pt idx="1">
                  <c:v>2020</c:v>
                </c:pt>
                <c:pt idx="2">
                  <c:v>2021</c:v>
                </c:pt>
                <c:pt idx="3">
                  <c:v>2022</c:v>
                </c:pt>
                <c:pt idx="4">
                  <c:v>2023</c:v>
                </c:pt>
                <c:pt idx="5">
                  <c:v>2024</c:v>
                </c:pt>
              </c:numCache>
            </c:numRef>
          </c:cat>
          <c:val>
            <c:numRef>
              <c:f>'Fig. 4.3.1.1'!$E$6:$E$11</c:f>
              <c:numCache>
                <c:formatCode>General</c:formatCode>
                <c:ptCount val="6"/>
                <c:pt idx="0">
                  <c:v>433</c:v>
                </c:pt>
                <c:pt idx="1">
                  <c:v>532</c:v>
                </c:pt>
                <c:pt idx="2">
                  <c:v>233</c:v>
                </c:pt>
                <c:pt idx="3">
                  <c:v>246</c:v>
                </c:pt>
                <c:pt idx="4">
                  <c:v>265</c:v>
                </c:pt>
                <c:pt idx="5">
                  <c:v>260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CDB-4232-ABD4-7DA4828BC1FC}"/>
            </c:ext>
          </c:extLst>
        </c:ser>
        <c:ser>
          <c:idx val="2"/>
          <c:order val="2"/>
          <c:tx>
            <c:strRef>
              <c:f>'Fig. 4.3.1.1'!$F$5</c:f>
              <c:strCache>
                <c:ptCount val="1"/>
                <c:pt idx="0">
                  <c:v>APA</c:v>
                </c:pt>
              </c:strCache>
            </c:strRef>
          </c:tx>
          <c:spPr>
            <a:solidFill>
              <a:srgbClr val="FFC000"/>
            </a:solidFill>
            <a:ln w="3175">
              <a:solidFill>
                <a:srgbClr val="002060"/>
              </a:solidFill>
            </a:ln>
            <a:effectLst/>
          </c:spPr>
          <c:invertIfNegative val="0"/>
          <c:cat>
            <c:numRef>
              <c:f>'Fig. 4.3.1.1'!$C$6:$C$11</c:f>
              <c:numCache>
                <c:formatCode>General</c:formatCode>
                <c:ptCount val="6"/>
                <c:pt idx="0">
                  <c:v>2019</c:v>
                </c:pt>
                <c:pt idx="1">
                  <c:v>2020</c:v>
                </c:pt>
                <c:pt idx="2">
                  <c:v>2021</c:v>
                </c:pt>
                <c:pt idx="3">
                  <c:v>2022</c:v>
                </c:pt>
                <c:pt idx="4">
                  <c:v>2023</c:v>
                </c:pt>
                <c:pt idx="5">
                  <c:v>2024</c:v>
                </c:pt>
              </c:numCache>
            </c:numRef>
          </c:cat>
          <c:val>
            <c:numRef>
              <c:f>'Fig. 4.3.1.1'!$F$6:$F$11</c:f>
              <c:numCache>
                <c:formatCode>General</c:formatCode>
                <c:ptCount val="6"/>
                <c:pt idx="0">
                  <c:v>400</c:v>
                </c:pt>
                <c:pt idx="1">
                  <c:v>291</c:v>
                </c:pt>
                <c:pt idx="2">
                  <c:v>69</c:v>
                </c:pt>
                <c:pt idx="3">
                  <c:v>51</c:v>
                </c:pt>
                <c:pt idx="4">
                  <c:v>48</c:v>
                </c:pt>
                <c:pt idx="5">
                  <c:v>345</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FCDB-4232-ABD4-7DA4828BC1FC}"/>
            </c:ext>
          </c:extLst>
        </c:ser>
        <c:dLbls>
          <c:showLegendKey val="0"/>
          <c:showVal val="0"/>
          <c:showCatName val="0"/>
          <c:showSerName val="0"/>
          <c:showPercent val="0"/>
          <c:showBubbleSize val="0"/>
        </c:dLbls>
        <c:gapWidth val="219"/>
        <c:overlap val="-27"/>
        <c:axId val="1026009776"/>
        <c:axId val="1026026752"/>
      </c:barChart>
      <c:catAx>
        <c:axId val="102600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6026752"/>
        <c:crosses val="autoZero"/>
        <c:auto val="1"/>
        <c:lblAlgn val="ctr"/>
        <c:lblOffset val="100"/>
        <c:noMultiLvlLbl val="0"/>
      </c:catAx>
      <c:valAx>
        <c:axId val="1026026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6009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'Fig. 4.3.2.1'!$C$9</c:f>
              <c:strCache>
                <c:ptCount val="1"/>
                <c:pt idx="0">
                  <c:v>Régime global</c:v>
                </c:pt>
              </c:strCache>
            </c:strRef>
          </c:tx>
          <c:spPr>
            <a:pattFill prst="dkUpDiag">
              <a:fgClr>
                <a:schemeClr val="bg1">
                  <a:lumMod val="65000"/>
                </a:schemeClr>
              </a:fgClr>
              <a:bgClr>
                <a:schemeClr val="bg1"/>
              </a:bgClr>
            </a:pattFill>
            <a:ln>
              <a:solidFill>
                <a:schemeClr val="tx1"/>
              </a:solidFill>
            </a:ln>
            <a:effectLst/>
          </c:spPr>
          <c:invertIfNegative val="0"/>
          <c:val>
            <c:numRef>
              <c:f>'Fig. 4.3.2.1'!$D$9:$I$9</c:f>
              <c:numCache>
                <c:formatCode>#,##0.0</c:formatCode>
                <c:ptCount val="6"/>
                <c:pt idx="0">
                  <c:v>3.9906787066705509</c:v>
                </c:pt>
                <c:pt idx="1">
                  <c:v>4.0989496013959696</c:v>
                </c:pt>
                <c:pt idx="2">
                  <c:v>1.4940865626572721</c:v>
                </c:pt>
                <c:pt idx="3">
                  <c:v>1.3255520689756297</c:v>
                </c:pt>
                <c:pt idx="4">
                  <c:v>1.3378210204774297</c:v>
                </c:pt>
                <c:pt idx="5">
                  <c:v>2.0551118863964679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4E7-4D75-9A6D-241C8EB9482E}"/>
            </c:ext>
          </c:extLst>
        </c:ser>
        <c:dLbls>
          <c:showLegendKey val="0"/>
          <c:showVal val="0"/>
          <c:showCatName val="0"/>
          <c:showSerName val="0"/>
          <c:showPercent val="0"/>
          <c:showBubbleSize val="0"/>
        </c:dLbls>
        <c:gapWidth val="219"/>
        <c:axId val="353104912"/>
        <c:axId val="353100112"/>
      </c:barChart>
      <c:lineChart>
        <c:grouping val="standard"/>
        <c:varyColors val="0"/>
        <c:ser>
          <c:idx val="0"/>
          <c:order val="0"/>
          <c:tx>
            <c:strRef>
              <c:f>'Fig. 4.3.2.1'!$C$7</c:f>
              <c:strCache>
                <c:ptCount val="1"/>
                <c:pt idx="0">
                  <c:v>Total Commission</c:v>
                </c:pt>
              </c:strCache>
            </c:strRef>
          </c:tx>
          <c:spPr>
            <a:ln w="28575" cap="rnd">
              <a:solidFill>
                <a:srgbClr val="FFC000"/>
              </a:solidFill>
              <a:round/>
            </a:ln>
            <a:effectLst/>
          </c:spPr>
          <c:marker>
            <c:symbol val="none"/>
          </c:marker>
          <c:cat>
            <c:numRef>
              <c:f>'Fig. 4.3.2.1'!$D$4:$I$4</c:f>
              <c:numCache>
                <c:formatCode>General</c:formatCode>
                <c:ptCount val="6"/>
                <c:pt idx="0">
                  <c:v>2019</c:v>
                </c:pt>
                <c:pt idx="1">
                  <c:v>2020</c:v>
                </c:pt>
                <c:pt idx="2">
                  <c:v>2021</c:v>
                </c:pt>
                <c:pt idx="3">
                  <c:v>2022</c:v>
                </c:pt>
                <c:pt idx="4">
                  <c:v>2023</c:v>
                </c:pt>
                <c:pt idx="5">
                  <c:v>2024</c:v>
                </c:pt>
              </c:numCache>
            </c:numRef>
          </c:cat>
          <c:val>
            <c:numRef>
              <c:f>'Fig. 4.3.2.1'!$D$7:$I$7</c:f>
              <c:numCache>
                <c:formatCode>#,##0.0</c:formatCode>
                <c:ptCount val="6"/>
                <c:pt idx="0">
                  <c:v>4.0816326530612246</c:v>
                </c:pt>
                <c:pt idx="1">
                  <c:v>5.3689100140434265</c:v>
                </c:pt>
                <c:pt idx="2">
                  <c:v>2.0963288679824115</c:v>
                </c:pt>
                <c:pt idx="3">
                  <c:v>2.0463060812758189</c:v>
                </c:pt>
                <c:pt idx="4">
                  <c:v>2.2610483042137717</c:v>
                </c:pt>
                <c:pt idx="5">
                  <c:v>1.5118026699672886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4E7-4D75-9A6D-241C8EB9482E}"/>
            </c:ext>
          </c:extLst>
        </c:ser>
        <c:ser>
          <c:idx val="2"/>
          <c:order val="2"/>
          <c:tx>
            <c:strRef>
              <c:f>'Fig. 4.3.2.1'!$C$6</c:f>
              <c:strCache>
                <c:ptCount val="1"/>
                <c:pt idx="0">
                  <c:v>Total Parlement</c:v>
                </c:pt>
              </c:strCache>
            </c:strRef>
          </c:tx>
          <c:spPr>
            <a:ln w="28575" cap="rnd">
              <a:solidFill>
                <a:srgbClr val="002060"/>
              </a:solidFill>
              <a:round/>
            </a:ln>
            <a:effectLst/>
          </c:spPr>
          <c:marker>
            <c:symbol val="none"/>
          </c:marker>
          <c:cat>
            <c:numRef>
              <c:f>'Fig. 4.3.2.1'!$D$4:$I$4</c:f>
              <c:numCache>
                <c:formatCode>General</c:formatCode>
                <c:ptCount val="6"/>
                <c:pt idx="0">
                  <c:v>2019</c:v>
                </c:pt>
                <c:pt idx="1">
                  <c:v>2020</c:v>
                </c:pt>
                <c:pt idx="2">
                  <c:v>2021</c:v>
                </c:pt>
                <c:pt idx="3">
                  <c:v>2022</c:v>
                </c:pt>
                <c:pt idx="4">
                  <c:v>2023</c:v>
                </c:pt>
                <c:pt idx="5">
                  <c:v>2024</c:v>
                </c:pt>
              </c:numCache>
            </c:numRef>
          </c:cat>
          <c:val>
            <c:numRef>
              <c:f>'Fig. 4.3.2.1'!$D$6:$I$6</c:f>
              <c:numCache>
                <c:formatCode>#,##0.0</c:formatCode>
                <c:ptCount val="6"/>
                <c:pt idx="0">
                  <c:v>11.672550750220653</c:v>
                </c:pt>
                <c:pt idx="1">
                  <c:v>8.9889973012248277</c:v>
                </c:pt>
                <c:pt idx="2">
                  <c:v>2.3247232472324724</c:v>
                </c:pt>
                <c:pt idx="3">
                  <c:v>1.9741697416974169</c:v>
                </c:pt>
                <c:pt idx="4">
                  <c:v>1.9628836545324768</c:v>
                </c:pt>
                <c:pt idx="5">
                  <c:v>7.4285714285714288</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94E7-4D75-9A6D-241C8EB9482E}"/>
            </c:ext>
          </c:extLst>
        </c:ser>
        <c:ser>
          <c:idx val="3"/>
          <c:order val="3"/>
          <c:tx>
            <c:strRef>
              <c:f>'Fig. 4.3.2.1'!$C$5</c:f>
              <c:strCache>
                <c:ptCount val="1"/>
                <c:pt idx="0">
                  <c:v>Total agences</c:v>
                </c:pt>
              </c:strCache>
            </c:strRef>
          </c:tx>
          <c:spPr>
            <a:ln w="28575" cap="rnd">
              <a:solidFill>
                <a:srgbClr val="FF3300"/>
              </a:solidFill>
              <a:round/>
            </a:ln>
            <a:effectLst/>
          </c:spPr>
          <c:marker>
            <c:symbol val="none"/>
          </c:marker>
          <c:cat>
            <c:numRef>
              <c:f>'Fig. 4.3.2.1'!$D$4:$I$4</c:f>
              <c:numCache>
                <c:formatCode>General</c:formatCode>
                <c:ptCount val="6"/>
                <c:pt idx="0">
                  <c:v>2019</c:v>
                </c:pt>
                <c:pt idx="1">
                  <c:v>2020</c:v>
                </c:pt>
                <c:pt idx="2">
                  <c:v>2021</c:v>
                </c:pt>
                <c:pt idx="3">
                  <c:v>2022</c:v>
                </c:pt>
                <c:pt idx="4">
                  <c:v>2023</c:v>
                </c:pt>
                <c:pt idx="5">
                  <c:v>2024</c:v>
                </c:pt>
              </c:numCache>
            </c:numRef>
          </c:cat>
          <c:val>
            <c:numRef>
              <c:f>'Fig. 4.3.2.1'!$D$5:$I$5</c:f>
              <c:numCache>
                <c:formatCode>#,##0.0</c:formatCode>
                <c:ptCount val="6"/>
                <c:pt idx="0">
                  <c:v>1.09217999126256</c:v>
                </c:pt>
                <c:pt idx="1">
                  <c:v>1.3837190483897071</c:v>
                </c:pt>
                <c:pt idx="2">
                  <c:v>0.70113935144609996</c:v>
                </c:pt>
                <c:pt idx="3">
                  <c:v>0.54735998931980512</c:v>
                </c:pt>
                <c:pt idx="4">
                  <c:v>0.49852997571264218</c:v>
                </c:pt>
                <c:pt idx="5">
                  <c:v>0.62682570593962994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94E7-4D75-9A6D-241C8EB9482E}"/>
            </c:ext>
          </c:extLst>
        </c:ser>
        <c:ser>
          <c:idx val="4"/>
          <c:order val="4"/>
          <c:tx>
            <c:strRef>
              <c:f>'Fig. 4.3.2.1'!$C$8</c:f>
              <c:strCache>
                <c:ptCount val="1"/>
                <c:pt idx="0">
                  <c:v>Total autres institutions</c:v>
                </c:pt>
              </c:strCache>
            </c:strRef>
          </c:tx>
          <c:spPr>
            <a:ln w="28575" cap="rnd">
              <a:solidFill>
                <a:srgbClr val="00B050"/>
              </a:solidFill>
              <a:round/>
            </a:ln>
            <a:effectLst/>
          </c:spPr>
          <c:marker>
            <c:symbol val="none"/>
          </c:marker>
          <c:cat>
            <c:numRef>
              <c:f>'Fig. 4.3.2.1'!$D$4:$I$4</c:f>
              <c:numCache>
                <c:formatCode>General</c:formatCode>
                <c:ptCount val="6"/>
                <c:pt idx="0">
                  <c:v>2019</c:v>
                </c:pt>
                <c:pt idx="1">
                  <c:v>2020</c:v>
                </c:pt>
                <c:pt idx="2">
                  <c:v>2021</c:v>
                </c:pt>
                <c:pt idx="3">
                  <c:v>2022</c:v>
                </c:pt>
                <c:pt idx="4">
                  <c:v>2023</c:v>
                </c:pt>
                <c:pt idx="5">
                  <c:v>2024</c:v>
                </c:pt>
              </c:numCache>
            </c:numRef>
          </c:cat>
          <c:val>
            <c:numRef>
              <c:f>'Fig. 4.3.2.1'!$D$8:$I$8</c:f>
              <c:numCache>
                <c:formatCode>#,##0.0</c:formatCode>
                <c:ptCount val="6"/>
                <c:pt idx="0">
                  <c:v>3.0362008563643439</c:v>
                </c:pt>
                <c:pt idx="1">
                  <c:v>3.4704830053667264</c:v>
                </c:pt>
                <c:pt idx="2">
                  <c:v>1.5609756097560976</c:v>
                </c:pt>
                <c:pt idx="3">
                  <c:v>1.5202189115232594</c:v>
                </c:pt>
                <c:pt idx="4">
                  <c:v>1.2635909491625037</c:v>
                </c:pt>
                <c:pt idx="5">
                  <c:v>1.9127316198445903</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94E7-4D75-9A6D-241C8EB9482E}"/>
            </c:ext>
          </c:extLst>
        </c:ser>
        <c:dLbls>
          <c:showLegendKey val="0"/>
          <c:showVal val="0"/>
          <c:showCatName val="0"/>
          <c:showSerName val="0"/>
          <c:showPercent val="0"/>
          <c:showBubbleSize val="0"/>
        </c:dLbls>
        <c:marker val="1"/>
        <c:smooth val="0"/>
        <c:axId val="353104912"/>
        <c:axId val="353100112"/>
      </c:lineChart>
      <c:catAx>
        <c:axId val="3531049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100112"/>
        <c:crosses val="autoZero"/>
        <c:auto val="1"/>
        <c:lblAlgn val="ctr"/>
        <c:lblOffset val="100"/>
        <c:noMultiLvlLbl val="0"/>
      </c:catAx>
      <c:valAx>
        <c:axId val="353100112"/>
        <c:scaling>
          <c:orientation val="minMax"/>
          <c:max val="1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b="1"/>
                  <a:t>en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104912"/>
        <c:crosses val="autoZero"/>
        <c:crossBetween val="between"/>
      </c:valAx>
      <c:spPr>
        <a:noFill/>
        <a:ln>
          <a:noFill/>
        </a:ln>
        <a:effectLst/>
      </c:spPr>
    </c:plotArea>
    <c:legend>
      <c:legendPos val="b"/>
      <c:layout>
        <c:manualLayout>
          <c:xMode val="edge"/>
          <c:yMode val="edge"/>
          <c:x val="0.59429478268181712"/>
          <c:y val="2.1873428963373531E-2"/>
          <c:w val="0.40445729048695089"/>
          <c:h val="0.286864115175951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fr-FR" b="1"/>
              <a:t>Comparaison de la durée indemnisée 2019-2024</a:t>
            </a:r>
            <a:r>
              <a:rPr lang="fr-FR" b="1" baseline="0"/>
              <a:t> </a:t>
            </a:r>
            <a:r>
              <a:rPr lang="fr-FR" b="1"/>
              <a:t>(en mois)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 4.4.2.1'!$C$4</c:f>
              <c:strCache>
                <c:ptCount val="1"/>
                <c:pt idx="0">
                  <c:v>2019</c:v>
                </c:pt>
              </c:strCache>
            </c:strRef>
          </c:tx>
          <c:spPr>
            <a:solidFill>
              <a:srgbClr val="0070C0"/>
            </a:solidFill>
            <a:ln>
              <a:noFill/>
            </a:ln>
            <a:effectLst/>
          </c:spPr>
          <c:invertIfNegative val="0"/>
          <c:dPt>
            <c:idx val="13"/>
            <c:invertIfNegative val="0"/>
            <c:bubble3D val="0"/>
            <c:spPr>
              <a:pattFill prst="dkDnDiag">
                <a:fgClr>
                  <a:srgbClr val="0070C0"/>
                </a:fgClr>
                <a:bgClr>
                  <a:schemeClr val="bg1"/>
                </a:bgClr>
              </a:pattFill>
              <a:ln w="12700">
                <a:solidFill>
                  <a:schemeClr val="tx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C2B-4F10-BF38-EF8BD6D503AD}"/>
              </c:ext>
            </c:extLst>
          </c:dPt>
          <c:dPt>
            <c:idx val="14"/>
            <c:invertIfNegative val="0"/>
            <c:bubble3D val="0"/>
            <c:spPr>
              <a:pattFill prst="dkDnDiag">
                <a:fgClr>
                  <a:srgbClr val="0070C0"/>
                </a:fgClr>
                <a:bgClr>
                  <a:schemeClr val="bg1"/>
                </a:bgClr>
              </a:pattFill>
              <a:ln w="12700">
                <a:solidFill>
                  <a:schemeClr val="tx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C2B-4F10-BF38-EF8BD6D503AD}"/>
              </c:ext>
            </c:extLst>
          </c:dPt>
          <c:cat>
            <c:strRef>
              <c:f>'Fig. 4.4.2.1'!$B$5:$B$19</c:f>
              <c:strCache>
                <c:ptCount val="15"/>
                <c:pt idx="0">
                  <c:v> Commission européenne  </c:v>
                </c:pt>
                <c:pt idx="1">
                  <c:v> PE (AC/AT/APA) </c:v>
                </c:pt>
                <c:pt idx="2">
                  <c:v> EP (AC/AT) </c:v>
                </c:pt>
                <c:pt idx="3">
                  <c:v> PE (APA) </c:v>
                </c:pt>
                <c:pt idx="4">
                  <c:v> Médiateur européen </c:v>
                </c:pt>
                <c:pt idx="5">
                  <c:v> Conseil </c:v>
                </c:pt>
                <c:pt idx="6">
                  <c:v> Cour de justice </c:v>
                </c:pt>
                <c:pt idx="7">
                  <c:v> Cour des comptes </c:v>
                </c:pt>
                <c:pt idx="8">
                  <c:v> Comité économique et social </c:v>
                </c:pt>
                <c:pt idx="9">
                  <c:v> Comité des régions </c:v>
                </c:pt>
                <c:pt idx="10">
                  <c:v> SEAE </c:v>
                </c:pt>
                <c:pt idx="11">
                  <c:v> CEPD </c:v>
                </c:pt>
                <c:pt idx="12">
                  <c:v> Agences </c:v>
                </c:pt>
                <c:pt idx="13">
                  <c:v> Total moyenne (AC/AT/APA) </c:v>
                </c:pt>
                <c:pt idx="14">
                  <c:v> Total moyenne (AC/AT) </c:v>
                </c:pt>
              </c:strCache>
            </c:strRef>
          </c:cat>
          <c:val>
            <c:numRef>
              <c:f>'Fig. 4.4.2.1'!$C$5:$C$19</c:f>
              <c:numCache>
                <c:formatCode>General</c:formatCode>
                <c:ptCount val="15"/>
                <c:pt idx="0">
                  <c:v>10.835145385587863</c:v>
                </c:pt>
                <c:pt idx="1">
                  <c:v>5.5272973889454047</c:v>
                </c:pt>
                <c:pt idx="2">
                  <c:v>7.8261111111111115</c:v>
                </c:pt>
                <c:pt idx="3">
                  <c:v>4.7847465231045314</c:v>
                </c:pt>
                <c:pt idx="4">
                  <c:v>7.5</c:v>
                </c:pt>
                <c:pt idx="5">
                  <c:v>8.1648148148148145</c:v>
                </c:pt>
                <c:pt idx="6">
                  <c:v>6.3974842767295597</c:v>
                </c:pt>
                <c:pt idx="7">
                  <c:v>10.191111111111111</c:v>
                </c:pt>
                <c:pt idx="8">
                  <c:v>11.8375</c:v>
                </c:pt>
                <c:pt idx="9">
                  <c:v>6.6575757575757573</c:v>
                </c:pt>
                <c:pt idx="10">
                  <c:v>10.746031746031747</c:v>
                </c:pt>
                <c:pt idx="12">
                  <c:v>10.449200492004922</c:v>
                </c:pt>
                <c:pt idx="13">
                  <c:v>8.4620893663397165</c:v>
                </c:pt>
                <c:pt idx="14">
                  <c:v>10.416499761564138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1C2B-4F10-BF38-EF8BD6D503AD}"/>
            </c:ext>
          </c:extLst>
        </c:ser>
        <c:ser>
          <c:idx val="1"/>
          <c:order val="1"/>
          <c:tx>
            <c:strRef>
              <c:f>'Fig. 4.4.2.1'!$D$4</c:f>
              <c:strCache>
                <c:ptCount val="1"/>
                <c:pt idx="0">
                  <c:v>2024</c:v>
                </c:pt>
              </c:strCache>
            </c:strRef>
          </c:tx>
          <c:spPr>
            <a:solidFill>
              <a:srgbClr val="00B050"/>
            </a:solidFill>
            <a:ln>
              <a:noFill/>
            </a:ln>
            <a:effectLst/>
          </c:spPr>
          <c:invertIfNegative val="0"/>
          <c:dPt>
            <c:idx val="13"/>
            <c:invertIfNegative val="0"/>
            <c:bubble3D val="0"/>
            <c:spPr>
              <a:pattFill prst="dkUpDiag">
                <a:fgClr>
                  <a:srgbClr val="00B050"/>
                </a:fgClr>
                <a:bgClr>
                  <a:schemeClr val="bg1"/>
                </a:bgClr>
              </a:pattFill>
              <a:ln w="12700">
                <a:solidFill>
                  <a:schemeClr val="tx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1C2B-4F10-BF38-EF8BD6D503AD}"/>
              </c:ext>
            </c:extLst>
          </c:dPt>
          <c:dPt>
            <c:idx val="14"/>
            <c:invertIfNegative val="0"/>
            <c:bubble3D val="0"/>
            <c:spPr>
              <a:pattFill prst="dkUpDiag">
                <a:fgClr>
                  <a:srgbClr val="00B050"/>
                </a:fgClr>
                <a:bgClr>
                  <a:schemeClr val="bg1"/>
                </a:bgClr>
              </a:pattFill>
              <a:ln w="12700">
                <a:solidFill>
                  <a:schemeClr val="tx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1C2B-4F10-BF38-EF8BD6D503AD}"/>
              </c:ext>
            </c:extLst>
          </c:dPt>
          <c:cat>
            <c:strRef>
              <c:f>'Fig. 4.4.2.1'!$B$5:$B$19</c:f>
              <c:strCache>
                <c:ptCount val="15"/>
                <c:pt idx="0">
                  <c:v> Commission européenne  </c:v>
                </c:pt>
                <c:pt idx="1">
                  <c:v> PE (AC/AT/APA) </c:v>
                </c:pt>
                <c:pt idx="2">
                  <c:v> EP (AC/AT) </c:v>
                </c:pt>
                <c:pt idx="3">
                  <c:v> PE (APA) </c:v>
                </c:pt>
                <c:pt idx="4">
                  <c:v> Médiateur européen </c:v>
                </c:pt>
                <c:pt idx="5">
                  <c:v> Conseil </c:v>
                </c:pt>
                <c:pt idx="6">
                  <c:v> Cour de justice </c:v>
                </c:pt>
                <c:pt idx="7">
                  <c:v> Cour des comptes </c:v>
                </c:pt>
                <c:pt idx="8">
                  <c:v> Comité économique et social </c:v>
                </c:pt>
                <c:pt idx="9">
                  <c:v> Comité des régions </c:v>
                </c:pt>
                <c:pt idx="10">
                  <c:v> SEAE </c:v>
                </c:pt>
                <c:pt idx="11">
                  <c:v> CEPD </c:v>
                </c:pt>
                <c:pt idx="12">
                  <c:v> Agences </c:v>
                </c:pt>
                <c:pt idx="13">
                  <c:v> Total moyenne (AC/AT/APA) </c:v>
                </c:pt>
                <c:pt idx="14">
                  <c:v> Total moyenne (AC/AT) </c:v>
                </c:pt>
              </c:strCache>
            </c:strRef>
          </c:cat>
          <c:val>
            <c:numRef>
              <c:f>'Fig. 4.4.2.1'!$D$5:$D$19</c:f>
              <c:numCache>
                <c:formatCode>_-* #,##0.0\ _€_-;\-* #,##0.0\ _€_-;_-* "-"??\ _€_-;_-@_-</c:formatCode>
                <c:ptCount val="15"/>
                <c:pt idx="0">
                  <c:v>10.048417130000001</c:v>
                </c:pt>
                <c:pt idx="1">
                  <c:v>8.0229357799999992</c:v>
                </c:pt>
                <c:pt idx="2">
                  <c:v>8.5271739130000004</c:v>
                </c:pt>
                <c:pt idx="3">
                  <c:v>7.8880813950000004</c:v>
                </c:pt>
                <c:pt idx="4">
                  <c:v>0</c:v>
                </c:pt>
                <c:pt idx="5">
                  <c:v>6.1219512199999997</c:v>
                </c:pt>
                <c:pt idx="6">
                  <c:v>8.8727272730000006</c:v>
                </c:pt>
                <c:pt idx="7">
                  <c:v>11.31578947</c:v>
                </c:pt>
                <c:pt idx="8">
                  <c:v>6.769230769</c:v>
                </c:pt>
                <c:pt idx="9">
                  <c:v>6.8</c:v>
                </c:pt>
                <c:pt idx="10">
                  <c:v>7.6129032260000002</c:v>
                </c:pt>
                <c:pt idx="11">
                  <c:v>7.2</c:v>
                </c:pt>
                <c:pt idx="12">
                  <c:v>11.324324320000001</c:v>
                </c:pt>
                <c:pt idx="13">
                  <c:v>8.9756787330000005</c:v>
                </c:pt>
                <c:pt idx="14">
                  <c:v>9.6685185189999991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1C2B-4F10-BF38-EF8BD6D503AD}"/>
            </c:ext>
          </c:extLst>
        </c:ser>
        <c:dLbls>
          <c:showLegendKey val="0"/>
          <c:showVal val="0"/>
          <c:showCatName val="0"/>
          <c:showSerName val="0"/>
          <c:showPercent val="0"/>
          <c:showBubbleSize val="0"/>
        </c:dLbls>
        <c:gapWidth val="50"/>
        <c:axId val="622690415"/>
        <c:axId val="622716335"/>
      </c:barChart>
      <c:catAx>
        <c:axId val="622690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2716335"/>
        <c:crosses val="autoZero"/>
        <c:auto val="1"/>
        <c:lblAlgn val="ctr"/>
        <c:lblOffset val="100"/>
        <c:noMultiLvlLbl val="0"/>
      </c:catAx>
      <c:valAx>
        <c:axId val="622716335"/>
        <c:scaling>
          <c:orientation val="minMax"/>
          <c:max val="1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26904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c104a7e3-e0a9-46cf-92ee-9b62dc9a36e8" xsi:nil="true"/>
    <TaxCatchAll xmlns="641315ca-0572-423e-bd92-cff020455c2a" xsi:nil="true"/>
    <lcf76f155ced4ddcb4097134ff3c332f xmlns="c104a7e3-e0a9-46cf-92ee-9b62dc9a36e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8DAEBAB9BA884591FD7B89E63AD785" ma:contentTypeVersion="24" ma:contentTypeDescription="Crée un document." ma:contentTypeScope="" ma:versionID="68a6503cbc7361145e0706aca0695d9d">
  <xsd:schema xmlns:xsd="http://www.w3.org/2001/XMLSchema" xmlns:xs="http://www.w3.org/2001/XMLSchema" xmlns:p="http://schemas.microsoft.com/office/2006/metadata/properties" xmlns:ns2="c104a7e3-e0a9-46cf-92ee-9b62dc9a36e8" xmlns:ns3="641315ca-0572-423e-bd92-cff020455c2a" targetNamespace="http://schemas.microsoft.com/office/2006/metadata/properties" ma:root="true" ma:fieldsID="9b6604e466d2d82a7b5db688c7fc7aa4" ns2:_="" ns3:_="">
    <xsd:import namespace="c104a7e3-e0a9-46cf-92ee-9b62dc9a36e8"/>
    <xsd:import namespace="641315ca-0572-423e-bd92-cff020455c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4a7e3-e0a9-46cf-92ee-9b62dc9a3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1315ca-0572-423e-bd92-cff020455c2a"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00fa0a5a-8625-4976-bb1a-cd52e2830d5c}" ma:internalName="TaxCatchAll" ma:showField="CatchAllData" ma:web="641315ca-0572-423e-bd92-cff020455c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90742-AC08-417E-A82C-6DC7ACB7AF80}">
  <ds:schemaRefs>
    <ds:schemaRef ds:uri="http://schemas.microsoft.com/office/2006/metadata/properties"/>
    <ds:schemaRef ds:uri="http://schemas.microsoft.com/office/infopath/2007/PartnerControls"/>
    <ds:schemaRef ds:uri="c104a7e3-e0a9-46cf-92ee-9b62dc9a36e8"/>
    <ds:schemaRef ds:uri="641315ca-0572-423e-bd92-cff020455c2a"/>
  </ds:schemaRefs>
</ds:datastoreItem>
</file>

<file path=customXml/itemProps2.xml><?xml version="1.0" encoding="utf-8"?>
<ds:datastoreItem xmlns:ds="http://schemas.openxmlformats.org/officeDocument/2006/customXml" ds:itemID="{29F62A73-C4C3-4A03-A1C6-69D68ACB0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4a7e3-e0a9-46cf-92ee-9b62dc9a36e8"/>
    <ds:schemaRef ds:uri="641315ca-0572-423e-bd92-cff020455c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80104-9F06-417D-8772-844D264B5742}">
  <ds:schemaRefs>
    <ds:schemaRef ds:uri="http://schemas.microsoft.com/sharepoint/v3/contenttype/forms"/>
  </ds:schemaRefs>
</ds:datastoreItem>
</file>

<file path=customXml/itemProps4.xml><?xml version="1.0" encoding="utf-8"?>
<ds:datastoreItem xmlns:ds="http://schemas.openxmlformats.org/officeDocument/2006/customXml" ds:itemID="{8B32EEDE-F03F-4CFD-83E4-9F296B009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15</Pages>
  <Words>3407</Words>
  <Characters>19424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2025-09-15T08:38:00Z</cp:lastPrinted>
  <dcterms:created xsi:type="dcterms:W3CDTF">2026-05-29T15:00:00Z</dcterms:created>
  <dcterms:modified xsi:type="dcterms:W3CDTF">2026-07-08T06:47:00Z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2024-08-28T15:56:25Z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eebd44bc-a1a5-415f-8e24-903856e734cb</vt:lpwstr>
  </property>
  <property fmtid="{D5CDD505-2E9C-101B-9397-08002B2CF9AE}" pid="8" name="MSIP_Label_6bd9ddd1-4d20-43f6-abfa-fc3c07406f94_ContentBits">
    <vt:lpwstr>0</vt:lpwstr>
  </property>
  <property fmtid="{D5CDD505-2E9C-101B-9397-08002B2CF9AE}" pid="9" name="ContentTypeId">
    <vt:lpwstr>0x010100FE8DAEBAB9BA884591FD7B89E63AD785</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ies>
</file>