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639BB2" w14:textId="151443B5" w:rsidR="00097901" w:rsidRDefault="00BA5AF2" w:rsidP="00BA5AF2">
      <w:pPr>
        <w:pStyle w:val="Pagedecouverture"/>
        <w:rPr>
          <w:noProof/>
        </w:rPr>
      </w:pPr>
      <w:bookmarkStart w:id="0" w:name="LW_BM_COVERPAGE"/>
      <w:r>
        <w:rPr>
          <w:noProof/>
        </w:rPr>
        <w:pict w14:anchorId="6D4A24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6D5AF9B2-5F9A-4368-8BFD-04B47E25484D" style="width:455.25pt;height:313.5pt">
            <v:imagedata r:id="rId11" o:title=""/>
          </v:shape>
        </w:pict>
      </w:r>
    </w:p>
    <w:bookmarkEnd w:id="0"/>
    <w:p w14:paraId="7D9F2C05" w14:textId="77777777" w:rsidR="00EF4C6C" w:rsidRDefault="00EF4C6C" w:rsidP="00EF4C6C">
      <w:pPr>
        <w:rPr>
          <w:noProof/>
        </w:rPr>
        <w:sectPr w:rsidR="00EF4C6C" w:rsidSect="00BA5AF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22186A8" w14:textId="42A3A7A7" w:rsidR="0020135D" w:rsidRPr="0006330A" w:rsidRDefault="0020135D" w:rsidP="0020135D">
      <w:pPr>
        <w:jc w:val="center"/>
        <w:rPr>
          <w:rFonts w:ascii="Times New Roman" w:hAnsi="Times New Roman" w:cs="Times New Roman"/>
          <w:b/>
          <w:bCs/>
          <w:noProof/>
          <w:sz w:val="24"/>
          <w:szCs w:val="24"/>
        </w:rPr>
      </w:pPr>
      <w:bookmarkStart w:id="1" w:name="_GoBack"/>
      <w:bookmarkEnd w:id="1"/>
      <w:r w:rsidRPr="0006330A">
        <w:rPr>
          <w:rFonts w:ascii="Times New Roman" w:hAnsi="Times New Roman"/>
          <w:b/>
          <w:noProof/>
          <w:sz w:val="24"/>
        </w:rPr>
        <w:lastRenderedPageBreak/>
        <w:t>RAPORT AL COMISIEI CĂTRE PARLAMENTUL EUROPEAN ȘI CONSILIU</w:t>
      </w:r>
    </w:p>
    <w:p w14:paraId="4C3B9844" w14:textId="3FF863CF" w:rsidR="00EC16B4" w:rsidRPr="0006330A" w:rsidRDefault="0020135D" w:rsidP="0020135D">
      <w:pPr>
        <w:jc w:val="center"/>
        <w:rPr>
          <w:rFonts w:ascii="Times New Roman" w:hAnsi="Times New Roman" w:cs="Times New Roman"/>
          <w:b/>
          <w:bCs/>
          <w:noProof/>
          <w:sz w:val="24"/>
          <w:szCs w:val="24"/>
        </w:rPr>
      </w:pPr>
      <w:r w:rsidRPr="0006330A">
        <w:rPr>
          <w:rFonts w:ascii="Times New Roman" w:hAnsi="Times New Roman"/>
          <w:b/>
          <w:noProof/>
          <w:sz w:val="24"/>
        </w:rPr>
        <w:t>Raportul 2019-2024 privind situația financiară a sistemului de asigurări de șomaj în beneficiul foștilor agenți temporari sau contractuali și al asistenților parlamentari care rămân fără loc de muncă după încetarea activității lor în cadrul unei instituții a Uniunii Europene</w:t>
      </w:r>
    </w:p>
    <w:p w14:paraId="6A42434A" w14:textId="77777777" w:rsidR="00146CB9" w:rsidRPr="0006330A" w:rsidRDefault="00146CB9" w:rsidP="0020135D">
      <w:pPr>
        <w:jc w:val="center"/>
        <w:rPr>
          <w:b/>
          <w:bCs/>
          <w:noProof/>
        </w:rPr>
      </w:pPr>
    </w:p>
    <w:sdt>
      <w:sdtPr>
        <w:rPr>
          <w:rFonts w:ascii="Times New Roman" w:hAnsi="Times New Roman" w:cs="Times New Roman"/>
          <w:b w:val="0"/>
          <w:bCs/>
          <w:sz w:val="24"/>
          <w:szCs w:val="24"/>
        </w:rPr>
        <w:id w:val="118719153"/>
        <w:docPartObj>
          <w:docPartGallery w:val="Table of Contents"/>
          <w:docPartUnique/>
        </w:docPartObj>
      </w:sdtPr>
      <w:sdtEndPr>
        <w:rPr>
          <w:b/>
        </w:rPr>
      </w:sdtEndPr>
      <w:sdtContent>
        <w:p w14:paraId="614D9CCF" w14:textId="554FC6AC" w:rsidR="00CA42F2" w:rsidRPr="0006330A" w:rsidRDefault="00C802F6">
          <w:pPr>
            <w:pStyle w:val="TOC1"/>
            <w:tabs>
              <w:tab w:val="left" w:pos="440"/>
            </w:tabs>
            <w:rPr>
              <w:rFonts w:ascii="Times New Roman" w:eastAsiaTheme="minorEastAsia" w:hAnsi="Times New Roman" w:cs="Times New Roman"/>
              <w:sz w:val="24"/>
              <w:szCs w:val="24"/>
              <w:lang w:val="en-IE" w:eastAsia="en-IE"/>
            </w:rPr>
          </w:pPr>
          <w:r w:rsidRPr="0006330A">
            <w:rPr>
              <w:rFonts w:ascii="Times New Roman" w:hAnsi="Times New Roman" w:cs="Times New Roman"/>
              <w:sz w:val="24"/>
            </w:rPr>
            <w:fldChar w:fldCharType="begin"/>
          </w:r>
          <w:r w:rsidRPr="0006330A">
            <w:rPr>
              <w:rFonts w:ascii="Times New Roman" w:hAnsi="Times New Roman" w:cs="Times New Roman"/>
              <w:sz w:val="24"/>
            </w:rPr>
            <w:instrText>TOC \o "1-3" \z \u \h</w:instrText>
          </w:r>
          <w:r w:rsidRPr="0006330A">
            <w:rPr>
              <w:rFonts w:ascii="Times New Roman" w:hAnsi="Times New Roman" w:cs="Times New Roman"/>
              <w:sz w:val="24"/>
            </w:rPr>
            <w:fldChar w:fldCharType="separate"/>
          </w:r>
          <w:hyperlink w:anchor="_Toc233306855" w:history="1">
            <w:r w:rsidR="00CA42F2" w:rsidRPr="0006330A">
              <w:rPr>
                <w:rStyle w:val="Hyperlink"/>
                <w:rFonts w:ascii="Times New Roman" w:hAnsi="Times New Roman" w:cs="Times New Roman"/>
                <w:sz w:val="24"/>
                <w:szCs w:val="24"/>
              </w:rPr>
              <w:t>1.</w:t>
            </w:r>
            <w:r w:rsidR="00CA42F2" w:rsidRPr="0006330A">
              <w:rPr>
                <w:rFonts w:ascii="Times New Roman" w:eastAsiaTheme="minorEastAsia" w:hAnsi="Times New Roman" w:cs="Times New Roman"/>
                <w:sz w:val="24"/>
                <w:szCs w:val="24"/>
                <w:lang w:val="en-IE" w:eastAsia="en-IE"/>
              </w:rPr>
              <w:tab/>
            </w:r>
            <w:r w:rsidR="00CA42F2" w:rsidRPr="0006330A">
              <w:rPr>
                <w:rStyle w:val="Hyperlink"/>
                <w:rFonts w:ascii="Times New Roman" w:hAnsi="Times New Roman" w:cs="Times New Roman"/>
                <w:sz w:val="24"/>
                <w:szCs w:val="24"/>
              </w:rPr>
              <w:t>Informații generale</w:t>
            </w:r>
            <w:r w:rsidR="00CA42F2" w:rsidRPr="0006330A">
              <w:rPr>
                <w:rFonts w:ascii="Times New Roman" w:hAnsi="Times New Roman" w:cs="Times New Roman"/>
                <w:webHidden/>
                <w:sz w:val="24"/>
                <w:szCs w:val="24"/>
              </w:rPr>
              <w:tab/>
            </w:r>
            <w:r w:rsidR="00CA42F2" w:rsidRPr="0006330A">
              <w:rPr>
                <w:rFonts w:ascii="Times New Roman" w:hAnsi="Times New Roman" w:cs="Times New Roman"/>
                <w:webHidden/>
                <w:sz w:val="24"/>
                <w:szCs w:val="24"/>
              </w:rPr>
              <w:fldChar w:fldCharType="begin"/>
            </w:r>
            <w:r w:rsidR="00CA42F2" w:rsidRPr="0006330A">
              <w:rPr>
                <w:rFonts w:ascii="Times New Roman" w:hAnsi="Times New Roman" w:cs="Times New Roman"/>
                <w:webHidden/>
                <w:sz w:val="24"/>
                <w:szCs w:val="24"/>
              </w:rPr>
              <w:instrText xml:space="preserve"> PAGEREF _Toc233306855 \h </w:instrText>
            </w:r>
            <w:r w:rsidR="00CA42F2" w:rsidRPr="0006330A">
              <w:rPr>
                <w:rFonts w:ascii="Times New Roman" w:hAnsi="Times New Roman" w:cs="Times New Roman"/>
                <w:webHidden/>
                <w:sz w:val="24"/>
                <w:szCs w:val="24"/>
              </w:rPr>
            </w:r>
            <w:r w:rsidR="00CA42F2" w:rsidRPr="0006330A">
              <w:rPr>
                <w:rFonts w:ascii="Times New Roman" w:hAnsi="Times New Roman" w:cs="Times New Roman"/>
                <w:webHidden/>
                <w:sz w:val="24"/>
                <w:szCs w:val="24"/>
              </w:rPr>
              <w:fldChar w:fldCharType="separate"/>
            </w:r>
            <w:r w:rsidR="006522B9">
              <w:rPr>
                <w:rFonts w:ascii="Times New Roman" w:hAnsi="Times New Roman" w:cs="Times New Roman"/>
                <w:webHidden/>
                <w:sz w:val="24"/>
                <w:szCs w:val="24"/>
              </w:rPr>
              <w:t>2</w:t>
            </w:r>
            <w:r w:rsidR="00CA42F2" w:rsidRPr="0006330A">
              <w:rPr>
                <w:rFonts w:ascii="Times New Roman" w:hAnsi="Times New Roman" w:cs="Times New Roman"/>
                <w:webHidden/>
                <w:sz w:val="24"/>
                <w:szCs w:val="24"/>
              </w:rPr>
              <w:fldChar w:fldCharType="end"/>
            </w:r>
          </w:hyperlink>
        </w:p>
        <w:p w14:paraId="79859766" w14:textId="468A866E" w:rsidR="00CA42F2" w:rsidRPr="00836ADC" w:rsidRDefault="00BA5AF2" w:rsidP="00836ADC">
          <w:pPr>
            <w:pStyle w:val="TOC2"/>
            <w:rPr>
              <w:rFonts w:eastAsiaTheme="minorEastAsia"/>
              <w:lang w:val="en-IE" w:eastAsia="en-IE"/>
            </w:rPr>
          </w:pPr>
          <w:hyperlink w:anchor="_Toc233306856" w:history="1">
            <w:r w:rsidR="00CA42F2" w:rsidRPr="00836ADC">
              <w:rPr>
                <w:rStyle w:val="Hyperlink"/>
                <w:b w:val="0"/>
                <w:bCs w:val="0"/>
              </w:rPr>
              <w:t>1.1</w:t>
            </w:r>
            <w:r w:rsidR="00CA42F2" w:rsidRPr="00836ADC">
              <w:rPr>
                <w:rFonts w:eastAsiaTheme="minorEastAsia"/>
                <w:lang w:val="en-IE" w:eastAsia="en-IE"/>
              </w:rPr>
              <w:tab/>
            </w:r>
            <w:r w:rsidR="00CA42F2" w:rsidRPr="00836ADC">
              <w:rPr>
                <w:rStyle w:val="Hyperlink"/>
                <w:b w:val="0"/>
                <w:bCs w:val="0"/>
              </w:rPr>
              <w:t>Structura raportului</w:t>
            </w:r>
            <w:r w:rsidR="00CA42F2" w:rsidRPr="00836ADC">
              <w:rPr>
                <w:webHidden/>
              </w:rPr>
              <w:tab/>
            </w:r>
            <w:r w:rsidR="00CA42F2" w:rsidRPr="00836ADC">
              <w:rPr>
                <w:webHidden/>
              </w:rPr>
              <w:fldChar w:fldCharType="begin"/>
            </w:r>
            <w:r w:rsidR="00CA42F2" w:rsidRPr="00836ADC">
              <w:rPr>
                <w:webHidden/>
              </w:rPr>
              <w:instrText xml:space="preserve"> PAGEREF _Toc233306856 \h </w:instrText>
            </w:r>
            <w:r w:rsidR="00CA42F2" w:rsidRPr="00836ADC">
              <w:rPr>
                <w:webHidden/>
              </w:rPr>
            </w:r>
            <w:r w:rsidR="00CA42F2" w:rsidRPr="00836ADC">
              <w:rPr>
                <w:webHidden/>
              </w:rPr>
              <w:fldChar w:fldCharType="separate"/>
            </w:r>
            <w:r w:rsidR="006522B9" w:rsidRPr="00836ADC">
              <w:rPr>
                <w:webHidden/>
              </w:rPr>
              <w:t>2</w:t>
            </w:r>
            <w:r w:rsidR="00CA42F2" w:rsidRPr="00836ADC">
              <w:rPr>
                <w:webHidden/>
              </w:rPr>
              <w:fldChar w:fldCharType="end"/>
            </w:r>
          </w:hyperlink>
        </w:p>
        <w:p w14:paraId="150E1AF8" w14:textId="4A4E30F7" w:rsidR="00CA42F2" w:rsidRPr="0006330A" w:rsidRDefault="00BA5AF2">
          <w:pPr>
            <w:pStyle w:val="TOC1"/>
            <w:rPr>
              <w:rFonts w:ascii="Times New Roman" w:eastAsiaTheme="minorEastAsia" w:hAnsi="Times New Roman" w:cs="Times New Roman"/>
              <w:sz w:val="24"/>
              <w:szCs w:val="24"/>
              <w:lang w:val="en-IE" w:eastAsia="en-IE"/>
            </w:rPr>
          </w:pPr>
          <w:hyperlink w:anchor="_Toc233306857" w:history="1">
            <w:r w:rsidR="00CA42F2" w:rsidRPr="0006330A">
              <w:rPr>
                <w:rStyle w:val="Hyperlink"/>
                <w:rFonts w:ascii="Times New Roman" w:hAnsi="Times New Roman" w:cs="Times New Roman"/>
                <w:sz w:val="24"/>
                <w:szCs w:val="24"/>
              </w:rPr>
              <w:t>2. Cadrul de reglementare</w:t>
            </w:r>
            <w:r w:rsidR="00CA42F2" w:rsidRPr="0006330A">
              <w:rPr>
                <w:rFonts w:ascii="Times New Roman" w:hAnsi="Times New Roman" w:cs="Times New Roman"/>
                <w:webHidden/>
                <w:sz w:val="24"/>
                <w:szCs w:val="24"/>
              </w:rPr>
              <w:tab/>
            </w:r>
            <w:r w:rsidR="00CA42F2" w:rsidRPr="0006330A">
              <w:rPr>
                <w:rFonts w:ascii="Times New Roman" w:hAnsi="Times New Roman" w:cs="Times New Roman"/>
                <w:webHidden/>
                <w:sz w:val="24"/>
                <w:szCs w:val="24"/>
              </w:rPr>
              <w:fldChar w:fldCharType="begin"/>
            </w:r>
            <w:r w:rsidR="00CA42F2" w:rsidRPr="0006330A">
              <w:rPr>
                <w:rFonts w:ascii="Times New Roman" w:hAnsi="Times New Roman" w:cs="Times New Roman"/>
                <w:webHidden/>
                <w:sz w:val="24"/>
                <w:szCs w:val="24"/>
              </w:rPr>
              <w:instrText xml:space="preserve"> PAGEREF _Toc233306857 \h </w:instrText>
            </w:r>
            <w:r w:rsidR="00CA42F2" w:rsidRPr="0006330A">
              <w:rPr>
                <w:rFonts w:ascii="Times New Roman" w:hAnsi="Times New Roman" w:cs="Times New Roman"/>
                <w:webHidden/>
                <w:sz w:val="24"/>
                <w:szCs w:val="24"/>
              </w:rPr>
            </w:r>
            <w:r w:rsidR="00CA42F2" w:rsidRPr="0006330A">
              <w:rPr>
                <w:rFonts w:ascii="Times New Roman" w:hAnsi="Times New Roman" w:cs="Times New Roman"/>
                <w:webHidden/>
                <w:sz w:val="24"/>
                <w:szCs w:val="24"/>
              </w:rPr>
              <w:fldChar w:fldCharType="separate"/>
            </w:r>
            <w:r w:rsidR="006522B9">
              <w:rPr>
                <w:rFonts w:ascii="Times New Roman" w:hAnsi="Times New Roman" w:cs="Times New Roman"/>
                <w:webHidden/>
                <w:sz w:val="24"/>
                <w:szCs w:val="24"/>
              </w:rPr>
              <w:t>4</w:t>
            </w:r>
            <w:r w:rsidR="00CA42F2" w:rsidRPr="0006330A">
              <w:rPr>
                <w:rFonts w:ascii="Times New Roman" w:hAnsi="Times New Roman" w:cs="Times New Roman"/>
                <w:webHidden/>
                <w:sz w:val="24"/>
                <w:szCs w:val="24"/>
              </w:rPr>
              <w:fldChar w:fldCharType="end"/>
            </w:r>
          </w:hyperlink>
        </w:p>
        <w:p w14:paraId="592D59C2" w14:textId="2DBDF3E5" w:rsidR="00CA42F2" w:rsidRPr="00836ADC" w:rsidRDefault="00BA5AF2" w:rsidP="00836ADC">
          <w:pPr>
            <w:pStyle w:val="TOC2"/>
            <w:rPr>
              <w:rFonts w:eastAsiaTheme="minorEastAsia"/>
              <w:lang w:val="en-IE" w:eastAsia="en-IE"/>
            </w:rPr>
          </w:pPr>
          <w:hyperlink w:anchor="_Toc233306858" w:history="1">
            <w:r w:rsidR="00CA42F2" w:rsidRPr="00836ADC">
              <w:rPr>
                <w:rStyle w:val="Hyperlink"/>
                <w:b w:val="0"/>
                <w:bCs w:val="0"/>
              </w:rPr>
              <w:t>2.1</w:t>
            </w:r>
            <w:r w:rsidR="00CA42F2" w:rsidRPr="00836ADC">
              <w:rPr>
                <w:rFonts w:eastAsiaTheme="minorEastAsia"/>
                <w:lang w:val="en-IE" w:eastAsia="en-IE"/>
              </w:rPr>
              <w:tab/>
            </w:r>
            <w:r w:rsidR="00CA42F2" w:rsidRPr="00836ADC">
              <w:rPr>
                <w:rStyle w:val="Hyperlink"/>
                <w:b w:val="0"/>
                <w:bCs w:val="0"/>
              </w:rPr>
              <w:t>Cadrul juridic</w:t>
            </w:r>
            <w:r w:rsidR="00CA42F2" w:rsidRPr="00836ADC">
              <w:rPr>
                <w:webHidden/>
              </w:rPr>
              <w:tab/>
            </w:r>
            <w:r w:rsidR="00CA42F2" w:rsidRPr="00836ADC">
              <w:rPr>
                <w:webHidden/>
              </w:rPr>
              <w:fldChar w:fldCharType="begin"/>
            </w:r>
            <w:r w:rsidR="00CA42F2" w:rsidRPr="00836ADC">
              <w:rPr>
                <w:webHidden/>
              </w:rPr>
              <w:instrText xml:space="preserve"> PAGEREF _Toc233306858 \h </w:instrText>
            </w:r>
            <w:r w:rsidR="00CA42F2" w:rsidRPr="00836ADC">
              <w:rPr>
                <w:webHidden/>
              </w:rPr>
            </w:r>
            <w:r w:rsidR="00CA42F2" w:rsidRPr="00836ADC">
              <w:rPr>
                <w:webHidden/>
              </w:rPr>
              <w:fldChar w:fldCharType="separate"/>
            </w:r>
            <w:r w:rsidR="006522B9" w:rsidRPr="00836ADC">
              <w:rPr>
                <w:webHidden/>
              </w:rPr>
              <w:t>4</w:t>
            </w:r>
            <w:r w:rsidR="00CA42F2" w:rsidRPr="00836ADC">
              <w:rPr>
                <w:webHidden/>
              </w:rPr>
              <w:fldChar w:fldCharType="end"/>
            </w:r>
          </w:hyperlink>
        </w:p>
        <w:p w14:paraId="3BD95420" w14:textId="5098F7B6" w:rsidR="00CA42F2" w:rsidRPr="00836ADC" w:rsidRDefault="00BA5AF2" w:rsidP="00836ADC">
          <w:pPr>
            <w:pStyle w:val="TOC2"/>
            <w:rPr>
              <w:rFonts w:eastAsiaTheme="minorEastAsia"/>
              <w:lang w:val="en-IE" w:eastAsia="en-IE"/>
            </w:rPr>
          </w:pPr>
          <w:hyperlink w:anchor="_Toc233306859" w:history="1">
            <w:r w:rsidR="00CA42F2" w:rsidRPr="00836ADC">
              <w:rPr>
                <w:rStyle w:val="Hyperlink"/>
                <w:b w:val="0"/>
                <w:bCs w:val="0"/>
              </w:rPr>
              <w:t>2.2 Descrierea sistemului</w:t>
            </w:r>
            <w:r w:rsidR="00CA42F2" w:rsidRPr="00836ADC">
              <w:rPr>
                <w:webHidden/>
              </w:rPr>
              <w:tab/>
            </w:r>
            <w:r w:rsidR="00CA42F2" w:rsidRPr="00836ADC">
              <w:rPr>
                <w:webHidden/>
              </w:rPr>
              <w:fldChar w:fldCharType="begin"/>
            </w:r>
            <w:r w:rsidR="00CA42F2" w:rsidRPr="00836ADC">
              <w:rPr>
                <w:webHidden/>
              </w:rPr>
              <w:instrText xml:space="preserve"> PAGEREF _Toc233306859 \h </w:instrText>
            </w:r>
            <w:r w:rsidR="00CA42F2" w:rsidRPr="00836ADC">
              <w:rPr>
                <w:webHidden/>
              </w:rPr>
            </w:r>
            <w:r w:rsidR="00CA42F2" w:rsidRPr="00836ADC">
              <w:rPr>
                <w:webHidden/>
              </w:rPr>
              <w:fldChar w:fldCharType="separate"/>
            </w:r>
            <w:r w:rsidR="006522B9" w:rsidRPr="00836ADC">
              <w:rPr>
                <w:webHidden/>
              </w:rPr>
              <w:t>4</w:t>
            </w:r>
            <w:r w:rsidR="00CA42F2" w:rsidRPr="00836ADC">
              <w:rPr>
                <w:webHidden/>
              </w:rPr>
              <w:fldChar w:fldCharType="end"/>
            </w:r>
          </w:hyperlink>
        </w:p>
        <w:p w14:paraId="1B7D11A4" w14:textId="07617ECC" w:rsidR="00CA42F2" w:rsidRPr="0006330A" w:rsidRDefault="00BA5AF2">
          <w:pPr>
            <w:pStyle w:val="TOC1"/>
            <w:rPr>
              <w:rFonts w:ascii="Times New Roman" w:eastAsiaTheme="minorEastAsia" w:hAnsi="Times New Roman" w:cs="Times New Roman"/>
              <w:sz w:val="24"/>
              <w:szCs w:val="24"/>
              <w:lang w:val="en-IE" w:eastAsia="en-IE"/>
            </w:rPr>
          </w:pPr>
          <w:hyperlink w:anchor="_Toc233306860" w:history="1">
            <w:r w:rsidR="00CA42F2" w:rsidRPr="0006330A">
              <w:rPr>
                <w:rStyle w:val="Hyperlink"/>
                <w:rFonts w:ascii="Times New Roman" w:hAnsi="Times New Roman" w:cs="Times New Roman"/>
                <w:sz w:val="24"/>
                <w:szCs w:val="24"/>
              </w:rPr>
              <w:t xml:space="preserve">3. </w:t>
            </w:r>
            <w:r w:rsidR="00CA42F2" w:rsidRPr="0006330A">
              <w:rPr>
                <w:rStyle w:val="Hyperlink"/>
                <w:rFonts w:ascii="Times New Roman" w:hAnsi="Times New Roman" w:cs="Times New Roman"/>
                <w:spacing w:val="-4"/>
                <w:sz w:val="24"/>
                <w:szCs w:val="24"/>
              </w:rPr>
              <w:t>Poziția financiară și soldul de numerar ale Fondului de șomaj în perioada 2019­-2024</w:t>
            </w:r>
            <w:r w:rsidR="00CA42F2" w:rsidRPr="0006330A">
              <w:rPr>
                <w:rFonts w:ascii="Times New Roman" w:hAnsi="Times New Roman" w:cs="Times New Roman"/>
                <w:webHidden/>
                <w:sz w:val="24"/>
                <w:szCs w:val="24"/>
              </w:rPr>
              <w:tab/>
            </w:r>
            <w:r w:rsidR="00CA42F2" w:rsidRPr="0006330A">
              <w:rPr>
                <w:rFonts w:ascii="Times New Roman" w:hAnsi="Times New Roman" w:cs="Times New Roman"/>
                <w:webHidden/>
                <w:sz w:val="24"/>
                <w:szCs w:val="24"/>
              </w:rPr>
              <w:fldChar w:fldCharType="begin"/>
            </w:r>
            <w:r w:rsidR="00CA42F2" w:rsidRPr="0006330A">
              <w:rPr>
                <w:rFonts w:ascii="Times New Roman" w:hAnsi="Times New Roman" w:cs="Times New Roman"/>
                <w:webHidden/>
                <w:sz w:val="24"/>
                <w:szCs w:val="24"/>
              </w:rPr>
              <w:instrText xml:space="preserve"> PAGEREF _Toc233306860 \h </w:instrText>
            </w:r>
            <w:r w:rsidR="00CA42F2" w:rsidRPr="0006330A">
              <w:rPr>
                <w:rFonts w:ascii="Times New Roman" w:hAnsi="Times New Roman" w:cs="Times New Roman"/>
                <w:webHidden/>
                <w:sz w:val="24"/>
                <w:szCs w:val="24"/>
              </w:rPr>
            </w:r>
            <w:r w:rsidR="00CA42F2" w:rsidRPr="0006330A">
              <w:rPr>
                <w:rFonts w:ascii="Times New Roman" w:hAnsi="Times New Roman" w:cs="Times New Roman"/>
                <w:webHidden/>
                <w:sz w:val="24"/>
                <w:szCs w:val="24"/>
              </w:rPr>
              <w:fldChar w:fldCharType="separate"/>
            </w:r>
            <w:r w:rsidR="006522B9">
              <w:rPr>
                <w:rFonts w:ascii="Times New Roman" w:hAnsi="Times New Roman" w:cs="Times New Roman"/>
                <w:webHidden/>
                <w:sz w:val="24"/>
                <w:szCs w:val="24"/>
              </w:rPr>
              <w:t>5</w:t>
            </w:r>
            <w:r w:rsidR="00CA42F2" w:rsidRPr="0006330A">
              <w:rPr>
                <w:rFonts w:ascii="Times New Roman" w:hAnsi="Times New Roman" w:cs="Times New Roman"/>
                <w:webHidden/>
                <w:sz w:val="24"/>
                <w:szCs w:val="24"/>
              </w:rPr>
              <w:fldChar w:fldCharType="end"/>
            </w:r>
          </w:hyperlink>
        </w:p>
        <w:p w14:paraId="281A7508" w14:textId="02BD9CA1" w:rsidR="00CA42F2" w:rsidRPr="00836ADC" w:rsidRDefault="00BA5AF2" w:rsidP="00836ADC">
          <w:pPr>
            <w:pStyle w:val="TOC2"/>
            <w:rPr>
              <w:rFonts w:eastAsiaTheme="minorEastAsia"/>
              <w:lang w:val="en-IE" w:eastAsia="en-IE"/>
            </w:rPr>
          </w:pPr>
          <w:hyperlink w:anchor="_Toc233306861" w:history="1">
            <w:r w:rsidR="00CA42F2" w:rsidRPr="00836ADC">
              <w:rPr>
                <w:rStyle w:val="Hyperlink"/>
                <w:b w:val="0"/>
                <w:bCs w:val="0"/>
              </w:rPr>
              <w:t>3.1 Soldul de numerar: profituri din exploatare și solduri cumulate (2019-2024)</w:t>
            </w:r>
            <w:r w:rsidR="00CA42F2" w:rsidRPr="00836ADC">
              <w:rPr>
                <w:webHidden/>
              </w:rPr>
              <w:tab/>
            </w:r>
            <w:r w:rsidR="00CA42F2" w:rsidRPr="00836ADC">
              <w:rPr>
                <w:webHidden/>
              </w:rPr>
              <w:fldChar w:fldCharType="begin"/>
            </w:r>
            <w:r w:rsidR="00CA42F2" w:rsidRPr="00836ADC">
              <w:rPr>
                <w:webHidden/>
              </w:rPr>
              <w:instrText xml:space="preserve"> PAGEREF _Toc233306861 \h </w:instrText>
            </w:r>
            <w:r w:rsidR="00CA42F2" w:rsidRPr="00836ADC">
              <w:rPr>
                <w:webHidden/>
              </w:rPr>
            </w:r>
            <w:r w:rsidR="00CA42F2" w:rsidRPr="00836ADC">
              <w:rPr>
                <w:webHidden/>
              </w:rPr>
              <w:fldChar w:fldCharType="separate"/>
            </w:r>
            <w:r w:rsidR="006522B9" w:rsidRPr="00836ADC">
              <w:rPr>
                <w:webHidden/>
              </w:rPr>
              <w:t>6</w:t>
            </w:r>
            <w:r w:rsidR="00CA42F2" w:rsidRPr="00836ADC">
              <w:rPr>
                <w:webHidden/>
              </w:rPr>
              <w:fldChar w:fldCharType="end"/>
            </w:r>
          </w:hyperlink>
        </w:p>
        <w:p w14:paraId="504D6272" w14:textId="3B2D8764" w:rsidR="00CA42F2" w:rsidRPr="00836ADC" w:rsidRDefault="00BA5AF2" w:rsidP="00836ADC">
          <w:pPr>
            <w:pStyle w:val="TOC2"/>
            <w:rPr>
              <w:rFonts w:eastAsiaTheme="minorEastAsia"/>
              <w:lang w:val="en-IE" w:eastAsia="en-IE"/>
            </w:rPr>
          </w:pPr>
          <w:hyperlink w:anchor="_Toc233306863" w:history="1">
            <w:r w:rsidR="00CA42F2" w:rsidRPr="00836ADC">
              <w:rPr>
                <w:rStyle w:val="Hyperlink"/>
                <w:b w:val="0"/>
                <w:bCs w:val="0"/>
              </w:rPr>
              <w:t>3.2 Situația financiară: profit din exploatare (2019-2024)</w:t>
            </w:r>
            <w:r w:rsidR="00CA42F2" w:rsidRPr="00836ADC">
              <w:rPr>
                <w:webHidden/>
              </w:rPr>
              <w:tab/>
            </w:r>
            <w:r w:rsidR="00CA42F2" w:rsidRPr="00836ADC">
              <w:rPr>
                <w:webHidden/>
              </w:rPr>
              <w:fldChar w:fldCharType="begin"/>
            </w:r>
            <w:r w:rsidR="00CA42F2" w:rsidRPr="00836ADC">
              <w:rPr>
                <w:webHidden/>
              </w:rPr>
              <w:instrText xml:space="preserve"> PAGEREF _Toc233306863 \h </w:instrText>
            </w:r>
            <w:r w:rsidR="00CA42F2" w:rsidRPr="00836ADC">
              <w:rPr>
                <w:webHidden/>
              </w:rPr>
            </w:r>
            <w:r w:rsidR="00CA42F2" w:rsidRPr="00836ADC">
              <w:rPr>
                <w:webHidden/>
              </w:rPr>
              <w:fldChar w:fldCharType="separate"/>
            </w:r>
            <w:r w:rsidR="006522B9" w:rsidRPr="00836ADC">
              <w:rPr>
                <w:webHidden/>
              </w:rPr>
              <w:t>7</w:t>
            </w:r>
            <w:r w:rsidR="00CA42F2" w:rsidRPr="00836ADC">
              <w:rPr>
                <w:webHidden/>
              </w:rPr>
              <w:fldChar w:fldCharType="end"/>
            </w:r>
          </w:hyperlink>
        </w:p>
        <w:p w14:paraId="43C68282" w14:textId="502B33C8" w:rsidR="00CA42F2" w:rsidRPr="00836ADC" w:rsidRDefault="00BA5AF2" w:rsidP="00836ADC">
          <w:pPr>
            <w:pStyle w:val="TOC2"/>
            <w:rPr>
              <w:rFonts w:eastAsiaTheme="minorEastAsia"/>
              <w:lang w:val="en-IE" w:eastAsia="en-IE"/>
            </w:rPr>
          </w:pPr>
          <w:hyperlink w:anchor="_Toc233306864" w:history="1">
            <w:r w:rsidR="00CA42F2" w:rsidRPr="00836ADC">
              <w:rPr>
                <w:rStyle w:val="Hyperlink"/>
                <w:b w:val="0"/>
                <w:bCs w:val="0"/>
              </w:rPr>
              <w:t>3.3 Profit din exploatare (2019-2024)</w:t>
            </w:r>
            <w:r w:rsidR="00CA42F2" w:rsidRPr="00836ADC">
              <w:rPr>
                <w:webHidden/>
              </w:rPr>
              <w:tab/>
            </w:r>
            <w:r w:rsidR="00CA42F2" w:rsidRPr="00836ADC">
              <w:rPr>
                <w:webHidden/>
              </w:rPr>
              <w:fldChar w:fldCharType="begin"/>
            </w:r>
            <w:r w:rsidR="00CA42F2" w:rsidRPr="00836ADC">
              <w:rPr>
                <w:webHidden/>
              </w:rPr>
              <w:instrText xml:space="preserve"> PAGEREF _Toc233306864 \h </w:instrText>
            </w:r>
            <w:r w:rsidR="00CA42F2" w:rsidRPr="00836ADC">
              <w:rPr>
                <w:webHidden/>
              </w:rPr>
            </w:r>
            <w:r w:rsidR="00CA42F2" w:rsidRPr="00836ADC">
              <w:rPr>
                <w:webHidden/>
              </w:rPr>
              <w:fldChar w:fldCharType="separate"/>
            </w:r>
            <w:r w:rsidR="006522B9" w:rsidRPr="00836ADC">
              <w:rPr>
                <w:webHidden/>
              </w:rPr>
              <w:t>8</w:t>
            </w:r>
            <w:r w:rsidR="00CA42F2" w:rsidRPr="00836ADC">
              <w:rPr>
                <w:webHidden/>
              </w:rPr>
              <w:fldChar w:fldCharType="end"/>
            </w:r>
          </w:hyperlink>
        </w:p>
        <w:p w14:paraId="31899FED" w14:textId="27795E03" w:rsidR="00CA42F2" w:rsidRPr="00836ADC" w:rsidRDefault="00BA5AF2" w:rsidP="00836ADC">
          <w:pPr>
            <w:pStyle w:val="TOC2"/>
            <w:rPr>
              <w:rFonts w:eastAsiaTheme="minorEastAsia"/>
              <w:lang w:val="en-IE" w:eastAsia="en-IE"/>
            </w:rPr>
          </w:pPr>
          <w:hyperlink w:anchor="_Toc233306865" w:history="1">
            <w:r w:rsidR="00CA42F2" w:rsidRPr="00836ADC">
              <w:rPr>
                <w:rStyle w:val="Hyperlink"/>
                <w:b w:val="0"/>
                <w:bCs w:val="0"/>
              </w:rPr>
              <w:t>3.4 Situația financiară: defalcarea cheltuielilor și a veniturilor</w:t>
            </w:r>
            <w:r w:rsidR="00CA42F2" w:rsidRPr="00836ADC">
              <w:rPr>
                <w:webHidden/>
              </w:rPr>
              <w:tab/>
            </w:r>
            <w:r w:rsidR="00CA42F2" w:rsidRPr="00836ADC">
              <w:rPr>
                <w:webHidden/>
              </w:rPr>
              <w:fldChar w:fldCharType="begin"/>
            </w:r>
            <w:r w:rsidR="00CA42F2" w:rsidRPr="00836ADC">
              <w:rPr>
                <w:webHidden/>
              </w:rPr>
              <w:instrText xml:space="preserve"> PAGEREF _Toc233306865 \h </w:instrText>
            </w:r>
            <w:r w:rsidR="00CA42F2" w:rsidRPr="00836ADC">
              <w:rPr>
                <w:webHidden/>
              </w:rPr>
            </w:r>
            <w:r w:rsidR="00CA42F2" w:rsidRPr="00836ADC">
              <w:rPr>
                <w:webHidden/>
              </w:rPr>
              <w:fldChar w:fldCharType="separate"/>
            </w:r>
            <w:r w:rsidR="006522B9" w:rsidRPr="00836ADC">
              <w:rPr>
                <w:webHidden/>
              </w:rPr>
              <w:t>9</w:t>
            </w:r>
            <w:r w:rsidR="00CA42F2" w:rsidRPr="00836ADC">
              <w:rPr>
                <w:webHidden/>
              </w:rPr>
              <w:fldChar w:fldCharType="end"/>
            </w:r>
          </w:hyperlink>
        </w:p>
        <w:p w14:paraId="07C913C1" w14:textId="2696B29E" w:rsidR="00CA42F2" w:rsidRPr="0006330A" w:rsidRDefault="00BA5AF2">
          <w:pPr>
            <w:pStyle w:val="TOC1"/>
            <w:rPr>
              <w:rFonts w:ascii="Times New Roman" w:eastAsiaTheme="minorEastAsia" w:hAnsi="Times New Roman" w:cs="Times New Roman"/>
              <w:sz w:val="24"/>
              <w:szCs w:val="24"/>
              <w:lang w:val="en-IE" w:eastAsia="en-IE"/>
            </w:rPr>
          </w:pPr>
          <w:hyperlink w:anchor="_Toc233306866" w:history="1">
            <w:r w:rsidR="00CA42F2" w:rsidRPr="0006330A">
              <w:rPr>
                <w:rStyle w:val="Hyperlink"/>
                <w:rFonts w:ascii="Times New Roman" w:hAnsi="Times New Roman" w:cs="Times New Roman"/>
                <w:sz w:val="24"/>
                <w:szCs w:val="24"/>
              </w:rPr>
              <w:t>4. Analiza privind persoanele asigurate, beneficiarii și indemnizațiile plătite</w:t>
            </w:r>
            <w:r w:rsidR="00CA42F2" w:rsidRPr="0006330A">
              <w:rPr>
                <w:rFonts w:ascii="Times New Roman" w:hAnsi="Times New Roman" w:cs="Times New Roman"/>
                <w:webHidden/>
                <w:sz w:val="24"/>
                <w:szCs w:val="24"/>
              </w:rPr>
              <w:tab/>
            </w:r>
            <w:r w:rsidR="00CA42F2" w:rsidRPr="0006330A">
              <w:rPr>
                <w:rFonts w:ascii="Times New Roman" w:hAnsi="Times New Roman" w:cs="Times New Roman"/>
                <w:webHidden/>
                <w:sz w:val="24"/>
                <w:szCs w:val="24"/>
              </w:rPr>
              <w:fldChar w:fldCharType="begin"/>
            </w:r>
            <w:r w:rsidR="00CA42F2" w:rsidRPr="0006330A">
              <w:rPr>
                <w:rFonts w:ascii="Times New Roman" w:hAnsi="Times New Roman" w:cs="Times New Roman"/>
                <w:webHidden/>
                <w:sz w:val="24"/>
                <w:szCs w:val="24"/>
              </w:rPr>
              <w:instrText xml:space="preserve"> PAGEREF _Toc233306866 \h </w:instrText>
            </w:r>
            <w:r w:rsidR="00CA42F2" w:rsidRPr="0006330A">
              <w:rPr>
                <w:rFonts w:ascii="Times New Roman" w:hAnsi="Times New Roman" w:cs="Times New Roman"/>
                <w:webHidden/>
                <w:sz w:val="24"/>
                <w:szCs w:val="24"/>
              </w:rPr>
            </w:r>
            <w:r w:rsidR="00CA42F2" w:rsidRPr="0006330A">
              <w:rPr>
                <w:rFonts w:ascii="Times New Roman" w:hAnsi="Times New Roman" w:cs="Times New Roman"/>
                <w:webHidden/>
                <w:sz w:val="24"/>
                <w:szCs w:val="24"/>
              </w:rPr>
              <w:fldChar w:fldCharType="separate"/>
            </w:r>
            <w:r w:rsidR="006522B9">
              <w:rPr>
                <w:rFonts w:ascii="Times New Roman" w:hAnsi="Times New Roman" w:cs="Times New Roman"/>
                <w:webHidden/>
                <w:sz w:val="24"/>
                <w:szCs w:val="24"/>
              </w:rPr>
              <w:t>10</w:t>
            </w:r>
            <w:r w:rsidR="00CA42F2" w:rsidRPr="0006330A">
              <w:rPr>
                <w:rFonts w:ascii="Times New Roman" w:hAnsi="Times New Roman" w:cs="Times New Roman"/>
                <w:webHidden/>
                <w:sz w:val="24"/>
                <w:szCs w:val="24"/>
              </w:rPr>
              <w:fldChar w:fldCharType="end"/>
            </w:r>
          </w:hyperlink>
        </w:p>
        <w:p w14:paraId="48077F9F" w14:textId="1991116D" w:rsidR="00CA42F2" w:rsidRPr="00836ADC" w:rsidRDefault="00BA5AF2" w:rsidP="00836ADC">
          <w:pPr>
            <w:pStyle w:val="TOC2"/>
            <w:rPr>
              <w:rFonts w:eastAsiaTheme="minorEastAsia"/>
              <w:lang w:val="en-IE" w:eastAsia="en-IE"/>
            </w:rPr>
          </w:pPr>
          <w:hyperlink w:anchor="_Toc233306867" w:history="1">
            <w:r w:rsidR="00CA42F2" w:rsidRPr="00836ADC">
              <w:rPr>
                <w:rStyle w:val="Hyperlink"/>
                <w:b w:val="0"/>
                <w:bCs w:val="0"/>
              </w:rPr>
              <w:t>4.1 Aspecte metodologice</w:t>
            </w:r>
            <w:r w:rsidR="00CA42F2" w:rsidRPr="00836ADC">
              <w:rPr>
                <w:webHidden/>
              </w:rPr>
              <w:tab/>
            </w:r>
            <w:r w:rsidR="00CA42F2" w:rsidRPr="00836ADC">
              <w:rPr>
                <w:webHidden/>
              </w:rPr>
              <w:fldChar w:fldCharType="begin"/>
            </w:r>
            <w:r w:rsidR="00CA42F2" w:rsidRPr="00836ADC">
              <w:rPr>
                <w:webHidden/>
              </w:rPr>
              <w:instrText xml:space="preserve"> PAGEREF _Toc233306867 \h </w:instrText>
            </w:r>
            <w:r w:rsidR="00CA42F2" w:rsidRPr="00836ADC">
              <w:rPr>
                <w:webHidden/>
              </w:rPr>
            </w:r>
            <w:r w:rsidR="00CA42F2" w:rsidRPr="00836ADC">
              <w:rPr>
                <w:webHidden/>
              </w:rPr>
              <w:fldChar w:fldCharType="separate"/>
            </w:r>
            <w:r w:rsidR="006522B9" w:rsidRPr="00836ADC">
              <w:rPr>
                <w:webHidden/>
              </w:rPr>
              <w:t>10</w:t>
            </w:r>
            <w:r w:rsidR="00CA42F2" w:rsidRPr="00836ADC">
              <w:rPr>
                <w:webHidden/>
              </w:rPr>
              <w:fldChar w:fldCharType="end"/>
            </w:r>
          </w:hyperlink>
        </w:p>
        <w:p w14:paraId="62B7CC8E" w14:textId="607A8B4C" w:rsidR="00CA42F2" w:rsidRPr="00836ADC" w:rsidRDefault="00BA5AF2" w:rsidP="00836ADC">
          <w:pPr>
            <w:pStyle w:val="TOC2"/>
            <w:rPr>
              <w:rFonts w:eastAsiaTheme="minorEastAsia"/>
              <w:lang w:val="en-IE" w:eastAsia="en-IE"/>
            </w:rPr>
          </w:pPr>
          <w:hyperlink w:anchor="_Toc233306868" w:history="1">
            <w:r w:rsidR="00CA42F2" w:rsidRPr="00836ADC">
              <w:rPr>
                <w:rStyle w:val="Hyperlink"/>
                <w:b w:val="0"/>
                <w:bCs w:val="0"/>
              </w:rPr>
              <w:t>4.2. Numărul de persoane asigurate</w:t>
            </w:r>
            <w:r w:rsidR="00CA42F2" w:rsidRPr="00836ADC">
              <w:rPr>
                <w:webHidden/>
              </w:rPr>
              <w:tab/>
            </w:r>
            <w:r w:rsidR="00CA42F2" w:rsidRPr="00836ADC">
              <w:rPr>
                <w:webHidden/>
              </w:rPr>
              <w:fldChar w:fldCharType="begin"/>
            </w:r>
            <w:r w:rsidR="00CA42F2" w:rsidRPr="00836ADC">
              <w:rPr>
                <w:webHidden/>
              </w:rPr>
              <w:instrText xml:space="preserve"> PAGEREF _Toc233306868 \h </w:instrText>
            </w:r>
            <w:r w:rsidR="00CA42F2" w:rsidRPr="00836ADC">
              <w:rPr>
                <w:webHidden/>
              </w:rPr>
            </w:r>
            <w:r w:rsidR="00CA42F2" w:rsidRPr="00836ADC">
              <w:rPr>
                <w:webHidden/>
              </w:rPr>
              <w:fldChar w:fldCharType="separate"/>
            </w:r>
            <w:r w:rsidR="006522B9" w:rsidRPr="00836ADC">
              <w:rPr>
                <w:webHidden/>
              </w:rPr>
              <w:t>10</w:t>
            </w:r>
            <w:r w:rsidR="00CA42F2" w:rsidRPr="00836ADC">
              <w:rPr>
                <w:webHidden/>
              </w:rPr>
              <w:fldChar w:fldCharType="end"/>
            </w:r>
          </w:hyperlink>
        </w:p>
        <w:p w14:paraId="402F3C9A" w14:textId="7E038C80" w:rsidR="00CA42F2" w:rsidRPr="00836ADC" w:rsidRDefault="00BA5AF2" w:rsidP="00836ADC">
          <w:pPr>
            <w:pStyle w:val="TOC2"/>
            <w:rPr>
              <w:rFonts w:eastAsiaTheme="minorEastAsia"/>
              <w:lang w:val="en-IE" w:eastAsia="en-IE"/>
            </w:rPr>
          </w:pPr>
          <w:hyperlink w:anchor="_Toc233306869" w:history="1">
            <w:r w:rsidR="00CA42F2" w:rsidRPr="00836ADC">
              <w:rPr>
                <w:rStyle w:val="Hyperlink"/>
                <w:b w:val="0"/>
                <w:bCs w:val="0"/>
              </w:rPr>
              <w:t>4.3 Numărul de beneficiari ai sistemului de asigurări de șomaj și „rata șomajului”</w:t>
            </w:r>
            <w:r w:rsidR="00CA42F2" w:rsidRPr="00836ADC">
              <w:rPr>
                <w:webHidden/>
              </w:rPr>
              <w:tab/>
            </w:r>
            <w:r w:rsidR="00CA42F2" w:rsidRPr="00836ADC">
              <w:rPr>
                <w:webHidden/>
              </w:rPr>
              <w:fldChar w:fldCharType="begin"/>
            </w:r>
            <w:r w:rsidR="00CA42F2" w:rsidRPr="00836ADC">
              <w:rPr>
                <w:webHidden/>
              </w:rPr>
              <w:instrText xml:space="preserve"> PAGEREF _Toc233306869 \h </w:instrText>
            </w:r>
            <w:r w:rsidR="00CA42F2" w:rsidRPr="00836ADC">
              <w:rPr>
                <w:webHidden/>
              </w:rPr>
            </w:r>
            <w:r w:rsidR="00CA42F2" w:rsidRPr="00836ADC">
              <w:rPr>
                <w:webHidden/>
              </w:rPr>
              <w:fldChar w:fldCharType="separate"/>
            </w:r>
            <w:r w:rsidR="006522B9" w:rsidRPr="00836ADC">
              <w:rPr>
                <w:webHidden/>
              </w:rPr>
              <w:t>11</w:t>
            </w:r>
            <w:r w:rsidR="00CA42F2" w:rsidRPr="00836ADC">
              <w:rPr>
                <w:webHidden/>
              </w:rPr>
              <w:fldChar w:fldCharType="end"/>
            </w:r>
          </w:hyperlink>
        </w:p>
        <w:p w14:paraId="6F34B1B1" w14:textId="0DC6A4D8" w:rsidR="00CA42F2" w:rsidRPr="00836ADC" w:rsidRDefault="00BA5AF2">
          <w:pPr>
            <w:pStyle w:val="TOC3"/>
            <w:tabs>
              <w:tab w:val="right" w:leader="dot" w:pos="9016"/>
            </w:tabs>
            <w:rPr>
              <w:rFonts w:ascii="Times New Roman" w:eastAsiaTheme="minorEastAsia" w:hAnsi="Times New Roman" w:cs="Times New Roman"/>
              <w:noProof/>
              <w:sz w:val="24"/>
              <w:szCs w:val="24"/>
              <w:lang w:val="en-IE" w:eastAsia="en-IE"/>
            </w:rPr>
          </w:pPr>
          <w:hyperlink w:anchor="_Toc233306870" w:history="1">
            <w:r w:rsidR="00CA42F2" w:rsidRPr="00836ADC">
              <w:rPr>
                <w:rStyle w:val="Hyperlink"/>
                <w:rFonts w:ascii="Times New Roman" w:hAnsi="Times New Roman" w:cs="Times New Roman"/>
                <w:noProof/>
                <w:sz w:val="24"/>
                <w:szCs w:val="24"/>
              </w:rPr>
              <w:t>4.3.1 Numărul de beneficiari ai indemnizațiilor de șomaj</w:t>
            </w:r>
            <w:r w:rsidR="00CA42F2" w:rsidRPr="00836ADC">
              <w:rPr>
                <w:rFonts w:ascii="Times New Roman" w:hAnsi="Times New Roman" w:cs="Times New Roman"/>
                <w:noProof/>
                <w:webHidden/>
                <w:sz w:val="24"/>
                <w:szCs w:val="24"/>
              </w:rPr>
              <w:tab/>
            </w:r>
            <w:r w:rsidR="00CA42F2" w:rsidRPr="00836ADC">
              <w:rPr>
                <w:rFonts w:ascii="Times New Roman" w:hAnsi="Times New Roman" w:cs="Times New Roman"/>
                <w:noProof/>
                <w:webHidden/>
                <w:sz w:val="24"/>
                <w:szCs w:val="24"/>
              </w:rPr>
              <w:fldChar w:fldCharType="begin"/>
            </w:r>
            <w:r w:rsidR="00CA42F2" w:rsidRPr="00836ADC">
              <w:rPr>
                <w:rFonts w:ascii="Times New Roman" w:hAnsi="Times New Roman" w:cs="Times New Roman"/>
                <w:noProof/>
                <w:webHidden/>
                <w:sz w:val="24"/>
                <w:szCs w:val="24"/>
              </w:rPr>
              <w:instrText xml:space="preserve"> PAGEREF _Toc233306870 \h </w:instrText>
            </w:r>
            <w:r w:rsidR="00CA42F2" w:rsidRPr="00836ADC">
              <w:rPr>
                <w:rFonts w:ascii="Times New Roman" w:hAnsi="Times New Roman" w:cs="Times New Roman"/>
                <w:noProof/>
                <w:webHidden/>
                <w:sz w:val="24"/>
                <w:szCs w:val="24"/>
              </w:rPr>
            </w:r>
            <w:r w:rsidR="00CA42F2" w:rsidRPr="00836ADC">
              <w:rPr>
                <w:rFonts w:ascii="Times New Roman" w:hAnsi="Times New Roman" w:cs="Times New Roman"/>
                <w:noProof/>
                <w:webHidden/>
                <w:sz w:val="24"/>
                <w:szCs w:val="24"/>
              </w:rPr>
              <w:fldChar w:fldCharType="separate"/>
            </w:r>
            <w:r w:rsidR="006522B9" w:rsidRPr="00836ADC">
              <w:rPr>
                <w:rFonts w:ascii="Times New Roman" w:hAnsi="Times New Roman" w:cs="Times New Roman"/>
                <w:noProof/>
                <w:webHidden/>
                <w:sz w:val="24"/>
                <w:szCs w:val="24"/>
              </w:rPr>
              <w:t>11</w:t>
            </w:r>
            <w:r w:rsidR="00CA42F2" w:rsidRPr="00836ADC">
              <w:rPr>
                <w:rFonts w:ascii="Times New Roman" w:hAnsi="Times New Roman" w:cs="Times New Roman"/>
                <w:noProof/>
                <w:webHidden/>
                <w:sz w:val="24"/>
                <w:szCs w:val="24"/>
              </w:rPr>
              <w:fldChar w:fldCharType="end"/>
            </w:r>
          </w:hyperlink>
        </w:p>
        <w:p w14:paraId="5391B3A8" w14:textId="12FF03B6" w:rsidR="00CA42F2" w:rsidRPr="00836ADC" w:rsidRDefault="00BA5AF2">
          <w:pPr>
            <w:pStyle w:val="TOC3"/>
            <w:tabs>
              <w:tab w:val="right" w:leader="dot" w:pos="9016"/>
            </w:tabs>
            <w:rPr>
              <w:rFonts w:ascii="Times New Roman" w:eastAsiaTheme="minorEastAsia" w:hAnsi="Times New Roman" w:cs="Times New Roman"/>
              <w:noProof/>
              <w:sz w:val="24"/>
              <w:szCs w:val="24"/>
              <w:lang w:val="en-IE" w:eastAsia="en-IE"/>
            </w:rPr>
          </w:pPr>
          <w:hyperlink w:anchor="_Toc233306871" w:history="1">
            <w:r w:rsidR="00CA42F2" w:rsidRPr="00836ADC">
              <w:rPr>
                <w:rStyle w:val="Hyperlink"/>
                <w:rFonts w:ascii="Times New Roman" w:hAnsi="Times New Roman" w:cs="Times New Roman"/>
                <w:noProof/>
                <w:sz w:val="24"/>
                <w:szCs w:val="24"/>
              </w:rPr>
              <w:t>4.3.2 Rata șomajului în instituțiile UE</w:t>
            </w:r>
            <w:r w:rsidR="00CA42F2" w:rsidRPr="00836ADC">
              <w:rPr>
                <w:rFonts w:ascii="Times New Roman" w:hAnsi="Times New Roman" w:cs="Times New Roman"/>
                <w:noProof/>
                <w:webHidden/>
                <w:sz w:val="24"/>
                <w:szCs w:val="24"/>
              </w:rPr>
              <w:tab/>
            </w:r>
            <w:r w:rsidR="00CA42F2" w:rsidRPr="00836ADC">
              <w:rPr>
                <w:rFonts w:ascii="Times New Roman" w:hAnsi="Times New Roman" w:cs="Times New Roman"/>
                <w:noProof/>
                <w:webHidden/>
                <w:sz w:val="24"/>
                <w:szCs w:val="24"/>
              </w:rPr>
              <w:fldChar w:fldCharType="begin"/>
            </w:r>
            <w:r w:rsidR="00CA42F2" w:rsidRPr="00836ADC">
              <w:rPr>
                <w:rFonts w:ascii="Times New Roman" w:hAnsi="Times New Roman" w:cs="Times New Roman"/>
                <w:noProof/>
                <w:webHidden/>
                <w:sz w:val="24"/>
                <w:szCs w:val="24"/>
              </w:rPr>
              <w:instrText xml:space="preserve"> PAGEREF _Toc233306871 \h </w:instrText>
            </w:r>
            <w:r w:rsidR="00CA42F2" w:rsidRPr="00836ADC">
              <w:rPr>
                <w:rFonts w:ascii="Times New Roman" w:hAnsi="Times New Roman" w:cs="Times New Roman"/>
                <w:noProof/>
                <w:webHidden/>
                <w:sz w:val="24"/>
                <w:szCs w:val="24"/>
              </w:rPr>
            </w:r>
            <w:r w:rsidR="00CA42F2" w:rsidRPr="00836ADC">
              <w:rPr>
                <w:rFonts w:ascii="Times New Roman" w:hAnsi="Times New Roman" w:cs="Times New Roman"/>
                <w:noProof/>
                <w:webHidden/>
                <w:sz w:val="24"/>
                <w:szCs w:val="24"/>
              </w:rPr>
              <w:fldChar w:fldCharType="separate"/>
            </w:r>
            <w:r w:rsidR="006522B9" w:rsidRPr="00836ADC">
              <w:rPr>
                <w:rFonts w:ascii="Times New Roman" w:hAnsi="Times New Roman" w:cs="Times New Roman"/>
                <w:noProof/>
                <w:webHidden/>
                <w:sz w:val="24"/>
                <w:szCs w:val="24"/>
              </w:rPr>
              <w:t>13</w:t>
            </w:r>
            <w:r w:rsidR="00CA42F2" w:rsidRPr="00836ADC">
              <w:rPr>
                <w:rFonts w:ascii="Times New Roman" w:hAnsi="Times New Roman" w:cs="Times New Roman"/>
                <w:noProof/>
                <w:webHidden/>
                <w:sz w:val="24"/>
                <w:szCs w:val="24"/>
              </w:rPr>
              <w:fldChar w:fldCharType="end"/>
            </w:r>
          </w:hyperlink>
        </w:p>
        <w:p w14:paraId="17A624A7" w14:textId="40E19436" w:rsidR="00CA42F2" w:rsidRPr="00836ADC" w:rsidRDefault="00BA5AF2" w:rsidP="00836ADC">
          <w:pPr>
            <w:pStyle w:val="TOC2"/>
            <w:rPr>
              <w:rFonts w:eastAsiaTheme="minorEastAsia"/>
              <w:lang w:val="en-IE" w:eastAsia="en-IE"/>
            </w:rPr>
          </w:pPr>
          <w:hyperlink w:anchor="_Toc233306872" w:history="1">
            <w:r w:rsidR="00CA42F2" w:rsidRPr="00836ADC">
              <w:rPr>
                <w:rStyle w:val="Hyperlink"/>
                <w:b w:val="0"/>
                <w:bCs w:val="0"/>
              </w:rPr>
              <w:t>4.4 Prezentare generală a indemnizației de șomaj și a duratei acesteia</w:t>
            </w:r>
            <w:r w:rsidR="00CA42F2" w:rsidRPr="00836ADC">
              <w:rPr>
                <w:webHidden/>
              </w:rPr>
              <w:tab/>
            </w:r>
            <w:r w:rsidR="00CA42F2" w:rsidRPr="00836ADC">
              <w:rPr>
                <w:webHidden/>
              </w:rPr>
              <w:fldChar w:fldCharType="begin"/>
            </w:r>
            <w:r w:rsidR="00CA42F2" w:rsidRPr="00836ADC">
              <w:rPr>
                <w:webHidden/>
              </w:rPr>
              <w:instrText xml:space="preserve"> PAGEREF _Toc233306872 \h </w:instrText>
            </w:r>
            <w:r w:rsidR="00CA42F2" w:rsidRPr="00836ADC">
              <w:rPr>
                <w:webHidden/>
              </w:rPr>
            </w:r>
            <w:r w:rsidR="00CA42F2" w:rsidRPr="00836ADC">
              <w:rPr>
                <w:webHidden/>
              </w:rPr>
              <w:fldChar w:fldCharType="separate"/>
            </w:r>
            <w:r w:rsidR="006522B9" w:rsidRPr="00836ADC">
              <w:rPr>
                <w:webHidden/>
              </w:rPr>
              <w:t>16</w:t>
            </w:r>
            <w:r w:rsidR="00CA42F2" w:rsidRPr="00836ADC">
              <w:rPr>
                <w:webHidden/>
              </w:rPr>
              <w:fldChar w:fldCharType="end"/>
            </w:r>
          </w:hyperlink>
        </w:p>
        <w:p w14:paraId="5BD8CE5E" w14:textId="1EC9425B" w:rsidR="00CA42F2" w:rsidRPr="00836ADC" w:rsidRDefault="00BA5AF2">
          <w:pPr>
            <w:pStyle w:val="TOC3"/>
            <w:tabs>
              <w:tab w:val="right" w:leader="dot" w:pos="9016"/>
            </w:tabs>
            <w:rPr>
              <w:rFonts w:ascii="Times New Roman" w:eastAsiaTheme="minorEastAsia" w:hAnsi="Times New Roman" w:cs="Times New Roman"/>
              <w:noProof/>
              <w:sz w:val="24"/>
              <w:szCs w:val="24"/>
              <w:lang w:val="en-IE" w:eastAsia="en-IE"/>
            </w:rPr>
          </w:pPr>
          <w:hyperlink w:anchor="_Toc233306873" w:history="1">
            <w:r w:rsidR="00CA42F2" w:rsidRPr="00836ADC">
              <w:rPr>
                <w:rStyle w:val="Hyperlink"/>
                <w:rFonts w:ascii="Times New Roman" w:hAnsi="Times New Roman" w:cs="Times New Roman"/>
                <w:noProof/>
                <w:sz w:val="24"/>
                <w:szCs w:val="24"/>
              </w:rPr>
              <w:t>4.4.1 Numărul de indemnizații de șomaj lunare plătite</w:t>
            </w:r>
            <w:r w:rsidR="00CA42F2" w:rsidRPr="00836ADC">
              <w:rPr>
                <w:rFonts w:ascii="Times New Roman" w:hAnsi="Times New Roman" w:cs="Times New Roman"/>
                <w:noProof/>
                <w:webHidden/>
                <w:sz w:val="24"/>
                <w:szCs w:val="24"/>
              </w:rPr>
              <w:tab/>
            </w:r>
            <w:r w:rsidR="00CA42F2" w:rsidRPr="00836ADC">
              <w:rPr>
                <w:rFonts w:ascii="Times New Roman" w:hAnsi="Times New Roman" w:cs="Times New Roman"/>
                <w:noProof/>
                <w:webHidden/>
                <w:sz w:val="24"/>
                <w:szCs w:val="24"/>
              </w:rPr>
              <w:fldChar w:fldCharType="begin"/>
            </w:r>
            <w:r w:rsidR="00CA42F2" w:rsidRPr="00836ADC">
              <w:rPr>
                <w:rFonts w:ascii="Times New Roman" w:hAnsi="Times New Roman" w:cs="Times New Roman"/>
                <w:noProof/>
                <w:webHidden/>
                <w:sz w:val="24"/>
                <w:szCs w:val="24"/>
              </w:rPr>
              <w:instrText xml:space="preserve"> PAGEREF _Toc233306873 \h </w:instrText>
            </w:r>
            <w:r w:rsidR="00CA42F2" w:rsidRPr="00836ADC">
              <w:rPr>
                <w:rFonts w:ascii="Times New Roman" w:hAnsi="Times New Roman" w:cs="Times New Roman"/>
                <w:noProof/>
                <w:webHidden/>
                <w:sz w:val="24"/>
                <w:szCs w:val="24"/>
              </w:rPr>
            </w:r>
            <w:r w:rsidR="00CA42F2" w:rsidRPr="00836ADC">
              <w:rPr>
                <w:rFonts w:ascii="Times New Roman" w:hAnsi="Times New Roman" w:cs="Times New Roman"/>
                <w:noProof/>
                <w:webHidden/>
                <w:sz w:val="24"/>
                <w:szCs w:val="24"/>
              </w:rPr>
              <w:fldChar w:fldCharType="separate"/>
            </w:r>
            <w:r w:rsidR="006522B9" w:rsidRPr="00836ADC">
              <w:rPr>
                <w:rFonts w:ascii="Times New Roman" w:hAnsi="Times New Roman" w:cs="Times New Roman"/>
                <w:noProof/>
                <w:webHidden/>
                <w:sz w:val="24"/>
                <w:szCs w:val="24"/>
              </w:rPr>
              <w:t>16</w:t>
            </w:r>
            <w:r w:rsidR="00CA42F2" w:rsidRPr="00836ADC">
              <w:rPr>
                <w:rFonts w:ascii="Times New Roman" w:hAnsi="Times New Roman" w:cs="Times New Roman"/>
                <w:noProof/>
                <w:webHidden/>
                <w:sz w:val="24"/>
                <w:szCs w:val="24"/>
              </w:rPr>
              <w:fldChar w:fldCharType="end"/>
            </w:r>
          </w:hyperlink>
        </w:p>
        <w:p w14:paraId="2771D2BA" w14:textId="1C91674B" w:rsidR="00CA42F2" w:rsidRPr="00836ADC" w:rsidRDefault="00BA5AF2">
          <w:pPr>
            <w:pStyle w:val="TOC3"/>
            <w:tabs>
              <w:tab w:val="right" w:leader="dot" w:pos="9016"/>
            </w:tabs>
            <w:rPr>
              <w:rFonts w:ascii="Times New Roman" w:eastAsiaTheme="minorEastAsia" w:hAnsi="Times New Roman" w:cs="Times New Roman"/>
              <w:noProof/>
              <w:sz w:val="24"/>
              <w:szCs w:val="24"/>
              <w:lang w:val="en-IE" w:eastAsia="en-IE"/>
            </w:rPr>
          </w:pPr>
          <w:hyperlink w:anchor="_Toc233306874" w:history="1">
            <w:r w:rsidR="00CA42F2" w:rsidRPr="00836ADC">
              <w:rPr>
                <w:rStyle w:val="Hyperlink"/>
                <w:rFonts w:ascii="Times New Roman" w:hAnsi="Times New Roman" w:cs="Times New Roman"/>
                <w:noProof/>
                <w:sz w:val="24"/>
                <w:szCs w:val="24"/>
              </w:rPr>
              <w:t>4.4.2 Durata perioadei de plată</w:t>
            </w:r>
            <w:r w:rsidR="00CA42F2" w:rsidRPr="00836ADC">
              <w:rPr>
                <w:rFonts w:ascii="Times New Roman" w:hAnsi="Times New Roman" w:cs="Times New Roman"/>
                <w:noProof/>
                <w:webHidden/>
                <w:sz w:val="24"/>
                <w:szCs w:val="24"/>
              </w:rPr>
              <w:tab/>
            </w:r>
            <w:r w:rsidR="00CA42F2" w:rsidRPr="00836ADC">
              <w:rPr>
                <w:rFonts w:ascii="Times New Roman" w:hAnsi="Times New Roman" w:cs="Times New Roman"/>
                <w:noProof/>
                <w:webHidden/>
                <w:sz w:val="24"/>
                <w:szCs w:val="24"/>
              </w:rPr>
              <w:fldChar w:fldCharType="begin"/>
            </w:r>
            <w:r w:rsidR="00CA42F2" w:rsidRPr="00836ADC">
              <w:rPr>
                <w:rFonts w:ascii="Times New Roman" w:hAnsi="Times New Roman" w:cs="Times New Roman"/>
                <w:noProof/>
                <w:webHidden/>
                <w:sz w:val="24"/>
                <w:szCs w:val="24"/>
              </w:rPr>
              <w:instrText xml:space="preserve"> PAGEREF _Toc233306874 \h </w:instrText>
            </w:r>
            <w:r w:rsidR="00CA42F2" w:rsidRPr="00836ADC">
              <w:rPr>
                <w:rFonts w:ascii="Times New Roman" w:hAnsi="Times New Roman" w:cs="Times New Roman"/>
                <w:noProof/>
                <w:webHidden/>
                <w:sz w:val="24"/>
                <w:szCs w:val="24"/>
              </w:rPr>
            </w:r>
            <w:r w:rsidR="00CA42F2" w:rsidRPr="00836ADC">
              <w:rPr>
                <w:rFonts w:ascii="Times New Roman" w:hAnsi="Times New Roman" w:cs="Times New Roman"/>
                <w:noProof/>
                <w:webHidden/>
                <w:sz w:val="24"/>
                <w:szCs w:val="24"/>
              </w:rPr>
              <w:fldChar w:fldCharType="separate"/>
            </w:r>
            <w:r w:rsidR="006522B9" w:rsidRPr="00836ADC">
              <w:rPr>
                <w:rFonts w:ascii="Times New Roman" w:hAnsi="Times New Roman" w:cs="Times New Roman"/>
                <w:noProof/>
                <w:webHidden/>
                <w:sz w:val="24"/>
                <w:szCs w:val="24"/>
              </w:rPr>
              <w:t>17</w:t>
            </w:r>
            <w:r w:rsidR="00CA42F2" w:rsidRPr="00836ADC">
              <w:rPr>
                <w:rFonts w:ascii="Times New Roman" w:hAnsi="Times New Roman" w:cs="Times New Roman"/>
                <w:noProof/>
                <w:webHidden/>
                <w:sz w:val="24"/>
                <w:szCs w:val="24"/>
              </w:rPr>
              <w:fldChar w:fldCharType="end"/>
            </w:r>
          </w:hyperlink>
        </w:p>
        <w:p w14:paraId="54ADF698" w14:textId="7EDE7042" w:rsidR="00CA42F2" w:rsidRPr="00836ADC" w:rsidRDefault="00BA5AF2" w:rsidP="00836ADC">
          <w:pPr>
            <w:pStyle w:val="TOC2"/>
            <w:rPr>
              <w:rFonts w:eastAsiaTheme="minorEastAsia"/>
              <w:lang w:val="en-IE" w:eastAsia="en-IE"/>
            </w:rPr>
          </w:pPr>
          <w:hyperlink w:anchor="_Toc233306875" w:history="1">
            <w:r w:rsidR="00CA42F2" w:rsidRPr="00836ADC">
              <w:rPr>
                <w:rStyle w:val="Hyperlink"/>
                <w:b w:val="0"/>
                <w:bCs w:val="0"/>
              </w:rPr>
              <w:t>4.5 Distribuția șomajului pe țări</w:t>
            </w:r>
            <w:r w:rsidR="00CA42F2" w:rsidRPr="00836ADC">
              <w:rPr>
                <w:webHidden/>
              </w:rPr>
              <w:tab/>
            </w:r>
            <w:r w:rsidR="00CA42F2" w:rsidRPr="00836ADC">
              <w:rPr>
                <w:webHidden/>
              </w:rPr>
              <w:fldChar w:fldCharType="begin"/>
            </w:r>
            <w:r w:rsidR="00CA42F2" w:rsidRPr="00836ADC">
              <w:rPr>
                <w:webHidden/>
              </w:rPr>
              <w:instrText xml:space="preserve"> PAGEREF _Toc233306875 \h </w:instrText>
            </w:r>
            <w:r w:rsidR="00CA42F2" w:rsidRPr="00836ADC">
              <w:rPr>
                <w:webHidden/>
              </w:rPr>
            </w:r>
            <w:r w:rsidR="00CA42F2" w:rsidRPr="00836ADC">
              <w:rPr>
                <w:webHidden/>
              </w:rPr>
              <w:fldChar w:fldCharType="separate"/>
            </w:r>
            <w:r w:rsidR="006522B9" w:rsidRPr="00836ADC">
              <w:rPr>
                <w:webHidden/>
              </w:rPr>
              <w:t>18</w:t>
            </w:r>
            <w:r w:rsidR="00CA42F2" w:rsidRPr="00836ADC">
              <w:rPr>
                <w:webHidden/>
              </w:rPr>
              <w:fldChar w:fldCharType="end"/>
            </w:r>
          </w:hyperlink>
        </w:p>
        <w:p w14:paraId="30DA1AEF" w14:textId="017CE8BE" w:rsidR="00CA42F2" w:rsidRPr="0006330A" w:rsidRDefault="00BA5AF2">
          <w:pPr>
            <w:pStyle w:val="TOC1"/>
            <w:rPr>
              <w:rFonts w:ascii="Times New Roman" w:eastAsiaTheme="minorEastAsia" w:hAnsi="Times New Roman" w:cs="Times New Roman"/>
              <w:sz w:val="24"/>
              <w:szCs w:val="24"/>
              <w:lang w:val="en-IE" w:eastAsia="en-IE"/>
            </w:rPr>
          </w:pPr>
          <w:hyperlink w:anchor="_Toc233306876" w:history="1">
            <w:r w:rsidR="00CA42F2" w:rsidRPr="0006330A">
              <w:rPr>
                <w:rStyle w:val="Hyperlink"/>
                <w:rFonts w:ascii="Times New Roman" w:hAnsi="Times New Roman" w:cs="Times New Roman"/>
                <w:sz w:val="24"/>
                <w:szCs w:val="24"/>
              </w:rPr>
              <w:t>5. Concluzii</w:t>
            </w:r>
            <w:r w:rsidR="00CA42F2" w:rsidRPr="0006330A">
              <w:rPr>
                <w:rFonts w:ascii="Times New Roman" w:hAnsi="Times New Roman" w:cs="Times New Roman"/>
                <w:webHidden/>
                <w:sz w:val="24"/>
                <w:szCs w:val="24"/>
              </w:rPr>
              <w:tab/>
            </w:r>
            <w:r w:rsidR="00CA42F2" w:rsidRPr="0006330A">
              <w:rPr>
                <w:rFonts w:ascii="Times New Roman" w:hAnsi="Times New Roman" w:cs="Times New Roman"/>
                <w:webHidden/>
                <w:sz w:val="24"/>
                <w:szCs w:val="24"/>
              </w:rPr>
              <w:fldChar w:fldCharType="begin"/>
            </w:r>
            <w:r w:rsidR="00CA42F2" w:rsidRPr="0006330A">
              <w:rPr>
                <w:rFonts w:ascii="Times New Roman" w:hAnsi="Times New Roman" w:cs="Times New Roman"/>
                <w:webHidden/>
                <w:sz w:val="24"/>
                <w:szCs w:val="24"/>
              </w:rPr>
              <w:instrText xml:space="preserve"> PAGEREF _Toc233306876 \h </w:instrText>
            </w:r>
            <w:r w:rsidR="00CA42F2" w:rsidRPr="0006330A">
              <w:rPr>
                <w:rFonts w:ascii="Times New Roman" w:hAnsi="Times New Roman" w:cs="Times New Roman"/>
                <w:webHidden/>
                <w:sz w:val="24"/>
                <w:szCs w:val="24"/>
              </w:rPr>
            </w:r>
            <w:r w:rsidR="00CA42F2" w:rsidRPr="0006330A">
              <w:rPr>
                <w:rFonts w:ascii="Times New Roman" w:hAnsi="Times New Roman" w:cs="Times New Roman"/>
                <w:webHidden/>
                <w:sz w:val="24"/>
                <w:szCs w:val="24"/>
              </w:rPr>
              <w:fldChar w:fldCharType="separate"/>
            </w:r>
            <w:r w:rsidR="006522B9">
              <w:rPr>
                <w:rFonts w:ascii="Times New Roman" w:hAnsi="Times New Roman" w:cs="Times New Roman"/>
                <w:webHidden/>
                <w:sz w:val="24"/>
                <w:szCs w:val="24"/>
              </w:rPr>
              <w:t>20</w:t>
            </w:r>
            <w:r w:rsidR="00CA42F2" w:rsidRPr="0006330A">
              <w:rPr>
                <w:rFonts w:ascii="Times New Roman" w:hAnsi="Times New Roman" w:cs="Times New Roman"/>
                <w:webHidden/>
                <w:sz w:val="24"/>
                <w:szCs w:val="24"/>
              </w:rPr>
              <w:fldChar w:fldCharType="end"/>
            </w:r>
          </w:hyperlink>
        </w:p>
        <w:p w14:paraId="3A480403" w14:textId="60820179" w:rsidR="00CA42F2" w:rsidRPr="00836ADC" w:rsidRDefault="00BA5AF2" w:rsidP="00836ADC">
          <w:pPr>
            <w:pStyle w:val="TOC2"/>
            <w:rPr>
              <w:rFonts w:eastAsiaTheme="minorEastAsia"/>
              <w:b w:val="0"/>
              <w:bCs w:val="0"/>
              <w:lang w:val="en-IE" w:eastAsia="en-IE"/>
            </w:rPr>
          </w:pPr>
          <w:hyperlink w:anchor="_Toc233306877" w:history="1">
            <w:r w:rsidR="00CA42F2" w:rsidRPr="00836ADC">
              <w:rPr>
                <w:rStyle w:val="Hyperlink"/>
                <w:b w:val="0"/>
                <w:bCs w:val="0"/>
              </w:rPr>
              <w:t>5.1 Perioada 2019-2024</w:t>
            </w:r>
            <w:r w:rsidR="00CA42F2" w:rsidRPr="00836ADC">
              <w:rPr>
                <w:b w:val="0"/>
                <w:bCs w:val="0"/>
                <w:webHidden/>
              </w:rPr>
              <w:tab/>
            </w:r>
            <w:r w:rsidR="00CA42F2" w:rsidRPr="00836ADC">
              <w:rPr>
                <w:b w:val="0"/>
                <w:bCs w:val="0"/>
                <w:webHidden/>
              </w:rPr>
              <w:fldChar w:fldCharType="begin"/>
            </w:r>
            <w:r w:rsidR="00CA42F2" w:rsidRPr="00836ADC">
              <w:rPr>
                <w:b w:val="0"/>
                <w:bCs w:val="0"/>
                <w:webHidden/>
              </w:rPr>
              <w:instrText xml:space="preserve"> PAGEREF _Toc233306877 \h </w:instrText>
            </w:r>
            <w:r w:rsidR="00CA42F2" w:rsidRPr="00836ADC">
              <w:rPr>
                <w:b w:val="0"/>
                <w:bCs w:val="0"/>
                <w:webHidden/>
              </w:rPr>
            </w:r>
            <w:r w:rsidR="00CA42F2" w:rsidRPr="00836ADC">
              <w:rPr>
                <w:b w:val="0"/>
                <w:bCs w:val="0"/>
                <w:webHidden/>
              </w:rPr>
              <w:fldChar w:fldCharType="separate"/>
            </w:r>
            <w:r w:rsidR="006522B9" w:rsidRPr="00836ADC">
              <w:rPr>
                <w:b w:val="0"/>
                <w:bCs w:val="0"/>
                <w:webHidden/>
              </w:rPr>
              <w:t>20</w:t>
            </w:r>
            <w:r w:rsidR="00CA42F2" w:rsidRPr="00836ADC">
              <w:rPr>
                <w:b w:val="0"/>
                <w:bCs w:val="0"/>
                <w:webHidden/>
              </w:rPr>
              <w:fldChar w:fldCharType="end"/>
            </w:r>
          </w:hyperlink>
        </w:p>
        <w:p w14:paraId="77CEC1FA" w14:textId="39C803EF" w:rsidR="00CA42F2" w:rsidRPr="00836ADC" w:rsidRDefault="00BA5AF2" w:rsidP="00836ADC">
          <w:pPr>
            <w:pStyle w:val="TOC2"/>
            <w:rPr>
              <w:rFonts w:eastAsiaTheme="minorEastAsia"/>
              <w:b w:val="0"/>
              <w:bCs w:val="0"/>
              <w:lang w:val="en-IE" w:eastAsia="en-IE"/>
            </w:rPr>
          </w:pPr>
          <w:hyperlink w:anchor="_Toc233306878" w:history="1">
            <w:r w:rsidR="00CA42F2" w:rsidRPr="00836ADC">
              <w:rPr>
                <w:rStyle w:val="Hyperlink"/>
                <w:b w:val="0"/>
                <w:bCs w:val="0"/>
              </w:rPr>
              <w:t>5.2 Perspectivele Fondului de șomaj pe termen scurt și mediu</w:t>
            </w:r>
            <w:r w:rsidR="00CA42F2" w:rsidRPr="00836ADC">
              <w:rPr>
                <w:b w:val="0"/>
                <w:bCs w:val="0"/>
                <w:webHidden/>
              </w:rPr>
              <w:tab/>
            </w:r>
            <w:r w:rsidR="00CA42F2" w:rsidRPr="00836ADC">
              <w:rPr>
                <w:b w:val="0"/>
                <w:bCs w:val="0"/>
                <w:webHidden/>
              </w:rPr>
              <w:fldChar w:fldCharType="begin"/>
            </w:r>
            <w:r w:rsidR="00CA42F2" w:rsidRPr="00836ADC">
              <w:rPr>
                <w:b w:val="0"/>
                <w:bCs w:val="0"/>
                <w:webHidden/>
              </w:rPr>
              <w:instrText xml:space="preserve"> PAGEREF _Toc233306878 \h </w:instrText>
            </w:r>
            <w:r w:rsidR="00CA42F2" w:rsidRPr="00836ADC">
              <w:rPr>
                <w:b w:val="0"/>
                <w:bCs w:val="0"/>
                <w:webHidden/>
              </w:rPr>
            </w:r>
            <w:r w:rsidR="00CA42F2" w:rsidRPr="00836ADC">
              <w:rPr>
                <w:b w:val="0"/>
                <w:bCs w:val="0"/>
                <w:webHidden/>
              </w:rPr>
              <w:fldChar w:fldCharType="separate"/>
            </w:r>
            <w:r w:rsidR="006522B9" w:rsidRPr="00836ADC">
              <w:rPr>
                <w:b w:val="0"/>
                <w:bCs w:val="0"/>
                <w:webHidden/>
              </w:rPr>
              <w:t>20</w:t>
            </w:r>
            <w:r w:rsidR="00CA42F2" w:rsidRPr="00836ADC">
              <w:rPr>
                <w:b w:val="0"/>
                <w:bCs w:val="0"/>
                <w:webHidden/>
              </w:rPr>
              <w:fldChar w:fldCharType="end"/>
            </w:r>
          </w:hyperlink>
        </w:p>
        <w:p w14:paraId="302B0B43" w14:textId="51F47A52" w:rsidR="00C802F6" w:rsidRPr="0006330A" w:rsidRDefault="00C802F6" w:rsidP="00836ADC">
          <w:pPr>
            <w:pStyle w:val="TOC2"/>
            <w:rPr>
              <w:rStyle w:val="Hyperlink"/>
            </w:rPr>
          </w:pPr>
          <w:r w:rsidRPr="0006330A">
            <w:fldChar w:fldCharType="end"/>
          </w:r>
        </w:p>
      </w:sdtContent>
    </w:sdt>
    <w:p w14:paraId="4F4DF8BE" w14:textId="2937A8AB" w:rsidR="00AA5C3D" w:rsidRDefault="00AA5C3D">
      <w:pPr>
        <w:rPr>
          <w:noProof/>
        </w:rPr>
      </w:pPr>
    </w:p>
    <w:p w14:paraId="699F5614" w14:textId="77777777" w:rsidR="0006330A" w:rsidRDefault="0006330A">
      <w:pPr>
        <w:rPr>
          <w:noProof/>
        </w:rPr>
      </w:pPr>
    </w:p>
    <w:p w14:paraId="0EF686F6" w14:textId="3D26530E" w:rsidR="00664E55" w:rsidRPr="0006330A" w:rsidRDefault="00DA61D3" w:rsidP="009E1A09">
      <w:pPr>
        <w:pStyle w:val="Heading1"/>
        <w:numPr>
          <w:ilvl w:val="0"/>
          <w:numId w:val="26"/>
        </w:numPr>
        <w:rPr>
          <w:noProof/>
        </w:rPr>
      </w:pPr>
      <w:bookmarkStart w:id="2" w:name="_Toc233306855"/>
      <w:r w:rsidRPr="0006330A">
        <w:rPr>
          <w:noProof/>
        </w:rPr>
        <w:t>Informații generale</w:t>
      </w:r>
      <w:bookmarkEnd w:id="2"/>
    </w:p>
    <w:p w14:paraId="06B7C196" w14:textId="3C4A6738" w:rsidR="00FE4F22" w:rsidRPr="002F15B8" w:rsidRDefault="00CF531A" w:rsidP="002F618B">
      <w:pPr>
        <w:jc w:val="both"/>
        <w:rPr>
          <w:rFonts w:ascii="Times New Roman" w:hAnsi="Times New Roman" w:cs="Times New Roman"/>
          <w:noProof/>
          <w:sz w:val="24"/>
          <w:szCs w:val="24"/>
        </w:rPr>
      </w:pPr>
      <w:r>
        <w:rPr>
          <w:rFonts w:ascii="Times New Roman" w:hAnsi="Times New Roman"/>
          <w:noProof/>
          <w:sz w:val="24"/>
        </w:rPr>
        <w:t xml:space="preserve">În conformitate cu Regimul aplicabil celorlalți agenți ai Uniunii Europene (RAA), indemnizația de șomaj este acordată foștilor agenți temporari (AT), agenți contractuali (AC) sau asistenți parlamentari acreditați (APA) care se află într-o situație de șomaj involuntar (cu excepția, de exemplu, a personalului care a demisionat) în urma încetării raporturilor lor de muncă în cadrul unei instituții a Uniunii Europene, în sensul articolelor </w:t>
      </w:r>
      <w:r w:rsidRPr="0006330A">
        <w:rPr>
          <w:rFonts w:ascii="Times New Roman" w:hAnsi="Times New Roman"/>
          <w:noProof/>
          <w:sz w:val="24"/>
        </w:rPr>
        <w:t>1</w:t>
      </w:r>
      <w:r>
        <w:rPr>
          <w:rFonts w:ascii="Times New Roman" w:hAnsi="Times New Roman"/>
          <w:noProof/>
          <w:sz w:val="24"/>
        </w:rPr>
        <w:t xml:space="preserve">a și </w:t>
      </w:r>
      <w:r w:rsidRPr="0006330A">
        <w:rPr>
          <w:rFonts w:ascii="Times New Roman" w:hAnsi="Times New Roman"/>
          <w:noProof/>
          <w:sz w:val="24"/>
        </w:rPr>
        <w:t>1</w:t>
      </w:r>
      <w:r>
        <w:rPr>
          <w:rFonts w:ascii="Times New Roman" w:hAnsi="Times New Roman"/>
          <w:noProof/>
          <w:sz w:val="24"/>
        </w:rPr>
        <w:t>b din Statutul funcționarilor Uniunii Europene</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Această indemnizație de șomaj completează orice eventuală indemnizație de șomaj națională pe care o primește fostul membru al personalului. </w:t>
      </w:r>
    </w:p>
    <w:p w14:paraId="52A7F9D4" w14:textId="77777777" w:rsidR="00930F0E" w:rsidRPr="002F15B8" w:rsidRDefault="00CF531A" w:rsidP="00F916B4">
      <w:pPr>
        <w:jc w:val="both"/>
        <w:rPr>
          <w:rFonts w:ascii="Times New Roman" w:hAnsi="Times New Roman" w:cs="Times New Roman"/>
          <w:noProof/>
          <w:sz w:val="24"/>
          <w:szCs w:val="24"/>
        </w:rPr>
      </w:pPr>
      <w:r>
        <w:rPr>
          <w:rFonts w:ascii="Times New Roman" w:hAnsi="Times New Roman"/>
          <w:noProof/>
          <w:sz w:val="24"/>
        </w:rPr>
        <w:t>Aceste indemnizații sunt finanțate din Fondul de șomaj („fondul”), care, la rândul său, este finanțat din contribuțiile personalului care intră sub incidența RAA (care sunt beneficiari potențiali) și din contribuțiile angajatorului lor.</w:t>
      </w:r>
    </w:p>
    <w:p w14:paraId="437AA7FC" w14:textId="2E9834C0" w:rsidR="000866C2" w:rsidRPr="0006330A" w:rsidRDefault="00E46825" w:rsidP="00D45CAD">
      <w:pPr>
        <w:jc w:val="both"/>
        <w:rPr>
          <w:b/>
          <w:bCs/>
          <w:noProof/>
        </w:rPr>
      </w:pPr>
      <w:r>
        <w:rPr>
          <w:rFonts w:ascii="Times New Roman" w:hAnsi="Times New Roman"/>
          <w:noProof/>
          <w:sz w:val="24"/>
        </w:rPr>
        <w:t xml:space="preserve">Conform articolului </w:t>
      </w:r>
      <w:r w:rsidRPr="0006330A">
        <w:rPr>
          <w:rFonts w:ascii="Times New Roman" w:hAnsi="Times New Roman"/>
          <w:noProof/>
          <w:sz w:val="24"/>
        </w:rPr>
        <w:t>28</w:t>
      </w:r>
      <w:r>
        <w:rPr>
          <w:rFonts w:ascii="Times New Roman" w:hAnsi="Times New Roman"/>
          <w:noProof/>
          <w:sz w:val="24"/>
        </w:rPr>
        <w:t>a alineatul (</w:t>
      </w:r>
      <w:r w:rsidRPr="0006330A">
        <w:rPr>
          <w:rFonts w:ascii="Times New Roman" w:hAnsi="Times New Roman"/>
          <w:noProof/>
          <w:sz w:val="24"/>
        </w:rPr>
        <w:t>11</w:t>
      </w:r>
      <w:r>
        <w:rPr>
          <w:rFonts w:ascii="Times New Roman" w:hAnsi="Times New Roman"/>
          <w:noProof/>
          <w:sz w:val="24"/>
        </w:rPr>
        <w:t xml:space="preserve">) și articolului </w:t>
      </w:r>
      <w:r w:rsidRPr="0006330A">
        <w:rPr>
          <w:rFonts w:ascii="Times New Roman" w:hAnsi="Times New Roman"/>
          <w:noProof/>
          <w:sz w:val="24"/>
        </w:rPr>
        <w:t>96</w:t>
      </w:r>
      <w:r>
        <w:rPr>
          <w:rFonts w:ascii="Times New Roman" w:hAnsi="Times New Roman"/>
          <w:noProof/>
          <w:sz w:val="24"/>
        </w:rPr>
        <w:t xml:space="preserve"> alineatul (</w:t>
      </w:r>
      <w:r w:rsidRPr="0006330A">
        <w:rPr>
          <w:rFonts w:ascii="Times New Roman" w:hAnsi="Times New Roman"/>
          <w:noProof/>
          <w:sz w:val="24"/>
        </w:rPr>
        <w:t>11</w:t>
      </w:r>
      <w:r>
        <w:rPr>
          <w:rFonts w:ascii="Times New Roman" w:hAnsi="Times New Roman"/>
          <w:noProof/>
          <w:sz w:val="24"/>
        </w:rPr>
        <w:t xml:space="preserve">) din RAA, din doi în doi ani, Comisia trebuie să prezinte un raport privind situația financiară a sistemului de asigurări de șomaj. Pentru a facilita urmărirea evoluției fondului, Comisia elaborează întotdeauna acest raport bianual cu o perioadă de referință de cinci ani. Raportul anterior a acoperit perioada </w:t>
      </w:r>
      <w:r w:rsidRPr="0006330A">
        <w:rPr>
          <w:rFonts w:ascii="Times New Roman" w:hAnsi="Times New Roman"/>
          <w:noProof/>
          <w:sz w:val="24"/>
        </w:rPr>
        <w:t>2017</w:t>
      </w:r>
      <w:r>
        <w:rPr>
          <w:rFonts w:ascii="Times New Roman" w:hAnsi="Times New Roman"/>
          <w:noProof/>
          <w:sz w:val="24"/>
        </w:rPr>
        <w:t>-</w:t>
      </w:r>
      <w:r w:rsidRPr="0006330A">
        <w:rPr>
          <w:rFonts w:ascii="Times New Roman" w:hAnsi="Times New Roman"/>
          <w:noProof/>
          <w:sz w:val="24"/>
        </w:rPr>
        <w:t>2022</w:t>
      </w:r>
      <w:r>
        <w:rPr>
          <w:rFonts w:ascii="Times New Roman" w:hAnsi="Times New Roman"/>
          <w:noProof/>
          <w:sz w:val="24"/>
        </w:rPr>
        <w:t xml:space="preserve">, iar perioada de referință pentru prezentul raport este </w:t>
      </w:r>
      <w:r w:rsidRPr="0006330A">
        <w:rPr>
          <w:rFonts w:ascii="Times New Roman" w:hAnsi="Times New Roman"/>
          <w:noProof/>
          <w:sz w:val="24"/>
        </w:rPr>
        <w:t>2019</w:t>
      </w:r>
      <w:r>
        <w:rPr>
          <w:rFonts w:ascii="Times New Roman" w:hAnsi="Times New Roman"/>
          <w:noProof/>
          <w:sz w:val="24"/>
        </w:rPr>
        <w:t>-</w:t>
      </w:r>
      <w:r w:rsidRPr="0006330A">
        <w:rPr>
          <w:rFonts w:ascii="Times New Roman" w:hAnsi="Times New Roman"/>
          <w:noProof/>
          <w:sz w:val="24"/>
        </w:rPr>
        <w:t>2024</w:t>
      </w:r>
      <w:r>
        <w:rPr>
          <w:rFonts w:ascii="Times New Roman" w:hAnsi="Times New Roman"/>
          <w:noProof/>
          <w:sz w:val="24"/>
        </w:rPr>
        <w:t>.</w:t>
      </w:r>
    </w:p>
    <w:p w14:paraId="6530372A" w14:textId="40F6C2B1" w:rsidR="00C4326F" w:rsidRPr="0006330A" w:rsidRDefault="00C4326F" w:rsidP="009D024C">
      <w:pPr>
        <w:pStyle w:val="Heading2"/>
        <w:numPr>
          <w:ilvl w:val="1"/>
          <w:numId w:val="25"/>
        </w:numPr>
        <w:rPr>
          <w:noProof/>
        </w:rPr>
      </w:pPr>
      <w:bookmarkStart w:id="3" w:name="_Toc233306856"/>
      <w:r w:rsidRPr="0006330A">
        <w:rPr>
          <w:noProof/>
        </w:rPr>
        <w:t>Structura raportului</w:t>
      </w:r>
      <w:bookmarkEnd w:id="3"/>
    </w:p>
    <w:p w14:paraId="5B2215D6" w14:textId="45CD3F07" w:rsidR="00C4326F" w:rsidRPr="00D45CAD" w:rsidRDefault="4D61433D" w:rsidP="7E3AAFD6">
      <w:pPr>
        <w:jc w:val="both"/>
        <w:rPr>
          <w:rFonts w:ascii="Times New Roman" w:hAnsi="Times New Roman" w:cs="Times New Roman"/>
          <w:noProof/>
          <w:sz w:val="24"/>
          <w:szCs w:val="24"/>
        </w:rPr>
      </w:pPr>
      <w:r>
        <w:rPr>
          <w:rFonts w:ascii="Times New Roman" w:hAnsi="Times New Roman"/>
          <w:noProof/>
          <w:sz w:val="24"/>
        </w:rPr>
        <w:t xml:space="preserve">După un scurt rezumat al principalelor concluzii ale raportului, secțiunea </w:t>
      </w:r>
      <w:r w:rsidRPr="0006330A">
        <w:rPr>
          <w:rFonts w:ascii="Times New Roman" w:hAnsi="Times New Roman"/>
          <w:noProof/>
          <w:sz w:val="24"/>
        </w:rPr>
        <w:t>2</w:t>
      </w:r>
      <w:r>
        <w:rPr>
          <w:rFonts w:ascii="Times New Roman" w:hAnsi="Times New Roman"/>
          <w:noProof/>
          <w:sz w:val="24"/>
        </w:rPr>
        <w:t xml:space="preserve"> oferă o imagine de ansamblu a cadrului juridic, inclusiv a caracteristicilor majore ale sistemului de șomaj, precum și a referințelor juridice relevante. </w:t>
      </w:r>
    </w:p>
    <w:p w14:paraId="41317C80" w14:textId="4476ED71" w:rsidR="00C4326F" w:rsidRPr="00D45CAD" w:rsidRDefault="53EE67C0" w:rsidP="7E3AAFD6">
      <w:pPr>
        <w:jc w:val="both"/>
        <w:rPr>
          <w:rFonts w:ascii="Times New Roman" w:hAnsi="Times New Roman" w:cs="Times New Roman"/>
          <w:noProof/>
          <w:sz w:val="24"/>
          <w:szCs w:val="24"/>
        </w:rPr>
      </w:pPr>
      <w:r>
        <w:rPr>
          <w:rFonts w:ascii="Times New Roman" w:hAnsi="Times New Roman"/>
          <w:noProof/>
          <w:sz w:val="24"/>
        </w:rPr>
        <w:t xml:space="preserve">Secțiunea </w:t>
      </w:r>
      <w:r w:rsidRPr="0006330A">
        <w:rPr>
          <w:rFonts w:ascii="Times New Roman" w:hAnsi="Times New Roman"/>
          <w:noProof/>
          <w:sz w:val="24"/>
        </w:rPr>
        <w:t>3</w:t>
      </w:r>
      <w:r>
        <w:rPr>
          <w:rFonts w:ascii="Times New Roman" w:hAnsi="Times New Roman"/>
          <w:noProof/>
          <w:sz w:val="24"/>
        </w:rPr>
        <w:t xml:space="preserve"> se axează pe aspectele financiare ale fondului pe parcursul perioadei de referință, evidențiind evoluția veniturilor, a cheltuielilor, precum și a soldului cumulat. </w:t>
      </w:r>
    </w:p>
    <w:p w14:paraId="3A8E06B8" w14:textId="4F2E7E28" w:rsidR="001645BF" w:rsidRDefault="53EE67C0" w:rsidP="7E3AAFD6">
      <w:pPr>
        <w:jc w:val="both"/>
        <w:rPr>
          <w:rFonts w:ascii="Times New Roman" w:hAnsi="Times New Roman" w:cs="Times New Roman"/>
          <w:noProof/>
          <w:sz w:val="24"/>
          <w:szCs w:val="24"/>
        </w:rPr>
      </w:pPr>
      <w:r>
        <w:rPr>
          <w:rFonts w:ascii="Times New Roman" w:hAnsi="Times New Roman"/>
          <w:noProof/>
          <w:sz w:val="24"/>
        </w:rPr>
        <w:t xml:space="preserve">Secțiunea </w:t>
      </w:r>
      <w:r w:rsidRPr="0006330A">
        <w:rPr>
          <w:rFonts w:ascii="Times New Roman" w:hAnsi="Times New Roman"/>
          <w:noProof/>
          <w:sz w:val="24"/>
        </w:rPr>
        <w:t>4</w:t>
      </w:r>
      <w:r>
        <w:rPr>
          <w:rFonts w:ascii="Times New Roman" w:hAnsi="Times New Roman"/>
          <w:noProof/>
          <w:sz w:val="24"/>
        </w:rPr>
        <w:t xml:space="preserve"> analizează aspectele demografice privind membrii și beneficiarii sistemului și alte caracteristici esențiale, cum ar fi durata perioadei de plată și distribuția în funcție de țara de reședință. </w:t>
      </w:r>
    </w:p>
    <w:p w14:paraId="772F3903" w14:textId="75814A0C" w:rsidR="001645BF" w:rsidRPr="002721B3" w:rsidRDefault="001645BF" w:rsidP="7E3AAFD6">
      <w:pPr>
        <w:jc w:val="both"/>
        <w:rPr>
          <w:rFonts w:ascii="Times New Roman" w:hAnsi="Times New Roman" w:cs="Times New Roman"/>
          <w:noProof/>
          <w:sz w:val="24"/>
          <w:szCs w:val="24"/>
        </w:rPr>
      </w:pPr>
      <w:r>
        <w:rPr>
          <w:rFonts w:ascii="Times New Roman" w:hAnsi="Times New Roman"/>
          <w:noProof/>
          <w:sz w:val="24"/>
        </w:rPr>
        <w:t>Raportul se încheie cu câteva considerații pentru viitor.</w:t>
      </w:r>
    </w:p>
    <w:p w14:paraId="16EF24FE" w14:textId="2046BB42" w:rsidR="007527B6" w:rsidRPr="007527B6" w:rsidRDefault="007527B6" w:rsidP="002840D9">
      <w:pPr>
        <w:jc w:val="both"/>
        <w:rPr>
          <w:noProof/>
        </w:rPr>
      </w:pPr>
      <w:r>
        <w:rPr>
          <w:noProof/>
          <w:lang w:val="en-GB" w:eastAsia="en-GB"/>
        </w:rPr>
        <mc:AlternateContent>
          <mc:Choice Requires="wps">
            <w:drawing>
              <wp:anchor distT="0" distB="0" distL="114300" distR="114300" simplePos="0" relativeHeight="251658242" behindDoc="0" locked="0" layoutInCell="1" allowOverlap="1" wp14:anchorId="2164773D" wp14:editId="07069456">
                <wp:simplePos x="0" y="0"/>
                <wp:positionH relativeFrom="margin">
                  <wp:posOffset>-53340</wp:posOffset>
                </wp:positionH>
                <wp:positionV relativeFrom="paragraph">
                  <wp:posOffset>192405</wp:posOffset>
                </wp:positionV>
                <wp:extent cx="6225540" cy="8656320"/>
                <wp:effectExtent l="0" t="0" r="22860" b="11430"/>
                <wp:wrapTopAndBottom/>
                <wp:docPr id="1501662131" name="Rectangle: Rounded Corners 1"/>
                <wp:cNvGraphicFramePr/>
                <a:graphic xmlns:a="http://schemas.openxmlformats.org/drawingml/2006/main">
                  <a:graphicData uri="http://schemas.microsoft.com/office/word/2010/wordprocessingShape">
                    <wps:wsp>
                      <wps:cNvSpPr/>
                      <wps:spPr>
                        <a:xfrm>
                          <a:off x="0" y="0"/>
                          <a:ext cx="6225540" cy="8656320"/>
                        </a:xfrm>
                        <a:prstGeom prst="roundRect">
                          <a:avLst>
                            <a:gd name="adj" fmla="val 4486"/>
                          </a:avLst>
                        </a:prstGeom>
                        <a:solidFill>
                          <a:srgbClr val="4472C4">
                            <a:alpha val="30196"/>
                          </a:srgb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EE7AF5C" w14:textId="77777777" w:rsidR="00B47451" w:rsidRPr="002721B3" w:rsidRDefault="00B47451" w:rsidP="00B47451">
                            <w:pPr>
                              <w:jc w:val="center"/>
                              <w:rPr>
                                <w:rFonts w:ascii="Times New Roman" w:hAnsi="Times New Roman" w:cs="Times New Roman"/>
                                <w:b/>
                                <w:bCs/>
                                <w:color w:val="000000" w:themeColor="text1"/>
                                <w:sz w:val="32"/>
                                <w:szCs w:val="32"/>
                              </w:rPr>
                            </w:pPr>
                            <w:r>
                              <w:rPr>
                                <w:rFonts w:ascii="Times New Roman" w:hAnsi="Times New Roman"/>
                                <w:b/>
                                <w:color w:val="000000" w:themeColor="text1"/>
                                <w:sz w:val="32"/>
                              </w:rPr>
                              <w:t>Principalele concluzii pentru perioada 2019-2024:</w:t>
                            </w:r>
                          </w:p>
                          <w:tbl>
                            <w:tblPr>
                              <w:tblStyle w:val="TableGrid"/>
                              <w:tblW w:w="103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8676"/>
                            </w:tblGrid>
                            <w:tr w:rsidR="00B47451" w:rsidRPr="002721B3" w14:paraId="32D42CB6" w14:textId="77777777" w:rsidTr="00BF4D4A">
                              <w:trPr>
                                <w:jc w:val="center"/>
                              </w:trPr>
                              <w:tc>
                                <w:tcPr>
                                  <w:tcW w:w="1656" w:type="dxa"/>
                                  <w:vAlign w:val="center"/>
                                </w:tcPr>
                                <w:p w14:paraId="393F0CE7" w14:textId="77777777" w:rsidR="00B47451" w:rsidRPr="002721B3" w:rsidRDefault="00B47451" w:rsidP="00B701D2">
                                  <w:pPr>
                                    <w:rPr>
                                      <w:rFonts w:ascii="Times New Roman" w:hAnsi="Times New Roman" w:cs="Times New Roman"/>
                                    </w:rPr>
                                  </w:pPr>
                                  <w:r>
                                    <w:rPr>
                                      <w:rFonts w:ascii="Times New Roman" w:hAnsi="Times New Roman"/>
                                      <w:noProof/>
                                      <w:lang w:val="en-GB" w:eastAsia="en-GB"/>
                                    </w:rPr>
                                    <w:drawing>
                                      <wp:inline distT="0" distB="0" distL="0" distR="0" wp14:anchorId="7D945387" wp14:editId="3E5556A2">
                                        <wp:extent cx="613834" cy="613834"/>
                                        <wp:effectExtent l="0" t="0" r="0" b="0"/>
                                        <wp:docPr id="101470286" name="Graphic 2" descr="Imagine cu e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75518" name="Graphic 1277275518" descr="Euro with solid fill"/>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19"/>
                                                    </a:ext>
                                                  </a:extLst>
                                                </a:blip>
                                                <a:stretch>
                                                  <a:fillRect/>
                                                </a:stretch>
                                              </pic:blipFill>
                                              <pic:spPr>
                                                <a:xfrm>
                                                  <a:off x="0" y="0"/>
                                                  <a:ext cx="616764" cy="616764"/>
                                                </a:xfrm>
                                                <a:prstGeom prst="rect">
                                                  <a:avLst/>
                                                </a:prstGeom>
                                              </pic:spPr>
                                            </pic:pic>
                                          </a:graphicData>
                                        </a:graphic>
                                      </wp:inline>
                                    </w:drawing>
                                  </w:r>
                                </w:p>
                              </w:tc>
                              <w:tc>
                                <w:tcPr>
                                  <w:tcW w:w="8676" w:type="dxa"/>
                                  <w:vAlign w:val="center"/>
                                </w:tcPr>
                                <w:p w14:paraId="42DEC166" w14:textId="5A84C410" w:rsidR="00B47451" w:rsidRPr="002721B3" w:rsidRDefault="00BF4D4A" w:rsidP="00B701D2">
                                  <w:pPr>
                                    <w:rPr>
                                      <w:rFonts w:ascii="Times New Roman" w:hAnsi="Times New Roman" w:cs="Times New Roman"/>
                                      <w:color w:val="000000" w:themeColor="text1"/>
                                    </w:rPr>
                                  </w:pPr>
                                  <w:r w:rsidRPr="003D212A">
                                    <w:rPr>
                                      <w:noProof/>
                                      <w:shd w:val="clear" w:color="auto" w:fill="D5DCE4" w:themeFill="text2" w:themeFillTint="33"/>
                                      <w:lang w:val="en-GB" w:eastAsia="en-GB"/>
                                    </w:rPr>
                                    <w:drawing>
                                      <wp:inline distT="0" distB="0" distL="0" distR="0" wp14:anchorId="32628FC0" wp14:editId="0E00C60B">
                                        <wp:extent cx="4572000" cy="1706880"/>
                                        <wp:effectExtent l="0" t="0" r="0" b="7620"/>
                                        <wp:docPr id="465630774" name="Chart 1">
                                          <a:extLst xmlns:a="http://schemas.openxmlformats.org/drawingml/2006/main">
                                            <a:ext uri="{FF2B5EF4-FFF2-40B4-BE49-F238E27FC236}">
                                              <a16:creationId xmlns:a16="http://schemas.microsoft.com/office/drawing/2014/main" id="{F42E2776-01D0-CFE2-1916-5EBBA64E7A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6AE4AD5" w14:textId="77777777" w:rsidR="00B47451" w:rsidRPr="002721B3" w:rsidRDefault="00B47451" w:rsidP="00B701D2">
                                  <w:pPr>
                                    <w:rPr>
                                      <w:rFonts w:ascii="Times New Roman" w:hAnsi="Times New Roman" w:cs="Times New Roman"/>
                                      <w:color w:val="000000" w:themeColor="text1"/>
                                    </w:rPr>
                                  </w:pPr>
                                  <w:r>
                                    <w:rPr>
                                      <w:rFonts w:ascii="Times New Roman" w:hAnsi="Times New Roman"/>
                                      <w:b/>
                                      <w:color w:val="000000" w:themeColor="text1"/>
                                    </w:rPr>
                                    <w:t xml:space="preserve">Rezervele fondului </w:t>
                                  </w:r>
                                  <w:r>
                                    <w:rPr>
                                      <w:rFonts w:ascii="Times New Roman" w:hAnsi="Times New Roman"/>
                                      <w:color w:val="000000" w:themeColor="text1"/>
                                    </w:rPr>
                                    <w:t>au crescut în cursul perioadei de raportare, ajungând la sfârșitul anului 2024 la peste 106 milioane EUR, de la aproximativ 31 de milioane EUR în 2019.</w:t>
                                  </w:r>
                                </w:p>
                                <w:p w14:paraId="1779B2FC" w14:textId="77777777" w:rsidR="00B47451" w:rsidRPr="002721B3" w:rsidRDefault="00B47451" w:rsidP="00B701D2">
                                  <w:pPr>
                                    <w:rPr>
                                      <w:rFonts w:ascii="Times New Roman" w:hAnsi="Times New Roman" w:cs="Times New Roman"/>
                                      <w:color w:val="000000" w:themeColor="text1"/>
                                    </w:rPr>
                                  </w:pPr>
                                </w:p>
                              </w:tc>
                            </w:tr>
                            <w:tr w:rsidR="00B47451" w:rsidRPr="002721B3" w14:paraId="4A63B4F7" w14:textId="77777777" w:rsidTr="00797ED5">
                              <w:trPr>
                                <w:jc w:val="center"/>
                              </w:trPr>
                              <w:tc>
                                <w:tcPr>
                                  <w:tcW w:w="1656" w:type="dxa"/>
                                  <w:vAlign w:val="center"/>
                                </w:tcPr>
                                <w:p w14:paraId="10C420AE" w14:textId="77777777" w:rsidR="00B47451" w:rsidRPr="002721B3" w:rsidRDefault="00B47451" w:rsidP="00B701D2">
                                  <w:pPr>
                                    <w:rPr>
                                      <w:rFonts w:ascii="Times New Roman" w:hAnsi="Times New Roman" w:cs="Times New Roman"/>
                                      <w:noProof/>
                                    </w:rPr>
                                  </w:pPr>
                                  <w:r>
                                    <w:rPr>
                                      <w:rFonts w:ascii="Times New Roman" w:hAnsi="Times New Roman"/>
                                      <w:noProof/>
                                      <w:lang w:val="en-GB" w:eastAsia="en-GB"/>
                                    </w:rPr>
                                    <w:drawing>
                                      <wp:inline distT="0" distB="0" distL="0" distR="0" wp14:anchorId="3151CF8E" wp14:editId="2A9436AE">
                                        <wp:extent cx="914400" cy="914400"/>
                                        <wp:effectExtent l="0" t="0" r="0" b="0"/>
                                        <wp:docPr id="749467323" name="Graphic 3" descr="Imagine cu un grup de perso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8565" name="Graphic 44268565" descr="Group with solid fill"/>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2"/>
                                                    </a:ext>
                                                  </a:extLst>
                                                </a:blip>
                                                <a:stretch>
                                                  <a:fillRect/>
                                                </a:stretch>
                                              </pic:blipFill>
                                              <pic:spPr>
                                                <a:xfrm>
                                                  <a:off x="0" y="0"/>
                                                  <a:ext cx="914400" cy="914400"/>
                                                </a:xfrm>
                                                <a:prstGeom prst="rect">
                                                  <a:avLst/>
                                                </a:prstGeom>
                                              </pic:spPr>
                                            </pic:pic>
                                          </a:graphicData>
                                        </a:graphic>
                                      </wp:inline>
                                    </w:drawing>
                                  </w:r>
                                </w:p>
                              </w:tc>
                              <w:tc>
                                <w:tcPr>
                                  <w:tcW w:w="8676" w:type="dxa"/>
                                  <w:vAlign w:val="center"/>
                                </w:tcPr>
                                <w:p w14:paraId="4F266F87" w14:textId="39BF3BE3" w:rsidR="00B47451" w:rsidRPr="002721B3" w:rsidRDefault="00797ED5" w:rsidP="00B701D2">
                                  <w:pPr>
                                    <w:rPr>
                                      <w:rFonts w:ascii="Times New Roman" w:hAnsi="Times New Roman" w:cs="Times New Roman"/>
                                      <w:noProof/>
                                      <w:color w:val="000000" w:themeColor="text1"/>
                                    </w:rPr>
                                  </w:pPr>
                                  <w:r w:rsidRPr="003D212A">
                                    <w:rPr>
                                      <w:noProof/>
                                      <w:shd w:val="clear" w:color="auto" w:fill="D9E2F3" w:themeFill="accent1" w:themeFillTint="33"/>
                                      <w:lang w:val="en-GB" w:eastAsia="en-GB"/>
                                    </w:rPr>
                                    <w:drawing>
                                      <wp:inline distT="0" distB="0" distL="0" distR="0" wp14:anchorId="78694549" wp14:editId="6E53802C">
                                        <wp:extent cx="4800600" cy="1996440"/>
                                        <wp:effectExtent l="0" t="0" r="0" b="3810"/>
                                        <wp:docPr id="1198023334" name="Chart 1">
                                          <a:extLst xmlns:a="http://schemas.openxmlformats.org/drawingml/2006/main">
                                            <a:ext uri="{FF2B5EF4-FFF2-40B4-BE49-F238E27FC236}">
                                              <a16:creationId xmlns:a16="http://schemas.microsoft.com/office/drawing/2014/main" id="{E408C1EA-0368-4536-BED2-B256FADFD053}"/>
                                            </a:ext>
                                            <a:ext uri="{147F2762-F138-4A5C-976F-8EAC2B608ADB}">
                                              <a16:predDERef xmlns:a16="http://schemas.microsoft.com/office/drawing/2014/main" pred="{49FC7227-F6DF-E58A-0EF0-667B9FFE79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091705A" w14:textId="77777777" w:rsidR="00B47451" w:rsidRPr="002721B3" w:rsidRDefault="00B47451" w:rsidP="00B701D2">
                                  <w:pPr>
                                    <w:rPr>
                                      <w:rFonts w:ascii="Times New Roman" w:hAnsi="Times New Roman" w:cs="Times New Roman"/>
                                      <w:noProof/>
                                      <w:color w:val="000000" w:themeColor="text1"/>
                                    </w:rPr>
                                  </w:pPr>
                                  <w:r>
                                    <w:rPr>
                                      <w:rFonts w:ascii="Times New Roman" w:hAnsi="Times New Roman"/>
                                      <w:color w:val="000000" w:themeColor="text1"/>
                                    </w:rPr>
                                    <w:t xml:space="preserve">Numărul </w:t>
                                  </w:r>
                                  <w:r>
                                    <w:rPr>
                                      <w:rFonts w:ascii="Times New Roman" w:hAnsi="Times New Roman"/>
                                      <w:b/>
                                      <w:color w:val="000000" w:themeColor="text1"/>
                                    </w:rPr>
                                    <w:t xml:space="preserve">membrilor </w:t>
                                  </w:r>
                                  <w:r>
                                    <w:rPr>
                                      <w:rFonts w:ascii="Times New Roman" w:hAnsi="Times New Roman"/>
                                      <w:color w:val="000000" w:themeColor="text1"/>
                                    </w:rPr>
                                    <w:t xml:space="preserve">a crescut la peste 36 689 (o creștere de 33 % față de 2019). În același timp, numărul </w:t>
                                  </w:r>
                                  <w:r>
                                    <w:rPr>
                                      <w:rFonts w:ascii="Times New Roman" w:hAnsi="Times New Roman"/>
                                      <w:b/>
                                      <w:color w:val="000000" w:themeColor="text1"/>
                                    </w:rPr>
                                    <w:t xml:space="preserve">beneficiarilor </w:t>
                                  </w:r>
                                  <w:r>
                                    <w:rPr>
                                      <w:rFonts w:ascii="Times New Roman" w:hAnsi="Times New Roman"/>
                                      <w:color w:val="000000" w:themeColor="text1"/>
                                    </w:rPr>
                                    <w:t>s-a redus cu 1/3, ajungând la 754.</w:t>
                                  </w:r>
                                </w:p>
                                <w:p w14:paraId="368FEC29" w14:textId="77777777" w:rsidR="00B47451" w:rsidRPr="002721B3" w:rsidRDefault="00B47451" w:rsidP="00B701D2">
                                  <w:pPr>
                                    <w:rPr>
                                      <w:rFonts w:ascii="Times New Roman" w:hAnsi="Times New Roman" w:cs="Times New Roman"/>
                                      <w:noProof/>
                                      <w:color w:val="000000" w:themeColor="text1"/>
                                    </w:rPr>
                                  </w:pPr>
                                </w:p>
                              </w:tc>
                            </w:tr>
                            <w:tr w:rsidR="00B47451" w:rsidRPr="002721B3" w14:paraId="53009EC5" w14:textId="77777777" w:rsidTr="00FC4CDC">
                              <w:trPr>
                                <w:jc w:val="center"/>
                              </w:trPr>
                              <w:tc>
                                <w:tcPr>
                                  <w:tcW w:w="1656" w:type="dxa"/>
                                  <w:vAlign w:val="center"/>
                                </w:tcPr>
                                <w:p w14:paraId="6E2239ED" w14:textId="77777777" w:rsidR="00B47451" w:rsidRPr="002721B3" w:rsidRDefault="00B47451" w:rsidP="00B701D2">
                                  <w:pPr>
                                    <w:rPr>
                                      <w:rFonts w:ascii="Times New Roman" w:hAnsi="Times New Roman" w:cs="Times New Roman"/>
                                    </w:rPr>
                                  </w:pPr>
                                  <w:r>
                                    <w:rPr>
                                      <w:rFonts w:ascii="Times New Roman" w:hAnsi="Times New Roman"/>
                                      <w:noProof/>
                                      <w:lang w:val="en-GB" w:eastAsia="en-GB"/>
                                    </w:rPr>
                                    <w:drawing>
                                      <wp:inline distT="0" distB="0" distL="0" distR="0" wp14:anchorId="2186A93C" wp14:editId="3163E450">
                                        <wp:extent cx="914400" cy="914400"/>
                                        <wp:effectExtent l="0" t="0" r="0" b="0"/>
                                        <wp:docPr id="456011320" name="Graphic 1" descr="Imagine cu mon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descr="Philanthropy with solid fill"/>
                                                <pic:cNvPicPr>
                                                  <a:picLocks noChangeAspect="1"/>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5"/>
                                                    </a:ext>
                                                  </a:extLst>
                                                </a:blip>
                                                <a:stretch>
                                                  <a:fillRect/>
                                                </a:stretch>
                                              </pic:blipFill>
                                              <pic:spPr>
                                                <a:xfrm>
                                                  <a:off x="0" y="0"/>
                                                  <a:ext cx="914400" cy="914400"/>
                                                </a:xfrm>
                                                <a:prstGeom prst="rect">
                                                  <a:avLst/>
                                                </a:prstGeom>
                                              </pic:spPr>
                                            </pic:pic>
                                          </a:graphicData>
                                        </a:graphic>
                                      </wp:inline>
                                    </w:drawing>
                                  </w:r>
                                </w:p>
                              </w:tc>
                              <w:tc>
                                <w:tcPr>
                                  <w:tcW w:w="8676" w:type="dxa"/>
                                  <w:vAlign w:val="center"/>
                                </w:tcPr>
                                <w:p w14:paraId="32151CE7" w14:textId="19A47BBD" w:rsidR="00B47451" w:rsidRPr="002721B3" w:rsidRDefault="00FC4CDC" w:rsidP="00B701D2">
                                  <w:pPr>
                                    <w:rPr>
                                      <w:rFonts w:ascii="Times New Roman" w:hAnsi="Times New Roman" w:cs="Times New Roman"/>
                                      <w:color w:val="000000" w:themeColor="text1"/>
                                    </w:rPr>
                                  </w:pPr>
                                  <w:r w:rsidRPr="003D212A">
                                    <w:rPr>
                                      <w:noProof/>
                                      <w:shd w:val="clear" w:color="auto" w:fill="D9E2F3" w:themeFill="accent1" w:themeFillTint="33"/>
                                      <w:lang w:val="en-GB" w:eastAsia="en-GB"/>
                                    </w:rPr>
                                    <w:drawing>
                                      <wp:inline distT="0" distB="0" distL="0" distR="0" wp14:anchorId="562BBC8E" wp14:editId="22402610">
                                        <wp:extent cx="4755515" cy="2674620"/>
                                        <wp:effectExtent l="0" t="0" r="6985" b="11430"/>
                                        <wp:docPr id="671464252" name="Chart 1">
                                          <a:extLst xmlns:a="http://schemas.openxmlformats.org/drawingml/2006/main">
                                            <a:ext uri="{FF2B5EF4-FFF2-40B4-BE49-F238E27FC236}">
                                              <a16:creationId xmlns:a16="http://schemas.microsoft.com/office/drawing/2014/main" id="{E69AB561-B63B-4768-B8F9-24E57AD6DE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F02A1A8" w14:textId="77777777" w:rsidR="00B47451" w:rsidRPr="002721B3" w:rsidRDefault="00B47451" w:rsidP="00B701D2">
                                  <w:pPr>
                                    <w:rPr>
                                      <w:rFonts w:ascii="Times New Roman" w:hAnsi="Times New Roman" w:cs="Times New Roman"/>
                                      <w:color w:val="000000" w:themeColor="text1"/>
                                    </w:rPr>
                                  </w:pPr>
                                  <w:r>
                                    <w:rPr>
                                      <w:rFonts w:ascii="Times New Roman" w:hAnsi="Times New Roman"/>
                                      <w:b/>
                                      <w:color w:val="000000" w:themeColor="text1"/>
                                    </w:rPr>
                                    <w:t xml:space="preserve">Numărul indemnizațiilor de șomaj </w:t>
                                  </w:r>
                                  <w:r>
                                    <w:rPr>
                                      <w:rFonts w:ascii="Times New Roman" w:hAnsi="Times New Roman"/>
                                      <w:color w:val="000000" w:themeColor="text1"/>
                                    </w:rPr>
                                    <w:t xml:space="preserve">a crescut pentru toate categoriile. Indemnizațiile medii pentru AC au înregistrat o ușoară creștere, în timp ce, pentru AT și APA, au scăzut ușor. </w:t>
                                  </w:r>
                                </w:p>
                              </w:tc>
                            </w:tr>
                          </w:tbl>
                          <w:p w14:paraId="59D7C567" w14:textId="77777777" w:rsidR="00B47451" w:rsidRPr="002721B3" w:rsidRDefault="00B47451" w:rsidP="00B47451">
                            <w:pPr>
                              <w:jc w:val="center"/>
                              <w:rPr>
                                <w:rFonts w:ascii="Times New Roman" w:hAnsi="Times New Roman" w:cs="Times New Roman"/>
                              </w:rPr>
                            </w:pPr>
                          </w:p>
                          <w:p w14:paraId="45BCF874" w14:textId="77777777" w:rsidR="00B47451" w:rsidRDefault="00B47451" w:rsidP="00B4745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64773D" id="Rectangle: Rounded Corners 1" o:spid="_x0000_s1026" style="position:absolute;left:0;text-align:left;margin-left:-4.2pt;margin-top:15.15pt;width:490.2pt;height:681.6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9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" fillcolor="#4472c4" strokecolor="#09101d [484]" strokeweight="1pt">
                <v:fill opacity="19789f"/>
                <v:stroke joinstyle="miter"/>
                <v:textbox>
                  <w:txbxContent>
                    <w:p w14:paraId="1EE7AF5C" w14:textId="77777777" w:rsidR="00B47451" w:rsidRPr="002721B3" w:rsidRDefault="00B47451" w:rsidP="00B47451">
                      <w:pPr>
                        <w:jc w:val="center"/>
                        <w:rPr>
                          <w:rFonts w:ascii="Times New Roman" w:hAnsi="Times New Roman" w:cs="Times New Roman"/>
                          <w:b/>
                          <w:bCs/>
                          <w:color w:val="000000" w:themeColor="text1"/>
                          <w:sz w:val="32"/>
                          <w:szCs w:val="32"/>
                        </w:rPr>
                      </w:pPr>
                      <w:r>
                        <w:rPr>
                          <w:rFonts w:ascii="Times New Roman" w:hAnsi="Times New Roman"/>
                          <w:b/>
                          <w:color w:val="000000" w:themeColor="text1"/>
                          <w:sz w:val="32"/>
                        </w:rPr>
                        <w:t>Principalele concluzii pentru perioada 2019-2024:</w:t>
                      </w:r>
                    </w:p>
                    <w:tbl>
                      <w:tblPr>
                        <w:tblStyle w:val="TableGrid"/>
                        <w:tblW w:w="103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8676"/>
                      </w:tblGrid>
                      <w:tr w:rsidR="00B47451" w:rsidRPr="002721B3" w14:paraId="32D42CB6" w14:textId="77777777" w:rsidTr="00BF4D4A">
                        <w:trPr>
                          <w:jc w:val="center"/>
                        </w:trPr>
                        <w:tc>
                          <w:tcPr>
                            <w:tcW w:w="1656" w:type="dxa"/>
                            <w:vAlign w:val="center"/>
                          </w:tcPr>
                          <w:p w14:paraId="393F0CE7" w14:textId="77777777" w:rsidR="00B47451" w:rsidRPr="002721B3" w:rsidRDefault="00B47451" w:rsidP="00B701D2">
                            <w:pPr>
                              <w:rPr>
                                <w:rFonts w:ascii="Times New Roman" w:hAnsi="Times New Roman" w:cs="Times New Roman"/>
                              </w:rPr>
                            </w:pPr>
                            <w:r>
                              <w:rPr>
                                <w:rFonts w:ascii="Times New Roman" w:hAnsi="Times New Roman"/>
                                <w:noProof/>
                                <w:lang w:val="en-GB" w:eastAsia="en-GB"/>
                              </w:rPr>
                              <w:drawing>
                                <wp:inline distT="0" distB="0" distL="0" distR="0" wp14:anchorId="7D945387" wp14:editId="3E5556A2">
                                  <wp:extent cx="613834" cy="613834"/>
                                  <wp:effectExtent l="0" t="0" r="0" b="0"/>
                                  <wp:docPr id="101470286" name="Graphic 2" descr="Imagine cu e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75518" name="Graphic 1277275518" descr="Euro with solid fill"/>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19"/>
                                              </a:ext>
                                            </a:extLst>
                                          </a:blip>
                                          <a:stretch>
                                            <a:fillRect/>
                                          </a:stretch>
                                        </pic:blipFill>
                                        <pic:spPr>
                                          <a:xfrm>
                                            <a:off x="0" y="0"/>
                                            <a:ext cx="616764" cy="616764"/>
                                          </a:xfrm>
                                          <a:prstGeom prst="rect">
                                            <a:avLst/>
                                          </a:prstGeom>
                                        </pic:spPr>
                                      </pic:pic>
                                    </a:graphicData>
                                  </a:graphic>
                                </wp:inline>
                              </w:drawing>
                            </w:r>
                          </w:p>
                        </w:tc>
                        <w:tc>
                          <w:tcPr>
                            <w:tcW w:w="8676" w:type="dxa"/>
                            <w:vAlign w:val="center"/>
                          </w:tcPr>
                          <w:p w14:paraId="42DEC166" w14:textId="5A84C410" w:rsidR="00B47451" w:rsidRPr="002721B3" w:rsidRDefault="00BF4D4A" w:rsidP="00B701D2">
                            <w:pPr>
                              <w:rPr>
                                <w:rFonts w:ascii="Times New Roman" w:hAnsi="Times New Roman" w:cs="Times New Roman"/>
                                <w:color w:val="000000" w:themeColor="text1"/>
                              </w:rPr>
                            </w:pPr>
                            <w:r w:rsidRPr="003D212A">
                              <w:rPr>
                                <w:noProof/>
                                <w:shd w:val="clear" w:color="auto" w:fill="D5DCE4" w:themeFill="text2" w:themeFillTint="33"/>
                                <w:lang w:val="en-GB" w:eastAsia="en-GB"/>
                              </w:rPr>
                              <w:drawing>
                                <wp:inline distT="0" distB="0" distL="0" distR="0" wp14:anchorId="32628FC0" wp14:editId="0E00C60B">
                                  <wp:extent cx="4572000" cy="1706880"/>
                                  <wp:effectExtent l="0" t="0" r="0" b="7620"/>
                                  <wp:docPr id="465630774" name="Chart 1">
                                    <a:extLst xmlns:a="http://schemas.openxmlformats.org/drawingml/2006/main">
                                      <a:ext uri="{FF2B5EF4-FFF2-40B4-BE49-F238E27FC236}">
                                        <a16:creationId xmlns:a16="http://schemas.microsoft.com/office/drawing/2014/main" id="{F42E2776-01D0-CFE2-1916-5EBBA64E7A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6AE4AD5" w14:textId="77777777" w:rsidR="00B47451" w:rsidRPr="002721B3" w:rsidRDefault="00B47451" w:rsidP="00B701D2">
                            <w:pPr>
                              <w:rPr>
                                <w:rFonts w:ascii="Times New Roman" w:hAnsi="Times New Roman" w:cs="Times New Roman"/>
                                <w:color w:val="000000" w:themeColor="text1"/>
                              </w:rPr>
                            </w:pPr>
                            <w:r>
                              <w:rPr>
                                <w:rFonts w:ascii="Times New Roman" w:hAnsi="Times New Roman"/>
                                <w:b/>
                                <w:color w:val="000000" w:themeColor="text1"/>
                              </w:rPr>
                              <w:t xml:space="preserve">Rezervele fondului </w:t>
                            </w:r>
                            <w:r>
                              <w:rPr>
                                <w:rFonts w:ascii="Times New Roman" w:hAnsi="Times New Roman"/>
                                <w:color w:val="000000" w:themeColor="text1"/>
                              </w:rPr>
                              <w:t>au crescut în cursul perioadei de raportare, ajungând la sfârșitul anului 2024 la peste 106 milioane EUR, de la aproximativ 31 de milioane EUR în 2019.</w:t>
                            </w:r>
                          </w:p>
                          <w:p w14:paraId="1779B2FC" w14:textId="77777777" w:rsidR="00B47451" w:rsidRPr="002721B3" w:rsidRDefault="00B47451" w:rsidP="00B701D2">
                            <w:pPr>
                              <w:rPr>
                                <w:rFonts w:ascii="Times New Roman" w:hAnsi="Times New Roman" w:cs="Times New Roman"/>
                                <w:color w:val="000000" w:themeColor="text1"/>
                              </w:rPr>
                            </w:pPr>
                          </w:p>
                        </w:tc>
                      </w:tr>
                      <w:tr w:rsidR="00B47451" w:rsidRPr="002721B3" w14:paraId="4A63B4F7" w14:textId="77777777" w:rsidTr="00797ED5">
                        <w:trPr>
                          <w:jc w:val="center"/>
                        </w:trPr>
                        <w:tc>
                          <w:tcPr>
                            <w:tcW w:w="1656" w:type="dxa"/>
                            <w:vAlign w:val="center"/>
                          </w:tcPr>
                          <w:p w14:paraId="10C420AE" w14:textId="77777777" w:rsidR="00B47451" w:rsidRPr="002721B3" w:rsidRDefault="00B47451" w:rsidP="00B701D2">
                            <w:pPr>
                              <w:rPr>
                                <w:rFonts w:ascii="Times New Roman" w:hAnsi="Times New Roman" w:cs="Times New Roman"/>
                                <w:noProof/>
                              </w:rPr>
                            </w:pPr>
                            <w:r>
                              <w:rPr>
                                <w:rFonts w:ascii="Times New Roman" w:hAnsi="Times New Roman"/>
                                <w:noProof/>
                                <w:lang w:val="en-GB" w:eastAsia="en-GB"/>
                              </w:rPr>
                              <w:drawing>
                                <wp:inline distT="0" distB="0" distL="0" distR="0" wp14:anchorId="3151CF8E" wp14:editId="2A9436AE">
                                  <wp:extent cx="914400" cy="914400"/>
                                  <wp:effectExtent l="0" t="0" r="0" b="0"/>
                                  <wp:docPr id="749467323" name="Graphic 3" descr="Imagine cu un grup de perso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8565" name="Graphic 44268565" descr="Group with solid fill"/>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2"/>
                                              </a:ext>
                                            </a:extLst>
                                          </a:blip>
                                          <a:stretch>
                                            <a:fillRect/>
                                          </a:stretch>
                                        </pic:blipFill>
                                        <pic:spPr>
                                          <a:xfrm>
                                            <a:off x="0" y="0"/>
                                            <a:ext cx="914400" cy="914400"/>
                                          </a:xfrm>
                                          <a:prstGeom prst="rect">
                                            <a:avLst/>
                                          </a:prstGeom>
                                        </pic:spPr>
                                      </pic:pic>
                                    </a:graphicData>
                                  </a:graphic>
                                </wp:inline>
                              </w:drawing>
                            </w:r>
                          </w:p>
                        </w:tc>
                        <w:tc>
                          <w:tcPr>
                            <w:tcW w:w="8676" w:type="dxa"/>
                            <w:vAlign w:val="center"/>
                          </w:tcPr>
                          <w:p w14:paraId="4F266F87" w14:textId="39BF3BE3" w:rsidR="00B47451" w:rsidRPr="002721B3" w:rsidRDefault="00797ED5" w:rsidP="00B701D2">
                            <w:pPr>
                              <w:rPr>
                                <w:rFonts w:ascii="Times New Roman" w:hAnsi="Times New Roman" w:cs="Times New Roman"/>
                                <w:noProof/>
                                <w:color w:val="000000" w:themeColor="text1"/>
                              </w:rPr>
                            </w:pPr>
                            <w:r w:rsidRPr="003D212A">
                              <w:rPr>
                                <w:noProof/>
                                <w:shd w:val="clear" w:color="auto" w:fill="D9E2F3" w:themeFill="accent1" w:themeFillTint="33"/>
                                <w:lang w:val="en-GB" w:eastAsia="en-GB"/>
                              </w:rPr>
                              <w:drawing>
                                <wp:inline distT="0" distB="0" distL="0" distR="0" wp14:anchorId="78694549" wp14:editId="6E53802C">
                                  <wp:extent cx="4800600" cy="1996440"/>
                                  <wp:effectExtent l="0" t="0" r="0" b="3810"/>
                                  <wp:docPr id="1198023334" name="Chart 1">
                                    <a:extLst xmlns:a="http://schemas.openxmlformats.org/drawingml/2006/main">
                                      <a:ext uri="{FF2B5EF4-FFF2-40B4-BE49-F238E27FC236}">
                                        <a16:creationId xmlns:a16="http://schemas.microsoft.com/office/drawing/2014/main" id="{E408C1EA-0368-4536-BED2-B256FADFD053}"/>
                                      </a:ext>
                                      <a:ext uri="{147F2762-F138-4A5C-976F-8EAC2B608ADB}">
                                        <a16:predDERef xmlns:a16="http://schemas.microsoft.com/office/drawing/2014/main" pred="{49FC7227-F6DF-E58A-0EF0-667B9FFE79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091705A" w14:textId="77777777" w:rsidR="00B47451" w:rsidRPr="002721B3" w:rsidRDefault="00B47451" w:rsidP="00B701D2">
                            <w:pPr>
                              <w:rPr>
                                <w:rFonts w:ascii="Times New Roman" w:hAnsi="Times New Roman" w:cs="Times New Roman"/>
                                <w:noProof/>
                                <w:color w:val="000000" w:themeColor="text1"/>
                              </w:rPr>
                            </w:pPr>
                            <w:r>
                              <w:rPr>
                                <w:rFonts w:ascii="Times New Roman" w:hAnsi="Times New Roman"/>
                                <w:color w:val="000000" w:themeColor="text1"/>
                              </w:rPr>
                              <w:t xml:space="preserve">Numărul </w:t>
                            </w:r>
                            <w:r>
                              <w:rPr>
                                <w:rFonts w:ascii="Times New Roman" w:hAnsi="Times New Roman"/>
                                <w:b/>
                                <w:color w:val="000000" w:themeColor="text1"/>
                              </w:rPr>
                              <w:t xml:space="preserve">membrilor </w:t>
                            </w:r>
                            <w:r>
                              <w:rPr>
                                <w:rFonts w:ascii="Times New Roman" w:hAnsi="Times New Roman"/>
                                <w:color w:val="000000" w:themeColor="text1"/>
                              </w:rPr>
                              <w:t xml:space="preserve">a crescut la peste 36 689 (o creștere de 33 % față de 2019). În același timp, numărul </w:t>
                            </w:r>
                            <w:r>
                              <w:rPr>
                                <w:rFonts w:ascii="Times New Roman" w:hAnsi="Times New Roman"/>
                                <w:b/>
                                <w:color w:val="000000" w:themeColor="text1"/>
                              </w:rPr>
                              <w:t xml:space="preserve">beneficiarilor </w:t>
                            </w:r>
                            <w:r>
                              <w:rPr>
                                <w:rFonts w:ascii="Times New Roman" w:hAnsi="Times New Roman"/>
                                <w:color w:val="000000" w:themeColor="text1"/>
                              </w:rPr>
                              <w:t>s-a redus cu 1/3, ajungând la 754.</w:t>
                            </w:r>
                          </w:p>
                          <w:p w14:paraId="368FEC29" w14:textId="77777777" w:rsidR="00B47451" w:rsidRPr="002721B3" w:rsidRDefault="00B47451" w:rsidP="00B701D2">
                            <w:pPr>
                              <w:rPr>
                                <w:rFonts w:ascii="Times New Roman" w:hAnsi="Times New Roman" w:cs="Times New Roman"/>
                                <w:noProof/>
                                <w:color w:val="000000" w:themeColor="text1"/>
                              </w:rPr>
                            </w:pPr>
                          </w:p>
                        </w:tc>
                      </w:tr>
                      <w:tr w:rsidR="00B47451" w:rsidRPr="002721B3" w14:paraId="53009EC5" w14:textId="77777777" w:rsidTr="00FC4CDC">
                        <w:trPr>
                          <w:jc w:val="center"/>
                        </w:trPr>
                        <w:tc>
                          <w:tcPr>
                            <w:tcW w:w="1656" w:type="dxa"/>
                            <w:vAlign w:val="center"/>
                          </w:tcPr>
                          <w:p w14:paraId="6E2239ED" w14:textId="77777777" w:rsidR="00B47451" w:rsidRPr="002721B3" w:rsidRDefault="00B47451" w:rsidP="00B701D2">
                            <w:pPr>
                              <w:rPr>
                                <w:rFonts w:ascii="Times New Roman" w:hAnsi="Times New Roman" w:cs="Times New Roman"/>
                              </w:rPr>
                            </w:pPr>
                            <w:r>
                              <w:rPr>
                                <w:rFonts w:ascii="Times New Roman" w:hAnsi="Times New Roman"/>
                                <w:noProof/>
                                <w:lang w:val="en-GB" w:eastAsia="en-GB"/>
                              </w:rPr>
                              <w:drawing>
                                <wp:inline distT="0" distB="0" distL="0" distR="0" wp14:anchorId="2186A93C" wp14:editId="3163E450">
                                  <wp:extent cx="914400" cy="914400"/>
                                  <wp:effectExtent l="0" t="0" r="0" b="0"/>
                                  <wp:docPr id="456011320" name="Graphic 1" descr="Imagine cu mon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descr="Philanthropy with solid fill"/>
                                          <pic:cNvPicPr>
                                            <a:picLocks noChangeAspect="1"/>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5"/>
                                              </a:ext>
                                            </a:extLst>
                                          </a:blip>
                                          <a:stretch>
                                            <a:fillRect/>
                                          </a:stretch>
                                        </pic:blipFill>
                                        <pic:spPr>
                                          <a:xfrm>
                                            <a:off x="0" y="0"/>
                                            <a:ext cx="914400" cy="914400"/>
                                          </a:xfrm>
                                          <a:prstGeom prst="rect">
                                            <a:avLst/>
                                          </a:prstGeom>
                                        </pic:spPr>
                                      </pic:pic>
                                    </a:graphicData>
                                  </a:graphic>
                                </wp:inline>
                              </w:drawing>
                            </w:r>
                          </w:p>
                        </w:tc>
                        <w:tc>
                          <w:tcPr>
                            <w:tcW w:w="8676" w:type="dxa"/>
                            <w:vAlign w:val="center"/>
                          </w:tcPr>
                          <w:p w14:paraId="32151CE7" w14:textId="19A47BBD" w:rsidR="00B47451" w:rsidRPr="002721B3" w:rsidRDefault="00FC4CDC" w:rsidP="00B701D2">
                            <w:pPr>
                              <w:rPr>
                                <w:rFonts w:ascii="Times New Roman" w:hAnsi="Times New Roman" w:cs="Times New Roman"/>
                                <w:color w:val="000000" w:themeColor="text1"/>
                              </w:rPr>
                            </w:pPr>
                            <w:r w:rsidRPr="003D212A">
                              <w:rPr>
                                <w:noProof/>
                                <w:shd w:val="clear" w:color="auto" w:fill="D9E2F3" w:themeFill="accent1" w:themeFillTint="33"/>
                                <w:lang w:val="en-GB" w:eastAsia="en-GB"/>
                              </w:rPr>
                              <w:drawing>
                                <wp:inline distT="0" distB="0" distL="0" distR="0" wp14:anchorId="562BBC8E" wp14:editId="22402610">
                                  <wp:extent cx="4755515" cy="2674620"/>
                                  <wp:effectExtent l="0" t="0" r="6985" b="11430"/>
                                  <wp:docPr id="671464252" name="Chart 1">
                                    <a:extLst xmlns:a="http://schemas.openxmlformats.org/drawingml/2006/main">
                                      <a:ext uri="{FF2B5EF4-FFF2-40B4-BE49-F238E27FC236}">
                                        <a16:creationId xmlns:a16="http://schemas.microsoft.com/office/drawing/2014/main" id="{E69AB561-B63B-4768-B8F9-24E57AD6DE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F02A1A8" w14:textId="77777777" w:rsidR="00B47451" w:rsidRPr="002721B3" w:rsidRDefault="00B47451" w:rsidP="00B701D2">
                            <w:pPr>
                              <w:rPr>
                                <w:rFonts w:ascii="Times New Roman" w:hAnsi="Times New Roman" w:cs="Times New Roman"/>
                                <w:color w:val="000000" w:themeColor="text1"/>
                              </w:rPr>
                            </w:pPr>
                            <w:r>
                              <w:rPr>
                                <w:rFonts w:ascii="Times New Roman" w:hAnsi="Times New Roman"/>
                                <w:b/>
                                <w:color w:val="000000" w:themeColor="text1"/>
                              </w:rPr>
                              <w:t xml:space="preserve">Numărul indemnizațiilor de șomaj </w:t>
                            </w:r>
                            <w:r>
                              <w:rPr>
                                <w:rFonts w:ascii="Times New Roman" w:hAnsi="Times New Roman"/>
                                <w:color w:val="000000" w:themeColor="text1"/>
                              </w:rPr>
                              <w:t xml:space="preserve">a crescut pentru toate categoriile. Indemnizațiile medii pentru AC au înregistrat o ușoară creștere, în timp ce, pentru AT și APA, au scăzut ușor. </w:t>
                            </w:r>
                          </w:p>
                        </w:tc>
                      </w:tr>
                    </w:tbl>
                    <w:p w14:paraId="59D7C567" w14:textId="77777777" w:rsidR="00B47451" w:rsidRPr="002721B3" w:rsidRDefault="00B47451" w:rsidP="00B47451">
                      <w:pPr>
                        <w:jc w:val="center"/>
                        <w:rPr>
                          <w:rFonts w:ascii="Times New Roman" w:hAnsi="Times New Roman" w:cs="Times New Roman"/>
                        </w:rPr>
                      </w:pPr>
                    </w:p>
                    <w:p w14:paraId="45BCF874" w14:textId="77777777" w:rsidR="00B47451" w:rsidRDefault="00B47451" w:rsidP="00B47451"/>
                  </w:txbxContent>
                </v:textbox>
                <w10:wrap type="topAndBottom" anchorx="margin"/>
              </v:roundrect>
            </w:pict>
          </mc:Fallback>
        </mc:AlternateContent>
      </w:r>
      <w:r>
        <w:rPr>
          <w:rFonts w:ascii="Times New Roman" w:hAnsi="Times New Roman"/>
          <w:noProof/>
          <w:sz w:val="24"/>
        </w:rPr>
        <w:t xml:space="preserve"> </w:t>
      </w:r>
    </w:p>
    <w:p w14:paraId="5E4DA845" w14:textId="78C3CF18" w:rsidR="00C00B75" w:rsidRPr="0006330A" w:rsidRDefault="00F05C9F" w:rsidP="00810F44">
      <w:pPr>
        <w:pStyle w:val="Heading1"/>
        <w:numPr>
          <w:ilvl w:val="0"/>
          <w:numId w:val="0"/>
        </w:numPr>
        <w:rPr>
          <w:noProof/>
        </w:rPr>
      </w:pPr>
      <w:bookmarkStart w:id="4" w:name="_Toc233306857"/>
      <w:r w:rsidRPr="0006330A">
        <w:rPr>
          <w:noProof/>
        </w:rPr>
        <w:t>2. Cadrul de reglementare</w:t>
      </w:r>
      <w:bookmarkEnd w:id="4"/>
    </w:p>
    <w:p w14:paraId="62097761" w14:textId="4B25A5F0" w:rsidR="007613E5" w:rsidRPr="0006330A" w:rsidRDefault="00810F44" w:rsidP="007613E5">
      <w:pPr>
        <w:pStyle w:val="Heading2"/>
        <w:numPr>
          <w:ilvl w:val="1"/>
          <w:numId w:val="28"/>
        </w:numPr>
        <w:rPr>
          <w:noProof/>
        </w:rPr>
      </w:pPr>
      <w:bookmarkStart w:id="5" w:name="_Toc233306858"/>
      <w:r w:rsidRPr="0006330A">
        <w:rPr>
          <w:noProof/>
        </w:rPr>
        <w:t>Cadrul juridic</w:t>
      </w:r>
      <w:bookmarkEnd w:id="5"/>
      <w:r w:rsidRPr="0006330A">
        <w:rPr>
          <w:noProof/>
        </w:rPr>
        <w:t xml:space="preserve"> </w:t>
      </w:r>
    </w:p>
    <w:p w14:paraId="0EC2239A" w14:textId="184172B4" w:rsidR="007613E5" w:rsidRPr="0050426A" w:rsidRDefault="007613E5" w:rsidP="0050426A">
      <w:pPr>
        <w:jc w:val="both"/>
        <w:rPr>
          <w:rFonts w:ascii="Times New Roman" w:hAnsi="Times New Roman" w:cs="Times New Roman"/>
          <w:noProof/>
          <w:sz w:val="24"/>
          <w:szCs w:val="24"/>
        </w:rPr>
      </w:pPr>
      <w:r>
        <w:rPr>
          <w:rFonts w:ascii="Times New Roman" w:hAnsi="Times New Roman"/>
          <w:noProof/>
          <w:sz w:val="24"/>
        </w:rPr>
        <w:t>Condițiile care reglementează indemnizația de șomaj pentru personalul temporar sunt prevăzute la articolul </w:t>
      </w:r>
      <w:r w:rsidRPr="0006330A">
        <w:rPr>
          <w:rFonts w:ascii="Times New Roman" w:hAnsi="Times New Roman"/>
          <w:noProof/>
          <w:sz w:val="24"/>
        </w:rPr>
        <w:t>28</w:t>
      </w:r>
      <w:r>
        <w:rPr>
          <w:rFonts w:ascii="Times New Roman" w:hAnsi="Times New Roman"/>
          <w:noProof/>
          <w:sz w:val="24"/>
        </w:rPr>
        <w:t>a din RAA</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și la articolul </w:t>
      </w:r>
      <w:r w:rsidRPr="0006330A">
        <w:rPr>
          <w:rFonts w:ascii="Times New Roman" w:hAnsi="Times New Roman"/>
          <w:noProof/>
          <w:sz w:val="24"/>
        </w:rPr>
        <w:t>5</w:t>
      </w:r>
      <w:r>
        <w:rPr>
          <w:rFonts w:ascii="Times New Roman" w:hAnsi="Times New Roman"/>
          <w:noProof/>
          <w:sz w:val="24"/>
        </w:rPr>
        <w:t xml:space="preserve"> din anexa la acesta.</w:t>
      </w:r>
    </w:p>
    <w:p w14:paraId="4FE79004" w14:textId="6F1F14E9" w:rsidR="007613E5" w:rsidRPr="0050426A" w:rsidRDefault="007613E5" w:rsidP="0050426A">
      <w:pPr>
        <w:jc w:val="both"/>
        <w:rPr>
          <w:rFonts w:ascii="Times New Roman" w:hAnsi="Times New Roman" w:cs="Times New Roman"/>
          <w:noProof/>
          <w:sz w:val="24"/>
          <w:szCs w:val="24"/>
        </w:rPr>
      </w:pPr>
      <w:r>
        <w:rPr>
          <w:rFonts w:ascii="Times New Roman" w:hAnsi="Times New Roman"/>
          <w:noProof/>
          <w:sz w:val="24"/>
        </w:rPr>
        <w:t>Normele corespunzătoare privind personalul contractual sunt prevăzute la articolul </w:t>
      </w:r>
      <w:r w:rsidRPr="0006330A">
        <w:rPr>
          <w:rFonts w:ascii="Times New Roman" w:hAnsi="Times New Roman"/>
          <w:noProof/>
          <w:sz w:val="24"/>
        </w:rPr>
        <w:t>96</w:t>
      </w:r>
      <w:r>
        <w:rPr>
          <w:rFonts w:ascii="Times New Roman" w:hAnsi="Times New Roman"/>
          <w:noProof/>
          <w:sz w:val="24"/>
        </w:rPr>
        <w:t xml:space="preserve"> din RAA</w:t>
      </w:r>
      <w:r>
        <w:rPr>
          <w:rStyle w:val="FootnoteReference"/>
          <w:rFonts w:ascii="Times New Roman" w:hAnsi="Times New Roman" w:cs="Times New Roman"/>
          <w:noProof/>
          <w:sz w:val="24"/>
          <w:szCs w:val="24"/>
        </w:rPr>
        <w:footnoteReference w:id="4"/>
      </w:r>
      <w:r>
        <w:rPr>
          <w:rFonts w:ascii="Times New Roman" w:hAnsi="Times New Roman"/>
          <w:noProof/>
          <w:sz w:val="24"/>
        </w:rPr>
        <w:t>.</w:t>
      </w:r>
    </w:p>
    <w:p w14:paraId="1007879A" w14:textId="51A94361" w:rsidR="007613E5" w:rsidRPr="0050426A" w:rsidRDefault="007613E5" w:rsidP="0050426A">
      <w:pPr>
        <w:jc w:val="both"/>
        <w:rPr>
          <w:rFonts w:ascii="Times New Roman" w:hAnsi="Times New Roman" w:cs="Times New Roman"/>
          <w:noProof/>
          <w:sz w:val="24"/>
          <w:szCs w:val="24"/>
        </w:rPr>
      </w:pPr>
      <w:r>
        <w:rPr>
          <w:rFonts w:ascii="Times New Roman" w:hAnsi="Times New Roman"/>
          <w:noProof/>
          <w:sz w:val="24"/>
        </w:rPr>
        <w:t xml:space="preserve">Dispozițiile tehnice referitoare la prestațiile de securitate socială sunt prevăzute la articolele </w:t>
      </w:r>
      <w:r w:rsidRPr="0006330A">
        <w:rPr>
          <w:rFonts w:ascii="Times New Roman" w:hAnsi="Times New Roman"/>
          <w:noProof/>
          <w:sz w:val="24"/>
        </w:rPr>
        <w:t>135</w:t>
      </w:r>
      <w:r>
        <w:rPr>
          <w:rFonts w:ascii="Times New Roman" w:hAnsi="Times New Roman"/>
          <w:noProof/>
          <w:sz w:val="24"/>
        </w:rPr>
        <w:t xml:space="preserve"> și </w:t>
      </w:r>
      <w:r w:rsidRPr="0006330A">
        <w:rPr>
          <w:rFonts w:ascii="Times New Roman" w:hAnsi="Times New Roman"/>
          <w:noProof/>
          <w:sz w:val="24"/>
        </w:rPr>
        <w:t>136</w:t>
      </w:r>
      <w:r>
        <w:rPr>
          <w:rFonts w:ascii="Times New Roman" w:hAnsi="Times New Roman"/>
          <w:noProof/>
          <w:sz w:val="24"/>
        </w:rPr>
        <w:t xml:space="preserve"> din RAA.</w:t>
      </w:r>
    </w:p>
    <w:p w14:paraId="26709CEF" w14:textId="7133147A" w:rsidR="007613E5" w:rsidRPr="0050426A" w:rsidRDefault="007613E5" w:rsidP="0050426A">
      <w:pPr>
        <w:jc w:val="both"/>
        <w:rPr>
          <w:rFonts w:ascii="Times New Roman" w:hAnsi="Times New Roman" w:cs="Times New Roman"/>
          <w:noProof/>
          <w:sz w:val="24"/>
          <w:szCs w:val="24"/>
        </w:rPr>
      </w:pPr>
      <w:r>
        <w:rPr>
          <w:rFonts w:ascii="Times New Roman" w:hAnsi="Times New Roman"/>
          <w:noProof/>
          <w:sz w:val="24"/>
        </w:rPr>
        <w:t>Actualizarea remunerațiilor și a sumelor financiare aferente, inclusiv a indemnizației de șomaj, este reglementată de articolul </w:t>
      </w:r>
      <w:r w:rsidRPr="0006330A">
        <w:rPr>
          <w:rFonts w:ascii="Times New Roman" w:hAnsi="Times New Roman"/>
          <w:noProof/>
          <w:sz w:val="24"/>
        </w:rPr>
        <w:t>65</w:t>
      </w:r>
      <w:r>
        <w:rPr>
          <w:rFonts w:ascii="Times New Roman" w:hAnsi="Times New Roman"/>
          <w:noProof/>
          <w:sz w:val="24"/>
        </w:rPr>
        <w:t xml:space="preserve"> alineatul (</w:t>
      </w:r>
      <w:r w:rsidRPr="0006330A">
        <w:rPr>
          <w:rFonts w:ascii="Times New Roman" w:hAnsi="Times New Roman"/>
          <w:noProof/>
          <w:sz w:val="24"/>
        </w:rPr>
        <w:t>1</w:t>
      </w:r>
      <w:r>
        <w:rPr>
          <w:rFonts w:ascii="Times New Roman" w:hAnsi="Times New Roman"/>
          <w:noProof/>
          <w:sz w:val="24"/>
        </w:rPr>
        <w:t>) din Statutul funcționarilor.</w:t>
      </w:r>
    </w:p>
    <w:p w14:paraId="6618EDDF" w14:textId="41A72765" w:rsidR="007613E5" w:rsidRPr="0050426A" w:rsidRDefault="007613E5" w:rsidP="0050426A">
      <w:pPr>
        <w:jc w:val="both"/>
        <w:rPr>
          <w:rFonts w:ascii="Times New Roman" w:hAnsi="Times New Roman" w:cs="Times New Roman"/>
          <w:noProof/>
          <w:sz w:val="24"/>
          <w:szCs w:val="24"/>
        </w:rPr>
      </w:pPr>
      <w:r>
        <w:rPr>
          <w:rFonts w:ascii="Times New Roman" w:hAnsi="Times New Roman"/>
          <w:noProof/>
          <w:sz w:val="24"/>
        </w:rPr>
        <w:t>Dispozițiile detaliate de punere în aplicare a sistemului de indemnizații de șomaj sunt stabilite prin Regulamentul (CE) nr. </w:t>
      </w:r>
      <w:r w:rsidRPr="0006330A">
        <w:rPr>
          <w:rFonts w:ascii="Times New Roman" w:hAnsi="Times New Roman"/>
          <w:noProof/>
          <w:sz w:val="24"/>
        </w:rPr>
        <w:t>780</w:t>
      </w:r>
      <w:r>
        <w:rPr>
          <w:rFonts w:ascii="Times New Roman" w:hAnsi="Times New Roman"/>
          <w:noProof/>
          <w:sz w:val="24"/>
        </w:rPr>
        <w:t>/</w:t>
      </w:r>
      <w:r w:rsidRPr="0006330A">
        <w:rPr>
          <w:rFonts w:ascii="Times New Roman" w:hAnsi="Times New Roman"/>
          <w:noProof/>
          <w:sz w:val="24"/>
        </w:rPr>
        <w:t>2009</w:t>
      </w:r>
      <w:r>
        <w:rPr>
          <w:rFonts w:ascii="Times New Roman" w:hAnsi="Times New Roman"/>
          <w:noProof/>
          <w:sz w:val="24"/>
        </w:rPr>
        <w:t xml:space="preserve"> al Comisiei</w:t>
      </w:r>
      <w:r>
        <w:rPr>
          <w:rStyle w:val="FootnoteReference"/>
          <w:rFonts w:ascii="Times New Roman" w:eastAsia="Calibri" w:hAnsi="Times New Roman" w:cs="Times New Roman"/>
          <w:noProof/>
          <w:sz w:val="24"/>
          <w:szCs w:val="24"/>
        </w:rPr>
        <w:footnoteReference w:id="5"/>
      </w:r>
      <w:r>
        <w:rPr>
          <w:rFonts w:ascii="Times New Roman" w:hAnsi="Times New Roman"/>
          <w:noProof/>
          <w:sz w:val="24"/>
        </w:rPr>
        <w:t>.</w:t>
      </w:r>
    </w:p>
    <w:p w14:paraId="29E6B35E" w14:textId="279873EC" w:rsidR="00810F44" w:rsidRPr="0050426A" w:rsidRDefault="007613E5" w:rsidP="0050426A">
      <w:pPr>
        <w:jc w:val="both"/>
        <w:rPr>
          <w:rFonts w:cs="Times New Roman"/>
          <w:noProof/>
          <w:sz w:val="24"/>
          <w:szCs w:val="24"/>
        </w:rPr>
      </w:pPr>
      <w:r>
        <w:rPr>
          <w:rFonts w:ascii="Times New Roman" w:hAnsi="Times New Roman"/>
          <w:noProof/>
          <w:sz w:val="24"/>
        </w:rPr>
        <w:t xml:space="preserve">Modalitățile procedurale de acordare a indemnizațiilor de șomaj agenților temporari sunt prevăzute în Normele Comisiei din </w:t>
      </w:r>
      <w:r w:rsidRPr="0006330A">
        <w:rPr>
          <w:rFonts w:ascii="Times New Roman" w:hAnsi="Times New Roman"/>
          <w:noProof/>
          <w:sz w:val="24"/>
        </w:rPr>
        <w:t>14</w:t>
      </w:r>
      <w:r>
        <w:rPr>
          <w:rFonts w:ascii="Times New Roman" w:hAnsi="Times New Roman"/>
          <w:noProof/>
          <w:sz w:val="24"/>
        </w:rPr>
        <w:t xml:space="preserve"> iulie </w:t>
      </w:r>
      <w:r w:rsidRPr="0006330A">
        <w:rPr>
          <w:rFonts w:ascii="Times New Roman" w:hAnsi="Times New Roman"/>
          <w:noProof/>
          <w:sz w:val="24"/>
        </w:rPr>
        <w:t>1988</w:t>
      </w:r>
      <w:r>
        <w:rPr>
          <w:rFonts w:ascii="Times New Roman" w:hAnsi="Times New Roman"/>
          <w:noProof/>
          <w:sz w:val="24"/>
        </w:rPr>
        <w:t xml:space="preserve"> de punere în aplicare a articolului </w:t>
      </w:r>
      <w:r w:rsidRPr="0006330A">
        <w:rPr>
          <w:rFonts w:ascii="Times New Roman" w:hAnsi="Times New Roman"/>
          <w:noProof/>
          <w:sz w:val="24"/>
        </w:rPr>
        <w:t>28</w:t>
      </w:r>
      <w:r>
        <w:rPr>
          <w:rFonts w:ascii="Times New Roman" w:hAnsi="Times New Roman"/>
          <w:noProof/>
          <w:sz w:val="24"/>
        </w:rPr>
        <w:t>a alineatul (</w:t>
      </w:r>
      <w:r w:rsidRPr="0006330A">
        <w:rPr>
          <w:rFonts w:ascii="Times New Roman" w:hAnsi="Times New Roman"/>
          <w:noProof/>
          <w:sz w:val="24"/>
        </w:rPr>
        <w:t>10</w:t>
      </w:r>
      <w:r>
        <w:rPr>
          <w:rFonts w:ascii="Times New Roman" w:hAnsi="Times New Roman"/>
          <w:noProof/>
          <w:sz w:val="24"/>
        </w:rPr>
        <w:t>) din RAA</w:t>
      </w:r>
      <w:r>
        <w:rPr>
          <w:rStyle w:val="FootnoteReference"/>
          <w:rFonts w:ascii="Times New Roman" w:hAnsi="Times New Roman" w:cs="Times New Roman"/>
          <w:noProof/>
          <w:sz w:val="24"/>
          <w:szCs w:val="24"/>
        </w:rPr>
        <w:footnoteReference w:id="6"/>
      </w:r>
      <w:r>
        <w:rPr>
          <w:rFonts w:ascii="Times New Roman" w:hAnsi="Times New Roman"/>
          <w:noProof/>
          <w:sz w:val="24"/>
        </w:rPr>
        <w:t>.</w:t>
      </w:r>
    </w:p>
    <w:p w14:paraId="53603937" w14:textId="0130D76C" w:rsidR="00C00B75" w:rsidRPr="0006330A" w:rsidRDefault="00F05C9F" w:rsidP="00DF5D65">
      <w:pPr>
        <w:pStyle w:val="Heading2"/>
        <w:numPr>
          <w:ilvl w:val="0"/>
          <w:numId w:val="0"/>
        </w:numPr>
        <w:ind w:left="576" w:hanging="576"/>
        <w:rPr>
          <w:noProof/>
        </w:rPr>
      </w:pPr>
      <w:bookmarkStart w:id="6" w:name="_Toc233306859"/>
      <w:r w:rsidRPr="0006330A">
        <w:rPr>
          <w:noProof/>
        </w:rPr>
        <w:t>2.2 Descrierea sistemului</w:t>
      </w:r>
      <w:bookmarkEnd w:id="6"/>
      <w:r w:rsidRPr="0006330A">
        <w:rPr>
          <w:noProof/>
        </w:rPr>
        <w:t xml:space="preserve"> </w:t>
      </w:r>
    </w:p>
    <w:p w14:paraId="32FDA4C6" w14:textId="390F36FB" w:rsidR="00B67026" w:rsidRPr="002721B3" w:rsidRDefault="00DA61D3" w:rsidP="00320D37">
      <w:pPr>
        <w:jc w:val="both"/>
        <w:rPr>
          <w:rFonts w:ascii="Times New Roman" w:hAnsi="Times New Roman" w:cs="Times New Roman"/>
          <w:noProof/>
          <w:sz w:val="24"/>
          <w:szCs w:val="24"/>
        </w:rPr>
      </w:pPr>
      <w:bookmarkStart w:id="7" w:name="_Hlk221723703"/>
      <w:r>
        <w:rPr>
          <w:rFonts w:ascii="Times New Roman" w:hAnsi="Times New Roman"/>
          <w:noProof/>
          <w:sz w:val="24"/>
        </w:rPr>
        <w:t xml:space="preserve">Astfel cum se menționează în capitolul </w:t>
      </w:r>
      <w:r w:rsidRPr="0006330A">
        <w:rPr>
          <w:rFonts w:ascii="Times New Roman" w:hAnsi="Times New Roman"/>
          <w:noProof/>
          <w:sz w:val="24"/>
        </w:rPr>
        <w:t>1</w:t>
      </w:r>
      <w:r>
        <w:rPr>
          <w:rFonts w:ascii="Times New Roman" w:hAnsi="Times New Roman"/>
          <w:noProof/>
          <w:sz w:val="24"/>
        </w:rPr>
        <w:t>, indemnizația de șomaj este destinată foștilor agenți temporari, agenți contractuali sau asistenți parlamentari acreditați care se află într-o situație de șomaj involuntar în urma încetării raporturilor de muncă în cadrul unei instituții a Uniunii Europene, în sensul articolului </w:t>
      </w:r>
      <w:r w:rsidRPr="0006330A">
        <w:rPr>
          <w:rFonts w:ascii="Times New Roman" w:hAnsi="Times New Roman"/>
          <w:noProof/>
          <w:sz w:val="24"/>
        </w:rPr>
        <w:t>1</w:t>
      </w:r>
      <w:r>
        <w:rPr>
          <w:rFonts w:ascii="Times New Roman" w:hAnsi="Times New Roman"/>
          <w:noProof/>
          <w:sz w:val="24"/>
        </w:rPr>
        <w:t xml:space="preserve"> din Statutul funcționarilor Uniunii Europene. Această indemnizație de șomaj completează orice eventuală indemnizație de șomaj națională pe care o primește fostul membru al personalului.</w:t>
      </w:r>
      <w:r>
        <w:rPr>
          <w:rStyle w:val="FootnoteReference"/>
          <w:rFonts w:ascii="Times New Roman" w:hAnsi="Times New Roman"/>
          <w:noProof/>
          <w:sz w:val="24"/>
        </w:rPr>
        <w:t xml:space="preserve"> </w:t>
      </w:r>
      <w:r>
        <w:rPr>
          <w:rStyle w:val="FootnoteReference"/>
          <w:rFonts w:ascii="Times New Roman" w:hAnsi="Times New Roman" w:cs="Times New Roman"/>
          <w:noProof/>
          <w:sz w:val="24"/>
          <w:szCs w:val="24"/>
        </w:rPr>
        <w:footnoteReference w:id="7"/>
      </w:r>
    </w:p>
    <w:bookmarkEnd w:id="7"/>
    <w:p w14:paraId="3B0EF9B9" w14:textId="70BA84AB" w:rsidR="00DA61D3" w:rsidRPr="00366B21" w:rsidRDefault="00036473" w:rsidP="00320D37">
      <w:pPr>
        <w:jc w:val="both"/>
        <w:rPr>
          <w:rFonts w:ascii="Times New Roman" w:hAnsi="Times New Roman" w:cs="Times New Roman"/>
          <w:noProof/>
          <w:sz w:val="24"/>
          <w:szCs w:val="24"/>
        </w:rPr>
      </w:pPr>
      <w:r>
        <w:rPr>
          <w:rFonts w:ascii="Times New Roman" w:hAnsi="Times New Roman"/>
          <w:noProof/>
          <w:sz w:val="24"/>
        </w:rPr>
        <w:t xml:space="preserve">Beneficiarii au dreptul la </w:t>
      </w:r>
      <w:r w:rsidRPr="0006330A">
        <w:rPr>
          <w:rFonts w:ascii="Times New Roman" w:hAnsi="Times New Roman"/>
          <w:noProof/>
          <w:sz w:val="24"/>
        </w:rPr>
        <w:t>60</w:t>
      </w:r>
      <w:r>
        <w:rPr>
          <w:rFonts w:ascii="Times New Roman" w:hAnsi="Times New Roman"/>
          <w:noProof/>
          <w:sz w:val="24"/>
        </w:rPr>
        <w:t xml:space="preserve"> % din ultimul salariu de bază în primele </w:t>
      </w:r>
      <w:r w:rsidRPr="0006330A">
        <w:rPr>
          <w:rFonts w:ascii="Times New Roman" w:hAnsi="Times New Roman"/>
          <w:noProof/>
          <w:sz w:val="24"/>
        </w:rPr>
        <w:t>12</w:t>
      </w:r>
      <w:r>
        <w:rPr>
          <w:rFonts w:ascii="Times New Roman" w:hAnsi="Times New Roman"/>
          <w:noProof/>
          <w:sz w:val="24"/>
        </w:rPr>
        <w:t xml:space="preserve"> luni, procent care scade la </w:t>
      </w:r>
      <w:r w:rsidRPr="0006330A">
        <w:rPr>
          <w:rFonts w:ascii="Times New Roman" w:hAnsi="Times New Roman"/>
          <w:noProof/>
          <w:sz w:val="24"/>
        </w:rPr>
        <w:t>45</w:t>
      </w:r>
      <w:r>
        <w:rPr>
          <w:rFonts w:ascii="Times New Roman" w:hAnsi="Times New Roman"/>
          <w:noProof/>
          <w:sz w:val="24"/>
        </w:rPr>
        <w:t xml:space="preserve"> % în următoarele </w:t>
      </w:r>
      <w:r w:rsidRPr="0006330A">
        <w:rPr>
          <w:rFonts w:ascii="Times New Roman" w:hAnsi="Times New Roman"/>
          <w:noProof/>
          <w:sz w:val="24"/>
        </w:rPr>
        <w:t>12</w:t>
      </w:r>
      <w:r>
        <w:rPr>
          <w:rFonts w:ascii="Times New Roman" w:hAnsi="Times New Roman"/>
          <w:noProof/>
          <w:sz w:val="24"/>
        </w:rPr>
        <w:t xml:space="preserve"> luni și la </w:t>
      </w:r>
      <w:r w:rsidRPr="0006330A">
        <w:rPr>
          <w:rFonts w:ascii="Times New Roman" w:hAnsi="Times New Roman"/>
          <w:noProof/>
          <w:sz w:val="24"/>
        </w:rPr>
        <w:t>30</w:t>
      </w:r>
      <w:r>
        <w:rPr>
          <w:rFonts w:ascii="Times New Roman" w:hAnsi="Times New Roman"/>
          <w:noProof/>
          <w:sz w:val="24"/>
        </w:rPr>
        <w:t xml:space="preserve"> % în ultimele </w:t>
      </w:r>
      <w:r w:rsidRPr="0006330A">
        <w:rPr>
          <w:rFonts w:ascii="Times New Roman" w:hAnsi="Times New Roman"/>
          <w:noProof/>
          <w:sz w:val="24"/>
        </w:rPr>
        <w:t>12</w:t>
      </w:r>
      <w:r>
        <w:rPr>
          <w:rFonts w:ascii="Times New Roman" w:hAnsi="Times New Roman"/>
          <w:noProof/>
          <w:sz w:val="24"/>
        </w:rPr>
        <w:t xml:space="preserve"> luni. Numai începând cu a șaptea lună, indemnizațiile de șomaj au un plafon maxim.</w:t>
      </w:r>
    </w:p>
    <w:p w14:paraId="19D92BD1" w14:textId="0943DCC4" w:rsidR="003B325A" w:rsidRDefault="00DA61D3" w:rsidP="00320D37">
      <w:pPr>
        <w:jc w:val="both"/>
        <w:rPr>
          <w:rFonts w:ascii="Times New Roman" w:hAnsi="Times New Roman" w:cs="Times New Roman"/>
          <w:noProof/>
          <w:sz w:val="24"/>
          <w:szCs w:val="24"/>
        </w:rPr>
      </w:pPr>
      <w:r>
        <w:rPr>
          <w:rFonts w:ascii="Times New Roman" w:hAnsi="Times New Roman"/>
          <w:noProof/>
          <w:sz w:val="24"/>
        </w:rPr>
        <w:t xml:space="preserve">De la ultimul raport publicat la începutul anului </w:t>
      </w:r>
      <w:r w:rsidRPr="0006330A">
        <w:rPr>
          <w:rFonts w:ascii="Times New Roman" w:hAnsi="Times New Roman"/>
          <w:noProof/>
          <w:sz w:val="24"/>
        </w:rPr>
        <w:t>2024</w:t>
      </w:r>
      <w:r>
        <w:rPr>
          <w:rFonts w:ascii="Times New Roman" w:hAnsi="Times New Roman"/>
          <w:noProof/>
          <w:sz w:val="24"/>
        </w:rPr>
        <w:t xml:space="preserve">, care analizează situația până în </w:t>
      </w:r>
      <w:r w:rsidRPr="0006330A">
        <w:rPr>
          <w:rFonts w:ascii="Times New Roman" w:hAnsi="Times New Roman"/>
          <w:noProof/>
          <w:sz w:val="24"/>
        </w:rPr>
        <w:t>2022</w:t>
      </w:r>
      <w:r>
        <w:rPr>
          <w:rFonts w:ascii="Times New Roman" w:hAnsi="Times New Roman"/>
          <w:noProof/>
          <w:sz w:val="24"/>
        </w:rPr>
        <w:t>, contribuția la Fondul de șomaj a personalului relevant a scăzut. Într-adevăr, în urma concluziilor ultimului raport</w:t>
      </w:r>
      <w:r>
        <w:rPr>
          <w:rStyle w:val="FootnoteReference"/>
          <w:rFonts w:ascii="Times New Roman" w:hAnsi="Times New Roman" w:cs="Times New Roman"/>
          <w:noProof/>
          <w:sz w:val="24"/>
          <w:szCs w:val="24"/>
        </w:rPr>
        <w:footnoteReference w:id="8"/>
      </w:r>
      <w:r>
        <w:rPr>
          <w:rFonts w:ascii="Times New Roman" w:hAnsi="Times New Roman"/>
          <w:noProof/>
          <w:sz w:val="24"/>
        </w:rPr>
        <w:t xml:space="preserve"> – care prevedea o creștere a rezervelor fondului – Comisia a ajustat contribuția la sistemul de asigurări de șomaj prin intermediul unui regulament delegat</w:t>
      </w:r>
      <w:r>
        <w:rPr>
          <w:rStyle w:val="FootnoteReference"/>
          <w:rFonts w:ascii="Times New Roman" w:hAnsi="Times New Roman" w:cs="Times New Roman"/>
          <w:noProof/>
          <w:sz w:val="24"/>
          <w:szCs w:val="24"/>
        </w:rPr>
        <w:footnoteReference w:id="9"/>
      </w:r>
      <w:r>
        <w:rPr>
          <w:rFonts w:ascii="Times New Roman" w:hAnsi="Times New Roman"/>
          <w:noProof/>
          <w:sz w:val="24"/>
        </w:rPr>
        <w:t xml:space="preserve">. Noua rată a contribuției de șomaj pentru agenții temporari și contractuali este de </w:t>
      </w:r>
      <w:r w:rsidRPr="0006330A">
        <w:rPr>
          <w:rFonts w:ascii="Times New Roman" w:hAnsi="Times New Roman"/>
          <w:noProof/>
          <w:sz w:val="24"/>
        </w:rPr>
        <w:t>0</w:t>
      </w:r>
      <w:r>
        <w:rPr>
          <w:rFonts w:ascii="Times New Roman" w:hAnsi="Times New Roman"/>
          <w:noProof/>
          <w:sz w:val="24"/>
        </w:rPr>
        <w:t>,</w:t>
      </w:r>
      <w:r w:rsidRPr="0006330A">
        <w:rPr>
          <w:rFonts w:ascii="Times New Roman" w:hAnsi="Times New Roman"/>
          <w:noProof/>
          <w:sz w:val="24"/>
        </w:rPr>
        <w:t>51</w:t>
      </w:r>
      <w:r>
        <w:rPr>
          <w:rFonts w:ascii="Times New Roman" w:hAnsi="Times New Roman"/>
          <w:noProof/>
          <w:sz w:val="24"/>
        </w:rPr>
        <w:t xml:space="preserve"> %. În plus, noua contribuție a instituțiilor relevante este redusă de la </w:t>
      </w:r>
      <w:r w:rsidRPr="0006330A">
        <w:rPr>
          <w:rFonts w:ascii="Times New Roman" w:hAnsi="Times New Roman"/>
          <w:noProof/>
          <w:sz w:val="24"/>
        </w:rPr>
        <w:t>1</w:t>
      </w:r>
      <w:r>
        <w:rPr>
          <w:rFonts w:ascii="Times New Roman" w:hAnsi="Times New Roman"/>
          <w:noProof/>
          <w:sz w:val="24"/>
        </w:rPr>
        <w:t>,</w:t>
      </w:r>
      <w:r w:rsidRPr="0006330A">
        <w:rPr>
          <w:rFonts w:ascii="Times New Roman" w:hAnsi="Times New Roman"/>
          <w:noProof/>
          <w:sz w:val="24"/>
        </w:rPr>
        <w:t>62</w:t>
      </w:r>
      <w:r>
        <w:rPr>
          <w:rFonts w:ascii="Times New Roman" w:hAnsi="Times New Roman"/>
          <w:noProof/>
          <w:sz w:val="24"/>
        </w:rPr>
        <w:t xml:space="preserve"> % la </w:t>
      </w:r>
      <w:r w:rsidRPr="0006330A">
        <w:rPr>
          <w:rFonts w:ascii="Times New Roman" w:hAnsi="Times New Roman"/>
          <w:noProof/>
          <w:sz w:val="24"/>
        </w:rPr>
        <w:t>1</w:t>
      </w:r>
      <w:r>
        <w:rPr>
          <w:rFonts w:ascii="Times New Roman" w:hAnsi="Times New Roman"/>
          <w:noProof/>
          <w:sz w:val="24"/>
        </w:rPr>
        <w:t>,</w:t>
      </w:r>
      <w:r w:rsidRPr="0006330A">
        <w:rPr>
          <w:rFonts w:ascii="Times New Roman" w:hAnsi="Times New Roman"/>
          <w:noProof/>
          <w:sz w:val="24"/>
        </w:rPr>
        <w:t>02</w:t>
      </w:r>
      <w:r>
        <w:rPr>
          <w:rFonts w:ascii="Times New Roman" w:hAnsi="Times New Roman"/>
          <w:noProof/>
          <w:sz w:val="24"/>
        </w:rPr>
        <w:t xml:space="preserve"> %. Întrucât regulamentul delegat nu era încă în vigoare la sfârșitul anului </w:t>
      </w:r>
      <w:r w:rsidRPr="0006330A">
        <w:rPr>
          <w:rFonts w:ascii="Times New Roman" w:hAnsi="Times New Roman"/>
          <w:noProof/>
          <w:sz w:val="24"/>
        </w:rPr>
        <w:t>2024</w:t>
      </w:r>
      <w:r>
        <w:rPr>
          <w:rFonts w:ascii="Times New Roman" w:hAnsi="Times New Roman"/>
          <w:noProof/>
          <w:sz w:val="24"/>
        </w:rPr>
        <w:t xml:space="preserve">, modificarea ratei contribuției de șomaj nu face parte din domeniul de aplicare temporal al prezentului raport, iar efectele sale vor fi evaluate în următorul raport care va acoperi perioada </w:t>
      </w:r>
      <w:r w:rsidRPr="0006330A">
        <w:rPr>
          <w:rFonts w:ascii="Times New Roman" w:hAnsi="Times New Roman"/>
          <w:noProof/>
          <w:sz w:val="24"/>
        </w:rPr>
        <w:t>2021</w:t>
      </w:r>
      <w:r>
        <w:rPr>
          <w:rFonts w:ascii="Times New Roman" w:hAnsi="Times New Roman"/>
          <w:noProof/>
          <w:sz w:val="24"/>
        </w:rPr>
        <w:t>-</w:t>
      </w:r>
      <w:r w:rsidRPr="0006330A">
        <w:rPr>
          <w:rFonts w:ascii="Times New Roman" w:hAnsi="Times New Roman"/>
          <w:noProof/>
          <w:sz w:val="24"/>
        </w:rPr>
        <w:t>2026</w:t>
      </w:r>
      <w:r>
        <w:rPr>
          <w:rFonts w:ascii="Times New Roman" w:hAnsi="Times New Roman"/>
          <w:noProof/>
          <w:sz w:val="24"/>
        </w:rPr>
        <w:t xml:space="preserve">. </w:t>
      </w:r>
    </w:p>
    <w:p w14:paraId="53EC7BD1" w14:textId="65D9ABD5" w:rsidR="0095480E" w:rsidRPr="002721B3" w:rsidRDefault="006D34BE" w:rsidP="00320D37">
      <w:pPr>
        <w:jc w:val="both"/>
        <w:rPr>
          <w:rFonts w:ascii="Times New Roman" w:hAnsi="Times New Roman" w:cs="Times New Roman"/>
          <w:noProof/>
          <w:sz w:val="24"/>
          <w:szCs w:val="24"/>
        </w:rPr>
      </w:pPr>
      <w:r>
        <w:rPr>
          <w:rFonts w:ascii="Times New Roman" w:hAnsi="Times New Roman"/>
          <w:noProof/>
          <w:sz w:val="24"/>
        </w:rPr>
        <w:t xml:space="preserve">În perioada acoperită de raport, fondul a fost finanțat din contribuțiile colectate de la agenții contractuali, agenții temporari și APA, precum și de la instituțiile Uniunii Europene angajatoare, care se ridicau la </w:t>
      </w:r>
      <w:r w:rsidRPr="0006330A">
        <w:rPr>
          <w:rFonts w:ascii="Times New Roman" w:hAnsi="Times New Roman"/>
          <w:noProof/>
          <w:sz w:val="24"/>
        </w:rPr>
        <w:t>0</w:t>
      </w:r>
      <w:r>
        <w:rPr>
          <w:rFonts w:ascii="Times New Roman" w:hAnsi="Times New Roman"/>
          <w:noProof/>
          <w:sz w:val="24"/>
        </w:rPr>
        <w:t>,</w:t>
      </w:r>
      <w:r w:rsidRPr="0006330A">
        <w:rPr>
          <w:rFonts w:ascii="Times New Roman" w:hAnsi="Times New Roman"/>
          <w:noProof/>
          <w:sz w:val="24"/>
        </w:rPr>
        <w:t>81</w:t>
      </w:r>
      <w:r>
        <w:rPr>
          <w:rFonts w:ascii="Times New Roman" w:hAnsi="Times New Roman"/>
          <w:noProof/>
          <w:sz w:val="24"/>
        </w:rPr>
        <w:t xml:space="preserve"> % și, respectiv, </w:t>
      </w:r>
      <w:r w:rsidRPr="0006330A">
        <w:rPr>
          <w:rFonts w:ascii="Times New Roman" w:hAnsi="Times New Roman"/>
          <w:noProof/>
          <w:sz w:val="24"/>
        </w:rPr>
        <w:t>1</w:t>
      </w:r>
      <w:r>
        <w:rPr>
          <w:rFonts w:ascii="Times New Roman" w:hAnsi="Times New Roman"/>
          <w:noProof/>
          <w:sz w:val="24"/>
        </w:rPr>
        <w:t>,</w:t>
      </w:r>
      <w:r w:rsidRPr="0006330A">
        <w:rPr>
          <w:rFonts w:ascii="Times New Roman" w:hAnsi="Times New Roman"/>
          <w:noProof/>
          <w:sz w:val="24"/>
        </w:rPr>
        <w:t>62</w:t>
      </w:r>
      <w:r>
        <w:rPr>
          <w:rFonts w:ascii="Times New Roman" w:hAnsi="Times New Roman"/>
          <w:noProof/>
          <w:sz w:val="24"/>
        </w:rPr>
        <w:t xml:space="preserve"> % din salariul de bază. </w:t>
      </w:r>
    </w:p>
    <w:p w14:paraId="6C87A098" w14:textId="269D12BF" w:rsidR="001D336A" w:rsidRPr="002721B3" w:rsidRDefault="00B67026" w:rsidP="00320D37">
      <w:pPr>
        <w:jc w:val="both"/>
        <w:rPr>
          <w:rFonts w:ascii="Times New Roman" w:hAnsi="Times New Roman" w:cs="Times New Roman"/>
          <w:noProof/>
          <w:sz w:val="24"/>
          <w:szCs w:val="24"/>
        </w:rPr>
      </w:pPr>
      <w:r>
        <w:rPr>
          <w:rFonts w:ascii="Times New Roman" w:hAnsi="Times New Roman"/>
          <w:noProof/>
          <w:sz w:val="24"/>
        </w:rPr>
        <w:t>Indemnizația standard și sumele maxime și minime datorate sunt actualizate în același mod ca și remunerația și în conformitate cu articolul </w:t>
      </w:r>
      <w:r w:rsidRPr="0006330A">
        <w:rPr>
          <w:rFonts w:ascii="Times New Roman" w:hAnsi="Times New Roman"/>
          <w:noProof/>
          <w:sz w:val="24"/>
        </w:rPr>
        <w:t>65</w:t>
      </w:r>
      <w:r>
        <w:rPr>
          <w:rFonts w:ascii="Times New Roman" w:hAnsi="Times New Roman"/>
          <w:noProof/>
          <w:sz w:val="24"/>
        </w:rPr>
        <w:t xml:space="preserve"> din Statutul funcționarilor. </w:t>
      </w:r>
    </w:p>
    <w:p w14:paraId="70357DF6" w14:textId="2F627CC5" w:rsidR="00EB0D37" w:rsidRDefault="00B67026" w:rsidP="0027738C">
      <w:pPr>
        <w:jc w:val="both"/>
        <w:rPr>
          <w:noProof/>
        </w:rPr>
      </w:pPr>
      <w:r>
        <w:rPr>
          <w:rFonts w:ascii="Times New Roman" w:hAnsi="Times New Roman"/>
          <w:noProof/>
          <w:sz w:val="24"/>
        </w:rPr>
        <w:t>Eventualele alocații familiale se adaugă indemnizației de șomaj. Cotizația la Sistemul comun de asigurări de sănătate (JSIS) al Uniunii Europene (</w:t>
      </w:r>
      <w:r w:rsidRPr="0006330A">
        <w:rPr>
          <w:rFonts w:ascii="Times New Roman" w:hAnsi="Times New Roman"/>
          <w:noProof/>
          <w:sz w:val="24"/>
        </w:rPr>
        <w:t>5</w:t>
      </w:r>
      <w:r>
        <w:rPr>
          <w:rFonts w:ascii="Times New Roman" w:hAnsi="Times New Roman"/>
          <w:noProof/>
          <w:sz w:val="24"/>
        </w:rPr>
        <w:t>,</w:t>
      </w:r>
      <w:r w:rsidRPr="0006330A">
        <w:rPr>
          <w:rFonts w:ascii="Times New Roman" w:hAnsi="Times New Roman"/>
          <w:noProof/>
          <w:sz w:val="24"/>
        </w:rPr>
        <w:t>1</w:t>
      </w:r>
      <w:r>
        <w:rPr>
          <w:rFonts w:ascii="Times New Roman" w:hAnsi="Times New Roman"/>
          <w:noProof/>
          <w:sz w:val="24"/>
        </w:rPr>
        <w:t> % din salariul de bază de referință al șomerului) se plătește din sistemul de asigurări de șomaj. Se deduc prestațiile sociale percepute la nivel național (indemnizații de șomaj, alocații familiale, indemnizații de boală, indemnizații de naștere etc.).</w:t>
      </w:r>
      <w:r>
        <w:rPr>
          <w:noProof/>
        </w:rPr>
        <w:t xml:space="preserve"> </w:t>
      </w:r>
    </w:p>
    <w:p w14:paraId="1C1CA884" w14:textId="18A6020F" w:rsidR="00C00B75" w:rsidRPr="0006330A" w:rsidRDefault="00A50F37" w:rsidP="00AD6F48">
      <w:pPr>
        <w:pStyle w:val="Heading1"/>
        <w:numPr>
          <w:ilvl w:val="0"/>
          <w:numId w:val="0"/>
        </w:numPr>
        <w:ind w:left="432" w:hanging="432"/>
        <w:rPr>
          <w:noProof/>
        </w:rPr>
      </w:pPr>
      <w:bookmarkStart w:id="8" w:name="_Toc233306860"/>
      <w:r w:rsidRPr="0006330A">
        <w:rPr>
          <w:noProof/>
        </w:rPr>
        <w:t>3. Poziția financiară și soldul de numerar ale Fondului de șomaj în perioada 2019­-2024</w:t>
      </w:r>
      <w:bookmarkEnd w:id="8"/>
    </w:p>
    <w:p w14:paraId="60C2B2D2" w14:textId="33A9C62D" w:rsidR="00262F73" w:rsidRDefault="00496FFB" w:rsidP="00262F73">
      <w:pPr>
        <w:rPr>
          <w:noProof/>
        </w:rPr>
      </w:pPr>
      <w:r>
        <w:rPr>
          <w:noProof/>
          <w:lang w:val="en-GB" w:eastAsia="en-GB"/>
        </w:rPr>
        <mc:AlternateContent>
          <mc:Choice Requires="wps">
            <w:drawing>
              <wp:anchor distT="0" distB="0" distL="114300" distR="114300" simplePos="0" relativeHeight="251658241" behindDoc="0" locked="0" layoutInCell="1" allowOverlap="1" wp14:anchorId="7AD743B0" wp14:editId="2C29C380">
                <wp:simplePos x="0" y="0"/>
                <wp:positionH relativeFrom="margin">
                  <wp:align>left</wp:align>
                </wp:positionH>
                <wp:positionV relativeFrom="paragraph">
                  <wp:posOffset>4445</wp:posOffset>
                </wp:positionV>
                <wp:extent cx="5867400" cy="3177540"/>
                <wp:effectExtent l="0" t="0" r="19050" b="22860"/>
                <wp:wrapNone/>
                <wp:docPr id="517256875" name="Rectangle: Rounded Corners 5"/>
                <wp:cNvGraphicFramePr/>
                <a:graphic xmlns:a="http://schemas.openxmlformats.org/drawingml/2006/main">
                  <a:graphicData uri="http://schemas.microsoft.com/office/word/2010/wordprocessingShape">
                    <wps:wsp>
                      <wps:cNvSpPr/>
                      <wps:spPr>
                        <a:xfrm>
                          <a:off x="0" y="0"/>
                          <a:ext cx="5867400" cy="3177540"/>
                        </a:xfrm>
                        <a:prstGeom prst="roundRect">
                          <a:avLst>
                            <a:gd name="adj" fmla="val 6122"/>
                          </a:avLst>
                        </a:prstGeom>
                        <a:solidFill>
                          <a:srgbClr val="4472C4">
                            <a:alpha val="30196"/>
                          </a:srgb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2536DAE" w14:textId="04BA6F36" w:rsidR="00262F73" w:rsidRPr="00D45CAD" w:rsidRDefault="003030C0" w:rsidP="00262F73">
                            <w:p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Date esențiale:</w:t>
                            </w:r>
                          </w:p>
                          <w:p w14:paraId="00FFD2D8" w14:textId="5FCC8919" w:rsidR="00262F73" w:rsidRPr="00D45CAD" w:rsidRDefault="006A1620"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Situația financiară a fondului în 2024</w:t>
                            </w:r>
                            <w:r>
                              <w:rPr>
                                <w:rFonts w:ascii="Times New Roman" w:hAnsi="Times New Roman"/>
                                <w:color w:val="000000" w:themeColor="text1"/>
                                <w:sz w:val="24"/>
                              </w:rPr>
                              <w:t xml:space="preserve"> arată că s-au înregistrat rezerve totale de peste 106 milioane EUR, care constau în 27 de milioane EUR în contul curent și peste 79 de milioane EUR în contul de investiții. Aceasta reprezintă o creștere de 243 % față de 2019.</w:t>
                            </w:r>
                          </w:p>
                          <w:p w14:paraId="7148532D" w14:textId="04E75C83"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 xml:space="preserve">Cheltuielile </w:t>
                            </w:r>
                            <w:r>
                              <w:rPr>
                                <w:rFonts w:ascii="Times New Roman" w:hAnsi="Times New Roman"/>
                                <w:color w:val="000000" w:themeColor="text1"/>
                                <w:sz w:val="24"/>
                              </w:rPr>
                              <w:t>din ultimele luni ale anului 2024 au înregistrat o creștere cauzată de creșterea rapidă a numărului de beneficiari în rândul APA ca urmare a alegerilor pentru Parlamentul European din 2024. Față de 2019, s-a înregistrat o creștere de 10 %, ajungând la 29 de milioane EUR în 2024.</w:t>
                            </w:r>
                          </w:p>
                          <w:p w14:paraId="7EABD3B7" w14:textId="0AB9D122"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color w:val="000000" w:themeColor="text1"/>
                                <w:sz w:val="24"/>
                              </w:rPr>
                              <w:t xml:space="preserve">Cifrele privind </w:t>
                            </w:r>
                            <w:r>
                              <w:rPr>
                                <w:rFonts w:ascii="Times New Roman" w:hAnsi="Times New Roman"/>
                                <w:b/>
                                <w:color w:val="000000" w:themeColor="text1"/>
                                <w:sz w:val="24"/>
                              </w:rPr>
                              <w:t xml:space="preserve">contribuțiile </w:t>
                            </w:r>
                            <w:r>
                              <w:rPr>
                                <w:rFonts w:ascii="Times New Roman" w:hAnsi="Times New Roman"/>
                                <w:color w:val="000000" w:themeColor="text1"/>
                                <w:sz w:val="24"/>
                              </w:rPr>
                              <w:t>au înregistrat o creștere stabilă. Față de 2019, s-a înregistrat o creștere de 65 %, ajungând la peste 48 de milioane EUR în 2024.</w:t>
                            </w:r>
                          </w:p>
                          <w:p w14:paraId="20E60E4A" w14:textId="5888799E" w:rsidR="00262F73" w:rsidRPr="00D45CAD" w:rsidRDefault="00262F73" w:rsidP="00262F73">
                            <w:pPr>
                              <w:pStyle w:val="ListParagraph"/>
                              <w:numPr>
                                <w:ilvl w:val="0"/>
                                <w:numId w:val="10"/>
                              </w:numPr>
                              <w:jc w:val="both"/>
                              <w:rPr>
                                <w:rFonts w:ascii="Times New Roman" w:hAnsi="Times New Roman" w:cs="Times New Roman"/>
                                <w:color w:val="000000" w:themeColor="text1"/>
                                <w:sz w:val="24"/>
                                <w:szCs w:val="24"/>
                              </w:rPr>
                            </w:pPr>
                            <w:r>
                              <w:rPr>
                                <w:rFonts w:ascii="Times New Roman" w:hAnsi="Times New Roman"/>
                                <w:b/>
                                <w:color w:val="000000" w:themeColor="text1"/>
                                <w:sz w:val="24"/>
                              </w:rPr>
                              <w:t xml:space="preserve">Rezervele fondului </w:t>
                            </w:r>
                            <w:r>
                              <w:rPr>
                                <w:rFonts w:ascii="Times New Roman" w:hAnsi="Times New Roman"/>
                                <w:color w:val="000000" w:themeColor="text1"/>
                                <w:sz w:val="24"/>
                              </w:rPr>
                              <w:t>au generat peste 4 milioane EUR în 2022 și 2023.</w:t>
                            </w:r>
                          </w:p>
                          <w:p w14:paraId="34BEFBA2" w14:textId="4BFFD738"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Defalcare pe instituții:</w:t>
                            </w:r>
                            <w:r>
                              <w:rPr>
                                <w:rFonts w:ascii="Times New Roman" w:hAnsi="Times New Roman"/>
                                <w:color w:val="000000" w:themeColor="text1"/>
                                <w:sz w:val="24"/>
                              </w:rPr>
                              <w:t xml:space="preserve"> Comisia, Parlamentul European și agențiile reprezintă aproximativ 90 % din totalul cheltuielilor și al contribuții la sistem.lor Această situație a rămas stabilă în cursul perioadei de raportare. </w:t>
                            </w:r>
                          </w:p>
                          <w:p w14:paraId="6DDBB2FB" w14:textId="19EBA815" w:rsidR="00262F73" w:rsidRPr="00C6689C" w:rsidRDefault="00262F73" w:rsidP="00262F73">
                            <w:pPr>
                              <w:rPr>
                                <w:b/>
                                <w:bC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D743B0" id="Rectangle: Rounded Corners 5" o:spid="_x0000_s1027" style="position:absolute;margin-left:0;margin-top:.35pt;width:462pt;height:250.2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40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" fillcolor="#4472c4" strokecolor="#09101d [484]" strokeweight="1pt">
                <v:fill opacity="19789f"/>
                <v:stroke joinstyle="miter"/>
                <v:textbox>
                  <w:txbxContent>
                    <w:p w14:paraId="62536DAE" w14:textId="04BA6F36" w:rsidR="00262F73" w:rsidRPr="00D45CAD" w:rsidRDefault="003030C0" w:rsidP="00262F73">
                      <w:p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Date esențiale:</w:t>
                      </w:r>
                    </w:p>
                    <w:p w14:paraId="00FFD2D8" w14:textId="5FCC8919" w:rsidR="00262F73" w:rsidRPr="00D45CAD" w:rsidRDefault="006A1620"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Situația financiară a fondului în 2024</w:t>
                      </w:r>
                      <w:r>
                        <w:rPr>
                          <w:rFonts w:ascii="Times New Roman" w:hAnsi="Times New Roman"/>
                          <w:color w:val="000000" w:themeColor="text1"/>
                          <w:sz w:val="24"/>
                        </w:rPr>
                        <w:t xml:space="preserve"> arată că s-au înregistrat rezerve totale de peste 106 milioane EUR, care constau în 27 de milioane EUR în contul curent și peste 79 de milioane EUR în contul de investiții. Aceasta reprezintă o creștere de 243 % față de 2019.</w:t>
                      </w:r>
                    </w:p>
                    <w:p w14:paraId="7148532D" w14:textId="04E75C83"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 xml:space="preserve">Cheltuielile </w:t>
                      </w:r>
                      <w:r>
                        <w:rPr>
                          <w:rFonts w:ascii="Times New Roman" w:hAnsi="Times New Roman"/>
                          <w:color w:val="000000" w:themeColor="text1"/>
                          <w:sz w:val="24"/>
                        </w:rPr>
                        <w:t>din ultimele luni ale anului 2024 au înregistrat o creștere cauzată de creșterea rapidă a numărului de beneficiari în rândul APA ca urmare a alegerilor pentru Parlamentul European din 2024. Față de 2019, s-a înregistrat o creștere de 10 %, ajungând la 29 de milioane EUR în 2024.</w:t>
                      </w:r>
                    </w:p>
                    <w:p w14:paraId="7EABD3B7" w14:textId="0AB9D122"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color w:val="000000" w:themeColor="text1"/>
                          <w:sz w:val="24"/>
                        </w:rPr>
                        <w:t xml:space="preserve">Cifrele privind </w:t>
                      </w:r>
                      <w:r>
                        <w:rPr>
                          <w:rFonts w:ascii="Times New Roman" w:hAnsi="Times New Roman"/>
                          <w:b/>
                          <w:color w:val="000000" w:themeColor="text1"/>
                          <w:sz w:val="24"/>
                        </w:rPr>
                        <w:t xml:space="preserve">contribuțiile </w:t>
                      </w:r>
                      <w:r>
                        <w:rPr>
                          <w:rFonts w:ascii="Times New Roman" w:hAnsi="Times New Roman"/>
                          <w:color w:val="000000" w:themeColor="text1"/>
                          <w:sz w:val="24"/>
                        </w:rPr>
                        <w:t>au înregistrat o creștere stabilă. Față de 2019, s-a înregistrat o creștere de 65 %, ajungând la peste 48 de milioane EUR în 2024.</w:t>
                      </w:r>
                    </w:p>
                    <w:p w14:paraId="20E60E4A" w14:textId="5888799E" w:rsidR="00262F73" w:rsidRPr="00D45CAD" w:rsidRDefault="00262F73" w:rsidP="00262F73">
                      <w:pPr>
                        <w:pStyle w:val="ListParagraph"/>
                        <w:numPr>
                          <w:ilvl w:val="0"/>
                          <w:numId w:val="10"/>
                        </w:numPr>
                        <w:jc w:val="both"/>
                        <w:rPr>
                          <w:rFonts w:ascii="Times New Roman" w:hAnsi="Times New Roman" w:cs="Times New Roman"/>
                          <w:color w:val="000000" w:themeColor="text1"/>
                          <w:sz w:val="24"/>
                          <w:szCs w:val="24"/>
                        </w:rPr>
                      </w:pPr>
                      <w:r>
                        <w:rPr>
                          <w:rFonts w:ascii="Times New Roman" w:hAnsi="Times New Roman"/>
                          <w:b/>
                          <w:color w:val="000000" w:themeColor="text1"/>
                          <w:sz w:val="24"/>
                        </w:rPr>
                        <w:t xml:space="preserve">Rezervele fondului </w:t>
                      </w:r>
                      <w:r>
                        <w:rPr>
                          <w:rFonts w:ascii="Times New Roman" w:hAnsi="Times New Roman"/>
                          <w:color w:val="000000" w:themeColor="text1"/>
                          <w:sz w:val="24"/>
                        </w:rPr>
                        <w:t>au generat peste 4 milioane EUR în 2022 și 2023.</w:t>
                      </w:r>
                    </w:p>
                    <w:p w14:paraId="34BEFBA2" w14:textId="4BFFD738"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Defalcare pe instituții:</w:t>
                      </w:r>
                      <w:r>
                        <w:rPr>
                          <w:rFonts w:ascii="Times New Roman" w:hAnsi="Times New Roman"/>
                          <w:color w:val="000000" w:themeColor="text1"/>
                          <w:sz w:val="24"/>
                        </w:rPr>
                        <w:t xml:space="preserve"> Comisia, Parlamentul European și agențiile reprezintă aproximativ 90 % din totalul cheltuielilor și al contribuții la sistem.lor Această situație a rămas stabilă în cursul perioadei de raportare. </w:t>
                      </w:r>
                    </w:p>
                    <w:p w14:paraId="6DDBB2FB" w14:textId="19EBA815" w:rsidR="00262F73" w:rsidRPr="00C6689C" w:rsidRDefault="00262F73" w:rsidP="00262F73">
                      <w:pPr>
                        <w:rPr>
                          <w:b/>
                          <w:bCs/>
                          <w:color w:val="000000" w:themeColor="text1"/>
                        </w:rPr>
                      </w:pPr>
                    </w:p>
                  </w:txbxContent>
                </v:textbox>
                <w10:wrap anchorx="margin"/>
              </v:roundrect>
            </w:pict>
          </mc:Fallback>
        </mc:AlternateContent>
      </w:r>
    </w:p>
    <w:p w14:paraId="730527CA" w14:textId="6DC934BE" w:rsidR="00262F73" w:rsidRDefault="00262F73" w:rsidP="00262F73">
      <w:pPr>
        <w:rPr>
          <w:noProof/>
        </w:rPr>
      </w:pPr>
    </w:p>
    <w:p w14:paraId="1C3D98D3" w14:textId="4F2EF52F" w:rsidR="00262F73" w:rsidRDefault="00262F73" w:rsidP="00262F73">
      <w:pPr>
        <w:rPr>
          <w:noProof/>
        </w:rPr>
      </w:pPr>
    </w:p>
    <w:p w14:paraId="79EC4209" w14:textId="77777777" w:rsidR="00262F73" w:rsidRDefault="00262F73" w:rsidP="00262F73">
      <w:pPr>
        <w:rPr>
          <w:noProof/>
        </w:rPr>
      </w:pPr>
    </w:p>
    <w:p w14:paraId="1EE7A519" w14:textId="77777777" w:rsidR="00262F73" w:rsidRDefault="00262F73" w:rsidP="00262F73">
      <w:pPr>
        <w:rPr>
          <w:noProof/>
        </w:rPr>
      </w:pPr>
    </w:p>
    <w:p w14:paraId="45295194" w14:textId="77777777" w:rsidR="00262F73" w:rsidRDefault="00262F73" w:rsidP="00262F73">
      <w:pPr>
        <w:rPr>
          <w:noProof/>
        </w:rPr>
      </w:pPr>
    </w:p>
    <w:p w14:paraId="65FD1D4D" w14:textId="77777777" w:rsidR="00262F73" w:rsidRDefault="00262F73" w:rsidP="00262F73">
      <w:pPr>
        <w:rPr>
          <w:noProof/>
        </w:rPr>
      </w:pPr>
    </w:p>
    <w:p w14:paraId="272C55BF" w14:textId="77777777" w:rsidR="00262F73" w:rsidRDefault="00262F73" w:rsidP="00262F73">
      <w:pPr>
        <w:rPr>
          <w:noProof/>
        </w:rPr>
      </w:pPr>
    </w:p>
    <w:p w14:paraId="036DD124" w14:textId="77777777" w:rsidR="00262F73" w:rsidRDefault="00262F73" w:rsidP="00262F73">
      <w:pPr>
        <w:rPr>
          <w:noProof/>
        </w:rPr>
      </w:pPr>
    </w:p>
    <w:p w14:paraId="54B0DFE9" w14:textId="77777777" w:rsidR="00262F73" w:rsidRDefault="00262F73" w:rsidP="00262F73">
      <w:pPr>
        <w:rPr>
          <w:noProof/>
        </w:rPr>
      </w:pPr>
    </w:p>
    <w:p w14:paraId="09585799" w14:textId="77777777" w:rsidR="00262F73" w:rsidRDefault="00262F73" w:rsidP="00262F73">
      <w:pPr>
        <w:rPr>
          <w:noProof/>
        </w:rPr>
      </w:pPr>
    </w:p>
    <w:p w14:paraId="1FAEC9AB" w14:textId="77777777" w:rsidR="001107DD" w:rsidRDefault="001107DD" w:rsidP="007D4221">
      <w:pPr>
        <w:jc w:val="both"/>
        <w:rPr>
          <w:noProof/>
        </w:rPr>
      </w:pPr>
    </w:p>
    <w:p w14:paraId="1869CB0F" w14:textId="671E302D" w:rsidR="00EA61BF" w:rsidRPr="001107DD" w:rsidRDefault="007D4221" w:rsidP="007D4221">
      <w:pPr>
        <w:jc w:val="both"/>
        <w:rPr>
          <w:rFonts w:ascii="Times New Roman" w:hAnsi="Times New Roman" w:cs="Times New Roman"/>
          <w:noProof/>
          <w:sz w:val="24"/>
          <w:szCs w:val="24"/>
        </w:rPr>
      </w:pPr>
      <w:r>
        <w:rPr>
          <w:rFonts w:ascii="Times New Roman" w:hAnsi="Times New Roman"/>
          <w:noProof/>
          <w:sz w:val="24"/>
        </w:rPr>
        <w:t xml:space="preserve">Această secțiune prezintă evoluțiile situației financiare a fondului, în special în ceea ce privește veniturile și cheltuielile, precum și evoluția rezervelor. </w:t>
      </w:r>
    </w:p>
    <w:p w14:paraId="12E84E43" w14:textId="2FEFEC70" w:rsidR="00F63837" w:rsidRPr="001107DD" w:rsidRDefault="007D4221" w:rsidP="007D4221">
      <w:pPr>
        <w:jc w:val="both"/>
        <w:rPr>
          <w:rFonts w:ascii="Times New Roman" w:hAnsi="Times New Roman" w:cs="Times New Roman"/>
          <w:noProof/>
          <w:sz w:val="24"/>
          <w:szCs w:val="24"/>
        </w:rPr>
      </w:pPr>
      <w:r>
        <w:rPr>
          <w:rFonts w:ascii="Times New Roman" w:hAnsi="Times New Roman"/>
          <w:noProof/>
          <w:sz w:val="24"/>
        </w:rPr>
        <w:t>Fondul utilizează două instrumente de gestionare a cheltuielilor și veniturilor sale:</w:t>
      </w:r>
    </w:p>
    <w:p w14:paraId="08ACB320" w14:textId="54435A2A" w:rsidR="00142D28" w:rsidRPr="00D45CAD" w:rsidRDefault="00F63837" w:rsidP="00142D28">
      <w:pPr>
        <w:pStyle w:val="ListParagraph"/>
        <w:numPr>
          <w:ilvl w:val="0"/>
          <w:numId w:val="13"/>
        </w:numPr>
        <w:jc w:val="both"/>
        <w:rPr>
          <w:rFonts w:ascii="Times New Roman" w:hAnsi="Times New Roman" w:cs="Times New Roman"/>
          <w:noProof/>
          <w:sz w:val="24"/>
          <w:szCs w:val="24"/>
        </w:rPr>
      </w:pPr>
      <w:r>
        <w:rPr>
          <w:rFonts w:ascii="Times New Roman" w:hAnsi="Times New Roman"/>
          <w:noProof/>
          <w:sz w:val="24"/>
        </w:rPr>
        <w:t>un cont curent deschis la Bruxelles de PMO, care colectează de la agenții contractuali, temporari și APA, precum și de la instituțiile și agențiile lor respective contribuțiile lunare și plătește atât indemnizația de șomaj, cât și contribuția JSIS respectivă;</w:t>
      </w:r>
    </w:p>
    <w:p w14:paraId="69325090" w14:textId="260973C6" w:rsidR="00E64581" w:rsidRPr="00D45CAD" w:rsidRDefault="00815AC4" w:rsidP="00142D28">
      <w:pPr>
        <w:pStyle w:val="ListParagraph"/>
        <w:numPr>
          <w:ilvl w:val="0"/>
          <w:numId w:val="13"/>
        </w:numPr>
        <w:jc w:val="both"/>
        <w:rPr>
          <w:rFonts w:ascii="Times New Roman" w:hAnsi="Times New Roman" w:cs="Times New Roman"/>
          <w:noProof/>
          <w:sz w:val="24"/>
          <w:szCs w:val="24"/>
        </w:rPr>
      </w:pPr>
      <w:r>
        <w:rPr>
          <w:rFonts w:ascii="Times New Roman" w:hAnsi="Times New Roman"/>
          <w:noProof/>
          <w:sz w:val="24"/>
        </w:rPr>
        <w:t xml:space="preserve">conturi de investiții situate în Luxemburg și gestionate de DG BUDG. </w:t>
      </w:r>
    </w:p>
    <w:p w14:paraId="52DADC80" w14:textId="77777777" w:rsidR="00950F30" w:rsidRPr="00142D28" w:rsidRDefault="00950F30" w:rsidP="00DF5D65">
      <w:pPr>
        <w:pStyle w:val="ListParagraph"/>
        <w:jc w:val="both"/>
        <w:rPr>
          <w:noProof/>
        </w:rPr>
      </w:pPr>
    </w:p>
    <w:p w14:paraId="75AFA1DD" w14:textId="37FCDA95" w:rsidR="00950F30" w:rsidRPr="0006330A" w:rsidRDefault="00003C62" w:rsidP="007C3E45">
      <w:pPr>
        <w:pStyle w:val="Heading2"/>
        <w:numPr>
          <w:ilvl w:val="0"/>
          <w:numId w:val="0"/>
        </w:numPr>
        <w:rPr>
          <w:noProof/>
        </w:rPr>
      </w:pPr>
      <w:bookmarkStart w:id="9" w:name="_Toc233306861"/>
      <w:r w:rsidRPr="0006330A">
        <w:rPr>
          <w:noProof/>
        </w:rPr>
        <w:t>3.1 Soldul de numerar: profituri din exploatare și solduri cumulate (2019-2024)</w:t>
      </w:r>
      <w:bookmarkEnd w:id="9"/>
    </w:p>
    <w:p w14:paraId="19C403D0" w14:textId="7E7EC92E" w:rsidR="00B90B4D" w:rsidRDefault="00950F30" w:rsidP="00E537A2">
      <w:pPr>
        <w:jc w:val="both"/>
        <w:rPr>
          <w:noProof/>
        </w:rPr>
      </w:pPr>
      <w:r>
        <w:rPr>
          <w:rFonts w:ascii="Times New Roman" w:hAnsi="Times New Roman"/>
          <w:noProof/>
          <w:sz w:val="24"/>
        </w:rPr>
        <w:t xml:space="preserve">În cadrul contabilității de casă, tranzacțiile sunt înregistrate numai atunci când a avut loc o intrare sau o ieșire de numerar în cursul perioadei de analiză date și raportează cu exactitate valoarea numerarului efectiv transferat/primit într-o anumită perioadă. Tabelul </w:t>
      </w:r>
      <w:r w:rsidRPr="0006330A">
        <w:rPr>
          <w:rFonts w:ascii="Times New Roman" w:hAnsi="Times New Roman"/>
          <w:noProof/>
          <w:sz w:val="24"/>
        </w:rPr>
        <w:t>1</w:t>
      </w:r>
      <w:r>
        <w:rPr>
          <w:rFonts w:ascii="Times New Roman" w:hAnsi="Times New Roman"/>
          <w:noProof/>
          <w:sz w:val="24"/>
        </w:rPr>
        <w:t xml:space="preserve"> prezintă veniturile și cheltuielile, astfel cum au fost înregistrate în contabilitate, precum și soldul curent care rezultă din acestea</w:t>
      </w:r>
      <w:r>
        <w:rPr>
          <w:rStyle w:val="FootnoteReference"/>
          <w:noProof/>
        </w:rPr>
        <w:footnoteReference w:id="10"/>
      </w:r>
      <w:r>
        <w:rPr>
          <w:rFonts w:ascii="Times New Roman" w:hAnsi="Times New Roman"/>
          <w:noProof/>
          <w:sz w:val="24"/>
        </w:rPr>
        <w:t>.</w:t>
      </w:r>
    </w:p>
    <w:p w14:paraId="788AA702" w14:textId="6CBCB7CC" w:rsidR="00E537A2" w:rsidRPr="0006330A" w:rsidRDefault="00E537A2" w:rsidP="00E537A2">
      <w:pPr>
        <w:jc w:val="both"/>
        <w:rPr>
          <w:rFonts w:ascii="Times New Roman" w:hAnsi="Times New Roman" w:cs="Times New Roman"/>
          <w:b/>
          <w:bCs/>
          <w:noProof/>
        </w:rPr>
      </w:pPr>
      <w:r w:rsidRPr="0006330A">
        <w:rPr>
          <w:rFonts w:ascii="Times New Roman" w:hAnsi="Times New Roman"/>
          <w:b/>
          <w:noProof/>
        </w:rPr>
        <w:t>Tabelul 1 – Fondul de șomaj – Soldul de numerar – Profituri din exploatare (2019-2024)</w:t>
      </w:r>
    </w:p>
    <w:p w14:paraId="029DDED7" w14:textId="7DEB30DA" w:rsidR="000356BF" w:rsidRDefault="001346D5" w:rsidP="00E537A2">
      <w:pPr>
        <w:jc w:val="both"/>
        <w:rPr>
          <w:noProof/>
        </w:rPr>
      </w:pPr>
      <w:r w:rsidRPr="001346D5">
        <w:rPr>
          <w:noProof/>
          <w:lang w:val="en-GB" w:eastAsia="en-GB"/>
        </w:rPr>
        <w:drawing>
          <wp:inline distT="0" distB="0" distL="0" distR="0" wp14:anchorId="73C5759D" wp14:editId="2FFF84A1">
            <wp:extent cx="807720" cy="175260"/>
            <wp:effectExtent l="0" t="0" r="0" b="0"/>
            <wp:docPr id="10486146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7720" cy="175260"/>
                    </a:xfrm>
                    <a:prstGeom prst="rect">
                      <a:avLst/>
                    </a:prstGeom>
                    <a:noFill/>
                    <a:ln>
                      <a:noFill/>
                    </a:ln>
                  </pic:spPr>
                </pic:pic>
              </a:graphicData>
            </a:graphic>
          </wp:inline>
        </w:drawing>
      </w:r>
      <w:r w:rsidRPr="001346D5">
        <w:rPr>
          <w:noProof/>
          <w:lang w:val="en-GB" w:eastAsia="en-GB"/>
        </w:rPr>
        <w:drawing>
          <wp:inline distT="0" distB="0" distL="0" distR="0" wp14:anchorId="2EA3FFA3" wp14:editId="16C4F935">
            <wp:extent cx="807720" cy="175260"/>
            <wp:effectExtent l="0" t="0" r="0" b="0"/>
            <wp:docPr id="12898191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7720" cy="175260"/>
                    </a:xfrm>
                    <a:prstGeom prst="rect">
                      <a:avLst/>
                    </a:prstGeom>
                    <a:noFill/>
                    <a:ln>
                      <a:noFill/>
                    </a:ln>
                  </pic:spPr>
                </pic:pic>
              </a:graphicData>
            </a:graphic>
          </wp:inline>
        </w:drawing>
      </w:r>
      <w:r w:rsidRPr="001346D5">
        <w:rPr>
          <w:noProof/>
          <w:lang w:val="en-GB" w:eastAsia="en-GB"/>
        </w:rPr>
        <w:drawing>
          <wp:inline distT="0" distB="0" distL="0" distR="0" wp14:anchorId="726876B4" wp14:editId="70AC853F">
            <wp:extent cx="5731510" cy="2705735"/>
            <wp:effectExtent l="0" t="0" r="2540" b="0"/>
            <wp:docPr id="5110158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2705735"/>
                    </a:xfrm>
                    <a:prstGeom prst="rect">
                      <a:avLst/>
                    </a:prstGeom>
                    <a:noFill/>
                    <a:ln>
                      <a:noFill/>
                    </a:ln>
                  </pic:spPr>
                </pic:pic>
              </a:graphicData>
            </a:graphic>
          </wp:inline>
        </w:drawing>
      </w:r>
    </w:p>
    <w:p w14:paraId="05E90C7C" w14:textId="13409DA9" w:rsidR="00AD21B3" w:rsidRPr="0006330A" w:rsidRDefault="007B70AB" w:rsidP="00DF5D65">
      <w:pPr>
        <w:pStyle w:val="Heading3"/>
        <w:numPr>
          <w:ilvl w:val="0"/>
          <w:numId w:val="0"/>
        </w:numPr>
        <w:rPr>
          <w:b/>
          <w:bCs/>
          <w:noProof/>
        </w:rPr>
      </w:pPr>
      <w:bookmarkStart w:id="10" w:name="_Toc221812761"/>
      <w:bookmarkStart w:id="11" w:name="_Toc233306862"/>
      <w:r w:rsidRPr="0006330A">
        <w:rPr>
          <w:b/>
          <w:noProof/>
        </w:rPr>
        <w:t>Evoluția contului curent și a conturilor de investiții</w:t>
      </w:r>
      <w:bookmarkEnd w:id="10"/>
      <w:bookmarkEnd w:id="11"/>
    </w:p>
    <w:p w14:paraId="2BBDD2CD" w14:textId="62550BD0" w:rsidR="00437752" w:rsidRPr="005766D7" w:rsidRDefault="00437752" w:rsidP="00437752">
      <w:pPr>
        <w:jc w:val="both"/>
        <w:rPr>
          <w:rFonts w:ascii="Times New Roman" w:hAnsi="Times New Roman" w:cs="Times New Roman"/>
          <w:noProof/>
          <w:sz w:val="24"/>
          <w:szCs w:val="24"/>
        </w:rPr>
      </w:pPr>
      <w:r>
        <w:rPr>
          <w:rFonts w:ascii="Times New Roman" w:hAnsi="Times New Roman"/>
          <w:noProof/>
          <w:sz w:val="24"/>
        </w:rPr>
        <w:t xml:space="preserve">Pe lângă contul curent care furnizează lichiditățile zilnice și gestionează tranzacțiile beneficiarilor și ale instituțiilor relevante, fondul a alocat, în cadrul portofoliului, fondurile care în prezent nu sunt necesare pentru îndeplinirea obligațiilor sale și care sunt investite sub gestionarea DG BUDG. </w:t>
      </w:r>
    </w:p>
    <w:p w14:paraId="4FC9801F" w14:textId="7A8E1E74" w:rsidR="00CE76C0" w:rsidRPr="0006330A" w:rsidRDefault="00AD21B3" w:rsidP="00AD21B3">
      <w:pPr>
        <w:jc w:val="both"/>
        <w:rPr>
          <w:b/>
          <w:bCs/>
          <w:noProof/>
        </w:rPr>
      </w:pPr>
      <w:r>
        <w:rPr>
          <w:rFonts w:ascii="Times New Roman" w:hAnsi="Times New Roman"/>
          <w:noProof/>
          <w:sz w:val="24"/>
        </w:rPr>
        <w:t xml:space="preserve">Din analiza conturilor aferente fondului reiese că principala evoluție înregistrată în ultimii </w:t>
      </w:r>
      <w:r w:rsidRPr="0006330A">
        <w:rPr>
          <w:rFonts w:ascii="Times New Roman" w:hAnsi="Times New Roman"/>
          <w:noProof/>
          <w:sz w:val="24"/>
        </w:rPr>
        <w:t>5</w:t>
      </w:r>
      <w:r w:rsidR="0006330A">
        <w:rPr>
          <w:rFonts w:ascii="Times New Roman" w:hAnsi="Times New Roman"/>
          <w:noProof/>
          <w:sz w:val="24"/>
        </w:rPr>
        <w:t> </w:t>
      </w:r>
      <w:r>
        <w:rPr>
          <w:rFonts w:ascii="Times New Roman" w:hAnsi="Times New Roman"/>
          <w:noProof/>
          <w:sz w:val="24"/>
        </w:rPr>
        <w:t xml:space="preserve">ani a fost transferul a </w:t>
      </w:r>
      <w:r w:rsidRPr="0006330A">
        <w:rPr>
          <w:rFonts w:ascii="Times New Roman" w:hAnsi="Times New Roman"/>
          <w:noProof/>
          <w:sz w:val="24"/>
        </w:rPr>
        <w:t>75</w:t>
      </w:r>
      <w:r>
        <w:rPr>
          <w:rFonts w:ascii="Times New Roman" w:hAnsi="Times New Roman"/>
          <w:noProof/>
          <w:sz w:val="24"/>
        </w:rPr>
        <w:t xml:space="preserve"> de milioane EUR în </w:t>
      </w:r>
      <w:r w:rsidRPr="0006330A">
        <w:rPr>
          <w:rFonts w:ascii="Times New Roman" w:hAnsi="Times New Roman"/>
          <w:noProof/>
          <w:sz w:val="24"/>
        </w:rPr>
        <w:t>2023</w:t>
      </w:r>
      <w:r>
        <w:rPr>
          <w:rFonts w:ascii="Times New Roman" w:hAnsi="Times New Roman"/>
          <w:noProof/>
          <w:sz w:val="24"/>
        </w:rPr>
        <w:t xml:space="preserve"> din contul curent în contul de portofoliu. Aceste rezerve au fost investite inițial în economii pe durată determinată, generând un profit de aproximativ </w:t>
      </w:r>
      <w:r w:rsidRPr="0006330A">
        <w:rPr>
          <w:rFonts w:ascii="Times New Roman" w:hAnsi="Times New Roman"/>
          <w:noProof/>
          <w:sz w:val="24"/>
        </w:rPr>
        <w:t>3</w:t>
      </w:r>
      <w:r>
        <w:rPr>
          <w:rFonts w:ascii="Times New Roman" w:hAnsi="Times New Roman"/>
          <w:noProof/>
          <w:sz w:val="24"/>
        </w:rPr>
        <w:t>-</w:t>
      </w:r>
      <w:r w:rsidRPr="0006330A">
        <w:rPr>
          <w:rFonts w:ascii="Times New Roman" w:hAnsi="Times New Roman"/>
          <w:noProof/>
          <w:sz w:val="24"/>
        </w:rPr>
        <w:t>4</w:t>
      </w:r>
      <w:r>
        <w:rPr>
          <w:rFonts w:ascii="Times New Roman" w:hAnsi="Times New Roman"/>
          <w:noProof/>
          <w:sz w:val="24"/>
        </w:rPr>
        <w:t xml:space="preserve"> % pe an, aproximativ </w:t>
      </w:r>
      <w:r w:rsidRPr="0006330A">
        <w:rPr>
          <w:rFonts w:ascii="Times New Roman" w:hAnsi="Times New Roman"/>
          <w:noProof/>
          <w:sz w:val="24"/>
        </w:rPr>
        <w:t>900</w:t>
      </w:r>
      <w:r>
        <w:rPr>
          <w:rFonts w:ascii="Times New Roman" w:hAnsi="Times New Roman"/>
          <w:noProof/>
          <w:sz w:val="24"/>
        </w:rPr>
        <w:t> </w:t>
      </w:r>
      <w:r w:rsidRPr="0006330A">
        <w:rPr>
          <w:rFonts w:ascii="Times New Roman" w:hAnsi="Times New Roman"/>
          <w:noProof/>
          <w:sz w:val="24"/>
        </w:rPr>
        <w:t>000</w:t>
      </w:r>
      <w:r>
        <w:rPr>
          <w:rFonts w:ascii="Times New Roman" w:hAnsi="Times New Roman"/>
          <w:noProof/>
          <w:sz w:val="24"/>
        </w:rPr>
        <w:t xml:space="preserve"> EUR în </w:t>
      </w:r>
      <w:r w:rsidRPr="0006330A">
        <w:rPr>
          <w:rFonts w:ascii="Times New Roman" w:hAnsi="Times New Roman"/>
          <w:noProof/>
          <w:sz w:val="24"/>
        </w:rPr>
        <w:t>2023</w:t>
      </w:r>
      <w:r>
        <w:rPr>
          <w:rFonts w:ascii="Times New Roman" w:hAnsi="Times New Roman"/>
          <w:noProof/>
          <w:sz w:val="24"/>
        </w:rPr>
        <w:t xml:space="preserve"> și </w:t>
      </w:r>
      <w:r w:rsidRPr="0006330A">
        <w:rPr>
          <w:rFonts w:ascii="Times New Roman" w:hAnsi="Times New Roman"/>
          <w:noProof/>
          <w:sz w:val="24"/>
        </w:rPr>
        <w:t>3</w:t>
      </w:r>
      <w:r>
        <w:rPr>
          <w:rFonts w:ascii="Times New Roman" w:hAnsi="Times New Roman"/>
          <w:noProof/>
          <w:sz w:val="24"/>
        </w:rPr>
        <w:t>,</w:t>
      </w:r>
      <w:r w:rsidRPr="0006330A">
        <w:rPr>
          <w:rFonts w:ascii="Times New Roman" w:hAnsi="Times New Roman"/>
          <w:noProof/>
          <w:sz w:val="24"/>
        </w:rPr>
        <w:t>2</w:t>
      </w:r>
      <w:r>
        <w:rPr>
          <w:rFonts w:ascii="Times New Roman" w:hAnsi="Times New Roman"/>
          <w:noProof/>
          <w:sz w:val="24"/>
        </w:rPr>
        <w:t xml:space="preserve"> milioane EUR în </w:t>
      </w:r>
      <w:r w:rsidRPr="0006330A">
        <w:rPr>
          <w:rFonts w:ascii="Times New Roman" w:hAnsi="Times New Roman"/>
          <w:noProof/>
          <w:sz w:val="24"/>
        </w:rPr>
        <w:t>2024</w:t>
      </w:r>
      <w:r>
        <w:rPr>
          <w:rFonts w:ascii="Times New Roman" w:hAnsi="Times New Roman"/>
          <w:noProof/>
          <w:sz w:val="24"/>
        </w:rPr>
        <w:t xml:space="preserve">. </w:t>
      </w:r>
    </w:p>
    <w:p w14:paraId="3E2888B1" w14:textId="5B39B45F" w:rsidR="00AD21B3" w:rsidRPr="0006330A" w:rsidRDefault="00AD21B3" w:rsidP="00AD21B3">
      <w:pPr>
        <w:jc w:val="both"/>
        <w:rPr>
          <w:rFonts w:ascii="Times New Roman" w:hAnsi="Times New Roman" w:cs="Times New Roman"/>
          <w:b/>
          <w:bCs/>
          <w:noProof/>
        </w:rPr>
      </w:pPr>
      <w:r w:rsidRPr="0006330A">
        <w:rPr>
          <w:rFonts w:ascii="Times New Roman" w:hAnsi="Times New Roman"/>
          <w:b/>
          <w:noProof/>
        </w:rPr>
        <w:t>Tabelul 2 – Fondul de șomaj – Soldul de numerar (Evoluția soldului cumulat 2019-2024)</w:t>
      </w:r>
    </w:p>
    <w:p w14:paraId="3410BE8D" w14:textId="231F1D91" w:rsidR="00AD21B3" w:rsidRPr="0006330A" w:rsidRDefault="00885CB9" w:rsidP="00AD21B3">
      <w:pPr>
        <w:jc w:val="both"/>
        <w:rPr>
          <w:b/>
          <w:bCs/>
          <w:noProof/>
        </w:rPr>
      </w:pPr>
      <w:r w:rsidRPr="00885CB9">
        <w:rPr>
          <w:noProof/>
          <w:lang w:val="en-GB" w:eastAsia="en-GB"/>
        </w:rPr>
        <w:drawing>
          <wp:inline distT="0" distB="0" distL="0" distR="0" wp14:anchorId="5B373499" wp14:editId="0612AC8F">
            <wp:extent cx="5731510" cy="2667000"/>
            <wp:effectExtent l="0" t="0" r="2540" b="0"/>
            <wp:docPr id="20485880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2667000"/>
                    </a:xfrm>
                    <a:prstGeom prst="rect">
                      <a:avLst/>
                    </a:prstGeom>
                    <a:noFill/>
                    <a:ln>
                      <a:noFill/>
                    </a:ln>
                  </pic:spPr>
                </pic:pic>
              </a:graphicData>
            </a:graphic>
          </wp:inline>
        </w:drawing>
      </w:r>
    </w:p>
    <w:p w14:paraId="22447B06" w14:textId="78232B8F" w:rsidR="00DC33F5" w:rsidRPr="0005603A" w:rsidRDefault="00DC33F5" w:rsidP="00DF5D65">
      <w:pPr>
        <w:jc w:val="both"/>
        <w:rPr>
          <w:rFonts w:ascii="Times New Roman" w:hAnsi="Times New Roman" w:cs="Times New Roman"/>
          <w:noProof/>
          <w:sz w:val="24"/>
          <w:szCs w:val="24"/>
        </w:rPr>
      </w:pPr>
      <w:r>
        <w:rPr>
          <w:rFonts w:ascii="Times New Roman" w:hAnsi="Times New Roman"/>
          <w:noProof/>
          <w:sz w:val="24"/>
        </w:rPr>
        <w:t xml:space="preserve">Tabelul </w:t>
      </w:r>
      <w:r w:rsidRPr="0006330A">
        <w:rPr>
          <w:rFonts w:ascii="Times New Roman" w:hAnsi="Times New Roman"/>
          <w:noProof/>
          <w:sz w:val="24"/>
        </w:rPr>
        <w:t>3</w:t>
      </w:r>
      <w:r>
        <w:rPr>
          <w:rFonts w:ascii="Times New Roman" w:hAnsi="Times New Roman"/>
          <w:noProof/>
          <w:sz w:val="24"/>
        </w:rPr>
        <w:t xml:space="preserve"> prezintă soldul acumulat al fondului într-o versiune mai condensată. Contul curent a început și a încheiat perioada de raportare la niveluri similare, de aproximativ </w:t>
      </w:r>
      <w:r w:rsidRPr="0006330A">
        <w:rPr>
          <w:rFonts w:ascii="Times New Roman" w:hAnsi="Times New Roman"/>
          <w:noProof/>
          <w:sz w:val="24"/>
        </w:rPr>
        <w:t>27</w:t>
      </w:r>
      <w:r>
        <w:rPr>
          <w:rFonts w:ascii="Times New Roman" w:hAnsi="Times New Roman"/>
          <w:noProof/>
          <w:sz w:val="24"/>
        </w:rPr>
        <w:t xml:space="preserve"> de milioane EUR, în timp ce secțiunea Investiții a trecut de la aproximativ </w:t>
      </w:r>
      <w:r w:rsidRPr="0006330A">
        <w:rPr>
          <w:rFonts w:ascii="Times New Roman" w:hAnsi="Times New Roman"/>
          <w:noProof/>
          <w:sz w:val="24"/>
        </w:rPr>
        <w:t>22</w:t>
      </w:r>
      <w:r>
        <w:rPr>
          <w:rFonts w:ascii="Times New Roman" w:hAnsi="Times New Roman"/>
          <w:noProof/>
          <w:sz w:val="24"/>
        </w:rPr>
        <w:t> </w:t>
      </w:r>
      <w:r w:rsidRPr="0006330A">
        <w:rPr>
          <w:rFonts w:ascii="Times New Roman" w:hAnsi="Times New Roman"/>
          <w:noProof/>
          <w:sz w:val="24"/>
        </w:rPr>
        <w:t>000</w:t>
      </w:r>
      <w:r>
        <w:rPr>
          <w:rFonts w:ascii="Times New Roman" w:hAnsi="Times New Roman"/>
          <w:noProof/>
          <w:sz w:val="24"/>
        </w:rPr>
        <w:t xml:space="preserve"> EUR la peste </w:t>
      </w:r>
      <w:r w:rsidRPr="0006330A">
        <w:rPr>
          <w:rFonts w:ascii="Times New Roman" w:hAnsi="Times New Roman"/>
          <w:noProof/>
          <w:sz w:val="24"/>
        </w:rPr>
        <w:t>79</w:t>
      </w:r>
      <w:r w:rsidR="0006330A">
        <w:rPr>
          <w:rFonts w:ascii="Times New Roman" w:hAnsi="Times New Roman"/>
          <w:noProof/>
          <w:sz w:val="24"/>
        </w:rPr>
        <w:t> </w:t>
      </w:r>
      <w:r>
        <w:rPr>
          <w:rFonts w:ascii="Times New Roman" w:hAnsi="Times New Roman"/>
          <w:noProof/>
          <w:sz w:val="24"/>
        </w:rPr>
        <w:t>de</w:t>
      </w:r>
      <w:r w:rsidR="0006330A">
        <w:rPr>
          <w:rFonts w:ascii="Times New Roman" w:hAnsi="Times New Roman"/>
          <w:noProof/>
          <w:sz w:val="24"/>
        </w:rPr>
        <w:t> </w:t>
      </w:r>
      <w:r>
        <w:rPr>
          <w:rFonts w:ascii="Times New Roman" w:hAnsi="Times New Roman"/>
          <w:noProof/>
          <w:sz w:val="24"/>
        </w:rPr>
        <w:t xml:space="preserve">milioane EUR. </w:t>
      </w:r>
    </w:p>
    <w:p w14:paraId="7C0B75A3" w14:textId="77777777" w:rsidR="00BF7B3E" w:rsidRPr="0006330A" w:rsidRDefault="00BF7B3E" w:rsidP="00BF7B3E">
      <w:pPr>
        <w:jc w:val="both"/>
        <w:rPr>
          <w:rFonts w:ascii="Times New Roman" w:hAnsi="Times New Roman" w:cs="Times New Roman"/>
          <w:b/>
          <w:bCs/>
          <w:noProof/>
        </w:rPr>
      </w:pPr>
      <w:r w:rsidRPr="0006330A">
        <w:rPr>
          <w:rFonts w:ascii="Times New Roman" w:hAnsi="Times New Roman"/>
          <w:b/>
          <w:noProof/>
        </w:rPr>
        <w:t>Tabelul 3 – Fondul de șomaj – Soldul cumulativ (2019-2024)</w:t>
      </w:r>
    </w:p>
    <w:p w14:paraId="65587963" w14:textId="6BE64197" w:rsidR="00927604" w:rsidRDefault="00885CB9" w:rsidP="00D45CAD">
      <w:pPr>
        <w:jc w:val="both"/>
        <w:rPr>
          <w:noProof/>
        </w:rPr>
      </w:pPr>
      <w:r w:rsidRPr="00885CB9">
        <w:rPr>
          <w:noProof/>
          <w:lang w:val="en-GB" w:eastAsia="en-GB"/>
        </w:rPr>
        <w:drawing>
          <wp:inline distT="0" distB="0" distL="0" distR="0" wp14:anchorId="13981380" wp14:editId="6BBF002B">
            <wp:extent cx="5731510" cy="785495"/>
            <wp:effectExtent l="0" t="0" r="2540" b="0"/>
            <wp:docPr id="4898273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785495"/>
                    </a:xfrm>
                    <a:prstGeom prst="rect">
                      <a:avLst/>
                    </a:prstGeom>
                    <a:noFill/>
                    <a:ln>
                      <a:noFill/>
                    </a:ln>
                  </pic:spPr>
                </pic:pic>
              </a:graphicData>
            </a:graphic>
          </wp:inline>
        </w:drawing>
      </w:r>
    </w:p>
    <w:p w14:paraId="761944C9" w14:textId="456ACBF5" w:rsidR="000356BF" w:rsidRPr="0006330A" w:rsidRDefault="00C45822" w:rsidP="007137E9">
      <w:pPr>
        <w:pStyle w:val="Heading2"/>
        <w:numPr>
          <w:ilvl w:val="0"/>
          <w:numId w:val="0"/>
        </w:numPr>
        <w:rPr>
          <w:noProof/>
        </w:rPr>
      </w:pPr>
      <w:bookmarkStart w:id="12" w:name="_Toc233306863"/>
      <w:r w:rsidRPr="0006330A">
        <w:rPr>
          <w:noProof/>
        </w:rPr>
        <w:t>3.2 Situația financiară: profit din exploatare (2019-2024)</w:t>
      </w:r>
      <w:bookmarkEnd w:id="12"/>
    </w:p>
    <w:p w14:paraId="73748CE4" w14:textId="575DC3BE" w:rsidR="00B90B4D" w:rsidRPr="0006330A" w:rsidRDefault="000356BF" w:rsidP="000356BF">
      <w:pPr>
        <w:jc w:val="both"/>
        <w:rPr>
          <w:b/>
          <w:bCs/>
          <w:noProof/>
        </w:rPr>
      </w:pPr>
      <w:r>
        <w:rPr>
          <w:rFonts w:ascii="Times New Roman" w:hAnsi="Times New Roman"/>
          <w:noProof/>
          <w:sz w:val="24"/>
        </w:rPr>
        <w:t>În contabilitatea pe bază de angajamente, operațiunile sunt înregistrate în conturi în momentul în care contribuția la fond sau plata indemnizației de șomaj devine exigibilă. Acest lucru duce la unele discrepanțe față de contabilitatea de casă, deoarece unele contribuții primite la începutul anului N acoperă perioade de activitate la sfârșitul anului N-</w:t>
      </w:r>
      <w:r w:rsidRPr="0006330A">
        <w:rPr>
          <w:rFonts w:ascii="Times New Roman" w:hAnsi="Times New Roman"/>
          <w:noProof/>
          <w:sz w:val="24"/>
        </w:rPr>
        <w:t>1</w:t>
      </w:r>
      <w:r>
        <w:rPr>
          <w:rFonts w:ascii="Times New Roman" w:hAnsi="Times New Roman"/>
          <w:noProof/>
          <w:sz w:val="24"/>
        </w:rPr>
        <w:t xml:space="preserve"> sau unele sume plătite la începutul anului N acoperă perioade de șomaj la sfârșitul anului N-</w:t>
      </w:r>
      <w:r w:rsidRPr="0006330A">
        <w:rPr>
          <w:rFonts w:ascii="Times New Roman" w:hAnsi="Times New Roman"/>
          <w:noProof/>
          <w:sz w:val="24"/>
        </w:rPr>
        <w:t>1</w:t>
      </w:r>
      <w:r>
        <w:rPr>
          <w:rFonts w:ascii="Times New Roman" w:hAnsi="Times New Roman"/>
          <w:noProof/>
          <w:sz w:val="24"/>
        </w:rPr>
        <w:t xml:space="preserve">. </w:t>
      </w:r>
    </w:p>
    <w:p w14:paraId="508C06A4" w14:textId="5797BE83" w:rsidR="000356BF" w:rsidRPr="0006330A" w:rsidRDefault="000356BF" w:rsidP="00A5228F">
      <w:pPr>
        <w:keepNext/>
        <w:jc w:val="both"/>
        <w:rPr>
          <w:rFonts w:ascii="Times New Roman" w:hAnsi="Times New Roman" w:cs="Times New Roman"/>
          <w:b/>
          <w:bCs/>
          <w:noProof/>
        </w:rPr>
      </w:pPr>
      <w:r w:rsidRPr="0006330A">
        <w:rPr>
          <w:rFonts w:ascii="Times New Roman" w:hAnsi="Times New Roman"/>
          <w:b/>
          <w:noProof/>
        </w:rPr>
        <w:t>Tabelul 4 – Fondul de șomaj – Situația financiară – Profituri din exploatare (2019-2024)</w:t>
      </w:r>
    </w:p>
    <w:p w14:paraId="26E7B1D3" w14:textId="74BAF7DA" w:rsidR="000356BF" w:rsidRPr="0006330A" w:rsidRDefault="00807A99" w:rsidP="000356BF">
      <w:pPr>
        <w:jc w:val="both"/>
        <w:rPr>
          <w:b/>
          <w:bCs/>
          <w:noProof/>
        </w:rPr>
      </w:pPr>
      <w:r w:rsidRPr="00807A99">
        <w:rPr>
          <w:noProof/>
          <w:lang w:val="en-GB" w:eastAsia="en-GB"/>
        </w:rPr>
        <w:drawing>
          <wp:inline distT="0" distB="0" distL="0" distR="0" wp14:anchorId="039FFA8F" wp14:editId="019D27CE">
            <wp:extent cx="5731510" cy="2792095"/>
            <wp:effectExtent l="0" t="0" r="2540" b="8255"/>
            <wp:docPr id="2608044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1510" cy="2792095"/>
                    </a:xfrm>
                    <a:prstGeom prst="rect">
                      <a:avLst/>
                    </a:prstGeom>
                    <a:noFill/>
                    <a:ln>
                      <a:noFill/>
                    </a:ln>
                  </pic:spPr>
                </pic:pic>
              </a:graphicData>
            </a:graphic>
          </wp:inline>
        </w:drawing>
      </w:r>
    </w:p>
    <w:p w14:paraId="38A47F18" w14:textId="77777777" w:rsidR="00DE623F" w:rsidRPr="0006330A" w:rsidRDefault="00DE623F" w:rsidP="000356BF">
      <w:pPr>
        <w:jc w:val="both"/>
        <w:rPr>
          <w:b/>
          <w:bCs/>
          <w:noProof/>
        </w:rPr>
      </w:pPr>
    </w:p>
    <w:p w14:paraId="55AA97AE" w14:textId="561410EC" w:rsidR="00582E3E" w:rsidRPr="0006330A" w:rsidRDefault="00C45822" w:rsidP="00DF5D65">
      <w:pPr>
        <w:pStyle w:val="Heading2"/>
        <w:numPr>
          <w:ilvl w:val="0"/>
          <w:numId w:val="0"/>
        </w:numPr>
        <w:rPr>
          <w:noProof/>
        </w:rPr>
      </w:pPr>
      <w:bookmarkStart w:id="13" w:name="_Toc233306864"/>
      <w:r w:rsidRPr="0006330A">
        <w:rPr>
          <w:noProof/>
        </w:rPr>
        <w:t>3.3 Profit din exploatare (2019-2024)</w:t>
      </w:r>
      <w:bookmarkEnd w:id="13"/>
      <w:r w:rsidRPr="0006330A">
        <w:rPr>
          <w:noProof/>
        </w:rPr>
        <w:t xml:space="preserve"> </w:t>
      </w:r>
    </w:p>
    <w:p w14:paraId="50B4A7F2" w14:textId="73CEED03" w:rsidR="00163150" w:rsidRPr="00A178DF" w:rsidRDefault="63F08DE2" w:rsidP="34F540BD">
      <w:pPr>
        <w:jc w:val="both"/>
        <w:rPr>
          <w:rFonts w:ascii="Times New Roman" w:hAnsi="Times New Roman" w:cs="Times New Roman"/>
          <w:noProof/>
          <w:sz w:val="24"/>
          <w:szCs w:val="24"/>
        </w:rPr>
      </w:pPr>
      <w:r>
        <w:rPr>
          <w:rFonts w:ascii="Times New Roman" w:hAnsi="Times New Roman"/>
          <w:noProof/>
          <w:sz w:val="24"/>
        </w:rPr>
        <w:t xml:space="preserve">În ultimii ani, profitul din exploatare al fondului a prezentat cifre solide, iar câștigurile au fost, în medie, de aproximativ </w:t>
      </w:r>
      <w:r w:rsidRPr="0006330A">
        <w:rPr>
          <w:rFonts w:ascii="Times New Roman" w:hAnsi="Times New Roman"/>
          <w:noProof/>
          <w:sz w:val="24"/>
        </w:rPr>
        <w:t>12</w:t>
      </w:r>
      <w:r>
        <w:rPr>
          <w:rFonts w:ascii="Times New Roman" w:hAnsi="Times New Roman"/>
          <w:noProof/>
          <w:sz w:val="24"/>
        </w:rPr>
        <w:t xml:space="preserve"> milioane EUR pe an în perioada de referință, în ultimii trei ani fiind de aproximativ </w:t>
      </w:r>
      <w:r w:rsidRPr="0006330A">
        <w:rPr>
          <w:rFonts w:ascii="Times New Roman" w:hAnsi="Times New Roman"/>
          <w:noProof/>
          <w:sz w:val="24"/>
        </w:rPr>
        <w:t>20</w:t>
      </w:r>
      <w:r>
        <w:rPr>
          <w:rFonts w:ascii="Times New Roman" w:hAnsi="Times New Roman"/>
          <w:noProof/>
          <w:sz w:val="24"/>
        </w:rPr>
        <w:t xml:space="preserve"> de milioane EUR. Ca urmare a acestei dinamici, rezervele acumulate au ajuns la peste </w:t>
      </w:r>
      <w:r w:rsidRPr="0006330A">
        <w:rPr>
          <w:rFonts w:ascii="Times New Roman" w:hAnsi="Times New Roman"/>
          <w:noProof/>
          <w:sz w:val="24"/>
        </w:rPr>
        <w:t>106</w:t>
      </w:r>
      <w:r>
        <w:rPr>
          <w:rFonts w:ascii="Times New Roman" w:hAnsi="Times New Roman"/>
          <w:noProof/>
          <w:sz w:val="24"/>
        </w:rPr>
        <w:t xml:space="preserve"> milioane EUR la sfârșitul anului </w:t>
      </w:r>
      <w:r w:rsidRPr="0006330A">
        <w:rPr>
          <w:rFonts w:ascii="Times New Roman" w:hAnsi="Times New Roman"/>
          <w:noProof/>
          <w:sz w:val="24"/>
        </w:rPr>
        <w:t>2024</w:t>
      </w:r>
      <w:r>
        <w:rPr>
          <w:rFonts w:ascii="Times New Roman" w:hAnsi="Times New Roman"/>
          <w:noProof/>
          <w:sz w:val="24"/>
        </w:rPr>
        <w:t xml:space="preserve">, marcând o creștere de peste </w:t>
      </w:r>
      <w:r w:rsidRPr="0006330A">
        <w:rPr>
          <w:rFonts w:ascii="Times New Roman" w:hAnsi="Times New Roman"/>
          <w:noProof/>
          <w:sz w:val="24"/>
        </w:rPr>
        <w:t>243</w:t>
      </w:r>
      <w:r>
        <w:rPr>
          <w:rFonts w:ascii="Times New Roman" w:hAnsi="Times New Roman"/>
          <w:noProof/>
          <w:sz w:val="24"/>
        </w:rPr>
        <w:t xml:space="preserve"> % față de </w:t>
      </w:r>
      <w:r w:rsidRPr="0006330A">
        <w:rPr>
          <w:rFonts w:ascii="Times New Roman" w:hAnsi="Times New Roman"/>
          <w:noProof/>
          <w:sz w:val="24"/>
        </w:rPr>
        <w:t>2019</w:t>
      </w:r>
      <w:r>
        <w:rPr>
          <w:rFonts w:ascii="Times New Roman" w:hAnsi="Times New Roman"/>
          <w:noProof/>
          <w:sz w:val="24"/>
        </w:rPr>
        <w:t xml:space="preserve"> (</w:t>
      </w:r>
      <w:r w:rsidRPr="0006330A">
        <w:rPr>
          <w:rFonts w:ascii="Times New Roman" w:hAnsi="Times New Roman"/>
          <w:noProof/>
          <w:sz w:val="24"/>
        </w:rPr>
        <w:t>30</w:t>
      </w:r>
      <w:r>
        <w:rPr>
          <w:rFonts w:ascii="Times New Roman" w:hAnsi="Times New Roman"/>
          <w:noProof/>
          <w:sz w:val="24"/>
        </w:rPr>
        <w:t xml:space="preserve"> de milioane EUR). </w:t>
      </w:r>
    </w:p>
    <w:p w14:paraId="51627630" w14:textId="2383F312" w:rsidR="00524D0F" w:rsidRPr="00D45CAD" w:rsidRDefault="42AA47F0" w:rsidP="34F540BD">
      <w:pPr>
        <w:jc w:val="both"/>
        <w:rPr>
          <w:rFonts w:ascii="Times New Roman" w:hAnsi="Times New Roman" w:cs="Times New Roman"/>
          <w:noProof/>
          <w:sz w:val="24"/>
          <w:szCs w:val="24"/>
        </w:rPr>
      </w:pPr>
      <w:r>
        <w:rPr>
          <w:rFonts w:ascii="Times New Roman" w:hAnsi="Times New Roman"/>
          <w:noProof/>
          <w:sz w:val="24"/>
        </w:rPr>
        <w:t xml:space="preserve">Caracterul ciclic bine cunoscut al cheltuielilor, care a condus la o creștere temporară a numărului de APA șomeri, a contribuit la creșterea cheltuielilor în </w:t>
      </w:r>
      <w:r w:rsidRPr="0006330A">
        <w:rPr>
          <w:rFonts w:ascii="Times New Roman" w:hAnsi="Times New Roman"/>
          <w:noProof/>
          <w:sz w:val="24"/>
        </w:rPr>
        <w:t>2024</w:t>
      </w:r>
      <w:r>
        <w:rPr>
          <w:rFonts w:ascii="Times New Roman" w:hAnsi="Times New Roman"/>
          <w:noProof/>
          <w:sz w:val="24"/>
        </w:rPr>
        <w:t xml:space="preserve">. Cu toate acestea, în cursul anului respectiv, s-a observat un deficit doar în luna octombrie, în valoare de </w:t>
      </w:r>
      <w:r w:rsidRPr="0006330A">
        <w:rPr>
          <w:rFonts w:ascii="Times New Roman" w:hAnsi="Times New Roman"/>
          <w:noProof/>
          <w:sz w:val="24"/>
        </w:rPr>
        <w:t>600</w:t>
      </w:r>
      <w:r>
        <w:rPr>
          <w:rFonts w:ascii="Times New Roman" w:hAnsi="Times New Roman"/>
          <w:noProof/>
          <w:sz w:val="24"/>
        </w:rPr>
        <w:t> </w:t>
      </w:r>
      <w:r w:rsidRPr="0006330A">
        <w:rPr>
          <w:rFonts w:ascii="Times New Roman" w:hAnsi="Times New Roman"/>
          <w:noProof/>
          <w:sz w:val="24"/>
        </w:rPr>
        <w:t>000</w:t>
      </w:r>
      <w:r>
        <w:rPr>
          <w:rFonts w:ascii="Times New Roman" w:hAnsi="Times New Roman"/>
          <w:noProof/>
          <w:sz w:val="24"/>
        </w:rPr>
        <w:t xml:space="preserve"> EUR. La sfârșitul anului </w:t>
      </w:r>
      <w:r w:rsidRPr="0006330A">
        <w:rPr>
          <w:rFonts w:ascii="Times New Roman" w:hAnsi="Times New Roman"/>
          <w:noProof/>
          <w:sz w:val="24"/>
        </w:rPr>
        <w:t>2024</w:t>
      </w:r>
      <w:r>
        <w:rPr>
          <w:rFonts w:ascii="Times New Roman" w:hAnsi="Times New Roman"/>
          <w:noProof/>
          <w:sz w:val="24"/>
        </w:rPr>
        <w:t xml:space="preserve">, contul curent deținea </w:t>
      </w:r>
      <w:r w:rsidRPr="0006330A">
        <w:rPr>
          <w:rFonts w:ascii="Times New Roman" w:hAnsi="Times New Roman"/>
          <w:noProof/>
          <w:sz w:val="24"/>
        </w:rPr>
        <w:t>27</w:t>
      </w:r>
      <w:r>
        <w:rPr>
          <w:rFonts w:ascii="Times New Roman" w:hAnsi="Times New Roman"/>
          <w:noProof/>
          <w:sz w:val="24"/>
        </w:rPr>
        <w:t xml:space="preserve"> de milioane EUR, care, împreună cu aproximativ </w:t>
      </w:r>
      <w:r w:rsidRPr="0006330A">
        <w:rPr>
          <w:rFonts w:ascii="Times New Roman" w:hAnsi="Times New Roman"/>
          <w:noProof/>
          <w:sz w:val="24"/>
        </w:rPr>
        <w:t>78</w:t>
      </w:r>
      <w:r>
        <w:rPr>
          <w:rFonts w:ascii="Times New Roman" w:hAnsi="Times New Roman"/>
          <w:noProof/>
          <w:sz w:val="24"/>
        </w:rPr>
        <w:t xml:space="preserve"> de milioane EUR din portofoliu, oferă sistemului o rezervă de lichidități care compensează eventualele deficite din </w:t>
      </w:r>
      <w:r w:rsidRPr="0006330A">
        <w:rPr>
          <w:rFonts w:ascii="Times New Roman" w:hAnsi="Times New Roman"/>
          <w:noProof/>
          <w:sz w:val="24"/>
        </w:rPr>
        <w:t>2025</w:t>
      </w:r>
      <w:r>
        <w:rPr>
          <w:rFonts w:ascii="Times New Roman" w:hAnsi="Times New Roman"/>
          <w:noProof/>
          <w:sz w:val="24"/>
        </w:rPr>
        <w:t xml:space="preserve"> cauzate de numărul de APA șomeri. </w:t>
      </w:r>
    </w:p>
    <w:p w14:paraId="47AE884E" w14:textId="72047B6E" w:rsidR="00E31FD5" w:rsidRPr="00D45CAD" w:rsidRDefault="00330F92" w:rsidP="009417D9">
      <w:pPr>
        <w:jc w:val="both"/>
        <w:rPr>
          <w:rFonts w:ascii="Times New Roman" w:hAnsi="Times New Roman" w:cs="Times New Roman"/>
          <w:noProof/>
          <w:sz w:val="24"/>
          <w:szCs w:val="24"/>
        </w:rPr>
      </w:pPr>
      <w:r>
        <w:rPr>
          <w:rFonts w:ascii="Times New Roman" w:hAnsi="Times New Roman"/>
          <w:noProof/>
          <w:sz w:val="24"/>
        </w:rPr>
        <w:t xml:space="preserve">Analizând evoluția veniturilor în ultimii </w:t>
      </w:r>
      <w:r w:rsidRPr="0006330A">
        <w:rPr>
          <w:rFonts w:ascii="Times New Roman" w:hAnsi="Times New Roman"/>
          <w:noProof/>
          <w:sz w:val="24"/>
        </w:rPr>
        <w:t>5</w:t>
      </w:r>
      <w:r>
        <w:rPr>
          <w:rFonts w:ascii="Times New Roman" w:hAnsi="Times New Roman"/>
          <w:noProof/>
          <w:sz w:val="24"/>
        </w:rPr>
        <w:t xml:space="preserve"> ani, perioada </w:t>
      </w:r>
      <w:r w:rsidRPr="0006330A">
        <w:rPr>
          <w:rFonts w:ascii="Times New Roman" w:hAnsi="Times New Roman"/>
          <w:noProof/>
          <w:sz w:val="24"/>
        </w:rPr>
        <w:t>2019</w:t>
      </w:r>
      <w:r>
        <w:rPr>
          <w:rFonts w:ascii="Times New Roman" w:hAnsi="Times New Roman"/>
          <w:noProof/>
          <w:sz w:val="24"/>
        </w:rPr>
        <w:t>-</w:t>
      </w:r>
      <w:r w:rsidRPr="0006330A">
        <w:rPr>
          <w:rFonts w:ascii="Times New Roman" w:hAnsi="Times New Roman"/>
          <w:noProof/>
          <w:sz w:val="24"/>
        </w:rPr>
        <w:t>2024</w:t>
      </w:r>
      <w:r>
        <w:rPr>
          <w:rFonts w:ascii="Times New Roman" w:hAnsi="Times New Roman"/>
          <w:noProof/>
          <w:sz w:val="24"/>
        </w:rPr>
        <w:t xml:space="preserve"> a înregistrat o creștere medie anuală de </w:t>
      </w:r>
      <w:r w:rsidRPr="0006330A">
        <w:rPr>
          <w:rFonts w:ascii="Times New Roman" w:hAnsi="Times New Roman"/>
          <w:noProof/>
          <w:sz w:val="24"/>
        </w:rPr>
        <w:t>10</w:t>
      </w:r>
      <w:r>
        <w:rPr>
          <w:rFonts w:ascii="Times New Roman" w:hAnsi="Times New Roman"/>
          <w:noProof/>
          <w:sz w:val="24"/>
        </w:rPr>
        <w:t> %, o ușoară accelerare a mediei față de raportul anterior (</w:t>
      </w:r>
      <w:r w:rsidRPr="0006330A">
        <w:rPr>
          <w:rFonts w:ascii="Times New Roman" w:hAnsi="Times New Roman"/>
          <w:noProof/>
          <w:sz w:val="24"/>
        </w:rPr>
        <w:t>2017</w:t>
      </w:r>
      <w:r>
        <w:rPr>
          <w:rFonts w:ascii="Times New Roman" w:hAnsi="Times New Roman"/>
          <w:noProof/>
          <w:sz w:val="24"/>
        </w:rPr>
        <w:t>-</w:t>
      </w:r>
      <w:r w:rsidRPr="0006330A">
        <w:rPr>
          <w:rFonts w:ascii="Times New Roman" w:hAnsi="Times New Roman"/>
          <w:noProof/>
          <w:sz w:val="24"/>
        </w:rPr>
        <w:t>2022</w:t>
      </w:r>
      <w:r>
        <w:rPr>
          <w:rFonts w:ascii="Times New Roman" w:hAnsi="Times New Roman"/>
          <w:noProof/>
          <w:sz w:val="24"/>
        </w:rPr>
        <w:t xml:space="preserve">), când s-a înregistrat o creștere medie de aproximativ </w:t>
      </w:r>
      <w:r w:rsidRPr="0006330A">
        <w:rPr>
          <w:rFonts w:ascii="Times New Roman" w:hAnsi="Times New Roman"/>
          <w:noProof/>
          <w:sz w:val="24"/>
        </w:rPr>
        <w:t>9</w:t>
      </w:r>
      <w:r>
        <w:rPr>
          <w:rFonts w:ascii="Times New Roman" w:hAnsi="Times New Roman"/>
          <w:noProof/>
          <w:sz w:val="24"/>
        </w:rPr>
        <w:t xml:space="preserve"> %. În </w:t>
      </w:r>
      <w:r w:rsidRPr="0006330A">
        <w:rPr>
          <w:rFonts w:ascii="Times New Roman" w:hAnsi="Times New Roman"/>
          <w:noProof/>
          <w:sz w:val="24"/>
        </w:rPr>
        <w:t>2024</w:t>
      </w:r>
      <w:r>
        <w:rPr>
          <w:rFonts w:ascii="Times New Roman" w:hAnsi="Times New Roman"/>
          <w:noProof/>
          <w:sz w:val="24"/>
        </w:rPr>
        <w:t xml:space="preserve">, veniturile totale s-au ridicat la peste </w:t>
      </w:r>
      <w:r w:rsidRPr="0006330A">
        <w:rPr>
          <w:rFonts w:ascii="Times New Roman" w:hAnsi="Times New Roman"/>
          <w:noProof/>
          <w:sz w:val="24"/>
        </w:rPr>
        <w:t>48</w:t>
      </w:r>
      <w:r>
        <w:rPr>
          <w:rFonts w:ascii="Times New Roman" w:hAnsi="Times New Roman"/>
          <w:noProof/>
          <w:sz w:val="24"/>
        </w:rPr>
        <w:t xml:space="preserve"> de milioane EUR. </w:t>
      </w:r>
    </w:p>
    <w:p w14:paraId="180B259A" w14:textId="76D9ACBE" w:rsidR="00B90B4D" w:rsidRPr="0006330A" w:rsidRDefault="00C12BD3" w:rsidP="009417D9">
      <w:pPr>
        <w:jc w:val="both"/>
        <w:rPr>
          <w:b/>
          <w:bCs/>
          <w:noProof/>
        </w:rPr>
      </w:pPr>
      <w:r>
        <w:rPr>
          <w:rFonts w:ascii="Times New Roman" w:hAnsi="Times New Roman"/>
          <w:noProof/>
          <w:sz w:val="24"/>
        </w:rPr>
        <w:t xml:space="preserve">În ultimii </w:t>
      </w:r>
      <w:r w:rsidRPr="0006330A">
        <w:rPr>
          <w:rFonts w:ascii="Times New Roman" w:hAnsi="Times New Roman"/>
          <w:noProof/>
          <w:sz w:val="24"/>
        </w:rPr>
        <w:t>5</w:t>
      </w:r>
      <w:r>
        <w:rPr>
          <w:rFonts w:ascii="Times New Roman" w:hAnsi="Times New Roman"/>
          <w:noProof/>
          <w:sz w:val="24"/>
        </w:rPr>
        <w:t xml:space="preserve"> ani, după o scădere în </w:t>
      </w:r>
      <w:r w:rsidRPr="0006330A">
        <w:rPr>
          <w:rFonts w:ascii="Times New Roman" w:hAnsi="Times New Roman"/>
          <w:noProof/>
          <w:sz w:val="24"/>
        </w:rPr>
        <w:t>2021</w:t>
      </w:r>
      <w:r>
        <w:rPr>
          <w:rFonts w:ascii="Times New Roman" w:hAnsi="Times New Roman"/>
          <w:noProof/>
          <w:sz w:val="24"/>
        </w:rPr>
        <w:t xml:space="preserve"> și </w:t>
      </w:r>
      <w:r w:rsidRPr="0006330A">
        <w:rPr>
          <w:rFonts w:ascii="Times New Roman" w:hAnsi="Times New Roman"/>
          <w:noProof/>
          <w:sz w:val="24"/>
        </w:rPr>
        <w:t>2022</w:t>
      </w:r>
      <w:r>
        <w:rPr>
          <w:rFonts w:ascii="Times New Roman" w:hAnsi="Times New Roman"/>
          <w:noProof/>
          <w:sz w:val="24"/>
        </w:rPr>
        <w:t xml:space="preserve">, cheltuielile au crescut cu aproape </w:t>
      </w:r>
      <w:r w:rsidRPr="0006330A">
        <w:rPr>
          <w:rFonts w:ascii="Times New Roman" w:hAnsi="Times New Roman"/>
          <w:noProof/>
          <w:sz w:val="24"/>
        </w:rPr>
        <w:t>9</w:t>
      </w:r>
      <w:r>
        <w:rPr>
          <w:rFonts w:ascii="Times New Roman" w:hAnsi="Times New Roman"/>
          <w:noProof/>
          <w:sz w:val="24"/>
        </w:rPr>
        <w:t xml:space="preserve"> % în </w:t>
      </w:r>
      <w:r w:rsidRPr="0006330A">
        <w:rPr>
          <w:rFonts w:ascii="Times New Roman" w:hAnsi="Times New Roman"/>
          <w:noProof/>
          <w:sz w:val="24"/>
        </w:rPr>
        <w:t>2023</w:t>
      </w:r>
      <w:r>
        <w:rPr>
          <w:rFonts w:ascii="Times New Roman" w:hAnsi="Times New Roman"/>
          <w:noProof/>
          <w:sz w:val="24"/>
        </w:rPr>
        <w:t xml:space="preserve"> și cu peste </w:t>
      </w:r>
      <w:r w:rsidRPr="0006330A">
        <w:rPr>
          <w:rFonts w:ascii="Times New Roman" w:hAnsi="Times New Roman"/>
          <w:noProof/>
          <w:sz w:val="24"/>
        </w:rPr>
        <w:t>34</w:t>
      </w:r>
      <w:r>
        <w:rPr>
          <w:rFonts w:ascii="Times New Roman" w:hAnsi="Times New Roman"/>
          <w:noProof/>
          <w:sz w:val="24"/>
        </w:rPr>
        <w:t xml:space="preserve"> % în </w:t>
      </w:r>
      <w:r w:rsidRPr="0006330A">
        <w:rPr>
          <w:rFonts w:ascii="Times New Roman" w:hAnsi="Times New Roman"/>
          <w:noProof/>
          <w:sz w:val="24"/>
        </w:rPr>
        <w:t>2024</w:t>
      </w:r>
      <w:r>
        <w:rPr>
          <w:rFonts w:ascii="Times New Roman" w:hAnsi="Times New Roman"/>
          <w:noProof/>
          <w:sz w:val="24"/>
        </w:rPr>
        <w:t xml:space="preserve">, ajungând la aproape </w:t>
      </w:r>
      <w:r w:rsidRPr="0006330A">
        <w:rPr>
          <w:rFonts w:ascii="Times New Roman" w:hAnsi="Times New Roman"/>
          <w:noProof/>
          <w:sz w:val="24"/>
        </w:rPr>
        <w:t>30</w:t>
      </w:r>
      <w:r>
        <w:rPr>
          <w:rFonts w:ascii="Times New Roman" w:hAnsi="Times New Roman"/>
          <w:noProof/>
          <w:sz w:val="24"/>
        </w:rPr>
        <w:t xml:space="preserve"> de milioane EUR, un nivel cu aproximativ </w:t>
      </w:r>
      <w:r w:rsidRPr="0006330A">
        <w:rPr>
          <w:rFonts w:ascii="Times New Roman" w:hAnsi="Times New Roman"/>
          <w:noProof/>
          <w:sz w:val="24"/>
        </w:rPr>
        <w:t>10</w:t>
      </w:r>
      <w:r>
        <w:rPr>
          <w:rFonts w:ascii="Times New Roman" w:hAnsi="Times New Roman"/>
          <w:noProof/>
          <w:sz w:val="24"/>
        </w:rPr>
        <w:t xml:space="preserve"> % mai mare decât în </w:t>
      </w:r>
      <w:r w:rsidRPr="0006330A">
        <w:rPr>
          <w:rFonts w:ascii="Times New Roman" w:hAnsi="Times New Roman"/>
          <w:noProof/>
          <w:sz w:val="24"/>
        </w:rPr>
        <w:t>2019</w:t>
      </w:r>
      <w:r>
        <w:rPr>
          <w:rFonts w:ascii="Times New Roman" w:hAnsi="Times New Roman"/>
          <w:noProof/>
          <w:sz w:val="24"/>
        </w:rPr>
        <w:t xml:space="preserve">, dar mai mic decât nivelul maxim de </w:t>
      </w:r>
      <w:r w:rsidRPr="0006330A">
        <w:rPr>
          <w:rFonts w:ascii="Times New Roman" w:hAnsi="Times New Roman"/>
          <w:noProof/>
          <w:sz w:val="24"/>
        </w:rPr>
        <w:t>32</w:t>
      </w:r>
      <w:r>
        <w:rPr>
          <w:rFonts w:ascii="Times New Roman" w:hAnsi="Times New Roman"/>
          <w:noProof/>
          <w:sz w:val="24"/>
        </w:rPr>
        <w:t xml:space="preserve"> de milioane EUR înregistrat în </w:t>
      </w:r>
      <w:r w:rsidRPr="0006330A">
        <w:rPr>
          <w:rFonts w:ascii="Times New Roman" w:hAnsi="Times New Roman"/>
          <w:noProof/>
          <w:sz w:val="24"/>
        </w:rPr>
        <w:t>2020</w:t>
      </w:r>
      <w:r>
        <w:rPr>
          <w:rFonts w:ascii="Times New Roman" w:hAnsi="Times New Roman"/>
          <w:noProof/>
          <w:sz w:val="24"/>
        </w:rPr>
        <w:t xml:space="preserve">. </w:t>
      </w:r>
    </w:p>
    <w:p w14:paraId="29657E7A" w14:textId="6842D8DF" w:rsidR="00E1334F" w:rsidRPr="0006330A" w:rsidRDefault="00825768" w:rsidP="00A5228F">
      <w:pPr>
        <w:keepNext/>
        <w:jc w:val="both"/>
        <w:rPr>
          <w:rFonts w:ascii="Times New Roman" w:hAnsi="Times New Roman" w:cs="Times New Roman"/>
          <w:b/>
          <w:bCs/>
          <w:noProof/>
        </w:rPr>
      </w:pPr>
      <w:r w:rsidRPr="0006330A">
        <w:rPr>
          <w:rFonts w:ascii="Times New Roman" w:hAnsi="Times New Roman"/>
          <w:b/>
          <w:noProof/>
        </w:rPr>
        <w:t>Fig. 3.3.1 Evoluția Fondului de șomaj</w:t>
      </w:r>
      <w:r>
        <w:rPr>
          <w:rFonts w:ascii="Times New Roman" w:hAnsi="Times New Roman"/>
          <w:noProof/>
        </w:rPr>
        <w:t xml:space="preserve"> </w:t>
      </w:r>
    </w:p>
    <w:p w14:paraId="19957E8B" w14:textId="75E8B792" w:rsidR="00B74DBE" w:rsidRDefault="00F11F2B" w:rsidP="00E1334F">
      <w:pPr>
        <w:jc w:val="center"/>
        <w:rPr>
          <w:noProof/>
        </w:rPr>
      </w:pPr>
      <w:r>
        <w:rPr>
          <w:noProof/>
          <w:lang w:val="en-GB" w:eastAsia="en-GB"/>
        </w:rPr>
        <w:drawing>
          <wp:inline distT="0" distB="0" distL="0" distR="0" wp14:anchorId="7E32F4AC" wp14:editId="2E0AF86A">
            <wp:extent cx="6401435" cy="3909695"/>
            <wp:effectExtent l="0" t="0" r="0" b="0"/>
            <wp:docPr id="5853029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01435" cy="3909695"/>
                    </a:xfrm>
                    <a:prstGeom prst="rect">
                      <a:avLst/>
                    </a:prstGeom>
                    <a:noFill/>
                  </pic:spPr>
                </pic:pic>
              </a:graphicData>
            </a:graphic>
          </wp:inline>
        </w:drawing>
      </w:r>
    </w:p>
    <w:p w14:paraId="74A2ED4B" w14:textId="3F042B44" w:rsidR="00532C90" w:rsidRPr="00CE3230" w:rsidRDefault="2192F9BC" w:rsidP="00CE3230">
      <w:pPr>
        <w:rPr>
          <w:rFonts w:ascii="Times New Roman" w:hAnsi="Times New Roman" w:cs="Times New Roman"/>
          <w:noProof/>
        </w:rPr>
      </w:pPr>
      <w:r>
        <w:rPr>
          <w:rFonts w:ascii="Times New Roman" w:hAnsi="Times New Roman"/>
          <w:noProof/>
        </w:rPr>
        <w:t xml:space="preserve">Sursă: tabelul </w:t>
      </w:r>
      <w:r w:rsidRPr="0006330A">
        <w:rPr>
          <w:rFonts w:ascii="Times New Roman" w:hAnsi="Times New Roman"/>
          <w:noProof/>
        </w:rPr>
        <w:t>1</w:t>
      </w:r>
      <w:r>
        <w:rPr>
          <w:rFonts w:ascii="Times New Roman" w:hAnsi="Times New Roman"/>
          <w:noProof/>
        </w:rPr>
        <w:t xml:space="preserve">, tabelul </w:t>
      </w:r>
      <w:r w:rsidRPr="0006330A">
        <w:rPr>
          <w:rFonts w:ascii="Times New Roman" w:hAnsi="Times New Roman"/>
          <w:noProof/>
        </w:rPr>
        <w:t>2</w:t>
      </w:r>
    </w:p>
    <w:p w14:paraId="646735AA" w14:textId="2FA55462" w:rsidR="00FE45FC" w:rsidRPr="0006330A" w:rsidRDefault="00C45822" w:rsidP="00DF5D65">
      <w:pPr>
        <w:pStyle w:val="Heading2"/>
        <w:numPr>
          <w:ilvl w:val="0"/>
          <w:numId w:val="0"/>
        </w:numPr>
        <w:ind w:left="576" w:hanging="576"/>
        <w:rPr>
          <w:noProof/>
        </w:rPr>
      </w:pPr>
      <w:bookmarkStart w:id="14" w:name="_Toc233306865"/>
      <w:r w:rsidRPr="0006330A">
        <w:rPr>
          <w:noProof/>
        </w:rPr>
        <w:t>3.4 Situația financiară: defalcarea cheltuielilor și a veniturilor</w:t>
      </w:r>
      <w:bookmarkEnd w:id="14"/>
      <w:r w:rsidRPr="0006330A">
        <w:rPr>
          <w:noProof/>
        </w:rPr>
        <w:t xml:space="preserve"> </w:t>
      </w:r>
    </w:p>
    <w:p w14:paraId="0A6FCA73" w14:textId="43288D1F" w:rsidR="00856431" w:rsidRPr="003A6EF8" w:rsidRDefault="7CC85989" w:rsidP="7E3AAFD6">
      <w:pPr>
        <w:jc w:val="both"/>
        <w:rPr>
          <w:rFonts w:ascii="Times New Roman" w:hAnsi="Times New Roman" w:cs="Times New Roman"/>
          <w:noProof/>
          <w:sz w:val="24"/>
          <w:szCs w:val="24"/>
        </w:rPr>
      </w:pPr>
      <w:r>
        <w:rPr>
          <w:rFonts w:ascii="Times New Roman" w:hAnsi="Times New Roman"/>
          <w:noProof/>
          <w:sz w:val="24"/>
        </w:rPr>
        <w:t xml:space="preserve">Tabelul </w:t>
      </w:r>
      <w:r w:rsidRPr="0006330A">
        <w:rPr>
          <w:rFonts w:ascii="Times New Roman" w:hAnsi="Times New Roman"/>
          <w:noProof/>
          <w:sz w:val="24"/>
        </w:rPr>
        <w:t>5</w:t>
      </w:r>
      <w:r>
        <w:rPr>
          <w:rFonts w:ascii="Times New Roman" w:hAnsi="Times New Roman"/>
          <w:noProof/>
          <w:sz w:val="24"/>
        </w:rPr>
        <w:t xml:space="preserve"> prezintă o defalcare a cheltuielilor și veniturilor pe instituții și pentru toate agențiile, atât în termeni absoluți, cât și relativi. Evoluția contribuțiilor și a cheltuielilor fiecărei instituții și ale agențiilor oferă o imagine eterogenă. </w:t>
      </w:r>
    </w:p>
    <w:p w14:paraId="5A8A4455" w14:textId="1B5272DC" w:rsidR="00AC4117" w:rsidRPr="0006330A" w:rsidRDefault="00AC4117" w:rsidP="00AC4117">
      <w:pPr>
        <w:jc w:val="both"/>
        <w:rPr>
          <w:rFonts w:ascii="Times New Roman" w:hAnsi="Times New Roman" w:cs="Times New Roman"/>
          <w:b/>
          <w:bCs/>
          <w:noProof/>
        </w:rPr>
      </w:pPr>
      <w:r w:rsidRPr="0006330A">
        <w:rPr>
          <w:rFonts w:ascii="Times New Roman" w:hAnsi="Times New Roman"/>
          <w:b/>
          <w:noProof/>
        </w:rPr>
        <w:t xml:space="preserve">Tabelul 5 – Fondul de șomaj – Situația financiară: defalcarea veniturilor și a cheltuielilor, pe instituție (2019-2024) </w:t>
      </w:r>
    </w:p>
    <w:p w14:paraId="15597987" w14:textId="072A2B28" w:rsidR="00AA5C3D" w:rsidRPr="0006330A" w:rsidRDefault="00F02F8D" w:rsidP="00F74D46">
      <w:pPr>
        <w:jc w:val="both"/>
        <w:rPr>
          <w:b/>
          <w:bCs/>
          <w:noProof/>
        </w:rPr>
      </w:pPr>
      <w:r w:rsidRPr="00F02F8D">
        <w:rPr>
          <w:noProof/>
          <w:lang w:val="en-GB" w:eastAsia="en-GB"/>
        </w:rPr>
        <w:drawing>
          <wp:inline distT="0" distB="0" distL="0" distR="0" wp14:anchorId="20444741" wp14:editId="60CD5A96">
            <wp:extent cx="5731510" cy="2764790"/>
            <wp:effectExtent l="0" t="0" r="2540" b="0"/>
            <wp:docPr id="76405655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2764790"/>
                    </a:xfrm>
                    <a:prstGeom prst="rect">
                      <a:avLst/>
                    </a:prstGeom>
                    <a:noFill/>
                    <a:ln>
                      <a:noFill/>
                    </a:ln>
                  </pic:spPr>
                </pic:pic>
              </a:graphicData>
            </a:graphic>
          </wp:inline>
        </w:drawing>
      </w:r>
    </w:p>
    <w:p w14:paraId="3BF5851F" w14:textId="4A36A9D3" w:rsidR="006D5660" w:rsidRPr="0006330A" w:rsidRDefault="00CC2AFE" w:rsidP="007137E9">
      <w:pPr>
        <w:pStyle w:val="Heading1"/>
        <w:numPr>
          <w:ilvl w:val="0"/>
          <w:numId w:val="0"/>
        </w:numPr>
        <w:ind w:left="360"/>
        <w:rPr>
          <w:noProof/>
        </w:rPr>
      </w:pPr>
      <w:bookmarkStart w:id="15" w:name="_Toc233306866"/>
      <w:r w:rsidRPr="0006330A">
        <w:rPr>
          <w:noProof/>
        </w:rPr>
        <w:t>4. Analiza privind persoanele asigurate, beneficiarii și indemnizațiile plătite</w:t>
      </w:r>
      <w:bookmarkEnd w:id="15"/>
    </w:p>
    <w:p w14:paraId="0B10999C" w14:textId="141E3684" w:rsidR="00BE669A" w:rsidRDefault="00C6689C" w:rsidP="0086573C">
      <w:pPr>
        <w:rPr>
          <w:noProof/>
        </w:rPr>
      </w:pPr>
      <w:r>
        <w:rPr>
          <w:noProof/>
          <w:lang w:val="en-GB" w:eastAsia="en-GB"/>
        </w:rPr>
        <mc:AlternateContent>
          <mc:Choice Requires="wps">
            <w:drawing>
              <wp:anchor distT="0" distB="0" distL="114300" distR="114300" simplePos="0" relativeHeight="251658240" behindDoc="0" locked="0" layoutInCell="1" allowOverlap="1" wp14:anchorId="6529323C" wp14:editId="7B8D1FFB">
                <wp:simplePos x="0" y="0"/>
                <wp:positionH relativeFrom="margin">
                  <wp:align>right</wp:align>
                </wp:positionH>
                <wp:positionV relativeFrom="paragraph">
                  <wp:posOffset>85058</wp:posOffset>
                </wp:positionV>
                <wp:extent cx="5717894" cy="3314700"/>
                <wp:effectExtent l="0" t="0" r="16510" b="19050"/>
                <wp:wrapNone/>
                <wp:docPr id="1330594680" name="Rectangle: Rounded Corners 5"/>
                <wp:cNvGraphicFramePr/>
                <a:graphic xmlns:a="http://schemas.openxmlformats.org/drawingml/2006/main">
                  <a:graphicData uri="http://schemas.microsoft.com/office/word/2010/wordprocessingShape">
                    <wps:wsp>
                      <wps:cNvSpPr/>
                      <wps:spPr>
                        <a:xfrm>
                          <a:off x="0" y="0"/>
                          <a:ext cx="5717894" cy="3314700"/>
                        </a:xfrm>
                        <a:prstGeom prst="roundRect">
                          <a:avLst/>
                        </a:prstGeom>
                        <a:solidFill>
                          <a:schemeClr val="accent1">
                            <a:alpha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F239D58" w14:textId="0DB84578" w:rsidR="00C6689C" w:rsidRPr="00D45CAD" w:rsidRDefault="00071029" w:rsidP="00C6689C">
                            <w:pPr>
                              <w:rPr>
                                <w:rFonts w:ascii="Times New Roman" w:hAnsi="Times New Roman" w:cs="Times New Roman"/>
                                <w:b/>
                                <w:bCs/>
                                <w:color w:val="000000" w:themeColor="text1"/>
                                <w:sz w:val="24"/>
                                <w:szCs w:val="24"/>
                              </w:rPr>
                            </w:pPr>
                            <w:r>
                              <w:rPr>
                                <w:rFonts w:ascii="Times New Roman" w:hAnsi="Times New Roman"/>
                                <w:b/>
                                <w:color w:val="000000" w:themeColor="text1"/>
                                <w:sz w:val="24"/>
                              </w:rPr>
                              <w:t>Date esențiale:</w:t>
                            </w:r>
                          </w:p>
                          <w:p w14:paraId="645803F8" w14:textId="523D2F5D" w:rsidR="00C6689C" w:rsidRPr="00D45CAD" w:rsidRDefault="00AE0831" w:rsidP="00D45CAD">
                            <w:pPr>
                              <w:pStyle w:val="ListParagraph"/>
                              <w:numPr>
                                <w:ilvl w:val="0"/>
                                <w:numId w:val="11"/>
                              </w:numPr>
                              <w:jc w:val="both"/>
                              <w:rPr>
                                <w:rFonts w:ascii="Times New Roman" w:hAnsi="Times New Roman" w:cs="Times New Roman"/>
                                <w:color w:val="000000" w:themeColor="text1"/>
                                <w:sz w:val="24"/>
                                <w:szCs w:val="24"/>
                              </w:rPr>
                            </w:pPr>
                            <w:r>
                              <w:rPr>
                                <w:rFonts w:ascii="Times New Roman" w:hAnsi="Times New Roman"/>
                                <w:color w:val="000000" w:themeColor="text1"/>
                                <w:sz w:val="24"/>
                              </w:rPr>
                              <w:t xml:space="preserve">În decembrie 2024, </w:t>
                            </w:r>
                            <w:r>
                              <w:rPr>
                                <w:rFonts w:ascii="Times New Roman" w:hAnsi="Times New Roman"/>
                                <w:b/>
                                <w:color w:val="000000" w:themeColor="text1"/>
                                <w:sz w:val="24"/>
                              </w:rPr>
                              <w:t>numărul contribuitorilor</w:t>
                            </w:r>
                            <w:r>
                              <w:rPr>
                                <w:rFonts w:ascii="Times New Roman" w:hAnsi="Times New Roman"/>
                                <w:color w:val="000000" w:themeColor="text1"/>
                                <w:sz w:val="24"/>
                              </w:rPr>
                              <w:t xml:space="preserve"> era de </w:t>
                            </w:r>
                            <w:r>
                              <w:rPr>
                                <w:rFonts w:ascii="Times New Roman" w:hAnsi="Times New Roman"/>
                                <w:b/>
                                <w:color w:val="000000" w:themeColor="text1"/>
                                <w:sz w:val="24"/>
                              </w:rPr>
                              <w:t>36 689</w:t>
                            </w:r>
                            <w:r>
                              <w:rPr>
                                <w:rFonts w:ascii="Times New Roman" w:hAnsi="Times New Roman"/>
                                <w:color w:val="000000" w:themeColor="text1"/>
                                <w:sz w:val="24"/>
                              </w:rPr>
                              <w:t xml:space="preserve">, ceea ce reprezintă o creștere de 34 % față de 2019. </w:t>
                            </w:r>
                          </w:p>
                          <w:p w14:paraId="7CAB16D7" w14:textId="7890A39B" w:rsidR="00C6689C" w:rsidRPr="00D45CAD" w:rsidRDefault="00AE0831" w:rsidP="00D45CAD">
                            <w:pPr>
                              <w:pStyle w:val="ListParagraph"/>
                              <w:numPr>
                                <w:ilvl w:val="0"/>
                                <w:numId w:val="11"/>
                              </w:numPr>
                              <w:jc w:val="both"/>
                              <w:rPr>
                                <w:rFonts w:ascii="Times New Roman" w:hAnsi="Times New Roman" w:cs="Times New Roman"/>
                                <w:color w:val="000000" w:themeColor="text1"/>
                                <w:sz w:val="24"/>
                                <w:szCs w:val="24"/>
                              </w:rPr>
                            </w:pPr>
                            <w:r>
                              <w:rPr>
                                <w:rFonts w:ascii="Times New Roman" w:hAnsi="Times New Roman"/>
                                <w:color w:val="000000" w:themeColor="text1"/>
                                <w:sz w:val="24"/>
                              </w:rPr>
                              <w:t xml:space="preserve">În decembrie 2024, </w:t>
                            </w:r>
                            <w:r>
                              <w:rPr>
                                <w:rFonts w:ascii="Times New Roman" w:hAnsi="Times New Roman"/>
                                <w:b/>
                                <w:color w:val="000000" w:themeColor="text1"/>
                                <w:sz w:val="24"/>
                              </w:rPr>
                              <w:t>numărul beneficiarilor</w:t>
                            </w:r>
                            <w:r>
                              <w:rPr>
                                <w:rFonts w:ascii="Times New Roman" w:hAnsi="Times New Roman"/>
                                <w:color w:val="000000" w:themeColor="text1"/>
                                <w:sz w:val="24"/>
                              </w:rPr>
                              <w:t xml:space="preserve"> era de </w:t>
                            </w:r>
                            <w:r>
                              <w:rPr>
                                <w:rFonts w:ascii="Times New Roman" w:hAnsi="Times New Roman"/>
                                <w:b/>
                                <w:color w:val="000000" w:themeColor="text1"/>
                                <w:sz w:val="24"/>
                              </w:rPr>
                              <w:t>754</w:t>
                            </w:r>
                            <w:r>
                              <w:rPr>
                                <w:rFonts w:ascii="Times New Roman" w:hAnsi="Times New Roman"/>
                                <w:color w:val="000000" w:themeColor="text1"/>
                                <w:sz w:val="24"/>
                              </w:rPr>
                              <w:t xml:space="preserve">, ceea ce reprezintă o scădere de 31 % față de 2019. </w:t>
                            </w:r>
                          </w:p>
                          <w:p w14:paraId="289991C5" w14:textId="2DDD311D" w:rsidR="006F0E97" w:rsidRPr="00D45CAD" w:rsidRDefault="007551A1" w:rsidP="00D45CAD">
                            <w:pPr>
                              <w:pStyle w:val="ListParagraph"/>
                              <w:numPr>
                                <w:ilvl w:val="0"/>
                                <w:numId w:val="11"/>
                              </w:numPr>
                              <w:jc w:val="both"/>
                              <w:rPr>
                                <w:rFonts w:ascii="Times New Roman" w:hAnsi="Times New Roman" w:cs="Times New Roman"/>
                                <w:color w:val="000000" w:themeColor="text1"/>
                                <w:sz w:val="24"/>
                                <w:szCs w:val="24"/>
                              </w:rPr>
                            </w:pPr>
                            <w:r>
                              <w:rPr>
                                <w:rFonts w:ascii="Times New Roman" w:hAnsi="Times New Roman"/>
                                <w:b/>
                                <w:color w:val="000000" w:themeColor="text1"/>
                                <w:sz w:val="24"/>
                              </w:rPr>
                              <w:t xml:space="preserve">Rata șomajului agregat </w:t>
                            </w:r>
                            <w:r>
                              <w:rPr>
                                <w:rFonts w:ascii="Times New Roman" w:hAnsi="Times New Roman"/>
                                <w:color w:val="000000" w:themeColor="text1"/>
                                <w:sz w:val="24"/>
                              </w:rPr>
                              <w:t xml:space="preserve">în toate instituțiile și agențiile s-a contractat în perioada respectivă de la 4 % la 2 %. </w:t>
                            </w:r>
                          </w:p>
                          <w:p w14:paraId="7E19459E" w14:textId="7127F855" w:rsidR="00C6689C" w:rsidRPr="00D45CAD" w:rsidRDefault="00C6689C" w:rsidP="00D45CAD">
                            <w:pPr>
                              <w:pStyle w:val="ListParagraph"/>
                              <w:numPr>
                                <w:ilvl w:val="0"/>
                                <w:numId w:val="11"/>
                              </w:num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 xml:space="preserve">Durata șomajului </w:t>
                            </w:r>
                            <w:r>
                              <w:rPr>
                                <w:rFonts w:ascii="Times New Roman" w:hAnsi="Times New Roman"/>
                                <w:color w:val="000000" w:themeColor="text1"/>
                                <w:sz w:val="24"/>
                              </w:rPr>
                              <w:t>a crescut ușor, în medie de la 8,5 luni în 2019 la 8,8 luni în 2024.</w:t>
                            </w:r>
                          </w:p>
                          <w:p w14:paraId="5504A5DB" w14:textId="2BDC2B58" w:rsidR="00C6689C" w:rsidRPr="00D45CAD" w:rsidRDefault="00C6689C" w:rsidP="00D45CAD">
                            <w:pPr>
                              <w:pStyle w:val="ListParagraph"/>
                              <w:numPr>
                                <w:ilvl w:val="0"/>
                                <w:numId w:val="11"/>
                              </w:num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Distribuția geografică a beneficiarilor</w:t>
                            </w:r>
                            <w:r>
                              <w:rPr>
                                <w:rFonts w:ascii="Times New Roman" w:hAnsi="Times New Roman"/>
                                <w:color w:val="000000" w:themeColor="text1"/>
                                <w:sz w:val="24"/>
                              </w:rPr>
                              <w:t>: în 2024, 51 % din beneficiari locuiau în Belgia, iar 27 % în Luxemburg, Italia, Spania și Franța.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29323C" id="_x0000_s1028" style="position:absolute;margin-left:399.05pt;margin-top:6.7pt;width:450.25pt;height:261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" fillcolor="#4472c4 [3204]" strokecolor="#09101d [484]" strokeweight="1pt">
                <v:fill opacity="32896f"/>
                <v:stroke joinstyle="miter"/>
                <v:textbox>
                  <w:txbxContent>
                    <w:p w14:paraId="0F239D58" w14:textId="0DB84578" w:rsidR="00C6689C" w:rsidRPr="00D45CAD" w:rsidRDefault="00071029" w:rsidP="00C6689C">
                      <w:pPr>
                        <w:rPr>
                          <w:rFonts w:ascii="Times New Roman" w:hAnsi="Times New Roman" w:cs="Times New Roman"/>
                          <w:b/>
                          <w:bCs/>
                          <w:color w:val="000000" w:themeColor="text1"/>
                          <w:sz w:val="24"/>
                          <w:szCs w:val="24"/>
                        </w:rPr>
                      </w:pPr>
                      <w:r>
                        <w:rPr>
                          <w:rFonts w:ascii="Times New Roman" w:hAnsi="Times New Roman"/>
                          <w:b/>
                          <w:color w:val="000000" w:themeColor="text1"/>
                          <w:sz w:val="24"/>
                        </w:rPr>
                        <w:t>Date esențiale:</w:t>
                      </w:r>
                    </w:p>
                    <w:p w14:paraId="645803F8" w14:textId="523D2F5D" w:rsidR="00C6689C" w:rsidRPr="00D45CAD" w:rsidRDefault="00AE0831" w:rsidP="00D45CAD">
                      <w:pPr>
                        <w:pStyle w:val="ListParagraph"/>
                        <w:numPr>
                          <w:ilvl w:val="0"/>
                          <w:numId w:val="11"/>
                        </w:numPr>
                        <w:jc w:val="both"/>
                        <w:rPr>
                          <w:rFonts w:ascii="Times New Roman" w:hAnsi="Times New Roman" w:cs="Times New Roman"/>
                          <w:color w:val="000000" w:themeColor="text1"/>
                          <w:sz w:val="24"/>
                          <w:szCs w:val="24"/>
                        </w:rPr>
                      </w:pPr>
                      <w:r>
                        <w:rPr>
                          <w:rFonts w:ascii="Times New Roman" w:hAnsi="Times New Roman"/>
                          <w:color w:val="000000" w:themeColor="text1"/>
                          <w:sz w:val="24"/>
                        </w:rPr>
                        <w:t xml:space="preserve">În decembrie 2024, </w:t>
                      </w:r>
                      <w:r>
                        <w:rPr>
                          <w:rFonts w:ascii="Times New Roman" w:hAnsi="Times New Roman"/>
                          <w:b/>
                          <w:color w:val="000000" w:themeColor="text1"/>
                          <w:sz w:val="24"/>
                        </w:rPr>
                        <w:t>numărul contribuitorilor</w:t>
                      </w:r>
                      <w:r>
                        <w:rPr>
                          <w:rFonts w:ascii="Times New Roman" w:hAnsi="Times New Roman"/>
                          <w:color w:val="000000" w:themeColor="text1"/>
                          <w:sz w:val="24"/>
                        </w:rPr>
                        <w:t xml:space="preserve"> era de </w:t>
                      </w:r>
                      <w:r>
                        <w:rPr>
                          <w:rFonts w:ascii="Times New Roman" w:hAnsi="Times New Roman"/>
                          <w:b/>
                          <w:color w:val="000000" w:themeColor="text1"/>
                          <w:sz w:val="24"/>
                        </w:rPr>
                        <w:t>36 689</w:t>
                      </w:r>
                      <w:r>
                        <w:rPr>
                          <w:rFonts w:ascii="Times New Roman" w:hAnsi="Times New Roman"/>
                          <w:color w:val="000000" w:themeColor="text1"/>
                          <w:sz w:val="24"/>
                        </w:rPr>
                        <w:t xml:space="preserve">, ceea ce reprezintă o creștere de 34 % față de 2019. </w:t>
                      </w:r>
                    </w:p>
                    <w:p w14:paraId="7CAB16D7" w14:textId="7890A39B" w:rsidR="00C6689C" w:rsidRPr="00D45CAD" w:rsidRDefault="00AE0831" w:rsidP="00D45CAD">
                      <w:pPr>
                        <w:pStyle w:val="ListParagraph"/>
                        <w:numPr>
                          <w:ilvl w:val="0"/>
                          <w:numId w:val="11"/>
                        </w:numPr>
                        <w:jc w:val="both"/>
                        <w:rPr>
                          <w:rFonts w:ascii="Times New Roman" w:hAnsi="Times New Roman" w:cs="Times New Roman"/>
                          <w:color w:val="000000" w:themeColor="text1"/>
                          <w:sz w:val="24"/>
                          <w:szCs w:val="24"/>
                        </w:rPr>
                      </w:pPr>
                      <w:r>
                        <w:rPr>
                          <w:rFonts w:ascii="Times New Roman" w:hAnsi="Times New Roman"/>
                          <w:color w:val="000000" w:themeColor="text1"/>
                          <w:sz w:val="24"/>
                        </w:rPr>
                        <w:t xml:space="preserve">În decembrie 2024, </w:t>
                      </w:r>
                      <w:r>
                        <w:rPr>
                          <w:rFonts w:ascii="Times New Roman" w:hAnsi="Times New Roman"/>
                          <w:b/>
                          <w:color w:val="000000" w:themeColor="text1"/>
                          <w:sz w:val="24"/>
                        </w:rPr>
                        <w:t>numărul beneficiarilor</w:t>
                      </w:r>
                      <w:r>
                        <w:rPr>
                          <w:rFonts w:ascii="Times New Roman" w:hAnsi="Times New Roman"/>
                          <w:color w:val="000000" w:themeColor="text1"/>
                          <w:sz w:val="24"/>
                        </w:rPr>
                        <w:t xml:space="preserve"> era de </w:t>
                      </w:r>
                      <w:r>
                        <w:rPr>
                          <w:rFonts w:ascii="Times New Roman" w:hAnsi="Times New Roman"/>
                          <w:b/>
                          <w:color w:val="000000" w:themeColor="text1"/>
                          <w:sz w:val="24"/>
                        </w:rPr>
                        <w:t>754</w:t>
                      </w:r>
                      <w:r>
                        <w:rPr>
                          <w:rFonts w:ascii="Times New Roman" w:hAnsi="Times New Roman"/>
                          <w:color w:val="000000" w:themeColor="text1"/>
                          <w:sz w:val="24"/>
                        </w:rPr>
                        <w:t xml:space="preserve">, ceea ce reprezintă o scădere de 31 % față de 2019. </w:t>
                      </w:r>
                    </w:p>
                    <w:p w14:paraId="289991C5" w14:textId="2DDD311D" w:rsidR="006F0E97" w:rsidRPr="00D45CAD" w:rsidRDefault="007551A1" w:rsidP="00D45CAD">
                      <w:pPr>
                        <w:pStyle w:val="ListParagraph"/>
                        <w:numPr>
                          <w:ilvl w:val="0"/>
                          <w:numId w:val="11"/>
                        </w:numPr>
                        <w:jc w:val="both"/>
                        <w:rPr>
                          <w:rFonts w:ascii="Times New Roman" w:hAnsi="Times New Roman" w:cs="Times New Roman"/>
                          <w:color w:val="000000" w:themeColor="text1"/>
                          <w:sz w:val="24"/>
                          <w:szCs w:val="24"/>
                        </w:rPr>
                      </w:pPr>
                      <w:r>
                        <w:rPr>
                          <w:rFonts w:ascii="Times New Roman" w:hAnsi="Times New Roman"/>
                          <w:b/>
                          <w:color w:val="000000" w:themeColor="text1"/>
                          <w:sz w:val="24"/>
                        </w:rPr>
                        <w:t xml:space="preserve">Rata șomajului agregat </w:t>
                      </w:r>
                      <w:r>
                        <w:rPr>
                          <w:rFonts w:ascii="Times New Roman" w:hAnsi="Times New Roman"/>
                          <w:color w:val="000000" w:themeColor="text1"/>
                          <w:sz w:val="24"/>
                        </w:rPr>
                        <w:t xml:space="preserve">în toate instituțiile și agențiile s-a contractat în perioada respectivă de la 4 % la 2 %. </w:t>
                      </w:r>
                    </w:p>
                    <w:p w14:paraId="7E19459E" w14:textId="7127F855" w:rsidR="00C6689C" w:rsidRPr="00D45CAD" w:rsidRDefault="00C6689C" w:rsidP="00D45CAD">
                      <w:pPr>
                        <w:pStyle w:val="ListParagraph"/>
                        <w:numPr>
                          <w:ilvl w:val="0"/>
                          <w:numId w:val="11"/>
                        </w:num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 xml:space="preserve">Durata șomajului </w:t>
                      </w:r>
                      <w:r>
                        <w:rPr>
                          <w:rFonts w:ascii="Times New Roman" w:hAnsi="Times New Roman"/>
                          <w:color w:val="000000" w:themeColor="text1"/>
                          <w:sz w:val="24"/>
                        </w:rPr>
                        <w:t>a crescut ușor, în medie de la 8,5 luni în 2019 la 8,8 luni în 2024.</w:t>
                      </w:r>
                    </w:p>
                    <w:p w14:paraId="5504A5DB" w14:textId="2BDC2B58" w:rsidR="00C6689C" w:rsidRPr="00D45CAD" w:rsidRDefault="00C6689C" w:rsidP="00D45CAD">
                      <w:pPr>
                        <w:pStyle w:val="ListParagraph"/>
                        <w:numPr>
                          <w:ilvl w:val="0"/>
                          <w:numId w:val="11"/>
                        </w:num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Distribuția geografică a beneficiarilor</w:t>
                      </w:r>
                      <w:r>
                        <w:rPr>
                          <w:rFonts w:ascii="Times New Roman" w:hAnsi="Times New Roman"/>
                          <w:color w:val="000000" w:themeColor="text1"/>
                          <w:sz w:val="24"/>
                        </w:rPr>
                        <w:t>: în 2024, 51 % din beneficiari locuiau în Belgia, iar 27 % în Luxemburg, Italia, Spania și Franța.</w:t>
                      </w:r>
                    </w:p>
                  </w:txbxContent>
                </v:textbox>
                <w10:wrap anchorx="margin"/>
              </v:roundrect>
            </w:pict>
          </mc:Fallback>
        </mc:AlternateContent>
      </w:r>
    </w:p>
    <w:p w14:paraId="2B2178AD" w14:textId="43068D10" w:rsidR="00C6689C" w:rsidRPr="0086573C" w:rsidRDefault="00C6689C" w:rsidP="0086573C">
      <w:pPr>
        <w:rPr>
          <w:noProof/>
        </w:rPr>
      </w:pPr>
    </w:p>
    <w:p w14:paraId="5ABC7D38" w14:textId="487A3A5F" w:rsidR="00D80609" w:rsidRDefault="00D80609" w:rsidP="00D80609">
      <w:pPr>
        <w:rPr>
          <w:noProof/>
        </w:rPr>
      </w:pPr>
    </w:p>
    <w:p w14:paraId="2C6EDAE0" w14:textId="77777777" w:rsidR="00C6689C" w:rsidRDefault="00C6689C" w:rsidP="004B5B73">
      <w:pPr>
        <w:jc w:val="both"/>
        <w:rPr>
          <w:noProof/>
        </w:rPr>
      </w:pPr>
    </w:p>
    <w:p w14:paraId="3C2E76EA" w14:textId="77777777" w:rsidR="00C6689C" w:rsidRDefault="00C6689C" w:rsidP="004B5B73">
      <w:pPr>
        <w:jc w:val="both"/>
        <w:rPr>
          <w:noProof/>
        </w:rPr>
      </w:pPr>
    </w:p>
    <w:p w14:paraId="30A1F63A" w14:textId="77777777" w:rsidR="00C6689C" w:rsidRDefault="00C6689C" w:rsidP="004B5B73">
      <w:pPr>
        <w:jc w:val="both"/>
        <w:rPr>
          <w:noProof/>
        </w:rPr>
      </w:pPr>
    </w:p>
    <w:p w14:paraId="70EDBCD0" w14:textId="77777777" w:rsidR="00C6689C" w:rsidRDefault="00C6689C" w:rsidP="004B5B73">
      <w:pPr>
        <w:jc w:val="both"/>
        <w:rPr>
          <w:noProof/>
        </w:rPr>
      </w:pPr>
    </w:p>
    <w:p w14:paraId="498587C2" w14:textId="77777777" w:rsidR="00C6689C" w:rsidRDefault="00C6689C" w:rsidP="004B5B73">
      <w:pPr>
        <w:jc w:val="both"/>
        <w:rPr>
          <w:noProof/>
        </w:rPr>
      </w:pPr>
    </w:p>
    <w:p w14:paraId="39A152D0" w14:textId="77777777" w:rsidR="00C6689C" w:rsidRDefault="00C6689C" w:rsidP="004B5B73">
      <w:pPr>
        <w:jc w:val="both"/>
        <w:rPr>
          <w:noProof/>
        </w:rPr>
      </w:pPr>
    </w:p>
    <w:p w14:paraId="57CF83D6" w14:textId="77777777" w:rsidR="008C3420" w:rsidRDefault="008C3420" w:rsidP="004B5B73">
      <w:pPr>
        <w:jc w:val="both"/>
        <w:rPr>
          <w:noProof/>
        </w:rPr>
      </w:pPr>
    </w:p>
    <w:p w14:paraId="08F8546C" w14:textId="77777777" w:rsidR="008C3420" w:rsidRDefault="008C3420" w:rsidP="004B5B73">
      <w:pPr>
        <w:jc w:val="both"/>
        <w:rPr>
          <w:noProof/>
        </w:rPr>
      </w:pPr>
    </w:p>
    <w:p w14:paraId="4E43C25A" w14:textId="77777777" w:rsidR="008C3420" w:rsidRDefault="008C3420" w:rsidP="004B5B73">
      <w:pPr>
        <w:jc w:val="both"/>
        <w:rPr>
          <w:noProof/>
        </w:rPr>
      </w:pPr>
    </w:p>
    <w:p w14:paraId="3E5D9B70" w14:textId="77777777" w:rsidR="00281675" w:rsidRDefault="00281675" w:rsidP="004B5B73">
      <w:pPr>
        <w:jc w:val="both"/>
        <w:rPr>
          <w:noProof/>
        </w:rPr>
      </w:pPr>
    </w:p>
    <w:p w14:paraId="37278D6D" w14:textId="77777777" w:rsidR="00132D6C" w:rsidRDefault="00132D6C" w:rsidP="004B5B73">
      <w:pPr>
        <w:jc w:val="both"/>
        <w:rPr>
          <w:noProof/>
        </w:rPr>
      </w:pPr>
    </w:p>
    <w:p w14:paraId="2D3791C9" w14:textId="48E17B89" w:rsidR="00800461" w:rsidRPr="0006330A" w:rsidRDefault="003B325A" w:rsidP="000A7BDF">
      <w:pPr>
        <w:pStyle w:val="Heading2"/>
        <w:numPr>
          <w:ilvl w:val="0"/>
          <w:numId w:val="0"/>
        </w:numPr>
        <w:ind w:left="576"/>
        <w:rPr>
          <w:noProof/>
        </w:rPr>
      </w:pPr>
      <w:bookmarkStart w:id="16" w:name="_Toc233306867"/>
      <w:r w:rsidRPr="0006330A">
        <w:rPr>
          <w:noProof/>
        </w:rPr>
        <w:t>4.1 Aspecte metodologice</w:t>
      </w:r>
      <w:bookmarkEnd w:id="16"/>
    </w:p>
    <w:p w14:paraId="3FA81358" w14:textId="39E0490F" w:rsidR="00792D8D" w:rsidRPr="00D45CAD" w:rsidRDefault="007A78E6" w:rsidP="00D45CAD">
      <w:pPr>
        <w:jc w:val="both"/>
        <w:rPr>
          <w:rFonts w:asciiTheme="majorHAnsi" w:eastAsiaTheme="majorEastAsia" w:hAnsiTheme="majorHAnsi" w:cstheme="majorBidi"/>
          <w:noProof/>
          <w:color w:val="2F5496" w:themeColor="accent1" w:themeShade="BF"/>
          <w:sz w:val="26"/>
          <w:szCs w:val="26"/>
        </w:rPr>
      </w:pPr>
      <w:r>
        <w:rPr>
          <w:rFonts w:ascii="Times New Roman" w:hAnsi="Times New Roman"/>
          <w:noProof/>
          <w:sz w:val="24"/>
        </w:rPr>
        <w:t>În ceea ce privește populația vizată de sistem, în raportul anterior și în cel prezent s-a luat în considerare numărul de persoane înregistrate în luna decembrie a fiecărui an ca membri sau beneficiari. Este vorba despre o abordare analitică simplă.</w:t>
      </w:r>
    </w:p>
    <w:p w14:paraId="61047076" w14:textId="38076825" w:rsidR="00696CC7" w:rsidRPr="0006330A" w:rsidRDefault="00CC2AFE" w:rsidP="000A7BDF">
      <w:pPr>
        <w:pStyle w:val="Heading2"/>
        <w:numPr>
          <w:ilvl w:val="0"/>
          <w:numId w:val="0"/>
        </w:numPr>
        <w:ind w:left="576"/>
        <w:rPr>
          <w:noProof/>
        </w:rPr>
      </w:pPr>
      <w:bookmarkStart w:id="17" w:name="_Toc233306868"/>
      <w:r w:rsidRPr="0006330A">
        <w:rPr>
          <w:noProof/>
        </w:rPr>
        <w:t>4.2. Numărul de persoane asigurate</w:t>
      </w:r>
      <w:bookmarkEnd w:id="17"/>
      <w:r w:rsidRPr="0006330A">
        <w:rPr>
          <w:noProof/>
        </w:rPr>
        <w:t xml:space="preserve"> </w:t>
      </w:r>
    </w:p>
    <w:p w14:paraId="5C6B7E77" w14:textId="7047FC7E" w:rsidR="00725BF1" w:rsidRPr="00E64014" w:rsidRDefault="005D41E3" w:rsidP="00696CC7">
      <w:pPr>
        <w:jc w:val="both"/>
        <w:rPr>
          <w:rFonts w:ascii="Times New Roman" w:hAnsi="Times New Roman" w:cs="Times New Roman"/>
          <w:noProof/>
          <w:sz w:val="24"/>
          <w:szCs w:val="24"/>
        </w:rPr>
      </w:pPr>
      <w:r>
        <w:rPr>
          <w:rFonts w:ascii="Times New Roman" w:hAnsi="Times New Roman"/>
          <w:noProof/>
          <w:sz w:val="24"/>
        </w:rPr>
        <w:t xml:space="preserve">Dacă luăm în considerare numărul de membri afiliați la sistem la sfârșitul anului, datele arată o creștere continuă. În cursul perioadei de referință, numărul de agenți temporari a crescut cu </w:t>
      </w:r>
      <w:r w:rsidRPr="0006330A">
        <w:rPr>
          <w:rFonts w:ascii="Times New Roman" w:hAnsi="Times New Roman"/>
          <w:noProof/>
          <w:sz w:val="24"/>
        </w:rPr>
        <w:t>34</w:t>
      </w:r>
      <w:r>
        <w:rPr>
          <w:rFonts w:ascii="Times New Roman" w:hAnsi="Times New Roman"/>
          <w:noProof/>
          <w:sz w:val="24"/>
        </w:rPr>
        <w:t xml:space="preserve"> %, ajungând la </w:t>
      </w:r>
      <w:r w:rsidRPr="0006330A">
        <w:rPr>
          <w:rFonts w:ascii="Times New Roman" w:hAnsi="Times New Roman"/>
          <w:noProof/>
          <w:sz w:val="24"/>
        </w:rPr>
        <w:t>36</w:t>
      </w:r>
      <w:r>
        <w:rPr>
          <w:rFonts w:ascii="Times New Roman" w:hAnsi="Times New Roman"/>
          <w:noProof/>
          <w:sz w:val="24"/>
        </w:rPr>
        <w:t> </w:t>
      </w:r>
      <w:r w:rsidRPr="0006330A">
        <w:rPr>
          <w:rFonts w:ascii="Times New Roman" w:hAnsi="Times New Roman"/>
          <w:noProof/>
          <w:sz w:val="24"/>
        </w:rPr>
        <w:t>689</w:t>
      </w:r>
      <w:r>
        <w:rPr>
          <w:rFonts w:ascii="Times New Roman" w:hAnsi="Times New Roman"/>
          <w:noProof/>
          <w:sz w:val="24"/>
        </w:rPr>
        <w:t xml:space="preserve"> la sfârșitul anului </w:t>
      </w:r>
      <w:r w:rsidRPr="0006330A">
        <w:rPr>
          <w:rFonts w:ascii="Times New Roman" w:hAnsi="Times New Roman"/>
          <w:noProof/>
          <w:sz w:val="24"/>
        </w:rPr>
        <w:t>2024</w:t>
      </w:r>
      <w:r>
        <w:rPr>
          <w:rFonts w:ascii="Times New Roman" w:hAnsi="Times New Roman"/>
          <w:noProof/>
          <w:sz w:val="24"/>
        </w:rPr>
        <w:t>.</w:t>
      </w:r>
    </w:p>
    <w:p w14:paraId="6F5AB071" w14:textId="1E14645F" w:rsidR="00BD4116" w:rsidRPr="0006330A" w:rsidRDefault="00BD4116" w:rsidP="00A5228F">
      <w:pPr>
        <w:keepNext/>
        <w:jc w:val="both"/>
        <w:rPr>
          <w:rFonts w:ascii="Times New Roman" w:hAnsi="Times New Roman" w:cs="Times New Roman"/>
          <w:b/>
          <w:bCs/>
          <w:noProof/>
        </w:rPr>
      </w:pPr>
      <w:r w:rsidRPr="0006330A">
        <w:rPr>
          <w:rFonts w:ascii="Times New Roman" w:hAnsi="Times New Roman"/>
          <w:b/>
          <w:noProof/>
        </w:rPr>
        <w:t xml:space="preserve">Tabelul 6 – Numărul de membri afiliați la sistemul de asigurări de șomaj </w:t>
      </w:r>
    </w:p>
    <w:p w14:paraId="052FD7C4" w14:textId="1FFF44BD" w:rsidR="00BD4116" w:rsidRPr="0006330A" w:rsidRDefault="00F02F8D" w:rsidP="00BD4116">
      <w:pPr>
        <w:jc w:val="both"/>
        <w:rPr>
          <w:b/>
          <w:bCs/>
          <w:noProof/>
        </w:rPr>
      </w:pPr>
      <w:r w:rsidRPr="00F02F8D">
        <w:rPr>
          <w:noProof/>
          <w:lang w:val="en-GB" w:eastAsia="en-GB"/>
        </w:rPr>
        <w:drawing>
          <wp:inline distT="0" distB="0" distL="0" distR="0" wp14:anchorId="505D1A69" wp14:editId="42E5BC8B">
            <wp:extent cx="5731510" cy="5062855"/>
            <wp:effectExtent l="0" t="0" r="2540" b="4445"/>
            <wp:docPr id="8355057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5062855"/>
                    </a:xfrm>
                    <a:prstGeom prst="rect">
                      <a:avLst/>
                    </a:prstGeom>
                    <a:noFill/>
                    <a:ln>
                      <a:noFill/>
                    </a:ln>
                  </pic:spPr>
                </pic:pic>
              </a:graphicData>
            </a:graphic>
          </wp:inline>
        </w:drawing>
      </w:r>
    </w:p>
    <w:p w14:paraId="05E297ED" w14:textId="234A7B52" w:rsidR="002B484D" w:rsidRPr="00D45CAD" w:rsidRDefault="0D6D3C6A" w:rsidP="00951A35">
      <w:pPr>
        <w:jc w:val="both"/>
        <w:rPr>
          <w:noProof/>
        </w:rPr>
      </w:pPr>
      <w:r>
        <w:rPr>
          <w:rFonts w:ascii="Times New Roman" w:hAnsi="Times New Roman"/>
          <w:noProof/>
          <w:sz w:val="24"/>
        </w:rPr>
        <w:t xml:space="preserve">Deși toate categoriile de contracte au înregistrat o creștere în termeni absoluți, evoluția lor respectivă a prezentat un ritm diferit. Mai precis, numărul de AT a crescut cu </w:t>
      </w:r>
      <w:r w:rsidRPr="0006330A">
        <w:rPr>
          <w:rFonts w:ascii="Times New Roman" w:hAnsi="Times New Roman"/>
          <w:noProof/>
          <w:sz w:val="24"/>
        </w:rPr>
        <w:t>54</w:t>
      </w:r>
      <w:r>
        <w:rPr>
          <w:rFonts w:ascii="Times New Roman" w:hAnsi="Times New Roman"/>
          <w:noProof/>
          <w:sz w:val="24"/>
        </w:rPr>
        <w:t> % (</w:t>
      </w:r>
      <w:r w:rsidRPr="0006330A">
        <w:rPr>
          <w:rFonts w:ascii="Times New Roman" w:hAnsi="Times New Roman"/>
          <w:noProof/>
          <w:sz w:val="24"/>
        </w:rPr>
        <w:t>16</w:t>
      </w:r>
      <w:r>
        <w:rPr>
          <w:rFonts w:ascii="Times New Roman" w:hAnsi="Times New Roman"/>
          <w:noProof/>
          <w:sz w:val="24"/>
        </w:rPr>
        <w:t> </w:t>
      </w:r>
      <w:r w:rsidRPr="0006330A">
        <w:rPr>
          <w:rFonts w:ascii="Times New Roman" w:hAnsi="Times New Roman"/>
          <w:noProof/>
          <w:sz w:val="24"/>
        </w:rPr>
        <w:t>929</w:t>
      </w:r>
      <w:r>
        <w:rPr>
          <w:rFonts w:ascii="Times New Roman" w:hAnsi="Times New Roman"/>
          <w:noProof/>
          <w:sz w:val="24"/>
        </w:rPr>
        <w:t xml:space="preserve">), cel de AC cu </w:t>
      </w:r>
      <w:r w:rsidRPr="0006330A">
        <w:rPr>
          <w:rFonts w:ascii="Times New Roman" w:hAnsi="Times New Roman"/>
          <w:noProof/>
          <w:sz w:val="24"/>
        </w:rPr>
        <w:t>21</w:t>
      </w:r>
      <w:r>
        <w:rPr>
          <w:rFonts w:ascii="Times New Roman" w:hAnsi="Times New Roman"/>
          <w:noProof/>
          <w:sz w:val="24"/>
        </w:rPr>
        <w:t> % (</w:t>
      </w:r>
      <w:r w:rsidRPr="0006330A">
        <w:rPr>
          <w:rFonts w:ascii="Times New Roman" w:hAnsi="Times New Roman"/>
          <w:noProof/>
          <w:sz w:val="24"/>
        </w:rPr>
        <w:t>17</w:t>
      </w:r>
      <w:r>
        <w:rPr>
          <w:rFonts w:ascii="Times New Roman" w:hAnsi="Times New Roman"/>
          <w:noProof/>
          <w:sz w:val="24"/>
        </w:rPr>
        <w:t> </w:t>
      </w:r>
      <w:r w:rsidRPr="0006330A">
        <w:rPr>
          <w:rFonts w:ascii="Times New Roman" w:hAnsi="Times New Roman"/>
          <w:noProof/>
          <w:sz w:val="24"/>
        </w:rPr>
        <w:t>779</w:t>
      </w:r>
      <w:r>
        <w:rPr>
          <w:rFonts w:ascii="Times New Roman" w:hAnsi="Times New Roman"/>
          <w:noProof/>
          <w:sz w:val="24"/>
        </w:rPr>
        <w:t xml:space="preserve">), iar cel de APA cu </w:t>
      </w:r>
      <w:r w:rsidRPr="0006330A">
        <w:rPr>
          <w:rFonts w:ascii="Times New Roman" w:hAnsi="Times New Roman"/>
          <w:noProof/>
          <w:sz w:val="24"/>
        </w:rPr>
        <w:t>8</w:t>
      </w:r>
      <w:r>
        <w:rPr>
          <w:rFonts w:ascii="Times New Roman" w:hAnsi="Times New Roman"/>
          <w:noProof/>
          <w:sz w:val="24"/>
        </w:rPr>
        <w:t> % (</w:t>
      </w:r>
      <w:r w:rsidRPr="0006330A">
        <w:rPr>
          <w:rFonts w:ascii="Times New Roman" w:hAnsi="Times New Roman"/>
          <w:noProof/>
          <w:sz w:val="24"/>
        </w:rPr>
        <w:t>1</w:t>
      </w:r>
      <w:r>
        <w:rPr>
          <w:rFonts w:ascii="Times New Roman" w:hAnsi="Times New Roman"/>
          <w:noProof/>
          <w:sz w:val="24"/>
        </w:rPr>
        <w:t> </w:t>
      </w:r>
      <w:r w:rsidRPr="0006330A">
        <w:rPr>
          <w:rFonts w:ascii="Times New Roman" w:hAnsi="Times New Roman"/>
          <w:noProof/>
          <w:sz w:val="24"/>
        </w:rPr>
        <w:t>981</w:t>
      </w:r>
      <w:r>
        <w:rPr>
          <w:rFonts w:ascii="Times New Roman" w:hAnsi="Times New Roman"/>
          <w:noProof/>
          <w:sz w:val="24"/>
        </w:rPr>
        <w:t xml:space="preserve">). </w:t>
      </w:r>
    </w:p>
    <w:p w14:paraId="2DD6C010" w14:textId="191CF562" w:rsidR="006A132F" w:rsidRPr="0006330A" w:rsidRDefault="005D7EF8" w:rsidP="00DF5D65">
      <w:pPr>
        <w:pStyle w:val="Heading2"/>
        <w:numPr>
          <w:ilvl w:val="0"/>
          <w:numId w:val="0"/>
        </w:numPr>
        <w:ind w:left="576" w:hanging="576"/>
        <w:rPr>
          <w:noProof/>
        </w:rPr>
      </w:pPr>
      <w:bookmarkStart w:id="18" w:name="_Toc233306869"/>
      <w:r w:rsidRPr="0006330A">
        <w:rPr>
          <w:noProof/>
        </w:rPr>
        <w:t>4.3 Numărul de beneficiari ai sistemului de asigurări de șomaj și „rata șomajului”</w:t>
      </w:r>
      <w:bookmarkEnd w:id="18"/>
    </w:p>
    <w:p w14:paraId="16FF9F5D" w14:textId="7E89987F" w:rsidR="005F09A1" w:rsidRPr="00D45CAD" w:rsidRDefault="005D7EF8" w:rsidP="00DF5D65">
      <w:pPr>
        <w:pStyle w:val="Heading3"/>
        <w:numPr>
          <w:ilvl w:val="0"/>
          <w:numId w:val="0"/>
        </w:numPr>
        <w:ind w:left="720" w:hanging="720"/>
        <w:rPr>
          <w:noProof/>
        </w:rPr>
      </w:pPr>
      <w:bookmarkStart w:id="19" w:name="_Toc233306870"/>
      <w:r w:rsidRPr="0006330A">
        <w:rPr>
          <w:noProof/>
        </w:rPr>
        <w:t>4</w:t>
      </w:r>
      <w:r>
        <w:rPr>
          <w:noProof/>
        </w:rPr>
        <w:t>.</w:t>
      </w:r>
      <w:r w:rsidRPr="0006330A">
        <w:rPr>
          <w:noProof/>
        </w:rPr>
        <w:t>3</w:t>
      </w:r>
      <w:r>
        <w:rPr>
          <w:noProof/>
        </w:rPr>
        <w:t>.</w:t>
      </w:r>
      <w:r w:rsidRPr="0006330A">
        <w:rPr>
          <w:noProof/>
        </w:rPr>
        <w:t>1</w:t>
      </w:r>
      <w:r>
        <w:rPr>
          <w:noProof/>
        </w:rPr>
        <w:t xml:space="preserve"> Numărul de beneficiari ai indemnizațiilor de șomaj</w:t>
      </w:r>
      <w:bookmarkEnd w:id="19"/>
    </w:p>
    <w:p w14:paraId="433DBDF8" w14:textId="7D8B0464" w:rsidR="001529B1" w:rsidRPr="00D8306B" w:rsidRDefault="693427E0" w:rsidP="001529B1">
      <w:pPr>
        <w:jc w:val="both"/>
        <w:rPr>
          <w:rFonts w:ascii="Times New Roman" w:hAnsi="Times New Roman" w:cs="Times New Roman"/>
          <w:noProof/>
          <w:sz w:val="24"/>
          <w:szCs w:val="24"/>
        </w:rPr>
      </w:pPr>
      <w:r>
        <w:rPr>
          <w:rFonts w:ascii="Times New Roman" w:hAnsi="Times New Roman"/>
          <w:noProof/>
          <w:sz w:val="24"/>
        </w:rPr>
        <w:t xml:space="preserve">Numărul de beneficiari înregistrat la sfârșitul fiecărui an în cursul perioadei de referință s-a redus cu peste </w:t>
      </w:r>
      <w:r w:rsidRPr="0006330A">
        <w:rPr>
          <w:rFonts w:ascii="Times New Roman" w:hAnsi="Times New Roman"/>
          <w:noProof/>
          <w:sz w:val="24"/>
        </w:rPr>
        <w:t>31</w:t>
      </w:r>
      <w:r>
        <w:rPr>
          <w:rFonts w:ascii="Times New Roman" w:hAnsi="Times New Roman"/>
          <w:noProof/>
          <w:sz w:val="24"/>
        </w:rPr>
        <w:t xml:space="preserve"> %, de la </w:t>
      </w:r>
      <w:r w:rsidRPr="0006330A">
        <w:rPr>
          <w:rFonts w:ascii="Times New Roman" w:hAnsi="Times New Roman"/>
          <w:noProof/>
          <w:sz w:val="24"/>
        </w:rPr>
        <w:t>1</w:t>
      </w:r>
      <w:r>
        <w:rPr>
          <w:rFonts w:ascii="Times New Roman" w:hAnsi="Times New Roman"/>
          <w:noProof/>
          <w:sz w:val="24"/>
        </w:rPr>
        <w:t> </w:t>
      </w:r>
      <w:r w:rsidRPr="0006330A">
        <w:rPr>
          <w:rFonts w:ascii="Times New Roman" w:hAnsi="Times New Roman"/>
          <w:noProof/>
          <w:sz w:val="24"/>
        </w:rPr>
        <w:t>096</w:t>
      </w:r>
      <w:r>
        <w:rPr>
          <w:rFonts w:ascii="Times New Roman" w:hAnsi="Times New Roman"/>
          <w:noProof/>
          <w:sz w:val="24"/>
        </w:rPr>
        <w:t xml:space="preserve"> în </w:t>
      </w:r>
      <w:r w:rsidRPr="0006330A">
        <w:rPr>
          <w:rFonts w:ascii="Times New Roman" w:hAnsi="Times New Roman"/>
          <w:noProof/>
          <w:sz w:val="24"/>
        </w:rPr>
        <w:t>2019</w:t>
      </w:r>
      <w:r>
        <w:rPr>
          <w:rFonts w:ascii="Times New Roman" w:hAnsi="Times New Roman"/>
          <w:noProof/>
          <w:sz w:val="24"/>
        </w:rPr>
        <w:t xml:space="preserve"> la </w:t>
      </w:r>
      <w:r w:rsidRPr="0006330A">
        <w:rPr>
          <w:rFonts w:ascii="Times New Roman" w:hAnsi="Times New Roman"/>
          <w:noProof/>
          <w:sz w:val="24"/>
        </w:rPr>
        <w:t>754</w:t>
      </w:r>
      <w:r>
        <w:rPr>
          <w:rFonts w:ascii="Times New Roman" w:hAnsi="Times New Roman"/>
          <w:noProof/>
          <w:sz w:val="24"/>
        </w:rPr>
        <w:t xml:space="preserve"> în </w:t>
      </w:r>
      <w:r w:rsidRPr="0006330A">
        <w:rPr>
          <w:rFonts w:ascii="Times New Roman" w:hAnsi="Times New Roman"/>
          <w:noProof/>
          <w:sz w:val="24"/>
        </w:rPr>
        <w:t>2024</w:t>
      </w:r>
      <w:r>
        <w:rPr>
          <w:rFonts w:ascii="Times New Roman" w:hAnsi="Times New Roman"/>
          <w:noProof/>
          <w:sz w:val="24"/>
        </w:rPr>
        <w:t>. Principalele corecții s-au înregistrat în categoria AT (- </w:t>
      </w:r>
      <w:r w:rsidRPr="0006330A">
        <w:rPr>
          <w:rFonts w:ascii="Times New Roman" w:hAnsi="Times New Roman"/>
          <w:noProof/>
          <w:sz w:val="24"/>
        </w:rPr>
        <w:t>43</w:t>
      </w:r>
      <w:r>
        <w:rPr>
          <w:rFonts w:ascii="Times New Roman" w:hAnsi="Times New Roman"/>
          <w:noProof/>
          <w:sz w:val="24"/>
        </w:rPr>
        <w:t> %) și AC (- </w:t>
      </w:r>
      <w:r w:rsidRPr="0006330A">
        <w:rPr>
          <w:rFonts w:ascii="Times New Roman" w:hAnsi="Times New Roman"/>
          <w:noProof/>
          <w:sz w:val="24"/>
        </w:rPr>
        <w:t>40</w:t>
      </w:r>
      <w:r>
        <w:rPr>
          <w:rFonts w:ascii="Times New Roman" w:hAnsi="Times New Roman"/>
          <w:noProof/>
          <w:sz w:val="24"/>
        </w:rPr>
        <w:t xml:space="preserve"> %), în timp ce numărul de beneficiari din rândul APA a scăzut cu </w:t>
      </w:r>
      <w:r w:rsidRPr="0006330A">
        <w:rPr>
          <w:rFonts w:ascii="Times New Roman" w:hAnsi="Times New Roman"/>
          <w:noProof/>
          <w:sz w:val="24"/>
        </w:rPr>
        <w:t>14</w:t>
      </w:r>
      <w:r>
        <w:rPr>
          <w:rFonts w:ascii="Times New Roman" w:hAnsi="Times New Roman"/>
          <w:noProof/>
          <w:sz w:val="24"/>
        </w:rPr>
        <w:t xml:space="preserve"> %. </w:t>
      </w:r>
    </w:p>
    <w:p w14:paraId="268E5E3E" w14:textId="02DF189E" w:rsidR="00DE0F6D" w:rsidRPr="0006330A" w:rsidRDefault="00DE0F6D" w:rsidP="00A5228F">
      <w:pPr>
        <w:keepNext/>
        <w:jc w:val="both"/>
        <w:rPr>
          <w:rFonts w:ascii="Times New Roman" w:hAnsi="Times New Roman" w:cs="Times New Roman"/>
          <w:b/>
          <w:bCs/>
          <w:noProof/>
        </w:rPr>
      </w:pPr>
      <w:r w:rsidRPr="0006330A">
        <w:rPr>
          <w:rFonts w:ascii="Times New Roman" w:hAnsi="Times New Roman"/>
          <w:b/>
          <w:noProof/>
        </w:rPr>
        <w:t>Tabelul 7 – Numărul de beneficiari ai sistemului de asigurări de șomaj</w:t>
      </w:r>
    </w:p>
    <w:p w14:paraId="3EC24950" w14:textId="6919A5E1" w:rsidR="00DE0F6D" w:rsidRPr="0006330A" w:rsidRDefault="00F02F8D" w:rsidP="00DE0F6D">
      <w:pPr>
        <w:jc w:val="both"/>
        <w:rPr>
          <w:b/>
          <w:bCs/>
          <w:noProof/>
        </w:rPr>
      </w:pPr>
      <w:r w:rsidRPr="00F02F8D">
        <w:rPr>
          <w:noProof/>
          <w:lang w:val="en-GB" w:eastAsia="en-GB"/>
        </w:rPr>
        <w:drawing>
          <wp:inline distT="0" distB="0" distL="0" distR="0" wp14:anchorId="15B5A406" wp14:editId="139C69A6">
            <wp:extent cx="5731510" cy="5944235"/>
            <wp:effectExtent l="0" t="0" r="2540" b="0"/>
            <wp:docPr id="178134893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1510" cy="5944235"/>
                    </a:xfrm>
                    <a:prstGeom prst="rect">
                      <a:avLst/>
                    </a:prstGeom>
                    <a:noFill/>
                    <a:ln>
                      <a:noFill/>
                    </a:ln>
                  </pic:spPr>
                </pic:pic>
              </a:graphicData>
            </a:graphic>
          </wp:inline>
        </w:drawing>
      </w:r>
    </w:p>
    <w:p w14:paraId="3919405B" w14:textId="1328D69B" w:rsidR="009B25B2" w:rsidRPr="00D45CAD" w:rsidRDefault="007A4A9C" w:rsidP="001529B1">
      <w:pPr>
        <w:jc w:val="both"/>
        <w:rPr>
          <w:rFonts w:ascii="Times New Roman" w:hAnsi="Times New Roman" w:cs="Times New Roman"/>
          <w:noProof/>
          <w:sz w:val="24"/>
          <w:szCs w:val="24"/>
        </w:rPr>
      </w:pPr>
      <w:r>
        <w:rPr>
          <w:rFonts w:ascii="Times New Roman" w:hAnsi="Times New Roman"/>
          <w:noProof/>
          <w:sz w:val="24"/>
        </w:rPr>
        <w:t xml:space="preserve">Numărul beneficiarilor s-a redus după </w:t>
      </w:r>
      <w:r w:rsidRPr="0006330A">
        <w:rPr>
          <w:rFonts w:ascii="Times New Roman" w:hAnsi="Times New Roman"/>
          <w:noProof/>
          <w:sz w:val="24"/>
        </w:rPr>
        <w:t>2020</w:t>
      </w:r>
      <w:r>
        <w:rPr>
          <w:rFonts w:ascii="Times New Roman" w:hAnsi="Times New Roman"/>
          <w:noProof/>
          <w:sz w:val="24"/>
        </w:rPr>
        <w:t xml:space="preserve"> pentru toate categoriile și a rămas relativ stabil până în </w:t>
      </w:r>
      <w:r w:rsidRPr="0006330A">
        <w:rPr>
          <w:rFonts w:ascii="Times New Roman" w:hAnsi="Times New Roman"/>
          <w:noProof/>
          <w:sz w:val="24"/>
        </w:rPr>
        <w:t>2023</w:t>
      </w:r>
      <w:r>
        <w:rPr>
          <w:rFonts w:ascii="Times New Roman" w:hAnsi="Times New Roman"/>
          <w:noProof/>
          <w:sz w:val="24"/>
        </w:rPr>
        <w:t xml:space="preserve">. În </w:t>
      </w:r>
      <w:r w:rsidRPr="0006330A">
        <w:rPr>
          <w:rFonts w:ascii="Times New Roman" w:hAnsi="Times New Roman"/>
          <w:noProof/>
          <w:sz w:val="24"/>
        </w:rPr>
        <w:t>2024</w:t>
      </w:r>
      <w:r>
        <w:rPr>
          <w:rFonts w:ascii="Times New Roman" w:hAnsi="Times New Roman"/>
          <w:noProof/>
          <w:sz w:val="24"/>
        </w:rPr>
        <w:t xml:space="preserve">, numărul beneficiarilor din categoria APA a crescut, devenind cel mai mare grup, rămânând însă sub nivelul atins în </w:t>
      </w:r>
      <w:r w:rsidRPr="0006330A">
        <w:rPr>
          <w:rFonts w:ascii="Times New Roman" w:hAnsi="Times New Roman"/>
          <w:noProof/>
          <w:sz w:val="24"/>
        </w:rPr>
        <w:t>2019</w:t>
      </w:r>
      <w:r>
        <w:rPr>
          <w:rFonts w:ascii="Times New Roman" w:hAnsi="Times New Roman"/>
          <w:noProof/>
          <w:sz w:val="24"/>
        </w:rPr>
        <w:t xml:space="preserve">. </w:t>
      </w:r>
    </w:p>
    <w:p w14:paraId="6E289798" w14:textId="3E41CAEA" w:rsidR="00282D65" w:rsidRPr="0006330A" w:rsidRDefault="00282D65" w:rsidP="00A5228F">
      <w:pPr>
        <w:keepNext/>
        <w:jc w:val="both"/>
        <w:rPr>
          <w:rFonts w:ascii="Times New Roman" w:hAnsi="Times New Roman" w:cs="Times New Roman"/>
          <w:b/>
          <w:bCs/>
          <w:noProof/>
        </w:rPr>
      </w:pPr>
      <w:r w:rsidRPr="0006330A">
        <w:rPr>
          <w:rFonts w:ascii="Times New Roman" w:hAnsi="Times New Roman"/>
          <w:b/>
          <w:noProof/>
        </w:rPr>
        <w:t>Fig. 4.3.1.1 Prezentare generală a beneficiarilor în perioada 2019-2024, pe tip de contract</w:t>
      </w:r>
    </w:p>
    <w:p w14:paraId="66F23BBC" w14:textId="606EA0B8" w:rsidR="00282D65" w:rsidRPr="00D45CAD" w:rsidRDefault="00F02F8D" w:rsidP="00282D65">
      <w:pPr>
        <w:jc w:val="center"/>
        <w:rPr>
          <w:rFonts w:ascii="Times New Roman" w:hAnsi="Times New Roman" w:cs="Times New Roman"/>
          <w:noProof/>
          <w:highlight w:val="yellow"/>
        </w:rPr>
      </w:pPr>
      <w:r w:rsidRPr="00F02F8D">
        <w:rPr>
          <w:rFonts w:ascii="Times New Roman" w:hAnsi="Times New Roman" w:cs="Times New Roman"/>
          <w:noProof/>
          <w:lang w:val="en-GB" w:eastAsia="en-GB"/>
        </w:rPr>
        <w:drawing>
          <wp:inline distT="0" distB="0" distL="0" distR="0" wp14:anchorId="0F1898E6" wp14:editId="3C028789">
            <wp:extent cx="4739640" cy="2128520"/>
            <wp:effectExtent l="0" t="0" r="3810" b="5080"/>
            <wp:docPr id="2113951314"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951314" name="Picture 1" descr="A graph of different colored bars&#10;&#10;AI-generated content may be incorrect."/>
                    <pic:cNvPicPr/>
                  </pic:nvPicPr>
                  <pic:blipFill>
                    <a:blip r:embed="rId36"/>
                    <a:stretch>
                      <a:fillRect/>
                    </a:stretch>
                  </pic:blipFill>
                  <pic:spPr>
                    <a:xfrm>
                      <a:off x="0" y="0"/>
                      <a:ext cx="4740054" cy="2128706"/>
                    </a:xfrm>
                    <a:prstGeom prst="rect">
                      <a:avLst/>
                    </a:prstGeom>
                  </pic:spPr>
                </pic:pic>
              </a:graphicData>
            </a:graphic>
          </wp:inline>
        </w:drawing>
      </w:r>
    </w:p>
    <w:p w14:paraId="54D29EB3" w14:textId="55FBA27C" w:rsidR="002606C6" w:rsidRPr="00D45CAD" w:rsidRDefault="002117D0" w:rsidP="00D45CAD">
      <w:pPr>
        <w:rPr>
          <w:noProof/>
        </w:rPr>
      </w:pPr>
      <w:r>
        <w:rPr>
          <w:rFonts w:ascii="Times New Roman" w:hAnsi="Times New Roman"/>
          <w:noProof/>
        </w:rPr>
        <w:t xml:space="preserve">Sursă: tabelul </w:t>
      </w:r>
      <w:r w:rsidRPr="0006330A">
        <w:rPr>
          <w:rFonts w:ascii="Times New Roman" w:hAnsi="Times New Roman"/>
          <w:noProof/>
        </w:rPr>
        <w:t>7</w:t>
      </w:r>
    </w:p>
    <w:p w14:paraId="0C5AA9B4" w14:textId="1381AE5B" w:rsidR="00BA1EAA" w:rsidRPr="00D45CAD" w:rsidRDefault="001F0FD5" w:rsidP="00DF5D65">
      <w:pPr>
        <w:pStyle w:val="Heading3"/>
        <w:numPr>
          <w:ilvl w:val="0"/>
          <w:numId w:val="0"/>
        </w:numPr>
        <w:ind w:left="720" w:hanging="720"/>
        <w:rPr>
          <w:noProof/>
        </w:rPr>
      </w:pPr>
      <w:bookmarkStart w:id="20" w:name="_Toc233306871"/>
      <w:r w:rsidRPr="0006330A">
        <w:rPr>
          <w:noProof/>
        </w:rPr>
        <w:t>4</w:t>
      </w:r>
      <w:r>
        <w:rPr>
          <w:noProof/>
        </w:rPr>
        <w:t>.</w:t>
      </w:r>
      <w:r w:rsidRPr="0006330A">
        <w:rPr>
          <w:noProof/>
        </w:rPr>
        <w:t>3</w:t>
      </w:r>
      <w:r>
        <w:rPr>
          <w:noProof/>
        </w:rPr>
        <w:t>.</w:t>
      </w:r>
      <w:r w:rsidRPr="0006330A">
        <w:rPr>
          <w:noProof/>
        </w:rPr>
        <w:t>2</w:t>
      </w:r>
      <w:r>
        <w:rPr>
          <w:noProof/>
        </w:rPr>
        <w:t xml:space="preserve"> Rata șomajului în instituțiile UE</w:t>
      </w:r>
      <w:bookmarkEnd w:id="20"/>
    </w:p>
    <w:p w14:paraId="13F0670C" w14:textId="08338C6C" w:rsidR="00DE623F" w:rsidRPr="0006330A" w:rsidRDefault="09FDBBA8" w:rsidP="00471899">
      <w:pPr>
        <w:jc w:val="both"/>
        <w:rPr>
          <w:b/>
          <w:bCs/>
          <w:noProof/>
        </w:rPr>
      </w:pPr>
      <w:r>
        <w:rPr>
          <w:rFonts w:ascii="Times New Roman" w:hAnsi="Times New Roman"/>
          <w:noProof/>
          <w:sz w:val="24"/>
        </w:rPr>
        <w:t xml:space="preserve">Comparând numărul de beneficiari cu numărul de membri afiliați la sistem, se poate evalua rata șomajului. Creșterea continuă a numărului de membri afiliați și scăderea corespunzătoare a numărului de beneficiari în perioada </w:t>
      </w:r>
      <w:r w:rsidRPr="0006330A">
        <w:rPr>
          <w:rFonts w:ascii="Times New Roman" w:hAnsi="Times New Roman"/>
          <w:noProof/>
          <w:sz w:val="24"/>
        </w:rPr>
        <w:t>2019</w:t>
      </w:r>
      <w:r>
        <w:rPr>
          <w:rFonts w:ascii="Times New Roman" w:hAnsi="Times New Roman"/>
          <w:noProof/>
          <w:sz w:val="24"/>
        </w:rPr>
        <w:t>-</w:t>
      </w:r>
      <w:r w:rsidRPr="0006330A">
        <w:rPr>
          <w:rFonts w:ascii="Times New Roman" w:hAnsi="Times New Roman"/>
          <w:noProof/>
          <w:sz w:val="24"/>
        </w:rPr>
        <w:t>2024</w:t>
      </w:r>
      <w:r>
        <w:rPr>
          <w:rFonts w:ascii="Times New Roman" w:hAnsi="Times New Roman"/>
          <w:noProof/>
          <w:sz w:val="24"/>
        </w:rPr>
        <w:t xml:space="preserve"> se reflectă în rata șomajului la nivel agregat, care a scăzut cu </w:t>
      </w:r>
      <w:r w:rsidRPr="0006330A">
        <w:rPr>
          <w:rFonts w:ascii="Times New Roman" w:hAnsi="Times New Roman"/>
          <w:noProof/>
          <w:sz w:val="24"/>
        </w:rPr>
        <w:t>50</w:t>
      </w:r>
      <w:r>
        <w:rPr>
          <w:rFonts w:ascii="Times New Roman" w:hAnsi="Times New Roman"/>
          <w:noProof/>
          <w:sz w:val="24"/>
        </w:rPr>
        <w:t xml:space="preserve"> % (de la </w:t>
      </w:r>
      <w:r w:rsidRPr="0006330A">
        <w:rPr>
          <w:rFonts w:ascii="Times New Roman" w:hAnsi="Times New Roman"/>
          <w:noProof/>
          <w:sz w:val="24"/>
        </w:rPr>
        <w:t>3</w:t>
      </w:r>
      <w:r>
        <w:rPr>
          <w:rFonts w:ascii="Times New Roman" w:hAnsi="Times New Roman"/>
          <w:noProof/>
          <w:sz w:val="24"/>
        </w:rPr>
        <w:t>,</w:t>
      </w:r>
      <w:r w:rsidRPr="0006330A">
        <w:rPr>
          <w:rFonts w:ascii="Times New Roman" w:hAnsi="Times New Roman"/>
          <w:noProof/>
          <w:sz w:val="24"/>
        </w:rPr>
        <w:t>99</w:t>
      </w:r>
      <w:r>
        <w:rPr>
          <w:rFonts w:ascii="Times New Roman" w:hAnsi="Times New Roman"/>
          <w:noProof/>
          <w:sz w:val="24"/>
        </w:rPr>
        <w:t xml:space="preserve"> % în </w:t>
      </w:r>
      <w:r w:rsidRPr="0006330A">
        <w:rPr>
          <w:rFonts w:ascii="Times New Roman" w:hAnsi="Times New Roman"/>
          <w:noProof/>
          <w:sz w:val="24"/>
        </w:rPr>
        <w:t>2019</w:t>
      </w:r>
      <w:r>
        <w:rPr>
          <w:rFonts w:ascii="Times New Roman" w:hAnsi="Times New Roman"/>
          <w:noProof/>
          <w:sz w:val="24"/>
        </w:rPr>
        <w:t xml:space="preserve"> la </w:t>
      </w:r>
      <w:r w:rsidRPr="0006330A">
        <w:rPr>
          <w:rFonts w:ascii="Times New Roman" w:hAnsi="Times New Roman"/>
          <w:noProof/>
          <w:sz w:val="24"/>
        </w:rPr>
        <w:t>2</w:t>
      </w:r>
      <w:r>
        <w:rPr>
          <w:rFonts w:ascii="Times New Roman" w:hAnsi="Times New Roman"/>
          <w:noProof/>
          <w:sz w:val="24"/>
        </w:rPr>
        <w:t>,</w:t>
      </w:r>
      <w:r w:rsidRPr="0006330A">
        <w:rPr>
          <w:rFonts w:ascii="Times New Roman" w:hAnsi="Times New Roman"/>
          <w:noProof/>
          <w:sz w:val="24"/>
        </w:rPr>
        <w:t>05</w:t>
      </w:r>
      <w:r>
        <w:rPr>
          <w:rFonts w:ascii="Times New Roman" w:hAnsi="Times New Roman"/>
          <w:noProof/>
          <w:sz w:val="24"/>
        </w:rPr>
        <w:t xml:space="preserve"> % în </w:t>
      </w:r>
      <w:r w:rsidRPr="0006330A">
        <w:rPr>
          <w:rFonts w:ascii="Times New Roman" w:hAnsi="Times New Roman"/>
          <w:noProof/>
          <w:sz w:val="24"/>
        </w:rPr>
        <w:t>2024</w:t>
      </w:r>
      <w:r>
        <w:rPr>
          <w:rFonts w:ascii="Times New Roman" w:hAnsi="Times New Roman"/>
          <w:noProof/>
          <w:sz w:val="24"/>
        </w:rPr>
        <w:t xml:space="preserve">). </w:t>
      </w:r>
    </w:p>
    <w:p w14:paraId="7852967A" w14:textId="0F772DA5" w:rsidR="00471899" w:rsidRPr="0006330A" w:rsidRDefault="00471899" w:rsidP="00471899">
      <w:pPr>
        <w:jc w:val="both"/>
        <w:rPr>
          <w:rFonts w:ascii="Times New Roman" w:hAnsi="Times New Roman" w:cs="Times New Roman"/>
          <w:b/>
          <w:bCs/>
          <w:noProof/>
          <w:sz w:val="24"/>
          <w:szCs w:val="24"/>
        </w:rPr>
      </w:pPr>
      <w:r w:rsidRPr="0006330A">
        <w:rPr>
          <w:rFonts w:ascii="Times New Roman" w:hAnsi="Times New Roman"/>
          <w:b/>
          <w:noProof/>
          <w:sz w:val="24"/>
        </w:rPr>
        <w:t>Tabelul 8 – Rata șomajului – Raportul dintre beneficiarii indemnizației de șomaj din sistemul de asigurări al UE și persoanele care contribuie la acesta, cifre din luna decembrie (2019-2024)</w:t>
      </w:r>
    </w:p>
    <w:p w14:paraId="1363B8BD" w14:textId="21CF31F1" w:rsidR="00471899" w:rsidRPr="0006330A" w:rsidRDefault="009B7637" w:rsidP="00471899">
      <w:pPr>
        <w:jc w:val="center"/>
        <w:rPr>
          <w:b/>
          <w:bCs/>
          <w:noProof/>
        </w:rPr>
      </w:pPr>
      <w:r w:rsidRPr="009B7637">
        <w:rPr>
          <w:noProof/>
          <w:lang w:val="en-GB" w:eastAsia="en-GB"/>
        </w:rPr>
        <w:drawing>
          <wp:inline distT="0" distB="0" distL="0" distR="0" wp14:anchorId="4383A699" wp14:editId="7F4C9119">
            <wp:extent cx="5731510" cy="1658620"/>
            <wp:effectExtent l="0" t="0" r="2540" b="0"/>
            <wp:docPr id="167405494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510" cy="1658620"/>
                    </a:xfrm>
                    <a:prstGeom prst="rect">
                      <a:avLst/>
                    </a:prstGeom>
                    <a:noFill/>
                    <a:ln>
                      <a:noFill/>
                    </a:ln>
                  </pic:spPr>
                </pic:pic>
              </a:graphicData>
            </a:graphic>
          </wp:inline>
        </w:drawing>
      </w:r>
    </w:p>
    <w:p w14:paraId="0FF2584F" w14:textId="6966D4D7" w:rsidR="005F19D2" w:rsidRPr="0006330A" w:rsidRDefault="145AD81C" w:rsidP="00D04E6D">
      <w:pPr>
        <w:jc w:val="both"/>
        <w:rPr>
          <w:b/>
          <w:bCs/>
          <w:noProof/>
        </w:rPr>
      </w:pPr>
      <w:r>
        <w:rPr>
          <w:rFonts w:ascii="Times New Roman" w:hAnsi="Times New Roman"/>
          <w:noProof/>
          <w:sz w:val="24"/>
        </w:rPr>
        <w:t xml:space="preserve">În special, evoluția ciclică a APA indică o creștere bruscă în cursul anului în care au avut loc alegerile pentru Parlamentul European și al anului următor. </w:t>
      </w:r>
    </w:p>
    <w:p w14:paraId="498569BC" w14:textId="6BC3B489" w:rsidR="00376BEA" w:rsidRPr="0006330A" w:rsidRDefault="00D04E6D" w:rsidP="006522B9">
      <w:pPr>
        <w:keepNext/>
        <w:jc w:val="both"/>
        <w:rPr>
          <w:rFonts w:ascii="Times New Roman" w:hAnsi="Times New Roman" w:cs="Times New Roman"/>
          <w:b/>
          <w:bCs/>
          <w:noProof/>
        </w:rPr>
      </w:pPr>
      <w:r w:rsidRPr="0006330A">
        <w:rPr>
          <w:rFonts w:ascii="Times New Roman" w:hAnsi="Times New Roman"/>
          <w:b/>
          <w:noProof/>
        </w:rPr>
        <w:t xml:space="preserve">Fig. 4.3.2.1 Evoluția ratei șomajului, pe instituție și comparată cu sistemul agregat </w:t>
      </w:r>
    </w:p>
    <w:p w14:paraId="20A01531" w14:textId="60B46043" w:rsidR="001363FB" w:rsidRDefault="009B7637" w:rsidP="00376BEA">
      <w:pPr>
        <w:jc w:val="both"/>
        <w:rPr>
          <w:noProof/>
        </w:rPr>
      </w:pPr>
      <w:r>
        <w:rPr>
          <w:noProof/>
          <w:lang w:val="en-GB" w:eastAsia="en-GB"/>
        </w:rPr>
        <w:drawing>
          <wp:inline distT="0" distB="0" distL="0" distR="0" wp14:anchorId="4AD09E30" wp14:editId="02DDCDB3">
            <wp:extent cx="4744800" cy="2131200"/>
            <wp:effectExtent l="0" t="0" r="0" b="2540"/>
            <wp:docPr id="46220907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44800" cy="2131200"/>
                    </a:xfrm>
                    <a:prstGeom prst="rect">
                      <a:avLst/>
                    </a:prstGeom>
                    <a:noFill/>
                  </pic:spPr>
                </pic:pic>
              </a:graphicData>
            </a:graphic>
          </wp:inline>
        </w:drawing>
      </w:r>
    </w:p>
    <w:p w14:paraId="4C544040" w14:textId="77E2C85A" w:rsidR="00376BEA" w:rsidRPr="006522B9" w:rsidRDefault="00376BEA">
      <w:pPr>
        <w:rPr>
          <w:rFonts w:ascii="Times New Roman" w:hAnsi="Times New Roman" w:cs="Times New Roman"/>
          <w:noProof/>
        </w:rPr>
        <w:sectPr w:rsidR="00376BEA" w:rsidRPr="006522B9" w:rsidSect="00121CF2">
          <w:headerReference w:type="even" r:id="rId39"/>
          <w:headerReference w:type="default" r:id="rId40"/>
          <w:footerReference w:type="even" r:id="rId41"/>
          <w:footerReference w:type="default" r:id="rId42"/>
          <w:headerReference w:type="first" r:id="rId43"/>
          <w:footerReference w:type="first" r:id="rId44"/>
          <w:pgSz w:w="11906" w:h="16838"/>
          <w:pgMar w:top="1440" w:right="1440" w:bottom="1440" w:left="1440" w:header="708" w:footer="708" w:gutter="0"/>
          <w:cols w:space="720"/>
          <w:docGrid w:linePitch="360"/>
        </w:sectPr>
      </w:pPr>
      <w:r>
        <w:rPr>
          <w:rFonts w:ascii="Times New Roman" w:hAnsi="Times New Roman"/>
          <w:noProof/>
        </w:rPr>
        <w:t xml:space="preserve">Sursă: tabelele </w:t>
      </w:r>
      <w:r w:rsidRPr="0006330A">
        <w:rPr>
          <w:rFonts w:ascii="Times New Roman" w:hAnsi="Times New Roman"/>
          <w:noProof/>
        </w:rPr>
        <w:t>6</w:t>
      </w:r>
      <w:r>
        <w:rPr>
          <w:rFonts w:ascii="Times New Roman" w:hAnsi="Times New Roman"/>
          <w:noProof/>
        </w:rPr>
        <w:t xml:space="preserve">, </w:t>
      </w:r>
      <w:r w:rsidRPr="0006330A">
        <w:rPr>
          <w:rFonts w:ascii="Times New Roman" w:hAnsi="Times New Roman"/>
          <w:noProof/>
        </w:rPr>
        <w:t>7</w:t>
      </w:r>
      <w:r>
        <w:rPr>
          <w:rFonts w:ascii="Times New Roman" w:hAnsi="Times New Roman"/>
          <w:noProof/>
        </w:rPr>
        <w:t xml:space="preserve"> și </w:t>
      </w:r>
      <w:r w:rsidRPr="0006330A">
        <w:rPr>
          <w:rFonts w:ascii="Times New Roman" w:hAnsi="Times New Roman"/>
          <w:noProof/>
        </w:rPr>
        <w:t>8</w:t>
      </w:r>
    </w:p>
    <w:p w14:paraId="31EF7DC0" w14:textId="77777777" w:rsidR="008E00C6" w:rsidRPr="0006330A" w:rsidRDefault="00966F4E" w:rsidP="008E00C6">
      <w:pPr>
        <w:jc w:val="both"/>
        <w:rPr>
          <w:rFonts w:ascii="Times New Roman" w:hAnsi="Times New Roman" w:cs="Times New Roman"/>
          <w:b/>
          <w:bCs/>
          <w:noProof/>
        </w:rPr>
      </w:pPr>
      <w:r w:rsidRPr="0006330A">
        <w:rPr>
          <w:rFonts w:ascii="Times New Roman" w:hAnsi="Times New Roman"/>
          <w:b/>
          <w:noProof/>
        </w:rPr>
        <w:t>Tabelul 8B – Comparație între populația activă și beneficiari</w:t>
      </w:r>
    </w:p>
    <w:p w14:paraId="6D70A30F" w14:textId="5AB780A6" w:rsidR="008E00C6" w:rsidRPr="0006330A" w:rsidRDefault="0089321D" w:rsidP="008E00C6">
      <w:pPr>
        <w:jc w:val="both"/>
        <w:rPr>
          <w:rFonts w:ascii="Times New Roman" w:hAnsi="Times New Roman" w:cs="Times New Roman"/>
          <w:b/>
          <w:bCs/>
          <w:noProof/>
        </w:rPr>
      </w:pPr>
      <w:r w:rsidRPr="0089321D">
        <w:rPr>
          <w:noProof/>
          <w:lang w:val="en-GB" w:eastAsia="en-GB"/>
        </w:rPr>
        <w:drawing>
          <wp:inline distT="0" distB="0" distL="0" distR="0" wp14:anchorId="58A8580C" wp14:editId="36FF816A">
            <wp:extent cx="8863330" cy="916940"/>
            <wp:effectExtent l="0" t="0" r="0" b="0"/>
            <wp:docPr id="200863736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8863330" cy="916940"/>
                    </a:xfrm>
                    <a:prstGeom prst="rect">
                      <a:avLst/>
                    </a:prstGeom>
                    <a:noFill/>
                    <a:ln>
                      <a:noFill/>
                    </a:ln>
                  </pic:spPr>
                </pic:pic>
              </a:graphicData>
            </a:graphic>
          </wp:inline>
        </w:drawing>
      </w:r>
    </w:p>
    <w:p w14:paraId="68C5E300" w14:textId="70C851AA" w:rsidR="008E00C6" w:rsidRPr="0006330A" w:rsidRDefault="008E00C6" w:rsidP="008E00C6">
      <w:pPr>
        <w:jc w:val="both"/>
        <w:rPr>
          <w:rFonts w:ascii="Times New Roman" w:hAnsi="Times New Roman" w:cs="Times New Roman"/>
          <w:b/>
          <w:bCs/>
          <w:noProof/>
        </w:rPr>
        <w:sectPr w:rsidR="008E00C6" w:rsidRPr="0006330A" w:rsidSect="00966F4E">
          <w:headerReference w:type="default" r:id="rId46"/>
          <w:footerReference w:type="default" r:id="rId47"/>
          <w:pgSz w:w="16838" w:h="11906" w:orient="landscape"/>
          <w:pgMar w:top="1440" w:right="1440" w:bottom="1440" w:left="1440" w:header="708" w:footer="708" w:gutter="0"/>
          <w:cols w:space="708"/>
          <w:docGrid w:linePitch="360"/>
        </w:sectPr>
      </w:pPr>
    </w:p>
    <w:p w14:paraId="69D308E3" w14:textId="3E15516A" w:rsidR="004034E0" w:rsidRPr="0006330A" w:rsidRDefault="001F0FD5" w:rsidP="00DF5D65">
      <w:pPr>
        <w:pStyle w:val="Heading2"/>
        <w:numPr>
          <w:ilvl w:val="0"/>
          <w:numId w:val="0"/>
        </w:numPr>
        <w:ind w:left="576" w:hanging="576"/>
        <w:rPr>
          <w:noProof/>
        </w:rPr>
      </w:pPr>
      <w:bookmarkStart w:id="21" w:name="_Toc233306872"/>
      <w:r w:rsidRPr="0006330A">
        <w:rPr>
          <w:noProof/>
        </w:rPr>
        <w:t>4.4 Prezentare generală a indemnizației de șomaj și a duratei acesteia</w:t>
      </w:r>
      <w:bookmarkEnd w:id="21"/>
    </w:p>
    <w:p w14:paraId="7F31A7E6" w14:textId="524979D3" w:rsidR="003666B1" w:rsidRPr="00D45CAD" w:rsidRDefault="002E0C95" w:rsidP="0020512D">
      <w:pPr>
        <w:jc w:val="both"/>
        <w:rPr>
          <w:rFonts w:ascii="Times New Roman" w:hAnsi="Times New Roman" w:cs="Times New Roman"/>
          <w:noProof/>
          <w:sz w:val="24"/>
          <w:szCs w:val="24"/>
        </w:rPr>
      </w:pPr>
      <w:r>
        <w:rPr>
          <w:rFonts w:ascii="Times New Roman" w:hAnsi="Times New Roman"/>
          <w:noProof/>
          <w:sz w:val="24"/>
        </w:rPr>
        <w:t xml:space="preserve">În temeiul articolului </w:t>
      </w:r>
      <w:r w:rsidRPr="0006330A">
        <w:rPr>
          <w:rFonts w:ascii="Times New Roman" w:hAnsi="Times New Roman"/>
          <w:noProof/>
          <w:sz w:val="24"/>
        </w:rPr>
        <w:t>28</w:t>
      </w:r>
      <w:r>
        <w:rPr>
          <w:rFonts w:ascii="Times New Roman" w:hAnsi="Times New Roman"/>
          <w:noProof/>
          <w:sz w:val="24"/>
        </w:rPr>
        <w:t>a alineatul (</w:t>
      </w:r>
      <w:r w:rsidRPr="0006330A">
        <w:rPr>
          <w:rFonts w:ascii="Times New Roman" w:hAnsi="Times New Roman"/>
          <w:noProof/>
          <w:sz w:val="24"/>
        </w:rPr>
        <w:t>4</w:t>
      </w:r>
      <w:r>
        <w:rPr>
          <w:rFonts w:ascii="Times New Roman" w:hAnsi="Times New Roman"/>
          <w:noProof/>
          <w:sz w:val="24"/>
        </w:rPr>
        <w:t xml:space="preserve">) și al articolului </w:t>
      </w:r>
      <w:r w:rsidRPr="0006330A">
        <w:rPr>
          <w:rFonts w:ascii="Times New Roman" w:hAnsi="Times New Roman"/>
          <w:noProof/>
          <w:sz w:val="24"/>
        </w:rPr>
        <w:t>96</w:t>
      </w:r>
      <w:r>
        <w:rPr>
          <w:rFonts w:ascii="Times New Roman" w:hAnsi="Times New Roman"/>
          <w:noProof/>
          <w:sz w:val="24"/>
        </w:rPr>
        <w:t xml:space="preserve"> alineatul (</w:t>
      </w:r>
      <w:r w:rsidRPr="0006330A">
        <w:rPr>
          <w:rFonts w:ascii="Times New Roman" w:hAnsi="Times New Roman"/>
          <w:noProof/>
          <w:sz w:val="24"/>
        </w:rPr>
        <w:t>4</w:t>
      </w:r>
      <w:r>
        <w:rPr>
          <w:rFonts w:ascii="Times New Roman" w:hAnsi="Times New Roman"/>
          <w:noProof/>
          <w:sz w:val="24"/>
        </w:rPr>
        <w:t xml:space="preserve">) din RAA, indemnizația de șomaj se plătește pentru o perioadă care corespunde unei treimi din vechimea în muncă, până la </w:t>
      </w:r>
      <w:r w:rsidRPr="0006330A">
        <w:rPr>
          <w:rFonts w:ascii="Times New Roman" w:hAnsi="Times New Roman"/>
          <w:noProof/>
          <w:sz w:val="24"/>
        </w:rPr>
        <w:t>36</w:t>
      </w:r>
      <w:r>
        <w:rPr>
          <w:rFonts w:ascii="Times New Roman" w:hAnsi="Times New Roman"/>
          <w:noProof/>
          <w:sz w:val="24"/>
        </w:rPr>
        <w:t xml:space="preserve"> de luni. În aceleași articole, se afirmă că UE plătește fie întreaga indemnizație eligibilă, fie diferența în cazul în care există sisteme naționale la care beneficiarul are dreptul și cuantumul național este mai mic decât suma eligibilă pentru instituțiile UE.,  . </w:t>
      </w:r>
    </w:p>
    <w:p w14:paraId="5CE49770" w14:textId="6B784E0A" w:rsidR="00AB670A" w:rsidRPr="0006330A" w:rsidRDefault="0089321D" w:rsidP="00AB670A">
      <w:pPr>
        <w:jc w:val="both"/>
        <w:rPr>
          <w:rFonts w:ascii="Times New Roman" w:hAnsi="Times New Roman" w:cs="Times New Roman"/>
          <w:b/>
          <w:bCs/>
          <w:noProof/>
        </w:rPr>
      </w:pPr>
      <w:r w:rsidRPr="0089321D">
        <w:rPr>
          <w:noProof/>
          <w:lang w:val="en-GB" w:eastAsia="en-GB"/>
        </w:rPr>
        <w:drawing>
          <wp:inline distT="0" distB="0" distL="0" distR="0" wp14:anchorId="5F4D272F" wp14:editId="47801EEC">
            <wp:extent cx="5731510" cy="730250"/>
            <wp:effectExtent l="0" t="0" r="2540" b="0"/>
            <wp:docPr id="10929771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31510" cy="730250"/>
                    </a:xfrm>
                    <a:prstGeom prst="rect">
                      <a:avLst/>
                    </a:prstGeom>
                    <a:noFill/>
                    <a:ln>
                      <a:noFill/>
                    </a:ln>
                  </pic:spPr>
                </pic:pic>
              </a:graphicData>
            </a:graphic>
          </wp:inline>
        </w:drawing>
      </w:r>
      <w:r w:rsidR="00E411AD" w:rsidRPr="0006330A">
        <w:rPr>
          <w:rFonts w:ascii="Times New Roman" w:hAnsi="Times New Roman"/>
          <w:b/>
          <w:noProof/>
        </w:rPr>
        <w:t xml:space="preserve">Tabelul 9 - Defalcarea numărului de indemnizații plătite, per instituție și per tip de contract  </w:t>
      </w:r>
    </w:p>
    <w:p w14:paraId="4E14BA3E" w14:textId="41E237A3" w:rsidR="006327FA" w:rsidRPr="00D45CAD" w:rsidRDefault="006327FA" w:rsidP="0020512D">
      <w:pPr>
        <w:jc w:val="both"/>
        <w:rPr>
          <w:noProof/>
        </w:rPr>
      </w:pPr>
    </w:p>
    <w:p w14:paraId="35702F18" w14:textId="0CDE06F9" w:rsidR="0000316D" w:rsidRPr="00D45CAD" w:rsidRDefault="00E368D3" w:rsidP="00DF5D65">
      <w:pPr>
        <w:pStyle w:val="Heading3"/>
        <w:numPr>
          <w:ilvl w:val="0"/>
          <w:numId w:val="0"/>
        </w:numPr>
        <w:ind w:left="720" w:hanging="720"/>
        <w:rPr>
          <w:noProof/>
        </w:rPr>
      </w:pPr>
      <w:bookmarkStart w:id="22" w:name="_Toc233306873"/>
      <w:r w:rsidRPr="0006330A">
        <w:rPr>
          <w:noProof/>
        </w:rPr>
        <w:t>4</w:t>
      </w:r>
      <w:r>
        <w:rPr>
          <w:noProof/>
        </w:rPr>
        <w:t>.</w:t>
      </w:r>
      <w:r w:rsidRPr="0006330A">
        <w:rPr>
          <w:noProof/>
        </w:rPr>
        <w:t>4</w:t>
      </w:r>
      <w:r>
        <w:rPr>
          <w:noProof/>
        </w:rPr>
        <w:t>.</w:t>
      </w:r>
      <w:r w:rsidRPr="0006330A">
        <w:rPr>
          <w:noProof/>
        </w:rPr>
        <w:t>1</w:t>
      </w:r>
      <w:r>
        <w:rPr>
          <w:noProof/>
        </w:rPr>
        <w:t xml:space="preserve"> Numărul de indemnizații de șomaj lunare plătite</w:t>
      </w:r>
      <w:bookmarkEnd w:id="22"/>
    </w:p>
    <w:p w14:paraId="371D2938" w14:textId="6E36B1AC" w:rsidR="005E3670" w:rsidRPr="00FB0B48" w:rsidRDefault="0C8A9FFD" w:rsidP="005E3670">
      <w:pPr>
        <w:jc w:val="both"/>
        <w:rPr>
          <w:rFonts w:ascii="Times New Roman" w:hAnsi="Times New Roman" w:cs="Times New Roman"/>
          <w:noProof/>
          <w:sz w:val="24"/>
          <w:szCs w:val="24"/>
        </w:rPr>
      </w:pPr>
      <w:r>
        <w:rPr>
          <w:rFonts w:ascii="Times New Roman" w:hAnsi="Times New Roman"/>
          <w:noProof/>
          <w:sz w:val="24"/>
        </w:rPr>
        <w:t xml:space="preserve">Numărul de indemnizații plătite a rămas constant la aproximativ </w:t>
      </w:r>
      <w:r w:rsidRPr="0006330A">
        <w:rPr>
          <w:rFonts w:ascii="Times New Roman" w:hAnsi="Times New Roman"/>
          <w:noProof/>
          <w:sz w:val="24"/>
        </w:rPr>
        <w:t>11</w:t>
      </w:r>
      <w:r>
        <w:rPr>
          <w:rFonts w:ascii="Times New Roman" w:hAnsi="Times New Roman"/>
          <w:noProof/>
          <w:sz w:val="24"/>
        </w:rPr>
        <w:t> </w:t>
      </w:r>
      <w:r w:rsidRPr="0006330A">
        <w:rPr>
          <w:rFonts w:ascii="Times New Roman" w:hAnsi="Times New Roman"/>
          <w:noProof/>
          <w:sz w:val="24"/>
        </w:rPr>
        <w:t>800</w:t>
      </w:r>
      <w:r>
        <w:rPr>
          <w:rFonts w:ascii="Times New Roman" w:hAnsi="Times New Roman"/>
          <w:noProof/>
          <w:sz w:val="24"/>
        </w:rPr>
        <w:t xml:space="preserve"> între </w:t>
      </w:r>
      <w:r w:rsidRPr="0006330A">
        <w:rPr>
          <w:rFonts w:ascii="Times New Roman" w:hAnsi="Times New Roman"/>
          <w:noProof/>
          <w:sz w:val="24"/>
        </w:rPr>
        <w:t>2019</w:t>
      </w:r>
      <w:r>
        <w:rPr>
          <w:rFonts w:ascii="Times New Roman" w:hAnsi="Times New Roman"/>
          <w:noProof/>
          <w:sz w:val="24"/>
        </w:rPr>
        <w:t xml:space="preserve"> și </w:t>
      </w:r>
      <w:r w:rsidRPr="0006330A">
        <w:rPr>
          <w:rFonts w:ascii="Times New Roman" w:hAnsi="Times New Roman"/>
          <w:noProof/>
          <w:sz w:val="24"/>
        </w:rPr>
        <w:t>2023</w:t>
      </w:r>
      <w:r>
        <w:rPr>
          <w:rFonts w:ascii="Times New Roman" w:hAnsi="Times New Roman"/>
          <w:noProof/>
          <w:sz w:val="24"/>
        </w:rPr>
        <w:t xml:space="preserve">, înainte de a ajunge la </w:t>
      </w:r>
      <w:r w:rsidRPr="0006330A">
        <w:rPr>
          <w:rFonts w:ascii="Times New Roman" w:hAnsi="Times New Roman"/>
          <w:noProof/>
          <w:sz w:val="24"/>
        </w:rPr>
        <w:t>15</w:t>
      </w:r>
      <w:r>
        <w:rPr>
          <w:rFonts w:ascii="Times New Roman" w:hAnsi="Times New Roman"/>
          <w:noProof/>
          <w:sz w:val="24"/>
        </w:rPr>
        <w:t> </w:t>
      </w:r>
      <w:r w:rsidRPr="0006330A">
        <w:rPr>
          <w:rFonts w:ascii="Times New Roman" w:hAnsi="Times New Roman"/>
          <w:noProof/>
          <w:sz w:val="24"/>
        </w:rPr>
        <w:t>869</w:t>
      </w:r>
      <w:r>
        <w:rPr>
          <w:rFonts w:ascii="Times New Roman" w:hAnsi="Times New Roman"/>
          <w:noProof/>
          <w:sz w:val="24"/>
        </w:rPr>
        <w:t xml:space="preserve"> în </w:t>
      </w:r>
      <w:r w:rsidRPr="0006330A">
        <w:rPr>
          <w:rFonts w:ascii="Times New Roman" w:hAnsi="Times New Roman"/>
          <w:noProof/>
          <w:sz w:val="24"/>
        </w:rPr>
        <w:t>2024</w:t>
      </w:r>
      <w:r>
        <w:rPr>
          <w:rFonts w:ascii="Times New Roman" w:hAnsi="Times New Roman"/>
          <w:noProof/>
          <w:sz w:val="24"/>
        </w:rPr>
        <w:t xml:space="preserve">. Comparând numărul de plăți către APA în perioada </w:t>
      </w:r>
      <w:r w:rsidRPr="0006330A">
        <w:rPr>
          <w:rFonts w:ascii="Times New Roman" w:hAnsi="Times New Roman"/>
          <w:noProof/>
          <w:sz w:val="24"/>
        </w:rPr>
        <w:t>2019</w:t>
      </w:r>
      <w:r w:rsidR="0006330A">
        <w:rPr>
          <w:rFonts w:ascii="Times New Roman" w:hAnsi="Times New Roman" w:cs="Times New Roman"/>
          <w:noProof/>
          <w:sz w:val="24"/>
        </w:rPr>
        <w:t>­</w:t>
      </w:r>
      <w:r w:rsidRPr="0006330A">
        <w:rPr>
          <w:rFonts w:ascii="Times New Roman" w:hAnsi="Times New Roman"/>
          <w:noProof/>
          <w:sz w:val="24"/>
        </w:rPr>
        <w:t>2024</w:t>
      </w:r>
      <w:r>
        <w:rPr>
          <w:rFonts w:ascii="Times New Roman" w:hAnsi="Times New Roman"/>
          <w:noProof/>
          <w:sz w:val="24"/>
        </w:rPr>
        <w:t xml:space="preserve">, se poate observa o creștere de </w:t>
      </w:r>
      <w:r w:rsidRPr="0006330A">
        <w:rPr>
          <w:rFonts w:ascii="Times New Roman" w:hAnsi="Times New Roman"/>
          <w:noProof/>
          <w:sz w:val="24"/>
        </w:rPr>
        <w:t>58</w:t>
      </w:r>
      <w:r>
        <w:rPr>
          <w:rFonts w:ascii="Times New Roman" w:hAnsi="Times New Roman"/>
          <w:noProof/>
          <w:sz w:val="24"/>
        </w:rPr>
        <w:t xml:space="preserve"> %, până la </w:t>
      </w:r>
      <w:r w:rsidRPr="0006330A">
        <w:rPr>
          <w:rFonts w:ascii="Times New Roman" w:hAnsi="Times New Roman"/>
          <w:noProof/>
          <w:sz w:val="24"/>
        </w:rPr>
        <w:t>5</w:t>
      </w:r>
      <w:r>
        <w:rPr>
          <w:rFonts w:ascii="Times New Roman" w:hAnsi="Times New Roman"/>
          <w:noProof/>
          <w:sz w:val="24"/>
        </w:rPr>
        <w:t> </w:t>
      </w:r>
      <w:r w:rsidRPr="0006330A">
        <w:rPr>
          <w:rFonts w:ascii="Times New Roman" w:hAnsi="Times New Roman"/>
          <w:noProof/>
          <w:sz w:val="24"/>
        </w:rPr>
        <w:t>427</w:t>
      </w:r>
      <w:r>
        <w:rPr>
          <w:rFonts w:ascii="Times New Roman" w:hAnsi="Times New Roman"/>
          <w:noProof/>
          <w:sz w:val="24"/>
        </w:rPr>
        <w:t xml:space="preserve">. În cursul perioadei de referință, numărul de plăți către AT și AC a înregistrat o creștere de </w:t>
      </w:r>
      <w:r w:rsidRPr="0006330A">
        <w:rPr>
          <w:rFonts w:ascii="Times New Roman" w:hAnsi="Times New Roman"/>
          <w:noProof/>
          <w:sz w:val="24"/>
        </w:rPr>
        <w:t>53</w:t>
      </w:r>
      <w:r>
        <w:rPr>
          <w:rFonts w:ascii="Times New Roman" w:hAnsi="Times New Roman"/>
          <w:noProof/>
          <w:sz w:val="24"/>
        </w:rPr>
        <w:t xml:space="preserve"> % și, respectiv, </w:t>
      </w:r>
      <w:r w:rsidRPr="0006330A">
        <w:rPr>
          <w:rFonts w:ascii="Times New Roman" w:hAnsi="Times New Roman"/>
          <w:noProof/>
          <w:sz w:val="24"/>
        </w:rPr>
        <w:t>15</w:t>
      </w:r>
      <w:r>
        <w:rPr>
          <w:rFonts w:ascii="Times New Roman" w:hAnsi="Times New Roman"/>
          <w:noProof/>
          <w:sz w:val="24"/>
        </w:rPr>
        <w:t xml:space="preserve"> %, ceea ce este contrar tendinței din aceeași perioadă. Acest lucru se poate explica prin creșterea numărului de tranzacții efectuate per beneficiar și a duratei medii a indemnizațiilor primite în </w:t>
      </w:r>
      <w:r w:rsidRPr="0006330A">
        <w:rPr>
          <w:rFonts w:ascii="Times New Roman" w:hAnsi="Times New Roman"/>
          <w:noProof/>
          <w:sz w:val="24"/>
        </w:rPr>
        <w:t>2024</w:t>
      </w:r>
      <w:r>
        <w:rPr>
          <w:rFonts w:ascii="Times New Roman" w:hAnsi="Times New Roman"/>
          <w:noProof/>
          <w:sz w:val="24"/>
        </w:rPr>
        <w:t xml:space="preserve">. </w:t>
      </w:r>
    </w:p>
    <w:p w14:paraId="0F9BF61D" w14:textId="77777777" w:rsidR="00FB0B48" w:rsidRPr="0006330A" w:rsidRDefault="00FB0B48" w:rsidP="006B1997">
      <w:pPr>
        <w:jc w:val="both"/>
        <w:rPr>
          <w:rFonts w:ascii="Times New Roman" w:hAnsi="Times New Roman" w:cs="Times New Roman"/>
          <w:b/>
          <w:bCs/>
          <w:noProof/>
        </w:rPr>
      </w:pPr>
    </w:p>
    <w:p w14:paraId="3B7CD81A" w14:textId="74417E6C" w:rsidR="006B1997" w:rsidRPr="0006330A" w:rsidRDefault="006B1997" w:rsidP="006B1997">
      <w:pPr>
        <w:jc w:val="both"/>
        <w:rPr>
          <w:rFonts w:ascii="Times New Roman" w:hAnsi="Times New Roman" w:cs="Times New Roman"/>
          <w:b/>
          <w:bCs/>
          <w:noProof/>
        </w:rPr>
      </w:pPr>
      <w:r w:rsidRPr="0006330A">
        <w:rPr>
          <w:rFonts w:ascii="Times New Roman" w:hAnsi="Times New Roman"/>
          <w:b/>
          <w:noProof/>
        </w:rPr>
        <w:t>Tabelul 10 - Numărul de indemnizații lunare plătite și indemnizația medie per tip de contract (2019-2024)</w:t>
      </w:r>
    </w:p>
    <w:p w14:paraId="0DF1EA8C" w14:textId="65E9C393" w:rsidR="00382D88" w:rsidRPr="0006330A" w:rsidRDefault="00B905F1" w:rsidP="006B1997">
      <w:pPr>
        <w:jc w:val="both"/>
        <w:rPr>
          <w:b/>
          <w:bCs/>
          <w:noProof/>
        </w:rPr>
      </w:pPr>
      <w:r w:rsidRPr="00B905F1">
        <w:rPr>
          <w:noProof/>
          <w:lang w:val="en-GB" w:eastAsia="en-GB"/>
        </w:rPr>
        <w:drawing>
          <wp:inline distT="0" distB="0" distL="0" distR="0" wp14:anchorId="07C6939F" wp14:editId="1D97B101">
            <wp:extent cx="5731510" cy="3788410"/>
            <wp:effectExtent l="0" t="0" r="2540" b="2540"/>
            <wp:docPr id="27689894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31510" cy="3788410"/>
                    </a:xfrm>
                    <a:prstGeom prst="rect">
                      <a:avLst/>
                    </a:prstGeom>
                    <a:noFill/>
                    <a:ln>
                      <a:noFill/>
                    </a:ln>
                  </pic:spPr>
                </pic:pic>
              </a:graphicData>
            </a:graphic>
          </wp:inline>
        </w:drawing>
      </w:r>
    </w:p>
    <w:p w14:paraId="3F7B2D05" w14:textId="46B6DF68" w:rsidR="006B1997" w:rsidRPr="0006330A" w:rsidRDefault="006B1997" w:rsidP="006B1997">
      <w:pPr>
        <w:jc w:val="center"/>
        <w:rPr>
          <w:b/>
          <w:bCs/>
          <w:noProof/>
        </w:rPr>
      </w:pPr>
    </w:p>
    <w:p w14:paraId="213158A5" w14:textId="77777777" w:rsidR="006B1997" w:rsidRDefault="006B1997" w:rsidP="005E3670">
      <w:pPr>
        <w:jc w:val="both"/>
        <w:rPr>
          <w:noProof/>
        </w:rPr>
        <w:sectPr w:rsidR="006B1997" w:rsidSect="00DF5D65">
          <w:headerReference w:type="default" r:id="rId50"/>
          <w:footerReference w:type="default" r:id="rId51"/>
          <w:pgSz w:w="11906" w:h="16838"/>
          <w:pgMar w:top="1440" w:right="1440" w:bottom="1440" w:left="1440" w:header="708" w:footer="708" w:gutter="0"/>
          <w:cols w:space="708"/>
          <w:docGrid w:linePitch="360"/>
        </w:sectPr>
      </w:pPr>
    </w:p>
    <w:p w14:paraId="70796AB4" w14:textId="3DE7533A" w:rsidR="00484376" w:rsidRDefault="00E368D3" w:rsidP="00DF5D65">
      <w:pPr>
        <w:pStyle w:val="Heading3"/>
        <w:numPr>
          <w:ilvl w:val="0"/>
          <w:numId w:val="0"/>
        </w:numPr>
        <w:ind w:left="720" w:hanging="720"/>
        <w:rPr>
          <w:noProof/>
        </w:rPr>
      </w:pPr>
      <w:bookmarkStart w:id="23" w:name="_Toc233306874"/>
      <w:r w:rsidRPr="0006330A">
        <w:rPr>
          <w:noProof/>
        </w:rPr>
        <w:t>4</w:t>
      </w:r>
      <w:r>
        <w:rPr>
          <w:noProof/>
        </w:rPr>
        <w:t>.</w:t>
      </w:r>
      <w:r w:rsidRPr="0006330A">
        <w:rPr>
          <w:noProof/>
        </w:rPr>
        <w:t>4</w:t>
      </w:r>
      <w:r>
        <w:rPr>
          <w:noProof/>
        </w:rPr>
        <w:t>.</w:t>
      </w:r>
      <w:r w:rsidRPr="0006330A">
        <w:rPr>
          <w:noProof/>
        </w:rPr>
        <w:t>2</w:t>
      </w:r>
      <w:r>
        <w:rPr>
          <w:noProof/>
        </w:rPr>
        <w:t xml:space="preserve"> Durata perioadei de plată</w:t>
      </w:r>
      <w:bookmarkEnd w:id="23"/>
    </w:p>
    <w:p w14:paraId="25B64EF1" w14:textId="2EFF585A" w:rsidR="007447BD" w:rsidRPr="0006330A" w:rsidRDefault="7BFADDCE" w:rsidP="00DB0B87">
      <w:pPr>
        <w:jc w:val="both"/>
        <w:rPr>
          <w:b/>
          <w:bCs/>
          <w:noProof/>
        </w:rPr>
      </w:pPr>
      <w:r>
        <w:rPr>
          <w:rFonts w:ascii="Times New Roman" w:hAnsi="Times New Roman"/>
          <w:noProof/>
          <w:sz w:val="24"/>
        </w:rPr>
        <w:t xml:space="preserve">În cursul perioadei de referință, durata medie agregată a crescut de la aproape </w:t>
      </w:r>
      <w:r w:rsidRPr="0006330A">
        <w:rPr>
          <w:rFonts w:ascii="Times New Roman" w:hAnsi="Times New Roman"/>
          <w:noProof/>
          <w:sz w:val="24"/>
        </w:rPr>
        <w:t>8</w:t>
      </w:r>
      <w:r>
        <w:rPr>
          <w:rFonts w:ascii="Times New Roman" w:hAnsi="Times New Roman"/>
          <w:noProof/>
          <w:sz w:val="24"/>
        </w:rPr>
        <w:t>,</w:t>
      </w:r>
      <w:r w:rsidRPr="0006330A">
        <w:rPr>
          <w:rFonts w:ascii="Times New Roman" w:hAnsi="Times New Roman"/>
          <w:noProof/>
          <w:sz w:val="24"/>
        </w:rPr>
        <w:t>5</w:t>
      </w:r>
      <w:r>
        <w:rPr>
          <w:rFonts w:ascii="Times New Roman" w:hAnsi="Times New Roman"/>
          <w:noProof/>
          <w:sz w:val="24"/>
        </w:rPr>
        <w:t xml:space="preserve"> luni în </w:t>
      </w:r>
      <w:r w:rsidRPr="0006330A">
        <w:rPr>
          <w:rFonts w:ascii="Times New Roman" w:hAnsi="Times New Roman"/>
          <w:noProof/>
          <w:sz w:val="24"/>
        </w:rPr>
        <w:t>2019</w:t>
      </w:r>
      <w:r>
        <w:rPr>
          <w:rFonts w:ascii="Times New Roman" w:hAnsi="Times New Roman"/>
          <w:noProof/>
          <w:sz w:val="24"/>
        </w:rPr>
        <w:t xml:space="preserve"> la aproximativ </w:t>
      </w:r>
      <w:r w:rsidRPr="0006330A">
        <w:rPr>
          <w:rFonts w:ascii="Times New Roman" w:hAnsi="Times New Roman"/>
          <w:noProof/>
          <w:sz w:val="24"/>
        </w:rPr>
        <w:t>9</w:t>
      </w:r>
      <w:r>
        <w:rPr>
          <w:rFonts w:ascii="Times New Roman" w:hAnsi="Times New Roman"/>
          <w:noProof/>
          <w:sz w:val="24"/>
        </w:rPr>
        <w:t>,</w:t>
      </w:r>
      <w:r w:rsidRPr="0006330A">
        <w:rPr>
          <w:rFonts w:ascii="Times New Roman" w:hAnsi="Times New Roman"/>
          <w:noProof/>
          <w:sz w:val="24"/>
        </w:rPr>
        <w:t>0</w:t>
      </w:r>
      <w:r>
        <w:rPr>
          <w:rFonts w:ascii="Times New Roman" w:hAnsi="Times New Roman"/>
          <w:noProof/>
          <w:sz w:val="24"/>
        </w:rPr>
        <w:t xml:space="preserve"> luni în </w:t>
      </w:r>
      <w:r w:rsidRPr="0006330A">
        <w:rPr>
          <w:rFonts w:ascii="Times New Roman" w:hAnsi="Times New Roman"/>
          <w:noProof/>
          <w:sz w:val="24"/>
        </w:rPr>
        <w:t>2024</w:t>
      </w:r>
      <w:r>
        <w:rPr>
          <w:rFonts w:ascii="Times New Roman" w:hAnsi="Times New Roman"/>
          <w:noProof/>
          <w:sz w:val="24"/>
        </w:rPr>
        <w:t xml:space="preserve">. Această tendință este rezultatul prelungirii duratei de plată care a crescut la Parlament, la Curtea de Justiție, la Curtea de Conturi și la agenții. Parlamentul a urmat o traiectorie ciclică pe fondul alegerilor. </w:t>
      </w:r>
    </w:p>
    <w:p w14:paraId="44A80DC8" w14:textId="61449FCA" w:rsidR="00DB0B87" w:rsidRPr="0006330A" w:rsidRDefault="00DB0B87" w:rsidP="00DB0B87">
      <w:pPr>
        <w:jc w:val="both"/>
        <w:rPr>
          <w:rFonts w:ascii="Times New Roman" w:hAnsi="Times New Roman" w:cs="Times New Roman"/>
          <w:b/>
          <w:bCs/>
          <w:noProof/>
        </w:rPr>
      </w:pPr>
      <w:r w:rsidRPr="0006330A">
        <w:rPr>
          <w:rFonts w:ascii="Times New Roman" w:hAnsi="Times New Roman"/>
          <w:b/>
          <w:noProof/>
        </w:rPr>
        <w:t xml:space="preserve">Tabelul 11 – Durata perioadei de plată, în luni </w:t>
      </w:r>
    </w:p>
    <w:p w14:paraId="7E2592E9" w14:textId="1DCC8D59" w:rsidR="00DB0B87" w:rsidRPr="0006330A" w:rsidRDefault="00B905F1" w:rsidP="00DB0B87">
      <w:pPr>
        <w:jc w:val="both"/>
        <w:rPr>
          <w:b/>
          <w:bCs/>
          <w:noProof/>
        </w:rPr>
      </w:pPr>
      <w:r w:rsidRPr="00B905F1">
        <w:rPr>
          <w:noProof/>
          <w:lang w:val="en-GB" w:eastAsia="en-GB"/>
        </w:rPr>
        <w:drawing>
          <wp:inline distT="0" distB="0" distL="0" distR="0" wp14:anchorId="2F82971E" wp14:editId="19D5F624">
            <wp:extent cx="5731510" cy="2310130"/>
            <wp:effectExtent l="0" t="0" r="2540" b="0"/>
            <wp:docPr id="17937272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31510" cy="2310130"/>
                    </a:xfrm>
                    <a:prstGeom prst="rect">
                      <a:avLst/>
                    </a:prstGeom>
                    <a:noFill/>
                    <a:ln>
                      <a:noFill/>
                    </a:ln>
                  </pic:spPr>
                </pic:pic>
              </a:graphicData>
            </a:graphic>
          </wp:inline>
        </w:drawing>
      </w:r>
    </w:p>
    <w:p w14:paraId="771137B9" w14:textId="15603846" w:rsidR="00CA3543" w:rsidRPr="007447BD" w:rsidRDefault="7E8C12E1" w:rsidP="003F7947">
      <w:pPr>
        <w:jc w:val="both"/>
        <w:rPr>
          <w:rFonts w:ascii="Times New Roman" w:hAnsi="Times New Roman" w:cs="Times New Roman"/>
          <w:noProof/>
          <w:sz w:val="24"/>
          <w:szCs w:val="24"/>
        </w:rPr>
      </w:pPr>
      <w:r>
        <w:rPr>
          <w:rFonts w:ascii="Times New Roman" w:hAnsi="Times New Roman"/>
          <w:noProof/>
          <w:sz w:val="24"/>
        </w:rPr>
        <w:t xml:space="preserve">În </w:t>
      </w:r>
      <w:r w:rsidRPr="0006330A">
        <w:rPr>
          <w:rFonts w:ascii="Times New Roman" w:hAnsi="Times New Roman"/>
          <w:noProof/>
          <w:sz w:val="24"/>
        </w:rPr>
        <w:t>2019</w:t>
      </w:r>
      <w:r>
        <w:rPr>
          <w:rFonts w:ascii="Times New Roman" w:hAnsi="Times New Roman"/>
          <w:noProof/>
          <w:sz w:val="24"/>
        </w:rPr>
        <w:t xml:space="preserve"> și </w:t>
      </w:r>
      <w:r w:rsidRPr="0006330A">
        <w:rPr>
          <w:rFonts w:ascii="Times New Roman" w:hAnsi="Times New Roman"/>
          <w:noProof/>
          <w:sz w:val="24"/>
        </w:rPr>
        <w:t>2024</w:t>
      </w:r>
      <w:r>
        <w:rPr>
          <w:rFonts w:ascii="Times New Roman" w:hAnsi="Times New Roman"/>
          <w:noProof/>
          <w:sz w:val="24"/>
        </w:rPr>
        <w:t xml:space="preserve">, durata indemnizației de șomaj la Parlament a înregistrat o reducere în comparație cu anii precedenți, ceea ce se explică prin afluxul de beneficiari ai APA după alegerile din iunie și care au început să primească indemnizațiile începând din august-septembrie. Prin urmare, creșterea numărului de indemnizații are un impact asupra ultimului trimestru, reducând astfel durata medie globală. În </w:t>
      </w:r>
      <w:r w:rsidRPr="0006330A">
        <w:rPr>
          <w:rFonts w:ascii="Times New Roman" w:hAnsi="Times New Roman"/>
          <w:noProof/>
          <w:sz w:val="24"/>
        </w:rPr>
        <w:t>2024</w:t>
      </w:r>
      <w:r>
        <w:rPr>
          <w:rFonts w:ascii="Times New Roman" w:hAnsi="Times New Roman"/>
          <w:noProof/>
          <w:sz w:val="24"/>
        </w:rPr>
        <w:t xml:space="preserve">, cea mai scurtă durată medie a fost înregistrată la Consiliu (aproximativ </w:t>
      </w:r>
      <w:r w:rsidRPr="0006330A">
        <w:rPr>
          <w:rFonts w:ascii="Times New Roman" w:hAnsi="Times New Roman"/>
          <w:noProof/>
          <w:sz w:val="24"/>
        </w:rPr>
        <w:t>6</w:t>
      </w:r>
      <w:r>
        <w:rPr>
          <w:rFonts w:ascii="Times New Roman" w:hAnsi="Times New Roman"/>
          <w:noProof/>
          <w:sz w:val="24"/>
        </w:rPr>
        <w:t xml:space="preserve"> luni), în timp ce cea mai lungă a fost înregistrată la Curtea de Conturi și la agenții (peste </w:t>
      </w:r>
      <w:r w:rsidRPr="0006330A">
        <w:rPr>
          <w:rFonts w:ascii="Times New Roman" w:hAnsi="Times New Roman"/>
          <w:noProof/>
          <w:sz w:val="24"/>
        </w:rPr>
        <w:t>11</w:t>
      </w:r>
      <w:r>
        <w:rPr>
          <w:rFonts w:ascii="Times New Roman" w:hAnsi="Times New Roman"/>
          <w:noProof/>
          <w:sz w:val="24"/>
        </w:rPr>
        <w:t xml:space="preserve"> luni). </w:t>
      </w:r>
    </w:p>
    <w:p w14:paraId="290D0FE1" w14:textId="77777777" w:rsidR="00DB0B87" w:rsidRPr="0006330A" w:rsidRDefault="00DB0B87" w:rsidP="003F7947">
      <w:pPr>
        <w:jc w:val="both"/>
        <w:rPr>
          <w:b/>
          <w:bCs/>
          <w:noProof/>
        </w:rPr>
      </w:pPr>
    </w:p>
    <w:p w14:paraId="5CA9CB4D" w14:textId="0AD34B70" w:rsidR="00A314ED" w:rsidRPr="0006330A" w:rsidRDefault="00941AFA" w:rsidP="00A5228F">
      <w:pPr>
        <w:keepNext/>
        <w:jc w:val="both"/>
        <w:rPr>
          <w:rFonts w:ascii="Times New Roman" w:hAnsi="Times New Roman" w:cs="Times New Roman"/>
          <w:b/>
          <w:bCs/>
          <w:noProof/>
        </w:rPr>
      </w:pPr>
      <w:r w:rsidRPr="0006330A">
        <w:rPr>
          <w:rFonts w:ascii="Times New Roman" w:hAnsi="Times New Roman"/>
          <w:b/>
          <w:noProof/>
        </w:rPr>
        <w:t>Fig. 4.4.2.1 Compararea duratei în luni (2019-2024)</w:t>
      </w:r>
    </w:p>
    <w:p w14:paraId="2350D295" w14:textId="020F00E9" w:rsidR="00A314ED" w:rsidRPr="00D45CAD" w:rsidRDefault="00B905F1" w:rsidP="003F7947">
      <w:pPr>
        <w:jc w:val="both"/>
        <w:rPr>
          <w:noProof/>
        </w:rPr>
      </w:pPr>
      <w:r>
        <w:rPr>
          <w:noProof/>
          <w:lang w:val="en-GB" w:eastAsia="en-GB"/>
        </w:rPr>
        <w:drawing>
          <wp:inline distT="0" distB="0" distL="0" distR="0" wp14:anchorId="317B03FE" wp14:editId="3FFA4185">
            <wp:extent cx="5554800" cy="2736000"/>
            <wp:effectExtent l="0" t="0" r="8255" b="7620"/>
            <wp:docPr id="187210467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54800" cy="2736000"/>
                    </a:xfrm>
                    <a:prstGeom prst="rect">
                      <a:avLst/>
                    </a:prstGeom>
                    <a:noFill/>
                  </pic:spPr>
                </pic:pic>
              </a:graphicData>
            </a:graphic>
          </wp:inline>
        </w:drawing>
      </w:r>
    </w:p>
    <w:p w14:paraId="12F44836" w14:textId="5E5D7E5E" w:rsidR="00F5359C" w:rsidRDefault="00E22ADC" w:rsidP="003F7947">
      <w:pPr>
        <w:jc w:val="both"/>
        <w:rPr>
          <w:rFonts w:ascii="Times New Roman" w:hAnsi="Times New Roman" w:cs="Times New Roman"/>
          <w:noProof/>
        </w:rPr>
      </w:pPr>
      <w:r>
        <w:rPr>
          <w:rFonts w:ascii="Times New Roman" w:hAnsi="Times New Roman"/>
          <w:noProof/>
        </w:rPr>
        <w:t xml:space="preserve">Sursă: tabelul </w:t>
      </w:r>
      <w:r w:rsidRPr="0006330A">
        <w:rPr>
          <w:rFonts w:ascii="Times New Roman" w:hAnsi="Times New Roman"/>
          <w:noProof/>
        </w:rPr>
        <w:t>11</w:t>
      </w:r>
    </w:p>
    <w:p w14:paraId="0767C33C" w14:textId="77777777" w:rsidR="00642ADF" w:rsidRPr="00D45CAD" w:rsidRDefault="00642ADF" w:rsidP="003F7947">
      <w:pPr>
        <w:jc w:val="both"/>
        <w:rPr>
          <w:rFonts w:ascii="Times New Roman" w:hAnsi="Times New Roman" w:cs="Times New Roman"/>
          <w:noProof/>
        </w:rPr>
      </w:pPr>
    </w:p>
    <w:p w14:paraId="3515F5B3" w14:textId="22BE3EAA" w:rsidR="002F21F9" w:rsidRPr="0006330A" w:rsidRDefault="00E368D3" w:rsidP="002F21F9">
      <w:pPr>
        <w:pStyle w:val="Heading2"/>
        <w:numPr>
          <w:ilvl w:val="0"/>
          <w:numId w:val="0"/>
        </w:numPr>
        <w:ind w:left="576" w:hanging="576"/>
        <w:rPr>
          <w:noProof/>
        </w:rPr>
      </w:pPr>
      <w:bookmarkStart w:id="24" w:name="_Toc233306875"/>
      <w:r w:rsidRPr="0006330A">
        <w:rPr>
          <w:noProof/>
        </w:rPr>
        <w:t>4.5 Distribuția șomajului pe țări</w:t>
      </w:r>
      <w:bookmarkEnd w:id="24"/>
    </w:p>
    <w:p w14:paraId="5AA1043E" w14:textId="77777777" w:rsidR="00532C90" w:rsidRPr="00D45CAD" w:rsidRDefault="007D3F74" w:rsidP="00C452BC">
      <w:pPr>
        <w:jc w:val="both"/>
        <w:rPr>
          <w:rFonts w:ascii="Times New Roman" w:hAnsi="Times New Roman" w:cs="Times New Roman"/>
          <w:noProof/>
          <w:sz w:val="24"/>
          <w:szCs w:val="24"/>
        </w:rPr>
      </w:pPr>
      <w:r>
        <w:rPr>
          <w:rFonts w:ascii="Times New Roman" w:hAnsi="Times New Roman"/>
          <w:noProof/>
          <w:sz w:val="24"/>
        </w:rPr>
        <w:t>Având în vedere principiul complementarității, astfel cum este aplicat sistemului de asigurări de șomaj, țara de reședință a beneficiarului indemnizației de șomaj este importantă, în special din perspectiva criteriilor de eligibilitate pentru a beneficia de o indemnizație națională, care diferă de la un stat membru la altul.</w:t>
      </w:r>
    </w:p>
    <w:p w14:paraId="674EA5BD" w14:textId="3B38AC33" w:rsidR="00AB05C4" w:rsidRPr="00D45CAD" w:rsidRDefault="0433273E" w:rsidP="00C452BC">
      <w:pPr>
        <w:jc w:val="both"/>
        <w:rPr>
          <w:rFonts w:ascii="Times New Roman" w:hAnsi="Times New Roman" w:cs="Times New Roman"/>
          <w:noProof/>
          <w:sz w:val="24"/>
          <w:szCs w:val="24"/>
        </w:rPr>
      </w:pPr>
      <w:r>
        <w:rPr>
          <w:rFonts w:ascii="Times New Roman" w:hAnsi="Times New Roman"/>
          <w:noProof/>
          <w:sz w:val="24"/>
        </w:rPr>
        <w:t>Majoritatea beneficiarilor sistemului se află în Belgia (</w:t>
      </w:r>
      <w:r w:rsidRPr="0006330A">
        <w:rPr>
          <w:rFonts w:ascii="Times New Roman" w:hAnsi="Times New Roman"/>
          <w:noProof/>
          <w:sz w:val="24"/>
        </w:rPr>
        <w:t>51</w:t>
      </w:r>
      <w:r>
        <w:rPr>
          <w:rFonts w:ascii="Times New Roman" w:hAnsi="Times New Roman"/>
          <w:noProof/>
          <w:sz w:val="24"/>
        </w:rPr>
        <w:t> %) și, într-o mică măsură, în Spania, Italia, Franța și Luxemburg (</w:t>
      </w:r>
      <w:r w:rsidRPr="0006330A">
        <w:rPr>
          <w:rFonts w:ascii="Times New Roman" w:hAnsi="Times New Roman"/>
          <w:noProof/>
          <w:sz w:val="24"/>
        </w:rPr>
        <w:t>27</w:t>
      </w:r>
      <w:r>
        <w:rPr>
          <w:rFonts w:ascii="Times New Roman" w:hAnsi="Times New Roman"/>
          <w:noProof/>
          <w:sz w:val="24"/>
        </w:rPr>
        <w:t> % din total).</w:t>
      </w:r>
    </w:p>
    <w:p w14:paraId="627BBCF7" w14:textId="4A3EA972" w:rsidR="00C22F7C" w:rsidRPr="007447BD" w:rsidRDefault="0030716C" w:rsidP="00C22F7C">
      <w:pPr>
        <w:jc w:val="both"/>
        <w:rPr>
          <w:rFonts w:ascii="Times New Roman" w:hAnsi="Times New Roman" w:cs="Times New Roman"/>
          <w:noProof/>
          <w:sz w:val="24"/>
          <w:szCs w:val="24"/>
        </w:rPr>
      </w:pPr>
      <w:r>
        <w:rPr>
          <w:rFonts w:ascii="Times New Roman" w:hAnsi="Times New Roman"/>
          <w:noProof/>
          <w:sz w:val="24"/>
        </w:rPr>
        <w:t>Până la încheierea perioadei de tranziție (</w:t>
      </w:r>
      <w:r w:rsidRPr="0006330A">
        <w:rPr>
          <w:rFonts w:ascii="Times New Roman" w:hAnsi="Times New Roman"/>
          <w:noProof/>
          <w:sz w:val="24"/>
        </w:rPr>
        <w:t>31</w:t>
      </w:r>
      <w:r>
        <w:rPr>
          <w:rFonts w:ascii="Times New Roman" w:hAnsi="Times New Roman"/>
          <w:noProof/>
          <w:sz w:val="24"/>
        </w:rPr>
        <w:t xml:space="preserve"> decembrie </w:t>
      </w:r>
      <w:r w:rsidRPr="0006330A">
        <w:rPr>
          <w:rFonts w:ascii="Times New Roman" w:hAnsi="Times New Roman"/>
          <w:noProof/>
          <w:sz w:val="24"/>
        </w:rPr>
        <w:t>2020</w:t>
      </w:r>
      <w:r>
        <w:rPr>
          <w:rFonts w:ascii="Times New Roman" w:hAnsi="Times New Roman"/>
          <w:noProof/>
          <w:sz w:val="24"/>
        </w:rPr>
        <w:t>), Regatul Unit a fost considerat stat membru</w:t>
      </w:r>
      <w:r>
        <w:rPr>
          <w:rStyle w:val="FootnoteReference"/>
          <w:rFonts w:ascii="Times New Roman" w:hAnsi="Times New Roman" w:cs="Times New Roman"/>
          <w:noProof/>
          <w:sz w:val="24"/>
          <w:szCs w:val="24"/>
        </w:rPr>
        <w:footnoteReference w:id="11"/>
      </w:r>
      <w:r>
        <w:rPr>
          <w:rFonts w:ascii="Times New Roman" w:hAnsi="Times New Roman"/>
          <w:noProof/>
          <w:sz w:val="24"/>
        </w:rPr>
        <w:t>, permițând foștilor membri ai personalului să primească indemnizații de șomaj chiar dacă locuiau în Regatul Unit. În temeiul articolului </w:t>
      </w:r>
      <w:r w:rsidRPr="0006330A">
        <w:rPr>
          <w:rFonts w:ascii="Times New Roman" w:hAnsi="Times New Roman"/>
          <w:noProof/>
          <w:sz w:val="24"/>
        </w:rPr>
        <w:t>115</w:t>
      </w:r>
      <w:r>
        <w:rPr>
          <w:rFonts w:ascii="Times New Roman" w:hAnsi="Times New Roman"/>
          <w:noProof/>
          <w:sz w:val="24"/>
        </w:rPr>
        <w:t xml:space="preserve"> din Acordul de retragere</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articolele </w:t>
      </w:r>
      <w:r w:rsidRPr="0006330A">
        <w:rPr>
          <w:rFonts w:ascii="Times New Roman" w:hAnsi="Times New Roman"/>
          <w:noProof/>
          <w:sz w:val="24"/>
        </w:rPr>
        <w:t>28</w:t>
      </w:r>
      <w:r>
        <w:rPr>
          <w:rFonts w:ascii="Times New Roman" w:hAnsi="Times New Roman"/>
          <w:noProof/>
          <w:sz w:val="24"/>
        </w:rPr>
        <w:t xml:space="preserve">a, </w:t>
      </w:r>
      <w:r w:rsidRPr="0006330A">
        <w:rPr>
          <w:rFonts w:ascii="Times New Roman" w:hAnsi="Times New Roman"/>
          <w:noProof/>
          <w:sz w:val="24"/>
        </w:rPr>
        <w:t>96</w:t>
      </w:r>
      <w:r>
        <w:rPr>
          <w:rFonts w:ascii="Times New Roman" w:hAnsi="Times New Roman"/>
          <w:noProof/>
          <w:sz w:val="24"/>
        </w:rPr>
        <w:t xml:space="preserve"> și </w:t>
      </w:r>
      <w:r w:rsidRPr="0006330A">
        <w:rPr>
          <w:rFonts w:ascii="Times New Roman" w:hAnsi="Times New Roman"/>
          <w:noProof/>
          <w:sz w:val="24"/>
        </w:rPr>
        <w:t>136</w:t>
      </w:r>
      <w:r>
        <w:rPr>
          <w:rFonts w:ascii="Times New Roman" w:hAnsi="Times New Roman"/>
          <w:noProof/>
          <w:sz w:val="24"/>
        </w:rPr>
        <w:t xml:space="preserve"> din RAA se vor aplica celorlalți agenți ai Uniunii, indiferent de cetățenie, inclusiv foștilor agenți care au contribuit la sistemul de șomaj al UE înainte de încheierea perioadei de tranziție dacă își au reședința în Regatul Unit și sunt înregistrați la serviciile de șomaj din Regatul Unit. </w:t>
      </w:r>
    </w:p>
    <w:p w14:paraId="3EC81D32" w14:textId="1CD2EA85" w:rsidR="00C22F7C" w:rsidRPr="0006330A" w:rsidRDefault="00C22F7C" w:rsidP="00A5228F">
      <w:pPr>
        <w:keepNext/>
        <w:jc w:val="both"/>
        <w:rPr>
          <w:rFonts w:ascii="Times New Roman" w:hAnsi="Times New Roman" w:cs="Times New Roman"/>
          <w:b/>
          <w:bCs/>
          <w:noProof/>
        </w:rPr>
      </w:pPr>
      <w:r w:rsidRPr="0006330A">
        <w:rPr>
          <w:rFonts w:ascii="Times New Roman" w:hAnsi="Times New Roman"/>
          <w:b/>
          <w:noProof/>
        </w:rPr>
        <w:t xml:space="preserve">Tabelul 12 - Țara de reședință a beneficiarilor de indemnizații de șomaj din partea UE </w:t>
      </w:r>
    </w:p>
    <w:p w14:paraId="1E14E2F4" w14:textId="6BE2E222" w:rsidR="00C22F7C" w:rsidRPr="0006330A" w:rsidRDefault="00B905F1" w:rsidP="00C22F7C">
      <w:pPr>
        <w:jc w:val="center"/>
        <w:rPr>
          <w:b/>
          <w:bCs/>
          <w:noProof/>
        </w:rPr>
      </w:pPr>
      <w:r w:rsidRPr="00B905F1">
        <w:rPr>
          <w:noProof/>
          <w:lang w:val="en-GB" w:eastAsia="en-GB"/>
        </w:rPr>
        <w:drawing>
          <wp:inline distT="0" distB="0" distL="0" distR="0" wp14:anchorId="7CF762F6" wp14:editId="5EBE0898">
            <wp:extent cx="5731510" cy="6544310"/>
            <wp:effectExtent l="0" t="0" r="2540" b="8890"/>
            <wp:docPr id="192681179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31510" cy="6544310"/>
                    </a:xfrm>
                    <a:prstGeom prst="rect">
                      <a:avLst/>
                    </a:prstGeom>
                    <a:noFill/>
                    <a:ln>
                      <a:noFill/>
                    </a:ln>
                  </pic:spPr>
                </pic:pic>
              </a:graphicData>
            </a:graphic>
          </wp:inline>
        </w:drawing>
      </w:r>
    </w:p>
    <w:p w14:paraId="695BC5F8" w14:textId="77777777" w:rsidR="00642ADF" w:rsidRPr="0006330A" w:rsidRDefault="00642ADF">
      <w:pPr>
        <w:rPr>
          <w:rFonts w:ascii="Times New Roman" w:eastAsiaTheme="majorEastAsia" w:hAnsi="Times New Roman" w:cstheme="majorBidi"/>
          <w:b/>
          <w:noProof/>
          <w:sz w:val="28"/>
          <w:szCs w:val="32"/>
        </w:rPr>
      </w:pPr>
      <w:bookmarkStart w:id="25" w:name="_Toc195605418"/>
      <w:bookmarkStart w:id="26" w:name="_Toc195543198"/>
      <w:bookmarkStart w:id="27" w:name="_Toc195543794"/>
      <w:bookmarkStart w:id="28" w:name="_Toc195543896"/>
      <w:bookmarkStart w:id="29" w:name="_Toc195543997"/>
      <w:bookmarkStart w:id="30" w:name="_Toc195544212"/>
      <w:bookmarkStart w:id="31" w:name="_Toc195544313"/>
      <w:bookmarkStart w:id="32" w:name="_Toc195544413"/>
      <w:bookmarkStart w:id="33" w:name="_Toc195605419"/>
      <w:bookmarkStart w:id="34" w:name="_Toc195543199"/>
      <w:bookmarkStart w:id="35" w:name="_Toc195543795"/>
      <w:bookmarkStart w:id="36" w:name="_Toc195543897"/>
      <w:bookmarkStart w:id="37" w:name="_Toc195543998"/>
      <w:bookmarkStart w:id="38" w:name="_Toc195544213"/>
      <w:bookmarkStart w:id="39" w:name="_Toc195544314"/>
      <w:bookmarkStart w:id="40" w:name="_Toc195544414"/>
      <w:bookmarkStart w:id="41" w:name="_Toc195605420"/>
      <w:bookmarkStart w:id="42" w:name="_Toc195543200"/>
      <w:bookmarkStart w:id="43" w:name="_Toc195543796"/>
      <w:bookmarkStart w:id="44" w:name="_Toc195543898"/>
      <w:bookmarkStart w:id="45" w:name="_Toc195543999"/>
      <w:bookmarkStart w:id="46" w:name="_Toc195544214"/>
      <w:bookmarkStart w:id="47" w:name="_Toc195544315"/>
      <w:bookmarkStart w:id="48" w:name="_Toc195544415"/>
      <w:bookmarkStart w:id="49" w:name="_Toc195605421"/>
      <w:bookmarkStart w:id="50" w:name="_Toc195543201"/>
      <w:bookmarkStart w:id="51" w:name="_Toc195543797"/>
      <w:bookmarkStart w:id="52" w:name="_Toc195543899"/>
      <w:bookmarkStart w:id="53" w:name="_Toc195544000"/>
      <w:bookmarkStart w:id="54" w:name="_Toc195544215"/>
      <w:bookmarkStart w:id="55" w:name="_Toc195544316"/>
      <w:bookmarkStart w:id="56" w:name="_Toc195544416"/>
      <w:bookmarkStart w:id="57" w:name="_Toc195605422"/>
      <w:bookmarkStart w:id="58" w:name="_Toc195543202"/>
      <w:bookmarkStart w:id="59" w:name="_Toc195543798"/>
      <w:bookmarkStart w:id="60" w:name="_Toc195543900"/>
      <w:bookmarkStart w:id="61" w:name="_Toc195544001"/>
      <w:bookmarkStart w:id="62" w:name="_Toc195544216"/>
      <w:bookmarkStart w:id="63" w:name="_Toc195544317"/>
      <w:bookmarkStart w:id="64" w:name="_Toc195544417"/>
      <w:bookmarkStart w:id="65" w:name="_Toc195605423"/>
      <w:bookmarkStart w:id="66" w:name="_Toc195543203"/>
      <w:bookmarkStart w:id="67" w:name="_Toc195543799"/>
      <w:bookmarkStart w:id="68" w:name="_Toc195543901"/>
      <w:bookmarkStart w:id="69" w:name="_Toc195544002"/>
      <w:bookmarkStart w:id="70" w:name="_Toc195544217"/>
      <w:bookmarkStart w:id="71" w:name="_Toc195544318"/>
      <w:bookmarkStart w:id="72" w:name="_Toc195544418"/>
      <w:bookmarkStart w:id="73" w:name="_Toc195605424"/>
      <w:bookmarkStart w:id="74" w:name="_Toc195543204"/>
      <w:bookmarkStart w:id="75" w:name="_Toc195543800"/>
      <w:bookmarkStart w:id="76" w:name="_Toc195543902"/>
      <w:bookmarkStart w:id="77" w:name="_Toc195544003"/>
      <w:bookmarkStart w:id="78" w:name="_Toc195544218"/>
      <w:bookmarkStart w:id="79" w:name="_Toc195544319"/>
      <w:bookmarkStart w:id="80" w:name="_Toc195544419"/>
      <w:bookmarkStart w:id="81" w:name="_Toc195605425"/>
      <w:bookmarkStart w:id="82" w:name="_Toc195543205"/>
      <w:bookmarkStart w:id="83" w:name="_Toc195543801"/>
      <w:bookmarkStart w:id="84" w:name="_Toc195543903"/>
      <w:bookmarkStart w:id="85" w:name="_Toc195544004"/>
      <w:bookmarkStart w:id="86" w:name="_Toc195544219"/>
      <w:bookmarkStart w:id="87" w:name="_Toc195544320"/>
      <w:bookmarkStart w:id="88" w:name="_Toc195544420"/>
      <w:bookmarkStart w:id="89" w:name="_Toc195605426"/>
      <w:bookmarkStart w:id="90" w:name="_Toc195543206"/>
      <w:bookmarkStart w:id="91" w:name="_Toc195543802"/>
      <w:bookmarkStart w:id="92" w:name="_Toc195543904"/>
      <w:bookmarkStart w:id="93" w:name="_Toc195544005"/>
      <w:bookmarkStart w:id="94" w:name="_Toc195544220"/>
      <w:bookmarkStart w:id="95" w:name="_Toc195544321"/>
      <w:bookmarkStart w:id="96" w:name="_Toc195544421"/>
      <w:bookmarkStart w:id="97" w:name="_Toc195605427"/>
      <w:bookmarkStart w:id="98" w:name="_Toc195543207"/>
      <w:bookmarkStart w:id="99" w:name="_Toc195543803"/>
      <w:bookmarkStart w:id="100" w:name="_Toc195543905"/>
      <w:bookmarkStart w:id="101" w:name="_Toc195544006"/>
      <w:bookmarkStart w:id="102" w:name="_Toc195544221"/>
      <w:bookmarkStart w:id="103" w:name="_Toc195544322"/>
      <w:bookmarkStart w:id="104" w:name="_Toc195544422"/>
      <w:bookmarkStart w:id="105" w:name="_Toc195605428"/>
      <w:bookmarkStart w:id="106" w:name="_Toc195543208"/>
      <w:bookmarkStart w:id="107" w:name="_Toc195543804"/>
      <w:bookmarkStart w:id="108" w:name="_Toc195543906"/>
      <w:bookmarkStart w:id="109" w:name="_Toc195544007"/>
      <w:bookmarkStart w:id="110" w:name="_Toc195544222"/>
      <w:bookmarkStart w:id="111" w:name="_Toc195544323"/>
      <w:bookmarkStart w:id="112" w:name="_Toc195544423"/>
      <w:bookmarkStart w:id="113" w:name="_Toc195605429"/>
      <w:bookmarkStart w:id="114" w:name="_Toc195543211"/>
      <w:bookmarkStart w:id="115" w:name="_Toc195543807"/>
      <w:bookmarkStart w:id="116" w:name="_Toc195543909"/>
      <w:bookmarkStart w:id="117" w:name="_Toc195544010"/>
      <w:bookmarkStart w:id="118" w:name="_Toc195544225"/>
      <w:bookmarkStart w:id="119" w:name="_Toc195544326"/>
      <w:bookmarkStart w:id="120" w:name="_Toc195544426"/>
      <w:bookmarkStart w:id="121" w:name="_Toc195605432"/>
      <w:bookmarkStart w:id="122" w:name="_Toc195544482"/>
      <w:bookmarkStart w:id="123" w:name="_Toc195605488"/>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noProof/>
        </w:rPr>
        <w:br w:type="page"/>
      </w:r>
    </w:p>
    <w:p w14:paraId="3FB750F1" w14:textId="1D117C38" w:rsidR="00DC27BE" w:rsidRPr="0006330A" w:rsidRDefault="00AF11C6" w:rsidP="008F52F4">
      <w:pPr>
        <w:pStyle w:val="Heading1"/>
        <w:numPr>
          <w:ilvl w:val="0"/>
          <w:numId w:val="0"/>
        </w:numPr>
        <w:rPr>
          <w:noProof/>
        </w:rPr>
      </w:pPr>
      <w:bookmarkStart w:id="124" w:name="_Toc233306876"/>
      <w:r w:rsidRPr="0006330A">
        <w:rPr>
          <w:noProof/>
        </w:rPr>
        <w:t>5. Concluzii</w:t>
      </w:r>
      <w:bookmarkStart w:id="125" w:name="_Toc195543267"/>
      <w:bookmarkEnd w:id="122"/>
      <w:bookmarkEnd w:id="123"/>
      <w:bookmarkEnd w:id="125"/>
      <w:bookmarkEnd w:id="124"/>
    </w:p>
    <w:p w14:paraId="6665A317" w14:textId="42F4E65C" w:rsidR="00E66FEA" w:rsidRPr="0006330A" w:rsidRDefault="00AF11C6" w:rsidP="00DF5D65">
      <w:pPr>
        <w:pStyle w:val="Heading2"/>
        <w:numPr>
          <w:ilvl w:val="0"/>
          <w:numId w:val="0"/>
        </w:numPr>
        <w:ind w:left="576" w:hanging="576"/>
        <w:rPr>
          <w:noProof/>
        </w:rPr>
      </w:pPr>
      <w:bookmarkStart w:id="126" w:name="_Toc195543268"/>
      <w:bookmarkStart w:id="127" w:name="_Toc195543864"/>
      <w:bookmarkStart w:id="128" w:name="_Toc195543966"/>
      <w:bookmarkStart w:id="129" w:name="_Toc195544067"/>
      <w:bookmarkStart w:id="130" w:name="_Toc195544282"/>
      <w:bookmarkStart w:id="131" w:name="_Toc233306877"/>
      <w:bookmarkEnd w:id="126"/>
      <w:bookmarkEnd w:id="127"/>
      <w:bookmarkEnd w:id="128"/>
      <w:bookmarkEnd w:id="129"/>
      <w:bookmarkEnd w:id="130"/>
      <w:r w:rsidRPr="0006330A">
        <w:rPr>
          <w:noProof/>
        </w:rPr>
        <w:t>5.1 Perioada 2019-2024</w:t>
      </w:r>
      <w:bookmarkEnd w:id="131"/>
    </w:p>
    <w:p w14:paraId="4B8C5769" w14:textId="68D05CA4" w:rsidR="00AA6DA9" w:rsidRPr="00D71BEF" w:rsidRDefault="009C0BB4" w:rsidP="009250C8">
      <w:pPr>
        <w:jc w:val="both"/>
        <w:rPr>
          <w:rFonts w:ascii="Times New Roman" w:hAnsi="Times New Roman" w:cs="Times New Roman"/>
          <w:noProof/>
          <w:sz w:val="24"/>
          <w:szCs w:val="24"/>
        </w:rPr>
      </w:pPr>
      <w:r>
        <w:rPr>
          <w:rFonts w:ascii="Times New Roman" w:hAnsi="Times New Roman"/>
          <w:noProof/>
          <w:sz w:val="24"/>
        </w:rPr>
        <w:t xml:space="preserve">Fondul a înregistrat o creștere semnificativă a rezervelor, în special în a doua jumătate a perioadei de referință, cu profituri operaționale anuale pozitive de aproximativ </w:t>
      </w:r>
      <w:r w:rsidRPr="0006330A">
        <w:rPr>
          <w:rFonts w:ascii="Times New Roman" w:hAnsi="Times New Roman"/>
          <w:noProof/>
          <w:sz w:val="24"/>
        </w:rPr>
        <w:t>20</w:t>
      </w:r>
      <w:r>
        <w:rPr>
          <w:rFonts w:ascii="Times New Roman" w:hAnsi="Times New Roman"/>
          <w:noProof/>
          <w:sz w:val="24"/>
        </w:rPr>
        <w:t xml:space="preserve"> de milioane EUR în ultimii trei ani. </w:t>
      </w:r>
    </w:p>
    <w:p w14:paraId="12593934" w14:textId="2558E06A" w:rsidR="00D22896" w:rsidRPr="00D71BEF" w:rsidRDefault="004175C1" w:rsidP="009250C8">
      <w:pPr>
        <w:jc w:val="both"/>
        <w:rPr>
          <w:rFonts w:ascii="Times New Roman" w:hAnsi="Times New Roman" w:cs="Times New Roman"/>
          <w:noProof/>
          <w:sz w:val="24"/>
          <w:szCs w:val="24"/>
        </w:rPr>
      </w:pPr>
      <w:r>
        <w:rPr>
          <w:rFonts w:ascii="Times New Roman" w:hAnsi="Times New Roman"/>
          <w:noProof/>
          <w:sz w:val="24"/>
        </w:rPr>
        <w:t xml:space="preserve">În consecință, rezervele acumulate în contul curent au ajuns la </w:t>
      </w:r>
      <w:r w:rsidRPr="0006330A">
        <w:rPr>
          <w:rFonts w:ascii="Times New Roman" w:hAnsi="Times New Roman"/>
          <w:noProof/>
          <w:sz w:val="24"/>
        </w:rPr>
        <w:t>27</w:t>
      </w:r>
      <w:r>
        <w:rPr>
          <w:rFonts w:ascii="Times New Roman" w:hAnsi="Times New Roman"/>
          <w:noProof/>
          <w:sz w:val="24"/>
        </w:rPr>
        <w:t xml:space="preserve"> de milioane EUR, care, adăugate la cele </w:t>
      </w:r>
      <w:r w:rsidRPr="0006330A">
        <w:rPr>
          <w:rFonts w:ascii="Times New Roman" w:hAnsi="Times New Roman"/>
          <w:noProof/>
          <w:sz w:val="24"/>
        </w:rPr>
        <w:t>78</w:t>
      </w:r>
      <w:r>
        <w:rPr>
          <w:rFonts w:ascii="Times New Roman" w:hAnsi="Times New Roman"/>
          <w:noProof/>
          <w:sz w:val="24"/>
        </w:rPr>
        <w:t xml:space="preserve"> de milioane EUR din portofoliul de investiții, reprezintă un total general de peste </w:t>
      </w:r>
      <w:r w:rsidRPr="0006330A">
        <w:rPr>
          <w:rFonts w:ascii="Times New Roman" w:hAnsi="Times New Roman"/>
          <w:noProof/>
          <w:sz w:val="24"/>
        </w:rPr>
        <w:t>106</w:t>
      </w:r>
      <w:r>
        <w:rPr>
          <w:rFonts w:ascii="Times New Roman" w:hAnsi="Times New Roman"/>
          <w:noProof/>
          <w:sz w:val="24"/>
        </w:rPr>
        <w:t xml:space="preserve"> milioane EUR la sfârșitul anului </w:t>
      </w:r>
      <w:r w:rsidRPr="0006330A">
        <w:rPr>
          <w:rFonts w:ascii="Times New Roman" w:hAnsi="Times New Roman"/>
          <w:noProof/>
          <w:sz w:val="24"/>
        </w:rPr>
        <w:t>2024</w:t>
      </w:r>
      <w:r>
        <w:rPr>
          <w:rFonts w:ascii="Times New Roman" w:hAnsi="Times New Roman"/>
          <w:noProof/>
          <w:sz w:val="24"/>
        </w:rPr>
        <w:t>.</w:t>
      </w:r>
    </w:p>
    <w:p w14:paraId="3F180C6E" w14:textId="0D242835" w:rsidR="005B23E5" w:rsidRPr="0006330A" w:rsidRDefault="00AF11C6" w:rsidP="00DF5D65">
      <w:pPr>
        <w:pStyle w:val="Heading2"/>
        <w:numPr>
          <w:ilvl w:val="0"/>
          <w:numId w:val="0"/>
        </w:numPr>
        <w:ind w:left="576" w:hanging="576"/>
        <w:rPr>
          <w:noProof/>
        </w:rPr>
      </w:pPr>
      <w:bookmarkStart w:id="132" w:name="_Toc233306878"/>
      <w:r w:rsidRPr="0006330A">
        <w:rPr>
          <w:noProof/>
        </w:rPr>
        <w:t>5.2 Perspectivele Fondului de șomaj pe termen scurt și mediu</w:t>
      </w:r>
      <w:bookmarkEnd w:id="132"/>
    </w:p>
    <w:p w14:paraId="29A5ED8B" w14:textId="7696F81B" w:rsidR="005B5B0E" w:rsidRDefault="005B5B0E" w:rsidP="009250C8">
      <w:pPr>
        <w:jc w:val="both"/>
        <w:rPr>
          <w:rFonts w:ascii="Times New Roman" w:hAnsi="Times New Roman" w:cs="Times New Roman"/>
          <w:noProof/>
          <w:sz w:val="24"/>
          <w:szCs w:val="24"/>
        </w:rPr>
      </w:pPr>
      <w:r>
        <w:rPr>
          <w:rFonts w:ascii="Times New Roman" w:hAnsi="Times New Roman"/>
          <w:noProof/>
          <w:sz w:val="24"/>
        </w:rPr>
        <w:t xml:space="preserve">Pe baza observațiilor incluse în raport, se preconizează că soldul global va atinge un echilibru pe termen scurt și mediu. </w:t>
      </w:r>
    </w:p>
    <w:p w14:paraId="3654AAB6" w14:textId="643951FD" w:rsidR="00810F44" w:rsidRPr="00D71BEF" w:rsidRDefault="00810F44" w:rsidP="009250C8">
      <w:pPr>
        <w:jc w:val="both"/>
        <w:rPr>
          <w:rFonts w:ascii="Times New Roman" w:hAnsi="Times New Roman" w:cs="Times New Roman"/>
          <w:noProof/>
          <w:sz w:val="24"/>
          <w:szCs w:val="24"/>
        </w:rPr>
      </w:pPr>
      <w:r>
        <w:rPr>
          <w:rFonts w:ascii="Times New Roman" w:hAnsi="Times New Roman"/>
          <w:noProof/>
          <w:sz w:val="24"/>
        </w:rPr>
        <w:t xml:space="preserve">Așa cum s-a subliniat în capitolul </w:t>
      </w:r>
      <w:r w:rsidRPr="0006330A">
        <w:rPr>
          <w:rFonts w:ascii="Times New Roman" w:hAnsi="Times New Roman"/>
          <w:noProof/>
          <w:sz w:val="24"/>
        </w:rPr>
        <w:t>2</w:t>
      </w:r>
      <w:r>
        <w:rPr>
          <w:rFonts w:ascii="Times New Roman" w:hAnsi="Times New Roman"/>
          <w:noProof/>
          <w:sz w:val="24"/>
        </w:rPr>
        <w:t>.</w:t>
      </w:r>
      <w:r w:rsidRPr="0006330A">
        <w:rPr>
          <w:rFonts w:ascii="Times New Roman" w:hAnsi="Times New Roman"/>
          <w:noProof/>
          <w:sz w:val="24"/>
        </w:rPr>
        <w:t>2</w:t>
      </w:r>
      <w:r>
        <w:rPr>
          <w:rFonts w:ascii="Times New Roman" w:hAnsi="Times New Roman"/>
          <w:noProof/>
          <w:sz w:val="24"/>
        </w:rPr>
        <w:t>, în urma concluziilor ultimului raport privind sistemul de șomaj, Comisia a adaptat contribuția la sistemul de asigurări de șomaj prin intermediul unui regulament delegat</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Noua rată a contribuției de șomaj pentru agenții temporari și contractuali este de </w:t>
      </w:r>
      <w:r w:rsidRPr="0006330A">
        <w:rPr>
          <w:rFonts w:ascii="Times New Roman" w:hAnsi="Times New Roman"/>
          <w:noProof/>
          <w:sz w:val="24"/>
        </w:rPr>
        <w:t>0</w:t>
      </w:r>
      <w:r>
        <w:rPr>
          <w:rFonts w:ascii="Times New Roman" w:hAnsi="Times New Roman"/>
          <w:noProof/>
          <w:sz w:val="24"/>
        </w:rPr>
        <w:t>,</w:t>
      </w:r>
      <w:r w:rsidRPr="0006330A">
        <w:rPr>
          <w:rFonts w:ascii="Times New Roman" w:hAnsi="Times New Roman"/>
          <w:noProof/>
          <w:sz w:val="24"/>
        </w:rPr>
        <w:t>51</w:t>
      </w:r>
      <w:r>
        <w:rPr>
          <w:rFonts w:ascii="Times New Roman" w:hAnsi="Times New Roman"/>
          <w:noProof/>
          <w:sz w:val="24"/>
        </w:rPr>
        <w:t xml:space="preserve"> %. În plus, noua contribuție a instituțiilor relevante este de </w:t>
      </w:r>
      <w:r w:rsidRPr="0006330A">
        <w:rPr>
          <w:rFonts w:ascii="Times New Roman" w:hAnsi="Times New Roman"/>
          <w:noProof/>
          <w:sz w:val="24"/>
        </w:rPr>
        <w:t>1</w:t>
      </w:r>
      <w:r>
        <w:rPr>
          <w:rFonts w:ascii="Times New Roman" w:hAnsi="Times New Roman"/>
          <w:noProof/>
          <w:sz w:val="24"/>
        </w:rPr>
        <w:t>,</w:t>
      </w:r>
      <w:r w:rsidRPr="0006330A">
        <w:rPr>
          <w:rFonts w:ascii="Times New Roman" w:hAnsi="Times New Roman"/>
          <w:noProof/>
          <w:sz w:val="24"/>
        </w:rPr>
        <w:t>02</w:t>
      </w:r>
      <w:r>
        <w:rPr>
          <w:rFonts w:ascii="Times New Roman" w:hAnsi="Times New Roman"/>
          <w:noProof/>
          <w:sz w:val="24"/>
        </w:rPr>
        <w:t xml:space="preserve"> %. Întrucât regulamentul delegat nu era încă în vigoare la sfârșitul anului </w:t>
      </w:r>
      <w:r w:rsidRPr="0006330A">
        <w:rPr>
          <w:rFonts w:ascii="Times New Roman" w:hAnsi="Times New Roman"/>
          <w:noProof/>
          <w:sz w:val="24"/>
        </w:rPr>
        <w:t>2024</w:t>
      </w:r>
      <w:r>
        <w:rPr>
          <w:rFonts w:ascii="Times New Roman" w:hAnsi="Times New Roman"/>
          <w:noProof/>
          <w:sz w:val="24"/>
        </w:rPr>
        <w:t xml:space="preserve">, modificarea ratei contribuției de șomaj nu face parte din domeniul de aplicare temporal al prezentului raport, iar efectele sale vor fi evaluate în următorul raport care va acoperi perioada </w:t>
      </w:r>
      <w:r w:rsidRPr="0006330A">
        <w:rPr>
          <w:rFonts w:ascii="Times New Roman" w:hAnsi="Times New Roman"/>
          <w:noProof/>
          <w:sz w:val="24"/>
        </w:rPr>
        <w:t>2021</w:t>
      </w:r>
      <w:r>
        <w:rPr>
          <w:rFonts w:ascii="Times New Roman" w:hAnsi="Times New Roman"/>
          <w:noProof/>
          <w:sz w:val="24"/>
        </w:rPr>
        <w:t>-</w:t>
      </w:r>
      <w:r w:rsidRPr="0006330A">
        <w:rPr>
          <w:rFonts w:ascii="Times New Roman" w:hAnsi="Times New Roman"/>
          <w:noProof/>
          <w:sz w:val="24"/>
        </w:rPr>
        <w:t>2026</w:t>
      </w:r>
      <w:r>
        <w:rPr>
          <w:rFonts w:ascii="Times New Roman" w:hAnsi="Times New Roman"/>
          <w:noProof/>
          <w:sz w:val="24"/>
        </w:rPr>
        <w:t xml:space="preserve">. </w:t>
      </w:r>
    </w:p>
    <w:p w14:paraId="4C6FF15A" w14:textId="537E89F6" w:rsidR="002E4713" w:rsidRPr="00D71BEF" w:rsidRDefault="002E4713" w:rsidP="009250C8">
      <w:pPr>
        <w:jc w:val="both"/>
        <w:rPr>
          <w:rFonts w:ascii="Times New Roman" w:eastAsia="Times New Roman" w:hAnsi="Times New Roman" w:cs="Times New Roman"/>
          <w:noProof/>
          <w:sz w:val="24"/>
          <w:szCs w:val="24"/>
        </w:rPr>
      </w:pPr>
      <w:r>
        <w:rPr>
          <w:rFonts w:ascii="Times New Roman" w:hAnsi="Times New Roman"/>
          <w:noProof/>
          <w:sz w:val="24"/>
        </w:rPr>
        <w:t xml:space="preserve">Comisia va continua să monitorizeze periodic situația financiară a fondului și va propune măsuri adecvate în funcție de evoluțiile relevante, în interesul echilibrului sistemului. </w:t>
      </w:r>
    </w:p>
    <w:p w14:paraId="06D67F7A" w14:textId="1390302B" w:rsidR="00AA6DA9" w:rsidRPr="00E66FEA" w:rsidRDefault="00AA6DA9" w:rsidP="00E66FEA">
      <w:pPr>
        <w:rPr>
          <w:noProof/>
        </w:rPr>
      </w:pPr>
    </w:p>
    <w:sectPr w:rsidR="00AA6DA9" w:rsidRPr="00E66FEA">
      <w:headerReference w:type="even" r:id="rId55"/>
      <w:headerReference w:type="default" r:id="rId56"/>
      <w:footerReference w:type="even" r:id="rId57"/>
      <w:footerReference w:type="default" r:id="rId58"/>
      <w:headerReference w:type="first" r:id="rId59"/>
      <w:footerReference w:type="first" r:id="rId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DC319" w14:textId="77777777" w:rsidR="004065B1" w:rsidRDefault="004065B1" w:rsidP="0025611A">
      <w:pPr>
        <w:spacing w:after="0" w:line="240" w:lineRule="auto"/>
      </w:pPr>
      <w:r>
        <w:separator/>
      </w:r>
    </w:p>
  </w:endnote>
  <w:endnote w:type="continuationSeparator" w:id="0">
    <w:p w14:paraId="0FA6D339" w14:textId="77777777" w:rsidR="004065B1" w:rsidRDefault="004065B1" w:rsidP="0025611A">
      <w:pPr>
        <w:spacing w:after="0" w:line="240" w:lineRule="auto"/>
      </w:pPr>
      <w:r>
        <w:continuationSeparator/>
      </w:r>
    </w:p>
  </w:endnote>
  <w:endnote w:type="continuationNotice" w:id="1">
    <w:p w14:paraId="797D10D9" w14:textId="77777777" w:rsidR="004065B1" w:rsidRDefault="004065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4AA3A" w14:textId="18888913" w:rsidR="00BA5AF2" w:rsidRPr="00BA5AF2" w:rsidRDefault="00BA5AF2" w:rsidP="00BA5AF2">
    <w:pPr>
      <w:pStyle w:val="FooterCoverPage"/>
      <w:rPr>
        <w:rFonts w:ascii="Arial" w:hAnsi="Arial" w:cs="Arial"/>
        <w:b/>
        <w:sz w:val="48"/>
      </w:rPr>
    </w:pPr>
    <w:r w:rsidRPr="00BA5AF2">
      <w:rPr>
        <w:rFonts w:ascii="Arial" w:hAnsi="Arial" w:cs="Arial"/>
        <w:b/>
        <w:sz w:val="48"/>
      </w:rPr>
      <w:t>RO</w:t>
    </w:r>
    <w:r w:rsidRPr="00BA5AF2">
      <w:rPr>
        <w:rFonts w:ascii="Arial" w:hAnsi="Arial" w:cs="Arial"/>
        <w:b/>
        <w:sz w:val="48"/>
      </w:rPr>
      <w:tab/>
    </w:r>
    <w:r w:rsidRPr="00BA5AF2">
      <w:rPr>
        <w:rFonts w:ascii="Arial" w:hAnsi="Arial" w:cs="Arial"/>
        <w:b/>
        <w:sz w:val="48"/>
      </w:rPr>
      <w:tab/>
    </w:r>
    <w:r w:rsidRPr="00BA5AF2">
      <w:tab/>
    </w:r>
    <w:r w:rsidRPr="00BA5AF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A98A1" w14:textId="647CAC8C" w:rsidR="00BA5AF2" w:rsidRPr="00BA5AF2" w:rsidRDefault="00BA5AF2" w:rsidP="00BA5AF2">
    <w:pPr>
      <w:pStyle w:val="FooterCoverPage"/>
      <w:rPr>
        <w:rFonts w:ascii="Arial" w:hAnsi="Arial" w:cs="Arial"/>
        <w:b/>
        <w:sz w:val="48"/>
      </w:rPr>
    </w:pPr>
    <w:r w:rsidRPr="00BA5AF2">
      <w:rPr>
        <w:rFonts w:ascii="Arial" w:hAnsi="Arial" w:cs="Arial"/>
        <w:b/>
        <w:sz w:val="48"/>
      </w:rPr>
      <w:t>RO</w:t>
    </w:r>
    <w:r w:rsidRPr="00BA5AF2">
      <w:rPr>
        <w:rFonts w:ascii="Arial" w:hAnsi="Arial" w:cs="Arial"/>
        <w:b/>
        <w:sz w:val="48"/>
      </w:rPr>
      <w:tab/>
    </w:r>
    <w:r w:rsidRPr="00BA5AF2">
      <w:rPr>
        <w:rFonts w:ascii="Arial" w:hAnsi="Arial" w:cs="Arial"/>
        <w:b/>
        <w:sz w:val="48"/>
      </w:rPr>
      <w:tab/>
    </w:r>
    <w:r w:rsidRPr="00BA5AF2">
      <w:tab/>
    </w:r>
    <w:r w:rsidRPr="00BA5AF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14CCA" w14:textId="77777777" w:rsidR="00BA5AF2" w:rsidRPr="00BA5AF2" w:rsidRDefault="00BA5AF2" w:rsidP="00BA5AF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3F867" w14:textId="77777777" w:rsidR="00E72268" w:rsidRDefault="00E722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0531046"/>
      <w:docPartObj>
        <w:docPartGallery w:val="Page Numbers (Bottom of Page)"/>
        <w:docPartUnique/>
      </w:docPartObj>
    </w:sdtPr>
    <w:sdtEndPr>
      <w:rPr>
        <w:noProof/>
      </w:rPr>
    </w:sdtEndPr>
    <w:sdtContent>
      <w:p w14:paraId="16327245" w14:textId="3114C18D" w:rsidR="005F0E26" w:rsidRDefault="005F0E26">
        <w:pPr>
          <w:pStyle w:val="Footer"/>
          <w:jc w:val="center"/>
        </w:pPr>
        <w:r>
          <w:fldChar w:fldCharType="begin"/>
        </w:r>
        <w:r>
          <w:instrText xml:space="preserve"> PAGE   \* MERGEFORMAT </w:instrText>
        </w:r>
        <w:r>
          <w:fldChar w:fldCharType="separate"/>
        </w:r>
        <w:r w:rsidR="00BA5AF2">
          <w:rPr>
            <w:noProof/>
          </w:rPr>
          <w:t>1</w:t>
        </w:r>
        <w:r>
          <w:fldChar w:fldCharType="end"/>
        </w:r>
      </w:p>
    </w:sdtContent>
  </w:sdt>
  <w:p w14:paraId="285686D4" w14:textId="77777777" w:rsidR="005F0E26" w:rsidRDefault="005F0E26" w:rsidP="000D3CC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45E86" w14:textId="77777777" w:rsidR="004633DA" w:rsidRDefault="004633D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672072"/>
      <w:docPartObj>
        <w:docPartGallery w:val="Page Numbers (Bottom of Page)"/>
        <w:docPartUnique/>
      </w:docPartObj>
    </w:sdtPr>
    <w:sdtEndPr>
      <w:rPr>
        <w:noProof/>
      </w:rPr>
    </w:sdtEndPr>
    <w:sdtContent>
      <w:p w14:paraId="74F68E67" w14:textId="4E61146B" w:rsidR="00CD2D68" w:rsidRDefault="00CD2D68">
        <w:pPr>
          <w:pStyle w:val="Footer"/>
          <w:jc w:val="center"/>
        </w:pPr>
        <w:r>
          <w:fldChar w:fldCharType="begin"/>
        </w:r>
        <w:r>
          <w:instrText xml:space="preserve"> PAGE   \* MERGEFORMAT </w:instrText>
        </w:r>
        <w:r>
          <w:fldChar w:fldCharType="separate"/>
        </w:r>
        <w:r w:rsidR="004E0E01">
          <w:rPr>
            <w:noProof/>
          </w:rPr>
          <w:t>15</w:t>
        </w:r>
        <w:r>
          <w:fldChar w:fldCharType="end"/>
        </w:r>
      </w:p>
    </w:sdtContent>
  </w:sdt>
  <w:p w14:paraId="31C1F2AA" w14:textId="77777777" w:rsidR="00CD2D68" w:rsidRDefault="00CD2D68" w:rsidP="000D3CC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5752912"/>
      <w:docPartObj>
        <w:docPartGallery w:val="Page Numbers (Bottom of Page)"/>
        <w:docPartUnique/>
      </w:docPartObj>
    </w:sdtPr>
    <w:sdtEndPr>
      <w:rPr>
        <w:noProof/>
      </w:rPr>
    </w:sdtEndPr>
    <w:sdtContent>
      <w:p w14:paraId="080FD41A" w14:textId="59B44B07" w:rsidR="00CD2D68" w:rsidRDefault="00CD2D68">
        <w:pPr>
          <w:pStyle w:val="Footer"/>
          <w:jc w:val="center"/>
        </w:pPr>
        <w:r>
          <w:fldChar w:fldCharType="begin"/>
        </w:r>
        <w:r>
          <w:instrText xml:space="preserve"> PAGE   \* MERGEFORMAT </w:instrText>
        </w:r>
        <w:r>
          <w:fldChar w:fldCharType="separate"/>
        </w:r>
        <w:r w:rsidR="004E0E01">
          <w:rPr>
            <w:noProof/>
          </w:rPr>
          <w:t>16</w:t>
        </w:r>
        <w:r>
          <w:fldChar w:fldCharType="end"/>
        </w:r>
      </w:p>
    </w:sdtContent>
  </w:sdt>
  <w:p w14:paraId="62489CD8" w14:textId="77777777" w:rsidR="00CD2D68" w:rsidRDefault="00CD2D68" w:rsidP="000D3CC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F5C3E" w14:textId="77777777" w:rsidR="005130F2" w:rsidRDefault="005130F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38440655"/>
      <w:docPartObj>
        <w:docPartGallery w:val="Page Numbers (Bottom of Page)"/>
        <w:docPartUnique/>
      </w:docPartObj>
    </w:sdtPr>
    <w:sdtEndPr>
      <w:rPr>
        <w:noProof/>
      </w:rPr>
    </w:sdtEndPr>
    <w:sdtContent>
      <w:p w14:paraId="3A9A1BD5" w14:textId="62932A3E" w:rsidR="00E84646" w:rsidRPr="007517B7" w:rsidRDefault="00E84646">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4E0E01">
          <w:rPr>
            <w:rFonts w:ascii="Times New Roman" w:hAnsi="Times New Roman" w:cs="Times New Roman"/>
            <w:noProof/>
          </w:rPr>
          <w:t>18</w:t>
        </w:r>
        <w:r>
          <w:rPr>
            <w:rFonts w:ascii="Times New Roman" w:hAnsi="Times New Roman" w:cs="Times New Roman"/>
          </w:rPr>
          <w:fldChar w:fldCharType="end"/>
        </w:r>
      </w:p>
    </w:sdtContent>
  </w:sdt>
  <w:p w14:paraId="56D6A390" w14:textId="77777777" w:rsidR="005130F2" w:rsidRPr="007517B7" w:rsidRDefault="005130F2">
    <w:pPr>
      <w:pStyle w:val="Footer"/>
      <w:rPr>
        <w:rFonts w:ascii="Times New Roman" w:hAnsi="Times New Roman" w:cs="Times New Roman"/>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96734" w14:textId="77777777" w:rsidR="005130F2" w:rsidRDefault="00513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15C7E" w14:textId="77777777" w:rsidR="004065B1" w:rsidRDefault="004065B1" w:rsidP="0025611A">
      <w:pPr>
        <w:spacing w:after="0" w:line="240" w:lineRule="auto"/>
      </w:pPr>
      <w:r>
        <w:separator/>
      </w:r>
    </w:p>
  </w:footnote>
  <w:footnote w:type="continuationSeparator" w:id="0">
    <w:p w14:paraId="5EB0E716" w14:textId="77777777" w:rsidR="004065B1" w:rsidRDefault="004065B1" w:rsidP="0025611A">
      <w:pPr>
        <w:spacing w:after="0" w:line="240" w:lineRule="auto"/>
      </w:pPr>
      <w:r>
        <w:continuationSeparator/>
      </w:r>
    </w:p>
  </w:footnote>
  <w:footnote w:type="continuationNotice" w:id="1">
    <w:p w14:paraId="21B67007" w14:textId="77777777" w:rsidR="004065B1" w:rsidRDefault="004065B1">
      <w:pPr>
        <w:spacing w:after="0" w:line="240" w:lineRule="auto"/>
      </w:pPr>
    </w:p>
  </w:footnote>
  <w:footnote w:id="2">
    <w:p w14:paraId="1EC57384" w14:textId="08E7BB1E" w:rsidR="005C0ABA" w:rsidRPr="00E86A35" w:rsidRDefault="005C0ABA" w:rsidP="003B099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Regulamentul (CE, Euratom) nr. </w:t>
      </w:r>
      <w:r w:rsidRPr="0006330A">
        <w:rPr>
          <w:rFonts w:ascii="Times New Roman" w:hAnsi="Times New Roman"/>
        </w:rPr>
        <w:t>723</w:t>
      </w:r>
      <w:r>
        <w:rPr>
          <w:rFonts w:ascii="Times New Roman" w:hAnsi="Times New Roman"/>
        </w:rPr>
        <w:t>/</w:t>
      </w:r>
      <w:r w:rsidRPr="0006330A">
        <w:rPr>
          <w:rFonts w:ascii="Times New Roman" w:hAnsi="Times New Roman"/>
        </w:rPr>
        <w:t>2004</w:t>
      </w:r>
      <w:r>
        <w:rPr>
          <w:rFonts w:ascii="Times New Roman" w:hAnsi="Times New Roman"/>
        </w:rPr>
        <w:t xml:space="preserve"> al Consiliului din </w:t>
      </w:r>
      <w:r w:rsidRPr="0006330A">
        <w:rPr>
          <w:rFonts w:ascii="Times New Roman" w:hAnsi="Times New Roman"/>
        </w:rPr>
        <w:t>22</w:t>
      </w:r>
      <w:r>
        <w:rPr>
          <w:rFonts w:ascii="Times New Roman" w:hAnsi="Times New Roman"/>
        </w:rPr>
        <w:t xml:space="preserve"> martie </w:t>
      </w:r>
      <w:r w:rsidRPr="0006330A">
        <w:rPr>
          <w:rFonts w:ascii="Times New Roman" w:hAnsi="Times New Roman"/>
        </w:rPr>
        <w:t>2004</w:t>
      </w:r>
      <w:r>
        <w:rPr>
          <w:rFonts w:ascii="Times New Roman" w:hAnsi="Times New Roman"/>
        </w:rPr>
        <w:t xml:space="preserve"> de modificare a Statutului funcționarilor Comunităților Europene și a Regimului aplicabil celorlalți agenți ai Comunităților Europene, JO</w:t>
      </w:r>
      <w:r w:rsidR="0006330A">
        <w:rPr>
          <w:rFonts w:ascii="Times New Roman" w:hAnsi="Times New Roman"/>
        </w:rPr>
        <w:t> </w:t>
      </w:r>
      <w:r>
        <w:rPr>
          <w:rFonts w:ascii="Times New Roman" w:hAnsi="Times New Roman"/>
        </w:rPr>
        <w:t>L </w:t>
      </w:r>
      <w:r w:rsidRPr="0006330A">
        <w:rPr>
          <w:rFonts w:ascii="Times New Roman" w:hAnsi="Times New Roman"/>
        </w:rPr>
        <w:t>124</w:t>
      </w:r>
      <w:r>
        <w:rPr>
          <w:rFonts w:ascii="Times New Roman" w:hAnsi="Times New Roman"/>
        </w:rPr>
        <w:t xml:space="preserve">, </w:t>
      </w:r>
      <w:r w:rsidRPr="0006330A">
        <w:rPr>
          <w:rFonts w:ascii="Times New Roman" w:hAnsi="Times New Roman"/>
        </w:rPr>
        <w:t>27</w:t>
      </w:r>
      <w:r>
        <w:rPr>
          <w:rFonts w:ascii="Times New Roman" w:hAnsi="Times New Roman"/>
        </w:rPr>
        <w:t>.</w:t>
      </w:r>
      <w:r w:rsidRPr="0006330A">
        <w:rPr>
          <w:rFonts w:ascii="Times New Roman" w:hAnsi="Times New Roman"/>
        </w:rPr>
        <w:t>4</w:t>
      </w:r>
      <w:r>
        <w:rPr>
          <w:rFonts w:ascii="Times New Roman" w:hAnsi="Times New Roman"/>
        </w:rPr>
        <w:t>.</w:t>
      </w:r>
      <w:r w:rsidRPr="0006330A">
        <w:rPr>
          <w:rFonts w:ascii="Times New Roman" w:hAnsi="Times New Roman"/>
        </w:rPr>
        <w:t>2004</w:t>
      </w:r>
      <w:r>
        <w:rPr>
          <w:rFonts w:ascii="Times New Roman" w:hAnsi="Times New Roman"/>
        </w:rPr>
        <w:t>, ELI: </w:t>
      </w:r>
      <w:hyperlink r:id="rId1" w:history="1">
        <w:r w:rsidRPr="0006330A">
          <w:rPr>
            <w:rStyle w:val="Hyperlink"/>
            <w:rFonts w:ascii="Times New Roman" w:hAnsi="Times New Roman"/>
          </w:rPr>
          <w:t>http://data.europa.eu/eli/reg/2004/723/oj</w:t>
        </w:r>
      </w:hyperlink>
      <w:r>
        <w:rPr>
          <w:rFonts w:ascii="Times New Roman" w:hAnsi="Times New Roman"/>
        </w:rPr>
        <w:t>.</w:t>
      </w:r>
    </w:p>
  </w:footnote>
  <w:footnote w:id="3">
    <w:p w14:paraId="23A5A278" w14:textId="0648CFA8" w:rsidR="005042AF" w:rsidRPr="00E86A35" w:rsidRDefault="005042AF" w:rsidP="00D45CA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Articolul </w:t>
      </w:r>
      <w:r w:rsidRPr="0006330A">
        <w:rPr>
          <w:rFonts w:ascii="Times New Roman" w:hAnsi="Times New Roman"/>
        </w:rPr>
        <w:t>28</w:t>
      </w:r>
      <w:r>
        <w:rPr>
          <w:rFonts w:ascii="Times New Roman" w:hAnsi="Times New Roman"/>
        </w:rPr>
        <w:t>a din RAA, astfel cum a fost modificat prin Regulamentul nr. </w:t>
      </w:r>
      <w:r w:rsidRPr="0006330A">
        <w:rPr>
          <w:rFonts w:ascii="Times New Roman" w:hAnsi="Times New Roman"/>
        </w:rPr>
        <w:t>1023</w:t>
      </w:r>
      <w:r>
        <w:rPr>
          <w:rFonts w:ascii="Times New Roman" w:hAnsi="Times New Roman"/>
        </w:rPr>
        <w:t>/</w:t>
      </w:r>
      <w:r w:rsidRPr="0006330A">
        <w:rPr>
          <w:rFonts w:ascii="Times New Roman" w:hAnsi="Times New Roman"/>
        </w:rPr>
        <w:t>2013</w:t>
      </w:r>
      <w:r>
        <w:rPr>
          <w:rFonts w:ascii="Times New Roman" w:hAnsi="Times New Roman"/>
        </w:rPr>
        <w:t xml:space="preserve"> al Parlamentului European și al Consiliului din </w:t>
      </w:r>
      <w:r w:rsidRPr="0006330A">
        <w:rPr>
          <w:rFonts w:ascii="Times New Roman" w:hAnsi="Times New Roman"/>
        </w:rPr>
        <w:t>22</w:t>
      </w:r>
      <w:r>
        <w:rPr>
          <w:rFonts w:ascii="Times New Roman" w:hAnsi="Times New Roman"/>
        </w:rPr>
        <w:t xml:space="preserve"> octombrie </w:t>
      </w:r>
      <w:r w:rsidRPr="0006330A">
        <w:rPr>
          <w:rFonts w:ascii="Times New Roman" w:hAnsi="Times New Roman"/>
        </w:rPr>
        <w:t>2013</w:t>
      </w:r>
      <w:r>
        <w:rPr>
          <w:rFonts w:ascii="Times New Roman" w:hAnsi="Times New Roman"/>
        </w:rPr>
        <w:t xml:space="preserve">, JO L </w:t>
      </w:r>
      <w:r w:rsidRPr="0006330A">
        <w:rPr>
          <w:rFonts w:ascii="Times New Roman" w:hAnsi="Times New Roman"/>
        </w:rPr>
        <w:t>287</w:t>
      </w:r>
      <w:r>
        <w:rPr>
          <w:rFonts w:ascii="Times New Roman" w:hAnsi="Times New Roman"/>
        </w:rPr>
        <w:t xml:space="preserve">, </w:t>
      </w:r>
      <w:r w:rsidRPr="0006330A">
        <w:rPr>
          <w:rFonts w:ascii="Times New Roman" w:hAnsi="Times New Roman"/>
        </w:rPr>
        <w:t>29</w:t>
      </w:r>
      <w:r>
        <w:rPr>
          <w:rFonts w:ascii="Times New Roman" w:hAnsi="Times New Roman"/>
        </w:rPr>
        <w:t>.</w:t>
      </w:r>
      <w:r w:rsidRPr="0006330A">
        <w:rPr>
          <w:rFonts w:ascii="Times New Roman" w:hAnsi="Times New Roman"/>
        </w:rPr>
        <w:t>10</w:t>
      </w:r>
      <w:r>
        <w:rPr>
          <w:rFonts w:ascii="Times New Roman" w:hAnsi="Times New Roman"/>
        </w:rPr>
        <w:t>.</w:t>
      </w:r>
      <w:r w:rsidRPr="0006330A">
        <w:rPr>
          <w:rFonts w:ascii="Times New Roman" w:hAnsi="Times New Roman"/>
        </w:rPr>
        <w:t>2013</w:t>
      </w:r>
      <w:r>
        <w:rPr>
          <w:rFonts w:ascii="Times New Roman" w:hAnsi="Times New Roman"/>
        </w:rPr>
        <w:t>, ELI: </w:t>
      </w:r>
      <w:hyperlink r:id="rId2" w:tooltip="Oferă acces la acest document prin identificatorul său uniform de resurse ELI." w:history="1">
        <w:r w:rsidRPr="0006330A">
          <w:rPr>
            <w:rStyle w:val="Hyperlink"/>
            <w:rFonts w:ascii="Times New Roman" w:hAnsi="Times New Roman"/>
          </w:rPr>
          <w:t>http://data.europa.eu/eli/reg/2013/1023/oj</w:t>
        </w:r>
      </w:hyperlink>
      <w:r>
        <w:rPr>
          <w:rFonts w:ascii="Times New Roman" w:hAnsi="Times New Roman"/>
        </w:rPr>
        <w:t>.</w:t>
      </w:r>
    </w:p>
  </w:footnote>
  <w:footnote w:id="4">
    <w:p w14:paraId="091888FD" w14:textId="32530C3D" w:rsidR="005042AF" w:rsidRPr="00E86A35" w:rsidRDefault="005042AF" w:rsidP="00D45CAD">
      <w:pPr>
        <w:pStyle w:val="FootnoteText"/>
        <w:jc w:val="both"/>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Articolul </w:t>
      </w:r>
      <w:r w:rsidRPr="0006330A">
        <w:rPr>
          <w:rFonts w:ascii="Times New Roman" w:hAnsi="Times New Roman"/>
        </w:rPr>
        <w:t>96</w:t>
      </w:r>
      <w:r>
        <w:rPr>
          <w:rFonts w:ascii="Times New Roman" w:hAnsi="Times New Roman"/>
        </w:rPr>
        <w:t xml:space="preserve"> din RAA, astfel cum a fost modificat prin Regulamentul nr. </w:t>
      </w:r>
      <w:r w:rsidRPr="0006330A">
        <w:rPr>
          <w:rFonts w:ascii="Times New Roman" w:hAnsi="Times New Roman"/>
        </w:rPr>
        <w:t>1023</w:t>
      </w:r>
      <w:r>
        <w:rPr>
          <w:rFonts w:ascii="Times New Roman" w:hAnsi="Times New Roman"/>
        </w:rPr>
        <w:t>/</w:t>
      </w:r>
      <w:r w:rsidRPr="0006330A">
        <w:rPr>
          <w:rFonts w:ascii="Times New Roman" w:hAnsi="Times New Roman"/>
        </w:rPr>
        <w:t>2013</w:t>
      </w:r>
      <w:r>
        <w:rPr>
          <w:rFonts w:ascii="Times New Roman" w:hAnsi="Times New Roman"/>
        </w:rPr>
        <w:t xml:space="preserve"> al Parlamentului European și al Consiliului din </w:t>
      </w:r>
      <w:r w:rsidRPr="0006330A">
        <w:rPr>
          <w:rFonts w:ascii="Times New Roman" w:hAnsi="Times New Roman"/>
        </w:rPr>
        <w:t>22</w:t>
      </w:r>
      <w:r>
        <w:rPr>
          <w:rFonts w:ascii="Times New Roman" w:hAnsi="Times New Roman"/>
        </w:rPr>
        <w:t xml:space="preserve"> octombrie </w:t>
      </w:r>
      <w:r w:rsidRPr="0006330A">
        <w:rPr>
          <w:rFonts w:ascii="Times New Roman" w:hAnsi="Times New Roman"/>
        </w:rPr>
        <w:t>2013</w:t>
      </w:r>
      <w:r>
        <w:rPr>
          <w:rFonts w:ascii="Times New Roman" w:hAnsi="Times New Roman"/>
        </w:rPr>
        <w:t xml:space="preserve">, JO L </w:t>
      </w:r>
      <w:r w:rsidRPr="0006330A">
        <w:rPr>
          <w:rFonts w:ascii="Times New Roman" w:hAnsi="Times New Roman"/>
        </w:rPr>
        <w:t>287</w:t>
      </w:r>
      <w:r>
        <w:rPr>
          <w:rFonts w:ascii="Times New Roman" w:hAnsi="Times New Roman"/>
        </w:rPr>
        <w:t xml:space="preserve">, </w:t>
      </w:r>
      <w:r w:rsidRPr="0006330A">
        <w:rPr>
          <w:rFonts w:ascii="Times New Roman" w:hAnsi="Times New Roman"/>
        </w:rPr>
        <w:t>29</w:t>
      </w:r>
      <w:r>
        <w:rPr>
          <w:rFonts w:ascii="Times New Roman" w:hAnsi="Times New Roman"/>
        </w:rPr>
        <w:t>.</w:t>
      </w:r>
      <w:r w:rsidRPr="0006330A">
        <w:rPr>
          <w:rFonts w:ascii="Times New Roman" w:hAnsi="Times New Roman"/>
        </w:rPr>
        <w:t>10</w:t>
      </w:r>
      <w:r>
        <w:rPr>
          <w:rFonts w:ascii="Times New Roman" w:hAnsi="Times New Roman"/>
        </w:rPr>
        <w:t>.</w:t>
      </w:r>
      <w:r w:rsidRPr="0006330A">
        <w:rPr>
          <w:rFonts w:ascii="Times New Roman" w:hAnsi="Times New Roman"/>
        </w:rPr>
        <w:t>2013</w:t>
      </w:r>
      <w:r>
        <w:rPr>
          <w:rFonts w:ascii="Times New Roman" w:hAnsi="Times New Roman"/>
        </w:rPr>
        <w:t>, ELI: </w:t>
      </w:r>
      <w:hyperlink r:id="rId3" w:tooltip="Oferă acces la acest document prin identificatorul său uniform de resurse ELI." w:history="1">
        <w:r w:rsidRPr="0006330A">
          <w:rPr>
            <w:rStyle w:val="Hyperlink"/>
            <w:rFonts w:ascii="Times New Roman" w:hAnsi="Times New Roman"/>
          </w:rPr>
          <w:t>http://data.europa.eu/eli/reg/2013/1023/oj</w:t>
        </w:r>
      </w:hyperlink>
      <w:r>
        <w:rPr>
          <w:rFonts w:ascii="Times New Roman" w:hAnsi="Times New Roman"/>
        </w:rPr>
        <w:t>.</w:t>
      </w:r>
    </w:p>
  </w:footnote>
  <w:footnote w:id="5">
    <w:p w14:paraId="449F3325" w14:textId="65A39A33" w:rsidR="005042AF" w:rsidRPr="00EC46E0" w:rsidRDefault="005042AF" w:rsidP="00D45CAD">
      <w:pPr>
        <w:pStyle w:val="FootnoteText"/>
        <w:jc w:val="both"/>
        <w:rPr>
          <w:rFonts w:eastAsia="Calibri"/>
        </w:rPr>
      </w:pPr>
      <w:r>
        <w:rPr>
          <w:rStyle w:val="FootnoteReference"/>
          <w:rFonts w:ascii="Times New Roman" w:hAnsi="Times New Roman" w:cs="Times New Roman"/>
        </w:rPr>
        <w:footnoteRef/>
      </w:r>
      <w:r>
        <w:rPr>
          <w:rFonts w:ascii="Times New Roman" w:hAnsi="Times New Roman"/>
        </w:rPr>
        <w:t>Regulamentul (CE) nr. </w:t>
      </w:r>
      <w:r w:rsidRPr="0006330A">
        <w:rPr>
          <w:rFonts w:ascii="Times New Roman" w:hAnsi="Times New Roman"/>
        </w:rPr>
        <w:t>780</w:t>
      </w:r>
      <w:r>
        <w:rPr>
          <w:rFonts w:ascii="Times New Roman" w:hAnsi="Times New Roman"/>
        </w:rPr>
        <w:t>/</w:t>
      </w:r>
      <w:r w:rsidRPr="0006330A">
        <w:rPr>
          <w:rFonts w:ascii="Times New Roman" w:hAnsi="Times New Roman"/>
        </w:rPr>
        <w:t>2009</w:t>
      </w:r>
      <w:r>
        <w:rPr>
          <w:rFonts w:ascii="Times New Roman" w:hAnsi="Times New Roman"/>
        </w:rPr>
        <w:t xml:space="preserve"> al Comisiei din </w:t>
      </w:r>
      <w:r w:rsidRPr="0006330A">
        <w:rPr>
          <w:rFonts w:ascii="Times New Roman" w:hAnsi="Times New Roman"/>
        </w:rPr>
        <w:t>27</w:t>
      </w:r>
      <w:r>
        <w:rPr>
          <w:rFonts w:ascii="Times New Roman" w:hAnsi="Times New Roman"/>
        </w:rPr>
        <w:t xml:space="preserve"> august </w:t>
      </w:r>
      <w:r w:rsidRPr="0006330A">
        <w:rPr>
          <w:rFonts w:ascii="Times New Roman" w:hAnsi="Times New Roman"/>
        </w:rPr>
        <w:t>2009</w:t>
      </w:r>
      <w:r>
        <w:rPr>
          <w:rFonts w:ascii="Times New Roman" w:hAnsi="Times New Roman"/>
        </w:rPr>
        <w:t xml:space="preserve"> de stabilire a dispozițiilor de punere în aplicare a articolului </w:t>
      </w:r>
      <w:r w:rsidRPr="0006330A">
        <w:rPr>
          <w:rFonts w:ascii="Times New Roman" w:hAnsi="Times New Roman"/>
        </w:rPr>
        <w:t>28</w:t>
      </w:r>
      <w:r>
        <w:rPr>
          <w:rFonts w:ascii="Times New Roman" w:hAnsi="Times New Roman"/>
        </w:rPr>
        <w:t>a alineatul (</w:t>
      </w:r>
      <w:r w:rsidRPr="0006330A">
        <w:rPr>
          <w:rFonts w:ascii="Times New Roman" w:hAnsi="Times New Roman"/>
        </w:rPr>
        <w:t>2</w:t>
      </w:r>
      <w:r>
        <w:rPr>
          <w:rFonts w:ascii="Times New Roman" w:hAnsi="Times New Roman"/>
        </w:rPr>
        <w:t xml:space="preserve">) al treilea paragraf și a articolului </w:t>
      </w:r>
      <w:r w:rsidRPr="0006330A">
        <w:rPr>
          <w:rFonts w:ascii="Times New Roman" w:hAnsi="Times New Roman"/>
        </w:rPr>
        <w:t>96</w:t>
      </w:r>
      <w:r>
        <w:rPr>
          <w:rFonts w:ascii="Times New Roman" w:hAnsi="Times New Roman"/>
        </w:rPr>
        <w:t xml:space="preserve"> alineatul (</w:t>
      </w:r>
      <w:r w:rsidRPr="0006330A">
        <w:rPr>
          <w:rFonts w:ascii="Times New Roman" w:hAnsi="Times New Roman"/>
        </w:rPr>
        <w:t>2</w:t>
      </w:r>
      <w:r>
        <w:rPr>
          <w:rFonts w:ascii="Times New Roman" w:hAnsi="Times New Roman"/>
        </w:rPr>
        <w:t xml:space="preserve">) al treilea paragraf din Regimul aplicabil celorlalți agenți ai Comunităților Europene (RAA), JO L </w:t>
      </w:r>
      <w:r w:rsidRPr="0006330A">
        <w:rPr>
          <w:rFonts w:ascii="Times New Roman" w:hAnsi="Times New Roman"/>
        </w:rPr>
        <w:t>226</w:t>
      </w:r>
      <w:r>
        <w:rPr>
          <w:rFonts w:ascii="Times New Roman" w:hAnsi="Times New Roman"/>
        </w:rPr>
        <w:t xml:space="preserve">, </w:t>
      </w:r>
      <w:r w:rsidRPr="0006330A">
        <w:rPr>
          <w:rFonts w:ascii="Times New Roman" w:hAnsi="Times New Roman"/>
        </w:rPr>
        <w:t>28</w:t>
      </w:r>
      <w:r>
        <w:rPr>
          <w:rFonts w:ascii="Times New Roman" w:hAnsi="Times New Roman"/>
        </w:rPr>
        <w:t>.</w:t>
      </w:r>
      <w:r w:rsidRPr="0006330A">
        <w:rPr>
          <w:rFonts w:ascii="Times New Roman" w:hAnsi="Times New Roman"/>
        </w:rPr>
        <w:t>8</w:t>
      </w:r>
      <w:r>
        <w:rPr>
          <w:rFonts w:ascii="Times New Roman" w:hAnsi="Times New Roman"/>
        </w:rPr>
        <w:t>.</w:t>
      </w:r>
      <w:r w:rsidRPr="0006330A">
        <w:rPr>
          <w:rFonts w:ascii="Times New Roman" w:hAnsi="Times New Roman"/>
        </w:rPr>
        <w:t>2009</w:t>
      </w:r>
      <w:r>
        <w:rPr>
          <w:rFonts w:ascii="Times New Roman" w:hAnsi="Times New Roman"/>
        </w:rPr>
        <w:t>, ELI: </w:t>
      </w:r>
      <w:hyperlink r:id="rId4" w:tooltip="Oferă acces la acest document prin identificatorul său uniform de resurse ELI." w:history="1">
        <w:r w:rsidRPr="0006330A">
          <w:rPr>
            <w:rStyle w:val="Hyperlink"/>
            <w:rFonts w:ascii="Times New Roman" w:hAnsi="Times New Roman"/>
          </w:rPr>
          <w:t>http://data.europa.eu/eli/reg/2009/780/oj</w:t>
        </w:r>
      </w:hyperlink>
      <w:r>
        <w:rPr>
          <w:rFonts w:ascii="Times New Roman" w:hAnsi="Times New Roman"/>
        </w:rPr>
        <w:t>.</w:t>
      </w:r>
    </w:p>
  </w:footnote>
  <w:footnote w:id="6">
    <w:p w14:paraId="77F40CEE" w14:textId="46DC8570" w:rsidR="005042AF" w:rsidRPr="00E86A35" w:rsidRDefault="005042AF" w:rsidP="00D45CA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Reglementarea Comisiei din </w:t>
      </w:r>
      <w:r w:rsidRPr="0006330A">
        <w:rPr>
          <w:rFonts w:ascii="Times New Roman" w:hAnsi="Times New Roman"/>
        </w:rPr>
        <w:t>14</w:t>
      </w:r>
      <w:r>
        <w:rPr>
          <w:rFonts w:ascii="Times New Roman" w:hAnsi="Times New Roman"/>
        </w:rPr>
        <w:t xml:space="preserve"> iulie </w:t>
      </w:r>
      <w:r w:rsidRPr="0006330A">
        <w:rPr>
          <w:rFonts w:ascii="Times New Roman" w:hAnsi="Times New Roman"/>
        </w:rPr>
        <w:t>1988</w:t>
      </w:r>
      <w:r>
        <w:rPr>
          <w:rFonts w:ascii="Times New Roman" w:hAnsi="Times New Roman"/>
        </w:rPr>
        <w:t xml:space="preserve">, după constatarea de către președintele Curții de Justiție a Uniunii Europene, la </w:t>
      </w:r>
      <w:r w:rsidRPr="0006330A">
        <w:rPr>
          <w:rFonts w:ascii="Times New Roman" w:hAnsi="Times New Roman"/>
        </w:rPr>
        <w:t>4</w:t>
      </w:r>
      <w:r>
        <w:rPr>
          <w:rFonts w:ascii="Times New Roman" w:hAnsi="Times New Roman"/>
        </w:rPr>
        <w:t xml:space="preserve"> iulie </w:t>
      </w:r>
      <w:r w:rsidRPr="0006330A">
        <w:rPr>
          <w:rFonts w:ascii="Times New Roman" w:hAnsi="Times New Roman"/>
        </w:rPr>
        <w:t>1989</w:t>
      </w:r>
      <w:r>
        <w:rPr>
          <w:rFonts w:ascii="Times New Roman" w:hAnsi="Times New Roman"/>
        </w:rPr>
        <w:t xml:space="preserve">, a acordului comun de stabilire a modalităților detaliate de aplicare a dispozițiilor privind acordarea indemnizației de șomaj agenților temporari, conform articolului </w:t>
      </w:r>
      <w:r w:rsidRPr="0006330A">
        <w:rPr>
          <w:rFonts w:ascii="Times New Roman" w:hAnsi="Times New Roman"/>
        </w:rPr>
        <w:t>28</w:t>
      </w:r>
      <w:r>
        <w:rPr>
          <w:rFonts w:ascii="Times New Roman" w:hAnsi="Times New Roman"/>
        </w:rPr>
        <w:t>a alineatul (</w:t>
      </w:r>
      <w:r w:rsidRPr="0006330A">
        <w:rPr>
          <w:rFonts w:ascii="Times New Roman" w:hAnsi="Times New Roman"/>
        </w:rPr>
        <w:t>10</w:t>
      </w:r>
      <w:r>
        <w:rPr>
          <w:rFonts w:ascii="Times New Roman" w:hAnsi="Times New Roman"/>
        </w:rPr>
        <w:t>) din Regimul aplicabil celorlalți agenți ai Uniunii Europene.</w:t>
      </w:r>
    </w:p>
  </w:footnote>
  <w:footnote w:id="7">
    <w:p w14:paraId="10DE8878" w14:textId="2B83D372" w:rsidR="00036473" w:rsidRPr="00E86A35" w:rsidRDefault="00036473" w:rsidP="0003647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Reforma Statutului funcționarilor și a RAA, care a intrat în vigoare la </w:t>
      </w:r>
      <w:r w:rsidRPr="0006330A">
        <w:rPr>
          <w:rFonts w:ascii="Times New Roman" w:hAnsi="Times New Roman"/>
        </w:rPr>
        <w:t>1</w:t>
      </w:r>
      <w:r>
        <w:rPr>
          <w:rFonts w:ascii="Times New Roman" w:hAnsi="Times New Roman"/>
        </w:rPr>
        <w:t xml:space="preserve"> mai </w:t>
      </w:r>
      <w:r w:rsidRPr="0006330A">
        <w:rPr>
          <w:rFonts w:ascii="Times New Roman" w:hAnsi="Times New Roman"/>
        </w:rPr>
        <w:t>2004</w:t>
      </w:r>
      <w:r>
        <w:rPr>
          <w:rFonts w:ascii="Times New Roman" w:hAnsi="Times New Roman"/>
        </w:rPr>
        <w:t xml:space="preserve">, a modificat temeiul juridic care reglementa eligibilitatea pentru a beneficia de sistemul de asigurări de șomaj, precum și normele privind contribuția la acest fond, aplicabile încă din </w:t>
      </w:r>
      <w:r w:rsidRPr="0006330A">
        <w:rPr>
          <w:rFonts w:ascii="Times New Roman" w:hAnsi="Times New Roman"/>
        </w:rPr>
        <w:t>1985</w:t>
      </w:r>
      <w:r>
        <w:rPr>
          <w:rFonts w:ascii="Times New Roman" w:hAnsi="Times New Roman"/>
        </w:rPr>
        <w:t xml:space="preserve">. O nouă reformă, care a intrat în vigoare în ianuarie </w:t>
      </w:r>
      <w:r w:rsidRPr="0006330A">
        <w:rPr>
          <w:rFonts w:ascii="Times New Roman" w:hAnsi="Times New Roman"/>
        </w:rPr>
        <w:t>2014</w:t>
      </w:r>
      <w:r>
        <w:rPr>
          <w:rFonts w:ascii="Times New Roman" w:hAnsi="Times New Roman"/>
        </w:rPr>
        <w:t>, a prelungit durata maximă a contractelor agenților contractuali.</w:t>
      </w:r>
    </w:p>
  </w:footnote>
  <w:footnote w:id="8">
    <w:p w14:paraId="1EC170A4" w14:textId="7962EC49" w:rsidR="004C3532" w:rsidRPr="00E86A35" w:rsidRDefault="004C3532" w:rsidP="00545A4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Raport al Comisiei către Parlamentul European și Consiliu – Raportul </w:t>
      </w:r>
      <w:r w:rsidRPr="0006330A">
        <w:rPr>
          <w:rFonts w:ascii="Times New Roman" w:hAnsi="Times New Roman"/>
        </w:rPr>
        <w:t>2017</w:t>
      </w:r>
      <w:r>
        <w:rPr>
          <w:rFonts w:ascii="Times New Roman" w:hAnsi="Times New Roman"/>
        </w:rPr>
        <w:t>-</w:t>
      </w:r>
      <w:r w:rsidRPr="0006330A">
        <w:rPr>
          <w:rFonts w:ascii="Times New Roman" w:hAnsi="Times New Roman"/>
        </w:rPr>
        <w:t>2022</w:t>
      </w:r>
      <w:r>
        <w:rPr>
          <w:rFonts w:ascii="Times New Roman" w:hAnsi="Times New Roman"/>
        </w:rPr>
        <w:t xml:space="preserve"> privind situația financiară a sistemului de asigurări de șomaj în beneficiul foștilor agenți temporari sau contractuali și al asistenților parlamentari care rămân fără loc de muncă după încetarea activității lor în cadrul unei instituții a Uniunii Europene [COM(</w:t>
      </w:r>
      <w:r w:rsidRPr="0006330A">
        <w:rPr>
          <w:rFonts w:ascii="Times New Roman" w:hAnsi="Times New Roman"/>
        </w:rPr>
        <w:t>2024</w:t>
      </w:r>
      <w:r>
        <w:rPr>
          <w:rFonts w:ascii="Times New Roman" w:hAnsi="Times New Roman"/>
        </w:rPr>
        <w:t xml:space="preserve">) </w:t>
      </w:r>
      <w:r w:rsidRPr="0006330A">
        <w:rPr>
          <w:rFonts w:ascii="Times New Roman" w:hAnsi="Times New Roman"/>
        </w:rPr>
        <w:t>54</w:t>
      </w:r>
      <w:r>
        <w:rPr>
          <w:rFonts w:ascii="Times New Roman" w:hAnsi="Times New Roman"/>
        </w:rPr>
        <w:t xml:space="preserve"> din </w:t>
      </w:r>
      <w:r w:rsidRPr="0006330A">
        <w:rPr>
          <w:rFonts w:ascii="Times New Roman" w:hAnsi="Times New Roman"/>
        </w:rPr>
        <w:t>6</w:t>
      </w:r>
      <w:r>
        <w:rPr>
          <w:rFonts w:ascii="Times New Roman" w:hAnsi="Times New Roman"/>
        </w:rPr>
        <w:t xml:space="preserve"> februarie </w:t>
      </w:r>
      <w:r w:rsidRPr="0006330A">
        <w:rPr>
          <w:rFonts w:ascii="Times New Roman" w:hAnsi="Times New Roman"/>
        </w:rPr>
        <w:t>2024</w:t>
      </w:r>
      <w:r>
        <w:rPr>
          <w:rFonts w:ascii="Times New Roman" w:hAnsi="Times New Roman"/>
        </w:rPr>
        <w:t>].</w:t>
      </w:r>
    </w:p>
  </w:footnote>
  <w:footnote w:id="9">
    <w:p w14:paraId="23BAE9AE" w14:textId="1753DFB4" w:rsidR="00DA61D3" w:rsidRPr="00E86A35" w:rsidRDefault="00DA61D3" w:rsidP="000911EF">
      <w:pPr>
        <w:pStyle w:val="FootnoteText"/>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Regulamentul delegat (UE) </w:t>
      </w:r>
      <w:r w:rsidRPr="0006330A">
        <w:rPr>
          <w:rFonts w:ascii="Times New Roman" w:hAnsi="Times New Roman"/>
        </w:rPr>
        <w:t>2025</w:t>
      </w:r>
      <w:r>
        <w:rPr>
          <w:rFonts w:ascii="Times New Roman" w:hAnsi="Times New Roman"/>
        </w:rPr>
        <w:t>/</w:t>
      </w:r>
      <w:r w:rsidRPr="0006330A">
        <w:rPr>
          <w:rFonts w:ascii="Times New Roman" w:hAnsi="Times New Roman"/>
        </w:rPr>
        <w:t>101</w:t>
      </w:r>
      <w:r>
        <w:rPr>
          <w:rFonts w:ascii="Times New Roman" w:hAnsi="Times New Roman"/>
        </w:rPr>
        <w:t xml:space="preserve"> al Comisiei din </w:t>
      </w:r>
      <w:r w:rsidRPr="0006330A">
        <w:rPr>
          <w:rFonts w:ascii="Times New Roman" w:hAnsi="Times New Roman"/>
        </w:rPr>
        <w:t>27</w:t>
      </w:r>
      <w:r>
        <w:rPr>
          <w:rFonts w:ascii="Times New Roman" w:hAnsi="Times New Roman"/>
        </w:rPr>
        <w:t xml:space="preserve"> noiembrie </w:t>
      </w:r>
      <w:r w:rsidRPr="0006330A">
        <w:rPr>
          <w:rFonts w:ascii="Times New Roman" w:hAnsi="Times New Roman"/>
        </w:rPr>
        <w:t>2024</w:t>
      </w:r>
      <w:r>
        <w:rPr>
          <w:rFonts w:ascii="Times New Roman" w:hAnsi="Times New Roman"/>
        </w:rPr>
        <w:t xml:space="preserve"> de ajustare a contribuțiilor pentru finanțarea Fondului special de șomaj prevăzute la articolele </w:t>
      </w:r>
      <w:r w:rsidRPr="0006330A">
        <w:rPr>
          <w:rFonts w:ascii="Times New Roman" w:hAnsi="Times New Roman"/>
        </w:rPr>
        <w:t>28</w:t>
      </w:r>
      <w:r>
        <w:rPr>
          <w:rFonts w:ascii="Times New Roman" w:hAnsi="Times New Roman"/>
        </w:rPr>
        <w:t>a și </w:t>
      </w:r>
      <w:r w:rsidRPr="0006330A">
        <w:rPr>
          <w:rFonts w:ascii="Times New Roman" w:hAnsi="Times New Roman"/>
        </w:rPr>
        <w:t>96</w:t>
      </w:r>
      <w:r>
        <w:rPr>
          <w:rFonts w:ascii="Times New Roman" w:hAnsi="Times New Roman"/>
        </w:rPr>
        <w:t xml:space="preserve"> din Regimul aplicabil celorlalți agenți, JO</w:t>
      </w:r>
      <w:r w:rsidR="0006330A">
        <w:rPr>
          <w:rFonts w:ascii="Times New Roman" w:hAnsi="Times New Roman"/>
        </w:rPr>
        <w:t> </w:t>
      </w:r>
      <w:r>
        <w:rPr>
          <w:rFonts w:ascii="Times New Roman" w:hAnsi="Times New Roman"/>
        </w:rPr>
        <w:t xml:space="preserve">L, </w:t>
      </w:r>
      <w:r w:rsidRPr="0006330A">
        <w:rPr>
          <w:rFonts w:ascii="Times New Roman" w:hAnsi="Times New Roman"/>
        </w:rPr>
        <w:t>2025</w:t>
      </w:r>
      <w:r>
        <w:rPr>
          <w:rFonts w:ascii="Times New Roman" w:hAnsi="Times New Roman"/>
        </w:rPr>
        <w:t>/</w:t>
      </w:r>
      <w:r w:rsidRPr="0006330A">
        <w:rPr>
          <w:rFonts w:ascii="Times New Roman" w:hAnsi="Times New Roman"/>
        </w:rPr>
        <w:t>101</w:t>
      </w:r>
      <w:r>
        <w:rPr>
          <w:rFonts w:ascii="Times New Roman" w:hAnsi="Times New Roman"/>
        </w:rPr>
        <w:t xml:space="preserve">, </w:t>
      </w:r>
      <w:r w:rsidRPr="0006330A">
        <w:rPr>
          <w:rFonts w:ascii="Times New Roman" w:hAnsi="Times New Roman"/>
        </w:rPr>
        <w:t>31</w:t>
      </w:r>
      <w:r>
        <w:rPr>
          <w:rFonts w:ascii="Times New Roman" w:hAnsi="Times New Roman"/>
        </w:rPr>
        <w:t>.</w:t>
      </w:r>
      <w:r w:rsidRPr="0006330A">
        <w:rPr>
          <w:rFonts w:ascii="Times New Roman" w:hAnsi="Times New Roman"/>
        </w:rPr>
        <w:t>1</w:t>
      </w:r>
      <w:r>
        <w:rPr>
          <w:rFonts w:ascii="Times New Roman" w:hAnsi="Times New Roman"/>
        </w:rPr>
        <w:t>.</w:t>
      </w:r>
      <w:r w:rsidRPr="0006330A">
        <w:rPr>
          <w:rFonts w:ascii="Times New Roman" w:hAnsi="Times New Roman"/>
        </w:rPr>
        <w:t>2025</w:t>
      </w:r>
      <w:r>
        <w:rPr>
          <w:rFonts w:ascii="Times New Roman" w:hAnsi="Times New Roman"/>
        </w:rPr>
        <w:t>, ELI: </w:t>
      </w:r>
      <w:hyperlink r:id="rId5" w:tgtFrame="_blank" w:tooltip="Oferă acces la acest document prin identificatorul său uniform de resurse ELI." w:history="1">
        <w:r w:rsidRPr="0006330A">
          <w:rPr>
            <w:rStyle w:val="Hyperlink"/>
            <w:rFonts w:ascii="Times New Roman" w:hAnsi="Times New Roman"/>
          </w:rPr>
          <w:t>http://data.europa.eu/eli/reg_del/2025/101/oj</w:t>
        </w:r>
      </w:hyperlink>
      <w:r>
        <w:rPr>
          <w:rFonts w:ascii="Times New Roman" w:hAnsi="Times New Roman"/>
        </w:rPr>
        <w:t>.</w:t>
      </w:r>
    </w:p>
  </w:footnote>
  <w:footnote w:id="10">
    <w:p w14:paraId="60F8DFCC" w14:textId="09140CB7" w:rsidR="001363FB" w:rsidRPr="00E86A35" w:rsidRDefault="001363FB" w:rsidP="001363FB">
      <w:pPr>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Cu titlu informativ, contribuțiile JSIS s-au ridicat în </w:t>
      </w:r>
      <w:r w:rsidRPr="0006330A">
        <w:rPr>
          <w:rFonts w:ascii="Times New Roman" w:hAnsi="Times New Roman"/>
          <w:sz w:val="20"/>
        </w:rPr>
        <w:t>2021</w:t>
      </w:r>
      <w:r>
        <w:rPr>
          <w:rFonts w:ascii="Times New Roman" w:hAnsi="Times New Roman"/>
          <w:sz w:val="20"/>
        </w:rPr>
        <w:t xml:space="preserve"> la </w:t>
      </w:r>
      <w:r w:rsidRPr="0006330A">
        <w:rPr>
          <w:rFonts w:ascii="Times New Roman" w:hAnsi="Times New Roman"/>
          <w:sz w:val="20"/>
        </w:rPr>
        <w:t>1</w:t>
      </w:r>
      <w:r>
        <w:rPr>
          <w:rFonts w:ascii="Times New Roman" w:hAnsi="Times New Roman"/>
          <w:sz w:val="20"/>
        </w:rPr>
        <w:t> </w:t>
      </w:r>
      <w:r w:rsidRPr="0006330A">
        <w:rPr>
          <w:rFonts w:ascii="Times New Roman" w:hAnsi="Times New Roman"/>
          <w:sz w:val="20"/>
        </w:rPr>
        <w:t>636</w:t>
      </w:r>
      <w:r>
        <w:rPr>
          <w:rFonts w:ascii="Times New Roman" w:hAnsi="Times New Roman"/>
          <w:sz w:val="20"/>
        </w:rPr>
        <w:t> </w:t>
      </w:r>
      <w:r w:rsidRPr="0006330A">
        <w:rPr>
          <w:rFonts w:ascii="Times New Roman" w:hAnsi="Times New Roman"/>
          <w:sz w:val="20"/>
        </w:rPr>
        <w:t>067</w:t>
      </w:r>
      <w:r>
        <w:rPr>
          <w:rFonts w:ascii="Times New Roman" w:hAnsi="Times New Roman"/>
          <w:sz w:val="20"/>
        </w:rPr>
        <w:t>,</w:t>
      </w:r>
      <w:r w:rsidRPr="0006330A">
        <w:rPr>
          <w:rFonts w:ascii="Times New Roman" w:hAnsi="Times New Roman"/>
          <w:sz w:val="20"/>
        </w:rPr>
        <w:t>14</w:t>
      </w:r>
      <w:r>
        <w:rPr>
          <w:rFonts w:ascii="Times New Roman" w:hAnsi="Times New Roman"/>
          <w:sz w:val="20"/>
        </w:rPr>
        <w:t xml:space="preserve"> EUR, iar în </w:t>
      </w:r>
      <w:r w:rsidRPr="0006330A">
        <w:rPr>
          <w:rFonts w:ascii="Times New Roman" w:hAnsi="Times New Roman"/>
          <w:sz w:val="20"/>
        </w:rPr>
        <w:t>2022</w:t>
      </w:r>
      <w:r>
        <w:rPr>
          <w:rFonts w:ascii="Times New Roman" w:hAnsi="Times New Roman"/>
          <w:sz w:val="20"/>
        </w:rPr>
        <w:t xml:space="preserve"> la </w:t>
      </w:r>
      <w:r w:rsidRPr="0006330A">
        <w:rPr>
          <w:rFonts w:ascii="Times New Roman" w:hAnsi="Times New Roman"/>
          <w:sz w:val="20"/>
        </w:rPr>
        <w:t>1</w:t>
      </w:r>
      <w:r>
        <w:rPr>
          <w:rFonts w:ascii="Times New Roman" w:hAnsi="Times New Roman"/>
          <w:sz w:val="20"/>
        </w:rPr>
        <w:t> </w:t>
      </w:r>
      <w:r w:rsidRPr="0006330A">
        <w:rPr>
          <w:rFonts w:ascii="Times New Roman" w:hAnsi="Times New Roman"/>
          <w:sz w:val="20"/>
        </w:rPr>
        <w:t>209</w:t>
      </w:r>
      <w:r>
        <w:rPr>
          <w:rFonts w:ascii="Times New Roman" w:hAnsi="Times New Roman"/>
          <w:sz w:val="20"/>
        </w:rPr>
        <w:t> </w:t>
      </w:r>
      <w:r w:rsidRPr="0006330A">
        <w:rPr>
          <w:rFonts w:ascii="Times New Roman" w:hAnsi="Times New Roman"/>
          <w:sz w:val="20"/>
        </w:rPr>
        <w:t>776</w:t>
      </w:r>
      <w:r>
        <w:rPr>
          <w:rFonts w:ascii="Times New Roman" w:hAnsi="Times New Roman"/>
          <w:sz w:val="20"/>
        </w:rPr>
        <w:t>,</w:t>
      </w:r>
      <w:r w:rsidRPr="0006330A">
        <w:rPr>
          <w:rFonts w:ascii="Times New Roman" w:hAnsi="Times New Roman"/>
          <w:sz w:val="20"/>
        </w:rPr>
        <w:t>99</w:t>
      </w:r>
      <w:r>
        <w:rPr>
          <w:rFonts w:ascii="Times New Roman" w:hAnsi="Times New Roman"/>
          <w:sz w:val="20"/>
        </w:rPr>
        <w:t xml:space="preserve"> EUR, cifre deja incluse în linia bugetară aferentă indemnizației de șomaj. Datele nu mai sunt prezentate separat pentru ultimii doi ani, deoarece, în prezent, aceste contribuții sunt plătite în același timp cu celelalte componente ale indemnizației de șomaj (peste </w:t>
      </w:r>
      <w:r w:rsidRPr="0006330A">
        <w:rPr>
          <w:rFonts w:ascii="Times New Roman" w:hAnsi="Times New Roman"/>
          <w:sz w:val="20"/>
        </w:rPr>
        <w:t>15</w:t>
      </w:r>
      <w:r>
        <w:rPr>
          <w:rFonts w:ascii="Times New Roman" w:hAnsi="Times New Roman"/>
          <w:sz w:val="20"/>
        </w:rPr>
        <w:t>) și nu constituie un element separat, plătit printr-o procedură manuală.</w:t>
      </w:r>
    </w:p>
    <w:p w14:paraId="46AE7923" w14:textId="77777777" w:rsidR="001363FB" w:rsidRPr="00E86A35" w:rsidRDefault="001363FB" w:rsidP="001363FB">
      <w:pPr>
        <w:pStyle w:val="FootnoteText"/>
        <w:rPr>
          <w:rFonts w:ascii="Times New Roman" w:hAnsi="Times New Roman" w:cs="Times New Roman"/>
        </w:rPr>
      </w:pPr>
    </w:p>
  </w:footnote>
  <w:footnote w:id="11">
    <w:p w14:paraId="5551AEE6" w14:textId="265E2176" w:rsidR="007E7064" w:rsidRPr="00E86A35" w:rsidRDefault="007E7064" w:rsidP="00651A4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Articolul </w:t>
      </w:r>
      <w:r w:rsidRPr="0006330A">
        <w:rPr>
          <w:rFonts w:ascii="Times New Roman" w:hAnsi="Times New Roman"/>
        </w:rPr>
        <w:t>127</w:t>
      </w:r>
      <w:r>
        <w:rPr>
          <w:rFonts w:ascii="Times New Roman" w:hAnsi="Times New Roman"/>
        </w:rPr>
        <w:t xml:space="preserve"> alineatul (</w:t>
      </w:r>
      <w:r w:rsidRPr="0006330A">
        <w:rPr>
          <w:rFonts w:ascii="Times New Roman" w:hAnsi="Times New Roman"/>
        </w:rPr>
        <w:t>6</w:t>
      </w:r>
      <w:r>
        <w:rPr>
          <w:rFonts w:ascii="Times New Roman" w:hAnsi="Times New Roman"/>
        </w:rPr>
        <w:t xml:space="preserve">) din Acordul privind retragerea Regatului Unit al Marii Britanii și Irlandei de Nord din Uniunea Europeană și din Comunitatea Europeană a Energiei Atomice, JO L </w:t>
      </w:r>
      <w:r w:rsidRPr="0006330A">
        <w:rPr>
          <w:rFonts w:ascii="Times New Roman" w:hAnsi="Times New Roman"/>
        </w:rPr>
        <w:t>29</w:t>
      </w:r>
      <w:r>
        <w:rPr>
          <w:rFonts w:ascii="Times New Roman" w:hAnsi="Times New Roman"/>
        </w:rPr>
        <w:t xml:space="preserve">, </w:t>
      </w:r>
      <w:r w:rsidRPr="0006330A">
        <w:rPr>
          <w:rFonts w:ascii="Times New Roman" w:hAnsi="Times New Roman"/>
        </w:rPr>
        <w:t>31</w:t>
      </w:r>
      <w:r>
        <w:rPr>
          <w:rFonts w:ascii="Times New Roman" w:hAnsi="Times New Roman"/>
        </w:rPr>
        <w:t>.</w:t>
      </w:r>
      <w:r w:rsidRPr="0006330A">
        <w:rPr>
          <w:rFonts w:ascii="Times New Roman" w:hAnsi="Times New Roman"/>
        </w:rPr>
        <w:t>1</w:t>
      </w:r>
      <w:r>
        <w:rPr>
          <w:rFonts w:ascii="Times New Roman" w:hAnsi="Times New Roman"/>
        </w:rPr>
        <w:t>.</w:t>
      </w:r>
      <w:r w:rsidRPr="0006330A">
        <w:rPr>
          <w:rFonts w:ascii="Times New Roman" w:hAnsi="Times New Roman"/>
        </w:rPr>
        <w:t>2020</w:t>
      </w:r>
      <w:r>
        <w:rPr>
          <w:rFonts w:ascii="Times New Roman" w:hAnsi="Times New Roman"/>
        </w:rPr>
        <w:t>, p. </w:t>
      </w:r>
      <w:r w:rsidRPr="0006330A">
        <w:rPr>
          <w:rFonts w:ascii="Times New Roman" w:hAnsi="Times New Roman"/>
        </w:rPr>
        <w:t>7</w:t>
      </w:r>
      <w:r>
        <w:rPr>
          <w:rFonts w:ascii="Times New Roman" w:hAnsi="Times New Roman"/>
        </w:rPr>
        <w:t>, ELI: </w:t>
      </w:r>
      <w:hyperlink r:id="rId6" w:tooltip="Oferă acces la acest document prin identificatorul său uniform de resurse ELI." w:history="1">
        <w:r w:rsidRPr="0006330A">
          <w:rPr>
            <w:rStyle w:val="Hyperlink"/>
            <w:rFonts w:ascii="Times New Roman" w:hAnsi="Times New Roman"/>
          </w:rPr>
          <w:t>http://data.europa.eu/eli/treaty/withd_2020/sign</w:t>
        </w:r>
      </w:hyperlink>
      <w:r>
        <w:rPr>
          <w:rFonts w:ascii="Times New Roman" w:hAnsi="Times New Roman"/>
        </w:rPr>
        <w:t>.</w:t>
      </w:r>
    </w:p>
  </w:footnote>
  <w:footnote w:id="12">
    <w:p w14:paraId="31C96792" w14:textId="6767F8C4" w:rsidR="00334A0F" w:rsidRPr="00E86A35" w:rsidRDefault="00334A0F" w:rsidP="00651A4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Acordul privind retragerea Regatului Unit al Marii Britanii și Irlandei de Nord din Uniunea Europeană și din Comunitatea Europeană a Energiei Atomice, JO L </w:t>
      </w:r>
      <w:r w:rsidRPr="0006330A">
        <w:rPr>
          <w:rFonts w:ascii="Times New Roman" w:hAnsi="Times New Roman"/>
        </w:rPr>
        <w:t>29</w:t>
      </w:r>
      <w:r>
        <w:rPr>
          <w:rFonts w:ascii="Times New Roman" w:hAnsi="Times New Roman"/>
        </w:rPr>
        <w:t xml:space="preserve">, </w:t>
      </w:r>
      <w:r w:rsidRPr="0006330A">
        <w:rPr>
          <w:rFonts w:ascii="Times New Roman" w:hAnsi="Times New Roman"/>
        </w:rPr>
        <w:t>31</w:t>
      </w:r>
      <w:r>
        <w:rPr>
          <w:rFonts w:ascii="Times New Roman" w:hAnsi="Times New Roman"/>
        </w:rPr>
        <w:t>.</w:t>
      </w:r>
      <w:r w:rsidRPr="0006330A">
        <w:rPr>
          <w:rFonts w:ascii="Times New Roman" w:hAnsi="Times New Roman"/>
        </w:rPr>
        <w:t>1</w:t>
      </w:r>
      <w:r>
        <w:rPr>
          <w:rFonts w:ascii="Times New Roman" w:hAnsi="Times New Roman"/>
        </w:rPr>
        <w:t>.</w:t>
      </w:r>
      <w:r w:rsidRPr="0006330A">
        <w:rPr>
          <w:rFonts w:ascii="Times New Roman" w:hAnsi="Times New Roman"/>
        </w:rPr>
        <w:t>2020</w:t>
      </w:r>
      <w:r>
        <w:rPr>
          <w:rFonts w:ascii="Times New Roman" w:hAnsi="Times New Roman"/>
        </w:rPr>
        <w:t>, p. </w:t>
      </w:r>
      <w:r w:rsidRPr="0006330A">
        <w:rPr>
          <w:rFonts w:ascii="Times New Roman" w:hAnsi="Times New Roman"/>
        </w:rPr>
        <w:t>7</w:t>
      </w:r>
      <w:r>
        <w:rPr>
          <w:rFonts w:ascii="Times New Roman" w:hAnsi="Times New Roman"/>
        </w:rPr>
        <w:t>, ELI: </w:t>
      </w:r>
      <w:hyperlink r:id="rId7" w:tooltip="Oferă acces la acest document prin identificatorul său uniform de resurse ELI." w:history="1">
        <w:r w:rsidRPr="0006330A">
          <w:rPr>
            <w:rStyle w:val="Hyperlink"/>
            <w:rFonts w:ascii="Times New Roman" w:hAnsi="Times New Roman"/>
          </w:rPr>
          <w:t>http://data.europa.eu/eli/treaty/withd_2020/sign</w:t>
        </w:r>
      </w:hyperlink>
      <w:r>
        <w:rPr>
          <w:rFonts w:ascii="Times New Roman" w:hAnsi="Times New Roman"/>
        </w:rPr>
        <w:t>,</w:t>
      </w:r>
    </w:p>
  </w:footnote>
  <w:footnote w:id="13">
    <w:p w14:paraId="126018AF" w14:textId="33028FE4" w:rsidR="00810F44" w:rsidRPr="00E86A35" w:rsidRDefault="00810F44" w:rsidP="00680D5E">
      <w:pPr>
        <w:pStyle w:val="FootnoteText"/>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Regulamentul delegat (UE) </w:t>
      </w:r>
      <w:r w:rsidRPr="0006330A">
        <w:rPr>
          <w:rFonts w:ascii="Times New Roman" w:hAnsi="Times New Roman"/>
        </w:rPr>
        <w:t>2025</w:t>
      </w:r>
      <w:r>
        <w:rPr>
          <w:rFonts w:ascii="Times New Roman" w:hAnsi="Times New Roman"/>
        </w:rPr>
        <w:t>/</w:t>
      </w:r>
      <w:r w:rsidRPr="0006330A">
        <w:rPr>
          <w:rFonts w:ascii="Times New Roman" w:hAnsi="Times New Roman"/>
        </w:rPr>
        <w:t>101</w:t>
      </w:r>
      <w:r>
        <w:rPr>
          <w:rFonts w:ascii="Times New Roman" w:hAnsi="Times New Roman"/>
        </w:rPr>
        <w:t xml:space="preserve"> al Comisiei din </w:t>
      </w:r>
      <w:r w:rsidRPr="0006330A">
        <w:rPr>
          <w:rFonts w:ascii="Times New Roman" w:hAnsi="Times New Roman"/>
        </w:rPr>
        <w:t>27</w:t>
      </w:r>
      <w:r>
        <w:rPr>
          <w:rFonts w:ascii="Times New Roman" w:hAnsi="Times New Roman"/>
        </w:rPr>
        <w:t xml:space="preserve"> noiembrie </w:t>
      </w:r>
      <w:r w:rsidRPr="0006330A">
        <w:rPr>
          <w:rFonts w:ascii="Times New Roman" w:hAnsi="Times New Roman"/>
        </w:rPr>
        <w:t>2024</w:t>
      </w:r>
      <w:r>
        <w:rPr>
          <w:rFonts w:ascii="Times New Roman" w:hAnsi="Times New Roman"/>
        </w:rPr>
        <w:t xml:space="preserve"> de ajustare a contribuțiilor pentru finanțarea Fondului special de șomaj prevăzute la articolele </w:t>
      </w:r>
      <w:r w:rsidRPr="0006330A">
        <w:rPr>
          <w:rFonts w:ascii="Times New Roman" w:hAnsi="Times New Roman"/>
        </w:rPr>
        <w:t>28</w:t>
      </w:r>
      <w:r>
        <w:rPr>
          <w:rFonts w:ascii="Times New Roman" w:hAnsi="Times New Roman"/>
        </w:rPr>
        <w:t>a și </w:t>
      </w:r>
      <w:r w:rsidRPr="0006330A">
        <w:rPr>
          <w:rFonts w:ascii="Times New Roman" w:hAnsi="Times New Roman"/>
        </w:rPr>
        <w:t>96</w:t>
      </w:r>
      <w:r>
        <w:rPr>
          <w:rFonts w:ascii="Times New Roman" w:hAnsi="Times New Roman"/>
        </w:rPr>
        <w:t xml:space="preserve"> din Regimul aplicabil celorlalți agenți, JO</w:t>
      </w:r>
      <w:r w:rsidR="0006330A">
        <w:rPr>
          <w:rFonts w:ascii="Times New Roman" w:hAnsi="Times New Roman"/>
        </w:rPr>
        <w:t> </w:t>
      </w:r>
      <w:r>
        <w:rPr>
          <w:rFonts w:ascii="Times New Roman" w:hAnsi="Times New Roman"/>
        </w:rPr>
        <w:t xml:space="preserve">L, </w:t>
      </w:r>
      <w:r w:rsidRPr="0006330A">
        <w:rPr>
          <w:rFonts w:ascii="Times New Roman" w:hAnsi="Times New Roman"/>
        </w:rPr>
        <w:t>2025</w:t>
      </w:r>
      <w:r>
        <w:rPr>
          <w:rFonts w:ascii="Times New Roman" w:hAnsi="Times New Roman"/>
        </w:rPr>
        <w:t>/</w:t>
      </w:r>
      <w:r w:rsidRPr="0006330A">
        <w:rPr>
          <w:rFonts w:ascii="Times New Roman" w:hAnsi="Times New Roman"/>
        </w:rPr>
        <w:t>101</w:t>
      </w:r>
      <w:r>
        <w:rPr>
          <w:rFonts w:ascii="Times New Roman" w:hAnsi="Times New Roman"/>
        </w:rPr>
        <w:t xml:space="preserve">, </w:t>
      </w:r>
      <w:r w:rsidRPr="0006330A">
        <w:rPr>
          <w:rFonts w:ascii="Times New Roman" w:hAnsi="Times New Roman"/>
        </w:rPr>
        <w:t>31</w:t>
      </w:r>
      <w:r>
        <w:rPr>
          <w:rFonts w:ascii="Times New Roman" w:hAnsi="Times New Roman"/>
        </w:rPr>
        <w:t>.</w:t>
      </w:r>
      <w:r w:rsidRPr="0006330A">
        <w:rPr>
          <w:rFonts w:ascii="Times New Roman" w:hAnsi="Times New Roman"/>
        </w:rPr>
        <w:t>1</w:t>
      </w:r>
      <w:r>
        <w:rPr>
          <w:rFonts w:ascii="Times New Roman" w:hAnsi="Times New Roman"/>
        </w:rPr>
        <w:t>.</w:t>
      </w:r>
      <w:r w:rsidRPr="0006330A">
        <w:rPr>
          <w:rFonts w:ascii="Times New Roman" w:hAnsi="Times New Roman"/>
        </w:rPr>
        <w:t>2025</w:t>
      </w:r>
      <w:r>
        <w:rPr>
          <w:rFonts w:ascii="Times New Roman" w:hAnsi="Times New Roman"/>
        </w:rPr>
        <w:t>, ELI: </w:t>
      </w:r>
      <w:hyperlink r:id="rId8" w:tgtFrame="_blank" w:tooltip="Oferă acces la acest document prin identificatorul său uniform de resurse ELI." w:history="1">
        <w:r w:rsidRPr="0006330A">
          <w:rPr>
            <w:rStyle w:val="Hyperlink"/>
            <w:rFonts w:ascii="Times New Roman" w:hAnsi="Times New Roman"/>
          </w:rPr>
          <w:t>http://data.europa.eu/eli/reg_del/2025/101/oj</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60506" w14:textId="77777777" w:rsidR="00BA5AF2" w:rsidRPr="00BA5AF2" w:rsidRDefault="00BA5AF2" w:rsidP="00BA5AF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DE049" w14:textId="77777777" w:rsidR="00BA5AF2" w:rsidRPr="00BA5AF2" w:rsidRDefault="00BA5AF2" w:rsidP="00BA5AF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785D3" w14:textId="77777777" w:rsidR="00BA5AF2" w:rsidRPr="00BA5AF2" w:rsidRDefault="00BA5AF2" w:rsidP="00BA5AF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369FB" w14:textId="77777777" w:rsidR="00DE56F9" w:rsidRDefault="00DE56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EF4C6C" w14:paraId="73190C58" w14:textId="77777777" w:rsidTr="000D3CCA">
      <w:trPr>
        <w:trHeight w:val="300"/>
      </w:trPr>
      <w:tc>
        <w:tcPr>
          <w:tcW w:w="3005" w:type="dxa"/>
        </w:tcPr>
        <w:p w14:paraId="41CD028C" w14:textId="77777777" w:rsidR="00EF4C6C" w:rsidRDefault="00EF4C6C" w:rsidP="000D3CCA">
          <w:pPr>
            <w:pStyle w:val="Header"/>
            <w:ind w:left="-115"/>
          </w:pPr>
        </w:p>
      </w:tc>
      <w:tc>
        <w:tcPr>
          <w:tcW w:w="3005" w:type="dxa"/>
        </w:tcPr>
        <w:p w14:paraId="70E7989E" w14:textId="77777777" w:rsidR="00EF4C6C" w:rsidRDefault="00EF4C6C" w:rsidP="000D3CCA">
          <w:pPr>
            <w:pStyle w:val="Header"/>
            <w:jc w:val="center"/>
          </w:pPr>
        </w:p>
      </w:tc>
      <w:tc>
        <w:tcPr>
          <w:tcW w:w="3005" w:type="dxa"/>
        </w:tcPr>
        <w:p w14:paraId="7FD6EB97" w14:textId="77777777" w:rsidR="00EF4C6C" w:rsidRDefault="00EF4C6C" w:rsidP="000D3CCA">
          <w:pPr>
            <w:pStyle w:val="Header"/>
            <w:ind w:right="-115"/>
            <w:jc w:val="right"/>
          </w:pPr>
        </w:p>
      </w:tc>
    </w:tr>
  </w:tbl>
  <w:p w14:paraId="22FB7BFD" w14:textId="77777777" w:rsidR="00EF4C6C" w:rsidRDefault="00EF4C6C" w:rsidP="000D3C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AEC97" w14:textId="77777777" w:rsidR="006D4A1E" w:rsidRDefault="006D4A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CD2D68" w14:paraId="084C458F" w14:textId="77777777" w:rsidTr="000D3CCA">
      <w:trPr>
        <w:trHeight w:val="300"/>
      </w:trPr>
      <w:tc>
        <w:tcPr>
          <w:tcW w:w="3005" w:type="dxa"/>
        </w:tcPr>
        <w:p w14:paraId="7947BBF2" w14:textId="77777777" w:rsidR="00CD2D68" w:rsidRDefault="00CD2D68" w:rsidP="000D3CCA">
          <w:pPr>
            <w:pStyle w:val="Header"/>
            <w:ind w:left="-115"/>
          </w:pPr>
        </w:p>
      </w:tc>
      <w:tc>
        <w:tcPr>
          <w:tcW w:w="3005" w:type="dxa"/>
        </w:tcPr>
        <w:p w14:paraId="50023DE8" w14:textId="77777777" w:rsidR="00CD2D68" w:rsidRDefault="00CD2D68" w:rsidP="000D3CCA">
          <w:pPr>
            <w:pStyle w:val="Header"/>
            <w:jc w:val="center"/>
          </w:pPr>
        </w:p>
      </w:tc>
      <w:tc>
        <w:tcPr>
          <w:tcW w:w="3005" w:type="dxa"/>
        </w:tcPr>
        <w:p w14:paraId="010DC507" w14:textId="77777777" w:rsidR="00CD2D68" w:rsidRDefault="00CD2D68" w:rsidP="000D3CCA">
          <w:pPr>
            <w:pStyle w:val="Header"/>
            <w:ind w:right="-115"/>
            <w:jc w:val="right"/>
          </w:pPr>
        </w:p>
      </w:tc>
    </w:tr>
  </w:tbl>
  <w:p w14:paraId="71153246" w14:textId="77777777" w:rsidR="00CD2D68" w:rsidRDefault="00CD2D68" w:rsidP="000D3CC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CD2D68" w14:paraId="0E6E92A8" w14:textId="77777777" w:rsidTr="000D3CCA">
      <w:trPr>
        <w:trHeight w:val="300"/>
      </w:trPr>
      <w:tc>
        <w:tcPr>
          <w:tcW w:w="3005" w:type="dxa"/>
        </w:tcPr>
        <w:p w14:paraId="6D504E3A" w14:textId="77777777" w:rsidR="00CD2D68" w:rsidRDefault="00CD2D68" w:rsidP="000D3CCA">
          <w:pPr>
            <w:pStyle w:val="Header"/>
            <w:ind w:left="-115"/>
          </w:pPr>
        </w:p>
      </w:tc>
      <w:tc>
        <w:tcPr>
          <w:tcW w:w="3005" w:type="dxa"/>
        </w:tcPr>
        <w:p w14:paraId="3CD5F178" w14:textId="77777777" w:rsidR="00CD2D68" w:rsidRDefault="00CD2D68" w:rsidP="000D3CCA">
          <w:pPr>
            <w:pStyle w:val="Header"/>
            <w:jc w:val="center"/>
          </w:pPr>
        </w:p>
      </w:tc>
      <w:tc>
        <w:tcPr>
          <w:tcW w:w="3005" w:type="dxa"/>
        </w:tcPr>
        <w:p w14:paraId="769D5FBB" w14:textId="77777777" w:rsidR="00CD2D68" w:rsidRDefault="00CD2D68" w:rsidP="000D3CCA">
          <w:pPr>
            <w:pStyle w:val="Header"/>
            <w:ind w:right="-115"/>
            <w:jc w:val="right"/>
          </w:pPr>
        </w:p>
      </w:tc>
    </w:tr>
  </w:tbl>
  <w:p w14:paraId="42FCE51D" w14:textId="77777777" w:rsidR="00CD2D68" w:rsidRDefault="00CD2D68" w:rsidP="000D3CC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E5D3E" w14:textId="77777777" w:rsidR="005130F2" w:rsidRDefault="005130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7F55B" w14:textId="77777777" w:rsidR="005130F2" w:rsidRDefault="005130F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DD907" w14:textId="77777777" w:rsidR="005130F2" w:rsidRDefault="005130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5A30"/>
    <w:multiLevelType w:val="hybridMultilevel"/>
    <w:tmpl w:val="13B4676E"/>
    <w:lvl w:ilvl="0" w:tplc="4056A6A8">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503445"/>
    <w:multiLevelType w:val="hybridMultilevel"/>
    <w:tmpl w:val="8FEE1FF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193F36"/>
    <w:multiLevelType w:val="multilevel"/>
    <w:tmpl w:val="DAD80C94"/>
    <w:lvl w:ilvl="0">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49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1D02536"/>
    <w:multiLevelType w:val="multilevel"/>
    <w:tmpl w:val="7AFC7D0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4735A7B"/>
    <w:multiLevelType w:val="hybridMultilevel"/>
    <w:tmpl w:val="971C8CA6"/>
    <w:lvl w:ilvl="0" w:tplc="B74091FA">
      <w:start w:val="4"/>
      <w:numFmt w:val="decimal"/>
      <w:lvlText w:val="%1."/>
      <w:lvlJc w:val="left"/>
      <w:pPr>
        <w:ind w:left="720" w:hanging="360"/>
      </w:pPr>
      <w:rPr>
        <w:rFonts w:cstheme="majorBid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8CB0DA3"/>
    <w:multiLevelType w:val="hybridMultilevel"/>
    <w:tmpl w:val="BD34E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807106"/>
    <w:multiLevelType w:val="multilevel"/>
    <w:tmpl w:val="E5A8F0BE"/>
    <w:styleLink w:val="CurrentList1"/>
    <w:lvl w:ilvl="0">
      <w:start w:val="2"/>
      <w:numFmt w:val="decimal"/>
      <w:lvlText w:val="%1."/>
      <w:lvlJc w:val="left"/>
      <w:pPr>
        <w:ind w:left="360" w:hanging="360"/>
      </w:pPr>
      <w:rPr>
        <w:rFonts w:hint="default"/>
      </w:rPr>
    </w:lvl>
    <w:lvl w:ilvl="1">
      <w:start w:val="1"/>
      <w:numFmt w:val="decimal"/>
      <w:isLgl/>
      <w:lvlText w:val="%1.%2"/>
      <w:lvlJc w:val="left"/>
      <w:pPr>
        <w:ind w:left="3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11C61DB2"/>
    <w:multiLevelType w:val="multilevel"/>
    <w:tmpl w:val="B4D027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DF4AF5"/>
    <w:multiLevelType w:val="multilevel"/>
    <w:tmpl w:val="DAD80C94"/>
    <w:lvl w:ilvl="0">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B233F4"/>
    <w:multiLevelType w:val="hybridMultilevel"/>
    <w:tmpl w:val="8FEE1FF4"/>
    <w:lvl w:ilvl="0" w:tplc="2DB02FE4">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11F68C3"/>
    <w:multiLevelType w:val="hybridMultilevel"/>
    <w:tmpl w:val="0DB2E164"/>
    <w:lvl w:ilvl="0" w:tplc="41A830F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56A1BD3"/>
    <w:multiLevelType w:val="hybridMultilevel"/>
    <w:tmpl w:val="192CFA0E"/>
    <w:lvl w:ilvl="0" w:tplc="9968AC3A">
      <w:start w:val="1"/>
      <w:numFmt w:val="decimal"/>
      <w:lvlText w:val="%1)"/>
      <w:lvlJc w:val="left"/>
      <w:pPr>
        <w:ind w:left="720" w:hanging="360"/>
      </w:pPr>
      <w:rPr>
        <w:rFonts w:ascii="Times New Roman" w:eastAsiaTheme="minorHAnsi" w:hAnsi="Times New Roman" w:cs="Times New Roman"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AF6482B"/>
    <w:multiLevelType w:val="hybridMultilevel"/>
    <w:tmpl w:val="7A9645D4"/>
    <w:lvl w:ilvl="0" w:tplc="1809000F">
      <w:start w:val="2"/>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0C4E36"/>
    <w:multiLevelType w:val="hybridMultilevel"/>
    <w:tmpl w:val="852448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1927B15"/>
    <w:multiLevelType w:val="multilevel"/>
    <w:tmpl w:val="37984BEE"/>
    <w:lvl w:ilvl="0">
      <w:start w:val="4"/>
      <w:numFmt w:val="decimal"/>
      <w:lvlText w:val="%1"/>
      <w:lvlJc w:val="left"/>
      <w:pPr>
        <w:ind w:left="360" w:hanging="360"/>
      </w:pPr>
      <w:rPr>
        <w:rFonts w:eastAsiaTheme="minorHAnsi" w:hint="default"/>
        <w:color w:val="0563C1" w:themeColor="hyperlink"/>
        <w:sz w:val="22"/>
        <w:u w:val="single"/>
      </w:rPr>
    </w:lvl>
    <w:lvl w:ilvl="1">
      <w:start w:val="2"/>
      <w:numFmt w:val="decimal"/>
      <w:lvlText w:val="%1.%2"/>
      <w:lvlJc w:val="left"/>
      <w:pPr>
        <w:ind w:left="940" w:hanging="720"/>
      </w:pPr>
      <w:rPr>
        <w:rFonts w:eastAsiaTheme="minorHAnsi" w:hint="default"/>
        <w:color w:val="0563C1" w:themeColor="hyperlink"/>
        <w:sz w:val="22"/>
        <w:u w:val="single"/>
      </w:rPr>
    </w:lvl>
    <w:lvl w:ilvl="2">
      <w:start w:val="1"/>
      <w:numFmt w:val="decimal"/>
      <w:lvlText w:val="%1.%2.%3"/>
      <w:lvlJc w:val="left"/>
      <w:pPr>
        <w:ind w:left="1160" w:hanging="720"/>
      </w:pPr>
      <w:rPr>
        <w:rFonts w:eastAsiaTheme="minorHAnsi" w:hint="default"/>
        <w:color w:val="0563C1" w:themeColor="hyperlink"/>
        <w:sz w:val="22"/>
        <w:u w:val="single"/>
      </w:rPr>
    </w:lvl>
    <w:lvl w:ilvl="3">
      <w:start w:val="1"/>
      <w:numFmt w:val="decimal"/>
      <w:lvlText w:val="%1.%2.%3.%4"/>
      <w:lvlJc w:val="left"/>
      <w:pPr>
        <w:ind w:left="1740" w:hanging="1080"/>
      </w:pPr>
      <w:rPr>
        <w:rFonts w:eastAsiaTheme="minorHAnsi" w:hint="default"/>
        <w:color w:val="0563C1" w:themeColor="hyperlink"/>
        <w:sz w:val="22"/>
        <w:u w:val="single"/>
      </w:rPr>
    </w:lvl>
    <w:lvl w:ilvl="4">
      <w:start w:val="1"/>
      <w:numFmt w:val="decimal"/>
      <w:lvlText w:val="%1.%2.%3.%4.%5"/>
      <w:lvlJc w:val="left"/>
      <w:pPr>
        <w:ind w:left="2320" w:hanging="1440"/>
      </w:pPr>
      <w:rPr>
        <w:rFonts w:eastAsiaTheme="minorHAnsi" w:hint="default"/>
        <w:color w:val="0563C1" w:themeColor="hyperlink"/>
        <w:sz w:val="22"/>
        <w:u w:val="single"/>
      </w:rPr>
    </w:lvl>
    <w:lvl w:ilvl="5">
      <w:start w:val="1"/>
      <w:numFmt w:val="decimal"/>
      <w:lvlText w:val="%1.%2.%3.%4.%5.%6"/>
      <w:lvlJc w:val="left"/>
      <w:pPr>
        <w:ind w:left="2540" w:hanging="1440"/>
      </w:pPr>
      <w:rPr>
        <w:rFonts w:eastAsiaTheme="minorHAnsi" w:hint="default"/>
        <w:color w:val="0563C1" w:themeColor="hyperlink"/>
        <w:sz w:val="22"/>
        <w:u w:val="single"/>
      </w:rPr>
    </w:lvl>
    <w:lvl w:ilvl="6">
      <w:start w:val="1"/>
      <w:numFmt w:val="decimal"/>
      <w:lvlText w:val="%1.%2.%3.%4.%5.%6.%7"/>
      <w:lvlJc w:val="left"/>
      <w:pPr>
        <w:ind w:left="3120" w:hanging="1800"/>
      </w:pPr>
      <w:rPr>
        <w:rFonts w:eastAsiaTheme="minorHAnsi" w:hint="default"/>
        <w:color w:val="0563C1" w:themeColor="hyperlink"/>
        <w:sz w:val="22"/>
        <w:u w:val="single"/>
      </w:rPr>
    </w:lvl>
    <w:lvl w:ilvl="7">
      <w:start w:val="1"/>
      <w:numFmt w:val="decimal"/>
      <w:lvlText w:val="%1.%2.%3.%4.%5.%6.%7.%8"/>
      <w:lvlJc w:val="left"/>
      <w:pPr>
        <w:ind w:left="3700" w:hanging="2160"/>
      </w:pPr>
      <w:rPr>
        <w:rFonts w:eastAsiaTheme="minorHAnsi" w:hint="default"/>
        <w:color w:val="0563C1" w:themeColor="hyperlink"/>
        <w:sz w:val="22"/>
        <w:u w:val="single"/>
      </w:rPr>
    </w:lvl>
    <w:lvl w:ilvl="8">
      <w:start w:val="1"/>
      <w:numFmt w:val="decimal"/>
      <w:lvlText w:val="%1.%2.%3.%4.%5.%6.%7.%8.%9"/>
      <w:lvlJc w:val="left"/>
      <w:pPr>
        <w:ind w:left="3920" w:hanging="2160"/>
      </w:pPr>
      <w:rPr>
        <w:rFonts w:eastAsiaTheme="minorHAnsi" w:hint="default"/>
        <w:color w:val="0563C1" w:themeColor="hyperlink"/>
        <w:sz w:val="22"/>
        <w:u w:val="single"/>
      </w:rPr>
    </w:lvl>
  </w:abstractNum>
  <w:abstractNum w:abstractNumId="16" w15:restartNumberingAfterBreak="0">
    <w:nsid w:val="33AC01B6"/>
    <w:multiLevelType w:val="hybridMultilevel"/>
    <w:tmpl w:val="A58C6A8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7224CCB"/>
    <w:multiLevelType w:val="hybridMultilevel"/>
    <w:tmpl w:val="DAB02B98"/>
    <w:lvl w:ilvl="0" w:tplc="1809000F">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7F02418"/>
    <w:multiLevelType w:val="multilevel"/>
    <w:tmpl w:val="CA98AA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331B8B"/>
    <w:multiLevelType w:val="hybridMultilevel"/>
    <w:tmpl w:val="5CCC7308"/>
    <w:lvl w:ilvl="0" w:tplc="67E8AD4A">
      <w:start w:val="22"/>
      <w:numFmt w:val="decimal"/>
      <w:lvlText w:val="%1."/>
      <w:lvlJc w:val="left"/>
      <w:pPr>
        <w:ind w:left="390" w:hanging="360"/>
      </w:pPr>
      <w:rPr>
        <w:rFonts w:hint="default"/>
      </w:rPr>
    </w:lvl>
    <w:lvl w:ilvl="1" w:tplc="18090019">
      <w:start w:val="1"/>
      <w:numFmt w:val="lowerLetter"/>
      <w:lvlText w:val="%2."/>
      <w:lvlJc w:val="left"/>
      <w:pPr>
        <w:ind w:left="1110" w:hanging="360"/>
      </w:pPr>
    </w:lvl>
    <w:lvl w:ilvl="2" w:tplc="1809001B" w:tentative="1">
      <w:start w:val="1"/>
      <w:numFmt w:val="lowerRoman"/>
      <w:lvlText w:val="%3."/>
      <w:lvlJc w:val="right"/>
      <w:pPr>
        <w:ind w:left="1830" w:hanging="180"/>
      </w:pPr>
    </w:lvl>
    <w:lvl w:ilvl="3" w:tplc="1809000F" w:tentative="1">
      <w:start w:val="1"/>
      <w:numFmt w:val="decimal"/>
      <w:lvlText w:val="%4."/>
      <w:lvlJc w:val="left"/>
      <w:pPr>
        <w:ind w:left="2550" w:hanging="360"/>
      </w:pPr>
    </w:lvl>
    <w:lvl w:ilvl="4" w:tplc="18090019" w:tentative="1">
      <w:start w:val="1"/>
      <w:numFmt w:val="lowerLetter"/>
      <w:lvlText w:val="%5."/>
      <w:lvlJc w:val="left"/>
      <w:pPr>
        <w:ind w:left="3270" w:hanging="360"/>
      </w:pPr>
    </w:lvl>
    <w:lvl w:ilvl="5" w:tplc="1809001B" w:tentative="1">
      <w:start w:val="1"/>
      <w:numFmt w:val="lowerRoman"/>
      <w:lvlText w:val="%6."/>
      <w:lvlJc w:val="right"/>
      <w:pPr>
        <w:ind w:left="3990" w:hanging="180"/>
      </w:pPr>
    </w:lvl>
    <w:lvl w:ilvl="6" w:tplc="1809000F" w:tentative="1">
      <w:start w:val="1"/>
      <w:numFmt w:val="decimal"/>
      <w:lvlText w:val="%7."/>
      <w:lvlJc w:val="left"/>
      <w:pPr>
        <w:ind w:left="4710" w:hanging="360"/>
      </w:pPr>
    </w:lvl>
    <w:lvl w:ilvl="7" w:tplc="18090019" w:tentative="1">
      <w:start w:val="1"/>
      <w:numFmt w:val="lowerLetter"/>
      <w:lvlText w:val="%8."/>
      <w:lvlJc w:val="left"/>
      <w:pPr>
        <w:ind w:left="5430" w:hanging="360"/>
      </w:pPr>
    </w:lvl>
    <w:lvl w:ilvl="8" w:tplc="1809001B" w:tentative="1">
      <w:start w:val="1"/>
      <w:numFmt w:val="lowerRoman"/>
      <w:lvlText w:val="%9."/>
      <w:lvlJc w:val="right"/>
      <w:pPr>
        <w:ind w:left="6150" w:hanging="180"/>
      </w:pPr>
    </w:lvl>
  </w:abstractNum>
  <w:abstractNum w:abstractNumId="20" w15:restartNumberingAfterBreak="0">
    <w:nsid w:val="41B85F90"/>
    <w:multiLevelType w:val="hybridMultilevel"/>
    <w:tmpl w:val="D2A0C64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C743465"/>
    <w:multiLevelType w:val="multilevel"/>
    <w:tmpl w:val="DAD80C94"/>
    <w:lvl w:ilvl="0">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1CC5705"/>
    <w:multiLevelType w:val="hybridMultilevel"/>
    <w:tmpl w:val="4E928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7150DA2"/>
    <w:multiLevelType w:val="multilevel"/>
    <w:tmpl w:val="6570FD8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1B74C43"/>
    <w:multiLevelType w:val="multilevel"/>
    <w:tmpl w:val="DA928B5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2A43C1E"/>
    <w:multiLevelType w:val="multilevel"/>
    <w:tmpl w:val="18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2"/>
  </w:num>
  <w:num w:numId="2">
    <w:abstractNumId w:val="14"/>
  </w:num>
  <w:num w:numId="3">
    <w:abstractNumId w:val="14"/>
  </w:num>
  <w:num w:numId="4">
    <w:abstractNumId w:val="14"/>
  </w:num>
  <w:num w:numId="5">
    <w:abstractNumId w:val="8"/>
  </w:num>
  <w:num w:numId="6">
    <w:abstractNumId w:val="21"/>
  </w:num>
  <w:num w:numId="7">
    <w:abstractNumId w:val="23"/>
  </w:num>
  <w:num w:numId="8">
    <w:abstractNumId w:val="10"/>
  </w:num>
  <w:num w:numId="9">
    <w:abstractNumId w:val="16"/>
  </w:num>
  <w:num w:numId="10">
    <w:abstractNumId w:val="11"/>
  </w:num>
  <w:num w:numId="11">
    <w:abstractNumId w:val="0"/>
  </w:num>
  <w:num w:numId="12">
    <w:abstractNumId w:val="20"/>
  </w:num>
  <w:num w:numId="13">
    <w:abstractNumId w:val="22"/>
  </w:num>
  <w:num w:numId="14">
    <w:abstractNumId w:val="17"/>
  </w:num>
  <w:num w:numId="15">
    <w:abstractNumId w:val="9"/>
  </w:num>
  <w:num w:numId="16">
    <w:abstractNumId w:val="1"/>
  </w:num>
  <w:num w:numId="17">
    <w:abstractNumId w:val="25"/>
  </w:num>
  <w:num w:numId="18">
    <w:abstractNumId w:val="19"/>
  </w:num>
  <w:num w:numId="19">
    <w:abstractNumId w:val="6"/>
  </w:num>
  <w:num w:numId="20">
    <w:abstractNumId w:val="12"/>
  </w:num>
  <w:num w:numId="21">
    <w:abstractNumId w:val="18"/>
  </w:num>
  <w:num w:numId="22">
    <w:abstractNumId w:val="7"/>
  </w:num>
  <w:num w:numId="23">
    <w:abstractNumId w:val="4"/>
  </w:num>
  <w:num w:numId="24">
    <w:abstractNumId w:val="15"/>
  </w:num>
  <w:num w:numId="25">
    <w:abstractNumId w:val="3"/>
  </w:num>
  <w:num w:numId="26">
    <w:abstractNumId w:val="13"/>
  </w:num>
  <w:num w:numId="27">
    <w:abstractNumId w:val="5"/>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D5AF9B2-5F9A-4368-8BFD-04B47E25484D"/>
    <w:docVar w:name="LW_COVERPAGE_TYPE" w:val="1"/>
    <w:docVar w:name="LW_CROSSREFERENCE" w:val="&lt;UNUSED&gt;"/>
    <w:docVar w:name="LW_DocType" w:val="NORMAL"/>
    <w:docVar w:name="LW_EMISSION" w:val="8.7.2026"/>
    <w:docVar w:name="LW_EMISSION_ISODATE" w:val="2026-07-08"/>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ortul 2019-2024 privind situa\u539?ia financiar\u259? a sistemului de asigur\u259?ri de \u537?omaj în beneficiul fo\u537?tilor agen\u539?i temporari sau contractuali \u537?i al asisten\u539?ilor parlamentari care r\u259?mân f\u259?r\u259? loc de munc\u259? dup\u259? încetarea activit\u259?\u539?ii lor în cadrul unei institu\u539?ii a Uniunii Europene"/>
    <w:docVar w:name="LW_TYPE.DOC.CP" w:val="RAPORT AL COMISIEI C\u258?TRE PARLAMENTUL EUROPEAN \u536?I CONSILIU"/>
    <w:docVar w:name="LwApiVersions" w:val="LW4CoDe 1.24.5.0; LW 9.2, Build 20251112"/>
  </w:docVars>
  <w:rsids>
    <w:rsidRoot w:val="00664E55"/>
    <w:rsid w:val="00001A08"/>
    <w:rsid w:val="00001A65"/>
    <w:rsid w:val="00001AAC"/>
    <w:rsid w:val="00001C29"/>
    <w:rsid w:val="00002838"/>
    <w:rsid w:val="0000316D"/>
    <w:rsid w:val="00003C62"/>
    <w:rsid w:val="00004256"/>
    <w:rsid w:val="00004547"/>
    <w:rsid w:val="00004CE7"/>
    <w:rsid w:val="00005351"/>
    <w:rsid w:val="000053CE"/>
    <w:rsid w:val="000057D7"/>
    <w:rsid w:val="00005891"/>
    <w:rsid w:val="000061C5"/>
    <w:rsid w:val="0000691E"/>
    <w:rsid w:val="00007B59"/>
    <w:rsid w:val="00007D1B"/>
    <w:rsid w:val="00010072"/>
    <w:rsid w:val="000103F8"/>
    <w:rsid w:val="0001092B"/>
    <w:rsid w:val="000119E3"/>
    <w:rsid w:val="00014C74"/>
    <w:rsid w:val="000157A6"/>
    <w:rsid w:val="00015E80"/>
    <w:rsid w:val="00015F2A"/>
    <w:rsid w:val="00016181"/>
    <w:rsid w:val="0001663E"/>
    <w:rsid w:val="00017F25"/>
    <w:rsid w:val="00020F72"/>
    <w:rsid w:val="00022B13"/>
    <w:rsid w:val="00022EEE"/>
    <w:rsid w:val="00023978"/>
    <w:rsid w:val="000248E3"/>
    <w:rsid w:val="00024F75"/>
    <w:rsid w:val="00025262"/>
    <w:rsid w:val="00025940"/>
    <w:rsid w:val="00025B5D"/>
    <w:rsid w:val="000269BE"/>
    <w:rsid w:val="00027A23"/>
    <w:rsid w:val="000314FD"/>
    <w:rsid w:val="0003253E"/>
    <w:rsid w:val="00032EEB"/>
    <w:rsid w:val="00033297"/>
    <w:rsid w:val="00034721"/>
    <w:rsid w:val="000356BF"/>
    <w:rsid w:val="00036473"/>
    <w:rsid w:val="0003688D"/>
    <w:rsid w:val="00037ACD"/>
    <w:rsid w:val="00037EDD"/>
    <w:rsid w:val="000403E1"/>
    <w:rsid w:val="00040695"/>
    <w:rsid w:val="00040D0D"/>
    <w:rsid w:val="00043814"/>
    <w:rsid w:val="0004447C"/>
    <w:rsid w:val="0004449F"/>
    <w:rsid w:val="0004512E"/>
    <w:rsid w:val="00045546"/>
    <w:rsid w:val="00046151"/>
    <w:rsid w:val="00047896"/>
    <w:rsid w:val="00050BD6"/>
    <w:rsid w:val="00051062"/>
    <w:rsid w:val="00052023"/>
    <w:rsid w:val="00055C32"/>
    <w:rsid w:val="0005603A"/>
    <w:rsid w:val="0005624D"/>
    <w:rsid w:val="00056588"/>
    <w:rsid w:val="00056AC1"/>
    <w:rsid w:val="00056E32"/>
    <w:rsid w:val="00056FA0"/>
    <w:rsid w:val="00060051"/>
    <w:rsid w:val="0006088C"/>
    <w:rsid w:val="00060DD9"/>
    <w:rsid w:val="00060F54"/>
    <w:rsid w:val="0006114F"/>
    <w:rsid w:val="0006255E"/>
    <w:rsid w:val="0006330A"/>
    <w:rsid w:val="000638F0"/>
    <w:rsid w:val="00063B27"/>
    <w:rsid w:val="000645CC"/>
    <w:rsid w:val="000651B1"/>
    <w:rsid w:val="00065AD3"/>
    <w:rsid w:val="00065B7C"/>
    <w:rsid w:val="00065C98"/>
    <w:rsid w:val="000669C7"/>
    <w:rsid w:val="00070735"/>
    <w:rsid w:val="00071029"/>
    <w:rsid w:val="00071154"/>
    <w:rsid w:val="00071224"/>
    <w:rsid w:val="000724DF"/>
    <w:rsid w:val="000727BC"/>
    <w:rsid w:val="00072A09"/>
    <w:rsid w:val="000733B7"/>
    <w:rsid w:val="0007377C"/>
    <w:rsid w:val="000739EF"/>
    <w:rsid w:val="00074904"/>
    <w:rsid w:val="00075CCC"/>
    <w:rsid w:val="0007613A"/>
    <w:rsid w:val="00076EAA"/>
    <w:rsid w:val="00077B9F"/>
    <w:rsid w:val="000803B4"/>
    <w:rsid w:val="00082010"/>
    <w:rsid w:val="00082207"/>
    <w:rsid w:val="0008223B"/>
    <w:rsid w:val="000824CB"/>
    <w:rsid w:val="0008292F"/>
    <w:rsid w:val="000841C6"/>
    <w:rsid w:val="00084F43"/>
    <w:rsid w:val="00085015"/>
    <w:rsid w:val="000860AD"/>
    <w:rsid w:val="00086399"/>
    <w:rsid w:val="000866C2"/>
    <w:rsid w:val="00086A8E"/>
    <w:rsid w:val="00086DDB"/>
    <w:rsid w:val="0009003C"/>
    <w:rsid w:val="0009022B"/>
    <w:rsid w:val="000911EF"/>
    <w:rsid w:val="00091331"/>
    <w:rsid w:val="00093AC5"/>
    <w:rsid w:val="0009643D"/>
    <w:rsid w:val="00096DC0"/>
    <w:rsid w:val="00096FFE"/>
    <w:rsid w:val="00097901"/>
    <w:rsid w:val="00097A29"/>
    <w:rsid w:val="000A0E1B"/>
    <w:rsid w:val="000A0E8C"/>
    <w:rsid w:val="000A0EA5"/>
    <w:rsid w:val="000A212F"/>
    <w:rsid w:val="000A25E5"/>
    <w:rsid w:val="000A2E81"/>
    <w:rsid w:val="000A4013"/>
    <w:rsid w:val="000A54D2"/>
    <w:rsid w:val="000A65FA"/>
    <w:rsid w:val="000A6D8E"/>
    <w:rsid w:val="000A7BDF"/>
    <w:rsid w:val="000B07BB"/>
    <w:rsid w:val="000B1303"/>
    <w:rsid w:val="000B260E"/>
    <w:rsid w:val="000B288F"/>
    <w:rsid w:val="000B2F9C"/>
    <w:rsid w:val="000B3300"/>
    <w:rsid w:val="000B3363"/>
    <w:rsid w:val="000B3B3E"/>
    <w:rsid w:val="000B4272"/>
    <w:rsid w:val="000B432A"/>
    <w:rsid w:val="000B578F"/>
    <w:rsid w:val="000B65FA"/>
    <w:rsid w:val="000B76F4"/>
    <w:rsid w:val="000C028F"/>
    <w:rsid w:val="000C046D"/>
    <w:rsid w:val="000C2B45"/>
    <w:rsid w:val="000C3515"/>
    <w:rsid w:val="000C3A80"/>
    <w:rsid w:val="000C5B17"/>
    <w:rsid w:val="000C5C15"/>
    <w:rsid w:val="000C5F9A"/>
    <w:rsid w:val="000C732D"/>
    <w:rsid w:val="000D0049"/>
    <w:rsid w:val="000D037B"/>
    <w:rsid w:val="000D0628"/>
    <w:rsid w:val="000D0CAB"/>
    <w:rsid w:val="000D0EF6"/>
    <w:rsid w:val="000D1FE1"/>
    <w:rsid w:val="000D26C0"/>
    <w:rsid w:val="000D2C30"/>
    <w:rsid w:val="000D2E6D"/>
    <w:rsid w:val="000D3CCA"/>
    <w:rsid w:val="000D42AA"/>
    <w:rsid w:val="000D479B"/>
    <w:rsid w:val="000D53E2"/>
    <w:rsid w:val="000D6797"/>
    <w:rsid w:val="000D6CDD"/>
    <w:rsid w:val="000D79CC"/>
    <w:rsid w:val="000E00F8"/>
    <w:rsid w:val="000E0324"/>
    <w:rsid w:val="000E048A"/>
    <w:rsid w:val="000E06D5"/>
    <w:rsid w:val="000E169C"/>
    <w:rsid w:val="000E2638"/>
    <w:rsid w:val="000E3191"/>
    <w:rsid w:val="000E3684"/>
    <w:rsid w:val="000E3A1D"/>
    <w:rsid w:val="000E3AD9"/>
    <w:rsid w:val="000E489C"/>
    <w:rsid w:val="000E6341"/>
    <w:rsid w:val="000E76D5"/>
    <w:rsid w:val="000E7D6B"/>
    <w:rsid w:val="000F05CC"/>
    <w:rsid w:val="000F080F"/>
    <w:rsid w:val="000F092C"/>
    <w:rsid w:val="000F0B01"/>
    <w:rsid w:val="000F0EBD"/>
    <w:rsid w:val="000F13A3"/>
    <w:rsid w:val="000F1540"/>
    <w:rsid w:val="000F161F"/>
    <w:rsid w:val="000F36B5"/>
    <w:rsid w:val="000F36C4"/>
    <w:rsid w:val="000F36F1"/>
    <w:rsid w:val="000F58FD"/>
    <w:rsid w:val="000F5F93"/>
    <w:rsid w:val="000F7633"/>
    <w:rsid w:val="000F795F"/>
    <w:rsid w:val="000F7CA3"/>
    <w:rsid w:val="00100A4F"/>
    <w:rsid w:val="0010150A"/>
    <w:rsid w:val="00101E85"/>
    <w:rsid w:val="00101F91"/>
    <w:rsid w:val="00102577"/>
    <w:rsid w:val="001035EA"/>
    <w:rsid w:val="0010367F"/>
    <w:rsid w:val="001057B2"/>
    <w:rsid w:val="001058DC"/>
    <w:rsid w:val="00106530"/>
    <w:rsid w:val="00106A18"/>
    <w:rsid w:val="00106DAD"/>
    <w:rsid w:val="0010720C"/>
    <w:rsid w:val="00107719"/>
    <w:rsid w:val="001079B6"/>
    <w:rsid w:val="001105C6"/>
    <w:rsid w:val="001107DD"/>
    <w:rsid w:val="00110828"/>
    <w:rsid w:val="00110E39"/>
    <w:rsid w:val="00111269"/>
    <w:rsid w:val="001112AF"/>
    <w:rsid w:val="00111837"/>
    <w:rsid w:val="00111DE8"/>
    <w:rsid w:val="00112611"/>
    <w:rsid w:val="00112616"/>
    <w:rsid w:val="00112797"/>
    <w:rsid w:val="00115735"/>
    <w:rsid w:val="00115CE1"/>
    <w:rsid w:val="00116F9C"/>
    <w:rsid w:val="001172E8"/>
    <w:rsid w:val="00117AF7"/>
    <w:rsid w:val="001201BE"/>
    <w:rsid w:val="00121070"/>
    <w:rsid w:val="00121521"/>
    <w:rsid w:val="00121CF2"/>
    <w:rsid w:val="00122775"/>
    <w:rsid w:val="001229B8"/>
    <w:rsid w:val="00122EA3"/>
    <w:rsid w:val="00122F39"/>
    <w:rsid w:val="0012375E"/>
    <w:rsid w:val="001239BF"/>
    <w:rsid w:val="00123DFC"/>
    <w:rsid w:val="00124339"/>
    <w:rsid w:val="00124A31"/>
    <w:rsid w:val="001256EE"/>
    <w:rsid w:val="0012570D"/>
    <w:rsid w:val="00125DF6"/>
    <w:rsid w:val="0012633C"/>
    <w:rsid w:val="001264E6"/>
    <w:rsid w:val="001268C0"/>
    <w:rsid w:val="00127326"/>
    <w:rsid w:val="00130F35"/>
    <w:rsid w:val="001316EB"/>
    <w:rsid w:val="00131753"/>
    <w:rsid w:val="00131907"/>
    <w:rsid w:val="00131B06"/>
    <w:rsid w:val="00132A3A"/>
    <w:rsid w:val="00132A7E"/>
    <w:rsid w:val="00132D6C"/>
    <w:rsid w:val="00132D80"/>
    <w:rsid w:val="00132F47"/>
    <w:rsid w:val="00134317"/>
    <w:rsid w:val="001346D5"/>
    <w:rsid w:val="00134829"/>
    <w:rsid w:val="001363FB"/>
    <w:rsid w:val="00136F2B"/>
    <w:rsid w:val="00137003"/>
    <w:rsid w:val="00137EB6"/>
    <w:rsid w:val="001403CC"/>
    <w:rsid w:val="00140C3A"/>
    <w:rsid w:val="00140D05"/>
    <w:rsid w:val="00142D28"/>
    <w:rsid w:val="00144236"/>
    <w:rsid w:val="00144A0B"/>
    <w:rsid w:val="001451B7"/>
    <w:rsid w:val="001455FF"/>
    <w:rsid w:val="001457A7"/>
    <w:rsid w:val="001463EF"/>
    <w:rsid w:val="00146BB6"/>
    <w:rsid w:val="00146CB9"/>
    <w:rsid w:val="00147B08"/>
    <w:rsid w:val="00152874"/>
    <w:rsid w:val="001529B1"/>
    <w:rsid w:val="00153A0F"/>
    <w:rsid w:val="00153A64"/>
    <w:rsid w:val="00154282"/>
    <w:rsid w:val="00154856"/>
    <w:rsid w:val="001552D6"/>
    <w:rsid w:val="001559FD"/>
    <w:rsid w:val="00155BB9"/>
    <w:rsid w:val="00155CF1"/>
    <w:rsid w:val="001573AA"/>
    <w:rsid w:val="00157801"/>
    <w:rsid w:val="001579C0"/>
    <w:rsid w:val="00160C49"/>
    <w:rsid w:val="001614D9"/>
    <w:rsid w:val="001623A6"/>
    <w:rsid w:val="001625CA"/>
    <w:rsid w:val="001627B0"/>
    <w:rsid w:val="00163150"/>
    <w:rsid w:val="00163814"/>
    <w:rsid w:val="001639C9"/>
    <w:rsid w:val="00163E37"/>
    <w:rsid w:val="001641B9"/>
    <w:rsid w:val="001642B4"/>
    <w:rsid w:val="001645BF"/>
    <w:rsid w:val="00165766"/>
    <w:rsid w:val="001660B4"/>
    <w:rsid w:val="00166368"/>
    <w:rsid w:val="001664A3"/>
    <w:rsid w:val="0016703E"/>
    <w:rsid w:val="00167A5F"/>
    <w:rsid w:val="0017014C"/>
    <w:rsid w:val="00171C00"/>
    <w:rsid w:val="00171E89"/>
    <w:rsid w:val="001728E6"/>
    <w:rsid w:val="00173418"/>
    <w:rsid w:val="001736AC"/>
    <w:rsid w:val="00174436"/>
    <w:rsid w:val="00174E39"/>
    <w:rsid w:val="00174FEA"/>
    <w:rsid w:val="00175F9A"/>
    <w:rsid w:val="0017663E"/>
    <w:rsid w:val="001766FF"/>
    <w:rsid w:val="00177914"/>
    <w:rsid w:val="00177E94"/>
    <w:rsid w:val="00180DE6"/>
    <w:rsid w:val="001824BF"/>
    <w:rsid w:val="001826F2"/>
    <w:rsid w:val="001834AF"/>
    <w:rsid w:val="00183933"/>
    <w:rsid w:val="001839D8"/>
    <w:rsid w:val="00183CE9"/>
    <w:rsid w:val="00183E59"/>
    <w:rsid w:val="001852F5"/>
    <w:rsid w:val="001855E6"/>
    <w:rsid w:val="00185CA9"/>
    <w:rsid w:val="00186A99"/>
    <w:rsid w:val="00187D90"/>
    <w:rsid w:val="00187E78"/>
    <w:rsid w:val="00192304"/>
    <w:rsid w:val="001923C0"/>
    <w:rsid w:val="00192C6E"/>
    <w:rsid w:val="00193040"/>
    <w:rsid w:val="00193D2E"/>
    <w:rsid w:val="00194412"/>
    <w:rsid w:val="00194866"/>
    <w:rsid w:val="00194C4B"/>
    <w:rsid w:val="00195FEE"/>
    <w:rsid w:val="001A044C"/>
    <w:rsid w:val="001A05A5"/>
    <w:rsid w:val="001A0764"/>
    <w:rsid w:val="001A16F2"/>
    <w:rsid w:val="001A1C37"/>
    <w:rsid w:val="001A3313"/>
    <w:rsid w:val="001A35C4"/>
    <w:rsid w:val="001A381A"/>
    <w:rsid w:val="001A4020"/>
    <w:rsid w:val="001A4B7A"/>
    <w:rsid w:val="001A4DC0"/>
    <w:rsid w:val="001A4F9B"/>
    <w:rsid w:val="001A52DF"/>
    <w:rsid w:val="001A56A3"/>
    <w:rsid w:val="001A6983"/>
    <w:rsid w:val="001A69BC"/>
    <w:rsid w:val="001A7E60"/>
    <w:rsid w:val="001B0849"/>
    <w:rsid w:val="001B0D6E"/>
    <w:rsid w:val="001B1114"/>
    <w:rsid w:val="001B154F"/>
    <w:rsid w:val="001B1E73"/>
    <w:rsid w:val="001B3020"/>
    <w:rsid w:val="001B3AD5"/>
    <w:rsid w:val="001B3BD2"/>
    <w:rsid w:val="001B3F4E"/>
    <w:rsid w:val="001B4570"/>
    <w:rsid w:val="001B50DD"/>
    <w:rsid w:val="001B6420"/>
    <w:rsid w:val="001B717E"/>
    <w:rsid w:val="001B769A"/>
    <w:rsid w:val="001C011D"/>
    <w:rsid w:val="001C0D4C"/>
    <w:rsid w:val="001C0E5A"/>
    <w:rsid w:val="001C29FC"/>
    <w:rsid w:val="001C427D"/>
    <w:rsid w:val="001C53B1"/>
    <w:rsid w:val="001C58AC"/>
    <w:rsid w:val="001C5986"/>
    <w:rsid w:val="001C7047"/>
    <w:rsid w:val="001C7F7C"/>
    <w:rsid w:val="001D0F53"/>
    <w:rsid w:val="001D1342"/>
    <w:rsid w:val="001D1545"/>
    <w:rsid w:val="001D1FC0"/>
    <w:rsid w:val="001D336A"/>
    <w:rsid w:val="001D3AFD"/>
    <w:rsid w:val="001D604B"/>
    <w:rsid w:val="001D616E"/>
    <w:rsid w:val="001D62E5"/>
    <w:rsid w:val="001D6612"/>
    <w:rsid w:val="001E008D"/>
    <w:rsid w:val="001E19AB"/>
    <w:rsid w:val="001E1BA4"/>
    <w:rsid w:val="001E1D32"/>
    <w:rsid w:val="001E27E2"/>
    <w:rsid w:val="001E3706"/>
    <w:rsid w:val="001E3B6F"/>
    <w:rsid w:val="001E3D47"/>
    <w:rsid w:val="001E3F86"/>
    <w:rsid w:val="001E3FF9"/>
    <w:rsid w:val="001E42BA"/>
    <w:rsid w:val="001E4F41"/>
    <w:rsid w:val="001E5517"/>
    <w:rsid w:val="001E5F81"/>
    <w:rsid w:val="001E7489"/>
    <w:rsid w:val="001F0138"/>
    <w:rsid w:val="001F07A7"/>
    <w:rsid w:val="001F0CAF"/>
    <w:rsid w:val="001F0FD5"/>
    <w:rsid w:val="001F152C"/>
    <w:rsid w:val="001F1696"/>
    <w:rsid w:val="001F29CA"/>
    <w:rsid w:val="001F2FB8"/>
    <w:rsid w:val="001F339B"/>
    <w:rsid w:val="001F42F0"/>
    <w:rsid w:val="001F4E4B"/>
    <w:rsid w:val="001F5213"/>
    <w:rsid w:val="001F7203"/>
    <w:rsid w:val="002008EF"/>
    <w:rsid w:val="0020135D"/>
    <w:rsid w:val="002022FA"/>
    <w:rsid w:val="00203165"/>
    <w:rsid w:val="0020359B"/>
    <w:rsid w:val="00203771"/>
    <w:rsid w:val="00204001"/>
    <w:rsid w:val="00204434"/>
    <w:rsid w:val="0020512D"/>
    <w:rsid w:val="0020595D"/>
    <w:rsid w:val="002067EE"/>
    <w:rsid w:val="002072F2"/>
    <w:rsid w:val="0021011E"/>
    <w:rsid w:val="002104A3"/>
    <w:rsid w:val="002117D0"/>
    <w:rsid w:val="00211A93"/>
    <w:rsid w:val="00211B5C"/>
    <w:rsid w:val="00212624"/>
    <w:rsid w:val="00212DEC"/>
    <w:rsid w:val="00212E20"/>
    <w:rsid w:val="0021333A"/>
    <w:rsid w:val="002139CA"/>
    <w:rsid w:val="00213BEF"/>
    <w:rsid w:val="00213E0F"/>
    <w:rsid w:val="002142E1"/>
    <w:rsid w:val="00214C1B"/>
    <w:rsid w:val="002151D1"/>
    <w:rsid w:val="0021616A"/>
    <w:rsid w:val="002161F5"/>
    <w:rsid w:val="00221B67"/>
    <w:rsid w:val="00222AC8"/>
    <w:rsid w:val="00222D10"/>
    <w:rsid w:val="0022398C"/>
    <w:rsid w:val="0022490A"/>
    <w:rsid w:val="00224AAC"/>
    <w:rsid w:val="0022670D"/>
    <w:rsid w:val="00226D89"/>
    <w:rsid w:val="00232F54"/>
    <w:rsid w:val="00233327"/>
    <w:rsid w:val="00233E0C"/>
    <w:rsid w:val="002343F5"/>
    <w:rsid w:val="00234F35"/>
    <w:rsid w:val="00235284"/>
    <w:rsid w:val="00235D6E"/>
    <w:rsid w:val="00236725"/>
    <w:rsid w:val="00236BFC"/>
    <w:rsid w:val="00236F8C"/>
    <w:rsid w:val="002403F7"/>
    <w:rsid w:val="0024096F"/>
    <w:rsid w:val="00240B9F"/>
    <w:rsid w:val="002416CF"/>
    <w:rsid w:val="00242554"/>
    <w:rsid w:val="00242910"/>
    <w:rsid w:val="00243AC4"/>
    <w:rsid w:val="002447C5"/>
    <w:rsid w:val="00245880"/>
    <w:rsid w:val="002459B9"/>
    <w:rsid w:val="00245DAC"/>
    <w:rsid w:val="0024612B"/>
    <w:rsid w:val="00246AE4"/>
    <w:rsid w:val="00246D71"/>
    <w:rsid w:val="00247A10"/>
    <w:rsid w:val="00250081"/>
    <w:rsid w:val="002501F1"/>
    <w:rsid w:val="00250478"/>
    <w:rsid w:val="0025101A"/>
    <w:rsid w:val="00251A9D"/>
    <w:rsid w:val="002527C2"/>
    <w:rsid w:val="0025345F"/>
    <w:rsid w:val="00253DED"/>
    <w:rsid w:val="002551B3"/>
    <w:rsid w:val="00255A00"/>
    <w:rsid w:val="00255F90"/>
    <w:rsid w:val="0025611A"/>
    <w:rsid w:val="00256439"/>
    <w:rsid w:val="0025654B"/>
    <w:rsid w:val="00257105"/>
    <w:rsid w:val="00257357"/>
    <w:rsid w:val="00257643"/>
    <w:rsid w:val="002606C6"/>
    <w:rsid w:val="00260722"/>
    <w:rsid w:val="00260A9D"/>
    <w:rsid w:val="00260B59"/>
    <w:rsid w:val="00261271"/>
    <w:rsid w:val="00261466"/>
    <w:rsid w:val="0026245E"/>
    <w:rsid w:val="00262F73"/>
    <w:rsid w:val="00263420"/>
    <w:rsid w:val="00263F26"/>
    <w:rsid w:val="002654BE"/>
    <w:rsid w:val="002654C7"/>
    <w:rsid w:val="00265B2F"/>
    <w:rsid w:val="00265D62"/>
    <w:rsid w:val="002663C7"/>
    <w:rsid w:val="00266714"/>
    <w:rsid w:val="00267027"/>
    <w:rsid w:val="00270009"/>
    <w:rsid w:val="00270FF8"/>
    <w:rsid w:val="00271E85"/>
    <w:rsid w:val="002721B3"/>
    <w:rsid w:val="00272A31"/>
    <w:rsid w:val="002735E6"/>
    <w:rsid w:val="002737E2"/>
    <w:rsid w:val="00273B9B"/>
    <w:rsid w:val="00273CA1"/>
    <w:rsid w:val="00274581"/>
    <w:rsid w:val="002749FF"/>
    <w:rsid w:val="00274B84"/>
    <w:rsid w:val="00274D7F"/>
    <w:rsid w:val="0027691C"/>
    <w:rsid w:val="0027695E"/>
    <w:rsid w:val="0027738C"/>
    <w:rsid w:val="00280585"/>
    <w:rsid w:val="00280BE0"/>
    <w:rsid w:val="0028129A"/>
    <w:rsid w:val="002813A2"/>
    <w:rsid w:val="00281675"/>
    <w:rsid w:val="00281DB5"/>
    <w:rsid w:val="0028223D"/>
    <w:rsid w:val="00282D65"/>
    <w:rsid w:val="00282D88"/>
    <w:rsid w:val="0028388D"/>
    <w:rsid w:val="002838D9"/>
    <w:rsid w:val="002840D9"/>
    <w:rsid w:val="00284521"/>
    <w:rsid w:val="002847F5"/>
    <w:rsid w:val="00285B05"/>
    <w:rsid w:val="00286983"/>
    <w:rsid w:val="00286AFE"/>
    <w:rsid w:val="00287986"/>
    <w:rsid w:val="0029126B"/>
    <w:rsid w:val="00291E61"/>
    <w:rsid w:val="0029260D"/>
    <w:rsid w:val="00292FED"/>
    <w:rsid w:val="00293443"/>
    <w:rsid w:val="0029401D"/>
    <w:rsid w:val="00294573"/>
    <w:rsid w:val="00294DBB"/>
    <w:rsid w:val="002958C5"/>
    <w:rsid w:val="00297C12"/>
    <w:rsid w:val="002A0719"/>
    <w:rsid w:val="002A1824"/>
    <w:rsid w:val="002A1829"/>
    <w:rsid w:val="002A293E"/>
    <w:rsid w:val="002A2A51"/>
    <w:rsid w:val="002A326F"/>
    <w:rsid w:val="002A380D"/>
    <w:rsid w:val="002A3F9D"/>
    <w:rsid w:val="002A4D0A"/>
    <w:rsid w:val="002A4F03"/>
    <w:rsid w:val="002A5FA1"/>
    <w:rsid w:val="002A7BDF"/>
    <w:rsid w:val="002B0AB1"/>
    <w:rsid w:val="002B2924"/>
    <w:rsid w:val="002B2E49"/>
    <w:rsid w:val="002B38C5"/>
    <w:rsid w:val="002B3DA0"/>
    <w:rsid w:val="002B46B9"/>
    <w:rsid w:val="002B484D"/>
    <w:rsid w:val="002B5820"/>
    <w:rsid w:val="002B6930"/>
    <w:rsid w:val="002B74C7"/>
    <w:rsid w:val="002B7893"/>
    <w:rsid w:val="002C077B"/>
    <w:rsid w:val="002C0C65"/>
    <w:rsid w:val="002C162C"/>
    <w:rsid w:val="002C1874"/>
    <w:rsid w:val="002C1DF9"/>
    <w:rsid w:val="002C206C"/>
    <w:rsid w:val="002C2361"/>
    <w:rsid w:val="002C2550"/>
    <w:rsid w:val="002C3480"/>
    <w:rsid w:val="002C3FCC"/>
    <w:rsid w:val="002C4C0E"/>
    <w:rsid w:val="002C6637"/>
    <w:rsid w:val="002C69BC"/>
    <w:rsid w:val="002C6A09"/>
    <w:rsid w:val="002C7188"/>
    <w:rsid w:val="002C72EE"/>
    <w:rsid w:val="002C73F6"/>
    <w:rsid w:val="002D0642"/>
    <w:rsid w:val="002D2C83"/>
    <w:rsid w:val="002D2E80"/>
    <w:rsid w:val="002D3F45"/>
    <w:rsid w:val="002D45FF"/>
    <w:rsid w:val="002D75CE"/>
    <w:rsid w:val="002E06F5"/>
    <w:rsid w:val="002E0C95"/>
    <w:rsid w:val="002E122E"/>
    <w:rsid w:val="002E19FD"/>
    <w:rsid w:val="002E1A2D"/>
    <w:rsid w:val="002E263C"/>
    <w:rsid w:val="002E2E1B"/>
    <w:rsid w:val="002E2F56"/>
    <w:rsid w:val="002E374E"/>
    <w:rsid w:val="002E3F93"/>
    <w:rsid w:val="002E40BB"/>
    <w:rsid w:val="002E4713"/>
    <w:rsid w:val="002F05AB"/>
    <w:rsid w:val="002F05DC"/>
    <w:rsid w:val="002F065B"/>
    <w:rsid w:val="002F0972"/>
    <w:rsid w:val="002F0B29"/>
    <w:rsid w:val="002F1554"/>
    <w:rsid w:val="002F15B8"/>
    <w:rsid w:val="002F21F9"/>
    <w:rsid w:val="002F2F00"/>
    <w:rsid w:val="002F375A"/>
    <w:rsid w:val="002F3817"/>
    <w:rsid w:val="002F4586"/>
    <w:rsid w:val="002F47B3"/>
    <w:rsid w:val="002F52BC"/>
    <w:rsid w:val="002F59A8"/>
    <w:rsid w:val="002F6189"/>
    <w:rsid w:val="002F618B"/>
    <w:rsid w:val="002F6C5A"/>
    <w:rsid w:val="002F72BA"/>
    <w:rsid w:val="002F739D"/>
    <w:rsid w:val="002F7A54"/>
    <w:rsid w:val="002F7EB6"/>
    <w:rsid w:val="003003B9"/>
    <w:rsid w:val="00301C37"/>
    <w:rsid w:val="00302045"/>
    <w:rsid w:val="003030BD"/>
    <w:rsid w:val="003030C0"/>
    <w:rsid w:val="003040EC"/>
    <w:rsid w:val="0030437A"/>
    <w:rsid w:val="0030463A"/>
    <w:rsid w:val="00304798"/>
    <w:rsid w:val="00304D00"/>
    <w:rsid w:val="003056B5"/>
    <w:rsid w:val="00306388"/>
    <w:rsid w:val="00306AD1"/>
    <w:rsid w:val="0030716C"/>
    <w:rsid w:val="003072BF"/>
    <w:rsid w:val="003074FD"/>
    <w:rsid w:val="00311D36"/>
    <w:rsid w:val="00311DFD"/>
    <w:rsid w:val="00312863"/>
    <w:rsid w:val="003139D6"/>
    <w:rsid w:val="00314522"/>
    <w:rsid w:val="00314AA5"/>
    <w:rsid w:val="00314C0C"/>
    <w:rsid w:val="0031534D"/>
    <w:rsid w:val="00315C42"/>
    <w:rsid w:val="003160D1"/>
    <w:rsid w:val="003172D4"/>
    <w:rsid w:val="00317EEF"/>
    <w:rsid w:val="00317F78"/>
    <w:rsid w:val="00320C4B"/>
    <w:rsid w:val="00320D37"/>
    <w:rsid w:val="00320D43"/>
    <w:rsid w:val="00320E97"/>
    <w:rsid w:val="00322A25"/>
    <w:rsid w:val="00322EB3"/>
    <w:rsid w:val="003234B2"/>
    <w:rsid w:val="003242D2"/>
    <w:rsid w:val="003255B6"/>
    <w:rsid w:val="00326D42"/>
    <w:rsid w:val="00327594"/>
    <w:rsid w:val="00330F92"/>
    <w:rsid w:val="00331212"/>
    <w:rsid w:val="003312E1"/>
    <w:rsid w:val="00331669"/>
    <w:rsid w:val="00331B05"/>
    <w:rsid w:val="00332566"/>
    <w:rsid w:val="00332C58"/>
    <w:rsid w:val="00333778"/>
    <w:rsid w:val="003337E6"/>
    <w:rsid w:val="00333C88"/>
    <w:rsid w:val="003341F0"/>
    <w:rsid w:val="0033448C"/>
    <w:rsid w:val="00334583"/>
    <w:rsid w:val="003346B0"/>
    <w:rsid w:val="00334A0F"/>
    <w:rsid w:val="00334A27"/>
    <w:rsid w:val="00334DB3"/>
    <w:rsid w:val="00334EA3"/>
    <w:rsid w:val="00340ACE"/>
    <w:rsid w:val="00340E24"/>
    <w:rsid w:val="00341035"/>
    <w:rsid w:val="00342D50"/>
    <w:rsid w:val="003430CE"/>
    <w:rsid w:val="003438A8"/>
    <w:rsid w:val="00343A56"/>
    <w:rsid w:val="00345482"/>
    <w:rsid w:val="00345DBC"/>
    <w:rsid w:val="00345EC2"/>
    <w:rsid w:val="00345FDA"/>
    <w:rsid w:val="00346FAC"/>
    <w:rsid w:val="00350412"/>
    <w:rsid w:val="003506F1"/>
    <w:rsid w:val="00350E8E"/>
    <w:rsid w:val="0035154F"/>
    <w:rsid w:val="00351E1D"/>
    <w:rsid w:val="00353CE6"/>
    <w:rsid w:val="00353FF1"/>
    <w:rsid w:val="00354657"/>
    <w:rsid w:val="00354DBB"/>
    <w:rsid w:val="00356445"/>
    <w:rsid w:val="00356AAB"/>
    <w:rsid w:val="0035773B"/>
    <w:rsid w:val="003609F5"/>
    <w:rsid w:val="00362493"/>
    <w:rsid w:val="00363953"/>
    <w:rsid w:val="0036545D"/>
    <w:rsid w:val="00365746"/>
    <w:rsid w:val="003658C2"/>
    <w:rsid w:val="003666B1"/>
    <w:rsid w:val="00366B21"/>
    <w:rsid w:val="00367685"/>
    <w:rsid w:val="00367975"/>
    <w:rsid w:val="003679B2"/>
    <w:rsid w:val="00371658"/>
    <w:rsid w:val="00371CAD"/>
    <w:rsid w:val="00371EB8"/>
    <w:rsid w:val="003722F5"/>
    <w:rsid w:val="0037257A"/>
    <w:rsid w:val="00372A85"/>
    <w:rsid w:val="00373040"/>
    <w:rsid w:val="003738E0"/>
    <w:rsid w:val="003739A5"/>
    <w:rsid w:val="00374AEF"/>
    <w:rsid w:val="00375ABF"/>
    <w:rsid w:val="00375D93"/>
    <w:rsid w:val="00375EC8"/>
    <w:rsid w:val="00376BEA"/>
    <w:rsid w:val="00377D70"/>
    <w:rsid w:val="00380001"/>
    <w:rsid w:val="00381768"/>
    <w:rsid w:val="00382144"/>
    <w:rsid w:val="003823B6"/>
    <w:rsid w:val="00382D88"/>
    <w:rsid w:val="00383347"/>
    <w:rsid w:val="00383EA2"/>
    <w:rsid w:val="00386CAF"/>
    <w:rsid w:val="00386EAD"/>
    <w:rsid w:val="0038724A"/>
    <w:rsid w:val="003875EF"/>
    <w:rsid w:val="00387E3E"/>
    <w:rsid w:val="00390F04"/>
    <w:rsid w:val="00390FF7"/>
    <w:rsid w:val="00391053"/>
    <w:rsid w:val="00391E46"/>
    <w:rsid w:val="00394228"/>
    <w:rsid w:val="00394A5F"/>
    <w:rsid w:val="00395030"/>
    <w:rsid w:val="003951BE"/>
    <w:rsid w:val="00396196"/>
    <w:rsid w:val="00397EE6"/>
    <w:rsid w:val="003A0A07"/>
    <w:rsid w:val="003A1C58"/>
    <w:rsid w:val="003A2A56"/>
    <w:rsid w:val="003A2B0C"/>
    <w:rsid w:val="003A3840"/>
    <w:rsid w:val="003A4E13"/>
    <w:rsid w:val="003A4F7A"/>
    <w:rsid w:val="003A6EF8"/>
    <w:rsid w:val="003A7EA5"/>
    <w:rsid w:val="003B0990"/>
    <w:rsid w:val="003B0FFD"/>
    <w:rsid w:val="003B1C53"/>
    <w:rsid w:val="003B1E28"/>
    <w:rsid w:val="003B20FE"/>
    <w:rsid w:val="003B25D8"/>
    <w:rsid w:val="003B325A"/>
    <w:rsid w:val="003B42E4"/>
    <w:rsid w:val="003B4409"/>
    <w:rsid w:val="003B504B"/>
    <w:rsid w:val="003B5391"/>
    <w:rsid w:val="003B55C6"/>
    <w:rsid w:val="003B5EEB"/>
    <w:rsid w:val="003B79CC"/>
    <w:rsid w:val="003B7BBC"/>
    <w:rsid w:val="003C0648"/>
    <w:rsid w:val="003C163C"/>
    <w:rsid w:val="003C1FF7"/>
    <w:rsid w:val="003C26AE"/>
    <w:rsid w:val="003C28C5"/>
    <w:rsid w:val="003C2922"/>
    <w:rsid w:val="003C4B8B"/>
    <w:rsid w:val="003C4C98"/>
    <w:rsid w:val="003C5B4F"/>
    <w:rsid w:val="003C5B63"/>
    <w:rsid w:val="003C5F24"/>
    <w:rsid w:val="003D023A"/>
    <w:rsid w:val="003D1C73"/>
    <w:rsid w:val="003D212A"/>
    <w:rsid w:val="003D261B"/>
    <w:rsid w:val="003D272C"/>
    <w:rsid w:val="003D3E1E"/>
    <w:rsid w:val="003D48AD"/>
    <w:rsid w:val="003D56FD"/>
    <w:rsid w:val="003D6B9C"/>
    <w:rsid w:val="003D6FDD"/>
    <w:rsid w:val="003D7B5C"/>
    <w:rsid w:val="003E1740"/>
    <w:rsid w:val="003E17B1"/>
    <w:rsid w:val="003E21D8"/>
    <w:rsid w:val="003E238D"/>
    <w:rsid w:val="003E2DCC"/>
    <w:rsid w:val="003E33E2"/>
    <w:rsid w:val="003E38DD"/>
    <w:rsid w:val="003E3F6F"/>
    <w:rsid w:val="003E4655"/>
    <w:rsid w:val="003E4720"/>
    <w:rsid w:val="003E4E25"/>
    <w:rsid w:val="003E4EAE"/>
    <w:rsid w:val="003E5255"/>
    <w:rsid w:val="003E5BFA"/>
    <w:rsid w:val="003E5D9F"/>
    <w:rsid w:val="003E67B6"/>
    <w:rsid w:val="003E72DE"/>
    <w:rsid w:val="003F0D56"/>
    <w:rsid w:val="003F1D1A"/>
    <w:rsid w:val="003F2B46"/>
    <w:rsid w:val="003F2E42"/>
    <w:rsid w:val="003F2F24"/>
    <w:rsid w:val="003F3578"/>
    <w:rsid w:val="003F4D1F"/>
    <w:rsid w:val="003F501A"/>
    <w:rsid w:val="003F51C4"/>
    <w:rsid w:val="003F6EC8"/>
    <w:rsid w:val="003F725B"/>
    <w:rsid w:val="003F7947"/>
    <w:rsid w:val="003F79AE"/>
    <w:rsid w:val="004006BD"/>
    <w:rsid w:val="00400D5F"/>
    <w:rsid w:val="00400E8A"/>
    <w:rsid w:val="00401B85"/>
    <w:rsid w:val="00401BF7"/>
    <w:rsid w:val="00401C9B"/>
    <w:rsid w:val="004034E0"/>
    <w:rsid w:val="0040358C"/>
    <w:rsid w:val="0040385E"/>
    <w:rsid w:val="00404135"/>
    <w:rsid w:val="00404CC1"/>
    <w:rsid w:val="004059A3"/>
    <w:rsid w:val="00406496"/>
    <w:rsid w:val="004065B1"/>
    <w:rsid w:val="00407030"/>
    <w:rsid w:val="00410F6C"/>
    <w:rsid w:val="004110CF"/>
    <w:rsid w:val="00411F69"/>
    <w:rsid w:val="0041208A"/>
    <w:rsid w:val="00412EDD"/>
    <w:rsid w:val="004131C5"/>
    <w:rsid w:val="004134A4"/>
    <w:rsid w:val="00413F71"/>
    <w:rsid w:val="0041524E"/>
    <w:rsid w:val="00415629"/>
    <w:rsid w:val="004166F3"/>
    <w:rsid w:val="0041676D"/>
    <w:rsid w:val="00416A38"/>
    <w:rsid w:val="004175C1"/>
    <w:rsid w:val="004201C5"/>
    <w:rsid w:val="0042060D"/>
    <w:rsid w:val="0042145B"/>
    <w:rsid w:val="004217A6"/>
    <w:rsid w:val="00421887"/>
    <w:rsid w:val="00421C00"/>
    <w:rsid w:val="004225E7"/>
    <w:rsid w:val="00422897"/>
    <w:rsid w:val="004235AB"/>
    <w:rsid w:val="004237AE"/>
    <w:rsid w:val="0042427D"/>
    <w:rsid w:val="00424918"/>
    <w:rsid w:val="004253E4"/>
    <w:rsid w:val="00425518"/>
    <w:rsid w:val="0042568A"/>
    <w:rsid w:val="00425932"/>
    <w:rsid w:val="00426272"/>
    <w:rsid w:val="004268CB"/>
    <w:rsid w:val="00430B50"/>
    <w:rsid w:val="00430EC7"/>
    <w:rsid w:val="00431758"/>
    <w:rsid w:val="00431B55"/>
    <w:rsid w:val="0043404F"/>
    <w:rsid w:val="0043421C"/>
    <w:rsid w:val="00434765"/>
    <w:rsid w:val="00435269"/>
    <w:rsid w:val="0043546F"/>
    <w:rsid w:val="00435518"/>
    <w:rsid w:val="0043564B"/>
    <w:rsid w:val="00435BCA"/>
    <w:rsid w:val="00435EBE"/>
    <w:rsid w:val="00436CFE"/>
    <w:rsid w:val="00437018"/>
    <w:rsid w:val="004375C9"/>
    <w:rsid w:val="00437752"/>
    <w:rsid w:val="00437825"/>
    <w:rsid w:val="00437AB7"/>
    <w:rsid w:val="0043E724"/>
    <w:rsid w:val="004401F7"/>
    <w:rsid w:val="004407F9"/>
    <w:rsid w:val="00442C7C"/>
    <w:rsid w:val="00443456"/>
    <w:rsid w:val="004434A9"/>
    <w:rsid w:val="0044353E"/>
    <w:rsid w:val="00444271"/>
    <w:rsid w:val="004467C8"/>
    <w:rsid w:val="00447BFF"/>
    <w:rsid w:val="00447D48"/>
    <w:rsid w:val="00447DA8"/>
    <w:rsid w:val="00450D55"/>
    <w:rsid w:val="004514CC"/>
    <w:rsid w:val="00452B34"/>
    <w:rsid w:val="0045413C"/>
    <w:rsid w:val="00454D75"/>
    <w:rsid w:val="0045554B"/>
    <w:rsid w:val="00455FD4"/>
    <w:rsid w:val="00457068"/>
    <w:rsid w:val="00457B2A"/>
    <w:rsid w:val="00457E0A"/>
    <w:rsid w:val="00457E3E"/>
    <w:rsid w:val="004612EE"/>
    <w:rsid w:val="00461D17"/>
    <w:rsid w:val="00461E13"/>
    <w:rsid w:val="00462856"/>
    <w:rsid w:val="004633DA"/>
    <w:rsid w:val="004635FF"/>
    <w:rsid w:val="0046376C"/>
    <w:rsid w:val="00463D1B"/>
    <w:rsid w:val="00463E6B"/>
    <w:rsid w:val="00465186"/>
    <w:rsid w:val="00466E69"/>
    <w:rsid w:val="004671D3"/>
    <w:rsid w:val="0047137F"/>
    <w:rsid w:val="00471899"/>
    <w:rsid w:val="00471AF4"/>
    <w:rsid w:val="00471D43"/>
    <w:rsid w:val="00472DB0"/>
    <w:rsid w:val="00476096"/>
    <w:rsid w:val="00476800"/>
    <w:rsid w:val="00477202"/>
    <w:rsid w:val="00477752"/>
    <w:rsid w:val="00480FD1"/>
    <w:rsid w:val="00482F7F"/>
    <w:rsid w:val="00483927"/>
    <w:rsid w:val="00483EB5"/>
    <w:rsid w:val="00484376"/>
    <w:rsid w:val="004843C7"/>
    <w:rsid w:val="004844D1"/>
    <w:rsid w:val="00484612"/>
    <w:rsid w:val="00484EF0"/>
    <w:rsid w:val="0048595E"/>
    <w:rsid w:val="00485C2E"/>
    <w:rsid w:val="00487284"/>
    <w:rsid w:val="0048760A"/>
    <w:rsid w:val="00490640"/>
    <w:rsid w:val="004909EF"/>
    <w:rsid w:val="00490C28"/>
    <w:rsid w:val="0049120E"/>
    <w:rsid w:val="00492609"/>
    <w:rsid w:val="00492A34"/>
    <w:rsid w:val="0049347A"/>
    <w:rsid w:val="00493980"/>
    <w:rsid w:val="004942F5"/>
    <w:rsid w:val="004943C4"/>
    <w:rsid w:val="00494E9E"/>
    <w:rsid w:val="0049562E"/>
    <w:rsid w:val="00496500"/>
    <w:rsid w:val="00496FFB"/>
    <w:rsid w:val="004979F8"/>
    <w:rsid w:val="004A020E"/>
    <w:rsid w:val="004A061A"/>
    <w:rsid w:val="004A0EE0"/>
    <w:rsid w:val="004A11C1"/>
    <w:rsid w:val="004A14E6"/>
    <w:rsid w:val="004A1C6F"/>
    <w:rsid w:val="004A3D7D"/>
    <w:rsid w:val="004A4659"/>
    <w:rsid w:val="004A49E6"/>
    <w:rsid w:val="004A54DA"/>
    <w:rsid w:val="004A589D"/>
    <w:rsid w:val="004A5B8B"/>
    <w:rsid w:val="004A5D84"/>
    <w:rsid w:val="004A5E78"/>
    <w:rsid w:val="004A6EC3"/>
    <w:rsid w:val="004B0E1E"/>
    <w:rsid w:val="004B0FA9"/>
    <w:rsid w:val="004B2F0F"/>
    <w:rsid w:val="004B2F4B"/>
    <w:rsid w:val="004B4266"/>
    <w:rsid w:val="004B4353"/>
    <w:rsid w:val="004B43EA"/>
    <w:rsid w:val="004B4435"/>
    <w:rsid w:val="004B4465"/>
    <w:rsid w:val="004B5A7D"/>
    <w:rsid w:val="004B5B73"/>
    <w:rsid w:val="004B73AE"/>
    <w:rsid w:val="004C0440"/>
    <w:rsid w:val="004C059F"/>
    <w:rsid w:val="004C1DAC"/>
    <w:rsid w:val="004C2CCD"/>
    <w:rsid w:val="004C3241"/>
    <w:rsid w:val="004C3532"/>
    <w:rsid w:val="004C5F65"/>
    <w:rsid w:val="004C6275"/>
    <w:rsid w:val="004C6B9C"/>
    <w:rsid w:val="004C7EF1"/>
    <w:rsid w:val="004D29CE"/>
    <w:rsid w:val="004D3058"/>
    <w:rsid w:val="004D3252"/>
    <w:rsid w:val="004D3755"/>
    <w:rsid w:val="004D3F5C"/>
    <w:rsid w:val="004D5762"/>
    <w:rsid w:val="004D5899"/>
    <w:rsid w:val="004D60C3"/>
    <w:rsid w:val="004D69D0"/>
    <w:rsid w:val="004D706C"/>
    <w:rsid w:val="004D7A0A"/>
    <w:rsid w:val="004D7C8A"/>
    <w:rsid w:val="004D7FB0"/>
    <w:rsid w:val="004E0117"/>
    <w:rsid w:val="004E0933"/>
    <w:rsid w:val="004E0E01"/>
    <w:rsid w:val="004E1CFB"/>
    <w:rsid w:val="004E1FE0"/>
    <w:rsid w:val="004E35E4"/>
    <w:rsid w:val="004E35FF"/>
    <w:rsid w:val="004E39AF"/>
    <w:rsid w:val="004E4ABF"/>
    <w:rsid w:val="004E4FD9"/>
    <w:rsid w:val="004E5639"/>
    <w:rsid w:val="004E644E"/>
    <w:rsid w:val="004E6E55"/>
    <w:rsid w:val="004E790C"/>
    <w:rsid w:val="004E7F37"/>
    <w:rsid w:val="004F07B8"/>
    <w:rsid w:val="004F0895"/>
    <w:rsid w:val="004F0B88"/>
    <w:rsid w:val="004F0F7C"/>
    <w:rsid w:val="004F11CB"/>
    <w:rsid w:val="004F25AB"/>
    <w:rsid w:val="004F3B2C"/>
    <w:rsid w:val="004F5400"/>
    <w:rsid w:val="004F5BBC"/>
    <w:rsid w:val="004F75AF"/>
    <w:rsid w:val="004F78FB"/>
    <w:rsid w:val="00501130"/>
    <w:rsid w:val="005026C6"/>
    <w:rsid w:val="005027A1"/>
    <w:rsid w:val="0050352A"/>
    <w:rsid w:val="005040C4"/>
    <w:rsid w:val="0050426A"/>
    <w:rsid w:val="005042AF"/>
    <w:rsid w:val="00505363"/>
    <w:rsid w:val="00505A7C"/>
    <w:rsid w:val="005066C1"/>
    <w:rsid w:val="00507294"/>
    <w:rsid w:val="005074BD"/>
    <w:rsid w:val="00507A84"/>
    <w:rsid w:val="00507CC9"/>
    <w:rsid w:val="00507CCB"/>
    <w:rsid w:val="00507FB5"/>
    <w:rsid w:val="005103BF"/>
    <w:rsid w:val="00511D14"/>
    <w:rsid w:val="00512337"/>
    <w:rsid w:val="005130F2"/>
    <w:rsid w:val="00513235"/>
    <w:rsid w:val="005138DA"/>
    <w:rsid w:val="00513A44"/>
    <w:rsid w:val="00513D41"/>
    <w:rsid w:val="005143C1"/>
    <w:rsid w:val="00514753"/>
    <w:rsid w:val="00514A1D"/>
    <w:rsid w:val="00514E1B"/>
    <w:rsid w:val="0051629B"/>
    <w:rsid w:val="0051656A"/>
    <w:rsid w:val="005167F3"/>
    <w:rsid w:val="0051686B"/>
    <w:rsid w:val="00516892"/>
    <w:rsid w:val="00516C07"/>
    <w:rsid w:val="00520761"/>
    <w:rsid w:val="00523248"/>
    <w:rsid w:val="00523348"/>
    <w:rsid w:val="00523BC8"/>
    <w:rsid w:val="00524C20"/>
    <w:rsid w:val="00524CD1"/>
    <w:rsid w:val="00524D0F"/>
    <w:rsid w:val="0052535E"/>
    <w:rsid w:val="00526B7C"/>
    <w:rsid w:val="00527070"/>
    <w:rsid w:val="005273CB"/>
    <w:rsid w:val="00527417"/>
    <w:rsid w:val="00527872"/>
    <w:rsid w:val="00527EC5"/>
    <w:rsid w:val="00532783"/>
    <w:rsid w:val="00532C90"/>
    <w:rsid w:val="00533A71"/>
    <w:rsid w:val="005358E8"/>
    <w:rsid w:val="00535ABE"/>
    <w:rsid w:val="00536890"/>
    <w:rsid w:val="00540502"/>
    <w:rsid w:val="00540C95"/>
    <w:rsid w:val="00541605"/>
    <w:rsid w:val="00541C41"/>
    <w:rsid w:val="005421A6"/>
    <w:rsid w:val="00543C4E"/>
    <w:rsid w:val="00544D2E"/>
    <w:rsid w:val="00544E3B"/>
    <w:rsid w:val="00545A44"/>
    <w:rsid w:val="0054629E"/>
    <w:rsid w:val="00547430"/>
    <w:rsid w:val="0054774A"/>
    <w:rsid w:val="00547828"/>
    <w:rsid w:val="00547892"/>
    <w:rsid w:val="00550A83"/>
    <w:rsid w:val="005511D9"/>
    <w:rsid w:val="005512A4"/>
    <w:rsid w:val="00551BF3"/>
    <w:rsid w:val="00552AC7"/>
    <w:rsid w:val="00552C85"/>
    <w:rsid w:val="005532AF"/>
    <w:rsid w:val="00553AAE"/>
    <w:rsid w:val="005554C5"/>
    <w:rsid w:val="005555E0"/>
    <w:rsid w:val="00555B9E"/>
    <w:rsid w:val="00557CA3"/>
    <w:rsid w:val="00560BEF"/>
    <w:rsid w:val="005615F3"/>
    <w:rsid w:val="0056597D"/>
    <w:rsid w:val="0056641C"/>
    <w:rsid w:val="00566513"/>
    <w:rsid w:val="00566B0F"/>
    <w:rsid w:val="00566BD4"/>
    <w:rsid w:val="005702FA"/>
    <w:rsid w:val="00570695"/>
    <w:rsid w:val="00571C7C"/>
    <w:rsid w:val="00573287"/>
    <w:rsid w:val="005734ED"/>
    <w:rsid w:val="0057371D"/>
    <w:rsid w:val="00573AC8"/>
    <w:rsid w:val="00573B6B"/>
    <w:rsid w:val="00573BFC"/>
    <w:rsid w:val="00575722"/>
    <w:rsid w:val="005766D7"/>
    <w:rsid w:val="00576EFB"/>
    <w:rsid w:val="00577147"/>
    <w:rsid w:val="00580159"/>
    <w:rsid w:val="00580366"/>
    <w:rsid w:val="005810BC"/>
    <w:rsid w:val="00581ED8"/>
    <w:rsid w:val="00582D4A"/>
    <w:rsid w:val="00582E3E"/>
    <w:rsid w:val="00583457"/>
    <w:rsid w:val="005840B8"/>
    <w:rsid w:val="00584244"/>
    <w:rsid w:val="00584251"/>
    <w:rsid w:val="00584C5C"/>
    <w:rsid w:val="0058571F"/>
    <w:rsid w:val="00585837"/>
    <w:rsid w:val="0058592B"/>
    <w:rsid w:val="005871DA"/>
    <w:rsid w:val="00590E5C"/>
    <w:rsid w:val="00591EDB"/>
    <w:rsid w:val="0059201E"/>
    <w:rsid w:val="00592371"/>
    <w:rsid w:val="0059397C"/>
    <w:rsid w:val="00593A94"/>
    <w:rsid w:val="005941FF"/>
    <w:rsid w:val="005949AC"/>
    <w:rsid w:val="0059554B"/>
    <w:rsid w:val="00595619"/>
    <w:rsid w:val="00597548"/>
    <w:rsid w:val="00597858"/>
    <w:rsid w:val="005A0F62"/>
    <w:rsid w:val="005A1DFA"/>
    <w:rsid w:val="005A234F"/>
    <w:rsid w:val="005A3B62"/>
    <w:rsid w:val="005A65B7"/>
    <w:rsid w:val="005A694C"/>
    <w:rsid w:val="005A6FB5"/>
    <w:rsid w:val="005A7199"/>
    <w:rsid w:val="005A736A"/>
    <w:rsid w:val="005A769B"/>
    <w:rsid w:val="005A7B0E"/>
    <w:rsid w:val="005B0FBA"/>
    <w:rsid w:val="005B14BF"/>
    <w:rsid w:val="005B23E5"/>
    <w:rsid w:val="005B2453"/>
    <w:rsid w:val="005B3239"/>
    <w:rsid w:val="005B3504"/>
    <w:rsid w:val="005B5501"/>
    <w:rsid w:val="005B57B5"/>
    <w:rsid w:val="005B5B0E"/>
    <w:rsid w:val="005B67BD"/>
    <w:rsid w:val="005B6C27"/>
    <w:rsid w:val="005B7250"/>
    <w:rsid w:val="005B7B38"/>
    <w:rsid w:val="005B7EEA"/>
    <w:rsid w:val="005C047E"/>
    <w:rsid w:val="005C08AE"/>
    <w:rsid w:val="005C0ABA"/>
    <w:rsid w:val="005C4A46"/>
    <w:rsid w:val="005C51CA"/>
    <w:rsid w:val="005C6799"/>
    <w:rsid w:val="005C6F78"/>
    <w:rsid w:val="005D083E"/>
    <w:rsid w:val="005D0E92"/>
    <w:rsid w:val="005D1144"/>
    <w:rsid w:val="005D12DB"/>
    <w:rsid w:val="005D328F"/>
    <w:rsid w:val="005D41E3"/>
    <w:rsid w:val="005D4836"/>
    <w:rsid w:val="005D521F"/>
    <w:rsid w:val="005D5DDD"/>
    <w:rsid w:val="005D5F3B"/>
    <w:rsid w:val="005D7EF8"/>
    <w:rsid w:val="005E03D9"/>
    <w:rsid w:val="005E065B"/>
    <w:rsid w:val="005E22D7"/>
    <w:rsid w:val="005E290B"/>
    <w:rsid w:val="005E2EC4"/>
    <w:rsid w:val="005E349C"/>
    <w:rsid w:val="005E3670"/>
    <w:rsid w:val="005E5059"/>
    <w:rsid w:val="005E5DEF"/>
    <w:rsid w:val="005E67D6"/>
    <w:rsid w:val="005E7B5A"/>
    <w:rsid w:val="005E7BB8"/>
    <w:rsid w:val="005F0362"/>
    <w:rsid w:val="005F0841"/>
    <w:rsid w:val="005F09A1"/>
    <w:rsid w:val="005F0C15"/>
    <w:rsid w:val="005F0E26"/>
    <w:rsid w:val="005F1011"/>
    <w:rsid w:val="005F109A"/>
    <w:rsid w:val="005F122E"/>
    <w:rsid w:val="005F19D2"/>
    <w:rsid w:val="005F1C91"/>
    <w:rsid w:val="005F28E0"/>
    <w:rsid w:val="005F29A1"/>
    <w:rsid w:val="005F3513"/>
    <w:rsid w:val="005F4E41"/>
    <w:rsid w:val="005F53A3"/>
    <w:rsid w:val="005F549D"/>
    <w:rsid w:val="005F55AC"/>
    <w:rsid w:val="005F622A"/>
    <w:rsid w:val="005F654F"/>
    <w:rsid w:val="005F6B31"/>
    <w:rsid w:val="005F7577"/>
    <w:rsid w:val="006005E9"/>
    <w:rsid w:val="006006C7"/>
    <w:rsid w:val="0060133F"/>
    <w:rsid w:val="00601D59"/>
    <w:rsid w:val="00607B78"/>
    <w:rsid w:val="00607E5F"/>
    <w:rsid w:val="0061114F"/>
    <w:rsid w:val="00611B15"/>
    <w:rsid w:val="00611BE2"/>
    <w:rsid w:val="00611D83"/>
    <w:rsid w:val="00611F28"/>
    <w:rsid w:val="006126F3"/>
    <w:rsid w:val="00613257"/>
    <w:rsid w:val="00613941"/>
    <w:rsid w:val="00613C34"/>
    <w:rsid w:val="00614012"/>
    <w:rsid w:val="006146F1"/>
    <w:rsid w:val="00616064"/>
    <w:rsid w:val="00616C1F"/>
    <w:rsid w:val="00617E3E"/>
    <w:rsid w:val="00620A03"/>
    <w:rsid w:val="00621791"/>
    <w:rsid w:val="00621AC4"/>
    <w:rsid w:val="00621C35"/>
    <w:rsid w:val="00622B24"/>
    <w:rsid w:val="00623591"/>
    <w:rsid w:val="00623F25"/>
    <w:rsid w:val="00624016"/>
    <w:rsid w:val="00625454"/>
    <w:rsid w:val="00625BE2"/>
    <w:rsid w:val="00625C5B"/>
    <w:rsid w:val="00627376"/>
    <w:rsid w:val="00627812"/>
    <w:rsid w:val="00630A4B"/>
    <w:rsid w:val="006321A8"/>
    <w:rsid w:val="00632637"/>
    <w:rsid w:val="006327FA"/>
    <w:rsid w:val="00633629"/>
    <w:rsid w:val="00633A20"/>
    <w:rsid w:val="00633BA9"/>
    <w:rsid w:val="00633C1F"/>
    <w:rsid w:val="00634501"/>
    <w:rsid w:val="00634974"/>
    <w:rsid w:val="00635636"/>
    <w:rsid w:val="00635FED"/>
    <w:rsid w:val="0064058A"/>
    <w:rsid w:val="006405A1"/>
    <w:rsid w:val="00641FE4"/>
    <w:rsid w:val="00642ADF"/>
    <w:rsid w:val="00643359"/>
    <w:rsid w:val="0064480C"/>
    <w:rsid w:val="00645191"/>
    <w:rsid w:val="006452E7"/>
    <w:rsid w:val="00645BDD"/>
    <w:rsid w:val="00646076"/>
    <w:rsid w:val="006468B3"/>
    <w:rsid w:val="006468F9"/>
    <w:rsid w:val="006472BA"/>
    <w:rsid w:val="00647CE9"/>
    <w:rsid w:val="00650783"/>
    <w:rsid w:val="0065091B"/>
    <w:rsid w:val="006509EB"/>
    <w:rsid w:val="00651A4D"/>
    <w:rsid w:val="006522B9"/>
    <w:rsid w:val="00652F74"/>
    <w:rsid w:val="00655408"/>
    <w:rsid w:val="006561D1"/>
    <w:rsid w:val="00656A0C"/>
    <w:rsid w:val="00656EB5"/>
    <w:rsid w:val="0066006F"/>
    <w:rsid w:val="0066112E"/>
    <w:rsid w:val="006614D4"/>
    <w:rsid w:val="00662C8B"/>
    <w:rsid w:val="00662E3C"/>
    <w:rsid w:val="00664688"/>
    <w:rsid w:val="006649BB"/>
    <w:rsid w:val="00664E55"/>
    <w:rsid w:val="00664FA8"/>
    <w:rsid w:val="0066535F"/>
    <w:rsid w:val="00666102"/>
    <w:rsid w:val="006665F3"/>
    <w:rsid w:val="00667E39"/>
    <w:rsid w:val="0067032E"/>
    <w:rsid w:val="00670733"/>
    <w:rsid w:val="00671BD2"/>
    <w:rsid w:val="00673E16"/>
    <w:rsid w:val="00674BEC"/>
    <w:rsid w:val="00674EA7"/>
    <w:rsid w:val="006757A3"/>
    <w:rsid w:val="0067626A"/>
    <w:rsid w:val="00676CB9"/>
    <w:rsid w:val="00676F46"/>
    <w:rsid w:val="0067767D"/>
    <w:rsid w:val="00677760"/>
    <w:rsid w:val="00680D5E"/>
    <w:rsid w:val="00681E85"/>
    <w:rsid w:val="006827C7"/>
    <w:rsid w:val="006840E8"/>
    <w:rsid w:val="006847D0"/>
    <w:rsid w:val="00684AF1"/>
    <w:rsid w:val="00685E0E"/>
    <w:rsid w:val="006863DB"/>
    <w:rsid w:val="00686A0F"/>
    <w:rsid w:val="00687088"/>
    <w:rsid w:val="0069112B"/>
    <w:rsid w:val="00691776"/>
    <w:rsid w:val="006917A2"/>
    <w:rsid w:val="00691CAD"/>
    <w:rsid w:val="00693689"/>
    <w:rsid w:val="00694B88"/>
    <w:rsid w:val="00694DA1"/>
    <w:rsid w:val="00695917"/>
    <w:rsid w:val="00695CE9"/>
    <w:rsid w:val="00696423"/>
    <w:rsid w:val="00696645"/>
    <w:rsid w:val="00696CC7"/>
    <w:rsid w:val="006A0DFA"/>
    <w:rsid w:val="006A0F3E"/>
    <w:rsid w:val="006A132F"/>
    <w:rsid w:val="006A1620"/>
    <w:rsid w:val="006A1CB0"/>
    <w:rsid w:val="006A2FC2"/>
    <w:rsid w:val="006A31AE"/>
    <w:rsid w:val="006A526A"/>
    <w:rsid w:val="006A6C12"/>
    <w:rsid w:val="006A7305"/>
    <w:rsid w:val="006A7C3A"/>
    <w:rsid w:val="006B010F"/>
    <w:rsid w:val="006B1997"/>
    <w:rsid w:val="006B1E92"/>
    <w:rsid w:val="006B2495"/>
    <w:rsid w:val="006B289E"/>
    <w:rsid w:val="006B3118"/>
    <w:rsid w:val="006B31DF"/>
    <w:rsid w:val="006B46B4"/>
    <w:rsid w:val="006B4DCA"/>
    <w:rsid w:val="006B56DC"/>
    <w:rsid w:val="006B5F93"/>
    <w:rsid w:val="006B62AE"/>
    <w:rsid w:val="006B6B03"/>
    <w:rsid w:val="006B6B91"/>
    <w:rsid w:val="006B6F6B"/>
    <w:rsid w:val="006C0C11"/>
    <w:rsid w:val="006C0D08"/>
    <w:rsid w:val="006C188F"/>
    <w:rsid w:val="006C2A1C"/>
    <w:rsid w:val="006C2BE7"/>
    <w:rsid w:val="006C31BA"/>
    <w:rsid w:val="006C3C4F"/>
    <w:rsid w:val="006C4D9F"/>
    <w:rsid w:val="006C679F"/>
    <w:rsid w:val="006C772B"/>
    <w:rsid w:val="006C7E4F"/>
    <w:rsid w:val="006CEEC2"/>
    <w:rsid w:val="006D1712"/>
    <w:rsid w:val="006D1981"/>
    <w:rsid w:val="006D1E5A"/>
    <w:rsid w:val="006D34BE"/>
    <w:rsid w:val="006D34C8"/>
    <w:rsid w:val="006D3B15"/>
    <w:rsid w:val="006D4A1E"/>
    <w:rsid w:val="006D5660"/>
    <w:rsid w:val="006D5EB2"/>
    <w:rsid w:val="006D6BEB"/>
    <w:rsid w:val="006E1564"/>
    <w:rsid w:val="006E1EC7"/>
    <w:rsid w:val="006E1FF1"/>
    <w:rsid w:val="006E2C7A"/>
    <w:rsid w:val="006E3036"/>
    <w:rsid w:val="006E3891"/>
    <w:rsid w:val="006E4826"/>
    <w:rsid w:val="006E4B54"/>
    <w:rsid w:val="006E5CF4"/>
    <w:rsid w:val="006E762B"/>
    <w:rsid w:val="006F0081"/>
    <w:rsid w:val="006F0241"/>
    <w:rsid w:val="006F04E5"/>
    <w:rsid w:val="006F0E97"/>
    <w:rsid w:val="006F129B"/>
    <w:rsid w:val="006F1428"/>
    <w:rsid w:val="006F2AF9"/>
    <w:rsid w:val="006F354B"/>
    <w:rsid w:val="006F41C9"/>
    <w:rsid w:val="006F5FB2"/>
    <w:rsid w:val="006F7EB3"/>
    <w:rsid w:val="00700214"/>
    <w:rsid w:val="007016CE"/>
    <w:rsid w:val="0070186F"/>
    <w:rsid w:val="00701CBD"/>
    <w:rsid w:val="00702075"/>
    <w:rsid w:val="00702D16"/>
    <w:rsid w:val="00702DED"/>
    <w:rsid w:val="00703CF2"/>
    <w:rsid w:val="00703D56"/>
    <w:rsid w:val="00705D4D"/>
    <w:rsid w:val="00705E14"/>
    <w:rsid w:val="00706AA0"/>
    <w:rsid w:val="00706CE8"/>
    <w:rsid w:val="0070728B"/>
    <w:rsid w:val="00707AE5"/>
    <w:rsid w:val="007107F0"/>
    <w:rsid w:val="00710AC5"/>
    <w:rsid w:val="00711114"/>
    <w:rsid w:val="00711F68"/>
    <w:rsid w:val="0071252F"/>
    <w:rsid w:val="007137E9"/>
    <w:rsid w:val="00713CF5"/>
    <w:rsid w:val="007147CD"/>
    <w:rsid w:val="007156A9"/>
    <w:rsid w:val="00715855"/>
    <w:rsid w:val="00715C80"/>
    <w:rsid w:val="00715F75"/>
    <w:rsid w:val="00717184"/>
    <w:rsid w:val="007176B9"/>
    <w:rsid w:val="00720608"/>
    <w:rsid w:val="00720AD0"/>
    <w:rsid w:val="00720F2E"/>
    <w:rsid w:val="00721B45"/>
    <w:rsid w:val="00722CFC"/>
    <w:rsid w:val="007234B1"/>
    <w:rsid w:val="00723742"/>
    <w:rsid w:val="00725347"/>
    <w:rsid w:val="00725807"/>
    <w:rsid w:val="00725BF1"/>
    <w:rsid w:val="00726089"/>
    <w:rsid w:val="00726523"/>
    <w:rsid w:val="00726F6B"/>
    <w:rsid w:val="00727084"/>
    <w:rsid w:val="00727261"/>
    <w:rsid w:val="00730281"/>
    <w:rsid w:val="00732FD4"/>
    <w:rsid w:val="007337EB"/>
    <w:rsid w:val="0073390B"/>
    <w:rsid w:val="007346EE"/>
    <w:rsid w:val="0073473F"/>
    <w:rsid w:val="00735802"/>
    <w:rsid w:val="0073602E"/>
    <w:rsid w:val="00736D3D"/>
    <w:rsid w:val="007370CD"/>
    <w:rsid w:val="00737393"/>
    <w:rsid w:val="00740684"/>
    <w:rsid w:val="00740CDA"/>
    <w:rsid w:val="007411F5"/>
    <w:rsid w:val="0074198B"/>
    <w:rsid w:val="00742D12"/>
    <w:rsid w:val="00743330"/>
    <w:rsid w:val="0074388A"/>
    <w:rsid w:val="00743B80"/>
    <w:rsid w:val="007442F0"/>
    <w:rsid w:val="007447BD"/>
    <w:rsid w:val="00744968"/>
    <w:rsid w:val="00744AA1"/>
    <w:rsid w:val="0074538F"/>
    <w:rsid w:val="007461B0"/>
    <w:rsid w:val="00746361"/>
    <w:rsid w:val="007478E8"/>
    <w:rsid w:val="0075093F"/>
    <w:rsid w:val="00750C62"/>
    <w:rsid w:val="007517B7"/>
    <w:rsid w:val="007519C0"/>
    <w:rsid w:val="00752442"/>
    <w:rsid w:val="007527B6"/>
    <w:rsid w:val="00752C54"/>
    <w:rsid w:val="0075399C"/>
    <w:rsid w:val="00753C98"/>
    <w:rsid w:val="0075408C"/>
    <w:rsid w:val="00754CD2"/>
    <w:rsid w:val="007551A1"/>
    <w:rsid w:val="00755480"/>
    <w:rsid w:val="0075614F"/>
    <w:rsid w:val="007566AB"/>
    <w:rsid w:val="007604A6"/>
    <w:rsid w:val="00760AF1"/>
    <w:rsid w:val="007613E5"/>
    <w:rsid w:val="0076197F"/>
    <w:rsid w:val="00761CF0"/>
    <w:rsid w:val="00761DCA"/>
    <w:rsid w:val="00762078"/>
    <w:rsid w:val="00762204"/>
    <w:rsid w:val="00762845"/>
    <w:rsid w:val="00762E58"/>
    <w:rsid w:val="00763F03"/>
    <w:rsid w:val="00763FB4"/>
    <w:rsid w:val="00764035"/>
    <w:rsid w:val="00764B5A"/>
    <w:rsid w:val="00764F30"/>
    <w:rsid w:val="007656C2"/>
    <w:rsid w:val="007665F3"/>
    <w:rsid w:val="00767E1D"/>
    <w:rsid w:val="00770079"/>
    <w:rsid w:val="007701A4"/>
    <w:rsid w:val="00771301"/>
    <w:rsid w:val="00772A3F"/>
    <w:rsid w:val="00772AC8"/>
    <w:rsid w:val="00772B36"/>
    <w:rsid w:val="00772DC7"/>
    <w:rsid w:val="00772F27"/>
    <w:rsid w:val="007738E3"/>
    <w:rsid w:val="0077461D"/>
    <w:rsid w:val="00774E0C"/>
    <w:rsid w:val="00775015"/>
    <w:rsid w:val="007768D4"/>
    <w:rsid w:val="00777131"/>
    <w:rsid w:val="0077744B"/>
    <w:rsid w:val="007774EE"/>
    <w:rsid w:val="0077788C"/>
    <w:rsid w:val="00777D80"/>
    <w:rsid w:val="00780751"/>
    <w:rsid w:val="0078080E"/>
    <w:rsid w:val="007808CA"/>
    <w:rsid w:val="00781227"/>
    <w:rsid w:val="007822DA"/>
    <w:rsid w:val="0078238D"/>
    <w:rsid w:val="007839A8"/>
    <w:rsid w:val="007845B2"/>
    <w:rsid w:val="00784971"/>
    <w:rsid w:val="00784E8A"/>
    <w:rsid w:val="00785202"/>
    <w:rsid w:val="00786942"/>
    <w:rsid w:val="007875C0"/>
    <w:rsid w:val="00787744"/>
    <w:rsid w:val="00787EFC"/>
    <w:rsid w:val="00790A33"/>
    <w:rsid w:val="00790D65"/>
    <w:rsid w:val="00790F4E"/>
    <w:rsid w:val="007910FC"/>
    <w:rsid w:val="00791844"/>
    <w:rsid w:val="00791E6E"/>
    <w:rsid w:val="0079233A"/>
    <w:rsid w:val="00792D8D"/>
    <w:rsid w:val="00793590"/>
    <w:rsid w:val="0079379C"/>
    <w:rsid w:val="00793C5C"/>
    <w:rsid w:val="00793F88"/>
    <w:rsid w:val="00797566"/>
    <w:rsid w:val="00797877"/>
    <w:rsid w:val="00797DD3"/>
    <w:rsid w:val="00797ED5"/>
    <w:rsid w:val="007A032C"/>
    <w:rsid w:val="007A08D2"/>
    <w:rsid w:val="007A18F7"/>
    <w:rsid w:val="007A277C"/>
    <w:rsid w:val="007A2FA7"/>
    <w:rsid w:val="007A3106"/>
    <w:rsid w:val="007A353C"/>
    <w:rsid w:val="007A357C"/>
    <w:rsid w:val="007A3A7B"/>
    <w:rsid w:val="007A3DAE"/>
    <w:rsid w:val="007A4A9C"/>
    <w:rsid w:val="007A5038"/>
    <w:rsid w:val="007A62AB"/>
    <w:rsid w:val="007A6B3C"/>
    <w:rsid w:val="007A6CEA"/>
    <w:rsid w:val="007A6F70"/>
    <w:rsid w:val="007A7159"/>
    <w:rsid w:val="007A78E6"/>
    <w:rsid w:val="007A7DC3"/>
    <w:rsid w:val="007A7E66"/>
    <w:rsid w:val="007B1025"/>
    <w:rsid w:val="007B1154"/>
    <w:rsid w:val="007B2329"/>
    <w:rsid w:val="007B27A5"/>
    <w:rsid w:val="007B2B4F"/>
    <w:rsid w:val="007B2EF9"/>
    <w:rsid w:val="007B3788"/>
    <w:rsid w:val="007B3B28"/>
    <w:rsid w:val="007B3F83"/>
    <w:rsid w:val="007B70AB"/>
    <w:rsid w:val="007B7A49"/>
    <w:rsid w:val="007C01C4"/>
    <w:rsid w:val="007C1CC6"/>
    <w:rsid w:val="007C2488"/>
    <w:rsid w:val="007C32A2"/>
    <w:rsid w:val="007C3C65"/>
    <w:rsid w:val="007C3E45"/>
    <w:rsid w:val="007C5872"/>
    <w:rsid w:val="007C598F"/>
    <w:rsid w:val="007C5B94"/>
    <w:rsid w:val="007C62E4"/>
    <w:rsid w:val="007C7126"/>
    <w:rsid w:val="007C7CC3"/>
    <w:rsid w:val="007D2853"/>
    <w:rsid w:val="007D366B"/>
    <w:rsid w:val="007D3B14"/>
    <w:rsid w:val="007D3F74"/>
    <w:rsid w:val="007D4221"/>
    <w:rsid w:val="007D43AC"/>
    <w:rsid w:val="007D4806"/>
    <w:rsid w:val="007D5930"/>
    <w:rsid w:val="007D5AB1"/>
    <w:rsid w:val="007D5D58"/>
    <w:rsid w:val="007D6845"/>
    <w:rsid w:val="007D7061"/>
    <w:rsid w:val="007D7D7E"/>
    <w:rsid w:val="007E0B9F"/>
    <w:rsid w:val="007E1905"/>
    <w:rsid w:val="007E1C3E"/>
    <w:rsid w:val="007E2317"/>
    <w:rsid w:val="007E2EA6"/>
    <w:rsid w:val="007E2F97"/>
    <w:rsid w:val="007E38C9"/>
    <w:rsid w:val="007E3909"/>
    <w:rsid w:val="007E4D96"/>
    <w:rsid w:val="007E5133"/>
    <w:rsid w:val="007E5AA3"/>
    <w:rsid w:val="007E7064"/>
    <w:rsid w:val="007E7812"/>
    <w:rsid w:val="007E78CC"/>
    <w:rsid w:val="007F0647"/>
    <w:rsid w:val="007F15D4"/>
    <w:rsid w:val="007F278A"/>
    <w:rsid w:val="007F3C43"/>
    <w:rsid w:val="007F5184"/>
    <w:rsid w:val="007F5481"/>
    <w:rsid w:val="007F5C70"/>
    <w:rsid w:val="007F5D16"/>
    <w:rsid w:val="007F5D31"/>
    <w:rsid w:val="007F621C"/>
    <w:rsid w:val="007F648C"/>
    <w:rsid w:val="007F75C9"/>
    <w:rsid w:val="007F7A1D"/>
    <w:rsid w:val="0080022B"/>
    <w:rsid w:val="00800461"/>
    <w:rsid w:val="00800B92"/>
    <w:rsid w:val="00801717"/>
    <w:rsid w:val="0080311E"/>
    <w:rsid w:val="0080373E"/>
    <w:rsid w:val="0080378E"/>
    <w:rsid w:val="00803969"/>
    <w:rsid w:val="00803A58"/>
    <w:rsid w:val="00803E75"/>
    <w:rsid w:val="00804712"/>
    <w:rsid w:val="008048D8"/>
    <w:rsid w:val="0080617E"/>
    <w:rsid w:val="00806C77"/>
    <w:rsid w:val="00806F70"/>
    <w:rsid w:val="0080720C"/>
    <w:rsid w:val="00807A99"/>
    <w:rsid w:val="00807FF8"/>
    <w:rsid w:val="0081086F"/>
    <w:rsid w:val="00810F44"/>
    <w:rsid w:val="0081165D"/>
    <w:rsid w:val="0081257B"/>
    <w:rsid w:val="00812BFA"/>
    <w:rsid w:val="00813A42"/>
    <w:rsid w:val="00813C59"/>
    <w:rsid w:val="008142D1"/>
    <w:rsid w:val="00814606"/>
    <w:rsid w:val="00814D03"/>
    <w:rsid w:val="00815747"/>
    <w:rsid w:val="00815758"/>
    <w:rsid w:val="00815AC4"/>
    <w:rsid w:val="008165C8"/>
    <w:rsid w:val="00816AAC"/>
    <w:rsid w:val="00817655"/>
    <w:rsid w:val="00820353"/>
    <w:rsid w:val="0082091C"/>
    <w:rsid w:val="008209E8"/>
    <w:rsid w:val="00820B9C"/>
    <w:rsid w:val="008210C2"/>
    <w:rsid w:val="0082122F"/>
    <w:rsid w:val="0082271F"/>
    <w:rsid w:val="00822D9A"/>
    <w:rsid w:val="00822EBD"/>
    <w:rsid w:val="00822FB3"/>
    <w:rsid w:val="00823216"/>
    <w:rsid w:val="0082353E"/>
    <w:rsid w:val="00823C61"/>
    <w:rsid w:val="008244D0"/>
    <w:rsid w:val="008249D7"/>
    <w:rsid w:val="00824A52"/>
    <w:rsid w:val="00824FA5"/>
    <w:rsid w:val="00825768"/>
    <w:rsid w:val="00825F5C"/>
    <w:rsid w:val="0082600C"/>
    <w:rsid w:val="00826AE9"/>
    <w:rsid w:val="00826D3C"/>
    <w:rsid w:val="0082787F"/>
    <w:rsid w:val="00827EC1"/>
    <w:rsid w:val="008302D5"/>
    <w:rsid w:val="008305DD"/>
    <w:rsid w:val="00830719"/>
    <w:rsid w:val="008308CD"/>
    <w:rsid w:val="00831006"/>
    <w:rsid w:val="008318E0"/>
    <w:rsid w:val="008329AF"/>
    <w:rsid w:val="0083380D"/>
    <w:rsid w:val="0083388E"/>
    <w:rsid w:val="00833AAF"/>
    <w:rsid w:val="00833F50"/>
    <w:rsid w:val="00834D98"/>
    <w:rsid w:val="00834FDD"/>
    <w:rsid w:val="00835B27"/>
    <w:rsid w:val="00835CB9"/>
    <w:rsid w:val="008367F8"/>
    <w:rsid w:val="00836ADC"/>
    <w:rsid w:val="00837738"/>
    <w:rsid w:val="0084029A"/>
    <w:rsid w:val="00841EBB"/>
    <w:rsid w:val="008427CC"/>
    <w:rsid w:val="00842945"/>
    <w:rsid w:val="008436DC"/>
    <w:rsid w:val="008448A7"/>
    <w:rsid w:val="00844CD4"/>
    <w:rsid w:val="00846618"/>
    <w:rsid w:val="00846F21"/>
    <w:rsid w:val="0084748A"/>
    <w:rsid w:val="00847CFB"/>
    <w:rsid w:val="0084B903"/>
    <w:rsid w:val="00854574"/>
    <w:rsid w:val="00854EA3"/>
    <w:rsid w:val="0085556E"/>
    <w:rsid w:val="00855AFA"/>
    <w:rsid w:val="00855E63"/>
    <w:rsid w:val="00855EE2"/>
    <w:rsid w:val="0085605C"/>
    <w:rsid w:val="00856431"/>
    <w:rsid w:val="00856576"/>
    <w:rsid w:val="00860957"/>
    <w:rsid w:val="00860A0E"/>
    <w:rsid w:val="00860C59"/>
    <w:rsid w:val="00860C87"/>
    <w:rsid w:val="00861929"/>
    <w:rsid w:val="0086285C"/>
    <w:rsid w:val="00863715"/>
    <w:rsid w:val="008647DE"/>
    <w:rsid w:val="0086573C"/>
    <w:rsid w:val="00865A99"/>
    <w:rsid w:val="00866D7D"/>
    <w:rsid w:val="008706BD"/>
    <w:rsid w:val="0087233A"/>
    <w:rsid w:val="0087313B"/>
    <w:rsid w:val="008734CC"/>
    <w:rsid w:val="00873DB6"/>
    <w:rsid w:val="00873E4E"/>
    <w:rsid w:val="00874195"/>
    <w:rsid w:val="0087580B"/>
    <w:rsid w:val="00876684"/>
    <w:rsid w:val="0087717B"/>
    <w:rsid w:val="00877834"/>
    <w:rsid w:val="008802D1"/>
    <w:rsid w:val="00880B1B"/>
    <w:rsid w:val="00880DD1"/>
    <w:rsid w:val="00881430"/>
    <w:rsid w:val="00881803"/>
    <w:rsid w:val="00883681"/>
    <w:rsid w:val="008836F7"/>
    <w:rsid w:val="00883871"/>
    <w:rsid w:val="008849CE"/>
    <w:rsid w:val="00885CB9"/>
    <w:rsid w:val="008864EF"/>
    <w:rsid w:val="0088657C"/>
    <w:rsid w:val="008905A4"/>
    <w:rsid w:val="008906D6"/>
    <w:rsid w:val="00893208"/>
    <w:rsid w:val="0089321D"/>
    <w:rsid w:val="00893880"/>
    <w:rsid w:val="00893AD5"/>
    <w:rsid w:val="008949BE"/>
    <w:rsid w:val="00894C90"/>
    <w:rsid w:val="00895702"/>
    <w:rsid w:val="00895FEE"/>
    <w:rsid w:val="00896919"/>
    <w:rsid w:val="0089754B"/>
    <w:rsid w:val="00897D41"/>
    <w:rsid w:val="008A0960"/>
    <w:rsid w:val="008A10FB"/>
    <w:rsid w:val="008A1D17"/>
    <w:rsid w:val="008A1E70"/>
    <w:rsid w:val="008A1EC4"/>
    <w:rsid w:val="008A1F3E"/>
    <w:rsid w:val="008A26E4"/>
    <w:rsid w:val="008A3B12"/>
    <w:rsid w:val="008A4735"/>
    <w:rsid w:val="008A5497"/>
    <w:rsid w:val="008A5554"/>
    <w:rsid w:val="008A593F"/>
    <w:rsid w:val="008A5D08"/>
    <w:rsid w:val="008A65DE"/>
    <w:rsid w:val="008A7730"/>
    <w:rsid w:val="008A7B81"/>
    <w:rsid w:val="008B1765"/>
    <w:rsid w:val="008B207D"/>
    <w:rsid w:val="008B2FFB"/>
    <w:rsid w:val="008B3D6C"/>
    <w:rsid w:val="008B3F30"/>
    <w:rsid w:val="008B5B65"/>
    <w:rsid w:val="008B6410"/>
    <w:rsid w:val="008B6AA4"/>
    <w:rsid w:val="008B7231"/>
    <w:rsid w:val="008B776F"/>
    <w:rsid w:val="008C037B"/>
    <w:rsid w:val="008C0463"/>
    <w:rsid w:val="008C0606"/>
    <w:rsid w:val="008C0F2E"/>
    <w:rsid w:val="008C3420"/>
    <w:rsid w:val="008C41FE"/>
    <w:rsid w:val="008C4C43"/>
    <w:rsid w:val="008C527D"/>
    <w:rsid w:val="008C5353"/>
    <w:rsid w:val="008C5C72"/>
    <w:rsid w:val="008C5CF3"/>
    <w:rsid w:val="008C64E3"/>
    <w:rsid w:val="008C6BB3"/>
    <w:rsid w:val="008C737C"/>
    <w:rsid w:val="008C741F"/>
    <w:rsid w:val="008D17F0"/>
    <w:rsid w:val="008D294C"/>
    <w:rsid w:val="008D3D4C"/>
    <w:rsid w:val="008D3DAE"/>
    <w:rsid w:val="008D4771"/>
    <w:rsid w:val="008D48AB"/>
    <w:rsid w:val="008D651F"/>
    <w:rsid w:val="008D6B08"/>
    <w:rsid w:val="008D7632"/>
    <w:rsid w:val="008D7A36"/>
    <w:rsid w:val="008E00C6"/>
    <w:rsid w:val="008E02E9"/>
    <w:rsid w:val="008E0F79"/>
    <w:rsid w:val="008E1601"/>
    <w:rsid w:val="008E2E90"/>
    <w:rsid w:val="008E3340"/>
    <w:rsid w:val="008E3E37"/>
    <w:rsid w:val="008E65DE"/>
    <w:rsid w:val="008E7394"/>
    <w:rsid w:val="008E770D"/>
    <w:rsid w:val="008E7C24"/>
    <w:rsid w:val="008F1E27"/>
    <w:rsid w:val="008F2285"/>
    <w:rsid w:val="008F41ED"/>
    <w:rsid w:val="008F4A0F"/>
    <w:rsid w:val="008F52F4"/>
    <w:rsid w:val="008F5452"/>
    <w:rsid w:val="008F6D47"/>
    <w:rsid w:val="00901829"/>
    <w:rsid w:val="00901DB8"/>
    <w:rsid w:val="00901DF2"/>
    <w:rsid w:val="0090245E"/>
    <w:rsid w:val="00903540"/>
    <w:rsid w:val="0090472A"/>
    <w:rsid w:val="009048E1"/>
    <w:rsid w:val="009057DD"/>
    <w:rsid w:val="009058CD"/>
    <w:rsid w:val="009058D2"/>
    <w:rsid w:val="009063F3"/>
    <w:rsid w:val="00907529"/>
    <w:rsid w:val="00907715"/>
    <w:rsid w:val="00910421"/>
    <w:rsid w:val="00912B4E"/>
    <w:rsid w:val="00912F2B"/>
    <w:rsid w:val="00912FBD"/>
    <w:rsid w:val="009133E2"/>
    <w:rsid w:val="00913CDC"/>
    <w:rsid w:val="00913E39"/>
    <w:rsid w:val="00915B8D"/>
    <w:rsid w:val="00915C73"/>
    <w:rsid w:val="009164A6"/>
    <w:rsid w:val="00916ACA"/>
    <w:rsid w:val="00920212"/>
    <w:rsid w:val="00920F65"/>
    <w:rsid w:val="009219FB"/>
    <w:rsid w:val="00922339"/>
    <w:rsid w:val="00922F6B"/>
    <w:rsid w:val="00924C5E"/>
    <w:rsid w:val="00924F77"/>
    <w:rsid w:val="009250C8"/>
    <w:rsid w:val="009254CD"/>
    <w:rsid w:val="00925511"/>
    <w:rsid w:val="0092562B"/>
    <w:rsid w:val="00926A76"/>
    <w:rsid w:val="00927026"/>
    <w:rsid w:val="00927604"/>
    <w:rsid w:val="009305F8"/>
    <w:rsid w:val="00930F0E"/>
    <w:rsid w:val="009313E2"/>
    <w:rsid w:val="0093370B"/>
    <w:rsid w:val="0093382C"/>
    <w:rsid w:val="0093434E"/>
    <w:rsid w:val="00934BA3"/>
    <w:rsid w:val="009361BB"/>
    <w:rsid w:val="00936502"/>
    <w:rsid w:val="00936B99"/>
    <w:rsid w:val="0093700F"/>
    <w:rsid w:val="0093C508"/>
    <w:rsid w:val="00940BF2"/>
    <w:rsid w:val="009417D9"/>
    <w:rsid w:val="00941AFA"/>
    <w:rsid w:val="00941EB1"/>
    <w:rsid w:val="009422CF"/>
    <w:rsid w:val="009423B8"/>
    <w:rsid w:val="00943525"/>
    <w:rsid w:val="0094449C"/>
    <w:rsid w:val="009466C8"/>
    <w:rsid w:val="00947385"/>
    <w:rsid w:val="00950029"/>
    <w:rsid w:val="009502EF"/>
    <w:rsid w:val="00950486"/>
    <w:rsid w:val="00950912"/>
    <w:rsid w:val="00950A08"/>
    <w:rsid w:val="00950F30"/>
    <w:rsid w:val="00951A35"/>
    <w:rsid w:val="00951D90"/>
    <w:rsid w:val="0095230F"/>
    <w:rsid w:val="00952AD3"/>
    <w:rsid w:val="0095318F"/>
    <w:rsid w:val="009533D6"/>
    <w:rsid w:val="00953D1F"/>
    <w:rsid w:val="00953EA8"/>
    <w:rsid w:val="00954317"/>
    <w:rsid w:val="00954321"/>
    <w:rsid w:val="009543CC"/>
    <w:rsid w:val="0095480E"/>
    <w:rsid w:val="00954882"/>
    <w:rsid w:val="00954D7B"/>
    <w:rsid w:val="009564F8"/>
    <w:rsid w:val="009566FD"/>
    <w:rsid w:val="00957621"/>
    <w:rsid w:val="00957D1A"/>
    <w:rsid w:val="00957D8A"/>
    <w:rsid w:val="00957DD9"/>
    <w:rsid w:val="00957ED2"/>
    <w:rsid w:val="00960B34"/>
    <w:rsid w:val="00961C52"/>
    <w:rsid w:val="00962390"/>
    <w:rsid w:val="00962938"/>
    <w:rsid w:val="00962E2B"/>
    <w:rsid w:val="00962E49"/>
    <w:rsid w:val="00962EFA"/>
    <w:rsid w:val="00963179"/>
    <w:rsid w:val="00965301"/>
    <w:rsid w:val="0096624A"/>
    <w:rsid w:val="0096688F"/>
    <w:rsid w:val="00966F4E"/>
    <w:rsid w:val="00967451"/>
    <w:rsid w:val="009702EB"/>
    <w:rsid w:val="00970498"/>
    <w:rsid w:val="009708A4"/>
    <w:rsid w:val="00971204"/>
    <w:rsid w:val="009724ED"/>
    <w:rsid w:val="009729C4"/>
    <w:rsid w:val="009731E1"/>
    <w:rsid w:val="00973958"/>
    <w:rsid w:val="00973EFE"/>
    <w:rsid w:val="00973FE8"/>
    <w:rsid w:val="009740DA"/>
    <w:rsid w:val="009747A0"/>
    <w:rsid w:val="0097598A"/>
    <w:rsid w:val="00975B75"/>
    <w:rsid w:val="00976B9A"/>
    <w:rsid w:val="00976CD8"/>
    <w:rsid w:val="00977C0E"/>
    <w:rsid w:val="0098004B"/>
    <w:rsid w:val="00980A20"/>
    <w:rsid w:val="00980BBB"/>
    <w:rsid w:val="00981554"/>
    <w:rsid w:val="00982511"/>
    <w:rsid w:val="009838D5"/>
    <w:rsid w:val="00983F7E"/>
    <w:rsid w:val="0098462F"/>
    <w:rsid w:val="0098485E"/>
    <w:rsid w:val="00985202"/>
    <w:rsid w:val="009862A8"/>
    <w:rsid w:val="00987E25"/>
    <w:rsid w:val="00990C6F"/>
    <w:rsid w:val="00991200"/>
    <w:rsid w:val="00991DFC"/>
    <w:rsid w:val="0099236A"/>
    <w:rsid w:val="00992732"/>
    <w:rsid w:val="00992CD0"/>
    <w:rsid w:val="00995951"/>
    <w:rsid w:val="009959BE"/>
    <w:rsid w:val="00995F7F"/>
    <w:rsid w:val="00996530"/>
    <w:rsid w:val="00996EB5"/>
    <w:rsid w:val="0099720D"/>
    <w:rsid w:val="00997E62"/>
    <w:rsid w:val="009A028A"/>
    <w:rsid w:val="009A0753"/>
    <w:rsid w:val="009A0FFF"/>
    <w:rsid w:val="009A1C1D"/>
    <w:rsid w:val="009A1F7F"/>
    <w:rsid w:val="009A3D21"/>
    <w:rsid w:val="009A420F"/>
    <w:rsid w:val="009A666C"/>
    <w:rsid w:val="009A7941"/>
    <w:rsid w:val="009B014F"/>
    <w:rsid w:val="009B0BC0"/>
    <w:rsid w:val="009B0FF3"/>
    <w:rsid w:val="009B105F"/>
    <w:rsid w:val="009B1B79"/>
    <w:rsid w:val="009B25B2"/>
    <w:rsid w:val="009B3BA1"/>
    <w:rsid w:val="009B47B1"/>
    <w:rsid w:val="009B5074"/>
    <w:rsid w:val="009B7637"/>
    <w:rsid w:val="009C0486"/>
    <w:rsid w:val="009C0B3C"/>
    <w:rsid w:val="009C0BB4"/>
    <w:rsid w:val="009C0D4F"/>
    <w:rsid w:val="009C1089"/>
    <w:rsid w:val="009C16C5"/>
    <w:rsid w:val="009C2D4C"/>
    <w:rsid w:val="009C3E19"/>
    <w:rsid w:val="009C52C2"/>
    <w:rsid w:val="009C57EB"/>
    <w:rsid w:val="009C5DED"/>
    <w:rsid w:val="009C6B41"/>
    <w:rsid w:val="009C79F2"/>
    <w:rsid w:val="009D0017"/>
    <w:rsid w:val="009D024C"/>
    <w:rsid w:val="009D04A2"/>
    <w:rsid w:val="009D0A3C"/>
    <w:rsid w:val="009D0EE2"/>
    <w:rsid w:val="009D3773"/>
    <w:rsid w:val="009D3AD1"/>
    <w:rsid w:val="009D3DDF"/>
    <w:rsid w:val="009D3FBC"/>
    <w:rsid w:val="009D41A1"/>
    <w:rsid w:val="009D4F94"/>
    <w:rsid w:val="009D56B7"/>
    <w:rsid w:val="009D6D56"/>
    <w:rsid w:val="009E11B1"/>
    <w:rsid w:val="009E178B"/>
    <w:rsid w:val="009E1A09"/>
    <w:rsid w:val="009E1E3A"/>
    <w:rsid w:val="009E3322"/>
    <w:rsid w:val="009E4263"/>
    <w:rsid w:val="009E42CF"/>
    <w:rsid w:val="009E46B1"/>
    <w:rsid w:val="009E5517"/>
    <w:rsid w:val="009E5B15"/>
    <w:rsid w:val="009E6E74"/>
    <w:rsid w:val="009E70A2"/>
    <w:rsid w:val="009E723A"/>
    <w:rsid w:val="009E77A0"/>
    <w:rsid w:val="009E7DB2"/>
    <w:rsid w:val="009F0C63"/>
    <w:rsid w:val="009F1503"/>
    <w:rsid w:val="009F153B"/>
    <w:rsid w:val="009F1922"/>
    <w:rsid w:val="009F247F"/>
    <w:rsid w:val="009F2C37"/>
    <w:rsid w:val="009F2FC3"/>
    <w:rsid w:val="009F3174"/>
    <w:rsid w:val="009F33B5"/>
    <w:rsid w:val="009F572E"/>
    <w:rsid w:val="009F58E7"/>
    <w:rsid w:val="009F6885"/>
    <w:rsid w:val="009F76D1"/>
    <w:rsid w:val="009F778D"/>
    <w:rsid w:val="009F7E9F"/>
    <w:rsid w:val="00A01FF7"/>
    <w:rsid w:val="00A02163"/>
    <w:rsid w:val="00A02802"/>
    <w:rsid w:val="00A02975"/>
    <w:rsid w:val="00A02A8E"/>
    <w:rsid w:val="00A03210"/>
    <w:rsid w:val="00A03A4F"/>
    <w:rsid w:val="00A03C57"/>
    <w:rsid w:val="00A04DFB"/>
    <w:rsid w:val="00A05388"/>
    <w:rsid w:val="00A05C1D"/>
    <w:rsid w:val="00A06591"/>
    <w:rsid w:val="00A07671"/>
    <w:rsid w:val="00A07D70"/>
    <w:rsid w:val="00A1167C"/>
    <w:rsid w:val="00A12403"/>
    <w:rsid w:val="00A1295C"/>
    <w:rsid w:val="00A13CA3"/>
    <w:rsid w:val="00A14092"/>
    <w:rsid w:val="00A14AAE"/>
    <w:rsid w:val="00A1551B"/>
    <w:rsid w:val="00A169EA"/>
    <w:rsid w:val="00A16A36"/>
    <w:rsid w:val="00A16D59"/>
    <w:rsid w:val="00A178DF"/>
    <w:rsid w:val="00A17CFF"/>
    <w:rsid w:val="00A20108"/>
    <w:rsid w:val="00A2064F"/>
    <w:rsid w:val="00A2106B"/>
    <w:rsid w:val="00A21086"/>
    <w:rsid w:val="00A213CA"/>
    <w:rsid w:val="00A21C83"/>
    <w:rsid w:val="00A221B2"/>
    <w:rsid w:val="00A22791"/>
    <w:rsid w:val="00A227CF"/>
    <w:rsid w:val="00A24ABD"/>
    <w:rsid w:val="00A24D00"/>
    <w:rsid w:val="00A25302"/>
    <w:rsid w:val="00A25A30"/>
    <w:rsid w:val="00A26A32"/>
    <w:rsid w:val="00A26D57"/>
    <w:rsid w:val="00A305D5"/>
    <w:rsid w:val="00A314ED"/>
    <w:rsid w:val="00A33074"/>
    <w:rsid w:val="00A33D76"/>
    <w:rsid w:val="00A34D7D"/>
    <w:rsid w:val="00A350E3"/>
    <w:rsid w:val="00A35349"/>
    <w:rsid w:val="00A35BFF"/>
    <w:rsid w:val="00A360DB"/>
    <w:rsid w:val="00A36A73"/>
    <w:rsid w:val="00A36D92"/>
    <w:rsid w:val="00A37732"/>
    <w:rsid w:val="00A37F7B"/>
    <w:rsid w:val="00A41B3E"/>
    <w:rsid w:val="00A42122"/>
    <w:rsid w:val="00A42383"/>
    <w:rsid w:val="00A439C9"/>
    <w:rsid w:val="00A43DEE"/>
    <w:rsid w:val="00A44102"/>
    <w:rsid w:val="00A44B1B"/>
    <w:rsid w:val="00A44D19"/>
    <w:rsid w:val="00A45435"/>
    <w:rsid w:val="00A4589D"/>
    <w:rsid w:val="00A459D9"/>
    <w:rsid w:val="00A46927"/>
    <w:rsid w:val="00A47018"/>
    <w:rsid w:val="00A47651"/>
    <w:rsid w:val="00A4766C"/>
    <w:rsid w:val="00A47817"/>
    <w:rsid w:val="00A479E1"/>
    <w:rsid w:val="00A503A1"/>
    <w:rsid w:val="00A506AA"/>
    <w:rsid w:val="00A50F37"/>
    <w:rsid w:val="00A51487"/>
    <w:rsid w:val="00A51E5E"/>
    <w:rsid w:val="00A5228F"/>
    <w:rsid w:val="00A5290F"/>
    <w:rsid w:val="00A52A24"/>
    <w:rsid w:val="00A53B07"/>
    <w:rsid w:val="00A5415E"/>
    <w:rsid w:val="00A5516C"/>
    <w:rsid w:val="00A569A0"/>
    <w:rsid w:val="00A57154"/>
    <w:rsid w:val="00A62ADE"/>
    <w:rsid w:val="00A635F4"/>
    <w:rsid w:val="00A63C14"/>
    <w:rsid w:val="00A63EAE"/>
    <w:rsid w:val="00A6445E"/>
    <w:rsid w:val="00A647F1"/>
    <w:rsid w:val="00A65BBD"/>
    <w:rsid w:val="00A66DF7"/>
    <w:rsid w:val="00A70A93"/>
    <w:rsid w:val="00A71079"/>
    <w:rsid w:val="00A71102"/>
    <w:rsid w:val="00A71294"/>
    <w:rsid w:val="00A7168A"/>
    <w:rsid w:val="00A72B83"/>
    <w:rsid w:val="00A73DE4"/>
    <w:rsid w:val="00A742B4"/>
    <w:rsid w:val="00A74545"/>
    <w:rsid w:val="00A748F8"/>
    <w:rsid w:val="00A74D29"/>
    <w:rsid w:val="00A74DFA"/>
    <w:rsid w:val="00A75426"/>
    <w:rsid w:val="00A75AE4"/>
    <w:rsid w:val="00A75C8B"/>
    <w:rsid w:val="00A75CC0"/>
    <w:rsid w:val="00A77181"/>
    <w:rsid w:val="00A801A7"/>
    <w:rsid w:val="00A803AD"/>
    <w:rsid w:val="00A8075C"/>
    <w:rsid w:val="00A80E81"/>
    <w:rsid w:val="00A82587"/>
    <w:rsid w:val="00A8444C"/>
    <w:rsid w:val="00A84FEB"/>
    <w:rsid w:val="00A850CB"/>
    <w:rsid w:val="00A8718C"/>
    <w:rsid w:val="00A87D3C"/>
    <w:rsid w:val="00A87EDC"/>
    <w:rsid w:val="00A90308"/>
    <w:rsid w:val="00A9193D"/>
    <w:rsid w:val="00A91C18"/>
    <w:rsid w:val="00A9252E"/>
    <w:rsid w:val="00A925DE"/>
    <w:rsid w:val="00A933CE"/>
    <w:rsid w:val="00A934ED"/>
    <w:rsid w:val="00A93A83"/>
    <w:rsid w:val="00A93E19"/>
    <w:rsid w:val="00A94A7B"/>
    <w:rsid w:val="00A94F5C"/>
    <w:rsid w:val="00A95846"/>
    <w:rsid w:val="00A9680C"/>
    <w:rsid w:val="00A96CD4"/>
    <w:rsid w:val="00A96F59"/>
    <w:rsid w:val="00A97081"/>
    <w:rsid w:val="00A97415"/>
    <w:rsid w:val="00A9784D"/>
    <w:rsid w:val="00AA018F"/>
    <w:rsid w:val="00AA0E5C"/>
    <w:rsid w:val="00AA1703"/>
    <w:rsid w:val="00AA20A0"/>
    <w:rsid w:val="00AA2977"/>
    <w:rsid w:val="00AA318F"/>
    <w:rsid w:val="00AA3329"/>
    <w:rsid w:val="00AA355C"/>
    <w:rsid w:val="00AA3FDD"/>
    <w:rsid w:val="00AA4DA5"/>
    <w:rsid w:val="00AA5C3D"/>
    <w:rsid w:val="00AA5C58"/>
    <w:rsid w:val="00AA6DA9"/>
    <w:rsid w:val="00AB04AD"/>
    <w:rsid w:val="00AB05C4"/>
    <w:rsid w:val="00AB0941"/>
    <w:rsid w:val="00AB1205"/>
    <w:rsid w:val="00AB1300"/>
    <w:rsid w:val="00AB1313"/>
    <w:rsid w:val="00AB135F"/>
    <w:rsid w:val="00AB1D97"/>
    <w:rsid w:val="00AB2619"/>
    <w:rsid w:val="00AB2715"/>
    <w:rsid w:val="00AB2922"/>
    <w:rsid w:val="00AB3357"/>
    <w:rsid w:val="00AB3C59"/>
    <w:rsid w:val="00AB48C9"/>
    <w:rsid w:val="00AB612F"/>
    <w:rsid w:val="00AB61E1"/>
    <w:rsid w:val="00AB670A"/>
    <w:rsid w:val="00AB7609"/>
    <w:rsid w:val="00AC15AF"/>
    <w:rsid w:val="00AC2163"/>
    <w:rsid w:val="00AC2830"/>
    <w:rsid w:val="00AC30CF"/>
    <w:rsid w:val="00AC3331"/>
    <w:rsid w:val="00AC4117"/>
    <w:rsid w:val="00AC4F03"/>
    <w:rsid w:val="00AC4F0F"/>
    <w:rsid w:val="00AC561A"/>
    <w:rsid w:val="00AC620B"/>
    <w:rsid w:val="00AC620C"/>
    <w:rsid w:val="00AC64A0"/>
    <w:rsid w:val="00AC662F"/>
    <w:rsid w:val="00AC7080"/>
    <w:rsid w:val="00AC785E"/>
    <w:rsid w:val="00AD084B"/>
    <w:rsid w:val="00AD0E43"/>
    <w:rsid w:val="00AD21B3"/>
    <w:rsid w:val="00AD31B9"/>
    <w:rsid w:val="00AD3931"/>
    <w:rsid w:val="00AD47FC"/>
    <w:rsid w:val="00AD669A"/>
    <w:rsid w:val="00AD6F48"/>
    <w:rsid w:val="00AD7E19"/>
    <w:rsid w:val="00AE01A7"/>
    <w:rsid w:val="00AE0759"/>
    <w:rsid w:val="00AE0831"/>
    <w:rsid w:val="00AE1D54"/>
    <w:rsid w:val="00AE1EA7"/>
    <w:rsid w:val="00AE1F7C"/>
    <w:rsid w:val="00AE33C8"/>
    <w:rsid w:val="00AE3587"/>
    <w:rsid w:val="00AE3A7C"/>
    <w:rsid w:val="00AE3F21"/>
    <w:rsid w:val="00AE4C93"/>
    <w:rsid w:val="00AE5817"/>
    <w:rsid w:val="00AE5F1A"/>
    <w:rsid w:val="00AE640E"/>
    <w:rsid w:val="00AE64A1"/>
    <w:rsid w:val="00AE6911"/>
    <w:rsid w:val="00AF0012"/>
    <w:rsid w:val="00AF022B"/>
    <w:rsid w:val="00AF0834"/>
    <w:rsid w:val="00AF0EEA"/>
    <w:rsid w:val="00AF1148"/>
    <w:rsid w:val="00AF11C6"/>
    <w:rsid w:val="00AF3C1F"/>
    <w:rsid w:val="00AF3F4B"/>
    <w:rsid w:val="00AF6550"/>
    <w:rsid w:val="00AF684B"/>
    <w:rsid w:val="00AF7C86"/>
    <w:rsid w:val="00AF7E87"/>
    <w:rsid w:val="00B00F6B"/>
    <w:rsid w:val="00B02A30"/>
    <w:rsid w:val="00B02F48"/>
    <w:rsid w:val="00B03244"/>
    <w:rsid w:val="00B033CE"/>
    <w:rsid w:val="00B048B2"/>
    <w:rsid w:val="00B06892"/>
    <w:rsid w:val="00B06D12"/>
    <w:rsid w:val="00B07C73"/>
    <w:rsid w:val="00B1022B"/>
    <w:rsid w:val="00B107BD"/>
    <w:rsid w:val="00B107E2"/>
    <w:rsid w:val="00B110FE"/>
    <w:rsid w:val="00B113C4"/>
    <w:rsid w:val="00B1330B"/>
    <w:rsid w:val="00B134DC"/>
    <w:rsid w:val="00B14ED8"/>
    <w:rsid w:val="00B170FA"/>
    <w:rsid w:val="00B17A59"/>
    <w:rsid w:val="00B17C6E"/>
    <w:rsid w:val="00B21294"/>
    <w:rsid w:val="00B21876"/>
    <w:rsid w:val="00B21B06"/>
    <w:rsid w:val="00B227AA"/>
    <w:rsid w:val="00B22B70"/>
    <w:rsid w:val="00B22EFA"/>
    <w:rsid w:val="00B23A52"/>
    <w:rsid w:val="00B23C8A"/>
    <w:rsid w:val="00B24230"/>
    <w:rsid w:val="00B2454B"/>
    <w:rsid w:val="00B2584E"/>
    <w:rsid w:val="00B27D90"/>
    <w:rsid w:val="00B307AC"/>
    <w:rsid w:val="00B30975"/>
    <w:rsid w:val="00B30ECE"/>
    <w:rsid w:val="00B31248"/>
    <w:rsid w:val="00B314FB"/>
    <w:rsid w:val="00B31DA4"/>
    <w:rsid w:val="00B3212B"/>
    <w:rsid w:val="00B323B2"/>
    <w:rsid w:val="00B32869"/>
    <w:rsid w:val="00B328BD"/>
    <w:rsid w:val="00B337A8"/>
    <w:rsid w:val="00B33F8D"/>
    <w:rsid w:val="00B34057"/>
    <w:rsid w:val="00B34E7F"/>
    <w:rsid w:val="00B36B9F"/>
    <w:rsid w:val="00B37210"/>
    <w:rsid w:val="00B37AFF"/>
    <w:rsid w:val="00B37F97"/>
    <w:rsid w:val="00B40557"/>
    <w:rsid w:val="00B408A2"/>
    <w:rsid w:val="00B41544"/>
    <w:rsid w:val="00B41BEA"/>
    <w:rsid w:val="00B41EAD"/>
    <w:rsid w:val="00B42076"/>
    <w:rsid w:val="00B423F7"/>
    <w:rsid w:val="00B428B3"/>
    <w:rsid w:val="00B428C4"/>
    <w:rsid w:val="00B42B24"/>
    <w:rsid w:val="00B432AA"/>
    <w:rsid w:val="00B43769"/>
    <w:rsid w:val="00B457C3"/>
    <w:rsid w:val="00B46675"/>
    <w:rsid w:val="00B467E3"/>
    <w:rsid w:val="00B46B68"/>
    <w:rsid w:val="00B46BD7"/>
    <w:rsid w:val="00B47451"/>
    <w:rsid w:val="00B47672"/>
    <w:rsid w:val="00B47B4F"/>
    <w:rsid w:val="00B47D7A"/>
    <w:rsid w:val="00B50472"/>
    <w:rsid w:val="00B50605"/>
    <w:rsid w:val="00B50EAA"/>
    <w:rsid w:val="00B513EA"/>
    <w:rsid w:val="00B516E3"/>
    <w:rsid w:val="00B51956"/>
    <w:rsid w:val="00B523B1"/>
    <w:rsid w:val="00B52814"/>
    <w:rsid w:val="00B53044"/>
    <w:rsid w:val="00B5367B"/>
    <w:rsid w:val="00B5629E"/>
    <w:rsid w:val="00B57150"/>
    <w:rsid w:val="00B600DD"/>
    <w:rsid w:val="00B6084A"/>
    <w:rsid w:val="00B61182"/>
    <w:rsid w:val="00B615C8"/>
    <w:rsid w:val="00B62AF0"/>
    <w:rsid w:val="00B63FD0"/>
    <w:rsid w:val="00B64A85"/>
    <w:rsid w:val="00B65FDA"/>
    <w:rsid w:val="00B66152"/>
    <w:rsid w:val="00B662A7"/>
    <w:rsid w:val="00B66BA8"/>
    <w:rsid w:val="00B67026"/>
    <w:rsid w:val="00B670C9"/>
    <w:rsid w:val="00B701D2"/>
    <w:rsid w:val="00B70DCF"/>
    <w:rsid w:val="00B71C45"/>
    <w:rsid w:val="00B740F8"/>
    <w:rsid w:val="00B74DBE"/>
    <w:rsid w:val="00B75233"/>
    <w:rsid w:val="00B76BEE"/>
    <w:rsid w:val="00B803DF"/>
    <w:rsid w:val="00B8086A"/>
    <w:rsid w:val="00B80A79"/>
    <w:rsid w:val="00B8108A"/>
    <w:rsid w:val="00B82437"/>
    <w:rsid w:val="00B836C5"/>
    <w:rsid w:val="00B84C31"/>
    <w:rsid w:val="00B859F5"/>
    <w:rsid w:val="00B873B4"/>
    <w:rsid w:val="00B87755"/>
    <w:rsid w:val="00B87BF7"/>
    <w:rsid w:val="00B905F1"/>
    <w:rsid w:val="00B90B4D"/>
    <w:rsid w:val="00B911E9"/>
    <w:rsid w:val="00B91ED2"/>
    <w:rsid w:val="00B929D1"/>
    <w:rsid w:val="00B94C25"/>
    <w:rsid w:val="00B94EF3"/>
    <w:rsid w:val="00B95376"/>
    <w:rsid w:val="00B95F82"/>
    <w:rsid w:val="00B9681E"/>
    <w:rsid w:val="00B96DBF"/>
    <w:rsid w:val="00BA0276"/>
    <w:rsid w:val="00BA0E57"/>
    <w:rsid w:val="00BA1EAA"/>
    <w:rsid w:val="00BA31C5"/>
    <w:rsid w:val="00BA327A"/>
    <w:rsid w:val="00BA382A"/>
    <w:rsid w:val="00BA44A9"/>
    <w:rsid w:val="00BA45FF"/>
    <w:rsid w:val="00BA4C89"/>
    <w:rsid w:val="00BA52A7"/>
    <w:rsid w:val="00BA59FC"/>
    <w:rsid w:val="00BA5AF2"/>
    <w:rsid w:val="00BA6642"/>
    <w:rsid w:val="00BA6A55"/>
    <w:rsid w:val="00BA769F"/>
    <w:rsid w:val="00BA7B23"/>
    <w:rsid w:val="00BA7FB9"/>
    <w:rsid w:val="00BB03AE"/>
    <w:rsid w:val="00BB05D7"/>
    <w:rsid w:val="00BB06E4"/>
    <w:rsid w:val="00BB2041"/>
    <w:rsid w:val="00BB5496"/>
    <w:rsid w:val="00BB5B26"/>
    <w:rsid w:val="00BB5EAB"/>
    <w:rsid w:val="00BB60A4"/>
    <w:rsid w:val="00BB68AF"/>
    <w:rsid w:val="00BB71C0"/>
    <w:rsid w:val="00BB7239"/>
    <w:rsid w:val="00BB74D8"/>
    <w:rsid w:val="00BB7CD4"/>
    <w:rsid w:val="00BC12D0"/>
    <w:rsid w:val="00BC229A"/>
    <w:rsid w:val="00BC3DAA"/>
    <w:rsid w:val="00BC4044"/>
    <w:rsid w:val="00BC4A06"/>
    <w:rsid w:val="00BC4A39"/>
    <w:rsid w:val="00BC563B"/>
    <w:rsid w:val="00BC66FB"/>
    <w:rsid w:val="00BC77A2"/>
    <w:rsid w:val="00BD023D"/>
    <w:rsid w:val="00BD0E26"/>
    <w:rsid w:val="00BD258B"/>
    <w:rsid w:val="00BD2616"/>
    <w:rsid w:val="00BD2C2A"/>
    <w:rsid w:val="00BD3095"/>
    <w:rsid w:val="00BD4116"/>
    <w:rsid w:val="00BD5A99"/>
    <w:rsid w:val="00BD6308"/>
    <w:rsid w:val="00BD6452"/>
    <w:rsid w:val="00BD6EC5"/>
    <w:rsid w:val="00BD710B"/>
    <w:rsid w:val="00BD716E"/>
    <w:rsid w:val="00BE04B0"/>
    <w:rsid w:val="00BE0BD7"/>
    <w:rsid w:val="00BE10D8"/>
    <w:rsid w:val="00BE144A"/>
    <w:rsid w:val="00BE158A"/>
    <w:rsid w:val="00BE1BCD"/>
    <w:rsid w:val="00BE29A3"/>
    <w:rsid w:val="00BE30A3"/>
    <w:rsid w:val="00BE450D"/>
    <w:rsid w:val="00BE4A3A"/>
    <w:rsid w:val="00BE6315"/>
    <w:rsid w:val="00BE669A"/>
    <w:rsid w:val="00BE7C50"/>
    <w:rsid w:val="00BE7DC6"/>
    <w:rsid w:val="00BF0005"/>
    <w:rsid w:val="00BF14B1"/>
    <w:rsid w:val="00BF18C7"/>
    <w:rsid w:val="00BF1955"/>
    <w:rsid w:val="00BF1DFC"/>
    <w:rsid w:val="00BF1E04"/>
    <w:rsid w:val="00BF21BE"/>
    <w:rsid w:val="00BF3156"/>
    <w:rsid w:val="00BF3244"/>
    <w:rsid w:val="00BF3352"/>
    <w:rsid w:val="00BF3562"/>
    <w:rsid w:val="00BF3F34"/>
    <w:rsid w:val="00BF43BE"/>
    <w:rsid w:val="00BF4497"/>
    <w:rsid w:val="00BF4D4A"/>
    <w:rsid w:val="00BF529A"/>
    <w:rsid w:val="00BF58B7"/>
    <w:rsid w:val="00BF5B8A"/>
    <w:rsid w:val="00BF5FD2"/>
    <w:rsid w:val="00BF71F8"/>
    <w:rsid w:val="00BF7B3E"/>
    <w:rsid w:val="00BF7BF5"/>
    <w:rsid w:val="00BF7CC7"/>
    <w:rsid w:val="00C001DA"/>
    <w:rsid w:val="00C00804"/>
    <w:rsid w:val="00C00B75"/>
    <w:rsid w:val="00C014D6"/>
    <w:rsid w:val="00C020A5"/>
    <w:rsid w:val="00C02D2F"/>
    <w:rsid w:val="00C04138"/>
    <w:rsid w:val="00C0596B"/>
    <w:rsid w:val="00C06FE7"/>
    <w:rsid w:val="00C074CF"/>
    <w:rsid w:val="00C12A3B"/>
    <w:rsid w:val="00C12BD3"/>
    <w:rsid w:val="00C12F8E"/>
    <w:rsid w:val="00C1306B"/>
    <w:rsid w:val="00C13098"/>
    <w:rsid w:val="00C1420F"/>
    <w:rsid w:val="00C14723"/>
    <w:rsid w:val="00C14E1B"/>
    <w:rsid w:val="00C1547B"/>
    <w:rsid w:val="00C156B6"/>
    <w:rsid w:val="00C17C62"/>
    <w:rsid w:val="00C22F7C"/>
    <w:rsid w:val="00C23088"/>
    <w:rsid w:val="00C23DAA"/>
    <w:rsid w:val="00C23E2E"/>
    <w:rsid w:val="00C24BCE"/>
    <w:rsid w:val="00C25869"/>
    <w:rsid w:val="00C25DBD"/>
    <w:rsid w:val="00C263B0"/>
    <w:rsid w:val="00C26A92"/>
    <w:rsid w:val="00C26C80"/>
    <w:rsid w:val="00C26DF3"/>
    <w:rsid w:val="00C27409"/>
    <w:rsid w:val="00C2741B"/>
    <w:rsid w:val="00C278F5"/>
    <w:rsid w:val="00C27D70"/>
    <w:rsid w:val="00C31580"/>
    <w:rsid w:val="00C338B2"/>
    <w:rsid w:val="00C3398D"/>
    <w:rsid w:val="00C35309"/>
    <w:rsid w:val="00C3587D"/>
    <w:rsid w:val="00C35F19"/>
    <w:rsid w:val="00C36471"/>
    <w:rsid w:val="00C37FBB"/>
    <w:rsid w:val="00C4042D"/>
    <w:rsid w:val="00C4278C"/>
    <w:rsid w:val="00C4326F"/>
    <w:rsid w:val="00C43C94"/>
    <w:rsid w:val="00C43DFA"/>
    <w:rsid w:val="00C448E5"/>
    <w:rsid w:val="00C452BC"/>
    <w:rsid w:val="00C45822"/>
    <w:rsid w:val="00C45B99"/>
    <w:rsid w:val="00C46097"/>
    <w:rsid w:val="00C462E4"/>
    <w:rsid w:val="00C47C97"/>
    <w:rsid w:val="00C51331"/>
    <w:rsid w:val="00C51588"/>
    <w:rsid w:val="00C51C8F"/>
    <w:rsid w:val="00C529E7"/>
    <w:rsid w:val="00C53423"/>
    <w:rsid w:val="00C53634"/>
    <w:rsid w:val="00C539D1"/>
    <w:rsid w:val="00C54264"/>
    <w:rsid w:val="00C56332"/>
    <w:rsid w:val="00C564D9"/>
    <w:rsid w:val="00C56826"/>
    <w:rsid w:val="00C56A82"/>
    <w:rsid w:val="00C57C82"/>
    <w:rsid w:val="00C57FC0"/>
    <w:rsid w:val="00C6387D"/>
    <w:rsid w:val="00C639B1"/>
    <w:rsid w:val="00C646BF"/>
    <w:rsid w:val="00C64B6C"/>
    <w:rsid w:val="00C6596D"/>
    <w:rsid w:val="00C6689C"/>
    <w:rsid w:val="00C66A21"/>
    <w:rsid w:val="00C66C53"/>
    <w:rsid w:val="00C679BC"/>
    <w:rsid w:val="00C70008"/>
    <w:rsid w:val="00C70508"/>
    <w:rsid w:val="00C70DA2"/>
    <w:rsid w:val="00C712EC"/>
    <w:rsid w:val="00C713E9"/>
    <w:rsid w:val="00C714B4"/>
    <w:rsid w:val="00C71F9D"/>
    <w:rsid w:val="00C721DC"/>
    <w:rsid w:val="00C73AF8"/>
    <w:rsid w:val="00C73CB1"/>
    <w:rsid w:val="00C749EE"/>
    <w:rsid w:val="00C74BFD"/>
    <w:rsid w:val="00C75229"/>
    <w:rsid w:val="00C76B25"/>
    <w:rsid w:val="00C776E5"/>
    <w:rsid w:val="00C77ED9"/>
    <w:rsid w:val="00C802F6"/>
    <w:rsid w:val="00C80901"/>
    <w:rsid w:val="00C80C93"/>
    <w:rsid w:val="00C80D73"/>
    <w:rsid w:val="00C8128B"/>
    <w:rsid w:val="00C824B8"/>
    <w:rsid w:val="00C827DA"/>
    <w:rsid w:val="00C82AFB"/>
    <w:rsid w:val="00C83A14"/>
    <w:rsid w:val="00C84C89"/>
    <w:rsid w:val="00C869D5"/>
    <w:rsid w:val="00C879E8"/>
    <w:rsid w:val="00C9029E"/>
    <w:rsid w:val="00C90591"/>
    <w:rsid w:val="00C9069D"/>
    <w:rsid w:val="00C91263"/>
    <w:rsid w:val="00C9183D"/>
    <w:rsid w:val="00C927F2"/>
    <w:rsid w:val="00C93272"/>
    <w:rsid w:val="00C9361F"/>
    <w:rsid w:val="00C93E7E"/>
    <w:rsid w:val="00C945F3"/>
    <w:rsid w:val="00C94870"/>
    <w:rsid w:val="00C950A1"/>
    <w:rsid w:val="00C957FC"/>
    <w:rsid w:val="00C960C7"/>
    <w:rsid w:val="00C9647A"/>
    <w:rsid w:val="00C96C8A"/>
    <w:rsid w:val="00C96F05"/>
    <w:rsid w:val="00CA059E"/>
    <w:rsid w:val="00CA119C"/>
    <w:rsid w:val="00CA2379"/>
    <w:rsid w:val="00CA2B31"/>
    <w:rsid w:val="00CA2BFA"/>
    <w:rsid w:val="00CA2C0A"/>
    <w:rsid w:val="00CA3543"/>
    <w:rsid w:val="00CA3DBA"/>
    <w:rsid w:val="00CA3FC4"/>
    <w:rsid w:val="00CA42F2"/>
    <w:rsid w:val="00CA5EFE"/>
    <w:rsid w:val="00CA6686"/>
    <w:rsid w:val="00CA6E1B"/>
    <w:rsid w:val="00CA74E2"/>
    <w:rsid w:val="00CA7BB6"/>
    <w:rsid w:val="00CA7F3A"/>
    <w:rsid w:val="00CB2564"/>
    <w:rsid w:val="00CB2719"/>
    <w:rsid w:val="00CB2C8E"/>
    <w:rsid w:val="00CB3C34"/>
    <w:rsid w:val="00CB5AAB"/>
    <w:rsid w:val="00CB5B3F"/>
    <w:rsid w:val="00CB5B6A"/>
    <w:rsid w:val="00CB5C40"/>
    <w:rsid w:val="00CB66AC"/>
    <w:rsid w:val="00CB6DB1"/>
    <w:rsid w:val="00CB70AF"/>
    <w:rsid w:val="00CB7C1C"/>
    <w:rsid w:val="00CC006F"/>
    <w:rsid w:val="00CC0C55"/>
    <w:rsid w:val="00CC111F"/>
    <w:rsid w:val="00CC250F"/>
    <w:rsid w:val="00CC2AFE"/>
    <w:rsid w:val="00CC3169"/>
    <w:rsid w:val="00CC32CE"/>
    <w:rsid w:val="00CC3585"/>
    <w:rsid w:val="00CC4291"/>
    <w:rsid w:val="00CC4806"/>
    <w:rsid w:val="00CC5F92"/>
    <w:rsid w:val="00CC6340"/>
    <w:rsid w:val="00CD12D1"/>
    <w:rsid w:val="00CD2075"/>
    <w:rsid w:val="00CD2D68"/>
    <w:rsid w:val="00CD32A5"/>
    <w:rsid w:val="00CD37A4"/>
    <w:rsid w:val="00CD3AD6"/>
    <w:rsid w:val="00CD430F"/>
    <w:rsid w:val="00CD45D7"/>
    <w:rsid w:val="00CD6C85"/>
    <w:rsid w:val="00CD6FA2"/>
    <w:rsid w:val="00CD7739"/>
    <w:rsid w:val="00CE0554"/>
    <w:rsid w:val="00CE0FEB"/>
    <w:rsid w:val="00CE1211"/>
    <w:rsid w:val="00CE1759"/>
    <w:rsid w:val="00CE19D5"/>
    <w:rsid w:val="00CE2DC4"/>
    <w:rsid w:val="00CE2E9D"/>
    <w:rsid w:val="00CE3230"/>
    <w:rsid w:val="00CE36F4"/>
    <w:rsid w:val="00CE38FE"/>
    <w:rsid w:val="00CE3B8F"/>
    <w:rsid w:val="00CE3D38"/>
    <w:rsid w:val="00CE3D82"/>
    <w:rsid w:val="00CE52FE"/>
    <w:rsid w:val="00CE5EA3"/>
    <w:rsid w:val="00CE5F1A"/>
    <w:rsid w:val="00CE688D"/>
    <w:rsid w:val="00CE6D3F"/>
    <w:rsid w:val="00CE76B2"/>
    <w:rsid w:val="00CE76C0"/>
    <w:rsid w:val="00CE792D"/>
    <w:rsid w:val="00CF11B6"/>
    <w:rsid w:val="00CF1A0F"/>
    <w:rsid w:val="00CF26CC"/>
    <w:rsid w:val="00CF2B11"/>
    <w:rsid w:val="00CF36B9"/>
    <w:rsid w:val="00CF410C"/>
    <w:rsid w:val="00CF4C2E"/>
    <w:rsid w:val="00CF531A"/>
    <w:rsid w:val="00CF5DF1"/>
    <w:rsid w:val="00CF708F"/>
    <w:rsid w:val="00D0063A"/>
    <w:rsid w:val="00D010D6"/>
    <w:rsid w:val="00D01D14"/>
    <w:rsid w:val="00D01E28"/>
    <w:rsid w:val="00D01E45"/>
    <w:rsid w:val="00D04E6D"/>
    <w:rsid w:val="00D0509A"/>
    <w:rsid w:val="00D0592F"/>
    <w:rsid w:val="00D1004B"/>
    <w:rsid w:val="00D1146E"/>
    <w:rsid w:val="00D13498"/>
    <w:rsid w:val="00D14520"/>
    <w:rsid w:val="00D152E0"/>
    <w:rsid w:val="00D1547E"/>
    <w:rsid w:val="00D15BC2"/>
    <w:rsid w:val="00D15FAB"/>
    <w:rsid w:val="00D1685B"/>
    <w:rsid w:val="00D16E4D"/>
    <w:rsid w:val="00D16EE9"/>
    <w:rsid w:val="00D172F9"/>
    <w:rsid w:val="00D1756F"/>
    <w:rsid w:val="00D17F3D"/>
    <w:rsid w:val="00D207FB"/>
    <w:rsid w:val="00D20D4E"/>
    <w:rsid w:val="00D20E9F"/>
    <w:rsid w:val="00D21B36"/>
    <w:rsid w:val="00D22052"/>
    <w:rsid w:val="00D22896"/>
    <w:rsid w:val="00D228C5"/>
    <w:rsid w:val="00D23EAE"/>
    <w:rsid w:val="00D24965"/>
    <w:rsid w:val="00D25F55"/>
    <w:rsid w:val="00D2610C"/>
    <w:rsid w:val="00D26BDB"/>
    <w:rsid w:val="00D27AB6"/>
    <w:rsid w:val="00D30462"/>
    <w:rsid w:val="00D30D12"/>
    <w:rsid w:val="00D31CE3"/>
    <w:rsid w:val="00D31E2E"/>
    <w:rsid w:val="00D3226F"/>
    <w:rsid w:val="00D324E9"/>
    <w:rsid w:val="00D32ADC"/>
    <w:rsid w:val="00D331CB"/>
    <w:rsid w:val="00D33486"/>
    <w:rsid w:val="00D33B2E"/>
    <w:rsid w:val="00D34D56"/>
    <w:rsid w:val="00D3570B"/>
    <w:rsid w:val="00D35881"/>
    <w:rsid w:val="00D36679"/>
    <w:rsid w:val="00D37367"/>
    <w:rsid w:val="00D37A8B"/>
    <w:rsid w:val="00D40210"/>
    <w:rsid w:val="00D40D47"/>
    <w:rsid w:val="00D41BD5"/>
    <w:rsid w:val="00D42F2C"/>
    <w:rsid w:val="00D438FA"/>
    <w:rsid w:val="00D43D8D"/>
    <w:rsid w:val="00D44822"/>
    <w:rsid w:val="00D448C3"/>
    <w:rsid w:val="00D448FF"/>
    <w:rsid w:val="00D45CAD"/>
    <w:rsid w:val="00D4606A"/>
    <w:rsid w:val="00D463CD"/>
    <w:rsid w:val="00D46EAA"/>
    <w:rsid w:val="00D46F82"/>
    <w:rsid w:val="00D47894"/>
    <w:rsid w:val="00D47E0C"/>
    <w:rsid w:val="00D50375"/>
    <w:rsid w:val="00D507D5"/>
    <w:rsid w:val="00D5160D"/>
    <w:rsid w:val="00D51BB1"/>
    <w:rsid w:val="00D52113"/>
    <w:rsid w:val="00D53F0E"/>
    <w:rsid w:val="00D551DD"/>
    <w:rsid w:val="00D55DEC"/>
    <w:rsid w:val="00D5638D"/>
    <w:rsid w:val="00D56626"/>
    <w:rsid w:val="00D60564"/>
    <w:rsid w:val="00D616E3"/>
    <w:rsid w:val="00D61C9A"/>
    <w:rsid w:val="00D6202A"/>
    <w:rsid w:val="00D64226"/>
    <w:rsid w:val="00D6645F"/>
    <w:rsid w:val="00D66792"/>
    <w:rsid w:val="00D66B82"/>
    <w:rsid w:val="00D66BA5"/>
    <w:rsid w:val="00D6782E"/>
    <w:rsid w:val="00D71B49"/>
    <w:rsid w:val="00D71BEF"/>
    <w:rsid w:val="00D71D4F"/>
    <w:rsid w:val="00D72D75"/>
    <w:rsid w:val="00D737D1"/>
    <w:rsid w:val="00D73814"/>
    <w:rsid w:val="00D740F7"/>
    <w:rsid w:val="00D7520F"/>
    <w:rsid w:val="00D75383"/>
    <w:rsid w:val="00D763B6"/>
    <w:rsid w:val="00D76483"/>
    <w:rsid w:val="00D765B2"/>
    <w:rsid w:val="00D76860"/>
    <w:rsid w:val="00D76914"/>
    <w:rsid w:val="00D76920"/>
    <w:rsid w:val="00D77C7E"/>
    <w:rsid w:val="00D77F28"/>
    <w:rsid w:val="00D802F2"/>
    <w:rsid w:val="00D803EE"/>
    <w:rsid w:val="00D804C1"/>
    <w:rsid w:val="00D80609"/>
    <w:rsid w:val="00D808EC"/>
    <w:rsid w:val="00D80D56"/>
    <w:rsid w:val="00D822F7"/>
    <w:rsid w:val="00D8306B"/>
    <w:rsid w:val="00D83BF9"/>
    <w:rsid w:val="00D84D87"/>
    <w:rsid w:val="00D861D9"/>
    <w:rsid w:val="00D86CB8"/>
    <w:rsid w:val="00D874CE"/>
    <w:rsid w:val="00D87FF8"/>
    <w:rsid w:val="00D9034A"/>
    <w:rsid w:val="00D90DE4"/>
    <w:rsid w:val="00D90ED1"/>
    <w:rsid w:val="00D92A3A"/>
    <w:rsid w:val="00D92D14"/>
    <w:rsid w:val="00D92D20"/>
    <w:rsid w:val="00D94405"/>
    <w:rsid w:val="00D94D91"/>
    <w:rsid w:val="00D94FF8"/>
    <w:rsid w:val="00D954CE"/>
    <w:rsid w:val="00D97B95"/>
    <w:rsid w:val="00D97E09"/>
    <w:rsid w:val="00D97EDE"/>
    <w:rsid w:val="00DA154C"/>
    <w:rsid w:val="00DA1A99"/>
    <w:rsid w:val="00DA212D"/>
    <w:rsid w:val="00DA27A0"/>
    <w:rsid w:val="00DA2E49"/>
    <w:rsid w:val="00DA4597"/>
    <w:rsid w:val="00DA4AAF"/>
    <w:rsid w:val="00DA4D34"/>
    <w:rsid w:val="00DA4F07"/>
    <w:rsid w:val="00DA5315"/>
    <w:rsid w:val="00DA55E3"/>
    <w:rsid w:val="00DA61D3"/>
    <w:rsid w:val="00DB0B87"/>
    <w:rsid w:val="00DB18F6"/>
    <w:rsid w:val="00DB2155"/>
    <w:rsid w:val="00DB2345"/>
    <w:rsid w:val="00DB391E"/>
    <w:rsid w:val="00DB44EE"/>
    <w:rsid w:val="00DB503C"/>
    <w:rsid w:val="00DB5A33"/>
    <w:rsid w:val="00DB7893"/>
    <w:rsid w:val="00DC0A94"/>
    <w:rsid w:val="00DC1022"/>
    <w:rsid w:val="00DC27BE"/>
    <w:rsid w:val="00DC2B32"/>
    <w:rsid w:val="00DC33F5"/>
    <w:rsid w:val="00DC3C50"/>
    <w:rsid w:val="00DC3FB0"/>
    <w:rsid w:val="00DC4101"/>
    <w:rsid w:val="00DC45FD"/>
    <w:rsid w:val="00DC53DF"/>
    <w:rsid w:val="00DC6969"/>
    <w:rsid w:val="00DC7EDE"/>
    <w:rsid w:val="00DD0503"/>
    <w:rsid w:val="00DD1407"/>
    <w:rsid w:val="00DD2044"/>
    <w:rsid w:val="00DD3586"/>
    <w:rsid w:val="00DD3725"/>
    <w:rsid w:val="00DD49AA"/>
    <w:rsid w:val="00DD4E49"/>
    <w:rsid w:val="00DD5E6B"/>
    <w:rsid w:val="00DD6756"/>
    <w:rsid w:val="00DD77C9"/>
    <w:rsid w:val="00DE0F6D"/>
    <w:rsid w:val="00DE108B"/>
    <w:rsid w:val="00DE1974"/>
    <w:rsid w:val="00DE2A13"/>
    <w:rsid w:val="00DE2BE0"/>
    <w:rsid w:val="00DE367F"/>
    <w:rsid w:val="00DE3C02"/>
    <w:rsid w:val="00DE40FA"/>
    <w:rsid w:val="00DE56F9"/>
    <w:rsid w:val="00DE623F"/>
    <w:rsid w:val="00DE652E"/>
    <w:rsid w:val="00DE681F"/>
    <w:rsid w:val="00DF02BB"/>
    <w:rsid w:val="00DF08F7"/>
    <w:rsid w:val="00DF0A38"/>
    <w:rsid w:val="00DF17D9"/>
    <w:rsid w:val="00DF2D8B"/>
    <w:rsid w:val="00DF2F43"/>
    <w:rsid w:val="00DF2F92"/>
    <w:rsid w:val="00DF3063"/>
    <w:rsid w:val="00DF339A"/>
    <w:rsid w:val="00DF41D0"/>
    <w:rsid w:val="00DF4629"/>
    <w:rsid w:val="00DF4B68"/>
    <w:rsid w:val="00DF5153"/>
    <w:rsid w:val="00DF51C1"/>
    <w:rsid w:val="00DF5384"/>
    <w:rsid w:val="00DF5BFA"/>
    <w:rsid w:val="00DF5C4F"/>
    <w:rsid w:val="00DF5D65"/>
    <w:rsid w:val="00DF5F88"/>
    <w:rsid w:val="00DF7AB6"/>
    <w:rsid w:val="00E0023E"/>
    <w:rsid w:val="00E01776"/>
    <w:rsid w:val="00E02247"/>
    <w:rsid w:val="00E024EB"/>
    <w:rsid w:val="00E027C4"/>
    <w:rsid w:val="00E0294A"/>
    <w:rsid w:val="00E02CD2"/>
    <w:rsid w:val="00E03117"/>
    <w:rsid w:val="00E0344D"/>
    <w:rsid w:val="00E03867"/>
    <w:rsid w:val="00E03ECA"/>
    <w:rsid w:val="00E041FF"/>
    <w:rsid w:val="00E04F4C"/>
    <w:rsid w:val="00E0548D"/>
    <w:rsid w:val="00E06BEB"/>
    <w:rsid w:val="00E076A9"/>
    <w:rsid w:val="00E10027"/>
    <w:rsid w:val="00E101FF"/>
    <w:rsid w:val="00E10881"/>
    <w:rsid w:val="00E10A19"/>
    <w:rsid w:val="00E11A3A"/>
    <w:rsid w:val="00E11D20"/>
    <w:rsid w:val="00E11D86"/>
    <w:rsid w:val="00E1289B"/>
    <w:rsid w:val="00E12ABC"/>
    <w:rsid w:val="00E12CD0"/>
    <w:rsid w:val="00E1334F"/>
    <w:rsid w:val="00E1408E"/>
    <w:rsid w:val="00E149A6"/>
    <w:rsid w:val="00E14D46"/>
    <w:rsid w:val="00E16186"/>
    <w:rsid w:val="00E16CBE"/>
    <w:rsid w:val="00E174C8"/>
    <w:rsid w:val="00E17932"/>
    <w:rsid w:val="00E20038"/>
    <w:rsid w:val="00E20A52"/>
    <w:rsid w:val="00E20F62"/>
    <w:rsid w:val="00E2147F"/>
    <w:rsid w:val="00E22ADC"/>
    <w:rsid w:val="00E23604"/>
    <w:rsid w:val="00E2747F"/>
    <w:rsid w:val="00E27ADA"/>
    <w:rsid w:val="00E30422"/>
    <w:rsid w:val="00E308D6"/>
    <w:rsid w:val="00E311DD"/>
    <w:rsid w:val="00E31264"/>
    <w:rsid w:val="00E31597"/>
    <w:rsid w:val="00E31EF4"/>
    <w:rsid w:val="00E31FD5"/>
    <w:rsid w:val="00E327CB"/>
    <w:rsid w:val="00E330AA"/>
    <w:rsid w:val="00E3316C"/>
    <w:rsid w:val="00E341D6"/>
    <w:rsid w:val="00E34FE7"/>
    <w:rsid w:val="00E368D3"/>
    <w:rsid w:val="00E37145"/>
    <w:rsid w:val="00E371D9"/>
    <w:rsid w:val="00E37265"/>
    <w:rsid w:val="00E372F6"/>
    <w:rsid w:val="00E3752F"/>
    <w:rsid w:val="00E40057"/>
    <w:rsid w:val="00E40D2E"/>
    <w:rsid w:val="00E411AD"/>
    <w:rsid w:val="00E4273E"/>
    <w:rsid w:val="00E42943"/>
    <w:rsid w:val="00E430BE"/>
    <w:rsid w:val="00E43BAA"/>
    <w:rsid w:val="00E43D2D"/>
    <w:rsid w:val="00E43F1F"/>
    <w:rsid w:val="00E459A7"/>
    <w:rsid w:val="00E46825"/>
    <w:rsid w:val="00E47B6F"/>
    <w:rsid w:val="00E508CC"/>
    <w:rsid w:val="00E510A5"/>
    <w:rsid w:val="00E51581"/>
    <w:rsid w:val="00E5176D"/>
    <w:rsid w:val="00E5267B"/>
    <w:rsid w:val="00E537A2"/>
    <w:rsid w:val="00E53E21"/>
    <w:rsid w:val="00E54124"/>
    <w:rsid w:val="00E547B1"/>
    <w:rsid w:val="00E54EC9"/>
    <w:rsid w:val="00E560D5"/>
    <w:rsid w:val="00E5631D"/>
    <w:rsid w:val="00E5639D"/>
    <w:rsid w:val="00E56E99"/>
    <w:rsid w:val="00E56FA4"/>
    <w:rsid w:val="00E57610"/>
    <w:rsid w:val="00E6014B"/>
    <w:rsid w:val="00E603F7"/>
    <w:rsid w:val="00E605C5"/>
    <w:rsid w:val="00E60F3C"/>
    <w:rsid w:val="00E61EA4"/>
    <w:rsid w:val="00E627C1"/>
    <w:rsid w:val="00E62FCB"/>
    <w:rsid w:val="00E637A0"/>
    <w:rsid w:val="00E64014"/>
    <w:rsid w:val="00E64581"/>
    <w:rsid w:val="00E651E7"/>
    <w:rsid w:val="00E65FC5"/>
    <w:rsid w:val="00E66593"/>
    <w:rsid w:val="00E66FEA"/>
    <w:rsid w:val="00E6A95B"/>
    <w:rsid w:val="00E70101"/>
    <w:rsid w:val="00E7067A"/>
    <w:rsid w:val="00E7081A"/>
    <w:rsid w:val="00E7162E"/>
    <w:rsid w:val="00E71C3D"/>
    <w:rsid w:val="00E72268"/>
    <w:rsid w:val="00E75952"/>
    <w:rsid w:val="00E76653"/>
    <w:rsid w:val="00E776CA"/>
    <w:rsid w:val="00E776DE"/>
    <w:rsid w:val="00E77E48"/>
    <w:rsid w:val="00E80EB6"/>
    <w:rsid w:val="00E8164C"/>
    <w:rsid w:val="00E823CF"/>
    <w:rsid w:val="00E829B5"/>
    <w:rsid w:val="00E82B94"/>
    <w:rsid w:val="00E83046"/>
    <w:rsid w:val="00E84165"/>
    <w:rsid w:val="00E84646"/>
    <w:rsid w:val="00E85ACA"/>
    <w:rsid w:val="00E86A35"/>
    <w:rsid w:val="00E876B1"/>
    <w:rsid w:val="00E87AC4"/>
    <w:rsid w:val="00E90659"/>
    <w:rsid w:val="00E908EE"/>
    <w:rsid w:val="00E9098E"/>
    <w:rsid w:val="00E90D24"/>
    <w:rsid w:val="00E918ED"/>
    <w:rsid w:val="00E925BD"/>
    <w:rsid w:val="00E92CA5"/>
    <w:rsid w:val="00E942E4"/>
    <w:rsid w:val="00E94AF8"/>
    <w:rsid w:val="00E95DC1"/>
    <w:rsid w:val="00E96709"/>
    <w:rsid w:val="00E97411"/>
    <w:rsid w:val="00E9785F"/>
    <w:rsid w:val="00E978D5"/>
    <w:rsid w:val="00E978E4"/>
    <w:rsid w:val="00E97E54"/>
    <w:rsid w:val="00EA0410"/>
    <w:rsid w:val="00EA20E3"/>
    <w:rsid w:val="00EA26CA"/>
    <w:rsid w:val="00EA31E0"/>
    <w:rsid w:val="00EA3CE0"/>
    <w:rsid w:val="00EA40ED"/>
    <w:rsid w:val="00EA40FA"/>
    <w:rsid w:val="00EA50A6"/>
    <w:rsid w:val="00EA5D08"/>
    <w:rsid w:val="00EA61BF"/>
    <w:rsid w:val="00EA63A4"/>
    <w:rsid w:val="00EA6DB5"/>
    <w:rsid w:val="00EA89A4"/>
    <w:rsid w:val="00EB0CE9"/>
    <w:rsid w:val="00EB0D37"/>
    <w:rsid w:val="00EB10A0"/>
    <w:rsid w:val="00EB1553"/>
    <w:rsid w:val="00EB4D90"/>
    <w:rsid w:val="00EB62FF"/>
    <w:rsid w:val="00EB770C"/>
    <w:rsid w:val="00EB792C"/>
    <w:rsid w:val="00EC030D"/>
    <w:rsid w:val="00EC0375"/>
    <w:rsid w:val="00EC04F0"/>
    <w:rsid w:val="00EC0682"/>
    <w:rsid w:val="00EC0BFC"/>
    <w:rsid w:val="00EC0DB0"/>
    <w:rsid w:val="00EC0FA5"/>
    <w:rsid w:val="00EC0FDF"/>
    <w:rsid w:val="00EC1106"/>
    <w:rsid w:val="00EC16B4"/>
    <w:rsid w:val="00EC1F1E"/>
    <w:rsid w:val="00EC2148"/>
    <w:rsid w:val="00EC34CE"/>
    <w:rsid w:val="00EC4114"/>
    <w:rsid w:val="00EC4406"/>
    <w:rsid w:val="00EC4524"/>
    <w:rsid w:val="00EC46E0"/>
    <w:rsid w:val="00EC5603"/>
    <w:rsid w:val="00EC5AB8"/>
    <w:rsid w:val="00EC6CCC"/>
    <w:rsid w:val="00EC6F8E"/>
    <w:rsid w:val="00ED05DC"/>
    <w:rsid w:val="00ED309E"/>
    <w:rsid w:val="00ED30E2"/>
    <w:rsid w:val="00ED39F3"/>
    <w:rsid w:val="00ED3EF5"/>
    <w:rsid w:val="00ED603B"/>
    <w:rsid w:val="00ED6043"/>
    <w:rsid w:val="00ED60C1"/>
    <w:rsid w:val="00ED6651"/>
    <w:rsid w:val="00ED6723"/>
    <w:rsid w:val="00ED6F7B"/>
    <w:rsid w:val="00EE0EE1"/>
    <w:rsid w:val="00EE102B"/>
    <w:rsid w:val="00EE1086"/>
    <w:rsid w:val="00EE1C60"/>
    <w:rsid w:val="00EE1C9D"/>
    <w:rsid w:val="00EE1EF4"/>
    <w:rsid w:val="00EE22CF"/>
    <w:rsid w:val="00EE24F6"/>
    <w:rsid w:val="00EE281E"/>
    <w:rsid w:val="00EE2A2F"/>
    <w:rsid w:val="00EE3349"/>
    <w:rsid w:val="00EE35B8"/>
    <w:rsid w:val="00EE3A13"/>
    <w:rsid w:val="00EE3BE9"/>
    <w:rsid w:val="00EE418D"/>
    <w:rsid w:val="00EE4363"/>
    <w:rsid w:val="00EE4690"/>
    <w:rsid w:val="00EE51C0"/>
    <w:rsid w:val="00EE5DE0"/>
    <w:rsid w:val="00EE6424"/>
    <w:rsid w:val="00EE65F3"/>
    <w:rsid w:val="00EE7000"/>
    <w:rsid w:val="00EE76F8"/>
    <w:rsid w:val="00EE781B"/>
    <w:rsid w:val="00EF02E2"/>
    <w:rsid w:val="00EF1393"/>
    <w:rsid w:val="00EF2161"/>
    <w:rsid w:val="00EF2F36"/>
    <w:rsid w:val="00EF3C0C"/>
    <w:rsid w:val="00EF45DC"/>
    <w:rsid w:val="00EF4C6C"/>
    <w:rsid w:val="00EF5780"/>
    <w:rsid w:val="00EF6B37"/>
    <w:rsid w:val="00EF742D"/>
    <w:rsid w:val="00F00C9A"/>
    <w:rsid w:val="00F00DF6"/>
    <w:rsid w:val="00F00E8A"/>
    <w:rsid w:val="00F00FE3"/>
    <w:rsid w:val="00F01645"/>
    <w:rsid w:val="00F02495"/>
    <w:rsid w:val="00F02A20"/>
    <w:rsid w:val="00F02F8D"/>
    <w:rsid w:val="00F032A3"/>
    <w:rsid w:val="00F03B2F"/>
    <w:rsid w:val="00F03FE5"/>
    <w:rsid w:val="00F0499A"/>
    <w:rsid w:val="00F04C61"/>
    <w:rsid w:val="00F04CF4"/>
    <w:rsid w:val="00F04E83"/>
    <w:rsid w:val="00F051C8"/>
    <w:rsid w:val="00F05C9F"/>
    <w:rsid w:val="00F05E7D"/>
    <w:rsid w:val="00F062CE"/>
    <w:rsid w:val="00F066B4"/>
    <w:rsid w:val="00F06B82"/>
    <w:rsid w:val="00F07150"/>
    <w:rsid w:val="00F07399"/>
    <w:rsid w:val="00F0740F"/>
    <w:rsid w:val="00F07693"/>
    <w:rsid w:val="00F10040"/>
    <w:rsid w:val="00F1017C"/>
    <w:rsid w:val="00F1147F"/>
    <w:rsid w:val="00F1177C"/>
    <w:rsid w:val="00F11F2B"/>
    <w:rsid w:val="00F12560"/>
    <w:rsid w:val="00F12ABF"/>
    <w:rsid w:val="00F145AB"/>
    <w:rsid w:val="00F14CBA"/>
    <w:rsid w:val="00F15C36"/>
    <w:rsid w:val="00F162A0"/>
    <w:rsid w:val="00F164B3"/>
    <w:rsid w:val="00F16675"/>
    <w:rsid w:val="00F17D05"/>
    <w:rsid w:val="00F17E8A"/>
    <w:rsid w:val="00F21329"/>
    <w:rsid w:val="00F22546"/>
    <w:rsid w:val="00F226BC"/>
    <w:rsid w:val="00F22E49"/>
    <w:rsid w:val="00F242D4"/>
    <w:rsid w:val="00F24DFF"/>
    <w:rsid w:val="00F25544"/>
    <w:rsid w:val="00F271A9"/>
    <w:rsid w:val="00F271FF"/>
    <w:rsid w:val="00F27F8F"/>
    <w:rsid w:val="00F31521"/>
    <w:rsid w:val="00F315F0"/>
    <w:rsid w:val="00F31789"/>
    <w:rsid w:val="00F31D94"/>
    <w:rsid w:val="00F32126"/>
    <w:rsid w:val="00F32BFA"/>
    <w:rsid w:val="00F33149"/>
    <w:rsid w:val="00F334FB"/>
    <w:rsid w:val="00F33B39"/>
    <w:rsid w:val="00F33CAF"/>
    <w:rsid w:val="00F34402"/>
    <w:rsid w:val="00F3535D"/>
    <w:rsid w:val="00F356D4"/>
    <w:rsid w:val="00F36CB2"/>
    <w:rsid w:val="00F37AC0"/>
    <w:rsid w:val="00F408BF"/>
    <w:rsid w:val="00F41629"/>
    <w:rsid w:val="00F417A4"/>
    <w:rsid w:val="00F4187F"/>
    <w:rsid w:val="00F4201C"/>
    <w:rsid w:val="00F448A8"/>
    <w:rsid w:val="00F44D36"/>
    <w:rsid w:val="00F45A58"/>
    <w:rsid w:val="00F478AF"/>
    <w:rsid w:val="00F47968"/>
    <w:rsid w:val="00F47B3C"/>
    <w:rsid w:val="00F5004E"/>
    <w:rsid w:val="00F50286"/>
    <w:rsid w:val="00F50401"/>
    <w:rsid w:val="00F5135E"/>
    <w:rsid w:val="00F51DB2"/>
    <w:rsid w:val="00F51F9E"/>
    <w:rsid w:val="00F52F09"/>
    <w:rsid w:val="00F53039"/>
    <w:rsid w:val="00F5359C"/>
    <w:rsid w:val="00F5372D"/>
    <w:rsid w:val="00F53E83"/>
    <w:rsid w:val="00F541BC"/>
    <w:rsid w:val="00F554BD"/>
    <w:rsid w:val="00F561F6"/>
    <w:rsid w:val="00F565D0"/>
    <w:rsid w:val="00F578C3"/>
    <w:rsid w:val="00F57AE2"/>
    <w:rsid w:val="00F57C99"/>
    <w:rsid w:val="00F57D85"/>
    <w:rsid w:val="00F6004E"/>
    <w:rsid w:val="00F60243"/>
    <w:rsid w:val="00F6175E"/>
    <w:rsid w:val="00F6180C"/>
    <w:rsid w:val="00F61E15"/>
    <w:rsid w:val="00F61F24"/>
    <w:rsid w:val="00F6292E"/>
    <w:rsid w:val="00F632D2"/>
    <w:rsid w:val="00F635FB"/>
    <w:rsid w:val="00F63837"/>
    <w:rsid w:val="00F64584"/>
    <w:rsid w:val="00F647FB"/>
    <w:rsid w:val="00F649B7"/>
    <w:rsid w:val="00F650BD"/>
    <w:rsid w:val="00F65193"/>
    <w:rsid w:val="00F6567E"/>
    <w:rsid w:val="00F65B58"/>
    <w:rsid w:val="00F65B5B"/>
    <w:rsid w:val="00F65E56"/>
    <w:rsid w:val="00F66412"/>
    <w:rsid w:val="00F66A39"/>
    <w:rsid w:val="00F66A84"/>
    <w:rsid w:val="00F66FDB"/>
    <w:rsid w:val="00F67442"/>
    <w:rsid w:val="00F679C2"/>
    <w:rsid w:val="00F71814"/>
    <w:rsid w:val="00F71F9F"/>
    <w:rsid w:val="00F72A38"/>
    <w:rsid w:val="00F730D2"/>
    <w:rsid w:val="00F73BD0"/>
    <w:rsid w:val="00F74B18"/>
    <w:rsid w:val="00F74D46"/>
    <w:rsid w:val="00F7502C"/>
    <w:rsid w:val="00F757BD"/>
    <w:rsid w:val="00F75C73"/>
    <w:rsid w:val="00F75CDD"/>
    <w:rsid w:val="00F763F8"/>
    <w:rsid w:val="00F764A9"/>
    <w:rsid w:val="00F76A26"/>
    <w:rsid w:val="00F77AB2"/>
    <w:rsid w:val="00F77EEE"/>
    <w:rsid w:val="00F80194"/>
    <w:rsid w:val="00F811E9"/>
    <w:rsid w:val="00F81E01"/>
    <w:rsid w:val="00F82609"/>
    <w:rsid w:val="00F8260C"/>
    <w:rsid w:val="00F82CB4"/>
    <w:rsid w:val="00F835A9"/>
    <w:rsid w:val="00F844C5"/>
    <w:rsid w:val="00F8469D"/>
    <w:rsid w:val="00F85B08"/>
    <w:rsid w:val="00F868FD"/>
    <w:rsid w:val="00F905A0"/>
    <w:rsid w:val="00F90EC7"/>
    <w:rsid w:val="00F91294"/>
    <w:rsid w:val="00F916B4"/>
    <w:rsid w:val="00F92537"/>
    <w:rsid w:val="00F92881"/>
    <w:rsid w:val="00F932EF"/>
    <w:rsid w:val="00F9331D"/>
    <w:rsid w:val="00F94648"/>
    <w:rsid w:val="00F952D6"/>
    <w:rsid w:val="00F955EC"/>
    <w:rsid w:val="00F977A0"/>
    <w:rsid w:val="00F979C4"/>
    <w:rsid w:val="00F97DF5"/>
    <w:rsid w:val="00FA03BE"/>
    <w:rsid w:val="00FA044C"/>
    <w:rsid w:val="00FA144B"/>
    <w:rsid w:val="00FA16C0"/>
    <w:rsid w:val="00FA1EA0"/>
    <w:rsid w:val="00FA368D"/>
    <w:rsid w:val="00FA3C15"/>
    <w:rsid w:val="00FA433D"/>
    <w:rsid w:val="00FA53BB"/>
    <w:rsid w:val="00FA63F1"/>
    <w:rsid w:val="00FB0B48"/>
    <w:rsid w:val="00FB10D5"/>
    <w:rsid w:val="00FB1781"/>
    <w:rsid w:val="00FB1D77"/>
    <w:rsid w:val="00FB2532"/>
    <w:rsid w:val="00FB2902"/>
    <w:rsid w:val="00FB3C89"/>
    <w:rsid w:val="00FB3E08"/>
    <w:rsid w:val="00FB4176"/>
    <w:rsid w:val="00FB431B"/>
    <w:rsid w:val="00FB4F77"/>
    <w:rsid w:val="00FB50DD"/>
    <w:rsid w:val="00FB5572"/>
    <w:rsid w:val="00FB5CC9"/>
    <w:rsid w:val="00FB6860"/>
    <w:rsid w:val="00FB6C8C"/>
    <w:rsid w:val="00FC1DE7"/>
    <w:rsid w:val="00FC1FCE"/>
    <w:rsid w:val="00FC2681"/>
    <w:rsid w:val="00FC2FBA"/>
    <w:rsid w:val="00FC3280"/>
    <w:rsid w:val="00FC4820"/>
    <w:rsid w:val="00FC4A1A"/>
    <w:rsid w:val="00FC4CDC"/>
    <w:rsid w:val="00FC629D"/>
    <w:rsid w:val="00FD1770"/>
    <w:rsid w:val="00FD1A95"/>
    <w:rsid w:val="00FD2159"/>
    <w:rsid w:val="00FD2EE6"/>
    <w:rsid w:val="00FD331E"/>
    <w:rsid w:val="00FD3869"/>
    <w:rsid w:val="00FD3A5E"/>
    <w:rsid w:val="00FD5145"/>
    <w:rsid w:val="00FD5583"/>
    <w:rsid w:val="00FD5F5D"/>
    <w:rsid w:val="00FE1F8B"/>
    <w:rsid w:val="00FE302A"/>
    <w:rsid w:val="00FE3358"/>
    <w:rsid w:val="00FE3824"/>
    <w:rsid w:val="00FE45FC"/>
    <w:rsid w:val="00FE4F22"/>
    <w:rsid w:val="00FE5F91"/>
    <w:rsid w:val="00FE6493"/>
    <w:rsid w:val="00FE7BC7"/>
    <w:rsid w:val="00FF04E1"/>
    <w:rsid w:val="00FF06BC"/>
    <w:rsid w:val="00FF2F84"/>
    <w:rsid w:val="00FF2FC3"/>
    <w:rsid w:val="00FF3245"/>
    <w:rsid w:val="00FF3606"/>
    <w:rsid w:val="00FF376C"/>
    <w:rsid w:val="00FF3D62"/>
    <w:rsid w:val="00FF5550"/>
    <w:rsid w:val="00FF62C5"/>
    <w:rsid w:val="00FF7739"/>
    <w:rsid w:val="00FF77EF"/>
    <w:rsid w:val="00FF7801"/>
    <w:rsid w:val="019C54DB"/>
    <w:rsid w:val="01CAA54C"/>
    <w:rsid w:val="02886C04"/>
    <w:rsid w:val="02AC7C5C"/>
    <w:rsid w:val="02B960BB"/>
    <w:rsid w:val="02EE7595"/>
    <w:rsid w:val="03593AA3"/>
    <w:rsid w:val="036E5CA8"/>
    <w:rsid w:val="039E4361"/>
    <w:rsid w:val="03AC48BF"/>
    <w:rsid w:val="03EF03C1"/>
    <w:rsid w:val="0433273E"/>
    <w:rsid w:val="044CB552"/>
    <w:rsid w:val="0461FB1D"/>
    <w:rsid w:val="0489E2CA"/>
    <w:rsid w:val="048AD18B"/>
    <w:rsid w:val="0493B016"/>
    <w:rsid w:val="049DCB1B"/>
    <w:rsid w:val="04A51074"/>
    <w:rsid w:val="04C49899"/>
    <w:rsid w:val="04D25303"/>
    <w:rsid w:val="04D957F6"/>
    <w:rsid w:val="04DB4FE6"/>
    <w:rsid w:val="050E70A6"/>
    <w:rsid w:val="05205EC4"/>
    <w:rsid w:val="0571A6D2"/>
    <w:rsid w:val="059D80AF"/>
    <w:rsid w:val="05ABAA35"/>
    <w:rsid w:val="05DF5E1B"/>
    <w:rsid w:val="0611ED5F"/>
    <w:rsid w:val="06A21322"/>
    <w:rsid w:val="06BA977F"/>
    <w:rsid w:val="07256014"/>
    <w:rsid w:val="07336B82"/>
    <w:rsid w:val="07A37A3E"/>
    <w:rsid w:val="07AB8EFB"/>
    <w:rsid w:val="07C3EA6F"/>
    <w:rsid w:val="080F5152"/>
    <w:rsid w:val="081927CF"/>
    <w:rsid w:val="081A4D9E"/>
    <w:rsid w:val="083FD41F"/>
    <w:rsid w:val="0863F4FC"/>
    <w:rsid w:val="08BABC22"/>
    <w:rsid w:val="08C5B808"/>
    <w:rsid w:val="08D13AC2"/>
    <w:rsid w:val="0907CE42"/>
    <w:rsid w:val="093BEA51"/>
    <w:rsid w:val="09495DCF"/>
    <w:rsid w:val="0955FB72"/>
    <w:rsid w:val="0963B3EB"/>
    <w:rsid w:val="096B5590"/>
    <w:rsid w:val="09989FC9"/>
    <w:rsid w:val="09A2CEAD"/>
    <w:rsid w:val="09E05A29"/>
    <w:rsid w:val="09FDBBA8"/>
    <w:rsid w:val="0A47EA6D"/>
    <w:rsid w:val="0A4CBF95"/>
    <w:rsid w:val="0A6D4818"/>
    <w:rsid w:val="0A8E59FF"/>
    <w:rsid w:val="0AABB939"/>
    <w:rsid w:val="0AD9EEDE"/>
    <w:rsid w:val="0AE5346A"/>
    <w:rsid w:val="0B2B3E15"/>
    <w:rsid w:val="0B5B5F63"/>
    <w:rsid w:val="0C5C8B14"/>
    <w:rsid w:val="0C821672"/>
    <w:rsid w:val="0C8A9FFD"/>
    <w:rsid w:val="0CAC52F7"/>
    <w:rsid w:val="0CB86790"/>
    <w:rsid w:val="0CD85B06"/>
    <w:rsid w:val="0D564F6B"/>
    <w:rsid w:val="0D6D3C6A"/>
    <w:rsid w:val="0D7188ED"/>
    <w:rsid w:val="0D75AFDF"/>
    <w:rsid w:val="0DB8D447"/>
    <w:rsid w:val="0DD2814F"/>
    <w:rsid w:val="0DF4002C"/>
    <w:rsid w:val="0E2DA213"/>
    <w:rsid w:val="0E497AA0"/>
    <w:rsid w:val="0E51E2CD"/>
    <w:rsid w:val="0E67CC5A"/>
    <w:rsid w:val="0E843FB2"/>
    <w:rsid w:val="0EAA1AE9"/>
    <w:rsid w:val="0ED8AE3A"/>
    <w:rsid w:val="0F1B8A57"/>
    <w:rsid w:val="0F35545F"/>
    <w:rsid w:val="0F586211"/>
    <w:rsid w:val="0F759CC3"/>
    <w:rsid w:val="0FC478FA"/>
    <w:rsid w:val="0FC839E8"/>
    <w:rsid w:val="0FDF19AB"/>
    <w:rsid w:val="0FE0C039"/>
    <w:rsid w:val="101C0102"/>
    <w:rsid w:val="101FBD63"/>
    <w:rsid w:val="109B7532"/>
    <w:rsid w:val="113BE68C"/>
    <w:rsid w:val="1163E374"/>
    <w:rsid w:val="11A23EC3"/>
    <w:rsid w:val="11D80D10"/>
    <w:rsid w:val="11F31E06"/>
    <w:rsid w:val="12108419"/>
    <w:rsid w:val="122D5BE9"/>
    <w:rsid w:val="12301652"/>
    <w:rsid w:val="12334E0B"/>
    <w:rsid w:val="1249EEBD"/>
    <w:rsid w:val="125D6146"/>
    <w:rsid w:val="12944A61"/>
    <w:rsid w:val="12B2F586"/>
    <w:rsid w:val="12BC927F"/>
    <w:rsid w:val="12F24F01"/>
    <w:rsid w:val="12F2A359"/>
    <w:rsid w:val="13B08D8E"/>
    <w:rsid w:val="13E4D404"/>
    <w:rsid w:val="13F8792A"/>
    <w:rsid w:val="142D7554"/>
    <w:rsid w:val="145AD81C"/>
    <w:rsid w:val="147801C9"/>
    <w:rsid w:val="14B5CBBC"/>
    <w:rsid w:val="1517E753"/>
    <w:rsid w:val="157B17F0"/>
    <w:rsid w:val="15806AC3"/>
    <w:rsid w:val="159DA9C5"/>
    <w:rsid w:val="15F47E69"/>
    <w:rsid w:val="15F4E879"/>
    <w:rsid w:val="15FD7DC2"/>
    <w:rsid w:val="160B7C63"/>
    <w:rsid w:val="164767F5"/>
    <w:rsid w:val="1658FA26"/>
    <w:rsid w:val="166E8BD7"/>
    <w:rsid w:val="16943630"/>
    <w:rsid w:val="1698637C"/>
    <w:rsid w:val="169989F4"/>
    <w:rsid w:val="169E46A2"/>
    <w:rsid w:val="16BDC1C0"/>
    <w:rsid w:val="16DCA65A"/>
    <w:rsid w:val="171A7715"/>
    <w:rsid w:val="17828DDD"/>
    <w:rsid w:val="17C5A60E"/>
    <w:rsid w:val="17F1B3F4"/>
    <w:rsid w:val="181D75C6"/>
    <w:rsid w:val="181F0CA1"/>
    <w:rsid w:val="18469AE5"/>
    <w:rsid w:val="185495C2"/>
    <w:rsid w:val="18F98569"/>
    <w:rsid w:val="191BEE8D"/>
    <w:rsid w:val="193E4A2F"/>
    <w:rsid w:val="197990D7"/>
    <w:rsid w:val="1982F264"/>
    <w:rsid w:val="19D934E6"/>
    <w:rsid w:val="19E4B85B"/>
    <w:rsid w:val="1A1CC0B1"/>
    <w:rsid w:val="1A49449E"/>
    <w:rsid w:val="1A4F135E"/>
    <w:rsid w:val="1A539774"/>
    <w:rsid w:val="1AE027EA"/>
    <w:rsid w:val="1BBEAE6A"/>
    <w:rsid w:val="1BF77FC5"/>
    <w:rsid w:val="1C02EE1F"/>
    <w:rsid w:val="1C35E77D"/>
    <w:rsid w:val="1C76F84E"/>
    <w:rsid w:val="1C9D38BD"/>
    <w:rsid w:val="1CA6BC36"/>
    <w:rsid w:val="1CBB4DBF"/>
    <w:rsid w:val="1CEFF473"/>
    <w:rsid w:val="1D06965B"/>
    <w:rsid w:val="1D0A874E"/>
    <w:rsid w:val="1D4CE92A"/>
    <w:rsid w:val="1D5BE335"/>
    <w:rsid w:val="1D75B1AE"/>
    <w:rsid w:val="1D96A1F0"/>
    <w:rsid w:val="1E324D8F"/>
    <w:rsid w:val="1E7B85AD"/>
    <w:rsid w:val="1EBA327B"/>
    <w:rsid w:val="1EBE6016"/>
    <w:rsid w:val="1EFB8FE8"/>
    <w:rsid w:val="1F23E0C9"/>
    <w:rsid w:val="1F5C4B56"/>
    <w:rsid w:val="1F6334B9"/>
    <w:rsid w:val="1F75CC4E"/>
    <w:rsid w:val="1F82433D"/>
    <w:rsid w:val="1F8ABFE8"/>
    <w:rsid w:val="1FB4D926"/>
    <w:rsid w:val="1FBFE7AD"/>
    <w:rsid w:val="1FC85832"/>
    <w:rsid w:val="1FF87065"/>
    <w:rsid w:val="2087CAC9"/>
    <w:rsid w:val="20AEB799"/>
    <w:rsid w:val="20B56314"/>
    <w:rsid w:val="20F88AE3"/>
    <w:rsid w:val="212116AD"/>
    <w:rsid w:val="2156CF3E"/>
    <w:rsid w:val="2192F9BC"/>
    <w:rsid w:val="21A6A1EF"/>
    <w:rsid w:val="21A92D27"/>
    <w:rsid w:val="21B12FF7"/>
    <w:rsid w:val="22045B94"/>
    <w:rsid w:val="220CFB31"/>
    <w:rsid w:val="225EAE1C"/>
    <w:rsid w:val="22B2584C"/>
    <w:rsid w:val="22C91EB9"/>
    <w:rsid w:val="22DF72E5"/>
    <w:rsid w:val="23250FD6"/>
    <w:rsid w:val="23596439"/>
    <w:rsid w:val="2388FD66"/>
    <w:rsid w:val="23BDDAB8"/>
    <w:rsid w:val="23D87A8C"/>
    <w:rsid w:val="23DFBA6E"/>
    <w:rsid w:val="23F056EF"/>
    <w:rsid w:val="23F6011C"/>
    <w:rsid w:val="2435EFA8"/>
    <w:rsid w:val="243A35BB"/>
    <w:rsid w:val="2457E13A"/>
    <w:rsid w:val="245EC108"/>
    <w:rsid w:val="24B84BD2"/>
    <w:rsid w:val="24FEB0FB"/>
    <w:rsid w:val="250D6A8D"/>
    <w:rsid w:val="25135AE4"/>
    <w:rsid w:val="253BD44B"/>
    <w:rsid w:val="255CBE67"/>
    <w:rsid w:val="256E7C30"/>
    <w:rsid w:val="26185F7D"/>
    <w:rsid w:val="261A6CD6"/>
    <w:rsid w:val="262235FB"/>
    <w:rsid w:val="263E5786"/>
    <w:rsid w:val="266C400C"/>
    <w:rsid w:val="26A3CAE0"/>
    <w:rsid w:val="26DCA4DB"/>
    <w:rsid w:val="274D4676"/>
    <w:rsid w:val="27742C75"/>
    <w:rsid w:val="27798285"/>
    <w:rsid w:val="27ED35BF"/>
    <w:rsid w:val="283C730D"/>
    <w:rsid w:val="28D4B20E"/>
    <w:rsid w:val="296E0A82"/>
    <w:rsid w:val="299A0BE4"/>
    <w:rsid w:val="29D8B480"/>
    <w:rsid w:val="2A100C20"/>
    <w:rsid w:val="2A139342"/>
    <w:rsid w:val="2A532E8A"/>
    <w:rsid w:val="2A609608"/>
    <w:rsid w:val="2A6EC3B0"/>
    <w:rsid w:val="2A7556D5"/>
    <w:rsid w:val="2A9B1893"/>
    <w:rsid w:val="2AB18DA6"/>
    <w:rsid w:val="2AB91757"/>
    <w:rsid w:val="2ABE5221"/>
    <w:rsid w:val="2AD11095"/>
    <w:rsid w:val="2AD7F5DB"/>
    <w:rsid w:val="2ADA4B78"/>
    <w:rsid w:val="2AE146CF"/>
    <w:rsid w:val="2B29B4C4"/>
    <w:rsid w:val="2B63FECC"/>
    <w:rsid w:val="2BFF4665"/>
    <w:rsid w:val="2C008C39"/>
    <w:rsid w:val="2C0DD14A"/>
    <w:rsid w:val="2C168640"/>
    <w:rsid w:val="2C55BFF8"/>
    <w:rsid w:val="2C8F587B"/>
    <w:rsid w:val="2C96362D"/>
    <w:rsid w:val="2CE17F0E"/>
    <w:rsid w:val="2D1554D5"/>
    <w:rsid w:val="2D1A6F83"/>
    <w:rsid w:val="2D6B4CDC"/>
    <w:rsid w:val="2DA91141"/>
    <w:rsid w:val="2DC21D00"/>
    <w:rsid w:val="2E2AE831"/>
    <w:rsid w:val="2E3E3D9E"/>
    <w:rsid w:val="2E57979F"/>
    <w:rsid w:val="2E71A338"/>
    <w:rsid w:val="2E8FBFCC"/>
    <w:rsid w:val="2EA8287E"/>
    <w:rsid w:val="2EA83A41"/>
    <w:rsid w:val="2ECA5F20"/>
    <w:rsid w:val="2EE7E7DC"/>
    <w:rsid w:val="2F2A9563"/>
    <w:rsid w:val="2F36E6B2"/>
    <w:rsid w:val="2F5CC328"/>
    <w:rsid w:val="2FA8DD83"/>
    <w:rsid w:val="2FEC10E5"/>
    <w:rsid w:val="301FC8E5"/>
    <w:rsid w:val="304A16E8"/>
    <w:rsid w:val="309CDFFD"/>
    <w:rsid w:val="30AFE808"/>
    <w:rsid w:val="318F99B9"/>
    <w:rsid w:val="31D44361"/>
    <w:rsid w:val="31FFAB46"/>
    <w:rsid w:val="32086FFD"/>
    <w:rsid w:val="320CB30A"/>
    <w:rsid w:val="32104FF6"/>
    <w:rsid w:val="322CD2A2"/>
    <w:rsid w:val="323500B3"/>
    <w:rsid w:val="3253E4F3"/>
    <w:rsid w:val="327D23CA"/>
    <w:rsid w:val="3298CB6D"/>
    <w:rsid w:val="32C2827D"/>
    <w:rsid w:val="32CD9FCF"/>
    <w:rsid w:val="332AD792"/>
    <w:rsid w:val="336DE616"/>
    <w:rsid w:val="3384F4FE"/>
    <w:rsid w:val="33C17CC3"/>
    <w:rsid w:val="33EB8167"/>
    <w:rsid w:val="33F45296"/>
    <w:rsid w:val="3403F144"/>
    <w:rsid w:val="341620FC"/>
    <w:rsid w:val="345B4986"/>
    <w:rsid w:val="34C24835"/>
    <w:rsid w:val="34F540BD"/>
    <w:rsid w:val="34F6AF8B"/>
    <w:rsid w:val="3532ED42"/>
    <w:rsid w:val="35565769"/>
    <w:rsid w:val="355BD1FF"/>
    <w:rsid w:val="35AC2BCE"/>
    <w:rsid w:val="35DA7379"/>
    <w:rsid w:val="3663C1FE"/>
    <w:rsid w:val="36BE32BC"/>
    <w:rsid w:val="36CDCCF6"/>
    <w:rsid w:val="36EE60AC"/>
    <w:rsid w:val="37A3D699"/>
    <w:rsid w:val="37B3414B"/>
    <w:rsid w:val="37C88039"/>
    <w:rsid w:val="3800E497"/>
    <w:rsid w:val="385B2969"/>
    <w:rsid w:val="38843C00"/>
    <w:rsid w:val="38960983"/>
    <w:rsid w:val="389956CA"/>
    <w:rsid w:val="38B365AE"/>
    <w:rsid w:val="38D400DD"/>
    <w:rsid w:val="38E8F0B7"/>
    <w:rsid w:val="39164AB7"/>
    <w:rsid w:val="392054A9"/>
    <w:rsid w:val="3938764B"/>
    <w:rsid w:val="393C2AFF"/>
    <w:rsid w:val="39871310"/>
    <w:rsid w:val="39A7706A"/>
    <w:rsid w:val="39AC7D77"/>
    <w:rsid w:val="39B89A6C"/>
    <w:rsid w:val="39D9C038"/>
    <w:rsid w:val="39F7B8A6"/>
    <w:rsid w:val="3A1061C4"/>
    <w:rsid w:val="3A111F34"/>
    <w:rsid w:val="3A4AD388"/>
    <w:rsid w:val="3A4B4FBB"/>
    <w:rsid w:val="3A6094BC"/>
    <w:rsid w:val="3A6818BC"/>
    <w:rsid w:val="3A7CA888"/>
    <w:rsid w:val="3A9FDBDD"/>
    <w:rsid w:val="3ADB2568"/>
    <w:rsid w:val="3B03E2D7"/>
    <w:rsid w:val="3B3143B2"/>
    <w:rsid w:val="3B73BC82"/>
    <w:rsid w:val="3B80A665"/>
    <w:rsid w:val="3BA4FD77"/>
    <w:rsid w:val="3BCA1BC5"/>
    <w:rsid w:val="3C29740F"/>
    <w:rsid w:val="3C2E5CB6"/>
    <w:rsid w:val="3C5CC4CD"/>
    <w:rsid w:val="3C9A36C7"/>
    <w:rsid w:val="3C9E1917"/>
    <w:rsid w:val="3CD82376"/>
    <w:rsid w:val="3D22368A"/>
    <w:rsid w:val="3D5DE3F4"/>
    <w:rsid w:val="3D67A053"/>
    <w:rsid w:val="3DAA57FE"/>
    <w:rsid w:val="3DBD8E24"/>
    <w:rsid w:val="3DC4DD44"/>
    <w:rsid w:val="3E018FEA"/>
    <w:rsid w:val="3E0D8191"/>
    <w:rsid w:val="3E6B043D"/>
    <w:rsid w:val="3EDD1AC9"/>
    <w:rsid w:val="3EE1162F"/>
    <w:rsid w:val="3F6195E1"/>
    <w:rsid w:val="3F68ADBF"/>
    <w:rsid w:val="3F70B316"/>
    <w:rsid w:val="3FC123EB"/>
    <w:rsid w:val="4056C28C"/>
    <w:rsid w:val="405D9492"/>
    <w:rsid w:val="4065A5AA"/>
    <w:rsid w:val="408491E8"/>
    <w:rsid w:val="409FE198"/>
    <w:rsid w:val="40B9129A"/>
    <w:rsid w:val="40BDD228"/>
    <w:rsid w:val="411FD3EC"/>
    <w:rsid w:val="41283D8E"/>
    <w:rsid w:val="41435C22"/>
    <w:rsid w:val="4172407C"/>
    <w:rsid w:val="41A682AA"/>
    <w:rsid w:val="41B0F5FD"/>
    <w:rsid w:val="41C4706E"/>
    <w:rsid w:val="41CA118C"/>
    <w:rsid w:val="4227A11E"/>
    <w:rsid w:val="425C70B4"/>
    <w:rsid w:val="4270297E"/>
    <w:rsid w:val="42AA47F0"/>
    <w:rsid w:val="42D10258"/>
    <w:rsid w:val="4332FCA3"/>
    <w:rsid w:val="4385A54D"/>
    <w:rsid w:val="43AE5005"/>
    <w:rsid w:val="43B168FB"/>
    <w:rsid w:val="43BC2F7E"/>
    <w:rsid w:val="43C25822"/>
    <w:rsid w:val="43CEE3F4"/>
    <w:rsid w:val="440023DA"/>
    <w:rsid w:val="44619D0C"/>
    <w:rsid w:val="44647589"/>
    <w:rsid w:val="448D8292"/>
    <w:rsid w:val="44964248"/>
    <w:rsid w:val="44AF3537"/>
    <w:rsid w:val="44B8E5DC"/>
    <w:rsid w:val="44D41493"/>
    <w:rsid w:val="44E375E2"/>
    <w:rsid w:val="455E8DE5"/>
    <w:rsid w:val="456EE7E8"/>
    <w:rsid w:val="45856C68"/>
    <w:rsid w:val="45C93A9A"/>
    <w:rsid w:val="45D2E148"/>
    <w:rsid w:val="4612B456"/>
    <w:rsid w:val="46481036"/>
    <w:rsid w:val="4652C9AB"/>
    <w:rsid w:val="467CA57E"/>
    <w:rsid w:val="467F224A"/>
    <w:rsid w:val="46A79007"/>
    <w:rsid w:val="46D54398"/>
    <w:rsid w:val="46F252A0"/>
    <w:rsid w:val="47297591"/>
    <w:rsid w:val="472F2911"/>
    <w:rsid w:val="47DBAB65"/>
    <w:rsid w:val="482D422E"/>
    <w:rsid w:val="48C4984A"/>
    <w:rsid w:val="490C4E9D"/>
    <w:rsid w:val="491CB5DE"/>
    <w:rsid w:val="4936CF42"/>
    <w:rsid w:val="495C4EF8"/>
    <w:rsid w:val="4988583C"/>
    <w:rsid w:val="498BE6A2"/>
    <w:rsid w:val="49BCAF54"/>
    <w:rsid w:val="49DB9B15"/>
    <w:rsid w:val="4A431DD4"/>
    <w:rsid w:val="4A49918E"/>
    <w:rsid w:val="4A8BCB8C"/>
    <w:rsid w:val="4A95BD11"/>
    <w:rsid w:val="4A9FB360"/>
    <w:rsid w:val="4AAC35B0"/>
    <w:rsid w:val="4ABEBB77"/>
    <w:rsid w:val="4AD54C03"/>
    <w:rsid w:val="4AD7282E"/>
    <w:rsid w:val="4AEE332F"/>
    <w:rsid w:val="4B168579"/>
    <w:rsid w:val="4B676B45"/>
    <w:rsid w:val="4B80E18A"/>
    <w:rsid w:val="4BDA69BE"/>
    <w:rsid w:val="4C086FCD"/>
    <w:rsid w:val="4C28D0C0"/>
    <w:rsid w:val="4C4B6B2F"/>
    <w:rsid w:val="4CBD4859"/>
    <w:rsid w:val="4CBD4A0A"/>
    <w:rsid w:val="4CE097A8"/>
    <w:rsid w:val="4CF160BD"/>
    <w:rsid w:val="4D0AB412"/>
    <w:rsid w:val="4D2F5357"/>
    <w:rsid w:val="4D3F2DF6"/>
    <w:rsid w:val="4D61433D"/>
    <w:rsid w:val="4D6EFEA1"/>
    <w:rsid w:val="4DD03AEF"/>
    <w:rsid w:val="4E1E7FE7"/>
    <w:rsid w:val="4E4A6DB5"/>
    <w:rsid w:val="4E8D0B45"/>
    <w:rsid w:val="4E99FB40"/>
    <w:rsid w:val="4EA46072"/>
    <w:rsid w:val="4EC035A9"/>
    <w:rsid w:val="4ED85429"/>
    <w:rsid w:val="4F10D196"/>
    <w:rsid w:val="4F295364"/>
    <w:rsid w:val="4F354199"/>
    <w:rsid w:val="4F426C06"/>
    <w:rsid w:val="4F7A4B84"/>
    <w:rsid w:val="4F81E921"/>
    <w:rsid w:val="4F8C871D"/>
    <w:rsid w:val="4FBEB8DC"/>
    <w:rsid w:val="4FD65615"/>
    <w:rsid w:val="500BCB21"/>
    <w:rsid w:val="50219E69"/>
    <w:rsid w:val="5036B437"/>
    <w:rsid w:val="5081559C"/>
    <w:rsid w:val="50975229"/>
    <w:rsid w:val="50C14534"/>
    <w:rsid w:val="50CA9486"/>
    <w:rsid w:val="51169149"/>
    <w:rsid w:val="5123B508"/>
    <w:rsid w:val="5124C448"/>
    <w:rsid w:val="5131EEAA"/>
    <w:rsid w:val="5164F1E1"/>
    <w:rsid w:val="516F80B1"/>
    <w:rsid w:val="5183C330"/>
    <w:rsid w:val="519B80FD"/>
    <w:rsid w:val="519F5B0B"/>
    <w:rsid w:val="51CE274E"/>
    <w:rsid w:val="51D8033D"/>
    <w:rsid w:val="51F1A98C"/>
    <w:rsid w:val="51FFC592"/>
    <w:rsid w:val="5232534F"/>
    <w:rsid w:val="525E6D2C"/>
    <w:rsid w:val="5286A95F"/>
    <w:rsid w:val="528C2DE7"/>
    <w:rsid w:val="52C32422"/>
    <w:rsid w:val="52C6B4D0"/>
    <w:rsid w:val="52D8E864"/>
    <w:rsid w:val="52E3D8E4"/>
    <w:rsid w:val="52E96231"/>
    <w:rsid w:val="5326078B"/>
    <w:rsid w:val="5371E381"/>
    <w:rsid w:val="538A6A64"/>
    <w:rsid w:val="539B814B"/>
    <w:rsid w:val="53AE8A58"/>
    <w:rsid w:val="53BB80A9"/>
    <w:rsid w:val="53BF3B52"/>
    <w:rsid w:val="53C392F5"/>
    <w:rsid w:val="53EE67C0"/>
    <w:rsid w:val="545E6AB8"/>
    <w:rsid w:val="5460C67B"/>
    <w:rsid w:val="54661DC0"/>
    <w:rsid w:val="547DF233"/>
    <w:rsid w:val="54F9E724"/>
    <w:rsid w:val="551057DC"/>
    <w:rsid w:val="55179D1E"/>
    <w:rsid w:val="55403D88"/>
    <w:rsid w:val="5558A910"/>
    <w:rsid w:val="55B53CA8"/>
    <w:rsid w:val="55BFC5F4"/>
    <w:rsid w:val="55CB101F"/>
    <w:rsid w:val="55F925F2"/>
    <w:rsid w:val="56033B92"/>
    <w:rsid w:val="560E9634"/>
    <w:rsid w:val="5659C423"/>
    <w:rsid w:val="566CBEFA"/>
    <w:rsid w:val="568488F8"/>
    <w:rsid w:val="56A18E31"/>
    <w:rsid w:val="56B4D8EA"/>
    <w:rsid w:val="56BBE494"/>
    <w:rsid w:val="56C7DFA4"/>
    <w:rsid w:val="56E00461"/>
    <w:rsid w:val="56E308E1"/>
    <w:rsid w:val="56E76C7F"/>
    <w:rsid w:val="56F1E89D"/>
    <w:rsid w:val="56FCDA34"/>
    <w:rsid w:val="56FD62EB"/>
    <w:rsid w:val="57108BF6"/>
    <w:rsid w:val="57165A4A"/>
    <w:rsid w:val="573DD889"/>
    <w:rsid w:val="574E3796"/>
    <w:rsid w:val="575533F1"/>
    <w:rsid w:val="577B5B0E"/>
    <w:rsid w:val="57B958E1"/>
    <w:rsid w:val="57E21CBF"/>
    <w:rsid w:val="57E58027"/>
    <w:rsid w:val="57EB4D47"/>
    <w:rsid w:val="57FCD210"/>
    <w:rsid w:val="5892AA85"/>
    <w:rsid w:val="599531B8"/>
    <w:rsid w:val="5998D94F"/>
    <w:rsid w:val="59B598A9"/>
    <w:rsid w:val="59C9D18E"/>
    <w:rsid w:val="59DE64A5"/>
    <w:rsid w:val="59E557B7"/>
    <w:rsid w:val="5A1D3C61"/>
    <w:rsid w:val="5A2AC2D9"/>
    <w:rsid w:val="5A3D05E8"/>
    <w:rsid w:val="5A44320C"/>
    <w:rsid w:val="5A6847E6"/>
    <w:rsid w:val="5A797072"/>
    <w:rsid w:val="5A9D7E90"/>
    <w:rsid w:val="5AC15BBA"/>
    <w:rsid w:val="5AD166B2"/>
    <w:rsid w:val="5AF23BFD"/>
    <w:rsid w:val="5BB3CDE1"/>
    <w:rsid w:val="5BBD184D"/>
    <w:rsid w:val="5BD134EC"/>
    <w:rsid w:val="5BD184C3"/>
    <w:rsid w:val="5BEE524F"/>
    <w:rsid w:val="5C1E4DC4"/>
    <w:rsid w:val="5C39CF98"/>
    <w:rsid w:val="5C5482CF"/>
    <w:rsid w:val="5C5DC994"/>
    <w:rsid w:val="5CA7046D"/>
    <w:rsid w:val="5CBA8FBD"/>
    <w:rsid w:val="5CBE440C"/>
    <w:rsid w:val="5CE4D904"/>
    <w:rsid w:val="5CEEE255"/>
    <w:rsid w:val="5D09EC32"/>
    <w:rsid w:val="5D24FE42"/>
    <w:rsid w:val="5D48B11B"/>
    <w:rsid w:val="5D4BC8BA"/>
    <w:rsid w:val="5D7DE390"/>
    <w:rsid w:val="5D8B8756"/>
    <w:rsid w:val="5DC1C991"/>
    <w:rsid w:val="5DDECA1A"/>
    <w:rsid w:val="5E06060D"/>
    <w:rsid w:val="5E0EEA04"/>
    <w:rsid w:val="5E2CF4F5"/>
    <w:rsid w:val="5E52C98E"/>
    <w:rsid w:val="5E78F6CB"/>
    <w:rsid w:val="5ED52108"/>
    <w:rsid w:val="5EED65C7"/>
    <w:rsid w:val="5EF15A91"/>
    <w:rsid w:val="5F09B190"/>
    <w:rsid w:val="5F4322CF"/>
    <w:rsid w:val="5F6B63F8"/>
    <w:rsid w:val="5F77C250"/>
    <w:rsid w:val="5FDB695A"/>
    <w:rsid w:val="5FDF0E8D"/>
    <w:rsid w:val="60440556"/>
    <w:rsid w:val="6051D24E"/>
    <w:rsid w:val="60A2C6CD"/>
    <w:rsid w:val="60F7A53A"/>
    <w:rsid w:val="60FAAF62"/>
    <w:rsid w:val="612CF8D9"/>
    <w:rsid w:val="613EB1E3"/>
    <w:rsid w:val="616950C0"/>
    <w:rsid w:val="61ECEEE9"/>
    <w:rsid w:val="620FCF7E"/>
    <w:rsid w:val="62189433"/>
    <w:rsid w:val="623ABDBB"/>
    <w:rsid w:val="624BB370"/>
    <w:rsid w:val="6267CAF7"/>
    <w:rsid w:val="629C1FC7"/>
    <w:rsid w:val="62A81212"/>
    <w:rsid w:val="62C36235"/>
    <w:rsid w:val="62C91C9F"/>
    <w:rsid w:val="62CAFA12"/>
    <w:rsid w:val="6334BB81"/>
    <w:rsid w:val="633B6C9E"/>
    <w:rsid w:val="633F3436"/>
    <w:rsid w:val="637646CD"/>
    <w:rsid w:val="63BFAE19"/>
    <w:rsid w:val="63CDF58B"/>
    <w:rsid w:val="63F08DE2"/>
    <w:rsid w:val="6403DE48"/>
    <w:rsid w:val="642A0DF0"/>
    <w:rsid w:val="64520AF8"/>
    <w:rsid w:val="6454A7FD"/>
    <w:rsid w:val="6455FD81"/>
    <w:rsid w:val="646E090A"/>
    <w:rsid w:val="649D7009"/>
    <w:rsid w:val="64AAB2B9"/>
    <w:rsid w:val="64B099ED"/>
    <w:rsid w:val="64B6D51D"/>
    <w:rsid w:val="64EA81B0"/>
    <w:rsid w:val="6508EDC0"/>
    <w:rsid w:val="6589DDCF"/>
    <w:rsid w:val="65B75E60"/>
    <w:rsid w:val="65E17D18"/>
    <w:rsid w:val="662794C6"/>
    <w:rsid w:val="6636B82B"/>
    <w:rsid w:val="667A0C75"/>
    <w:rsid w:val="66CE4866"/>
    <w:rsid w:val="66D03612"/>
    <w:rsid w:val="66E8D8C1"/>
    <w:rsid w:val="67133454"/>
    <w:rsid w:val="6714ED30"/>
    <w:rsid w:val="671AB87D"/>
    <w:rsid w:val="679916C4"/>
    <w:rsid w:val="679F1CD3"/>
    <w:rsid w:val="67C17884"/>
    <w:rsid w:val="67CDC839"/>
    <w:rsid w:val="67D1DDED"/>
    <w:rsid w:val="68158C99"/>
    <w:rsid w:val="6816112B"/>
    <w:rsid w:val="68492DF9"/>
    <w:rsid w:val="684BAAB6"/>
    <w:rsid w:val="68620C5A"/>
    <w:rsid w:val="68C10119"/>
    <w:rsid w:val="68CF119B"/>
    <w:rsid w:val="68E3A538"/>
    <w:rsid w:val="690C2643"/>
    <w:rsid w:val="6919125B"/>
    <w:rsid w:val="69325D50"/>
    <w:rsid w:val="693427E0"/>
    <w:rsid w:val="69439FFD"/>
    <w:rsid w:val="695FCFED"/>
    <w:rsid w:val="698682C3"/>
    <w:rsid w:val="69898A12"/>
    <w:rsid w:val="698B3549"/>
    <w:rsid w:val="699A2817"/>
    <w:rsid w:val="69A63319"/>
    <w:rsid w:val="69E1C5C8"/>
    <w:rsid w:val="69FCC3B5"/>
    <w:rsid w:val="6A189381"/>
    <w:rsid w:val="6A64D576"/>
    <w:rsid w:val="6A6FE3BE"/>
    <w:rsid w:val="6AC43667"/>
    <w:rsid w:val="6AC46F5B"/>
    <w:rsid w:val="6AD197FE"/>
    <w:rsid w:val="6ADDE5FE"/>
    <w:rsid w:val="6AE9A197"/>
    <w:rsid w:val="6AFB435E"/>
    <w:rsid w:val="6B130E22"/>
    <w:rsid w:val="6B6F5533"/>
    <w:rsid w:val="6B7FCA09"/>
    <w:rsid w:val="6B8D8A8C"/>
    <w:rsid w:val="6BB8F13A"/>
    <w:rsid w:val="6BDEC295"/>
    <w:rsid w:val="6BE586D9"/>
    <w:rsid w:val="6BEB7C6E"/>
    <w:rsid w:val="6C07ACF6"/>
    <w:rsid w:val="6C0A0B90"/>
    <w:rsid w:val="6C6B2D0A"/>
    <w:rsid w:val="6C765257"/>
    <w:rsid w:val="6C8C99F5"/>
    <w:rsid w:val="6CB0E659"/>
    <w:rsid w:val="6CBB4E43"/>
    <w:rsid w:val="6CE6AF84"/>
    <w:rsid w:val="6CEB1D6E"/>
    <w:rsid w:val="6D1C6921"/>
    <w:rsid w:val="6D409345"/>
    <w:rsid w:val="6D457E57"/>
    <w:rsid w:val="6DB9248A"/>
    <w:rsid w:val="6E3B8637"/>
    <w:rsid w:val="6E80EC91"/>
    <w:rsid w:val="6ED65E75"/>
    <w:rsid w:val="6EE247B1"/>
    <w:rsid w:val="6EE433C5"/>
    <w:rsid w:val="6F04A448"/>
    <w:rsid w:val="6F2C351D"/>
    <w:rsid w:val="6F3C0425"/>
    <w:rsid w:val="6F6F8314"/>
    <w:rsid w:val="6F91A0D3"/>
    <w:rsid w:val="6F95BD81"/>
    <w:rsid w:val="6FA96467"/>
    <w:rsid w:val="6FAC4D0A"/>
    <w:rsid w:val="6FDFE991"/>
    <w:rsid w:val="6FE8B09D"/>
    <w:rsid w:val="6FEED1F2"/>
    <w:rsid w:val="7000445E"/>
    <w:rsid w:val="70037BEC"/>
    <w:rsid w:val="7015637D"/>
    <w:rsid w:val="702CCDAC"/>
    <w:rsid w:val="704C4569"/>
    <w:rsid w:val="70617F55"/>
    <w:rsid w:val="70670934"/>
    <w:rsid w:val="70E65AE8"/>
    <w:rsid w:val="71174C9F"/>
    <w:rsid w:val="7119E09B"/>
    <w:rsid w:val="71374FDC"/>
    <w:rsid w:val="713E5FC2"/>
    <w:rsid w:val="7252639D"/>
    <w:rsid w:val="729DBA6C"/>
    <w:rsid w:val="72B73214"/>
    <w:rsid w:val="72DF2E2B"/>
    <w:rsid w:val="72EDA573"/>
    <w:rsid w:val="73640E8A"/>
    <w:rsid w:val="7388F9BA"/>
    <w:rsid w:val="738DF667"/>
    <w:rsid w:val="73A579EC"/>
    <w:rsid w:val="73AC0F19"/>
    <w:rsid w:val="73AFB364"/>
    <w:rsid w:val="73F5DBE6"/>
    <w:rsid w:val="7404C218"/>
    <w:rsid w:val="741719FD"/>
    <w:rsid w:val="74584D6D"/>
    <w:rsid w:val="745D3F74"/>
    <w:rsid w:val="746D7C90"/>
    <w:rsid w:val="750D9727"/>
    <w:rsid w:val="751C41ED"/>
    <w:rsid w:val="7584ED58"/>
    <w:rsid w:val="75AE7246"/>
    <w:rsid w:val="75D2D91F"/>
    <w:rsid w:val="75FF55B9"/>
    <w:rsid w:val="7606C080"/>
    <w:rsid w:val="7626F2E4"/>
    <w:rsid w:val="76576E65"/>
    <w:rsid w:val="7657BA6E"/>
    <w:rsid w:val="768296F7"/>
    <w:rsid w:val="76A2D226"/>
    <w:rsid w:val="76B39869"/>
    <w:rsid w:val="76C776D2"/>
    <w:rsid w:val="77AEDC9C"/>
    <w:rsid w:val="77B7C926"/>
    <w:rsid w:val="77FF0615"/>
    <w:rsid w:val="780B061D"/>
    <w:rsid w:val="782A3958"/>
    <w:rsid w:val="78666D1C"/>
    <w:rsid w:val="787A92BA"/>
    <w:rsid w:val="78C7BF5D"/>
    <w:rsid w:val="78F5BDB3"/>
    <w:rsid w:val="7918EFCC"/>
    <w:rsid w:val="7988C295"/>
    <w:rsid w:val="79AD9A0D"/>
    <w:rsid w:val="79B42CC5"/>
    <w:rsid w:val="79F5E307"/>
    <w:rsid w:val="7A26EDB1"/>
    <w:rsid w:val="7A52BE11"/>
    <w:rsid w:val="7A740A44"/>
    <w:rsid w:val="7A76BF7C"/>
    <w:rsid w:val="7A8C5A3F"/>
    <w:rsid w:val="7AAD3C0C"/>
    <w:rsid w:val="7AC00100"/>
    <w:rsid w:val="7AC7262F"/>
    <w:rsid w:val="7ADE1E3F"/>
    <w:rsid w:val="7AE64771"/>
    <w:rsid w:val="7B1FBBF6"/>
    <w:rsid w:val="7B2A631E"/>
    <w:rsid w:val="7B6DF4EE"/>
    <w:rsid w:val="7B8FA880"/>
    <w:rsid w:val="7B9A458F"/>
    <w:rsid w:val="7B9A558B"/>
    <w:rsid w:val="7BBAE54A"/>
    <w:rsid w:val="7BC96E13"/>
    <w:rsid w:val="7BEBDCDB"/>
    <w:rsid w:val="7BFADDCE"/>
    <w:rsid w:val="7C2C2239"/>
    <w:rsid w:val="7C4D3609"/>
    <w:rsid w:val="7C5307B8"/>
    <w:rsid w:val="7C5D9843"/>
    <w:rsid w:val="7C6E2176"/>
    <w:rsid w:val="7CB992E9"/>
    <w:rsid w:val="7CC85989"/>
    <w:rsid w:val="7D16BF2A"/>
    <w:rsid w:val="7D1A7E25"/>
    <w:rsid w:val="7D878192"/>
    <w:rsid w:val="7DC15B03"/>
    <w:rsid w:val="7E264695"/>
    <w:rsid w:val="7E376F61"/>
    <w:rsid w:val="7E3AAFD6"/>
    <w:rsid w:val="7E643EFC"/>
    <w:rsid w:val="7E6B5DFC"/>
    <w:rsid w:val="7E8C12E1"/>
    <w:rsid w:val="7EDEDDC8"/>
    <w:rsid w:val="7EE6D05F"/>
    <w:rsid w:val="7EF6AD3C"/>
    <w:rsid w:val="7F3243DB"/>
    <w:rsid w:val="7F73C45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D583612"/>
  <w15:chartTrackingRefBased/>
  <w15:docId w15:val="{9C38D560-C512-4F1B-874E-8B25CB0FA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16A36"/>
    <w:pPr>
      <w:keepNext/>
      <w:keepLines/>
      <w:numPr>
        <w:numId w:val="17"/>
      </w:numPr>
      <w:spacing w:before="480" w:after="240"/>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A16A36"/>
    <w:pPr>
      <w:keepNext/>
      <w:keepLines/>
      <w:numPr>
        <w:ilvl w:val="1"/>
        <w:numId w:val="17"/>
      </w:numPr>
      <w:spacing w:before="160" w:after="120"/>
      <w:outlineLvl w:val="1"/>
    </w:pPr>
    <w:rPr>
      <w:rFonts w:ascii="Times New Roman" w:eastAsiaTheme="majorEastAsia" w:hAnsi="Times New Roman" w:cstheme="majorBidi"/>
      <w:b/>
      <w:sz w:val="26"/>
      <w:szCs w:val="26"/>
    </w:rPr>
  </w:style>
  <w:style w:type="paragraph" w:styleId="Heading3">
    <w:name w:val="heading 3"/>
    <w:basedOn w:val="Normal"/>
    <w:next w:val="Normal"/>
    <w:link w:val="Heading3Char"/>
    <w:uiPriority w:val="9"/>
    <w:unhideWhenUsed/>
    <w:qFormat/>
    <w:rsid w:val="00132D6C"/>
    <w:pPr>
      <w:keepNext/>
      <w:keepLines/>
      <w:numPr>
        <w:ilvl w:val="2"/>
        <w:numId w:val="17"/>
      </w:numPr>
      <w:spacing w:before="40" w:after="0"/>
      <w:outlineLvl w:val="2"/>
    </w:pPr>
    <w:rPr>
      <w:rFonts w:ascii="Times New Roman" w:eastAsiaTheme="majorEastAsia" w:hAnsi="Times New Roman" w:cstheme="majorBidi"/>
      <w:sz w:val="24"/>
      <w:szCs w:val="24"/>
    </w:rPr>
  </w:style>
  <w:style w:type="paragraph" w:styleId="Heading4">
    <w:name w:val="heading 4"/>
    <w:basedOn w:val="Normal"/>
    <w:next w:val="Normal"/>
    <w:link w:val="Heading4Char"/>
    <w:uiPriority w:val="9"/>
    <w:semiHidden/>
    <w:unhideWhenUsed/>
    <w:qFormat/>
    <w:rsid w:val="007F278A"/>
    <w:pPr>
      <w:keepNext/>
      <w:keepLines/>
      <w:numPr>
        <w:ilvl w:val="3"/>
        <w:numId w:val="17"/>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F278A"/>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278A"/>
    <w:pPr>
      <w:keepNext/>
      <w:keepLines/>
      <w:numPr>
        <w:ilvl w:val="5"/>
        <w:numId w:val="1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278A"/>
    <w:pPr>
      <w:keepNext/>
      <w:keepLines/>
      <w:numPr>
        <w:ilvl w:val="6"/>
        <w:numId w:val="1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278A"/>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278A"/>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E55"/>
    <w:pPr>
      <w:ind w:left="720"/>
      <w:contextualSpacing/>
    </w:pPr>
  </w:style>
  <w:style w:type="paragraph" w:customStyle="1" w:styleId="LegalNumPar">
    <w:name w:val="LegalNumPar"/>
    <w:basedOn w:val="Normal"/>
    <w:rsid w:val="00C00B75"/>
    <w:pPr>
      <w:numPr>
        <w:numId w:val="4"/>
      </w:numPr>
      <w:tabs>
        <w:tab w:val="num" w:pos="360"/>
      </w:tabs>
      <w:spacing w:line="360" w:lineRule="auto"/>
      <w:ind w:left="0" w:firstLine="0"/>
    </w:pPr>
    <w:rPr>
      <w:sz w:val="24"/>
    </w:rPr>
  </w:style>
  <w:style w:type="paragraph" w:customStyle="1" w:styleId="LegalNumPar2">
    <w:name w:val="LegalNumPar2"/>
    <w:basedOn w:val="Normal"/>
    <w:rsid w:val="00C00B75"/>
    <w:pPr>
      <w:numPr>
        <w:ilvl w:val="1"/>
        <w:numId w:val="4"/>
      </w:numPr>
      <w:tabs>
        <w:tab w:val="num" w:pos="360"/>
      </w:tabs>
      <w:spacing w:line="360" w:lineRule="auto"/>
      <w:ind w:left="0" w:firstLine="0"/>
    </w:pPr>
    <w:rPr>
      <w:sz w:val="24"/>
    </w:rPr>
  </w:style>
  <w:style w:type="paragraph" w:customStyle="1" w:styleId="LegalNumPar3">
    <w:name w:val="LegalNumPar3"/>
    <w:basedOn w:val="Normal"/>
    <w:rsid w:val="00C00B75"/>
    <w:pPr>
      <w:numPr>
        <w:ilvl w:val="2"/>
        <w:numId w:val="4"/>
      </w:numPr>
      <w:spacing w:line="360" w:lineRule="auto"/>
    </w:pPr>
    <w:rPr>
      <w:sz w:val="24"/>
    </w:rPr>
  </w:style>
  <w:style w:type="character" w:customStyle="1" w:styleId="Heading1Char">
    <w:name w:val="Heading 1 Char"/>
    <w:basedOn w:val="DefaultParagraphFont"/>
    <w:link w:val="Heading1"/>
    <w:uiPriority w:val="9"/>
    <w:rsid w:val="00A16A36"/>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A16A36"/>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132D6C"/>
    <w:rPr>
      <w:rFonts w:ascii="Times New Roman" w:eastAsiaTheme="majorEastAsia" w:hAnsi="Times New Roman" w:cstheme="majorBidi"/>
      <w:sz w:val="24"/>
      <w:szCs w:val="24"/>
    </w:rPr>
  </w:style>
  <w:style w:type="paragraph" w:styleId="TOCHeading">
    <w:name w:val="TOC Heading"/>
    <w:basedOn w:val="Heading1"/>
    <w:next w:val="Normal"/>
    <w:uiPriority w:val="39"/>
    <w:unhideWhenUsed/>
    <w:qFormat/>
    <w:rsid w:val="00AA5C3D"/>
    <w:pPr>
      <w:outlineLvl w:val="9"/>
    </w:pPr>
    <w:rPr>
      <w:kern w:val="0"/>
      <w14:ligatures w14:val="none"/>
    </w:rPr>
  </w:style>
  <w:style w:type="paragraph" w:styleId="TOC1">
    <w:name w:val="toc 1"/>
    <w:basedOn w:val="Normal"/>
    <w:next w:val="Normal"/>
    <w:autoRedefine/>
    <w:uiPriority w:val="39"/>
    <w:unhideWhenUsed/>
    <w:rsid w:val="00E37145"/>
    <w:pPr>
      <w:tabs>
        <w:tab w:val="right" w:leader="dot" w:pos="9016"/>
      </w:tabs>
      <w:spacing w:after="100"/>
    </w:pPr>
    <w:rPr>
      <w:b/>
      <w:noProof/>
    </w:rPr>
  </w:style>
  <w:style w:type="paragraph" w:styleId="TOC2">
    <w:name w:val="toc 2"/>
    <w:basedOn w:val="Normal"/>
    <w:next w:val="Normal"/>
    <w:autoRedefine/>
    <w:uiPriority w:val="39"/>
    <w:unhideWhenUsed/>
    <w:rsid w:val="00836ADC"/>
    <w:pPr>
      <w:tabs>
        <w:tab w:val="left" w:pos="960"/>
        <w:tab w:val="right" w:leader="dot" w:pos="9016"/>
      </w:tabs>
      <w:spacing w:after="100"/>
      <w:ind w:left="220"/>
    </w:pPr>
    <w:rPr>
      <w:rFonts w:ascii="Times New Roman" w:hAnsi="Times New Roman" w:cs="Times New Roman"/>
      <w:b/>
      <w:bCs/>
      <w:noProof/>
      <w:sz w:val="24"/>
      <w:szCs w:val="24"/>
    </w:rPr>
  </w:style>
  <w:style w:type="paragraph" w:styleId="TOC3">
    <w:name w:val="toc 3"/>
    <w:basedOn w:val="Normal"/>
    <w:next w:val="Normal"/>
    <w:autoRedefine/>
    <w:uiPriority w:val="39"/>
    <w:unhideWhenUsed/>
    <w:rsid w:val="00AA5C3D"/>
    <w:pPr>
      <w:spacing w:after="100"/>
      <w:ind w:left="440"/>
    </w:pPr>
  </w:style>
  <w:style w:type="character" w:styleId="Hyperlink">
    <w:name w:val="Hyperlink"/>
    <w:basedOn w:val="DefaultParagraphFont"/>
    <w:uiPriority w:val="99"/>
    <w:unhideWhenUsed/>
    <w:rsid w:val="00AA5C3D"/>
    <w:rPr>
      <w:color w:val="0563C1" w:themeColor="hyperlink"/>
      <w:u w:val="single"/>
    </w:rPr>
  </w:style>
  <w:style w:type="table" w:styleId="TableGrid">
    <w:name w:val="Table Grid"/>
    <w:basedOn w:val="TableNormal"/>
    <w:uiPriority w:val="39"/>
    <w:rsid w:val="00B701D2"/>
    <w:pPr>
      <w:spacing w:after="0" w:line="240" w:lineRule="auto"/>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table" w:styleId="GridTable4-Accent1">
    <w:name w:val="Grid Table 4 Accent 1"/>
    <w:basedOn w:val="TableNormal"/>
    <w:uiPriority w:val="49"/>
    <w:rsid w:val="00B6702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FootnoteText">
    <w:name w:val="footnote text"/>
    <w:basedOn w:val="Normal"/>
    <w:link w:val="FootnoteTextChar"/>
    <w:uiPriority w:val="99"/>
    <w:semiHidden/>
    <w:unhideWhenUsed/>
    <w:rsid w:val="002561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611A"/>
    <w:rPr>
      <w:sz w:val="20"/>
      <w:szCs w:val="20"/>
    </w:rPr>
  </w:style>
  <w:style w:type="character" w:styleId="FootnoteReference">
    <w:name w:val="footnote reference"/>
    <w:basedOn w:val="DefaultParagraphFont"/>
    <w:uiPriority w:val="99"/>
    <w:semiHidden/>
    <w:unhideWhenUsed/>
    <w:rsid w:val="0025611A"/>
    <w:rPr>
      <w:vertAlign w:val="superscript"/>
    </w:rPr>
  </w:style>
  <w:style w:type="table" w:styleId="ListTable4">
    <w:name w:val="List Table 4"/>
    <w:basedOn w:val="TableNormal"/>
    <w:uiPriority w:val="49"/>
    <w:rsid w:val="0080720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0720C"/>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3-Accent1">
    <w:name w:val="List Table 3 Accent 1"/>
    <w:basedOn w:val="TableNormal"/>
    <w:uiPriority w:val="48"/>
    <w:rsid w:val="006D5EB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NormalWeb">
    <w:name w:val="Normal (Web)"/>
    <w:basedOn w:val="Normal"/>
    <w:uiPriority w:val="99"/>
    <w:semiHidden/>
    <w:unhideWhenUsed/>
    <w:rsid w:val="00A94A7B"/>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NoSpacing">
    <w:name w:val="No Spacing"/>
    <w:link w:val="NoSpacingChar"/>
    <w:uiPriority w:val="1"/>
    <w:qFormat/>
    <w:rsid w:val="00624016"/>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624016"/>
    <w:rPr>
      <w:rFonts w:eastAsiaTheme="minorEastAsia"/>
      <w:kern w:val="0"/>
      <w:lang w:val="ro-RO"/>
      <w14:ligatures w14:val="none"/>
    </w:rPr>
  </w:style>
  <w:style w:type="character" w:styleId="CommentReference">
    <w:name w:val="annotation reference"/>
    <w:basedOn w:val="DefaultParagraphFont"/>
    <w:uiPriority w:val="99"/>
    <w:semiHidden/>
    <w:unhideWhenUsed/>
    <w:rsid w:val="00621C35"/>
    <w:rPr>
      <w:sz w:val="16"/>
      <w:szCs w:val="16"/>
    </w:rPr>
  </w:style>
  <w:style w:type="paragraph" w:styleId="CommentText">
    <w:name w:val="annotation text"/>
    <w:basedOn w:val="Normal"/>
    <w:link w:val="CommentTextChar"/>
    <w:uiPriority w:val="99"/>
    <w:unhideWhenUsed/>
    <w:rsid w:val="00621C35"/>
    <w:pPr>
      <w:spacing w:line="240" w:lineRule="auto"/>
    </w:pPr>
    <w:rPr>
      <w:sz w:val="20"/>
      <w:szCs w:val="20"/>
    </w:rPr>
  </w:style>
  <w:style w:type="character" w:customStyle="1" w:styleId="CommentTextChar">
    <w:name w:val="Comment Text Char"/>
    <w:basedOn w:val="DefaultParagraphFont"/>
    <w:link w:val="CommentText"/>
    <w:uiPriority w:val="99"/>
    <w:rsid w:val="00621C35"/>
    <w:rPr>
      <w:sz w:val="20"/>
      <w:szCs w:val="20"/>
    </w:rPr>
  </w:style>
  <w:style w:type="paragraph" w:styleId="CommentSubject">
    <w:name w:val="annotation subject"/>
    <w:basedOn w:val="CommentText"/>
    <w:next w:val="CommentText"/>
    <w:link w:val="CommentSubjectChar"/>
    <w:uiPriority w:val="99"/>
    <w:semiHidden/>
    <w:unhideWhenUsed/>
    <w:rsid w:val="00621C35"/>
    <w:rPr>
      <w:b/>
      <w:bCs/>
    </w:rPr>
  </w:style>
  <w:style w:type="character" w:customStyle="1" w:styleId="CommentSubjectChar">
    <w:name w:val="Comment Subject Char"/>
    <w:basedOn w:val="CommentTextChar"/>
    <w:link w:val="CommentSubject"/>
    <w:uiPriority w:val="99"/>
    <w:semiHidden/>
    <w:rsid w:val="00621C35"/>
    <w:rPr>
      <w:b/>
      <w:bCs/>
      <w:sz w:val="20"/>
      <w:szCs w:val="20"/>
    </w:rPr>
  </w:style>
  <w:style w:type="table" w:styleId="GridTable5Dark-Accent1">
    <w:name w:val="Grid Table 5 Dark Accent 1"/>
    <w:basedOn w:val="TableNormal"/>
    <w:uiPriority w:val="50"/>
    <w:rsid w:val="009A075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58036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Revision">
    <w:name w:val="Revision"/>
    <w:hidden/>
    <w:uiPriority w:val="99"/>
    <w:semiHidden/>
    <w:rsid w:val="00F835A9"/>
    <w:pPr>
      <w:spacing w:after="0" w:line="240" w:lineRule="auto"/>
    </w:pPr>
  </w:style>
  <w:style w:type="character" w:customStyle="1" w:styleId="UnresolvedMention">
    <w:name w:val="Unresolved Mention"/>
    <w:basedOn w:val="DefaultParagraphFont"/>
    <w:uiPriority w:val="99"/>
    <w:semiHidden/>
    <w:unhideWhenUsed/>
    <w:rsid w:val="00A97415"/>
    <w:rPr>
      <w:color w:val="605E5C"/>
      <w:shd w:val="clear" w:color="auto" w:fill="E1DFDD"/>
    </w:rPr>
  </w:style>
  <w:style w:type="paragraph" w:styleId="Header">
    <w:name w:val="header"/>
    <w:basedOn w:val="Normal"/>
    <w:link w:val="HeaderChar"/>
    <w:uiPriority w:val="99"/>
    <w:unhideWhenUsed/>
    <w:rsid w:val="003E5B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BFA"/>
  </w:style>
  <w:style w:type="paragraph" w:styleId="Footer">
    <w:name w:val="footer"/>
    <w:basedOn w:val="Normal"/>
    <w:link w:val="FooterChar"/>
    <w:uiPriority w:val="99"/>
    <w:unhideWhenUsed/>
    <w:rsid w:val="003E5B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BFA"/>
  </w:style>
  <w:style w:type="numbering" w:customStyle="1" w:styleId="CurrentList1">
    <w:name w:val="Current List1"/>
    <w:uiPriority w:val="99"/>
    <w:rsid w:val="007F278A"/>
    <w:pPr>
      <w:numPr>
        <w:numId w:val="19"/>
      </w:numPr>
    </w:pPr>
  </w:style>
  <w:style w:type="character" w:customStyle="1" w:styleId="Heading4Char">
    <w:name w:val="Heading 4 Char"/>
    <w:basedOn w:val="DefaultParagraphFont"/>
    <w:link w:val="Heading4"/>
    <w:uiPriority w:val="9"/>
    <w:semiHidden/>
    <w:rsid w:val="007F278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F278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F278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278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278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278A"/>
    <w:rPr>
      <w:rFonts w:asciiTheme="majorHAnsi" w:eastAsiaTheme="majorEastAsia" w:hAnsiTheme="majorHAnsi" w:cstheme="majorBidi"/>
      <w:i/>
      <w:iCs/>
      <w:color w:val="272727" w:themeColor="text1" w:themeTint="D8"/>
      <w:sz w:val="21"/>
      <w:szCs w:val="21"/>
    </w:rPr>
  </w:style>
  <w:style w:type="table" w:styleId="GridTable6Colorful-Accent2">
    <w:name w:val="Grid Table 6 Colorful Accent 2"/>
    <w:basedOn w:val="TableNormal"/>
    <w:uiPriority w:val="51"/>
    <w:rsid w:val="00DB5A3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Marker">
    <w:name w:val="Marker"/>
    <w:basedOn w:val="DefaultParagraphFont"/>
    <w:rsid w:val="00097901"/>
    <w:rPr>
      <w:color w:val="0000FF"/>
      <w:shd w:val="clear" w:color="auto" w:fill="auto"/>
    </w:rPr>
  </w:style>
  <w:style w:type="paragraph" w:customStyle="1" w:styleId="Pagedecouverture">
    <w:name w:val="Page de couverture"/>
    <w:basedOn w:val="Normal"/>
    <w:next w:val="Normal"/>
    <w:rsid w:val="00DE56F9"/>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CD2D6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D2D68"/>
    <w:rPr>
      <w:rFonts w:ascii="Times New Roman" w:hAnsi="Times New Roman" w:cs="Times New Roman"/>
      <w:sz w:val="24"/>
    </w:rPr>
  </w:style>
  <w:style w:type="paragraph" w:customStyle="1" w:styleId="FooterSensitivity">
    <w:name w:val="Footer Sensitivity"/>
    <w:basedOn w:val="Normal"/>
    <w:link w:val="FooterSensitivityChar"/>
    <w:rsid w:val="00CD2D6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D2D68"/>
    <w:rPr>
      <w:rFonts w:ascii="Times New Roman" w:hAnsi="Times New Roman" w:cs="Times New Roman"/>
      <w:b/>
      <w:sz w:val="32"/>
    </w:rPr>
  </w:style>
  <w:style w:type="paragraph" w:customStyle="1" w:styleId="HeaderCoverPage">
    <w:name w:val="Header Cover Page"/>
    <w:basedOn w:val="Normal"/>
    <w:link w:val="HeaderCoverPageChar"/>
    <w:rsid w:val="00CD2D6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D2D68"/>
    <w:rPr>
      <w:rFonts w:ascii="Times New Roman" w:hAnsi="Times New Roman" w:cs="Times New Roman"/>
      <w:sz w:val="24"/>
    </w:rPr>
  </w:style>
  <w:style w:type="paragraph" w:customStyle="1" w:styleId="HeaderSensitivity">
    <w:name w:val="Header Sensitivity"/>
    <w:basedOn w:val="Normal"/>
    <w:link w:val="HeaderSensitivityChar"/>
    <w:rsid w:val="00CD2D6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D2D68"/>
    <w:rPr>
      <w:rFonts w:ascii="Times New Roman" w:hAnsi="Times New Roman" w:cs="Times New Roman"/>
      <w:b/>
      <w:sz w:val="32"/>
    </w:rPr>
  </w:style>
  <w:style w:type="paragraph" w:customStyle="1" w:styleId="HeaderSensitivityRight">
    <w:name w:val="Header Sensitivity Right"/>
    <w:basedOn w:val="Normal"/>
    <w:link w:val="HeaderSensitivityRightChar"/>
    <w:rsid w:val="00CD2D6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D2D68"/>
    <w:rPr>
      <w:rFonts w:ascii="Times New Roman" w:hAnsi="Times New Roman" w:cs="Times New Roman"/>
      <w:sz w:val="28"/>
    </w:rPr>
  </w:style>
  <w:style w:type="character" w:styleId="FollowedHyperlink">
    <w:name w:val="FollowedHyperlink"/>
    <w:basedOn w:val="DefaultParagraphFont"/>
    <w:uiPriority w:val="99"/>
    <w:semiHidden/>
    <w:unhideWhenUsed/>
    <w:rsid w:val="002C20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17047">
      <w:bodyDiv w:val="1"/>
      <w:marLeft w:val="0"/>
      <w:marRight w:val="0"/>
      <w:marTop w:val="0"/>
      <w:marBottom w:val="0"/>
      <w:divBdr>
        <w:top w:val="none" w:sz="0" w:space="0" w:color="auto"/>
        <w:left w:val="none" w:sz="0" w:space="0" w:color="auto"/>
        <w:bottom w:val="none" w:sz="0" w:space="0" w:color="auto"/>
        <w:right w:val="none" w:sz="0" w:space="0" w:color="auto"/>
      </w:divBdr>
    </w:div>
    <w:div w:id="115611024">
      <w:bodyDiv w:val="1"/>
      <w:marLeft w:val="0"/>
      <w:marRight w:val="0"/>
      <w:marTop w:val="0"/>
      <w:marBottom w:val="0"/>
      <w:divBdr>
        <w:top w:val="none" w:sz="0" w:space="0" w:color="auto"/>
        <w:left w:val="none" w:sz="0" w:space="0" w:color="auto"/>
        <w:bottom w:val="none" w:sz="0" w:space="0" w:color="auto"/>
        <w:right w:val="none" w:sz="0" w:space="0" w:color="auto"/>
      </w:divBdr>
    </w:div>
    <w:div w:id="157162150">
      <w:bodyDiv w:val="1"/>
      <w:marLeft w:val="0"/>
      <w:marRight w:val="0"/>
      <w:marTop w:val="0"/>
      <w:marBottom w:val="0"/>
      <w:divBdr>
        <w:top w:val="none" w:sz="0" w:space="0" w:color="auto"/>
        <w:left w:val="none" w:sz="0" w:space="0" w:color="auto"/>
        <w:bottom w:val="none" w:sz="0" w:space="0" w:color="auto"/>
        <w:right w:val="none" w:sz="0" w:space="0" w:color="auto"/>
      </w:divBdr>
      <w:divsChild>
        <w:div w:id="1686596762">
          <w:marLeft w:val="0"/>
          <w:marRight w:val="0"/>
          <w:marTop w:val="0"/>
          <w:marBottom w:val="0"/>
          <w:divBdr>
            <w:top w:val="none" w:sz="0" w:space="0" w:color="auto"/>
            <w:left w:val="none" w:sz="0" w:space="0" w:color="auto"/>
            <w:bottom w:val="none" w:sz="0" w:space="0" w:color="auto"/>
            <w:right w:val="none" w:sz="0" w:space="0" w:color="auto"/>
          </w:divBdr>
          <w:divsChild>
            <w:div w:id="52470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92068">
      <w:bodyDiv w:val="1"/>
      <w:marLeft w:val="0"/>
      <w:marRight w:val="0"/>
      <w:marTop w:val="0"/>
      <w:marBottom w:val="0"/>
      <w:divBdr>
        <w:top w:val="none" w:sz="0" w:space="0" w:color="auto"/>
        <w:left w:val="none" w:sz="0" w:space="0" w:color="auto"/>
        <w:bottom w:val="none" w:sz="0" w:space="0" w:color="auto"/>
        <w:right w:val="none" w:sz="0" w:space="0" w:color="auto"/>
      </w:divBdr>
    </w:div>
    <w:div w:id="301423241">
      <w:bodyDiv w:val="1"/>
      <w:marLeft w:val="0"/>
      <w:marRight w:val="0"/>
      <w:marTop w:val="0"/>
      <w:marBottom w:val="0"/>
      <w:divBdr>
        <w:top w:val="none" w:sz="0" w:space="0" w:color="auto"/>
        <w:left w:val="none" w:sz="0" w:space="0" w:color="auto"/>
        <w:bottom w:val="none" w:sz="0" w:space="0" w:color="auto"/>
        <w:right w:val="none" w:sz="0" w:space="0" w:color="auto"/>
      </w:divBdr>
    </w:div>
    <w:div w:id="361173523">
      <w:bodyDiv w:val="1"/>
      <w:marLeft w:val="0"/>
      <w:marRight w:val="0"/>
      <w:marTop w:val="0"/>
      <w:marBottom w:val="0"/>
      <w:divBdr>
        <w:top w:val="none" w:sz="0" w:space="0" w:color="auto"/>
        <w:left w:val="none" w:sz="0" w:space="0" w:color="auto"/>
        <w:bottom w:val="none" w:sz="0" w:space="0" w:color="auto"/>
        <w:right w:val="none" w:sz="0" w:space="0" w:color="auto"/>
      </w:divBdr>
    </w:div>
    <w:div w:id="377356996">
      <w:bodyDiv w:val="1"/>
      <w:marLeft w:val="0"/>
      <w:marRight w:val="0"/>
      <w:marTop w:val="0"/>
      <w:marBottom w:val="0"/>
      <w:divBdr>
        <w:top w:val="none" w:sz="0" w:space="0" w:color="auto"/>
        <w:left w:val="none" w:sz="0" w:space="0" w:color="auto"/>
        <w:bottom w:val="none" w:sz="0" w:space="0" w:color="auto"/>
        <w:right w:val="none" w:sz="0" w:space="0" w:color="auto"/>
      </w:divBdr>
    </w:div>
    <w:div w:id="496263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2739">
          <w:marLeft w:val="0"/>
          <w:marRight w:val="0"/>
          <w:marTop w:val="0"/>
          <w:marBottom w:val="0"/>
          <w:divBdr>
            <w:top w:val="none" w:sz="0" w:space="0" w:color="auto"/>
            <w:left w:val="none" w:sz="0" w:space="0" w:color="auto"/>
            <w:bottom w:val="none" w:sz="0" w:space="0" w:color="auto"/>
            <w:right w:val="none" w:sz="0" w:space="0" w:color="auto"/>
          </w:divBdr>
          <w:divsChild>
            <w:div w:id="183823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039962">
      <w:bodyDiv w:val="1"/>
      <w:marLeft w:val="0"/>
      <w:marRight w:val="0"/>
      <w:marTop w:val="0"/>
      <w:marBottom w:val="0"/>
      <w:divBdr>
        <w:top w:val="none" w:sz="0" w:space="0" w:color="auto"/>
        <w:left w:val="none" w:sz="0" w:space="0" w:color="auto"/>
        <w:bottom w:val="none" w:sz="0" w:space="0" w:color="auto"/>
        <w:right w:val="none" w:sz="0" w:space="0" w:color="auto"/>
      </w:divBdr>
    </w:div>
    <w:div w:id="599341999">
      <w:bodyDiv w:val="1"/>
      <w:marLeft w:val="0"/>
      <w:marRight w:val="0"/>
      <w:marTop w:val="0"/>
      <w:marBottom w:val="0"/>
      <w:divBdr>
        <w:top w:val="none" w:sz="0" w:space="0" w:color="auto"/>
        <w:left w:val="none" w:sz="0" w:space="0" w:color="auto"/>
        <w:bottom w:val="none" w:sz="0" w:space="0" w:color="auto"/>
        <w:right w:val="none" w:sz="0" w:space="0" w:color="auto"/>
      </w:divBdr>
    </w:div>
    <w:div w:id="645164478">
      <w:bodyDiv w:val="1"/>
      <w:marLeft w:val="0"/>
      <w:marRight w:val="0"/>
      <w:marTop w:val="0"/>
      <w:marBottom w:val="0"/>
      <w:divBdr>
        <w:top w:val="none" w:sz="0" w:space="0" w:color="auto"/>
        <w:left w:val="none" w:sz="0" w:space="0" w:color="auto"/>
        <w:bottom w:val="none" w:sz="0" w:space="0" w:color="auto"/>
        <w:right w:val="none" w:sz="0" w:space="0" w:color="auto"/>
      </w:divBdr>
    </w:div>
    <w:div w:id="831680573">
      <w:bodyDiv w:val="1"/>
      <w:marLeft w:val="0"/>
      <w:marRight w:val="0"/>
      <w:marTop w:val="0"/>
      <w:marBottom w:val="0"/>
      <w:divBdr>
        <w:top w:val="none" w:sz="0" w:space="0" w:color="auto"/>
        <w:left w:val="none" w:sz="0" w:space="0" w:color="auto"/>
        <w:bottom w:val="none" w:sz="0" w:space="0" w:color="auto"/>
        <w:right w:val="none" w:sz="0" w:space="0" w:color="auto"/>
      </w:divBdr>
    </w:div>
    <w:div w:id="844056615">
      <w:bodyDiv w:val="1"/>
      <w:marLeft w:val="0"/>
      <w:marRight w:val="0"/>
      <w:marTop w:val="0"/>
      <w:marBottom w:val="0"/>
      <w:divBdr>
        <w:top w:val="none" w:sz="0" w:space="0" w:color="auto"/>
        <w:left w:val="none" w:sz="0" w:space="0" w:color="auto"/>
        <w:bottom w:val="none" w:sz="0" w:space="0" w:color="auto"/>
        <w:right w:val="none" w:sz="0" w:space="0" w:color="auto"/>
      </w:divBdr>
      <w:divsChild>
        <w:div w:id="793717781">
          <w:marLeft w:val="0"/>
          <w:marRight w:val="0"/>
          <w:marTop w:val="0"/>
          <w:marBottom w:val="0"/>
          <w:divBdr>
            <w:top w:val="none" w:sz="0" w:space="0" w:color="auto"/>
            <w:left w:val="none" w:sz="0" w:space="0" w:color="auto"/>
            <w:bottom w:val="none" w:sz="0" w:space="0" w:color="auto"/>
            <w:right w:val="none" w:sz="0" w:space="0" w:color="auto"/>
          </w:divBdr>
          <w:divsChild>
            <w:div w:id="189878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37500">
      <w:bodyDiv w:val="1"/>
      <w:marLeft w:val="0"/>
      <w:marRight w:val="0"/>
      <w:marTop w:val="0"/>
      <w:marBottom w:val="0"/>
      <w:divBdr>
        <w:top w:val="none" w:sz="0" w:space="0" w:color="auto"/>
        <w:left w:val="none" w:sz="0" w:space="0" w:color="auto"/>
        <w:bottom w:val="none" w:sz="0" w:space="0" w:color="auto"/>
        <w:right w:val="none" w:sz="0" w:space="0" w:color="auto"/>
      </w:divBdr>
    </w:div>
    <w:div w:id="946078145">
      <w:bodyDiv w:val="1"/>
      <w:marLeft w:val="0"/>
      <w:marRight w:val="0"/>
      <w:marTop w:val="0"/>
      <w:marBottom w:val="0"/>
      <w:divBdr>
        <w:top w:val="none" w:sz="0" w:space="0" w:color="auto"/>
        <w:left w:val="none" w:sz="0" w:space="0" w:color="auto"/>
        <w:bottom w:val="none" w:sz="0" w:space="0" w:color="auto"/>
        <w:right w:val="none" w:sz="0" w:space="0" w:color="auto"/>
      </w:divBdr>
    </w:div>
    <w:div w:id="1011026092">
      <w:bodyDiv w:val="1"/>
      <w:marLeft w:val="0"/>
      <w:marRight w:val="0"/>
      <w:marTop w:val="0"/>
      <w:marBottom w:val="0"/>
      <w:divBdr>
        <w:top w:val="none" w:sz="0" w:space="0" w:color="auto"/>
        <w:left w:val="none" w:sz="0" w:space="0" w:color="auto"/>
        <w:bottom w:val="none" w:sz="0" w:space="0" w:color="auto"/>
        <w:right w:val="none" w:sz="0" w:space="0" w:color="auto"/>
      </w:divBdr>
      <w:divsChild>
        <w:div w:id="1253391693">
          <w:marLeft w:val="0"/>
          <w:marRight w:val="0"/>
          <w:marTop w:val="0"/>
          <w:marBottom w:val="0"/>
          <w:divBdr>
            <w:top w:val="none" w:sz="0" w:space="0" w:color="auto"/>
            <w:left w:val="none" w:sz="0" w:space="0" w:color="auto"/>
            <w:bottom w:val="none" w:sz="0" w:space="0" w:color="auto"/>
            <w:right w:val="none" w:sz="0" w:space="0" w:color="auto"/>
          </w:divBdr>
        </w:div>
      </w:divsChild>
    </w:div>
    <w:div w:id="1057051207">
      <w:bodyDiv w:val="1"/>
      <w:marLeft w:val="0"/>
      <w:marRight w:val="0"/>
      <w:marTop w:val="0"/>
      <w:marBottom w:val="0"/>
      <w:divBdr>
        <w:top w:val="none" w:sz="0" w:space="0" w:color="auto"/>
        <w:left w:val="none" w:sz="0" w:space="0" w:color="auto"/>
        <w:bottom w:val="none" w:sz="0" w:space="0" w:color="auto"/>
        <w:right w:val="none" w:sz="0" w:space="0" w:color="auto"/>
      </w:divBdr>
      <w:divsChild>
        <w:div w:id="940067213">
          <w:marLeft w:val="0"/>
          <w:marRight w:val="0"/>
          <w:marTop w:val="0"/>
          <w:marBottom w:val="0"/>
          <w:divBdr>
            <w:top w:val="none" w:sz="0" w:space="0" w:color="auto"/>
            <w:left w:val="none" w:sz="0" w:space="0" w:color="auto"/>
            <w:bottom w:val="none" w:sz="0" w:space="0" w:color="auto"/>
            <w:right w:val="none" w:sz="0" w:space="0" w:color="auto"/>
          </w:divBdr>
          <w:divsChild>
            <w:div w:id="22730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207674">
      <w:bodyDiv w:val="1"/>
      <w:marLeft w:val="0"/>
      <w:marRight w:val="0"/>
      <w:marTop w:val="0"/>
      <w:marBottom w:val="0"/>
      <w:divBdr>
        <w:top w:val="none" w:sz="0" w:space="0" w:color="auto"/>
        <w:left w:val="none" w:sz="0" w:space="0" w:color="auto"/>
        <w:bottom w:val="none" w:sz="0" w:space="0" w:color="auto"/>
        <w:right w:val="none" w:sz="0" w:space="0" w:color="auto"/>
      </w:divBdr>
    </w:div>
    <w:div w:id="1131824845">
      <w:bodyDiv w:val="1"/>
      <w:marLeft w:val="0"/>
      <w:marRight w:val="0"/>
      <w:marTop w:val="0"/>
      <w:marBottom w:val="0"/>
      <w:divBdr>
        <w:top w:val="none" w:sz="0" w:space="0" w:color="auto"/>
        <w:left w:val="none" w:sz="0" w:space="0" w:color="auto"/>
        <w:bottom w:val="none" w:sz="0" w:space="0" w:color="auto"/>
        <w:right w:val="none" w:sz="0" w:space="0" w:color="auto"/>
      </w:divBdr>
    </w:div>
    <w:div w:id="1226793997">
      <w:bodyDiv w:val="1"/>
      <w:marLeft w:val="0"/>
      <w:marRight w:val="0"/>
      <w:marTop w:val="0"/>
      <w:marBottom w:val="0"/>
      <w:divBdr>
        <w:top w:val="none" w:sz="0" w:space="0" w:color="auto"/>
        <w:left w:val="none" w:sz="0" w:space="0" w:color="auto"/>
        <w:bottom w:val="none" w:sz="0" w:space="0" w:color="auto"/>
        <w:right w:val="none" w:sz="0" w:space="0" w:color="auto"/>
      </w:divBdr>
    </w:div>
    <w:div w:id="1363358370">
      <w:bodyDiv w:val="1"/>
      <w:marLeft w:val="0"/>
      <w:marRight w:val="0"/>
      <w:marTop w:val="0"/>
      <w:marBottom w:val="0"/>
      <w:divBdr>
        <w:top w:val="none" w:sz="0" w:space="0" w:color="auto"/>
        <w:left w:val="none" w:sz="0" w:space="0" w:color="auto"/>
        <w:bottom w:val="none" w:sz="0" w:space="0" w:color="auto"/>
        <w:right w:val="none" w:sz="0" w:space="0" w:color="auto"/>
      </w:divBdr>
    </w:div>
    <w:div w:id="1444379810">
      <w:bodyDiv w:val="1"/>
      <w:marLeft w:val="0"/>
      <w:marRight w:val="0"/>
      <w:marTop w:val="0"/>
      <w:marBottom w:val="0"/>
      <w:divBdr>
        <w:top w:val="none" w:sz="0" w:space="0" w:color="auto"/>
        <w:left w:val="none" w:sz="0" w:space="0" w:color="auto"/>
        <w:bottom w:val="none" w:sz="0" w:space="0" w:color="auto"/>
        <w:right w:val="none" w:sz="0" w:space="0" w:color="auto"/>
      </w:divBdr>
    </w:div>
    <w:div w:id="1500347496">
      <w:bodyDiv w:val="1"/>
      <w:marLeft w:val="0"/>
      <w:marRight w:val="0"/>
      <w:marTop w:val="0"/>
      <w:marBottom w:val="0"/>
      <w:divBdr>
        <w:top w:val="none" w:sz="0" w:space="0" w:color="auto"/>
        <w:left w:val="none" w:sz="0" w:space="0" w:color="auto"/>
        <w:bottom w:val="none" w:sz="0" w:space="0" w:color="auto"/>
        <w:right w:val="none" w:sz="0" w:space="0" w:color="auto"/>
      </w:divBdr>
      <w:divsChild>
        <w:div w:id="39674659">
          <w:marLeft w:val="0"/>
          <w:marRight w:val="0"/>
          <w:marTop w:val="0"/>
          <w:marBottom w:val="0"/>
          <w:divBdr>
            <w:top w:val="none" w:sz="0" w:space="0" w:color="auto"/>
            <w:left w:val="none" w:sz="0" w:space="0" w:color="auto"/>
            <w:bottom w:val="none" w:sz="0" w:space="0" w:color="auto"/>
            <w:right w:val="none" w:sz="0" w:space="0" w:color="auto"/>
          </w:divBdr>
        </w:div>
      </w:divsChild>
    </w:div>
    <w:div w:id="1610894253">
      <w:bodyDiv w:val="1"/>
      <w:marLeft w:val="0"/>
      <w:marRight w:val="0"/>
      <w:marTop w:val="0"/>
      <w:marBottom w:val="0"/>
      <w:divBdr>
        <w:top w:val="none" w:sz="0" w:space="0" w:color="auto"/>
        <w:left w:val="none" w:sz="0" w:space="0" w:color="auto"/>
        <w:bottom w:val="none" w:sz="0" w:space="0" w:color="auto"/>
        <w:right w:val="none" w:sz="0" w:space="0" w:color="auto"/>
      </w:divBdr>
    </w:div>
    <w:div w:id="1639259684">
      <w:bodyDiv w:val="1"/>
      <w:marLeft w:val="0"/>
      <w:marRight w:val="0"/>
      <w:marTop w:val="0"/>
      <w:marBottom w:val="0"/>
      <w:divBdr>
        <w:top w:val="none" w:sz="0" w:space="0" w:color="auto"/>
        <w:left w:val="none" w:sz="0" w:space="0" w:color="auto"/>
        <w:bottom w:val="none" w:sz="0" w:space="0" w:color="auto"/>
        <w:right w:val="none" w:sz="0" w:space="0" w:color="auto"/>
      </w:divBdr>
    </w:div>
    <w:div w:id="1702322173">
      <w:bodyDiv w:val="1"/>
      <w:marLeft w:val="0"/>
      <w:marRight w:val="0"/>
      <w:marTop w:val="0"/>
      <w:marBottom w:val="0"/>
      <w:divBdr>
        <w:top w:val="none" w:sz="0" w:space="0" w:color="auto"/>
        <w:left w:val="none" w:sz="0" w:space="0" w:color="auto"/>
        <w:bottom w:val="none" w:sz="0" w:space="0" w:color="auto"/>
        <w:right w:val="none" w:sz="0" w:space="0" w:color="auto"/>
      </w:divBdr>
    </w:div>
    <w:div w:id="1774548108">
      <w:bodyDiv w:val="1"/>
      <w:marLeft w:val="0"/>
      <w:marRight w:val="0"/>
      <w:marTop w:val="0"/>
      <w:marBottom w:val="0"/>
      <w:divBdr>
        <w:top w:val="none" w:sz="0" w:space="0" w:color="auto"/>
        <w:left w:val="none" w:sz="0" w:space="0" w:color="auto"/>
        <w:bottom w:val="none" w:sz="0" w:space="0" w:color="auto"/>
        <w:right w:val="none" w:sz="0" w:space="0" w:color="auto"/>
      </w:divBdr>
    </w:div>
    <w:div w:id="1799303234">
      <w:bodyDiv w:val="1"/>
      <w:marLeft w:val="0"/>
      <w:marRight w:val="0"/>
      <w:marTop w:val="0"/>
      <w:marBottom w:val="0"/>
      <w:divBdr>
        <w:top w:val="none" w:sz="0" w:space="0" w:color="auto"/>
        <w:left w:val="none" w:sz="0" w:space="0" w:color="auto"/>
        <w:bottom w:val="none" w:sz="0" w:space="0" w:color="auto"/>
        <w:right w:val="none" w:sz="0" w:space="0" w:color="auto"/>
      </w:divBdr>
    </w:div>
    <w:div w:id="1925912223">
      <w:bodyDiv w:val="1"/>
      <w:marLeft w:val="0"/>
      <w:marRight w:val="0"/>
      <w:marTop w:val="0"/>
      <w:marBottom w:val="0"/>
      <w:divBdr>
        <w:top w:val="none" w:sz="0" w:space="0" w:color="auto"/>
        <w:left w:val="none" w:sz="0" w:space="0" w:color="auto"/>
        <w:bottom w:val="none" w:sz="0" w:space="0" w:color="auto"/>
        <w:right w:val="none" w:sz="0" w:space="0" w:color="auto"/>
      </w:divBdr>
      <w:divsChild>
        <w:div w:id="174811546">
          <w:marLeft w:val="0"/>
          <w:marRight w:val="0"/>
          <w:marTop w:val="0"/>
          <w:marBottom w:val="0"/>
          <w:divBdr>
            <w:top w:val="none" w:sz="0" w:space="0" w:color="auto"/>
            <w:left w:val="none" w:sz="0" w:space="0" w:color="auto"/>
            <w:bottom w:val="none" w:sz="0" w:space="0" w:color="auto"/>
            <w:right w:val="none" w:sz="0" w:space="0" w:color="auto"/>
          </w:divBdr>
        </w:div>
      </w:divsChild>
    </w:div>
    <w:div w:id="1926257468">
      <w:bodyDiv w:val="1"/>
      <w:marLeft w:val="0"/>
      <w:marRight w:val="0"/>
      <w:marTop w:val="0"/>
      <w:marBottom w:val="0"/>
      <w:divBdr>
        <w:top w:val="none" w:sz="0" w:space="0" w:color="auto"/>
        <w:left w:val="none" w:sz="0" w:space="0" w:color="auto"/>
        <w:bottom w:val="none" w:sz="0" w:space="0" w:color="auto"/>
        <w:right w:val="none" w:sz="0" w:space="0" w:color="auto"/>
      </w:divBdr>
    </w:div>
    <w:div w:id="1941570151">
      <w:bodyDiv w:val="1"/>
      <w:marLeft w:val="0"/>
      <w:marRight w:val="0"/>
      <w:marTop w:val="0"/>
      <w:marBottom w:val="0"/>
      <w:divBdr>
        <w:top w:val="none" w:sz="0" w:space="0" w:color="auto"/>
        <w:left w:val="none" w:sz="0" w:space="0" w:color="auto"/>
        <w:bottom w:val="none" w:sz="0" w:space="0" w:color="auto"/>
        <w:right w:val="none" w:sz="0" w:space="0" w:color="auto"/>
      </w:divBdr>
    </w:div>
    <w:div w:id="2129276219">
      <w:bodyDiv w:val="1"/>
      <w:marLeft w:val="0"/>
      <w:marRight w:val="0"/>
      <w:marTop w:val="0"/>
      <w:marBottom w:val="0"/>
      <w:divBdr>
        <w:top w:val="none" w:sz="0" w:space="0" w:color="auto"/>
        <w:left w:val="none" w:sz="0" w:space="0" w:color="auto"/>
        <w:bottom w:val="none" w:sz="0" w:space="0" w:color="auto"/>
        <w:right w:val="none" w:sz="0" w:space="0" w:color="auto"/>
      </w:divBdr>
      <w:divsChild>
        <w:div w:id="766004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chart" Target="charts/chart3.xml"/><Relationship Id="rId39" Type="http://schemas.openxmlformats.org/officeDocument/2006/relationships/header" Target="header4.xml"/><Relationship Id="rId21" Type="http://schemas.openxmlformats.org/officeDocument/2006/relationships/image" Target="media/image3.png"/><Relationship Id="rId34" Type="http://schemas.openxmlformats.org/officeDocument/2006/relationships/image" Target="media/image12.emf"/><Relationship Id="rId42" Type="http://schemas.openxmlformats.org/officeDocument/2006/relationships/footer" Target="footer5.xml"/><Relationship Id="rId47" Type="http://schemas.openxmlformats.org/officeDocument/2006/relationships/footer" Target="footer7.xml"/><Relationship Id="rId50" Type="http://schemas.openxmlformats.org/officeDocument/2006/relationships/header" Target="header8.xml"/><Relationship Id="rId55" Type="http://schemas.openxmlformats.org/officeDocument/2006/relationships/header" Target="header9.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hart" Target="charts/chart1.xml"/><Relationship Id="rId29" Type="http://schemas.openxmlformats.org/officeDocument/2006/relationships/image" Target="media/image7.emf"/><Relationship Id="rId41" Type="http://schemas.openxmlformats.org/officeDocument/2006/relationships/footer" Target="footer4.xml"/><Relationship Id="rId54" Type="http://schemas.openxmlformats.org/officeDocument/2006/relationships/image" Target="media/image22.emf"/><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4.png"/><Relationship Id="rId32" Type="http://schemas.openxmlformats.org/officeDocument/2006/relationships/image" Target="media/image10.png"/><Relationship Id="rId37" Type="http://schemas.openxmlformats.org/officeDocument/2006/relationships/image" Target="media/image15.emf"/><Relationship Id="rId40" Type="http://schemas.openxmlformats.org/officeDocument/2006/relationships/header" Target="header5.xml"/><Relationship Id="rId45" Type="http://schemas.openxmlformats.org/officeDocument/2006/relationships/image" Target="media/image17.emf"/><Relationship Id="rId53" Type="http://schemas.openxmlformats.org/officeDocument/2006/relationships/image" Target="media/image21.png"/><Relationship Id="rId58"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hart" Target="charts/chart2.xml"/><Relationship Id="rId28" Type="http://schemas.openxmlformats.org/officeDocument/2006/relationships/image" Target="media/image6.emf"/><Relationship Id="rId36" Type="http://schemas.openxmlformats.org/officeDocument/2006/relationships/image" Target="media/image14.png"/><Relationship Id="rId49" Type="http://schemas.openxmlformats.org/officeDocument/2006/relationships/image" Target="media/image19.emf"/><Relationship Id="rId57" Type="http://schemas.openxmlformats.org/officeDocument/2006/relationships/footer" Target="footer9.xml"/><Relationship Id="rId61"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svg"/><Relationship Id="rId31" Type="http://schemas.openxmlformats.org/officeDocument/2006/relationships/image" Target="media/image9.emf"/><Relationship Id="rId44" Type="http://schemas.openxmlformats.org/officeDocument/2006/relationships/footer" Target="footer6.xml"/><Relationship Id="rId52" Type="http://schemas.openxmlformats.org/officeDocument/2006/relationships/image" Target="media/image20.emf"/><Relationship Id="rId60" Type="http://schemas.openxmlformats.org/officeDocument/2006/relationships/footer" Target="foot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svg"/><Relationship Id="rId27" Type="http://schemas.openxmlformats.org/officeDocument/2006/relationships/image" Target="media/image5.emf"/><Relationship Id="rId30" Type="http://schemas.openxmlformats.org/officeDocument/2006/relationships/image" Target="media/image8.emf"/><Relationship Id="rId35" Type="http://schemas.openxmlformats.org/officeDocument/2006/relationships/image" Target="media/image13.emf"/><Relationship Id="rId43" Type="http://schemas.openxmlformats.org/officeDocument/2006/relationships/header" Target="header6.xml"/><Relationship Id="rId48" Type="http://schemas.openxmlformats.org/officeDocument/2006/relationships/image" Target="media/image18.emf"/><Relationship Id="rId56" Type="http://schemas.openxmlformats.org/officeDocument/2006/relationships/header" Target="header10.xml"/><Relationship Id="rId8" Type="http://schemas.openxmlformats.org/officeDocument/2006/relationships/webSettings" Target="webSettings.xml"/><Relationship Id="rId51" Type="http://schemas.openxmlformats.org/officeDocument/2006/relationships/footer" Target="footer8.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7.svg"/><Relationship Id="rId33" Type="http://schemas.openxmlformats.org/officeDocument/2006/relationships/image" Target="media/image11.emf"/><Relationship Id="rId38" Type="http://schemas.openxmlformats.org/officeDocument/2006/relationships/image" Target="media/image16.png"/><Relationship Id="rId46" Type="http://schemas.openxmlformats.org/officeDocument/2006/relationships/header" Target="header7.xml"/><Relationship Id="rId59" Type="http://schemas.openxmlformats.org/officeDocument/2006/relationships/header" Target="header1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25/101/oj" TargetMode="External"/><Relationship Id="rId3" Type="http://schemas.openxmlformats.org/officeDocument/2006/relationships/hyperlink" Target="http://data.europa.eu/eli/reg/2013/1023/oj" TargetMode="External"/><Relationship Id="rId7" Type="http://schemas.openxmlformats.org/officeDocument/2006/relationships/hyperlink" Target="http://data.europa.eu/eli/treaty/withd_2020/sign" TargetMode="External"/><Relationship Id="rId2" Type="http://schemas.openxmlformats.org/officeDocument/2006/relationships/hyperlink" Target="http://data.europa.eu/eli/reg/2013/1023/oj" TargetMode="External"/><Relationship Id="rId1" Type="http://schemas.openxmlformats.org/officeDocument/2006/relationships/hyperlink" Target="http://data.europa.eu/eli/reg/2004/723/oj" TargetMode="External"/><Relationship Id="rId6" Type="http://schemas.openxmlformats.org/officeDocument/2006/relationships/hyperlink" Target="http://data.europa.eu/eli/treaty/withd_2020/sign" TargetMode="External"/><Relationship Id="rId5" Type="http://schemas.openxmlformats.org/officeDocument/2006/relationships/hyperlink" Target="http://data.europa.eu/eli/reg_del/2025/101/oj" TargetMode="External"/><Relationship Id="rId4" Type="http://schemas.openxmlformats.org/officeDocument/2006/relationships/hyperlink" Target="http://data.europa.eu/eli/reg/2009/780/oj"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arcani\AppData\Local\CATE\DGT\Dossiers\HR\HR-2026-00173\HR-2026-00173-00-00-RO-SRC-0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parcani\AppData\Local\CATE\DGT\Dossiers\HR\HR-2026-00173\HR-2026-00173-00-00-RO-SRC-0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parcani\AppData\Local\CATE\DGT\Dossiers\HR\HR-2026-00173\HR-2026-00173-00-00-RO-SRC-00.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o-RO" sz="1400" b="1" i="0" u="none" strike="noStrike" kern="1200" spc="0" baseline="0">
                <a:solidFill>
                  <a:sysClr val="windowText" lastClr="000000">
                    <a:lumMod val="65000"/>
                    <a:lumOff val="35000"/>
                  </a:sysClr>
                </a:solidFill>
                <a:latin typeface="+mn-lt"/>
                <a:ea typeface="+mn-ea"/>
                <a:cs typeface="+mn-cs"/>
              </a:defRPr>
            </a:pPr>
            <a:r>
              <a:rPr lang="ro-RO" sz="1200" b="1" i="0" u="none" strike="noStrike" kern="1200" spc="0" baseline="0">
                <a:solidFill>
                  <a:sysClr val="windowText" lastClr="000000">
                    <a:lumMod val="65000"/>
                    <a:lumOff val="35000"/>
                  </a:sysClr>
                </a:solidFill>
                <a:latin typeface="+mn-lt"/>
                <a:ea typeface="+mn-ea"/>
                <a:cs typeface="+mn-cs"/>
              </a:rPr>
              <a:t>Comparație între conturi 2019-2024</a:t>
            </a:r>
          </a:p>
        </c:rich>
      </c:tx>
      <c:overlay val="0"/>
      <c:spPr>
        <a:noFill/>
        <a:ln>
          <a:noFill/>
        </a:ln>
        <a:effectLst/>
      </c:spPr>
      <c:txPr>
        <a:bodyPr rot="0" spcFirstLastPara="1" vertOverflow="ellipsis" vert="horz" wrap="square" anchor="ctr" anchorCtr="1"/>
        <a:lstStyle/>
        <a:p>
          <a:pPr>
            <a:defRPr lang="ro-RO" sz="1400" b="1"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stacked"/>
        <c:varyColors val="0"/>
        <c:ser>
          <c:idx val="0"/>
          <c:order val="0"/>
          <c:tx>
            <c:strRef>
              <c:f>'Take Away Figs'!$B$6</c:f>
              <c:strCache>
                <c:ptCount val="1"/>
                <c:pt idx="0">
                  <c:v>Cont curent </c:v>
                </c:pt>
              </c:strCache>
            </c:strRef>
          </c:tx>
          <c:spPr>
            <a:solidFill>
              <a:srgbClr val="FFC000"/>
            </a:solidFill>
            <a:ln>
              <a:noFill/>
            </a:ln>
            <a:effectLst/>
          </c:spPr>
          <c:invertIfNegative val="0"/>
          <c:dLbls>
            <c:numFmt formatCode="#,##0.00" sourceLinked="0"/>
            <c:spPr>
              <a:noFill/>
              <a:ln>
                <a:noFill/>
              </a:ln>
              <a:effectLst/>
            </c:spPr>
            <c:txPr>
              <a:bodyPr rot="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'Take Away Figs'!$C$5:$D$5</c:f>
              <c:numCache>
                <c:formatCode>General</c:formatCode>
                <c:ptCount val="2"/>
                <c:pt idx="0">
                  <c:v>2019</c:v>
                </c:pt>
                <c:pt idx="1">
                  <c:v>2024</c:v>
                </c:pt>
              </c:numCache>
            </c:numRef>
          </c:cat>
          <c:val>
            <c:numRef>
              <c:f>'Take Away Figs'!$C$6:$D$6</c:f>
              <c:numCache>
                <c:formatCode>General</c:formatCode>
                <c:ptCount val="2"/>
                <c:pt idx="0">
                  <c:v>30670259.519999992</c:v>
                </c:pt>
                <c:pt idx="1">
                  <c:v>27077147.659999959</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43E0-4460-B4DC-A74A3AF9AFF4}"/>
            </c:ext>
          </c:extLst>
        </c:ser>
        <c:ser>
          <c:idx val="1"/>
          <c:order val="1"/>
          <c:tx>
            <c:strRef>
              <c:f>'Take Away Figs'!$B$7</c:f>
              <c:strCache>
                <c:ptCount val="1"/>
                <c:pt idx="0">
                  <c:v>Investiții</c:v>
                </c:pt>
              </c:strCache>
            </c:strRef>
          </c:tx>
          <c:spPr>
            <a:solidFill>
              <a:srgbClr val="FF3300"/>
            </a:solidFill>
            <a:ln>
              <a:noFill/>
            </a:ln>
            <a:effectLst/>
          </c:spPr>
          <c:invertIfNegative val="0"/>
          <c:dLbls>
            <c:dLbl>
              <c:idx val="0"/>
              <c:layout>
                <c:manualLayout>
                  <c:x val="3.3333333333333284E-2"/>
                  <c:y val="0"/>
                </c:manualLayout>
              </c:layout>
              <c:dLblPos val="ctr"/>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43E0-4460-B4DC-A74A3AF9AFF4}"/>
                </c:ext>
              </c:extLst>
            </c:dLbl>
            <c:numFmt formatCode="#,##0.00" sourceLinked="0"/>
            <c:spPr>
              <a:noFill/>
              <a:ln>
                <a:noFill/>
              </a:ln>
              <a:effectLst/>
            </c:spPr>
            <c:txPr>
              <a:bodyPr rot="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'Take Away Figs'!$C$5:$D$5</c:f>
              <c:numCache>
                <c:formatCode>General</c:formatCode>
                <c:ptCount val="2"/>
                <c:pt idx="0">
                  <c:v>2019</c:v>
                </c:pt>
                <c:pt idx="1">
                  <c:v>2024</c:v>
                </c:pt>
              </c:numCache>
            </c:numRef>
          </c:cat>
          <c:val>
            <c:numRef>
              <c:f>'Take Away Figs'!$C$7:$D$7</c:f>
              <c:numCache>
                <c:formatCode>General</c:formatCode>
                <c:ptCount val="2"/>
                <c:pt idx="0">
                  <c:v>22092.2</c:v>
                </c:pt>
                <c:pt idx="1">
                  <c:v>79187757.719999999</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43E0-4460-B4DC-A74A3AF9AFF4}"/>
            </c:ext>
          </c:extLst>
        </c:ser>
        <c:dLbls>
          <c:dLblPos val="ctr"/>
          <c:showLegendKey val="0"/>
          <c:showVal val="1"/>
          <c:showCatName val="0"/>
          <c:showSerName val="0"/>
          <c:showPercent val="0"/>
          <c:showBubbleSize val="0"/>
        </c:dLbls>
        <c:gapWidth val="50"/>
        <c:overlap val="100"/>
        <c:axId val="1735301104"/>
        <c:axId val="1735293424"/>
      </c:barChart>
      <c:catAx>
        <c:axId val="1735301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735293424"/>
        <c:crosses val="autoZero"/>
        <c:auto val="1"/>
        <c:lblAlgn val="ctr"/>
        <c:lblOffset val="100"/>
        <c:noMultiLvlLbl val="0"/>
      </c:catAx>
      <c:valAx>
        <c:axId val="1735293424"/>
        <c:scaling>
          <c:orientation val="minMax"/>
          <c:max val="110000000.00000001"/>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735301104"/>
        <c:crosses val="autoZero"/>
        <c:crossBetween val="between"/>
        <c:dispUnits>
          <c:builtInUnit val="millions"/>
          <c:dispUnitsLbl>
            <c:layout>
              <c:manualLayout>
                <c:xMode val="edge"/>
                <c:yMode val="edge"/>
                <c:x val="0.53795341207349079"/>
                <c:y val="0.8780877442657421"/>
              </c:manualLayout>
            </c:layout>
            <c:tx>
              <c:rich>
                <a:bodyPr rot="0" spcFirstLastPara="1" vertOverflow="ellipsis" vert="horz" wrap="square" anchor="ctr" anchorCtr="1"/>
                <a:lstStyle/>
                <a:p>
                  <a:pPr>
                    <a:defRPr lang="en-US" sz="1000" b="0" i="0" u="none" strike="noStrike" kern="1200" baseline="0">
                      <a:solidFill>
                        <a:schemeClr val="tx1"/>
                      </a:solidFill>
                      <a:latin typeface="+mn-lt"/>
                      <a:ea typeface="+mn-ea"/>
                      <a:cs typeface="+mn-cs"/>
                    </a:defRPr>
                  </a:pPr>
                  <a:r>
                    <a:rPr lang="en-IE"/>
                    <a:t>Milioane</a:t>
                  </a:r>
                  <a:r>
                    <a:rPr lang="ro-RO"/>
                    <a:t> EUR</a:t>
                  </a:r>
                  <a:endParaRPr lang="en-IE"/>
                </a:p>
              </c:rich>
            </c:tx>
            <c:spPr>
              <a:noFill/>
              <a:ln>
                <a:noFill/>
              </a:ln>
              <a:effectLst/>
            </c:spPr>
            <c:txPr>
              <a:bodyPr rot="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dispUnitsLbl>
        </c:dispUnits>
      </c:valAx>
      <c:spPr>
        <a:noFill/>
        <a:ln>
          <a:noFill/>
        </a:ln>
        <a:effectLst/>
      </c:spPr>
    </c:plotArea>
    <c:legend>
      <c:legendPos val="r"/>
      <c:overlay val="0"/>
      <c:spPr>
        <a:noFill/>
        <a:ln>
          <a:noFill/>
        </a:ln>
        <a:effectLst/>
      </c:spPr>
      <c:txPr>
        <a:bodyPr rot="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accent1">
        <a:lumMod val="40000"/>
        <a:lumOff val="60000"/>
      </a:schemeClr>
    </a:solidFill>
    <a:ln w="9525" cap="flat" cmpd="sng" algn="ctr">
      <a:solidFill>
        <a:schemeClr val="tx1">
          <a:lumMod val="15000"/>
          <a:lumOff val="85000"/>
        </a:schemeClr>
      </a:solidFill>
      <a:round/>
    </a:ln>
    <a:effectLst/>
  </c:spPr>
  <c:txPr>
    <a:bodyPr/>
    <a:lstStyle/>
    <a:p>
      <a:pPr>
        <a:defRPr lang="en-US" sz="1000" b="0" i="0" u="none" strike="noStrike" kern="1200" baseline="0">
          <a:solidFill>
            <a:schemeClr val="tx1"/>
          </a:solidFill>
          <a:latin typeface="+mn-lt"/>
          <a:ea typeface="+mn-ea"/>
          <a:cs typeface="+mn-cs"/>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200" b="1"/>
              <a:t>Membri și beneficiari la 31.12</a:t>
            </a:r>
          </a:p>
        </c:rich>
      </c:tx>
      <c:layout>
        <c:manualLayout>
          <c:xMode val="edge"/>
          <c:yMode val="edge"/>
          <c:x val="0.26172207640711576"/>
          <c:y val="4.4834168456215689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214139899179271"/>
          <c:y val="0.22525295025144756"/>
          <c:w val="0.43438986793317497"/>
          <c:h val="0.65898198793853058"/>
        </c:manualLayout>
      </c:layout>
      <c:barChart>
        <c:barDir val="col"/>
        <c:grouping val="clustered"/>
        <c:varyColors val="0"/>
        <c:ser>
          <c:idx val="0"/>
          <c:order val="0"/>
          <c:tx>
            <c:strRef>
              <c:f>'Take Away Figs'!$C$27</c:f>
              <c:strCache>
                <c:ptCount val="1"/>
                <c:pt idx="0">
                  <c:v>membri AT</c:v>
                </c:pt>
              </c:strCache>
            </c:strRef>
          </c:tx>
          <c:spPr>
            <a:solidFill>
              <a:srgbClr val="002060">
                <a:alpha val="50000"/>
              </a:srgbClr>
            </a:solidFill>
            <a:ln w="3175">
              <a:solidFill>
                <a:srgbClr val="002060"/>
              </a:solidFill>
            </a:ln>
            <a:effectLst/>
          </c:spPr>
          <c:invertIfNegative val="0"/>
          <c:cat>
            <c:numRef>
              <c:f>'Take Away Figs'!$B$28:$B$29</c:f>
              <c:numCache>
                <c:formatCode>General</c:formatCode>
                <c:ptCount val="2"/>
                <c:pt idx="0">
                  <c:v>2019</c:v>
                </c:pt>
                <c:pt idx="1">
                  <c:v>2024</c:v>
                </c:pt>
              </c:numCache>
            </c:numRef>
          </c:cat>
          <c:val>
            <c:numRef>
              <c:f>'Take Away Figs'!$C$28:$C$29</c:f>
              <c:numCache>
                <c:formatCode>#,##0</c:formatCode>
                <c:ptCount val="2"/>
                <c:pt idx="0">
                  <c:v>10995</c:v>
                </c:pt>
                <c:pt idx="1">
                  <c:v>16929</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DEA-4629-9274-4289C3B11954}"/>
            </c:ext>
          </c:extLst>
        </c:ser>
        <c:ser>
          <c:idx val="1"/>
          <c:order val="1"/>
          <c:tx>
            <c:strRef>
              <c:f>'Take Away Figs'!$D$27</c:f>
              <c:strCache>
                <c:ptCount val="1"/>
                <c:pt idx="0">
                  <c:v>membri AC</c:v>
                </c:pt>
              </c:strCache>
            </c:strRef>
          </c:tx>
          <c:spPr>
            <a:solidFill>
              <a:srgbClr val="00B050">
                <a:alpha val="50000"/>
              </a:srgbClr>
            </a:solidFill>
            <a:ln w="3175">
              <a:solidFill>
                <a:srgbClr val="002060"/>
              </a:solidFill>
            </a:ln>
            <a:effectLst/>
          </c:spPr>
          <c:invertIfNegative val="0"/>
          <c:cat>
            <c:numRef>
              <c:f>'Take Away Figs'!$B$28:$B$29</c:f>
              <c:numCache>
                <c:formatCode>General</c:formatCode>
                <c:ptCount val="2"/>
                <c:pt idx="0">
                  <c:v>2019</c:v>
                </c:pt>
                <c:pt idx="1">
                  <c:v>2024</c:v>
                </c:pt>
              </c:numCache>
            </c:numRef>
          </c:cat>
          <c:val>
            <c:numRef>
              <c:f>'Take Away Figs'!$D$28:$D$29</c:f>
              <c:numCache>
                <c:formatCode>#,##0</c:formatCode>
                <c:ptCount val="2"/>
                <c:pt idx="0">
                  <c:v>14638</c:v>
                </c:pt>
                <c:pt idx="1">
                  <c:v>17779</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DEA-4629-9274-4289C3B11954}"/>
            </c:ext>
          </c:extLst>
        </c:ser>
        <c:ser>
          <c:idx val="2"/>
          <c:order val="2"/>
          <c:tx>
            <c:strRef>
              <c:f>'Take Away Figs'!$E$27</c:f>
              <c:strCache>
                <c:ptCount val="1"/>
                <c:pt idx="0">
                  <c:v>membri APA</c:v>
                </c:pt>
              </c:strCache>
            </c:strRef>
          </c:tx>
          <c:spPr>
            <a:solidFill>
              <a:srgbClr val="FFC000">
                <a:alpha val="50000"/>
              </a:srgbClr>
            </a:solidFill>
            <a:ln w="3175">
              <a:solidFill>
                <a:srgbClr val="002060"/>
              </a:solidFill>
            </a:ln>
            <a:effectLst/>
          </c:spPr>
          <c:invertIfNegative val="0"/>
          <c:cat>
            <c:numRef>
              <c:f>'Take Away Figs'!$B$28:$B$29</c:f>
              <c:numCache>
                <c:formatCode>General</c:formatCode>
                <c:ptCount val="2"/>
                <c:pt idx="0">
                  <c:v>2019</c:v>
                </c:pt>
                <c:pt idx="1">
                  <c:v>2024</c:v>
                </c:pt>
              </c:numCache>
            </c:numRef>
          </c:cat>
          <c:val>
            <c:numRef>
              <c:f>'Take Away Figs'!$E$28:$E$29</c:f>
              <c:numCache>
                <c:formatCode>#,##0</c:formatCode>
                <c:ptCount val="2"/>
                <c:pt idx="0">
                  <c:v>1831</c:v>
                </c:pt>
                <c:pt idx="1">
                  <c:v>1981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8DEA-4629-9274-4289C3B11954}"/>
            </c:ext>
          </c:extLst>
        </c:ser>
        <c:dLbls>
          <c:showLegendKey val="0"/>
          <c:showVal val="0"/>
          <c:showCatName val="0"/>
          <c:showSerName val="0"/>
          <c:showPercent val="0"/>
          <c:showBubbleSize val="0"/>
        </c:dLbls>
        <c:gapWidth val="219"/>
        <c:axId val="1425715423"/>
        <c:axId val="1425689023"/>
      </c:barChart>
      <c:lineChart>
        <c:grouping val="standard"/>
        <c:varyColors val="0"/>
        <c:ser>
          <c:idx val="3"/>
          <c:order val="3"/>
          <c:tx>
            <c:strRef>
              <c:f>'Take Away Figs'!$F$27</c:f>
              <c:strCache>
                <c:ptCount val="1"/>
                <c:pt idx="0">
                  <c:v>beneficiari AT (RHS)</c:v>
                </c:pt>
              </c:strCache>
            </c:strRef>
          </c:tx>
          <c:spPr>
            <a:ln w="28575" cap="rnd">
              <a:solidFill>
                <a:srgbClr val="002060"/>
              </a:solidFill>
              <a:round/>
            </a:ln>
            <a:effectLst/>
          </c:spPr>
          <c:marker>
            <c:symbol val="none"/>
          </c:marker>
          <c:cat>
            <c:numRef>
              <c:f>'Take Away Figs'!$B$28:$B$29</c:f>
              <c:numCache>
                <c:formatCode>General</c:formatCode>
                <c:ptCount val="2"/>
                <c:pt idx="0">
                  <c:v>2019</c:v>
                </c:pt>
                <c:pt idx="1">
                  <c:v>2024</c:v>
                </c:pt>
              </c:numCache>
            </c:numRef>
          </c:cat>
          <c:val>
            <c:numRef>
              <c:f>'Take Away Figs'!$F$28:$F$29</c:f>
              <c:numCache>
                <c:formatCode>General</c:formatCode>
                <c:ptCount val="2"/>
                <c:pt idx="0">
                  <c:v>263</c:v>
                </c:pt>
                <c:pt idx="1">
                  <c:v>149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8DEA-4629-9274-4289C3B11954}"/>
            </c:ext>
          </c:extLst>
        </c:ser>
        <c:ser>
          <c:idx val="4"/>
          <c:order val="4"/>
          <c:tx>
            <c:strRef>
              <c:f>'Take Away Figs'!$G$27</c:f>
              <c:strCache>
                <c:ptCount val="1"/>
                <c:pt idx="0">
                  <c:v>beneficiari AC (RHS)</c:v>
                </c:pt>
              </c:strCache>
            </c:strRef>
          </c:tx>
          <c:spPr>
            <a:ln w="28575" cap="rnd">
              <a:solidFill>
                <a:srgbClr val="00B050"/>
              </a:solidFill>
              <a:round/>
            </a:ln>
            <a:effectLst/>
          </c:spPr>
          <c:marker>
            <c:symbol val="none"/>
          </c:marker>
          <c:cat>
            <c:numRef>
              <c:f>'Take Away Figs'!$B$28:$B$29</c:f>
              <c:numCache>
                <c:formatCode>General</c:formatCode>
                <c:ptCount val="2"/>
                <c:pt idx="0">
                  <c:v>2019</c:v>
                </c:pt>
                <c:pt idx="1">
                  <c:v>2024</c:v>
                </c:pt>
              </c:numCache>
            </c:numRef>
          </c:cat>
          <c:val>
            <c:numRef>
              <c:f>'Take Away Figs'!$G$28:$G$29</c:f>
              <c:numCache>
                <c:formatCode>General</c:formatCode>
                <c:ptCount val="2"/>
                <c:pt idx="0">
                  <c:v>433</c:v>
                </c:pt>
                <c:pt idx="1">
                  <c:v>260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8DEA-4629-9274-4289C3B11954}"/>
            </c:ext>
          </c:extLst>
        </c:ser>
        <c:ser>
          <c:idx val="5"/>
          <c:order val="5"/>
          <c:tx>
            <c:strRef>
              <c:f>'Take Away Figs'!$H$27</c:f>
              <c:strCache>
                <c:ptCount val="1"/>
                <c:pt idx="0">
                  <c:v>beneficiari APA (RHS)</c:v>
                </c:pt>
              </c:strCache>
            </c:strRef>
          </c:tx>
          <c:spPr>
            <a:ln w="28575" cap="rnd">
              <a:solidFill>
                <a:srgbClr val="FFC000"/>
              </a:solidFill>
              <a:round/>
            </a:ln>
            <a:effectLst/>
          </c:spPr>
          <c:marker>
            <c:symbol val="none"/>
          </c:marker>
          <c:cat>
            <c:numRef>
              <c:f>'Take Away Figs'!$B$28:$B$29</c:f>
              <c:numCache>
                <c:formatCode>General</c:formatCode>
                <c:ptCount val="2"/>
                <c:pt idx="0">
                  <c:v>2019</c:v>
                </c:pt>
                <c:pt idx="1">
                  <c:v>2024</c:v>
                </c:pt>
              </c:numCache>
            </c:numRef>
          </c:cat>
          <c:val>
            <c:numRef>
              <c:f>'Take Away Figs'!$H$28:$H$29</c:f>
              <c:numCache>
                <c:formatCode>General</c:formatCode>
                <c:ptCount val="2"/>
                <c:pt idx="0">
                  <c:v>400</c:v>
                </c:pt>
                <c:pt idx="1">
                  <c:v>345</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8DEA-4629-9274-4289C3B11954}"/>
            </c:ext>
          </c:extLst>
        </c:ser>
        <c:dLbls>
          <c:showLegendKey val="0"/>
          <c:showVal val="0"/>
          <c:showCatName val="0"/>
          <c:showSerName val="0"/>
          <c:showPercent val="0"/>
          <c:showBubbleSize val="0"/>
        </c:dLbls>
        <c:marker val="1"/>
        <c:smooth val="0"/>
        <c:axId val="1490145583"/>
        <c:axId val="1490147503"/>
      </c:lineChart>
      <c:catAx>
        <c:axId val="14257154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5689023"/>
        <c:crosses val="autoZero"/>
        <c:auto val="1"/>
        <c:lblAlgn val="ctr"/>
        <c:lblOffset val="100"/>
        <c:noMultiLvlLbl val="0"/>
      </c:catAx>
      <c:valAx>
        <c:axId val="14256890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o-RO" b="1"/>
                  <a:t># personal temporar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5715423"/>
        <c:crosses val="autoZero"/>
        <c:crossBetween val="between"/>
      </c:valAx>
      <c:valAx>
        <c:axId val="1490147503"/>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o-RO" b="1"/>
                  <a:t># beneficiari</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0145583"/>
        <c:crosses val="max"/>
        <c:crossBetween val="between"/>
      </c:valAx>
      <c:catAx>
        <c:axId val="1490145583"/>
        <c:scaling>
          <c:orientation val="minMax"/>
        </c:scaling>
        <c:delete val="1"/>
        <c:axPos val="b"/>
        <c:numFmt formatCode="General" sourceLinked="1"/>
        <c:majorTickMark val="out"/>
        <c:minorTickMark val="none"/>
        <c:tickLblPos val="nextTo"/>
        <c:crossAx val="1490147503"/>
        <c:crosses val="autoZero"/>
        <c:auto val="1"/>
        <c:lblAlgn val="ctr"/>
        <c:lblOffset val="100"/>
        <c:noMultiLvlLbl val="0"/>
      </c:catAx>
      <c:spPr>
        <a:noFill/>
        <a:ln>
          <a:noFill/>
        </a:ln>
        <a:effectLst/>
      </c:spPr>
    </c:plotArea>
    <c:legend>
      <c:legendPos val="r"/>
      <c:layout>
        <c:manualLayout>
          <c:xMode val="edge"/>
          <c:yMode val="edge"/>
          <c:x val="0.7231093156585443"/>
          <c:y val="0.17458676444070445"/>
          <c:w val="0.26057747063835618"/>
          <c:h val="0.795830077538017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accent1">
        <a:lumMod val="40000"/>
        <a:lumOff val="60000"/>
      </a:schemeClr>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IE" sz="1200" b="1"/>
              <a:t>S</a:t>
            </a:r>
            <a:r>
              <a:rPr lang="ro-RO" sz="1200" b="1"/>
              <a:t>uma indemnizațiilor medii și numărul indemnizațiilor plătite</a:t>
            </a:r>
          </a:p>
        </c:rich>
      </c:tx>
      <c:layout>
        <c:manualLayout>
          <c:xMode val="edge"/>
          <c:yMode val="edge"/>
          <c:x val="0.18368946370687508"/>
          <c:y val="0"/>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830262337517598"/>
          <c:y val="0.23409306742640076"/>
          <c:w val="0.63716548050000898"/>
          <c:h val="0.39399989531223129"/>
        </c:manualLayout>
      </c:layout>
      <c:barChart>
        <c:barDir val="col"/>
        <c:grouping val="clustered"/>
        <c:varyColors val="0"/>
        <c:ser>
          <c:idx val="0"/>
          <c:order val="0"/>
          <c:tx>
            <c:strRef>
              <c:f>'Take Away Figs'!$D$59</c:f>
              <c:strCache>
                <c:ptCount val="1"/>
                <c:pt idx="0">
                  <c:v>indemnizație medie pentru AT</c:v>
                </c:pt>
              </c:strCache>
            </c:strRef>
          </c:tx>
          <c:spPr>
            <a:solidFill>
              <a:srgbClr val="002060">
                <a:alpha val="50000"/>
              </a:srgbClr>
            </a:solidFill>
            <a:ln>
              <a:noFill/>
            </a:ln>
            <a:effectLst/>
          </c:spPr>
          <c:invertIfNegative val="0"/>
          <c:cat>
            <c:numRef>
              <c:f>'Take Away Figs'!$E$58:$F$58</c:f>
              <c:numCache>
                <c:formatCode>General</c:formatCode>
                <c:ptCount val="2"/>
                <c:pt idx="0">
                  <c:v>2019</c:v>
                </c:pt>
                <c:pt idx="1">
                  <c:v>2024</c:v>
                </c:pt>
              </c:numCache>
            </c:numRef>
          </c:cat>
          <c:val>
            <c:numRef>
              <c:f>'Take Away Figs'!$E$59:$F$59</c:f>
              <c:numCache>
                <c:formatCode>_-* #\ ##0\ _€_-;\-* #\ ##0\ _€_-;_-* "-"??\ _€_-;_-@_-</c:formatCode>
                <c:ptCount val="2"/>
                <c:pt idx="0">
                  <c:v>2816.0941208896011</c:v>
                </c:pt>
                <c:pt idx="1">
                  <c:v>2229.138903394256</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AB26-48EF-AA79-844DF4FAC7C6}"/>
            </c:ext>
          </c:extLst>
        </c:ser>
        <c:ser>
          <c:idx val="1"/>
          <c:order val="1"/>
          <c:tx>
            <c:strRef>
              <c:f>'Take Away Figs'!$D$60</c:f>
              <c:strCache>
                <c:ptCount val="1"/>
                <c:pt idx="0">
                  <c:v>indemnizație medie pentru AC</c:v>
                </c:pt>
              </c:strCache>
            </c:strRef>
          </c:tx>
          <c:spPr>
            <a:solidFill>
              <a:srgbClr val="00B050">
                <a:alpha val="50000"/>
              </a:srgbClr>
            </a:solidFill>
            <a:ln>
              <a:noFill/>
            </a:ln>
            <a:effectLst/>
          </c:spPr>
          <c:invertIfNegative val="0"/>
          <c:cat>
            <c:numRef>
              <c:f>'Take Away Figs'!$E$58:$F$58</c:f>
              <c:numCache>
                <c:formatCode>General</c:formatCode>
                <c:ptCount val="2"/>
                <c:pt idx="0">
                  <c:v>2019</c:v>
                </c:pt>
                <c:pt idx="1">
                  <c:v>2024</c:v>
                </c:pt>
              </c:numCache>
            </c:numRef>
          </c:cat>
          <c:val>
            <c:numRef>
              <c:f>'Take Away Figs'!$E$60:$F$60</c:f>
              <c:numCache>
                <c:formatCode>_-* #\ ##0\ _€_-;\-* #\ ##0\ _€_-;_-* "-"??\ _€_-;_-@_-</c:formatCode>
                <c:ptCount val="2"/>
                <c:pt idx="0">
                  <c:v>1699.9037257386212</c:v>
                </c:pt>
                <c:pt idx="1">
                  <c:v>1765.0269207501512</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AB26-48EF-AA79-844DF4FAC7C6}"/>
            </c:ext>
          </c:extLst>
        </c:ser>
        <c:ser>
          <c:idx val="2"/>
          <c:order val="2"/>
          <c:tx>
            <c:strRef>
              <c:f>'Take Away Figs'!$D$61</c:f>
              <c:strCache>
                <c:ptCount val="1"/>
                <c:pt idx="0">
                  <c:v>indemnizație medie pentru APA</c:v>
                </c:pt>
              </c:strCache>
            </c:strRef>
          </c:tx>
          <c:spPr>
            <a:solidFill>
              <a:schemeClr val="accent6">
                <a:lumMod val="75000"/>
                <a:alpha val="50000"/>
              </a:schemeClr>
            </a:solidFill>
            <a:ln>
              <a:noFill/>
            </a:ln>
            <a:effectLst/>
          </c:spPr>
          <c:invertIfNegative val="0"/>
          <c:cat>
            <c:numRef>
              <c:f>'Take Away Figs'!$E$58:$F$58</c:f>
              <c:numCache>
                <c:formatCode>General</c:formatCode>
                <c:ptCount val="2"/>
                <c:pt idx="0">
                  <c:v>2019</c:v>
                </c:pt>
                <c:pt idx="1">
                  <c:v>2024</c:v>
                </c:pt>
              </c:numCache>
            </c:numRef>
          </c:cat>
          <c:val>
            <c:numRef>
              <c:f>'Take Away Figs'!$E$61:$F$61</c:f>
              <c:numCache>
                <c:formatCode>_-* #\ ##0\ _€_-;\-* #\ ##0\ _€_-;_-* "-"??\ _€_-;_-@_-</c:formatCode>
                <c:ptCount val="2"/>
                <c:pt idx="0">
                  <c:v>2468.2129300801048</c:v>
                </c:pt>
                <c:pt idx="1">
                  <c:v>1975.331122166943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AB26-48EF-AA79-844DF4FAC7C6}"/>
            </c:ext>
          </c:extLst>
        </c:ser>
        <c:dLbls>
          <c:showLegendKey val="0"/>
          <c:showVal val="0"/>
          <c:showCatName val="0"/>
          <c:showSerName val="0"/>
          <c:showPercent val="0"/>
          <c:showBubbleSize val="0"/>
        </c:dLbls>
        <c:gapWidth val="219"/>
        <c:axId val="1856247647"/>
        <c:axId val="1856244767"/>
      </c:barChart>
      <c:lineChart>
        <c:grouping val="standard"/>
        <c:varyColors val="0"/>
        <c:ser>
          <c:idx val="3"/>
          <c:order val="3"/>
          <c:tx>
            <c:strRef>
              <c:f>'Take Away Figs'!$D$62</c:f>
              <c:strCache>
                <c:ptCount val="1"/>
                <c:pt idx="0">
                  <c:v>#AT (RHS)</c:v>
                </c:pt>
              </c:strCache>
            </c:strRef>
          </c:tx>
          <c:spPr>
            <a:ln w="28575" cap="rnd">
              <a:solidFill>
                <a:srgbClr val="002060"/>
              </a:solidFill>
              <a:round/>
            </a:ln>
            <a:effectLst/>
          </c:spPr>
          <c:marker>
            <c:symbol val="none"/>
          </c:marker>
          <c:cat>
            <c:numRef>
              <c:f>'Take Away Figs'!$E$58:$F$58</c:f>
              <c:numCache>
                <c:formatCode>General</c:formatCode>
                <c:ptCount val="2"/>
                <c:pt idx="0">
                  <c:v>2019</c:v>
                </c:pt>
                <c:pt idx="1">
                  <c:v>2024</c:v>
                </c:pt>
              </c:numCache>
            </c:numRef>
          </c:cat>
          <c:val>
            <c:numRef>
              <c:f>'Take Away Figs'!$E$62:$F$62</c:f>
              <c:numCache>
                <c:formatCode>_-* #\ ##0\ _€_-;\-* #\ ##0\ _€_-;_-* "-"??\ _€_-;_-@_-</c:formatCode>
                <c:ptCount val="2"/>
                <c:pt idx="0">
                  <c:v>2497</c:v>
                </c:pt>
                <c:pt idx="1">
                  <c:v>3830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AB26-48EF-AA79-844DF4FAC7C6}"/>
            </c:ext>
          </c:extLst>
        </c:ser>
        <c:ser>
          <c:idx val="4"/>
          <c:order val="4"/>
          <c:tx>
            <c:strRef>
              <c:f>'Take Away Figs'!$D$63</c:f>
              <c:strCache>
                <c:ptCount val="1"/>
                <c:pt idx="0">
                  <c:v>#AC (RHS)</c:v>
                </c:pt>
              </c:strCache>
            </c:strRef>
          </c:tx>
          <c:spPr>
            <a:ln w="28575" cap="rnd">
              <a:solidFill>
                <a:srgbClr val="00B050"/>
              </a:solidFill>
              <a:round/>
            </a:ln>
            <a:effectLst/>
          </c:spPr>
          <c:marker>
            <c:symbol val="none"/>
          </c:marker>
          <c:cat>
            <c:numRef>
              <c:f>'Take Away Figs'!$E$58:$F$58</c:f>
              <c:numCache>
                <c:formatCode>General</c:formatCode>
                <c:ptCount val="2"/>
                <c:pt idx="0">
                  <c:v>2019</c:v>
                </c:pt>
                <c:pt idx="1">
                  <c:v>2024</c:v>
                </c:pt>
              </c:numCache>
            </c:numRef>
          </c:cat>
          <c:val>
            <c:numRef>
              <c:f>'Take Away Figs'!$E$63:$F$63</c:f>
              <c:numCache>
                <c:formatCode>_-* #\ ##0\ _€_-;\-* #\ ##0\ _€_-;_-* "-"??\ _€_-;_-@_-</c:formatCode>
                <c:ptCount val="2"/>
                <c:pt idx="0">
                  <c:v>5767</c:v>
                </c:pt>
                <c:pt idx="1">
                  <c:v>6612</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AB26-48EF-AA79-844DF4FAC7C6}"/>
            </c:ext>
          </c:extLst>
        </c:ser>
        <c:ser>
          <c:idx val="5"/>
          <c:order val="5"/>
          <c:tx>
            <c:strRef>
              <c:f>'Take Away Figs'!$D$64</c:f>
              <c:strCache>
                <c:ptCount val="1"/>
                <c:pt idx="0">
                  <c:v>#APA (RHS)</c:v>
                </c:pt>
              </c:strCache>
            </c:strRef>
          </c:tx>
          <c:spPr>
            <a:ln w="28575" cap="rnd">
              <a:solidFill>
                <a:schemeClr val="accent6">
                  <a:lumMod val="75000"/>
                </a:schemeClr>
              </a:solidFill>
              <a:round/>
            </a:ln>
            <a:effectLst/>
          </c:spPr>
          <c:marker>
            <c:symbol val="none"/>
          </c:marker>
          <c:cat>
            <c:numRef>
              <c:f>'Take Away Figs'!$E$58:$F$58</c:f>
              <c:numCache>
                <c:formatCode>General</c:formatCode>
                <c:ptCount val="2"/>
                <c:pt idx="0">
                  <c:v>2019</c:v>
                </c:pt>
                <c:pt idx="1">
                  <c:v>2024</c:v>
                </c:pt>
              </c:numCache>
            </c:numRef>
          </c:cat>
          <c:val>
            <c:numRef>
              <c:f>'Take Away Figs'!$E$64:$F$64</c:f>
              <c:numCache>
                <c:formatCode>_-* #\ ##0\ _€_-;\-* #\ ##0\ _€_-;_-* "-"??\ _€_-;_-@_-</c:formatCode>
                <c:ptCount val="2"/>
                <c:pt idx="0">
                  <c:v>3421</c:v>
                </c:pt>
                <c:pt idx="1">
                  <c:v>5427</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AB26-48EF-AA79-844DF4FAC7C6}"/>
            </c:ext>
          </c:extLst>
        </c:ser>
        <c:dLbls>
          <c:showLegendKey val="0"/>
          <c:showVal val="0"/>
          <c:showCatName val="0"/>
          <c:showSerName val="0"/>
          <c:showPercent val="0"/>
          <c:showBubbleSize val="0"/>
        </c:dLbls>
        <c:marker val="1"/>
        <c:smooth val="0"/>
        <c:axId val="1486490079"/>
        <c:axId val="1486489599"/>
      </c:lineChart>
      <c:catAx>
        <c:axId val="18562476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6244767"/>
        <c:crosses val="autoZero"/>
        <c:auto val="1"/>
        <c:lblAlgn val="ctr"/>
        <c:lblOffset val="100"/>
        <c:noMultiLvlLbl val="0"/>
      </c:catAx>
      <c:valAx>
        <c:axId val="18562447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o-RO" b="1"/>
                  <a:t>valoarea medie a indemnizației </a:t>
                </a:r>
                <a:endParaRPr lang="en-IE" b="1"/>
              </a:p>
              <a:p>
                <a:pPr>
                  <a:defRPr/>
                </a:pPr>
                <a:r>
                  <a:rPr lang="ro-RO" b="1"/>
                  <a:t>(în EUR)</a:t>
                </a:r>
              </a:p>
            </c:rich>
          </c:tx>
          <c:layout>
            <c:manualLayout>
              <c:xMode val="edge"/>
              <c:yMode val="edge"/>
              <c:x val="3.4712957899342513E-2"/>
              <c:y val="0.2395746831187987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6247647"/>
        <c:crosses val="autoZero"/>
        <c:crossBetween val="between"/>
      </c:valAx>
      <c:valAx>
        <c:axId val="1486489599"/>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o-RO" b="1"/>
                  <a:t>numărul de indemnizații plătite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86490079"/>
        <c:crosses val="max"/>
        <c:crossBetween val="between"/>
      </c:valAx>
      <c:catAx>
        <c:axId val="1486490079"/>
        <c:scaling>
          <c:orientation val="minMax"/>
        </c:scaling>
        <c:delete val="1"/>
        <c:axPos val="b"/>
        <c:numFmt formatCode="General" sourceLinked="1"/>
        <c:majorTickMark val="out"/>
        <c:minorTickMark val="none"/>
        <c:tickLblPos val="nextTo"/>
        <c:crossAx val="1486489599"/>
        <c:crosses val="autoZero"/>
        <c:auto val="1"/>
        <c:lblAlgn val="ctr"/>
        <c:lblOffset val="100"/>
        <c:noMultiLvlLbl val="0"/>
      </c:catAx>
      <c:spPr>
        <a:noFill/>
        <a:ln>
          <a:noFill/>
        </a:ln>
        <a:effectLst/>
      </c:spPr>
    </c:plotArea>
    <c:legend>
      <c:legendPos val="b"/>
      <c:layout>
        <c:manualLayout>
          <c:xMode val="edge"/>
          <c:yMode val="edge"/>
          <c:x val="0.1251567916408633"/>
          <c:y val="0.73824618076586579"/>
          <c:w val="0.77105087461610367"/>
          <c:h val="0.2332637907441056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accent1">
        <a:lumMod val="40000"/>
        <a:lumOff val="60000"/>
      </a:schemeClr>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8DAEBAB9BA884591FD7B89E63AD785" ma:contentTypeVersion="24" ma:contentTypeDescription="Crée un document." ma:contentTypeScope="" ma:versionID="68a6503cbc7361145e0706aca0695d9d">
  <xsd:schema xmlns:xsd="http://www.w3.org/2001/XMLSchema" xmlns:xs="http://www.w3.org/2001/XMLSchema" xmlns:p="http://schemas.microsoft.com/office/2006/metadata/properties" xmlns:ns2="c104a7e3-e0a9-46cf-92ee-9b62dc9a36e8" xmlns:ns3="641315ca-0572-423e-bd92-cff020455c2a" targetNamespace="http://schemas.microsoft.com/office/2006/metadata/properties" ma:root="true" ma:fieldsID="9b6604e466d2d82a7b5db688c7fc7aa4" ns2:_="" ns3:_="">
    <xsd:import namespace="c104a7e3-e0a9-46cf-92ee-9b62dc9a36e8"/>
    <xsd:import namespace="641315ca-0572-423e-bd92-cff020455c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04a7e3-e0a9-46cf-92ee-9b62dc9a3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1315ca-0572-423e-bd92-cff020455c2a"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4" nillable="true" ma:displayName="Taxonomy Catch All Column" ma:hidden="true" ma:list="{00fa0a5a-8625-4976-bb1a-cd52e2830d5c}" ma:internalName="TaxCatchAll" ma:showField="CatchAllData" ma:web="641315ca-0572-423e-bd92-cff020455c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c104a7e3-e0a9-46cf-92ee-9b62dc9a36e8" xsi:nil="true"/>
    <TaxCatchAll xmlns="641315ca-0572-423e-bd92-cff020455c2a" xsi:nil="true"/>
    <lcf76f155ced4ddcb4097134ff3c332f xmlns="c104a7e3-e0a9-46cf-92ee-9b62dc9a36e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62A73-C4C3-4A03-A1C6-69D68ACB0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04a7e3-e0a9-46cf-92ee-9b62dc9a36e8"/>
    <ds:schemaRef ds:uri="641315ca-0572-423e-bd92-cff020455c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280104-9F06-417D-8772-844D264B5742}">
  <ds:schemaRefs>
    <ds:schemaRef ds:uri="http://schemas.microsoft.com/sharepoint/v3/contenttype/forms"/>
  </ds:schemaRefs>
</ds:datastoreItem>
</file>

<file path=customXml/itemProps3.xml><?xml version="1.0" encoding="utf-8"?>
<ds:datastoreItem xmlns:ds="http://schemas.openxmlformats.org/officeDocument/2006/customXml" ds:itemID="{CF290742-AC08-417E-A82C-6DC7ACB7AF80}">
  <ds:schemaRefs>
    <ds:schemaRef ds:uri="http://schemas.microsoft.com/office/2006/metadata/properties"/>
    <ds:schemaRef ds:uri="http://schemas.microsoft.com/office/infopath/2007/PartnerControls"/>
    <ds:schemaRef ds:uri="c104a7e3-e0a9-46cf-92ee-9b62dc9a36e8"/>
    <ds:schemaRef ds:uri="641315ca-0572-423e-bd92-cff020455c2a"/>
  </ds:schemaRefs>
</ds:datastoreItem>
</file>

<file path=customXml/itemProps4.xml><?xml version="1.0" encoding="utf-8"?>
<ds:datastoreItem xmlns:ds="http://schemas.openxmlformats.org/officeDocument/2006/customXml" ds:itemID="{D13D9158-FC50-4A40-BDEE-EFFF4A65F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20</Pages>
  <Words>3203</Words>
  <Characters>18260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cp:lastPrinted>2025-09-15T08:38:00Z</cp:lastPrinted>
  <dcterms:created xsi:type="dcterms:W3CDTF">2026-05-29T15:00:00Z</dcterms:created>
  <dcterms:modified xsi:type="dcterms:W3CDTF">2026-07-08T06:47:00Z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2024-08-28T15:56:25Z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eebd44bc-a1a5-415f-8e24-903856e734cb</vt:lpwstr>
  </property>
  <property fmtid="{D5CDD505-2E9C-101B-9397-08002B2CF9AE}" pid="8" name="MSIP_Label_6bd9ddd1-4d20-43f6-abfa-fc3c07406f94_ContentBits">
    <vt:lpwstr>0</vt:lpwstr>
  </property>
  <property fmtid="{D5CDD505-2E9C-101B-9397-08002B2CF9AE}" pid="9" name="ContentTypeId">
    <vt:lpwstr>0x010100FE8DAEBAB9BA884591FD7B89E63AD785</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9.2, Build 20250828</vt:lpwstr>
  </property>
  <property fmtid="{D5CDD505-2E9C-101B-9397-08002B2CF9AE}" pid="17" name="Created using">
    <vt:lpwstr>LW 9.2, Build 20250828</vt:lpwstr>
  </property>
</Properties>
</file>