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E44A6" w14:textId="78642373" w:rsidR="00F9480C" w:rsidRDefault="00BB4E35" w:rsidP="00BB4E35">
      <w:pPr>
        <w:pStyle w:val="Pagedecouverture"/>
        <w:rPr>
          <w:noProof/>
        </w:rPr>
      </w:pPr>
      <w:bookmarkStart w:id="0" w:name="LW_BM_COVERPAGE"/>
      <w:r>
        <w:rPr>
          <w:noProof/>
        </w:rPr>
        <w:pict w14:anchorId="329CFE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BC597E-6B84-41A0-AE20-3BA3276409C8" style="width:455.25pt;height:300pt">
            <v:imagedata r:id="rId11" o:title=""/>
          </v:shape>
        </w:pict>
      </w:r>
    </w:p>
    <w:bookmarkEnd w:id="0"/>
    <w:p w14:paraId="769F7CB6" w14:textId="77777777" w:rsidR="00F9480C" w:rsidRDefault="00F9480C" w:rsidP="00F9480C">
      <w:pPr>
        <w:rPr>
          <w:noProof/>
        </w:rPr>
        <w:sectPr w:rsidR="00F9480C" w:rsidSect="00BB4E3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28F5812" w14:textId="10328A13" w:rsidR="00716395" w:rsidRPr="00716395" w:rsidRDefault="00716395" w:rsidP="00716395">
      <w:pPr>
        <w:pStyle w:val="Typedudocument"/>
        <w:rPr>
          <w:noProof/>
        </w:rPr>
      </w:pPr>
      <w:bookmarkStart w:id="1" w:name="_GoBack"/>
      <w:bookmarkEnd w:id="1"/>
      <w:r w:rsidRPr="00716395">
        <w:rPr>
          <w:noProof/>
        </w:rPr>
        <w:lastRenderedPageBreak/>
        <w:t>REPORT FROM THE COMMISSION TO THE EUROPEAN PARLIAMENT AND THE COUNCIL</w:t>
      </w:r>
    </w:p>
    <w:p w14:paraId="793838CD" w14:textId="7CE80595" w:rsidR="00716395" w:rsidRPr="00716395" w:rsidRDefault="00716395" w:rsidP="00716395">
      <w:pPr>
        <w:pStyle w:val="Titreobjet"/>
        <w:rPr>
          <w:noProof/>
        </w:rPr>
      </w:pPr>
      <w:bookmarkStart w:id="2" w:name="_Hlk219295588"/>
      <w:r w:rsidRPr="00716395">
        <w:rPr>
          <w:noProof/>
        </w:rPr>
        <w:t>Evaluation of BEREC and the BEREC Office</w:t>
      </w:r>
      <w:bookmarkEnd w:id="2"/>
    </w:p>
    <w:p w14:paraId="3D2FB8A8" w14:textId="413068FB" w:rsidR="00C2130B" w:rsidRPr="00C2130B" w:rsidRDefault="00C2130B" w:rsidP="00C2130B">
      <w:pPr>
        <w:rPr>
          <w:noProof/>
        </w:rPr>
      </w:pPr>
    </w:p>
    <w:p w14:paraId="04DEA0FF"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F9480C">
        <w:rPr>
          <w:rFonts w:ascii="Times New Roman" w:eastAsia="Times New Roman" w:hAnsi="Times New Roman" w:cs="Times New Roman"/>
          <w:b/>
          <w:smallCaps/>
          <w:noProof/>
          <w:color w:val="auto"/>
          <w:sz w:val="24"/>
          <w:szCs w:val="20"/>
        </w:rPr>
        <w:t>Introduction</w:t>
      </w:r>
    </w:p>
    <w:p w14:paraId="6BD2FEB9" w14:textId="77777777" w:rsidR="00F9480C" w:rsidRDefault="00F9480C" w:rsidP="00F9480C">
      <w:pPr>
        <w:spacing w:afterAutospacing="1" w:line="240" w:lineRule="auto"/>
        <w:jc w:val="both"/>
        <w:rPr>
          <w:rFonts w:ascii="Times New Roman" w:eastAsia="Times New Roman" w:hAnsi="Times New Roman" w:cs="Times New Roman"/>
          <w:noProof/>
          <w:sz w:val="24"/>
          <w:szCs w:val="24"/>
        </w:rPr>
      </w:pPr>
      <w:r w:rsidRPr="0034158E">
        <w:rPr>
          <w:rFonts w:ascii="Times New Roman" w:eastAsia="Times New Roman" w:hAnsi="Times New Roman" w:cs="Times New Roman"/>
          <w:noProof/>
          <w:sz w:val="24"/>
          <w:szCs w:val="24"/>
        </w:rPr>
        <w:t xml:space="preserve">This report </w:t>
      </w:r>
      <w:r>
        <w:rPr>
          <w:rFonts w:ascii="Times New Roman" w:eastAsia="Times New Roman" w:hAnsi="Times New Roman" w:cs="Times New Roman"/>
          <w:noProof/>
          <w:sz w:val="24"/>
          <w:szCs w:val="24"/>
        </w:rPr>
        <w:t xml:space="preserve">to the European Parliament, </w:t>
      </w:r>
      <w:r w:rsidRPr="0034158E">
        <w:rPr>
          <w:rFonts w:ascii="Times New Roman" w:eastAsia="Times New Roman" w:hAnsi="Times New Roman" w:cs="Times New Roman"/>
          <w:noProof/>
          <w:sz w:val="24"/>
          <w:szCs w:val="24"/>
        </w:rPr>
        <w:t xml:space="preserve">the Council </w:t>
      </w:r>
      <w:r>
        <w:rPr>
          <w:rFonts w:ascii="Times New Roman" w:eastAsia="Times New Roman" w:hAnsi="Times New Roman" w:cs="Times New Roman"/>
          <w:noProof/>
          <w:sz w:val="24"/>
          <w:szCs w:val="24"/>
        </w:rPr>
        <w:t xml:space="preserve">and the Management Board </w:t>
      </w:r>
      <w:r w:rsidRPr="0034158E">
        <w:rPr>
          <w:rFonts w:ascii="Times New Roman" w:eastAsia="Times New Roman" w:hAnsi="Times New Roman" w:cs="Times New Roman"/>
          <w:noProof/>
          <w:sz w:val="24"/>
          <w:szCs w:val="24"/>
        </w:rPr>
        <w:t xml:space="preserve">outlines the </w:t>
      </w:r>
      <w:r>
        <w:rPr>
          <w:rFonts w:ascii="Times New Roman" w:eastAsia="Times New Roman" w:hAnsi="Times New Roman" w:cs="Times New Roman"/>
          <w:noProof/>
          <w:sz w:val="24"/>
          <w:szCs w:val="24"/>
        </w:rPr>
        <w:t>Commission’s main findings</w:t>
      </w:r>
      <w:r w:rsidRPr="0034158E">
        <w:rPr>
          <w:rFonts w:ascii="Times New Roman" w:eastAsia="Times New Roman" w:hAnsi="Times New Roman" w:cs="Times New Roman"/>
          <w:noProof/>
          <w:sz w:val="24"/>
          <w:szCs w:val="24"/>
        </w:rPr>
        <w:t xml:space="preserve"> of the eval</w:t>
      </w:r>
      <w:r>
        <w:rPr>
          <w:rFonts w:ascii="Times New Roman" w:eastAsia="Times New Roman" w:hAnsi="Times New Roman" w:cs="Times New Roman"/>
          <w:noProof/>
          <w:sz w:val="24"/>
          <w:szCs w:val="24"/>
        </w:rPr>
        <w:t>uation of the performance of BEREC</w:t>
      </w:r>
      <w:r w:rsidRPr="0034158E">
        <w:rPr>
          <w:rFonts w:ascii="Times New Roman" w:eastAsia="Times New Roman" w:hAnsi="Times New Roman" w:cs="Times New Roman"/>
          <w:noProof/>
          <w:sz w:val="24"/>
          <w:szCs w:val="24"/>
        </w:rPr>
        <w:t xml:space="preserve"> and the BEREC Office</w:t>
      </w:r>
      <w:r>
        <w:rPr>
          <w:rFonts w:ascii="Times New Roman" w:eastAsia="Times New Roman" w:hAnsi="Times New Roman" w:cs="Times New Roman"/>
          <w:noProof/>
          <w:sz w:val="24"/>
          <w:szCs w:val="24"/>
        </w:rPr>
        <w:t>,</w:t>
      </w:r>
      <w:r w:rsidRPr="00CC28F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in accordance with Article 48 of Regulation (EU) 2018/1971</w:t>
      </w:r>
      <w:r w:rsidRPr="0034158E">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of the European Parliament and of the Council </w:t>
      </w:r>
      <w:r w:rsidRPr="0034158E">
        <w:rPr>
          <w:rFonts w:ascii="Times New Roman" w:eastAsia="Times New Roman" w:hAnsi="Times New Roman" w:cs="Times New Roman"/>
          <w:noProof/>
          <w:sz w:val="24"/>
          <w:szCs w:val="24"/>
        </w:rPr>
        <w:t>of 11 December 2018</w:t>
      </w:r>
      <w:r>
        <w:rPr>
          <w:rFonts w:ascii="Times New Roman" w:eastAsia="Times New Roman" w:hAnsi="Times New Roman" w:cs="Times New Roman"/>
          <w:noProof/>
          <w:sz w:val="24"/>
          <w:szCs w:val="24"/>
        </w:rPr>
        <w:t xml:space="preserve"> </w:t>
      </w:r>
      <w:r w:rsidRPr="0034158E">
        <w:rPr>
          <w:rFonts w:ascii="Times New Roman" w:eastAsia="Times New Roman" w:hAnsi="Times New Roman" w:cs="Times New Roman"/>
          <w:noProof/>
          <w:sz w:val="24"/>
          <w:szCs w:val="24"/>
        </w:rPr>
        <w:t>establishing the Body of European Regulators for Electronic Communications (BEREC) and the Agency for Support for BEREC (BEREC Office)</w:t>
      </w:r>
      <w:r w:rsidRPr="00FD3788">
        <w:rPr>
          <w:rStyle w:val="FootnoteReference"/>
          <w:noProof/>
        </w:rPr>
        <w:footnoteReference w:id="2"/>
      </w:r>
      <w:r>
        <w:rPr>
          <w:rFonts w:ascii="Times New Roman" w:eastAsia="Times New Roman" w:hAnsi="Times New Roman" w:cs="Times New Roman"/>
          <w:noProof/>
          <w:sz w:val="24"/>
          <w:szCs w:val="24"/>
        </w:rPr>
        <w:t xml:space="preserve">, hereinafter the ‘BEREC Regulation’. </w:t>
      </w:r>
      <w:r w:rsidRPr="1A052D6E">
        <w:rPr>
          <w:rFonts w:ascii="Times New Roman" w:eastAsia="Times New Roman" w:hAnsi="Times New Roman" w:cs="Times New Roman"/>
          <w:noProof/>
          <w:sz w:val="24"/>
          <w:szCs w:val="24"/>
        </w:rPr>
        <w:t>The accompanying staff working document contains more detailed evidence and analysis supporting these findings.</w:t>
      </w:r>
    </w:p>
    <w:p w14:paraId="1882DFDE"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F9480C">
        <w:rPr>
          <w:rFonts w:ascii="Times New Roman" w:eastAsia="Times New Roman" w:hAnsi="Times New Roman" w:cs="Times New Roman"/>
          <w:b/>
          <w:smallCaps/>
          <w:noProof/>
          <w:color w:val="auto"/>
          <w:sz w:val="24"/>
          <w:szCs w:val="20"/>
        </w:rPr>
        <w:t>Method</w:t>
      </w:r>
    </w:p>
    <w:p w14:paraId="6FD30769" w14:textId="7777777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evaluation was carried out in compliance with the Commission Better Regulation Guidelines</w:t>
      </w:r>
      <w:r w:rsidRPr="3BD220EB">
        <w:rPr>
          <w:rStyle w:val="FootnoteReference"/>
          <w:rFonts w:ascii="Times New Roman" w:eastAsia="Times New Roman" w:hAnsi="Times New Roman" w:cs="Times New Roman"/>
          <w:noProof/>
        </w:rPr>
        <w:footnoteReference w:id="3"/>
      </w:r>
      <w:r>
        <w:rPr>
          <w:rFonts w:ascii="Times New Roman" w:eastAsia="Times New Roman" w:hAnsi="Times New Roman" w:cs="Times New Roman"/>
          <w:noProof/>
          <w:sz w:val="24"/>
          <w:szCs w:val="24"/>
        </w:rPr>
        <w:t xml:space="preserve"> and builds on the study supporting the evaluation of BEREC and the BEREC Office prepared for the Commission</w:t>
      </w:r>
      <w:r w:rsidRPr="3BD220EB">
        <w:rPr>
          <w:rStyle w:val="FootnoteReference"/>
          <w:rFonts w:ascii="Times New Roman" w:eastAsia="Times New Roman" w:hAnsi="Times New Roman" w:cs="Times New Roman"/>
          <w:noProof/>
        </w:rPr>
        <w:footnoteReference w:id="4"/>
      </w:r>
      <w:r w:rsidRPr="00085052">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While in principle it encompassed the period from 2019 to 2023, most relevant developments up to December 2025 are also covered. This report assessed the performance of BEREC and the BEREC Office across the following evaluation criteria: effectiveness, efficiency, relevance, coherence, and EU value added. </w:t>
      </w:r>
    </w:p>
    <w:p w14:paraId="0DD03717" w14:textId="7777777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sidRPr="0D2B9B9B">
        <w:rPr>
          <w:rFonts w:ascii="Times New Roman" w:eastAsia="Times New Roman" w:hAnsi="Times New Roman" w:cs="Times New Roman"/>
          <w:noProof/>
          <w:sz w:val="24"/>
          <w:szCs w:val="24"/>
        </w:rPr>
        <w:t xml:space="preserve">The evaluation support study used several methods of data collection and analysis, including inter alia: desk research, document analysis, surveys for national regulatory authorities (NRAs) and for external stakeholders, as well as an interview programme with representatives from stakeholders categories. </w:t>
      </w:r>
    </w:p>
    <w:p w14:paraId="07DE2F39" w14:textId="77777777" w:rsidR="00F9480C" w:rsidRPr="00CC28F0"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its evaluation, the Commission has also taken into consideration BEREC </w:t>
      </w:r>
      <w:r w:rsidRPr="00CC28F0">
        <w:rPr>
          <w:rFonts w:ascii="Times New Roman" w:eastAsia="Times New Roman" w:hAnsi="Times New Roman" w:cs="Times New Roman"/>
          <w:noProof/>
          <w:sz w:val="24"/>
          <w:szCs w:val="24"/>
        </w:rPr>
        <w:t>own initiative input to the Commission on the functioning of BEREC and the BEREC Office in view of the evaluation under Article 48 of the BEREC Regulation</w:t>
      </w:r>
      <w:r w:rsidRPr="00CC28F0">
        <w:rPr>
          <w:rFonts w:ascii="Times New Roman" w:eastAsia="Times New Roman" w:hAnsi="Times New Roman" w:cs="Times New Roman"/>
          <w:noProof/>
          <w:sz w:val="24"/>
          <w:szCs w:val="24"/>
          <w:vertAlign w:val="superscript"/>
        </w:rPr>
        <w:footnoteReference w:id="5"/>
      </w:r>
      <w:r>
        <w:rPr>
          <w:rFonts w:ascii="Times New Roman" w:eastAsia="Times New Roman" w:hAnsi="Times New Roman" w:cs="Times New Roman"/>
          <w:noProof/>
          <w:sz w:val="24"/>
          <w:szCs w:val="24"/>
        </w:rPr>
        <w:t>.</w:t>
      </w:r>
    </w:p>
    <w:p w14:paraId="71C64438"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F9480C">
        <w:rPr>
          <w:rFonts w:ascii="Times New Roman" w:eastAsia="Times New Roman" w:hAnsi="Times New Roman" w:cs="Times New Roman"/>
          <w:b/>
          <w:smallCaps/>
          <w:noProof/>
          <w:color w:val="auto"/>
          <w:sz w:val="24"/>
          <w:szCs w:val="20"/>
        </w:rPr>
        <w:t>BEREC and the BEREC Office under Regulation (EU) 2018/1971</w:t>
      </w:r>
    </w:p>
    <w:p w14:paraId="5E34001E" w14:textId="592F50C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sidRPr="00FC5E5B">
        <w:rPr>
          <w:rFonts w:ascii="Times New Roman" w:eastAsia="Times New Roman" w:hAnsi="Times New Roman" w:cs="Times New Roman"/>
          <w:noProof/>
          <w:sz w:val="24"/>
          <w:szCs w:val="24"/>
        </w:rPr>
        <w:t xml:space="preserve">The Body of European Regulators for Electronic Communications as it exists today was established by </w:t>
      </w:r>
      <w:r>
        <w:rPr>
          <w:rFonts w:ascii="Times New Roman" w:eastAsia="Times New Roman" w:hAnsi="Times New Roman" w:cs="Times New Roman"/>
          <w:noProof/>
          <w:sz w:val="24"/>
          <w:szCs w:val="24"/>
        </w:rPr>
        <w:t xml:space="preserve">the </w:t>
      </w:r>
      <w:r w:rsidRPr="00FC5E5B">
        <w:rPr>
          <w:rFonts w:ascii="Times New Roman" w:eastAsia="Times New Roman" w:hAnsi="Times New Roman" w:cs="Times New Roman"/>
          <w:noProof/>
          <w:sz w:val="24"/>
          <w:szCs w:val="24"/>
        </w:rPr>
        <w:t xml:space="preserve">BEREC Regulation, together with the Agency for the Support for BEREC. They succeeded the original BEREC and </w:t>
      </w:r>
      <w:r>
        <w:rPr>
          <w:rFonts w:ascii="Times New Roman" w:eastAsia="Times New Roman" w:hAnsi="Times New Roman" w:cs="Times New Roman"/>
          <w:noProof/>
          <w:sz w:val="24"/>
          <w:szCs w:val="24"/>
        </w:rPr>
        <w:t>its</w:t>
      </w:r>
      <w:r w:rsidRPr="00FC5E5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o</w:t>
      </w:r>
      <w:r w:rsidRPr="00FC5E5B">
        <w:rPr>
          <w:rFonts w:ascii="Times New Roman" w:eastAsia="Times New Roman" w:hAnsi="Times New Roman" w:cs="Times New Roman"/>
          <w:noProof/>
          <w:sz w:val="24"/>
          <w:szCs w:val="24"/>
        </w:rPr>
        <w:t>ffice</w:t>
      </w:r>
      <w:r>
        <w:rPr>
          <w:rFonts w:ascii="Times New Roman" w:eastAsia="Times New Roman" w:hAnsi="Times New Roman" w:cs="Times New Roman"/>
          <w:noProof/>
          <w:sz w:val="24"/>
          <w:szCs w:val="24"/>
        </w:rPr>
        <w:t xml:space="preserve">, </w:t>
      </w:r>
      <w:r w:rsidRPr="00FC5E5B">
        <w:rPr>
          <w:rFonts w:ascii="Times New Roman" w:eastAsia="Times New Roman" w:hAnsi="Times New Roman" w:cs="Times New Roman"/>
          <w:noProof/>
          <w:sz w:val="24"/>
          <w:szCs w:val="24"/>
        </w:rPr>
        <w:t xml:space="preserve">set up by Regulation (EC) No 1211/2009, as part of the 2009 </w:t>
      </w:r>
      <w:r>
        <w:rPr>
          <w:rFonts w:ascii="Times New Roman" w:eastAsia="Times New Roman" w:hAnsi="Times New Roman" w:cs="Times New Roman"/>
          <w:noProof/>
          <w:sz w:val="24"/>
          <w:szCs w:val="24"/>
        </w:rPr>
        <w:t>t</w:t>
      </w:r>
      <w:r w:rsidRPr="00FC5E5B">
        <w:rPr>
          <w:rFonts w:ascii="Times New Roman" w:eastAsia="Times New Roman" w:hAnsi="Times New Roman" w:cs="Times New Roman"/>
          <w:noProof/>
          <w:sz w:val="24"/>
          <w:szCs w:val="24"/>
        </w:rPr>
        <w:t xml:space="preserve">elecoms </w:t>
      </w:r>
      <w:r>
        <w:rPr>
          <w:rFonts w:ascii="Times New Roman" w:eastAsia="Times New Roman" w:hAnsi="Times New Roman" w:cs="Times New Roman"/>
          <w:noProof/>
          <w:sz w:val="24"/>
          <w:szCs w:val="24"/>
        </w:rPr>
        <w:t>r</w:t>
      </w:r>
      <w:r w:rsidRPr="00FC5E5B">
        <w:rPr>
          <w:rFonts w:ascii="Times New Roman" w:eastAsia="Times New Roman" w:hAnsi="Times New Roman" w:cs="Times New Roman"/>
          <w:noProof/>
          <w:sz w:val="24"/>
          <w:szCs w:val="24"/>
        </w:rPr>
        <w:t xml:space="preserve">eforms package, in order to ensure greater harmonisation of practices among the </w:t>
      </w:r>
      <w:r>
        <w:rPr>
          <w:rFonts w:ascii="Times New Roman" w:eastAsia="Times New Roman" w:hAnsi="Times New Roman" w:cs="Times New Roman"/>
          <w:noProof/>
          <w:sz w:val="24"/>
          <w:szCs w:val="24"/>
        </w:rPr>
        <w:t>national regulatory authorities (</w:t>
      </w:r>
      <w:r w:rsidRPr="00FC5E5B">
        <w:rPr>
          <w:rFonts w:ascii="Times New Roman" w:eastAsia="Times New Roman" w:hAnsi="Times New Roman" w:cs="Times New Roman"/>
          <w:noProof/>
          <w:sz w:val="24"/>
          <w:szCs w:val="24"/>
        </w:rPr>
        <w:t>NRAs</w:t>
      </w:r>
      <w:r>
        <w:rPr>
          <w:rFonts w:ascii="Times New Roman" w:eastAsia="Times New Roman" w:hAnsi="Times New Roman" w:cs="Times New Roman"/>
          <w:noProof/>
          <w:sz w:val="24"/>
          <w:szCs w:val="24"/>
        </w:rPr>
        <w:t>)</w:t>
      </w:r>
      <w:r w:rsidRPr="00FC5E5B">
        <w:rPr>
          <w:rFonts w:ascii="Times New Roman" w:eastAsia="Times New Roman" w:hAnsi="Times New Roman" w:cs="Times New Roman"/>
          <w:noProof/>
          <w:sz w:val="24"/>
          <w:szCs w:val="24"/>
        </w:rPr>
        <w:t>, promote an effective internal market in this sector, and act as an exclusive forum for cooperation among NRAs, and between the Commission and NRAs.</w:t>
      </w:r>
      <w:r w:rsidR="00F55A85">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In 2018, following the </w:t>
      </w:r>
      <w:r w:rsidRPr="00FC5E5B">
        <w:rPr>
          <w:rFonts w:ascii="Times New Roman" w:eastAsia="Times New Roman" w:hAnsi="Times New Roman" w:cs="Times New Roman"/>
          <w:noProof/>
          <w:sz w:val="24"/>
          <w:szCs w:val="24"/>
        </w:rPr>
        <w:t xml:space="preserve">evaluation undertaken under Regulation (EC) </w:t>
      </w:r>
      <w:r>
        <w:rPr>
          <w:rFonts w:ascii="Times New Roman" w:eastAsia="Times New Roman" w:hAnsi="Times New Roman" w:cs="Times New Roman"/>
          <w:noProof/>
          <w:sz w:val="24"/>
          <w:szCs w:val="24"/>
        </w:rPr>
        <w:t xml:space="preserve">No </w:t>
      </w:r>
      <w:r w:rsidRPr="00FC5E5B">
        <w:rPr>
          <w:rFonts w:ascii="Times New Roman" w:eastAsia="Times New Roman" w:hAnsi="Times New Roman" w:cs="Times New Roman"/>
          <w:noProof/>
          <w:sz w:val="24"/>
          <w:szCs w:val="24"/>
        </w:rPr>
        <w:t>1211/2009</w:t>
      </w:r>
      <w:r w:rsidRPr="00FC5E5B">
        <w:rPr>
          <w:rFonts w:ascii="Times New Roman" w:eastAsia="Times New Roman" w:hAnsi="Times New Roman" w:cs="Times New Roman"/>
          <w:noProof/>
          <w:sz w:val="24"/>
          <w:szCs w:val="24"/>
          <w:vertAlign w:val="superscript"/>
          <w:lang w:val="fr-BE"/>
        </w:rPr>
        <w:footnoteReference w:id="6"/>
      </w:r>
      <w:r w:rsidRPr="00FC5E5B">
        <w:rPr>
          <w:rFonts w:ascii="Times New Roman" w:eastAsia="Times New Roman" w:hAnsi="Times New Roman" w:cs="Times New Roman"/>
          <w:noProof/>
          <w:sz w:val="24"/>
          <w:szCs w:val="24"/>
        </w:rPr>
        <w:t xml:space="preserve">, BEREC’s role was </w:t>
      </w:r>
      <w:r>
        <w:rPr>
          <w:rFonts w:ascii="Times New Roman" w:eastAsia="Times New Roman" w:hAnsi="Times New Roman" w:cs="Times New Roman"/>
          <w:noProof/>
          <w:sz w:val="24"/>
          <w:szCs w:val="24"/>
        </w:rPr>
        <w:t xml:space="preserve">further </w:t>
      </w:r>
      <w:r w:rsidRPr="00FC5E5B">
        <w:rPr>
          <w:rFonts w:ascii="Times New Roman" w:eastAsia="Times New Roman" w:hAnsi="Times New Roman" w:cs="Times New Roman"/>
          <w:noProof/>
          <w:sz w:val="24"/>
          <w:szCs w:val="24"/>
        </w:rPr>
        <w:t xml:space="preserve">strengthened by the BEREC Regulation and </w:t>
      </w:r>
      <w:r>
        <w:rPr>
          <w:rFonts w:ascii="Times New Roman" w:eastAsia="Times New Roman" w:hAnsi="Times New Roman" w:cs="Times New Roman"/>
          <w:noProof/>
          <w:sz w:val="24"/>
          <w:szCs w:val="24"/>
        </w:rPr>
        <w:t xml:space="preserve">by </w:t>
      </w:r>
      <w:r w:rsidRPr="00FC5E5B">
        <w:rPr>
          <w:rFonts w:ascii="Times New Roman" w:eastAsia="Times New Roman" w:hAnsi="Times New Roman" w:cs="Times New Roman"/>
          <w:noProof/>
          <w:sz w:val="24"/>
          <w:szCs w:val="24"/>
        </w:rPr>
        <w:t>Directive (EU) 2018/1972</w:t>
      </w:r>
      <w:r>
        <w:rPr>
          <w:rFonts w:ascii="Times New Roman" w:eastAsia="Times New Roman" w:hAnsi="Times New Roman" w:cs="Times New Roman"/>
          <w:noProof/>
          <w:sz w:val="24"/>
          <w:szCs w:val="24"/>
        </w:rPr>
        <w:t xml:space="preserve"> establishing </w:t>
      </w:r>
      <w:r w:rsidRPr="00FC5E5B">
        <w:rPr>
          <w:rFonts w:ascii="Times New Roman" w:eastAsia="Times New Roman" w:hAnsi="Times New Roman" w:cs="Times New Roman"/>
          <w:noProof/>
          <w:sz w:val="24"/>
          <w:szCs w:val="24"/>
        </w:rPr>
        <w:t>the European Electronic Communications Code</w:t>
      </w:r>
      <w:r>
        <w:rPr>
          <w:rStyle w:val="FootnoteReference"/>
          <w:rFonts w:ascii="Times New Roman" w:eastAsia="Times New Roman" w:hAnsi="Times New Roman" w:cs="Times New Roman"/>
          <w:noProof/>
          <w:szCs w:val="24"/>
        </w:rPr>
        <w:footnoteReference w:id="7"/>
      </w:r>
      <w:r w:rsidRPr="00FC5E5B">
        <w:rPr>
          <w:rFonts w:ascii="Times New Roman" w:eastAsia="Times New Roman" w:hAnsi="Times New Roman" w:cs="Times New Roman"/>
          <w:noProof/>
          <w:sz w:val="24"/>
          <w:szCs w:val="24"/>
        </w:rPr>
        <w:t xml:space="preserve"> (EECC). </w:t>
      </w:r>
    </w:p>
    <w:p w14:paraId="0BF56EC5" w14:textId="77777777" w:rsidR="00F9480C" w:rsidRPr="00FC5E5B" w:rsidRDefault="00F9480C" w:rsidP="00F9480C">
      <w:pPr>
        <w:spacing w:after="100" w:afterAutospacing="1" w:line="240" w:lineRule="auto"/>
        <w:jc w:val="both"/>
        <w:rPr>
          <w:rFonts w:ascii="Times New Roman" w:eastAsia="Times New Roman" w:hAnsi="Times New Roman" w:cs="Times New Roman"/>
          <w:noProof/>
          <w:sz w:val="24"/>
          <w:szCs w:val="24"/>
        </w:rPr>
      </w:pPr>
      <w:r w:rsidRPr="0D2B9B9B">
        <w:rPr>
          <w:rFonts w:ascii="Times New Roman" w:eastAsia="Times New Roman" w:hAnsi="Times New Roman" w:cs="Times New Roman"/>
          <w:noProof/>
          <w:sz w:val="24"/>
          <w:szCs w:val="24"/>
        </w:rPr>
        <w:t xml:space="preserve">BEREC’s mandate was notably expanded to issue several guidelines to facilitate the harmonised implementation of the EECC, as well as to establish and maintain specific databases, for instance on numbering and general authorisations.  </w:t>
      </w:r>
    </w:p>
    <w:p w14:paraId="61A7364F" w14:textId="77777777" w:rsidR="00F9480C" w:rsidRPr="00FC5E5B" w:rsidRDefault="00F9480C" w:rsidP="00F9480C">
      <w:pPr>
        <w:spacing w:after="100" w:afterAutospacing="1" w:line="240" w:lineRule="auto"/>
        <w:jc w:val="both"/>
        <w:rPr>
          <w:rFonts w:ascii="Times New Roman" w:eastAsia="Times New Roman" w:hAnsi="Times New Roman" w:cs="Times New Roman"/>
          <w:noProof/>
          <w:sz w:val="24"/>
          <w:szCs w:val="24"/>
        </w:rPr>
      </w:pPr>
      <w:r w:rsidRPr="11F5255D">
        <w:rPr>
          <w:rFonts w:ascii="Times New Roman" w:eastAsia="Times New Roman" w:hAnsi="Times New Roman" w:cs="Times New Roman"/>
          <w:noProof/>
          <w:sz w:val="24"/>
          <w:szCs w:val="24"/>
        </w:rPr>
        <w:t xml:space="preserve">The two-tier structure of BEREC and the BEREC Office was maintained </w:t>
      </w:r>
      <w:r w:rsidRPr="61654870">
        <w:rPr>
          <w:rFonts w:ascii="Times New Roman" w:eastAsia="Times New Roman" w:hAnsi="Times New Roman" w:cs="Times New Roman"/>
          <w:noProof/>
          <w:sz w:val="24"/>
          <w:szCs w:val="24"/>
        </w:rPr>
        <w:t xml:space="preserve">in 2018 </w:t>
      </w:r>
      <w:r w:rsidRPr="11F5255D">
        <w:rPr>
          <w:rFonts w:ascii="Times New Roman" w:eastAsia="Times New Roman" w:hAnsi="Times New Roman" w:cs="Times New Roman"/>
          <w:noProof/>
          <w:sz w:val="24"/>
          <w:szCs w:val="24"/>
        </w:rPr>
        <w:t xml:space="preserve">by the co-legislators, while the Commission had </w:t>
      </w:r>
      <w:r w:rsidRPr="61654870">
        <w:rPr>
          <w:rFonts w:ascii="Times New Roman" w:eastAsia="Times New Roman" w:hAnsi="Times New Roman" w:cs="Times New Roman"/>
          <w:noProof/>
          <w:sz w:val="24"/>
          <w:szCs w:val="24"/>
        </w:rPr>
        <w:t xml:space="preserve">initially </w:t>
      </w:r>
      <w:r w:rsidRPr="11F5255D">
        <w:rPr>
          <w:rFonts w:ascii="Times New Roman" w:eastAsia="Times New Roman" w:hAnsi="Times New Roman" w:cs="Times New Roman"/>
          <w:noProof/>
          <w:sz w:val="24"/>
          <w:szCs w:val="24"/>
        </w:rPr>
        <w:t xml:space="preserve">proposed </w:t>
      </w:r>
      <w:r w:rsidRPr="61654870">
        <w:rPr>
          <w:rFonts w:ascii="Times New Roman" w:eastAsia="Times New Roman" w:hAnsi="Times New Roman" w:cs="Times New Roman"/>
          <w:noProof/>
          <w:sz w:val="24"/>
          <w:szCs w:val="24"/>
        </w:rPr>
        <w:t xml:space="preserve">in 2016 </w:t>
      </w:r>
      <w:r w:rsidRPr="11F5255D">
        <w:rPr>
          <w:rFonts w:ascii="Times New Roman" w:eastAsia="Times New Roman" w:hAnsi="Times New Roman" w:cs="Times New Roman"/>
          <w:noProof/>
          <w:sz w:val="24"/>
          <w:szCs w:val="24"/>
        </w:rPr>
        <w:t>to expand BEREC on the model of a decentralised agency. As a result, only the BEREC Office, which succeeded the Office, is a decentralised EU Agency dedicated to delivering professional and administrative support to BEREC, the body gathering NRAs. The BEREC Office possesses a legal personality and maintains legal, administrative, and financial autonomy.</w:t>
      </w:r>
    </w:p>
    <w:p w14:paraId="66DB5E1F" w14:textId="77777777" w:rsidR="00F9480C" w:rsidRPr="00FC5E5B" w:rsidRDefault="00F9480C" w:rsidP="00F9480C">
      <w:pPr>
        <w:spacing w:after="100" w:afterAutospacing="1" w:line="240" w:lineRule="auto"/>
        <w:jc w:val="both"/>
        <w:rPr>
          <w:rFonts w:ascii="Times New Roman" w:eastAsia="Times New Roman" w:hAnsi="Times New Roman" w:cs="Times New Roman"/>
          <w:noProof/>
          <w:sz w:val="24"/>
          <w:szCs w:val="24"/>
        </w:rPr>
      </w:pPr>
      <w:r w:rsidRPr="0D2B9B9B">
        <w:rPr>
          <w:rFonts w:ascii="Times New Roman" w:eastAsia="Times New Roman" w:hAnsi="Times New Roman" w:cs="Times New Roman"/>
          <w:noProof/>
          <w:sz w:val="24"/>
          <w:szCs w:val="24"/>
        </w:rPr>
        <w:t>Like Member States, including NRAs, as well as the Commission and the Radio Spectrum Policy Group (RSPG), BEREC is pursuing the general objectives set out in Article 3 of the EECC, that is: promoting connectivity and access to very high capacity networks (VHCN); promoting competition and efficient investment; contributing to the development of the internal market; promoting the interests of the citizens of the Union. The objective of promoting connectivity was added in the EECC as electronic communications were becoming essential for the economy and the society overall.</w:t>
      </w:r>
    </w:p>
    <w:p w14:paraId="08B6BAE9" w14:textId="7777777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sidRPr="00FC5E5B">
        <w:rPr>
          <w:rFonts w:ascii="Times New Roman" w:eastAsia="Times New Roman" w:hAnsi="Times New Roman" w:cs="Times New Roman"/>
          <w:noProof/>
          <w:sz w:val="24"/>
          <w:szCs w:val="24"/>
        </w:rPr>
        <w:t>Additionally, BEREC must, according to Article 3 of the BEREC Regulation, ensure - in particular - a consistent implementation of the regulatory framework for electronic communications (EECC, Roaming Regulation</w:t>
      </w:r>
      <w:r>
        <w:rPr>
          <w:rStyle w:val="FootnoteReference"/>
          <w:rFonts w:ascii="Times New Roman" w:eastAsia="Times New Roman" w:hAnsi="Times New Roman" w:cs="Times New Roman"/>
          <w:noProof/>
          <w:szCs w:val="24"/>
        </w:rPr>
        <w:footnoteReference w:id="8"/>
      </w:r>
      <w:r w:rsidRPr="00FC5E5B">
        <w:rPr>
          <w:rFonts w:ascii="Times New Roman" w:eastAsia="Times New Roman" w:hAnsi="Times New Roman" w:cs="Times New Roman"/>
          <w:noProof/>
          <w:sz w:val="24"/>
          <w:szCs w:val="24"/>
        </w:rPr>
        <w:t xml:space="preserve"> and Open Internet Regulation</w:t>
      </w:r>
      <w:r>
        <w:rPr>
          <w:rStyle w:val="FootnoteReference"/>
          <w:rFonts w:ascii="Times New Roman" w:eastAsia="Times New Roman" w:hAnsi="Times New Roman" w:cs="Times New Roman"/>
          <w:noProof/>
          <w:szCs w:val="24"/>
        </w:rPr>
        <w:footnoteReference w:id="9"/>
      </w:r>
      <w:r w:rsidRPr="00FC5E5B">
        <w:rPr>
          <w:rFonts w:ascii="Times New Roman" w:eastAsia="Times New Roman" w:hAnsi="Times New Roman" w:cs="Times New Roman"/>
          <w:noProof/>
          <w:sz w:val="24"/>
          <w:szCs w:val="24"/>
        </w:rPr>
        <w:t>).</w:t>
      </w:r>
    </w:p>
    <w:p w14:paraId="652D227B"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F9480C">
        <w:rPr>
          <w:rFonts w:ascii="Times New Roman" w:eastAsia="Times New Roman" w:hAnsi="Times New Roman" w:cs="Times New Roman"/>
          <w:b/>
          <w:smallCaps/>
          <w:noProof/>
          <w:color w:val="auto"/>
          <w:sz w:val="24"/>
          <w:szCs w:val="20"/>
        </w:rPr>
        <w:t>Main findings</w:t>
      </w:r>
    </w:p>
    <w:p w14:paraId="0F90BE79"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F9480C">
        <w:rPr>
          <w:rFonts w:ascii="Times New Roman" w:eastAsia="Times New Roman" w:hAnsi="Times New Roman" w:cs="Times New Roman"/>
          <w:b/>
          <w:noProof/>
          <w:color w:val="auto"/>
          <w:sz w:val="24"/>
          <w:szCs w:val="24"/>
        </w:rPr>
        <w:t>Effectiveness</w:t>
      </w:r>
    </w:p>
    <w:p w14:paraId="3EE7F01D" w14:textId="77777777" w:rsidR="00F9480C" w:rsidRDefault="00F9480C" w:rsidP="00F9480C">
      <w:pPr>
        <w:spacing w:after="100" w:afterAutospacing="1" w:line="240" w:lineRule="auto"/>
        <w:jc w:val="both"/>
        <w:rPr>
          <w:rFonts w:ascii="Times New Roman" w:hAnsi="Times New Roman" w:cs="Times New Roman"/>
          <w:noProof/>
          <w:sz w:val="24"/>
          <w:szCs w:val="24"/>
        </w:rPr>
      </w:pPr>
      <w:r w:rsidRPr="11F5255D">
        <w:rPr>
          <w:rFonts w:ascii="Times New Roman" w:hAnsi="Times New Roman" w:cs="Times New Roman"/>
          <w:noProof/>
          <w:sz w:val="24"/>
          <w:szCs w:val="24"/>
        </w:rPr>
        <w:t xml:space="preserve">In general, </w:t>
      </w:r>
      <w:r>
        <w:rPr>
          <w:rFonts w:ascii="Times New Roman" w:hAnsi="Times New Roman" w:cs="Times New Roman"/>
          <w:noProof/>
          <w:sz w:val="24"/>
          <w:szCs w:val="24"/>
        </w:rPr>
        <w:t xml:space="preserve">over the period assessed, </w:t>
      </w:r>
      <w:r w:rsidRPr="008C5A17">
        <w:rPr>
          <w:rFonts w:ascii="Times New Roman" w:hAnsi="Times New Roman" w:cs="Times New Roman"/>
          <w:b/>
          <w:bCs/>
          <w:noProof/>
          <w:sz w:val="24"/>
          <w:szCs w:val="24"/>
        </w:rPr>
        <w:t>BEREC</w:t>
      </w:r>
      <w:r w:rsidRPr="00CC0109">
        <w:rPr>
          <w:rFonts w:ascii="Times New Roman" w:hAnsi="Times New Roman" w:cs="Times New Roman"/>
          <w:noProof/>
          <w:sz w:val="24"/>
          <w:szCs w:val="24"/>
        </w:rPr>
        <w:t xml:space="preserve"> </w:t>
      </w:r>
      <w:r w:rsidRPr="11F5255D">
        <w:rPr>
          <w:rFonts w:ascii="Times New Roman" w:hAnsi="Times New Roman" w:cs="Times New Roman"/>
          <w:noProof/>
          <w:sz w:val="24"/>
          <w:szCs w:val="24"/>
        </w:rPr>
        <w:t xml:space="preserve">has been effective in delivering on its main objectives, i.e. promoting connectivity and access to VHCN; promoting competition and efficient investment; contributing to the development of the internal market; promoting the interests of the citizens of the Union (Article 3 EECC). </w:t>
      </w:r>
    </w:p>
    <w:p w14:paraId="62F35F4D" w14:textId="1767A80B"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sidR="009D68D7">
        <w:rPr>
          <w:rFonts w:ascii="Times New Roman" w:hAnsi="Times New Roman" w:cs="Times New Roman"/>
          <w:noProof/>
          <w:sz w:val="24"/>
          <w:szCs w:val="24"/>
        </w:rPr>
        <w:t xml:space="preserve">the </w:t>
      </w:r>
      <w:r>
        <w:rPr>
          <w:rFonts w:ascii="Times New Roman" w:hAnsi="Times New Roman" w:cs="Times New Roman"/>
          <w:noProof/>
          <w:sz w:val="24"/>
          <w:szCs w:val="24"/>
        </w:rPr>
        <w:t>EECC</w:t>
      </w:r>
      <w:r w:rsidR="00256788">
        <w:rPr>
          <w:rFonts w:ascii="Times New Roman" w:hAnsi="Times New Roman" w:cs="Times New Roman"/>
          <w:noProof/>
          <w:sz w:val="24"/>
          <w:szCs w:val="24"/>
        </w:rPr>
        <w:t>,</w:t>
      </w:r>
      <w:r>
        <w:rPr>
          <w:rFonts w:ascii="Times New Roman" w:hAnsi="Times New Roman" w:cs="Times New Roman"/>
          <w:noProof/>
          <w:sz w:val="24"/>
          <w:szCs w:val="24"/>
        </w:rPr>
        <w:t xml:space="preserve"> BEREC has been tasked with elaboration of 11</w:t>
      </w:r>
      <w:r w:rsidR="00BC2A0C">
        <w:rPr>
          <w:rFonts w:ascii="Times New Roman" w:hAnsi="Times New Roman" w:cs="Times New Roman"/>
          <w:noProof/>
          <w:sz w:val="24"/>
          <w:szCs w:val="24"/>
        </w:rPr>
        <w:t xml:space="preserve"> set of</w:t>
      </w:r>
      <w:r>
        <w:rPr>
          <w:rFonts w:ascii="Times New Roman" w:hAnsi="Times New Roman" w:cs="Times New Roman"/>
          <w:noProof/>
          <w:sz w:val="24"/>
          <w:szCs w:val="24"/>
        </w:rPr>
        <w:t xml:space="preserve"> guidelines</w:t>
      </w:r>
      <w:r>
        <w:rPr>
          <w:rStyle w:val="FootnoteReference"/>
          <w:rFonts w:ascii="Times New Roman" w:hAnsi="Times New Roman" w:cs="Times New Roman"/>
          <w:noProof/>
          <w:szCs w:val="24"/>
        </w:rPr>
        <w:footnoteReference w:id="10"/>
      </w:r>
      <w:r>
        <w:rPr>
          <w:rFonts w:ascii="Times New Roman" w:hAnsi="Times New Roman" w:cs="Times New Roman"/>
          <w:noProof/>
          <w:sz w:val="24"/>
          <w:szCs w:val="24"/>
        </w:rPr>
        <w:t xml:space="preserve">, on complex technical, economic and legal aspects, aiming to provide guidance to NRAs for harmonised implementation of the EECC. BEREC devoted significant resources and expertise in elaboration of the guidelines, which in general are perceived as </w:t>
      </w:r>
      <w:r w:rsidRPr="61654870">
        <w:rPr>
          <w:rFonts w:ascii="Times New Roman" w:hAnsi="Times New Roman" w:cs="Times New Roman"/>
          <w:noProof/>
          <w:sz w:val="24"/>
          <w:szCs w:val="24"/>
        </w:rPr>
        <w:t xml:space="preserve">important </w:t>
      </w:r>
      <w:r>
        <w:rPr>
          <w:rFonts w:ascii="Times New Roman" w:hAnsi="Times New Roman" w:cs="Times New Roman"/>
          <w:noProof/>
          <w:sz w:val="24"/>
          <w:szCs w:val="24"/>
        </w:rPr>
        <w:t>advice supporting NRAs</w:t>
      </w:r>
      <w:r w:rsidR="00C74BA6">
        <w:rPr>
          <w:rFonts w:ascii="Times New Roman" w:hAnsi="Times New Roman" w:cs="Times New Roman"/>
          <w:noProof/>
          <w:sz w:val="24"/>
          <w:szCs w:val="24"/>
        </w:rPr>
        <w:t>’</w:t>
      </w:r>
      <w:r>
        <w:rPr>
          <w:rFonts w:ascii="Times New Roman" w:hAnsi="Times New Roman" w:cs="Times New Roman"/>
          <w:noProof/>
          <w:sz w:val="24"/>
          <w:szCs w:val="24"/>
        </w:rPr>
        <w:t xml:space="preserve"> common approaches. Yet</w:t>
      </w:r>
      <w:r w:rsidR="00457411">
        <w:rPr>
          <w:rFonts w:ascii="Times New Roman" w:hAnsi="Times New Roman" w:cs="Times New Roman"/>
          <w:noProof/>
          <w:sz w:val="24"/>
          <w:szCs w:val="24"/>
        </w:rPr>
        <w:t>,</w:t>
      </w:r>
      <w:r>
        <w:rPr>
          <w:rFonts w:ascii="Times New Roman" w:hAnsi="Times New Roman" w:cs="Times New Roman"/>
          <w:noProof/>
          <w:sz w:val="24"/>
          <w:szCs w:val="24"/>
        </w:rPr>
        <w:t xml:space="preserve"> those guidelines </w:t>
      </w:r>
      <w:r w:rsidRPr="61654870">
        <w:rPr>
          <w:rFonts w:ascii="Times New Roman" w:hAnsi="Times New Roman" w:cs="Times New Roman"/>
          <w:noProof/>
          <w:sz w:val="24"/>
          <w:szCs w:val="24"/>
        </w:rPr>
        <w:t xml:space="preserve">alone </w:t>
      </w:r>
      <w:r>
        <w:rPr>
          <w:rFonts w:ascii="Times New Roman" w:hAnsi="Times New Roman" w:cs="Times New Roman"/>
          <w:noProof/>
          <w:sz w:val="24"/>
          <w:szCs w:val="24"/>
        </w:rPr>
        <w:t>were not sufficient to create</w:t>
      </w:r>
      <w:r w:rsidR="00FF7E04">
        <w:rPr>
          <w:rFonts w:ascii="Times New Roman" w:hAnsi="Times New Roman" w:cs="Times New Roman"/>
          <w:noProof/>
          <w:sz w:val="24"/>
          <w:szCs w:val="24"/>
        </w:rPr>
        <w:t xml:space="preserve"> a</w:t>
      </w:r>
      <w:r>
        <w:rPr>
          <w:rFonts w:ascii="Times New Roman" w:hAnsi="Times New Roman" w:cs="Times New Roman"/>
          <w:noProof/>
          <w:sz w:val="24"/>
          <w:szCs w:val="24"/>
        </w:rPr>
        <w:t xml:space="preserve"> </w:t>
      </w:r>
      <w:r w:rsidRPr="61654870">
        <w:rPr>
          <w:rFonts w:ascii="Times New Roman" w:hAnsi="Times New Roman" w:cs="Times New Roman"/>
          <w:noProof/>
          <w:sz w:val="24"/>
          <w:szCs w:val="24"/>
        </w:rPr>
        <w:t>European</w:t>
      </w:r>
      <w:r>
        <w:rPr>
          <w:rFonts w:ascii="Times New Roman" w:hAnsi="Times New Roman" w:cs="Times New Roman"/>
          <w:noProof/>
          <w:sz w:val="24"/>
          <w:szCs w:val="24"/>
        </w:rPr>
        <w:t xml:space="preserve"> </w:t>
      </w:r>
      <w:r w:rsidR="006C4D65">
        <w:rPr>
          <w:rFonts w:ascii="Times New Roman" w:hAnsi="Times New Roman" w:cs="Times New Roman"/>
          <w:noProof/>
          <w:sz w:val="24"/>
          <w:szCs w:val="24"/>
        </w:rPr>
        <w:t>S</w:t>
      </w:r>
      <w:r>
        <w:rPr>
          <w:rFonts w:ascii="Times New Roman" w:hAnsi="Times New Roman" w:cs="Times New Roman"/>
          <w:noProof/>
          <w:sz w:val="24"/>
          <w:szCs w:val="24"/>
        </w:rPr>
        <w:t xml:space="preserve">ingle </w:t>
      </w:r>
      <w:r w:rsidR="006C4D65">
        <w:rPr>
          <w:rFonts w:ascii="Times New Roman" w:hAnsi="Times New Roman" w:cs="Times New Roman"/>
          <w:noProof/>
          <w:sz w:val="24"/>
          <w:szCs w:val="24"/>
        </w:rPr>
        <w:t>M</w:t>
      </w:r>
      <w:r>
        <w:rPr>
          <w:rFonts w:ascii="Times New Roman" w:hAnsi="Times New Roman" w:cs="Times New Roman"/>
          <w:noProof/>
          <w:sz w:val="24"/>
          <w:szCs w:val="24"/>
        </w:rPr>
        <w:t xml:space="preserve">arket in the </w:t>
      </w:r>
      <w:r w:rsidR="006C4D65">
        <w:rPr>
          <w:rFonts w:ascii="Times New Roman" w:hAnsi="Times New Roman" w:cs="Times New Roman"/>
          <w:noProof/>
          <w:sz w:val="24"/>
          <w:szCs w:val="24"/>
        </w:rPr>
        <w:t xml:space="preserve">electronic </w:t>
      </w:r>
      <w:r>
        <w:rPr>
          <w:rFonts w:ascii="Times New Roman" w:hAnsi="Times New Roman" w:cs="Times New Roman"/>
          <w:noProof/>
          <w:sz w:val="24"/>
          <w:szCs w:val="24"/>
        </w:rPr>
        <w:t>communication</w:t>
      </w:r>
      <w:r w:rsidR="006C4D65">
        <w:rPr>
          <w:rFonts w:ascii="Times New Roman" w:hAnsi="Times New Roman" w:cs="Times New Roman"/>
          <w:noProof/>
          <w:sz w:val="24"/>
          <w:szCs w:val="24"/>
        </w:rPr>
        <w:t>s</w:t>
      </w:r>
      <w:r>
        <w:rPr>
          <w:rFonts w:ascii="Times New Roman" w:hAnsi="Times New Roman" w:cs="Times New Roman"/>
          <w:noProof/>
          <w:sz w:val="24"/>
          <w:szCs w:val="24"/>
        </w:rPr>
        <w:t xml:space="preserve"> sector, as, by their nature, they</w:t>
      </w:r>
      <w:r w:rsidR="001405FD">
        <w:rPr>
          <w:rFonts w:ascii="Times New Roman" w:hAnsi="Times New Roman" w:cs="Times New Roman"/>
          <w:noProof/>
          <w:sz w:val="24"/>
          <w:szCs w:val="24"/>
        </w:rPr>
        <w:t xml:space="preserve"> are not legally binding</w:t>
      </w:r>
      <w:r w:rsidR="00266A74">
        <w:rPr>
          <w:rFonts w:ascii="Times New Roman" w:hAnsi="Times New Roman" w:cs="Times New Roman"/>
          <w:noProof/>
          <w:sz w:val="24"/>
          <w:szCs w:val="24"/>
        </w:rPr>
        <w:t xml:space="preserve"> and they</w:t>
      </w:r>
      <w:r>
        <w:rPr>
          <w:rFonts w:ascii="Times New Roman" w:hAnsi="Times New Roman" w:cs="Times New Roman"/>
          <w:noProof/>
          <w:sz w:val="24"/>
          <w:szCs w:val="24"/>
        </w:rPr>
        <w:t xml:space="preserve"> always adhere to the principle of NRA flexibility.</w:t>
      </w:r>
      <w:r w:rsidRPr="11F5255D">
        <w:rPr>
          <w:rFonts w:ascii="Times New Roman" w:hAnsi="Times New Roman" w:cs="Times New Roman"/>
          <w:noProof/>
          <w:sz w:val="24"/>
          <w:szCs w:val="24"/>
        </w:rPr>
        <w:t xml:space="preserve"> </w:t>
      </w:r>
      <w:r>
        <w:rPr>
          <w:rFonts w:ascii="Times New Roman" w:hAnsi="Times New Roman" w:cs="Times New Roman"/>
          <w:noProof/>
          <w:sz w:val="24"/>
          <w:szCs w:val="24"/>
        </w:rPr>
        <w:t>In this context, s</w:t>
      </w:r>
      <w:r w:rsidRPr="11F5255D">
        <w:rPr>
          <w:rFonts w:ascii="Times New Roman" w:hAnsi="Times New Roman" w:cs="Times New Roman"/>
          <w:noProof/>
          <w:sz w:val="24"/>
          <w:szCs w:val="24"/>
        </w:rPr>
        <w:t xml:space="preserve">afeguarding </w:t>
      </w:r>
      <w:r>
        <w:rPr>
          <w:rFonts w:ascii="Times New Roman" w:hAnsi="Times New Roman" w:cs="Times New Roman"/>
          <w:noProof/>
          <w:sz w:val="24"/>
          <w:szCs w:val="24"/>
        </w:rPr>
        <w:t>BEREC and NRAs</w:t>
      </w:r>
      <w:r w:rsidR="00C74BA6">
        <w:rPr>
          <w:rFonts w:ascii="Times New Roman" w:hAnsi="Times New Roman" w:cs="Times New Roman"/>
          <w:noProof/>
          <w:sz w:val="24"/>
          <w:szCs w:val="24"/>
        </w:rPr>
        <w:t>’</w:t>
      </w:r>
      <w:r w:rsidRPr="11F5255D">
        <w:rPr>
          <w:rFonts w:ascii="Times New Roman" w:hAnsi="Times New Roman" w:cs="Times New Roman"/>
          <w:noProof/>
          <w:sz w:val="24"/>
          <w:szCs w:val="24"/>
        </w:rPr>
        <w:t xml:space="preserve"> independence from political influences and from other stakeholders, has been and remains an important determinant of </w:t>
      </w:r>
      <w:r>
        <w:rPr>
          <w:rFonts w:ascii="Times New Roman" w:hAnsi="Times New Roman" w:cs="Times New Roman"/>
          <w:noProof/>
          <w:sz w:val="24"/>
          <w:szCs w:val="24"/>
        </w:rPr>
        <w:t>their</w:t>
      </w:r>
      <w:r w:rsidRPr="11F5255D">
        <w:rPr>
          <w:rFonts w:ascii="Times New Roman" w:hAnsi="Times New Roman" w:cs="Times New Roman"/>
          <w:noProof/>
          <w:sz w:val="24"/>
          <w:szCs w:val="24"/>
        </w:rPr>
        <w:t xml:space="preserve"> effectiveness in implementing the regulatory framework. </w:t>
      </w:r>
    </w:p>
    <w:p w14:paraId="2D9BF3DA" w14:textId="7EA67D44" w:rsidR="00F9480C" w:rsidRDefault="00F9480C" w:rsidP="00F9480C">
      <w:pPr>
        <w:spacing w:afterAutospacing="1" w:line="240" w:lineRule="auto"/>
        <w:jc w:val="both"/>
        <w:rPr>
          <w:rFonts w:ascii="Times New Roman" w:hAnsi="Times New Roman" w:cs="Times New Roman"/>
          <w:noProof/>
          <w:sz w:val="24"/>
          <w:szCs w:val="24"/>
        </w:rPr>
      </w:pPr>
      <w:r w:rsidRPr="003D1E8E">
        <w:rPr>
          <w:rFonts w:ascii="Times New Roman" w:hAnsi="Times New Roman" w:cs="Times New Roman"/>
          <w:noProof/>
          <w:sz w:val="24"/>
          <w:szCs w:val="24"/>
        </w:rPr>
        <w:t>During the period analysed, more complex and interrelated digital markets have led to the enactment of new rules in the digital ecosystem in recent years</w:t>
      </w:r>
      <w:r w:rsidR="00266A74">
        <w:rPr>
          <w:rFonts w:ascii="Times New Roman" w:hAnsi="Times New Roman" w:cs="Times New Roman"/>
          <w:noProof/>
          <w:sz w:val="24"/>
          <w:szCs w:val="24"/>
        </w:rPr>
        <w:t>,</w:t>
      </w:r>
      <w:r w:rsidRPr="003D1E8E">
        <w:rPr>
          <w:rFonts w:ascii="Times New Roman" w:hAnsi="Times New Roman" w:cs="Times New Roman"/>
          <w:noProof/>
          <w:sz w:val="24"/>
          <w:szCs w:val="24"/>
        </w:rPr>
        <w:t xml:space="preserve"> e.g. the Digital Services Act</w:t>
      </w:r>
      <w:r w:rsidRPr="003D1E8E">
        <w:rPr>
          <w:rStyle w:val="FootnoteReference"/>
          <w:rFonts w:ascii="Times New Roman" w:hAnsi="Times New Roman" w:cs="Times New Roman"/>
          <w:noProof/>
        </w:rPr>
        <w:footnoteReference w:id="11"/>
      </w:r>
      <w:r w:rsidRPr="003D1E8E">
        <w:rPr>
          <w:rFonts w:ascii="Times New Roman" w:hAnsi="Times New Roman" w:cs="Times New Roman"/>
          <w:noProof/>
          <w:sz w:val="24"/>
          <w:szCs w:val="24"/>
        </w:rPr>
        <w:t>, the Digital Markets Act</w:t>
      </w:r>
      <w:r w:rsidRPr="003D1E8E">
        <w:rPr>
          <w:rStyle w:val="FootnoteReference"/>
          <w:rFonts w:ascii="Times New Roman" w:hAnsi="Times New Roman" w:cs="Times New Roman"/>
          <w:noProof/>
        </w:rPr>
        <w:footnoteReference w:id="12"/>
      </w:r>
      <w:r w:rsidRPr="003D1E8E">
        <w:rPr>
          <w:rFonts w:ascii="Times New Roman" w:hAnsi="Times New Roman" w:cs="Times New Roman"/>
          <w:noProof/>
          <w:sz w:val="24"/>
          <w:szCs w:val="24"/>
        </w:rPr>
        <w:t>, the Data Act</w:t>
      </w:r>
      <w:r w:rsidRPr="003D1E8E">
        <w:rPr>
          <w:rStyle w:val="FootnoteReference"/>
          <w:rFonts w:ascii="Times New Roman" w:hAnsi="Times New Roman" w:cs="Times New Roman"/>
          <w:noProof/>
        </w:rPr>
        <w:footnoteReference w:id="13"/>
      </w:r>
      <w:r w:rsidRPr="003D1E8E">
        <w:rPr>
          <w:rFonts w:ascii="Times New Roman" w:hAnsi="Times New Roman" w:cs="Times New Roman"/>
          <w:noProof/>
          <w:sz w:val="24"/>
          <w:szCs w:val="24"/>
        </w:rPr>
        <w:t xml:space="preserve"> and Data Governance Act</w:t>
      </w:r>
      <w:r w:rsidRPr="003D1E8E">
        <w:rPr>
          <w:rStyle w:val="FootnoteReference"/>
          <w:rFonts w:ascii="Times New Roman" w:hAnsi="Times New Roman" w:cs="Times New Roman"/>
          <w:noProof/>
        </w:rPr>
        <w:footnoteReference w:id="14"/>
      </w:r>
      <w:r w:rsidRPr="003D1E8E">
        <w:rPr>
          <w:rFonts w:ascii="Times New Roman" w:hAnsi="Times New Roman" w:cs="Times New Roman"/>
          <w:noProof/>
          <w:sz w:val="24"/>
          <w:szCs w:val="24"/>
        </w:rPr>
        <w:t xml:space="preserve"> </w:t>
      </w:r>
      <w:r>
        <w:rPr>
          <w:rFonts w:ascii="Times New Roman" w:hAnsi="Times New Roman" w:cs="Times New Roman"/>
          <w:noProof/>
          <w:sz w:val="24"/>
          <w:szCs w:val="24"/>
        </w:rPr>
        <w:t>and</w:t>
      </w:r>
      <w:r w:rsidRPr="003D1E8E">
        <w:rPr>
          <w:rFonts w:ascii="Times New Roman" w:hAnsi="Times New Roman" w:cs="Times New Roman"/>
          <w:noProof/>
          <w:sz w:val="24"/>
          <w:szCs w:val="24"/>
        </w:rPr>
        <w:t xml:space="preserve"> the AI Act</w:t>
      </w:r>
      <w:r>
        <w:rPr>
          <w:rStyle w:val="FootnoteReference"/>
          <w:rFonts w:ascii="Times New Roman" w:hAnsi="Times New Roman" w:cs="Times New Roman"/>
          <w:noProof/>
          <w:szCs w:val="24"/>
        </w:rPr>
        <w:footnoteReference w:id="15"/>
      </w:r>
      <w:r w:rsidRPr="003D1E8E">
        <w:rPr>
          <w:rFonts w:ascii="Times New Roman" w:hAnsi="Times New Roman" w:cs="Times New Roman"/>
          <w:noProof/>
          <w:sz w:val="24"/>
          <w:szCs w:val="24"/>
        </w:rPr>
        <w:t xml:space="preserve">. </w:t>
      </w:r>
      <w:r>
        <w:rPr>
          <w:rFonts w:ascii="Times New Roman" w:hAnsi="Times New Roman" w:cs="Times New Roman"/>
          <w:noProof/>
          <w:sz w:val="24"/>
          <w:szCs w:val="24"/>
        </w:rPr>
        <w:t xml:space="preserve">This resulted in </w:t>
      </w:r>
      <w:r w:rsidRPr="003D1E8E">
        <w:rPr>
          <w:rFonts w:ascii="Times New Roman" w:hAnsi="Times New Roman" w:cs="Times New Roman"/>
          <w:noProof/>
          <w:sz w:val="24"/>
          <w:szCs w:val="24"/>
        </w:rPr>
        <w:t xml:space="preserve">new responsibilities </w:t>
      </w:r>
      <w:r w:rsidRPr="61654870">
        <w:rPr>
          <w:rFonts w:ascii="Times New Roman" w:hAnsi="Times New Roman" w:cs="Times New Roman"/>
          <w:noProof/>
          <w:sz w:val="24"/>
          <w:szCs w:val="24"/>
        </w:rPr>
        <w:t xml:space="preserve">assigned to </w:t>
      </w:r>
      <w:r>
        <w:rPr>
          <w:rFonts w:ascii="Times New Roman" w:hAnsi="Times New Roman" w:cs="Times New Roman"/>
          <w:noProof/>
          <w:sz w:val="24"/>
          <w:szCs w:val="24"/>
        </w:rPr>
        <w:t xml:space="preserve">national </w:t>
      </w:r>
      <w:r w:rsidRPr="61654870">
        <w:rPr>
          <w:rFonts w:ascii="Times New Roman" w:hAnsi="Times New Roman" w:cs="Times New Roman"/>
          <w:noProof/>
          <w:sz w:val="24"/>
          <w:szCs w:val="24"/>
        </w:rPr>
        <w:t>competent authorities</w:t>
      </w:r>
      <w:r w:rsidRPr="003D1E8E">
        <w:rPr>
          <w:rFonts w:ascii="Times New Roman" w:hAnsi="Times New Roman" w:cs="Times New Roman"/>
          <w:noProof/>
          <w:sz w:val="24"/>
          <w:szCs w:val="24"/>
        </w:rPr>
        <w:t xml:space="preserve"> in</w:t>
      </w:r>
      <w:r>
        <w:rPr>
          <w:rFonts w:ascii="Times New Roman" w:hAnsi="Times New Roman" w:cs="Times New Roman"/>
          <w:noProof/>
          <w:sz w:val="24"/>
          <w:szCs w:val="24"/>
        </w:rPr>
        <w:t xml:space="preserve"> these </w:t>
      </w:r>
      <w:r w:rsidRPr="003D1E8E">
        <w:rPr>
          <w:rFonts w:ascii="Times New Roman" w:hAnsi="Times New Roman" w:cs="Times New Roman"/>
          <w:noProof/>
          <w:sz w:val="24"/>
          <w:szCs w:val="24"/>
        </w:rPr>
        <w:t>digital markets. However, in these new fields as</w:t>
      </w:r>
      <w:r>
        <w:rPr>
          <w:rFonts w:ascii="Times New Roman" w:hAnsi="Times New Roman" w:cs="Times New Roman"/>
          <w:noProof/>
          <w:sz w:val="24"/>
          <w:szCs w:val="24"/>
        </w:rPr>
        <w:t xml:space="preserve"> well as in</w:t>
      </w:r>
      <w:r w:rsidRPr="003D1E8E">
        <w:rPr>
          <w:rFonts w:ascii="Times New Roman" w:hAnsi="Times New Roman" w:cs="Times New Roman"/>
          <w:noProof/>
          <w:sz w:val="24"/>
          <w:szCs w:val="24"/>
        </w:rPr>
        <w:t xml:space="preserve"> cybersecurity</w:t>
      </w:r>
      <w:r>
        <w:rPr>
          <w:rFonts w:ascii="Times New Roman" w:hAnsi="Times New Roman" w:cs="Times New Roman"/>
          <w:noProof/>
          <w:sz w:val="24"/>
          <w:szCs w:val="24"/>
        </w:rPr>
        <w:t xml:space="preserve"> or</w:t>
      </w:r>
      <w:r w:rsidRPr="003D1E8E">
        <w:rPr>
          <w:rFonts w:ascii="Times New Roman" w:hAnsi="Times New Roman" w:cs="Times New Roman"/>
          <w:noProof/>
          <w:sz w:val="24"/>
          <w:szCs w:val="24"/>
        </w:rPr>
        <w:t xml:space="preserve"> spectrum,</w:t>
      </w:r>
      <w:r>
        <w:rPr>
          <w:rFonts w:ascii="Times New Roman" w:hAnsi="Times New Roman" w:cs="Times New Roman"/>
          <w:noProof/>
          <w:sz w:val="24"/>
          <w:szCs w:val="24"/>
        </w:rPr>
        <w:t xml:space="preserve"> the competent authorities designated by Member States are not necessar</w:t>
      </w:r>
      <w:r w:rsidR="00B63541">
        <w:rPr>
          <w:rFonts w:ascii="Times New Roman" w:hAnsi="Times New Roman" w:cs="Times New Roman"/>
          <w:noProof/>
          <w:sz w:val="24"/>
          <w:szCs w:val="24"/>
        </w:rPr>
        <w:t>il</w:t>
      </w:r>
      <w:r>
        <w:rPr>
          <w:rFonts w:ascii="Times New Roman" w:hAnsi="Times New Roman" w:cs="Times New Roman"/>
          <w:noProof/>
          <w:sz w:val="24"/>
          <w:szCs w:val="24"/>
        </w:rPr>
        <w:t>y NRAs and</w:t>
      </w:r>
      <w:r w:rsidRPr="003D1E8E">
        <w:rPr>
          <w:rFonts w:ascii="Times New Roman" w:hAnsi="Times New Roman" w:cs="Times New Roman"/>
          <w:noProof/>
          <w:sz w:val="24"/>
          <w:szCs w:val="24"/>
        </w:rPr>
        <w:t xml:space="preserve"> these new </w:t>
      </w:r>
      <w:r>
        <w:rPr>
          <w:rFonts w:ascii="Times New Roman" w:hAnsi="Times New Roman" w:cs="Times New Roman"/>
          <w:noProof/>
          <w:sz w:val="24"/>
          <w:szCs w:val="24"/>
        </w:rPr>
        <w:t>areas</w:t>
      </w:r>
      <w:r w:rsidRPr="003D1E8E">
        <w:rPr>
          <w:rFonts w:ascii="Times New Roman" w:hAnsi="Times New Roman" w:cs="Times New Roman"/>
          <w:noProof/>
          <w:sz w:val="24"/>
          <w:szCs w:val="24"/>
        </w:rPr>
        <w:t xml:space="preserve"> are </w:t>
      </w:r>
      <w:r>
        <w:rPr>
          <w:rFonts w:ascii="Times New Roman" w:hAnsi="Times New Roman" w:cs="Times New Roman"/>
          <w:noProof/>
          <w:sz w:val="24"/>
          <w:szCs w:val="24"/>
        </w:rPr>
        <w:t xml:space="preserve">often </w:t>
      </w:r>
      <w:r w:rsidRPr="003D1E8E">
        <w:rPr>
          <w:rFonts w:ascii="Times New Roman" w:hAnsi="Times New Roman" w:cs="Times New Roman"/>
          <w:noProof/>
          <w:sz w:val="24"/>
          <w:szCs w:val="24"/>
        </w:rPr>
        <w:t xml:space="preserve">not reflected in BEREC’s mandate. </w:t>
      </w:r>
      <w:r>
        <w:rPr>
          <w:rFonts w:ascii="Times New Roman" w:hAnsi="Times New Roman" w:cs="Times New Roman"/>
          <w:noProof/>
          <w:sz w:val="24"/>
          <w:szCs w:val="24"/>
        </w:rPr>
        <w:t xml:space="preserve">Moreover, since these new responsibilities are not necessarily granted nationally to NRAs, </w:t>
      </w:r>
      <w:r w:rsidRPr="003D1E8E">
        <w:rPr>
          <w:rFonts w:ascii="Times New Roman" w:hAnsi="Times New Roman" w:cs="Times New Roman"/>
          <w:noProof/>
          <w:sz w:val="24"/>
          <w:szCs w:val="24"/>
        </w:rPr>
        <w:t>BEREC cannot always rely on the experience of all of its members when implementing (new) tasks entrusted to it or, acting on its own initiative</w:t>
      </w:r>
      <w:r>
        <w:rPr>
          <w:rFonts w:ascii="Times New Roman" w:hAnsi="Times New Roman" w:cs="Times New Roman"/>
          <w:noProof/>
          <w:sz w:val="24"/>
          <w:szCs w:val="24"/>
        </w:rPr>
        <w:t xml:space="preserve"> in cases where the new tasks were not entrusted to BEREC and its members</w:t>
      </w:r>
      <w:r w:rsidRPr="003D1E8E">
        <w:rPr>
          <w:rFonts w:ascii="Times New Roman" w:hAnsi="Times New Roman" w:cs="Times New Roman"/>
          <w:noProof/>
          <w:sz w:val="24"/>
          <w:szCs w:val="24"/>
        </w:rPr>
        <w:t xml:space="preserve">, </w:t>
      </w:r>
      <w:r>
        <w:rPr>
          <w:rFonts w:ascii="Times New Roman" w:hAnsi="Times New Roman" w:cs="Times New Roman"/>
          <w:noProof/>
          <w:sz w:val="24"/>
          <w:szCs w:val="24"/>
        </w:rPr>
        <w:t xml:space="preserve">through </w:t>
      </w:r>
      <w:r w:rsidRPr="003D1E8E">
        <w:rPr>
          <w:rFonts w:ascii="Times New Roman" w:hAnsi="Times New Roman" w:cs="Times New Roman"/>
          <w:noProof/>
          <w:sz w:val="24"/>
          <w:szCs w:val="24"/>
        </w:rPr>
        <w:t>providing advice or input on these new aspects</w:t>
      </w:r>
      <w:r>
        <w:rPr>
          <w:rFonts w:ascii="Times New Roman" w:hAnsi="Times New Roman" w:cs="Times New Roman"/>
          <w:noProof/>
          <w:sz w:val="24"/>
          <w:szCs w:val="24"/>
        </w:rPr>
        <w:t>.</w:t>
      </w:r>
      <w:r>
        <w:rPr>
          <w:rStyle w:val="FootnoteReference"/>
          <w:rFonts w:ascii="Times New Roman" w:hAnsi="Times New Roman" w:cs="Times New Roman"/>
          <w:noProof/>
          <w:szCs w:val="24"/>
        </w:rPr>
        <w:footnoteReference w:id="16"/>
      </w:r>
      <w:r w:rsidRPr="003D1E8E">
        <w:rPr>
          <w:rFonts w:ascii="Times New Roman" w:hAnsi="Times New Roman" w:cs="Times New Roman"/>
          <w:noProof/>
          <w:sz w:val="24"/>
          <w:szCs w:val="24"/>
        </w:rPr>
        <w:t xml:space="preserve"> </w:t>
      </w:r>
      <w:r>
        <w:rPr>
          <w:rFonts w:ascii="Times New Roman" w:hAnsi="Times New Roman" w:cs="Times New Roman"/>
          <w:noProof/>
          <w:sz w:val="24"/>
          <w:szCs w:val="24"/>
        </w:rPr>
        <w:t>Therefore, b</w:t>
      </w:r>
      <w:r w:rsidRPr="0D2B9B9B">
        <w:rPr>
          <w:rFonts w:ascii="Times New Roman" w:hAnsi="Times New Roman" w:cs="Times New Roman"/>
          <w:noProof/>
          <w:sz w:val="24"/>
          <w:szCs w:val="24"/>
        </w:rPr>
        <w:t>etter cooperation with competent authorities other than the NRAs in the field of electronic communications</w:t>
      </w:r>
      <w:r>
        <w:rPr>
          <w:rFonts w:ascii="Times New Roman" w:hAnsi="Times New Roman" w:cs="Times New Roman"/>
          <w:noProof/>
          <w:sz w:val="24"/>
          <w:szCs w:val="24"/>
        </w:rPr>
        <w:t>, as well as upskilling of the NRAs, are</w:t>
      </w:r>
      <w:r w:rsidRPr="0D2B9B9B">
        <w:rPr>
          <w:rFonts w:ascii="Times New Roman" w:hAnsi="Times New Roman" w:cs="Times New Roman"/>
          <w:noProof/>
          <w:sz w:val="24"/>
          <w:szCs w:val="24"/>
        </w:rPr>
        <w:t xml:space="preserve"> becoming even more important as digital regulation is extending beyond the traditional telecommunications sector. </w:t>
      </w:r>
    </w:p>
    <w:p w14:paraId="52E6B4BB" w14:textId="3F371EEC"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Moreover, as also recognised by BEREC</w:t>
      </w:r>
      <w:r>
        <w:rPr>
          <w:rStyle w:val="FootnoteReference"/>
          <w:rFonts w:ascii="Times New Roman" w:hAnsi="Times New Roman" w:cs="Times New Roman"/>
          <w:noProof/>
          <w:szCs w:val="24"/>
        </w:rPr>
        <w:footnoteReference w:id="17"/>
      </w:r>
      <w:r>
        <w:rPr>
          <w:rFonts w:ascii="Times New Roman" w:hAnsi="Times New Roman" w:cs="Times New Roman"/>
          <w:noProof/>
          <w:sz w:val="24"/>
          <w:szCs w:val="24"/>
        </w:rPr>
        <w:t xml:space="preserve"> and as</w:t>
      </w:r>
      <w:r w:rsidRPr="1169F798">
        <w:rPr>
          <w:rFonts w:ascii="Times New Roman" w:hAnsi="Times New Roman" w:cs="Times New Roman"/>
          <w:noProof/>
          <w:sz w:val="24"/>
          <w:szCs w:val="24"/>
        </w:rPr>
        <w:t xml:space="preserve"> indicated in the Commission</w:t>
      </w:r>
      <w:r>
        <w:rPr>
          <w:rFonts w:ascii="Times New Roman" w:hAnsi="Times New Roman" w:cs="Times New Roman"/>
          <w:noProof/>
          <w:sz w:val="24"/>
          <w:szCs w:val="24"/>
        </w:rPr>
        <w:t>’s</w:t>
      </w:r>
      <w:r w:rsidRPr="1169F798">
        <w:rPr>
          <w:rFonts w:ascii="Times New Roman" w:hAnsi="Times New Roman" w:cs="Times New Roman"/>
          <w:noProof/>
          <w:sz w:val="24"/>
          <w:szCs w:val="24"/>
        </w:rPr>
        <w:t xml:space="preserve"> White Paper ‘</w:t>
      </w:r>
      <w:r w:rsidRPr="1169F798">
        <w:rPr>
          <w:rFonts w:ascii="Times New Roman" w:eastAsia="Times New Roman" w:hAnsi="Times New Roman" w:cs="Times New Roman"/>
          <w:noProof/>
          <w:sz w:val="24"/>
          <w:szCs w:val="24"/>
        </w:rPr>
        <w:t>How to master Europe</w:t>
      </w:r>
      <w:r>
        <w:rPr>
          <w:rFonts w:ascii="Times New Roman" w:eastAsia="Times New Roman" w:hAnsi="Times New Roman" w:cs="Times New Roman"/>
          <w:noProof/>
          <w:sz w:val="24"/>
          <w:szCs w:val="24"/>
        </w:rPr>
        <w:t>’</w:t>
      </w:r>
      <w:r w:rsidRPr="1169F798">
        <w:rPr>
          <w:rFonts w:ascii="Times New Roman" w:eastAsia="Times New Roman" w:hAnsi="Times New Roman" w:cs="Times New Roman"/>
          <w:noProof/>
          <w:sz w:val="24"/>
          <w:szCs w:val="24"/>
        </w:rPr>
        <w:t>s digital infrastructure needs?’</w:t>
      </w:r>
      <w:r w:rsidR="00B63541">
        <w:rPr>
          <w:rFonts w:ascii="Times New Roman" w:eastAsia="Times New Roman" w:hAnsi="Times New Roman" w:cs="Times New Roman"/>
          <w:noProof/>
          <w:sz w:val="24"/>
          <w:szCs w:val="24"/>
        </w:rPr>
        <w:t>,</w:t>
      </w:r>
      <w:r>
        <w:rPr>
          <w:noProof/>
        </w:rPr>
        <w:t xml:space="preserve"> </w:t>
      </w:r>
      <w:r>
        <w:rPr>
          <w:rFonts w:ascii="Times New Roman" w:hAnsi="Times New Roman" w:cs="Times New Roman"/>
          <w:noProof/>
          <w:sz w:val="24"/>
          <w:szCs w:val="24"/>
        </w:rPr>
        <w:t>a</w:t>
      </w:r>
      <w:r w:rsidRPr="1169F798">
        <w:rPr>
          <w:rFonts w:ascii="Times New Roman" w:hAnsi="Times New Roman" w:cs="Times New Roman"/>
          <w:noProof/>
          <w:sz w:val="24"/>
          <w:szCs w:val="24"/>
        </w:rPr>
        <w:t xml:space="preserve"> virtualisation </w:t>
      </w:r>
      <w:r>
        <w:rPr>
          <w:rFonts w:ascii="Times New Roman" w:hAnsi="Times New Roman" w:cs="Times New Roman"/>
          <w:noProof/>
          <w:sz w:val="24"/>
          <w:szCs w:val="24"/>
        </w:rPr>
        <w:t xml:space="preserve">and softwarisation </w:t>
      </w:r>
      <w:r w:rsidRPr="1169F798">
        <w:rPr>
          <w:rFonts w:ascii="Times New Roman" w:hAnsi="Times New Roman" w:cs="Times New Roman"/>
          <w:noProof/>
          <w:sz w:val="24"/>
          <w:szCs w:val="24"/>
        </w:rPr>
        <w:t xml:space="preserve">of electronic communications networks </w:t>
      </w:r>
      <w:r>
        <w:rPr>
          <w:rFonts w:ascii="Times New Roman" w:hAnsi="Times New Roman" w:cs="Times New Roman"/>
          <w:noProof/>
          <w:sz w:val="24"/>
          <w:szCs w:val="24"/>
        </w:rPr>
        <w:t xml:space="preserve">is ongoing, as well as </w:t>
      </w:r>
      <w:r w:rsidRPr="1169F798">
        <w:rPr>
          <w:rFonts w:ascii="Times New Roman" w:hAnsi="Times New Roman" w:cs="Times New Roman"/>
          <w:noProof/>
          <w:sz w:val="24"/>
          <w:szCs w:val="24"/>
        </w:rPr>
        <w:t xml:space="preserve">a shifting of </w:t>
      </w:r>
      <w:r>
        <w:rPr>
          <w:rFonts w:ascii="Times New Roman" w:hAnsi="Times New Roman" w:cs="Times New Roman"/>
          <w:noProof/>
          <w:sz w:val="24"/>
          <w:szCs w:val="24"/>
        </w:rPr>
        <w:t>network</w:t>
      </w:r>
      <w:r w:rsidRPr="1169F798">
        <w:rPr>
          <w:rFonts w:ascii="Times New Roman" w:hAnsi="Times New Roman" w:cs="Times New Roman"/>
          <w:noProof/>
          <w:sz w:val="24"/>
          <w:szCs w:val="24"/>
        </w:rPr>
        <w:t xml:space="preserve"> functions to the cloud or the edge</w:t>
      </w:r>
      <w:r w:rsidRPr="61654870">
        <w:rPr>
          <w:rStyle w:val="FootnoteReference"/>
          <w:rFonts w:ascii="Times New Roman" w:hAnsi="Times New Roman" w:cs="Times New Roman"/>
          <w:noProof/>
        </w:rPr>
        <w:footnoteReference w:id="18"/>
      </w:r>
      <w:r w:rsidRPr="1169F798">
        <w:rPr>
          <w:rFonts w:ascii="Times New Roman" w:hAnsi="Times New Roman" w:cs="Times New Roman"/>
          <w:noProof/>
          <w:sz w:val="24"/>
          <w:szCs w:val="24"/>
        </w:rPr>
        <w:t>. The convergence of electronic communications networks and services and cloud infrastructures does not only concern the infrastructure layer, but also the service operations.</w:t>
      </w:r>
      <w:r>
        <w:rPr>
          <w:rFonts w:ascii="Times New Roman" w:hAnsi="Times New Roman" w:cs="Times New Roman"/>
          <w:noProof/>
          <w:sz w:val="24"/>
          <w:szCs w:val="24"/>
        </w:rPr>
        <w:t xml:space="preserve"> Furthermore, in the last years AI-based applications have profoundly changed the way of life and affected all economic sectors.</w:t>
      </w:r>
      <w:r w:rsidRPr="1169F798">
        <w:rPr>
          <w:rFonts w:ascii="Times New Roman" w:hAnsi="Times New Roman" w:cs="Times New Roman"/>
          <w:noProof/>
          <w:sz w:val="24"/>
          <w:szCs w:val="24"/>
        </w:rPr>
        <w:t xml:space="preserve"> It is important for BEREC to be able to respond to the convergence of the traditional telecoms market and the wider digital ecosystem to fulfil its role, including the increasingly supranational scope of connectivity markets. </w:t>
      </w:r>
      <w:r w:rsidR="00066693">
        <w:rPr>
          <w:rFonts w:ascii="Times New Roman" w:hAnsi="Times New Roman" w:cs="Times New Roman"/>
          <w:noProof/>
          <w:sz w:val="24"/>
          <w:szCs w:val="24"/>
        </w:rPr>
        <w:t>Moreover</w:t>
      </w:r>
      <w:r w:rsidR="00355883">
        <w:rPr>
          <w:rFonts w:ascii="Times New Roman" w:hAnsi="Times New Roman" w:cs="Times New Roman"/>
          <w:noProof/>
          <w:sz w:val="24"/>
          <w:szCs w:val="24"/>
        </w:rPr>
        <w:t>,</w:t>
      </w:r>
      <w:r w:rsidR="00066693" w:rsidRPr="00BD7B6B">
        <w:rPr>
          <w:rFonts w:ascii="Times New Roman" w:hAnsi="Times New Roman" w:cs="Times New Roman"/>
          <w:noProof/>
          <w:sz w:val="24"/>
          <w:szCs w:val="24"/>
        </w:rPr>
        <w:t xml:space="preserve"> </w:t>
      </w:r>
      <w:r w:rsidRPr="00BD7B6B">
        <w:rPr>
          <w:rFonts w:ascii="Times New Roman" w:hAnsi="Times New Roman" w:cs="Times New Roman"/>
          <w:noProof/>
          <w:sz w:val="24"/>
          <w:szCs w:val="24"/>
        </w:rPr>
        <w:t>the European dimensio</w:t>
      </w:r>
      <w:r>
        <w:rPr>
          <w:rFonts w:ascii="Times New Roman" w:hAnsi="Times New Roman" w:cs="Times New Roman"/>
          <w:noProof/>
          <w:sz w:val="24"/>
          <w:szCs w:val="24"/>
        </w:rPr>
        <w:t xml:space="preserve">n of the sector </w:t>
      </w:r>
      <w:r w:rsidR="00EE7F32">
        <w:rPr>
          <w:rFonts w:ascii="Times New Roman" w:hAnsi="Times New Roman" w:cs="Times New Roman"/>
          <w:noProof/>
          <w:sz w:val="24"/>
          <w:szCs w:val="24"/>
        </w:rPr>
        <w:t xml:space="preserve">is </w:t>
      </w:r>
      <w:r>
        <w:rPr>
          <w:rFonts w:ascii="Times New Roman" w:hAnsi="Times New Roman" w:cs="Times New Roman"/>
          <w:noProof/>
          <w:sz w:val="24"/>
          <w:szCs w:val="24"/>
        </w:rPr>
        <w:t>further develop</w:t>
      </w:r>
      <w:r w:rsidR="00EE7F32">
        <w:rPr>
          <w:rFonts w:ascii="Times New Roman" w:hAnsi="Times New Roman" w:cs="Times New Roman"/>
          <w:noProof/>
          <w:sz w:val="24"/>
          <w:szCs w:val="24"/>
        </w:rPr>
        <w:t>ing</w:t>
      </w:r>
      <w:r>
        <w:rPr>
          <w:rFonts w:ascii="Times New Roman" w:hAnsi="Times New Roman" w:cs="Times New Roman"/>
          <w:noProof/>
          <w:sz w:val="24"/>
          <w:szCs w:val="24"/>
        </w:rPr>
        <w:t xml:space="preserve">, and with it, </w:t>
      </w:r>
      <w:r w:rsidR="009B622B">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scope and objectives of </w:t>
      </w:r>
      <w:r w:rsidR="00464B6F">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regulatory framework, including </w:t>
      </w:r>
      <w:r w:rsidR="00355883">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regulatory issues such as authorisation, ensuring </w:t>
      </w:r>
      <w:r w:rsidR="0055106A">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better functioning of </w:t>
      </w:r>
      <w:r w:rsidR="00464B6F">
        <w:rPr>
          <w:rFonts w:ascii="Times New Roman" w:hAnsi="Times New Roman" w:cs="Times New Roman"/>
          <w:noProof/>
          <w:sz w:val="24"/>
          <w:szCs w:val="24"/>
        </w:rPr>
        <w:t xml:space="preserve">a </w:t>
      </w:r>
      <w:r>
        <w:rPr>
          <w:rFonts w:ascii="Times New Roman" w:hAnsi="Times New Roman" w:cs="Times New Roman"/>
          <w:noProof/>
          <w:sz w:val="24"/>
          <w:szCs w:val="24"/>
        </w:rPr>
        <w:t>broader connectivity ecosystem and</w:t>
      </w:r>
      <w:r w:rsidR="0055106A">
        <w:rPr>
          <w:rFonts w:ascii="Times New Roman" w:hAnsi="Times New Roman" w:cs="Times New Roman"/>
          <w:noProof/>
          <w:sz w:val="24"/>
          <w:szCs w:val="24"/>
        </w:rPr>
        <w:t xml:space="preserve"> -</w:t>
      </w:r>
      <w:r>
        <w:rPr>
          <w:rFonts w:ascii="Times New Roman" w:hAnsi="Times New Roman" w:cs="Times New Roman"/>
          <w:noProof/>
          <w:sz w:val="24"/>
          <w:szCs w:val="24"/>
        </w:rPr>
        <w:t xml:space="preserve"> very importantly</w:t>
      </w:r>
      <w:r w:rsidR="0055106A">
        <w:rPr>
          <w:rFonts w:ascii="Times New Roman" w:hAnsi="Times New Roman" w:cs="Times New Roman"/>
          <w:noProof/>
          <w:sz w:val="24"/>
          <w:szCs w:val="24"/>
        </w:rPr>
        <w:t xml:space="preserve"> -</w:t>
      </w:r>
      <w:r>
        <w:rPr>
          <w:rFonts w:ascii="Times New Roman" w:hAnsi="Times New Roman" w:cs="Times New Roman"/>
          <w:noProof/>
          <w:sz w:val="24"/>
          <w:szCs w:val="24"/>
        </w:rPr>
        <w:t xml:space="preserve"> resilience and sustainability</w:t>
      </w:r>
      <w:r w:rsidR="0055106A">
        <w:rPr>
          <w:rFonts w:ascii="Times New Roman" w:hAnsi="Times New Roman" w:cs="Times New Roman"/>
          <w:noProof/>
          <w:sz w:val="24"/>
          <w:szCs w:val="24"/>
        </w:rPr>
        <w:t xml:space="preserve">. A </w:t>
      </w:r>
      <w:r w:rsidRPr="61654870">
        <w:rPr>
          <w:rFonts w:ascii="Times New Roman" w:hAnsi="Times New Roman" w:cs="Times New Roman"/>
          <w:noProof/>
          <w:sz w:val="24"/>
          <w:szCs w:val="24"/>
        </w:rPr>
        <w:t>more</w:t>
      </w:r>
      <w:r>
        <w:rPr>
          <w:rFonts w:ascii="Times New Roman" w:hAnsi="Times New Roman" w:cs="Times New Roman"/>
          <w:noProof/>
          <w:sz w:val="24"/>
          <w:szCs w:val="24"/>
        </w:rPr>
        <w:t xml:space="preserve"> EU-focused governance setup should also be considered. </w:t>
      </w:r>
    </w:p>
    <w:p w14:paraId="77B04F29" w14:textId="40AA0C58" w:rsidR="00F9480C" w:rsidRDefault="00F9480C" w:rsidP="00F9480C">
      <w:pPr>
        <w:pStyle w:val="Text1"/>
        <w:ind w:left="0"/>
        <w:rPr>
          <w:noProof/>
        </w:rPr>
      </w:pPr>
      <w:r>
        <w:rPr>
          <w:noProof/>
        </w:rPr>
        <w:t xml:space="preserve">When it comes to </w:t>
      </w:r>
      <w:r w:rsidRPr="0D2B9B9B">
        <w:rPr>
          <w:b/>
          <w:bCs/>
          <w:noProof/>
        </w:rPr>
        <w:t>the BEREC Office</w:t>
      </w:r>
      <w:r w:rsidRPr="008F41DA">
        <w:rPr>
          <w:noProof/>
        </w:rPr>
        <w:t>,</w:t>
      </w:r>
      <w:r w:rsidRPr="0D2B9B9B">
        <w:rPr>
          <w:noProof/>
        </w:rPr>
        <w:t xml:space="preserve"> </w:t>
      </w:r>
      <w:r>
        <w:rPr>
          <w:noProof/>
        </w:rPr>
        <w:t>g</w:t>
      </w:r>
      <w:r w:rsidRPr="0D2B9B9B">
        <w:rPr>
          <w:noProof/>
        </w:rPr>
        <w:t>enerally speaking,</w:t>
      </w:r>
      <w:r>
        <w:rPr>
          <w:noProof/>
        </w:rPr>
        <w:t xml:space="preserve"> it</w:t>
      </w:r>
      <w:r w:rsidRPr="0D2B9B9B">
        <w:rPr>
          <w:noProof/>
        </w:rPr>
        <w:t xml:space="preserve"> has been successfully providing support to BEREC, even during periods of increased workload or when having to adapt to significant global events, such as the Russia war of aggression on Ukraine. Nevertheless, the Commission shares the view of many NRAs that the BEREC Office should</w:t>
      </w:r>
      <w:r>
        <w:rPr>
          <w:noProof/>
        </w:rPr>
        <w:t xml:space="preserve"> not only provide administrative support but also</w:t>
      </w:r>
      <w:r w:rsidRPr="0D2B9B9B">
        <w:rPr>
          <w:noProof/>
        </w:rPr>
        <w:t xml:space="preserve"> additional professional support and, in particular, </w:t>
      </w:r>
      <w:r>
        <w:rPr>
          <w:noProof/>
        </w:rPr>
        <w:t xml:space="preserve">play </w:t>
      </w:r>
      <w:r w:rsidRPr="0D2B9B9B">
        <w:rPr>
          <w:noProof/>
        </w:rPr>
        <w:t>a more central role in data collection and analysis. This could be an important development in the BEREC Office’s role, as demand for data analytics, and better understanding of technological trends and their determinants are essential for BEREC to fulfil its role, now and in the foreseeable future.</w:t>
      </w:r>
      <w:r>
        <w:rPr>
          <w:noProof/>
        </w:rPr>
        <w:t xml:space="preserve"> Strengthening the BEREC Office so that it can support BEREC also on substance will allow BEREC deliverables to take</w:t>
      </w:r>
      <w:r w:rsidR="00717441">
        <w:rPr>
          <w:noProof/>
        </w:rPr>
        <w:t xml:space="preserve"> an</w:t>
      </w:r>
      <w:r>
        <w:rPr>
          <w:noProof/>
        </w:rPr>
        <w:t xml:space="preserve"> EU perspective</w:t>
      </w:r>
      <w:r w:rsidR="00717441" w:rsidRPr="00717441">
        <w:rPr>
          <w:noProof/>
        </w:rPr>
        <w:t xml:space="preserve"> </w:t>
      </w:r>
      <w:r w:rsidR="00717441">
        <w:rPr>
          <w:noProof/>
        </w:rPr>
        <w:t>more into account</w:t>
      </w:r>
      <w:r>
        <w:rPr>
          <w:noProof/>
        </w:rPr>
        <w:t xml:space="preserve"> and</w:t>
      </w:r>
      <w:r w:rsidR="0055106A">
        <w:rPr>
          <w:noProof/>
        </w:rPr>
        <w:t xml:space="preserve"> to</w:t>
      </w:r>
      <w:r>
        <w:rPr>
          <w:noProof/>
        </w:rPr>
        <w:t xml:space="preserve"> better align with EU-level policies. </w:t>
      </w:r>
    </w:p>
    <w:p w14:paraId="41D9C0F2"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F9480C">
        <w:rPr>
          <w:rFonts w:ascii="Times New Roman" w:eastAsia="Times New Roman" w:hAnsi="Times New Roman" w:cs="Times New Roman"/>
          <w:b/>
          <w:noProof/>
          <w:color w:val="auto"/>
          <w:sz w:val="24"/>
          <w:szCs w:val="24"/>
        </w:rPr>
        <w:t>Efficiency</w:t>
      </w:r>
    </w:p>
    <w:p w14:paraId="59CBD0DD" w14:textId="10621654"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b/>
          <w:bCs/>
          <w:noProof/>
          <w:sz w:val="24"/>
          <w:szCs w:val="24"/>
        </w:rPr>
        <w:t>BEREC</w:t>
      </w:r>
      <w:r w:rsidRPr="0D2B9B9B">
        <w:rPr>
          <w:rFonts w:ascii="Times New Roman" w:hAnsi="Times New Roman" w:cs="Times New Roman"/>
          <w:noProof/>
          <w:sz w:val="24"/>
          <w:szCs w:val="24"/>
        </w:rPr>
        <w:t xml:space="preserve"> is generally considered</w:t>
      </w:r>
      <w:r w:rsidR="00D36378">
        <w:rPr>
          <w:rFonts w:ascii="Times New Roman" w:hAnsi="Times New Roman" w:cs="Times New Roman"/>
          <w:noProof/>
          <w:sz w:val="24"/>
          <w:szCs w:val="24"/>
        </w:rPr>
        <w:t xml:space="preserve"> by the stakeholders</w:t>
      </w:r>
      <w:r w:rsidRPr="0D2B9B9B">
        <w:rPr>
          <w:rFonts w:ascii="Times New Roman" w:hAnsi="Times New Roman" w:cs="Times New Roman"/>
          <w:noProof/>
          <w:sz w:val="24"/>
          <w:szCs w:val="24"/>
        </w:rPr>
        <w:t xml:space="preserve"> as an organisation with a clear and straightforward setup, governance and procedures, yet relatively flexible.</w:t>
      </w:r>
      <w:r w:rsidR="00D36378">
        <w:rPr>
          <w:rStyle w:val="FootnoteReference"/>
          <w:rFonts w:ascii="Times New Roman" w:hAnsi="Times New Roman" w:cs="Times New Roman"/>
          <w:noProof/>
          <w:szCs w:val="24"/>
        </w:rPr>
        <w:footnoteReference w:id="19"/>
      </w:r>
      <w:r w:rsidRPr="0D2B9B9B">
        <w:rPr>
          <w:rFonts w:ascii="Times New Roman" w:hAnsi="Times New Roman" w:cs="Times New Roman"/>
          <w:noProof/>
          <w:sz w:val="24"/>
          <w:szCs w:val="24"/>
        </w:rPr>
        <w:t xml:space="preserve"> Nevertheless, the frequent reliance on the bigger NRAs for leading BEREC working groups, the mentioned asymmetry in the NRAs’ competences or their related limited knowledge in specific areas might challenge the representativeness of specific BEREC outputs. While the current mandate of the BEREC Office might not provide much margin of manoeuvre, requesting more content-related support from the BEREC Office could improve the situation.</w:t>
      </w:r>
    </w:p>
    <w:p w14:paraId="7B189D07" w14:textId="77777777"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eastAsia="Times New Roman" w:hAnsi="Times New Roman" w:cs="Times New Roman"/>
          <w:noProof/>
          <w:sz w:val="24"/>
          <w:szCs w:val="24"/>
        </w:rPr>
        <w:t>Moreover, the</w:t>
      </w:r>
      <w:r w:rsidRPr="0D2B9B9B">
        <w:rPr>
          <w:rFonts w:ascii="Times New Roman" w:hAnsi="Times New Roman" w:cs="Times New Roman"/>
          <w:noProof/>
          <w:sz w:val="24"/>
          <w:szCs w:val="24"/>
        </w:rPr>
        <w:t xml:space="preserve"> number of BEREC Working Groups and the delineation of their tasks should be assessed to ensure that developments in the sector are addressed while avoiding possible overlaps or inconsistencies. </w:t>
      </w:r>
      <w:r w:rsidRPr="61654870">
        <w:rPr>
          <w:rFonts w:ascii="Times New Roman" w:hAnsi="Times New Roman" w:cs="Times New Roman"/>
          <w:noProof/>
          <w:sz w:val="24"/>
          <w:szCs w:val="24"/>
        </w:rPr>
        <w:t>Finally, as also raised by NRAs/BEREC</w:t>
      </w:r>
      <w:r w:rsidRPr="0D2B9B9B">
        <w:rPr>
          <w:rFonts w:ascii="Times New Roman" w:hAnsi="Times New Roman" w:cs="Times New Roman"/>
          <w:noProof/>
          <w:sz w:val="24"/>
          <w:szCs w:val="24"/>
        </w:rPr>
        <w:t>, better coordination and planning with the EU institutions could enable more effective task delivery regarding ad hoc work requested from BEREC.</w:t>
      </w:r>
    </w:p>
    <w:p w14:paraId="7A4D0136" w14:textId="1317A1BD"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 xml:space="preserve">Being among the smallest EU agencies, </w:t>
      </w:r>
      <w:r w:rsidRPr="0D2B9B9B">
        <w:rPr>
          <w:rFonts w:ascii="Times New Roman" w:hAnsi="Times New Roman" w:cs="Times New Roman"/>
          <w:b/>
          <w:bCs/>
          <w:noProof/>
          <w:sz w:val="24"/>
          <w:szCs w:val="24"/>
        </w:rPr>
        <w:t>the BEREC Office</w:t>
      </w:r>
      <w:r w:rsidRPr="0D2B9B9B">
        <w:rPr>
          <w:rFonts w:ascii="Times New Roman" w:hAnsi="Times New Roman" w:cs="Times New Roman"/>
          <w:noProof/>
          <w:sz w:val="24"/>
          <w:szCs w:val="24"/>
        </w:rPr>
        <w:t xml:space="preserve"> strives to provide support to BEREC as efficiently as possible within its budgetary constraints. The BEREC Office – and </w:t>
      </w:r>
      <w:r w:rsidR="00D36378">
        <w:rPr>
          <w:rFonts w:ascii="Times New Roman" w:hAnsi="Times New Roman" w:cs="Times New Roman"/>
          <w:noProof/>
          <w:sz w:val="24"/>
          <w:szCs w:val="24"/>
        </w:rPr>
        <w:t xml:space="preserve">this finding also applies to </w:t>
      </w:r>
      <w:r w:rsidRPr="0D2B9B9B">
        <w:rPr>
          <w:rFonts w:ascii="Times New Roman" w:hAnsi="Times New Roman" w:cs="Times New Roman"/>
          <w:noProof/>
          <w:sz w:val="24"/>
          <w:szCs w:val="24"/>
        </w:rPr>
        <w:t xml:space="preserve">its Management Board – is, however, regularly </w:t>
      </w:r>
      <w:r w:rsidR="00C02EA9" w:rsidRPr="00C02EA9">
        <w:rPr>
          <w:rFonts w:ascii="Times New Roman" w:hAnsi="Times New Roman" w:cs="Times New Roman"/>
          <w:noProof/>
          <w:sz w:val="24"/>
          <w:szCs w:val="24"/>
        </w:rPr>
        <w:t>exceeds the maximum FTEs as approved by the budgetary authority</w:t>
      </w:r>
      <w:r w:rsidRPr="0D2B9B9B">
        <w:rPr>
          <w:rFonts w:ascii="Times New Roman" w:hAnsi="Times New Roman" w:cs="Times New Roman"/>
          <w:noProof/>
          <w:sz w:val="24"/>
          <w:szCs w:val="24"/>
        </w:rPr>
        <w:t xml:space="preserve">. At the same time, there is currently a relatively high rate of staff turnover at the BEREC Office, mostly visible for external staff dealing with administrative tasks. This turnover leads to continuity issues, including retaining knowledge. </w:t>
      </w:r>
    </w:p>
    <w:p w14:paraId="77347591" w14:textId="20FF4818"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The BEREC Office should address these issues in order to be more efficient. This could be done through reorganisation of functions inside the Agency, as well as closer collaboration with Commission services or other decentralised agencies. As a matter of fact, providing more content-related support</w:t>
      </w:r>
      <w:r w:rsidR="00C02EA9">
        <w:rPr>
          <w:rFonts w:ascii="Times New Roman" w:hAnsi="Times New Roman" w:cs="Times New Roman"/>
          <w:noProof/>
          <w:sz w:val="24"/>
          <w:szCs w:val="24"/>
        </w:rPr>
        <w:t>,</w:t>
      </w:r>
      <w:r w:rsidRPr="0D2B9B9B">
        <w:rPr>
          <w:rFonts w:ascii="Times New Roman" w:hAnsi="Times New Roman" w:cs="Times New Roman"/>
          <w:noProof/>
          <w:sz w:val="24"/>
          <w:szCs w:val="24"/>
        </w:rPr>
        <w:t xml:space="preserve"> e.g. on data analysis and report drafting, could make the overall </w:t>
      </w:r>
      <w:r w:rsidRPr="0D2B9B9B">
        <w:rPr>
          <w:rFonts w:ascii="Times New Roman" w:eastAsia="Times New Roman" w:hAnsi="Times New Roman" w:cs="Times New Roman"/>
          <w:noProof/>
          <w:sz w:val="24"/>
          <w:szCs w:val="24"/>
        </w:rPr>
        <w:t xml:space="preserve">balance between operational and administrative support </w:t>
      </w:r>
      <w:r w:rsidR="00C02EA9">
        <w:rPr>
          <w:rFonts w:ascii="Times New Roman" w:eastAsia="Times New Roman" w:hAnsi="Times New Roman" w:cs="Times New Roman"/>
          <w:noProof/>
          <w:sz w:val="24"/>
          <w:szCs w:val="24"/>
        </w:rPr>
        <w:t>tasks</w:t>
      </w:r>
      <w:r w:rsidR="00C02EA9" w:rsidRPr="0D2B9B9B">
        <w:rPr>
          <w:rFonts w:ascii="Times New Roman" w:eastAsia="Times New Roman" w:hAnsi="Times New Roman" w:cs="Times New Roman"/>
          <w:noProof/>
          <w:sz w:val="24"/>
          <w:szCs w:val="24"/>
        </w:rPr>
        <w:t xml:space="preserve"> </w:t>
      </w:r>
      <w:r w:rsidRPr="0D2B9B9B">
        <w:rPr>
          <w:rFonts w:ascii="Times New Roman" w:eastAsia="Times New Roman" w:hAnsi="Times New Roman" w:cs="Times New Roman"/>
          <w:noProof/>
          <w:sz w:val="24"/>
          <w:szCs w:val="24"/>
        </w:rPr>
        <w:t>more appropriate. This could make the BEREC Office a more attractive employer. Furthermore, the BEREC Office’</w:t>
      </w:r>
      <w:r w:rsidR="005C3501">
        <w:rPr>
          <w:rFonts w:ascii="Times New Roman" w:eastAsia="Times New Roman" w:hAnsi="Times New Roman" w:cs="Times New Roman"/>
          <w:noProof/>
          <w:sz w:val="24"/>
          <w:szCs w:val="24"/>
        </w:rPr>
        <w:t>s</w:t>
      </w:r>
      <w:r w:rsidRPr="0D2B9B9B">
        <w:rPr>
          <w:rFonts w:ascii="Times New Roman" w:eastAsia="Times New Roman" w:hAnsi="Times New Roman" w:cs="Times New Roman"/>
          <w:noProof/>
          <w:sz w:val="24"/>
          <w:szCs w:val="24"/>
        </w:rPr>
        <w:t xml:space="preserve"> IT tools could be further improved to make them more straightforward to use</w:t>
      </w:r>
      <w:r>
        <w:rPr>
          <w:rFonts w:ascii="Times New Roman" w:eastAsia="Times New Roman" w:hAnsi="Times New Roman" w:cs="Times New Roman"/>
          <w:noProof/>
          <w:sz w:val="24"/>
          <w:szCs w:val="24"/>
        </w:rPr>
        <w:t>, and secure in view of persistent cybersecurity threats (both to the BEREC Office itself, in view of its location, as well as a compromise vector towards EU telecoms operators).</w:t>
      </w:r>
      <w:r w:rsidRPr="0D2B9B9B">
        <w:rPr>
          <w:rFonts w:ascii="Times New Roman" w:eastAsia="Times New Roman" w:hAnsi="Times New Roman" w:cs="Times New Roman"/>
          <w:noProof/>
          <w:sz w:val="24"/>
          <w:szCs w:val="24"/>
        </w:rPr>
        <w:t xml:space="preserve"> </w:t>
      </w:r>
      <w:r w:rsidRPr="0D2B9B9B">
        <w:rPr>
          <w:rFonts w:ascii="Times New Roman" w:hAnsi="Times New Roman" w:cs="Times New Roman"/>
          <w:noProof/>
          <w:sz w:val="24"/>
          <w:szCs w:val="24"/>
        </w:rPr>
        <w:t>In any event, it will be important that the BEREC Management Board addresses human and financial resources issues in accordance with the overall framework for European agencies and uses the resources efficiently.</w:t>
      </w:r>
    </w:p>
    <w:p w14:paraId="328F2CBE" w14:textId="369E4D83"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F9480C">
        <w:rPr>
          <w:rFonts w:ascii="Times New Roman" w:eastAsia="Times New Roman" w:hAnsi="Times New Roman" w:cs="Times New Roman"/>
          <w:b/>
          <w:noProof/>
          <w:color w:val="auto"/>
          <w:sz w:val="24"/>
          <w:szCs w:val="24"/>
        </w:rPr>
        <w:t>Coherence</w:t>
      </w:r>
    </w:p>
    <w:p w14:paraId="39B4529C" w14:textId="77777777"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 xml:space="preserve">More coordination and exchange of information at EU and/or national level, between the NRAs and other competent authorities, or the direct involvement of other competent authorities in BEREC’s work for which NRAs are not all in charge at the national level, would also foster the coherence of certain BEREC outputs. In the Commission’s view, BEREC should in any event adapt its outputs </w:t>
      </w:r>
      <w:r>
        <w:rPr>
          <w:rFonts w:ascii="Times New Roman" w:hAnsi="Times New Roman" w:cs="Times New Roman"/>
          <w:noProof/>
          <w:sz w:val="24"/>
          <w:szCs w:val="24"/>
        </w:rPr>
        <w:t xml:space="preserve">and expertise </w:t>
      </w:r>
      <w:r w:rsidRPr="0D2B9B9B">
        <w:rPr>
          <w:rFonts w:ascii="Times New Roman" w:hAnsi="Times New Roman" w:cs="Times New Roman"/>
          <w:noProof/>
          <w:sz w:val="24"/>
          <w:szCs w:val="24"/>
        </w:rPr>
        <w:t xml:space="preserve">to relevant emerging topics such as </w:t>
      </w:r>
      <w:r>
        <w:rPr>
          <w:rFonts w:ascii="Times New Roman" w:hAnsi="Times New Roman" w:cs="Times New Roman"/>
          <w:noProof/>
          <w:sz w:val="24"/>
          <w:szCs w:val="24"/>
        </w:rPr>
        <w:t xml:space="preserve">AI, </w:t>
      </w:r>
      <w:r w:rsidRPr="0D2B9B9B">
        <w:rPr>
          <w:rFonts w:ascii="Times New Roman" w:hAnsi="Times New Roman" w:cs="Times New Roman"/>
          <w:noProof/>
          <w:sz w:val="24"/>
          <w:szCs w:val="24"/>
        </w:rPr>
        <w:t xml:space="preserve">cybersecurity, </w:t>
      </w:r>
      <w:r w:rsidRPr="61654870">
        <w:rPr>
          <w:rFonts w:ascii="Times New Roman" w:hAnsi="Times New Roman" w:cs="Times New Roman"/>
          <w:noProof/>
          <w:sz w:val="24"/>
          <w:szCs w:val="24"/>
        </w:rPr>
        <w:t xml:space="preserve">and other </w:t>
      </w:r>
      <w:r w:rsidRPr="0D2B9B9B">
        <w:rPr>
          <w:rFonts w:ascii="Times New Roman" w:hAnsi="Times New Roman" w:cs="Times New Roman"/>
          <w:noProof/>
          <w:sz w:val="24"/>
          <w:szCs w:val="24"/>
        </w:rPr>
        <w:t>digital matters</w:t>
      </w:r>
      <w:r>
        <w:rPr>
          <w:rFonts w:ascii="Times New Roman" w:hAnsi="Times New Roman" w:cs="Times New Roman"/>
          <w:noProof/>
          <w:sz w:val="24"/>
          <w:szCs w:val="24"/>
        </w:rPr>
        <w:t>,</w:t>
      </w:r>
      <w:r w:rsidRPr="0D2B9B9B" w:rsidDel="00330BBD">
        <w:rPr>
          <w:rFonts w:ascii="Times New Roman" w:hAnsi="Times New Roman" w:cs="Times New Roman"/>
          <w:noProof/>
          <w:sz w:val="24"/>
          <w:szCs w:val="24"/>
        </w:rPr>
        <w:t xml:space="preserve"> </w:t>
      </w:r>
      <w:r w:rsidRPr="61654870">
        <w:rPr>
          <w:rFonts w:ascii="Times New Roman" w:hAnsi="Times New Roman" w:cs="Times New Roman"/>
          <w:noProof/>
          <w:sz w:val="24"/>
          <w:szCs w:val="24"/>
        </w:rPr>
        <w:t>and very importantly</w:t>
      </w:r>
      <w:r>
        <w:rPr>
          <w:rFonts w:ascii="Times New Roman" w:hAnsi="Times New Roman" w:cs="Times New Roman"/>
          <w:noProof/>
          <w:sz w:val="24"/>
          <w:szCs w:val="24"/>
        </w:rPr>
        <w:t xml:space="preserve"> </w:t>
      </w:r>
      <w:r w:rsidRPr="0D2B9B9B">
        <w:rPr>
          <w:rFonts w:ascii="Times New Roman" w:hAnsi="Times New Roman" w:cs="Times New Roman"/>
          <w:noProof/>
          <w:sz w:val="24"/>
          <w:szCs w:val="24"/>
        </w:rPr>
        <w:t>sustainability</w:t>
      </w:r>
      <w:r>
        <w:rPr>
          <w:rFonts w:ascii="Times New Roman" w:hAnsi="Times New Roman" w:cs="Times New Roman"/>
          <w:noProof/>
          <w:sz w:val="24"/>
          <w:szCs w:val="24"/>
        </w:rPr>
        <w:t xml:space="preserve"> </w:t>
      </w:r>
      <w:r w:rsidRPr="61654870">
        <w:rPr>
          <w:rFonts w:ascii="Times New Roman" w:hAnsi="Times New Roman" w:cs="Times New Roman"/>
          <w:noProof/>
          <w:sz w:val="24"/>
          <w:szCs w:val="24"/>
        </w:rPr>
        <w:t>and</w:t>
      </w:r>
      <w:r>
        <w:rPr>
          <w:rFonts w:ascii="Times New Roman" w:hAnsi="Times New Roman" w:cs="Times New Roman"/>
          <w:noProof/>
          <w:sz w:val="24"/>
          <w:szCs w:val="24"/>
        </w:rPr>
        <w:t xml:space="preserve"> resilience</w:t>
      </w:r>
      <w:r w:rsidRPr="61654870">
        <w:rPr>
          <w:rFonts w:ascii="Times New Roman" w:hAnsi="Times New Roman" w:cs="Times New Roman"/>
          <w:noProof/>
          <w:sz w:val="24"/>
          <w:szCs w:val="24"/>
        </w:rPr>
        <w:t xml:space="preserve"> of networks</w:t>
      </w:r>
      <w:r w:rsidRPr="0D2B9B9B">
        <w:rPr>
          <w:rFonts w:ascii="Times New Roman" w:hAnsi="Times New Roman" w:cs="Times New Roman"/>
          <w:noProof/>
          <w:sz w:val="24"/>
          <w:szCs w:val="24"/>
        </w:rPr>
        <w:t xml:space="preserve">, which are addressed in </w:t>
      </w:r>
      <w:r w:rsidRPr="61654870">
        <w:rPr>
          <w:rFonts w:ascii="Times New Roman" w:hAnsi="Times New Roman" w:cs="Times New Roman"/>
          <w:noProof/>
          <w:sz w:val="24"/>
          <w:szCs w:val="24"/>
        </w:rPr>
        <w:t xml:space="preserve">different </w:t>
      </w:r>
      <w:r w:rsidRPr="0D2B9B9B">
        <w:rPr>
          <w:rFonts w:ascii="Times New Roman" w:hAnsi="Times New Roman" w:cs="Times New Roman"/>
          <w:noProof/>
          <w:sz w:val="24"/>
          <w:szCs w:val="24"/>
        </w:rPr>
        <w:t xml:space="preserve">EU policies and legal instruments. </w:t>
      </w:r>
    </w:p>
    <w:p w14:paraId="55D1FF7D" w14:textId="7C7D73E4"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Specific reference should also be made to spectrum matters</w:t>
      </w:r>
      <w:r w:rsidRPr="00B64409">
        <w:rPr>
          <w:rFonts w:ascii="Times New Roman" w:hAnsi="Times New Roman" w:cs="Times New Roman"/>
          <w:noProof/>
          <w:sz w:val="24"/>
          <w:szCs w:val="24"/>
        </w:rPr>
        <w:t xml:space="preserve"> </w:t>
      </w:r>
      <w:r>
        <w:rPr>
          <w:rFonts w:ascii="Times New Roman" w:hAnsi="Times New Roman" w:cs="Times New Roman"/>
          <w:noProof/>
          <w:sz w:val="24"/>
          <w:szCs w:val="24"/>
        </w:rPr>
        <w:t>in this context. While a significant number of BEREC members are responsible for spectrum matters at national level, and both BEREC and the BEREC Office are addressing authorisation issues in a number of ways, they are involved in spectrum matters only in limited instances so far, such as via participation in RSPG peer reviews. Recent developments in the area of satellite-based applications particularly calls for strengthened involvement of BEREC and the BEREC Office in the field of spectrum and much closer collaboration with RSPG, in view of</w:t>
      </w:r>
      <w:r w:rsidR="00E61102">
        <w:rPr>
          <w:rFonts w:ascii="Times New Roman" w:hAnsi="Times New Roman" w:cs="Times New Roman"/>
          <w:noProof/>
          <w:sz w:val="24"/>
          <w:szCs w:val="24"/>
        </w:rPr>
        <w:t xml:space="preserve"> the</w:t>
      </w:r>
      <w:r>
        <w:rPr>
          <w:rFonts w:ascii="Times New Roman" w:hAnsi="Times New Roman" w:cs="Times New Roman"/>
          <w:noProof/>
          <w:sz w:val="24"/>
          <w:szCs w:val="24"/>
        </w:rPr>
        <w:t xml:space="preserve"> inherently pan-European nature of satellite</w:t>
      </w:r>
      <w:r w:rsidR="00540EDC">
        <w:rPr>
          <w:rFonts w:ascii="Times New Roman" w:hAnsi="Times New Roman" w:cs="Times New Roman"/>
          <w:noProof/>
          <w:sz w:val="24"/>
          <w:szCs w:val="24"/>
        </w:rPr>
        <w:t>-</w:t>
      </w:r>
      <w:r>
        <w:rPr>
          <w:rFonts w:ascii="Times New Roman" w:hAnsi="Times New Roman" w:cs="Times New Roman"/>
          <w:noProof/>
          <w:sz w:val="24"/>
          <w:szCs w:val="24"/>
        </w:rPr>
        <w:t xml:space="preserve">based services. </w:t>
      </w:r>
    </w:p>
    <w:p w14:paraId="74434FEC"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F9480C">
        <w:rPr>
          <w:rFonts w:ascii="Times New Roman" w:eastAsia="Times New Roman" w:hAnsi="Times New Roman" w:cs="Times New Roman"/>
          <w:b/>
          <w:noProof/>
          <w:color w:val="auto"/>
          <w:sz w:val="24"/>
          <w:szCs w:val="24"/>
        </w:rPr>
        <w:t>EU added value</w:t>
      </w:r>
    </w:p>
    <w:p w14:paraId="5FFCC822" w14:textId="36F34E60" w:rsidR="009E74E1"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 xml:space="preserve">By bringing together expertise from 27 NRAs, </w:t>
      </w:r>
      <w:r w:rsidRPr="0D2B9B9B">
        <w:rPr>
          <w:rFonts w:ascii="Times New Roman" w:hAnsi="Times New Roman" w:cs="Times New Roman"/>
          <w:b/>
          <w:bCs/>
          <w:noProof/>
          <w:sz w:val="24"/>
          <w:szCs w:val="24"/>
        </w:rPr>
        <w:t>BEREC</w:t>
      </w:r>
      <w:r w:rsidRPr="0D2B9B9B">
        <w:rPr>
          <w:rFonts w:ascii="Times New Roman" w:hAnsi="Times New Roman" w:cs="Times New Roman"/>
          <w:noProof/>
          <w:sz w:val="24"/>
          <w:szCs w:val="24"/>
        </w:rPr>
        <w:t xml:space="preserve"> plays a pivotal role in the implementation of the electronic </w:t>
      </w:r>
      <w:r w:rsidRPr="61654870">
        <w:rPr>
          <w:rFonts w:ascii="Times New Roman" w:hAnsi="Times New Roman" w:cs="Times New Roman"/>
          <w:noProof/>
          <w:sz w:val="24"/>
          <w:szCs w:val="24"/>
        </w:rPr>
        <w:t>communications'</w:t>
      </w:r>
      <w:r w:rsidRPr="0D2B9B9B">
        <w:rPr>
          <w:rFonts w:ascii="Times New Roman" w:hAnsi="Times New Roman" w:cs="Times New Roman"/>
          <w:noProof/>
          <w:sz w:val="24"/>
          <w:szCs w:val="24"/>
        </w:rPr>
        <w:t xml:space="preserve"> regulatory framework, in particular for the NRAs and the EU institutions. </w:t>
      </w:r>
      <w:r w:rsidR="009E74E1">
        <w:rPr>
          <w:rFonts w:ascii="Times New Roman" w:hAnsi="Times New Roman" w:cs="Times New Roman"/>
          <w:noProof/>
          <w:sz w:val="24"/>
          <w:szCs w:val="24"/>
        </w:rPr>
        <w:t>The governance set up of BEREC and BEREC office, is unique and different from usual model</w:t>
      </w:r>
      <w:r w:rsidR="003A3F09">
        <w:rPr>
          <w:rFonts w:ascii="Times New Roman" w:hAnsi="Times New Roman" w:cs="Times New Roman"/>
          <w:noProof/>
          <w:sz w:val="24"/>
          <w:szCs w:val="24"/>
        </w:rPr>
        <w:t xml:space="preserve"> of EU decentralised Agencies used in other regulated sectors (eg. energy, banking, medicine, aviation safety). This set up implements a deliberate separation of regulatory functions from administrative support, in view of the need to ensure the independence of NRAs, also at the EU level. Unlike other Agencies</w:t>
      </w:r>
      <w:r w:rsidR="00685881">
        <w:rPr>
          <w:rFonts w:ascii="Times New Roman" w:hAnsi="Times New Roman" w:cs="Times New Roman"/>
          <w:noProof/>
          <w:sz w:val="24"/>
          <w:szCs w:val="24"/>
        </w:rPr>
        <w:t xml:space="preserve"> (eg. ACER, EASA, EMA) BEREC does not have a legal personality, nor it can adopt binding regulatory decisions, but its main role is to be an high-level expert body, providing guidelines, common positions, issuing opinions and elaborating soft-law instruments to harmonise the regulatory approaches of its members. Despite some limitation</w:t>
      </w:r>
      <w:r w:rsidR="00E56D51">
        <w:rPr>
          <w:rFonts w:ascii="Times New Roman" w:hAnsi="Times New Roman" w:cs="Times New Roman"/>
          <w:noProof/>
          <w:sz w:val="24"/>
          <w:szCs w:val="24"/>
        </w:rPr>
        <w:t>s (complex structure, lack of direct regulatory powers vested in an EU body), the current structure worked well in contributing to the overall convergence of regulatory approaches within the EU.</w:t>
      </w:r>
    </w:p>
    <w:p w14:paraId="15CDACBA" w14:textId="1CB0FF74" w:rsidR="00F9480C" w:rsidRDefault="00685881" w:rsidP="00F9480C">
      <w:pPr>
        <w:spacing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BEREC’s</w:t>
      </w:r>
      <w:r w:rsidR="00F9480C" w:rsidRPr="0D2B9B9B">
        <w:rPr>
          <w:rFonts w:ascii="Times New Roman" w:hAnsi="Times New Roman" w:cs="Times New Roman"/>
          <w:noProof/>
          <w:sz w:val="24"/>
          <w:szCs w:val="24"/>
        </w:rPr>
        <w:t xml:space="preserve"> contribution to fostering regulatory consistency, hence the internal market for electronic communications and end-users, should be</w:t>
      </w:r>
      <w:r w:rsidR="00F9480C">
        <w:rPr>
          <w:rFonts w:ascii="Times New Roman" w:hAnsi="Times New Roman" w:cs="Times New Roman"/>
          <w:noProof/>
          <w:sz w:val="24"/>
          <w:szCs w:val="24"/>
        </w:rPr>
        <w:t xml:space="preserve"> further</w:t>
      </w:r>
      <w:r w:rsidR="00F9480C" w:rsidRPr="0D2B9B9B">
        <w:rPr>
          <w:rFonts w:ascii="Times New Roman" w:hAnsi="Times New Roman" w:cs="Times New Roman"/>
          <w:noProof/>
          <w:sz w:val="24"/>
          <w:szCs w:val="24"/>
        </w:rPr>
        <w:t xml:space="preserve"> </w:t>
      </w:r>
      <w:r w:rsidR="00F9480C">
        <w:rPr>
          <w:rFonts w:ascii="Times New Roman" w:hAnsi="Times New Roman" w:cs="Times New Roman"/>
          <w:noProof/>
          <w:sz w:val="24"/>
          <w:szCs w:val="24"/>
        </w:rPr>
        <w:t>encouraged.</w:t>
      </w:r>
      <w:r w:rsidR="00F9480C" w:rsidRPr="002964FD">
        <w:rPr>
          <w:rFonts w:ascii="Times New Roman" w:hAnsi="Times New Roman" w:cs="Times New Roman"/>
          <w:noProof/>
          <w:sz w:val="24"/>
          <w:szCs w:val="24"/>
        </w:rPr>
        <w:t xml:space="preserve"> </w:t>
      </w:r>
      <w:r w:rsidR="00F9480C">
        <w:rPr>
          <w:rFonts w:ascii="Times New Roman" w:hAnsi="Times New Roman" w:cs="Times New Roman"/>
          <w:noProof/>
          <w:sz w:val="24"/>
          <w:szCs w:val="24"/>
        </w:rPr>
        <w:t>In particular</w:t>
      </w:r>
      <w:r w:rsidR="00F9480C" w:rsidRPr="002964FD" w:rsidDel="005A523D">
        <w:rPr>
          <w:rFonts w:ascii="Times New Roman" w:hAnsi="Times New Roman" w:cs="Times New Roman"/>
          <w:noProof/>
          <w:sz w:val="24"/>
          <w:szCs w:val="24"/>
        </w:rPr>
        <w:t>, BEREC could play a more active role in promoting a harmonised approach to the implementation of the European regulatory framework for electronic communications in line with Article 3 of the BEREC Regulation, notably through its guidelines.</w:t>
      </w:r>
      <w:r w:rsidR="00F9480C">
        <w:rPr>
          <w:rFonts w:ascii="Times New Roman" w:hAnsi="Times New Roman" w:cs="Times New Roman"/>
          <w:noProof/>
          <w:sz w:val="24"/>
          <w:szCs w:val="24"/>
        </w:rPr>
        <w:t xml:space="preserve"> During the evaluation period</w:t>
      </w:r>
      <w:r w:rsidR="00F9480C" w:rsidRPr="61654870">
        <w:rPr>
          <w:rFonts w:ascii="Times New Roman" w:hAnsi="Times New Roman" w:cs="Times New Roman"/>
          <w:noProof/>
          <w:sz w:val="24"/>
          <w:szCs w:val="24"/>
        </w:rPr>
        <w:t>,</w:t>
      </w:r>
      <w:r w:rsidR="00F9480C">
        <w:rPr>
          <w:rFonts w:ascii="Times New Roman" w:hAnsi="Times New Roman" w:cs="Times New Roman"/>
          <w:noProof/>
          <w:sz w:val="24"/>
          <w:szCs w:val="24"/>
        </w:rPr>
        <w:t xml:space="preserve"> BEREC guidelines were instrumental in supporting the harmonisation of NRAs</w:t>
      </w:r>
      <w:r w:rsidR="00CE6ED7">
        <w:rPr>
          <w:rFonts w:ascii="Times New Roman" w:hAnsi="Times New Roman" w:cs="Times New Roman"/>
          <w:noProof/>
          <w:sz w:val="24"/>
          <w:szCs w:val="24"/>
        </w:rPr>
        <w:t>’</w:t>
      </w:r>
      <w:r w:rsidR="00F9480C">
        <w:rPr>
          <w:rFonts w:ascii="Times New Roman" w:hAnsi="Times New Roman" w:cs="Times New Roman"/>
          <w:noProof/>
          <w:sz w:val="24"/>
          <w:szCs w:val="24"/>
        </w:rPr>
        <w:t xml:space="preserve"> approaches</w:t>
      </w:r>
      <w:r w:rsidR="00F9480C" w:rsidRPr="61654870">
        <w:rPr>
          <w:rFonts w:ascii="Times New Roman" w:hAnsi="Times New Roman" w:cs="Times New Roman"/>
          <w:noProof/>
          <w:sz w:val="24"/>
          <w:szCs w:val="24"/>
        </w:rPr>
        <w:t xml:space="preserve"> </w:t>
      </w:r>
      <w:r w:rsidR="00F9480C">
        <w:rPr>
          <w:rFonts w:ascii="Times New Roman" w:hAnsi="Times New Roman" w:cs="Times New Roman"/>
          <w:noProof/>
          <w:sz w:val="24"/>
          <w:szCs w:val="24"/>
        </w:rPr>
        <w:t>but were not sufficient</w:t>
      </w:r>
      <w:r w:rsidR="00F9480C" w:rsidRPr="61654870">
        <w:rPr>
          <w:rFonts w:ascii="Times New Roman" w:hAnsi="Times New Roman" w:cs="Times New Roman"/>
          <w:noProof/>
          <w:sz w:val="24"/>
          <w:szCs w:val="24"/>
        </w:rPr>
        <w:t>, among also many other factors not directly related to BEREC,</w:t>
      </w:r>
      <w:r w:rsidR="00F9480C">
        <w:rPr>
          <w:rFonts w:ascii="Times New Roman" w:hAnsi="Times New Roman" w:cs="Times New Roman"/>
          <w:noProof/>
          <w:sz w:val="24"/>
          <w:szCs w:val="24"/>
        </w:rPr>
        <w:t xml:space="preserve"> to ultimately lead to the creation of European </w:t>
      </w:r>
      <w:r w:rsidR="004F3B50">
        <w:rPr>
          <w:rFonts w:ascii="Times New Roman" w:hAnsi="Times New Roman" w:cs="Times New Roman"/>
          <w:noProof/>
          <w:sz w:val="24"/>
          <w:szCs w:val="24"/>
        </w:rPr>
        <w:t>S</w:t>
      </w:r>
      <w:r w:rsidR="00F9480C">
        <w:rPr>
          <w:rFonts w:ascii="Times New Roman" w:hAnsi="Times New Roman" w:cs="Times New Roman"/>
          <w:noProof/>
          <w:sz w:val="24"/>
          <w:szCs w:val="24"/>
        </w:rPr>
        <w:t xml:space="preserve">ingle </w:t>
      </w:r>
      <w:r w:rsidR="004F3B50">
        <w:rPr>
          <w:rFonts w:ascii="Times New Roman" w:hAnsi="Times New Roman" w:cs="Times New Roman"/>
          <w:noProof/>
          <w:sz w:val="24"/>
          <w:szCs w:val="24"/>
        </w:rPr>
        <w:t>M</w:t>
      </w:r>
      <w:r w:rsidR="00F9480C">
        <w:rPr>
          <w:rFonts w:ascii="Times New Roman" w:hAnsi="Times New Roman" w:cs="Times New Roman"/>
          <w:noProof/>
          <w:sz w:val="24"/>
          <w:szCs w:val="24"/>
        </w:rPr>
        <w:t xml:space="preserve">arket for </w:t>
      </w:r>
      <w:r w:rsidR="004F3B50">
        <w:rPr>
          <w:rFonts w:ascii="Times New Roman" w:hAnsi="Times New Roman" w:cs="Times New Roman"/>
          <w:noProof/>
          <w:sz w:val="24"/>
          <w:szCs w:val="24"/>
        </w:rPr>
        <w:t xml:space="preserve">electronic </w:t>
      </w:r>
      <w:r w:rsidR="00F9480C">
        <w:rPr>
          <w:rFonts w:ascii="Times New Roman" w:hAnsi="Times New Roman" w:cs="Times New Roman"/>
          <w:noProof/>
          <w:sz w:val="24"/>
          <w:szCs w:val="24"/>
        </w:rPr>
        <w:t>communication</w:t>
      </w:r>
      <w:r w:rsidR="004F3B50">
        <w:rPr>
          <w:rFonts w:ascii="Times New Roman" w:hAnsi="Times New Roman" w:cs="Times New Roman"/>
          <w:noProof/>
          <w:sz w:val="24"/>
          <w:szCs w:val="24"/>
        </w:rPr>
        <w:t>s.</w:t>
      </w:r>
      <w:r w:rsidR="00F9480C">
        <w:rPr>
          <w:rFonts w:ascii="Times New Roman" w:hAnsi="Times New Roman" w:cs="Times New Roman"/>
          <w:noProof/>
          <w:sz w:val="24"/>
          <w:szCs w:val="24"/>
        </w:rPr>
        <w:t xml:space="preserve"> Nevertheless, while BEREC can adopt its opinions by simple majority, in practice it strives to achieve consensus/unanimity and common ground among all involved NRAs. In </w:t>
      </w:r>
      <w:r w:rsidR="005C3501">
        <w:rPr>
          <w:rFonts w:ascii="Times New Roman" w:hAnsi="Times New Roman" w:cs="Times New Roman"/>
          <w:noProof/>
          <w:sz w:val="24"/>
          <w:szCs w:val="24"/>
        </w:rPr>
        <w:t>practice</w:t>
      </w:r>
      <w:r w:rsidR="00F61C3B">
        <w:rPr>
          <w:rFonts w:ascii="Times New Roman" w:hAnsi="Times New Roman" w:cs="Times New Roman"/>
          <w:noProof/>
          <w:sz w:val="24"/>
          <w:szCs w:val="24"/>
        </w:rPr>
        <w:t>,</w:t>
      </w:r>
      <w:r w:rsidR="00F9480C">
        <w:rPr>
          <w:rFonts w:ascii="Times New Roman" w:hAnsi="Times New Roman" w:cs="Times New Roman"/>
          <w:noProof/>
          <w:sz w:val="24"/>
          <w:szCs w:val="24"/>
        </w:rPr>
        <w:t xml:space="preserve"> this significantly limits BEREC ability to act with focus on pan-European interests, as opposed to</w:t>
      </w:r>
      <w:r w:rsidR="005C3501">
        <w:rPr>
          <w:rFonts w:ascii="Times New Roman" w:hAnsi="Times New Roman" w:cs="Times New Roman"/>
          <w:noProof/>
          <w:sz w:val="24"/>
          <w:szCs w:val="24"/>
        </w:rPr>
        <w:t xml:space="preserve"> national views</w:t>
      </w:r>
      <w:r w:rsidR="00F9480C">
        <w:rPr>
          <w:rFonts w:ascii="Times New Roman" w:hAnsi="Times New Roman" w:cs="Times New Roman"/>
          <w:noProof/>
          <w:sz w:val="24"/>
          <w:szCs w:val="24"/>
        </w:rPr>
        <w:t xml:space="preserve"> </w:t>
      </w:r>
      <w:r w:rsidR="00F9480C" w:rsidRPr="61654870">
        <w:rPr>
          <w:rFonts w:ascii="Times New Roman" w:hAnsi="Times New Roman" w:cs="Times New Roman"/>
          <w:noProof/>
          <w:sz w:val="24"/>
          <w:szCs w:val="24"/>
        </w:rPr>
        <w:t xml:space="preserve">sometimes more conservative and ‘naturally’ more focused on local specificities.  </w:t>
      </w:r>
    </w:p>
    <w:p w14:paraId="0E6814AB" w14:textId="77777777"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 xml:space="preserve">BEREC’s opinions generally provide valuable inputs to the NRAs and the EU policy process. However, those issued on its own initiative and/or during inter-institutional negotiations could be better coordinated </w:t>
      </w:r>
      <w:r w:rsidRPr="61654870">
        <w:rPr>
          <w:rFonts w:ascii="Times New Roman" w:hAnsi="Times New Roman" w:cs="Times New Roman"/>
          <w:noProof/>
          <w:sz w:val="24"/>
          <w:szCs w:val="24"/>
        </w:rPr>
        <w:t xml:space="preserve">with the Commission and co-legislators </w:t>
      </w:r>
      <w:r w:rsidRPr="0D2B9B9B">
        <w:rPr>
          <w:rFonts w:ascii="Times New Roman" w:hAnsi="Times New Roman" w:cs="Times New Roman"/>
          <w:noProof/>
          <w:sz w:val="24"/>
          <w:szCs w:val="24"/>
        </w:rPr>
        <w:t>to ensure their usefulness in the policymaking process. This would plead for finding the appropriate ways and timing for the Commission or other institutions to collect BEREC’s views, and to clarify BEREC’s current mandate to provide input in relation to the preparation of legislative proposals in the field of electronic communications.</w:t>
      </w:r>
    </w:p>
    <w:p w14:paraId="49EDA755" w14:textId="637933E4" w:rsidR="00F9480C" w:rsidRDefault="00F9480C" w:rsidP="00F9480C">
      <w:pPr>
        <w:pStyle w:val="paragraph"/>
        <w:spacing w:before="0" w:beforeAutospacing="0"/>
        <w:jc w:val="both"/>
        <w:textAlignment w:val="baseline"/>
        <w:rPr>
          <w:noProof/>
        </w:rPr>
      </w:pPr>
      <w:r w:rsidRPr="0D2B9B9B">
        <w:rPr>
          <w:rStyle w:val="normaltextrun"/>
          <w:noProof/>
        </w:rPr>
        <w:t>Moreover, BEREC’s expertise</w:t>
      </w:r>
      <w:r>
        <w:rPr>
          <w:rStyle w:val="normaltextrun"/>
          <w:noProof/>
        </w:rPr>
        <w:t xml:space="preserve"> needs to</w:t>
      </w:r>
      <w:r w:rsidRPr="0D2B9B9B">
        <w:rPr>
          <w:rStyle w:val="normaltextrun"/>
          <w:noProof/>
        </w:rPr>
        <w:t xml:space="preserve"> be sustained</w:t>
      </w:r>
      <w:r>
        <w:rPr>
          <w:rStyle w:val="normaltextrun"/>
          <w:noProof/>
        </w:rPr>
        <w:t>, deepened</w:t>
      </w:r>
      <w:r w:rsidRPr="0D2B9B9B">
        <w:rPr>
          <w:rStyle w:val="normaltextrun"/>
          <w:noProof/>
        </w:rPr>
        <w:t xml:space="preserve"> </w:t>
      </w:r>
      <w:r>
        <w:rPr>
          <w:rStyle w:val="normaltextrun"/>
          <w:noProof/>
        </w:rPr>
        <w:t>and broadened,</w:t>
      </w:r>
      <w:r w:rsidRPr="0D2B9B9B">
        <w:rPr>
          <w:rStyle w:val="normaltextrun"/>
          <w:noProof/>
        </w:rPr>
        <w:t xml:space="preserve"> </w:t>
      </w:r>
      <w:r>
        <w:rPr>
          <w:rStyle w:val="normaltextrun"/>
          <w:noProof/>
        </w:rPr>
        <w:t xml:space="preserve">in view of </w:t>
      </w:r>
      <w:r w:rsidRPr="0D2B9B9B">
        <w:rPr>
          <w:rStyle w:val="normaltextrun"/>
          <w:noProof/>
        </w:rPr>
        <w:t xml:space="preserve">the rapidly evolving electronic communications and digital markets, </w:t>
      </w:r>
      <w:r>
        <w:rPr>
          <w:rStyle w:val="normaltextrun"/>
          <w:noProof/>
        </w:rPr>
        <w:t xml:space="preserve">and this, despite any </w:t>
      </w:r>
      <w:r w:rsidRPr="00AE00F8">
        <w:rPr>
          <w:rStyle w:val="normaltextrun"/>
          <w:noProof/>
        </w:rPr>
        <w:t>diverging</w:t>
      </w:r>
      <w:r w:rsidRPr="0D2B9B9B">
        <w:rPr>
          <w:rStyle w:val="normaltextrun"/>
          <w:noProof/>
        </w:rPr>
        <w:t xml:space="preserve"> </w:t>
      </w:r>
      <w:r>
        <w:rPr>
          <w:rStyle w:val="normaltextrun"/>
          <w:noProof/>
        </w:rPr>
        <w:t>powers of its members at national level</w:t>
      </w:r>
      <w:r w:rsidRPr="0D2B9B9B">
        <w:rPr>
          <w:rStyle w:val="normaltextrun"/>
          <w:noProof/>
        </w:rPr>
        <w:t>.</w:t>
      </w:r>
      <w:r>
        <w:rPr>
          <w:rStyle w:val="eop"/>
          <w:rFonts w:eastAsiaTheme="minorEastAsia"/>
          <w:noProof/>
        </w:rPr>
        <w:t xml:space="preserve"> </w:t>
      </w:r>
      <w:r>
        <w:rPr>
          <w:noProof/>
        </w:rPr>
        <w:t>In that regard, in its response</w:t>
      </w:r>
      <w:r>
        <w:rPr>
          <w:rStyle w:val="FootnoteReference"/>
          <w:noProof/>
        </w:rPr>
        <w:footnoteReference w:id="20"/>
      </w:r>
      <w:r>
        <w:rPr>
          <w:noProof/>
        </w:rPr>
        <w:t xml:space="preserve"> to the Call for Evidence BEREC states that it is keen to assume new institutional responsibilities in view of further strengthening the </w:t>
      </w:r>
      <w:r w:rsidR="00550F70">
        <w:rPr>
          <w:noProof/>
        </w:rPr>
        <w:t>S</w:t>
      </w:r>
      <w:r>
        <w:rPr>
          <w:noProof/>
        </w:rPr>
        <w:t xml:space="preserve">ingle </w:t>
      </w:r>
      <w:r w:rsidR="00550F70">
        <w:rPr>
          <w:noProof/>
        </w:rPr>
        <w:t>M</w:t>
      </w:r>
      <w:r>
        <w:rPr>
          <w:noProof/>
        </w:rPr>
        <w:t xml:space="preserve">arket dimension and broader digital policy perspective, while such expansion can also work well within its current two-tier structure. Further, BEREC stresses the need to clearly delineate the areas of responsibilities and accountability among various institutional actors, and acknowledges the growing need for structured cooperation with other EU-level bodies overseeing interrelated areas of digital policy, such as data governance, digital services, cybersecurity, and AI. </w:t>
      </w:r>
    </w:p>
    <w:p w14:paraId="3D393F19" w14:textId="4DCD25EA"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Finally, the increasing number of participants from third country NRAs</w:t>
      </w:r>
      <w:r w:rsidRPr="61654870">
        <w:rPr>
          <w:rFonts w:ascii="Times New Roman" w:hAnsi="Times New Roman" w:cs="Times New Roman"/>
          <w:noProof/>
          <w:sz w:val="24"/>
          <w:szCs w:val="24"/>
        </w:rPr>
        <w:t>, while helping to promote the EU electronic communication</w:t>
      </w:r>
      <w:r w:rsidR="00851C8F">
        <w:rPr>
          <w:rFonts w:ascii="Times New Roman" w:hAnsi="Times New Roman" w:cs="Times New Roman"/>
          <w:noProof/>
          <w:sz w:val="24"/>
          <w:szCs w:val="24"/>
        </w:rPr>
        <w:t>s</w:t>
      </w:r>
      <w:r w:rsidRPr="61654870">
        <w:rPr>
          <w:rFonts w:ascii="Times New Roman" w:hAnsi="Times New Roman" w:cs="Times New Roman"/>
          <w:noProof/>
          <w:sz w:val="24"/>
          <w:szCs w:val="24"/>
        </w:rPr>
        <w:t xml:space="preserve"> markets and exchange of views and learning from each other,</w:t>
      </w:r>
      <w:r>
        <w:rPr>
          <w:rFonts w:ascii="Times New Roman" w:hAnsi="Times New Roman" w:cs="Times New Roman"/>
          <w:noProof/>
          <w:sz w:val="24"/>
          <w:szCs w:val="24"/>
        </w:rPr>
        <w:t xml:space="preserve"> </w:t>
      </w:r>
      <w:r w:rsidRPr="0D2B9B9B">
        <w:rPr>
          <w:rFonts w:ascii="Times New Roman" w:hAnsi="Times New Roman" w:cs="Times New Roman"/>
          <w:noProof/>
          <w:sz w:val="24"/>
          <w:szCs w:val="24"/>
        </w:rPr>
        <w:t>implies reflecting on the respective role</w:t>
      </w:r>
      <w:r w:rsidRPr="61654870">
        <w:rPr>
          <w:rFonts w:ascii="Times New Roman" w:hAnsi="Times New Roman" w:cs="Times New Roman"/>
          <w:noProof/>
          <w:sz w:val="24"/>
          <w:szCs w:val="24"/>
        </w:rPr>
        <w:t>, capacities to make decisions</w:t>
      </w:r>
      <w:r w:rsidRPr="0D2B9B9B">
        <w:rPr>
          <w:rFonts w:ascii="Times New Roman" w:hAnsi="Times New Roman" w:cs="Times New Roman"/>
          <w:noProof/>
          <w:sz w:val="24"/>
          <w:szCs w:val="24"/>
        </w:rPr>
        <w:t xml:space="preserve"> and organisation of BEREC </w:t>
      </w:r>
      <w:r w:rsidRPr="61654870">
        <w:rPr>
          <w:rFonts w:ascii="Times New Roman" w:hAnsi="Times New Roman" w:cs="Times New Roman"/>
          <w:noProof/>
          <w:sz w:val="24"/>
          <w:szCs w:val="24"/>
        </w:rPr>
        <w:t>work</w:t>
      </w:r>
      <w:r w:rsidRPr="0D2B9B9B">
        <w:rPr>
          <w:rFonts w:ascii="Times New Roman" w:hAnsi="Times New Roman" w:cs="Times New Roman"/>
          <w:noProof/>
          <w:sz w:val="24"/>
          <w:szCs w:val="24"/>
        </w:rPr>
        <w:t>.</w:t>
      </w:r>
    </w:p>
    <w:p w14:paraId="5836660A"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F9480C">
        <w:rPr>
          <w:rFonts w:ascii="Times New Roman" w:eastAsia="Times New Roman" w:hAnsi="Times New Roman" w:cs="Times New Roman"/>
          <w:b/>
          <w:noProof/>
          <w:color w:val="auto"/>
          <w:sz w:val="24"/>
          <w:szCs w:val="24"/>
        </w:rPr>
        <w:t>Relevance</w:t>
      </w:r>
    </w:p>
    <w:p w14:paraId="39F5842C" w14:textId="275F7F5C"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Asymmetries in NRAs’ competences in Member States may</w:t>
      </w:r>
      <w:r w:rsidR="002A29CB">
        <w:rPr>
          <w:rFonts w:ascii="Times New Roman" w:hAnsi="Times New Roman" w:cs="Times New Roman"/>
          <w:noProof/>
          <w:sz w:val="24"/>
          <w:szCs w:val="24"/>
        </w:rPr>
        <w:t xml:space="preserve"> </w:t>
      </w:r>
      <w:r>
        <w:rPr>
          <w:rFonts w:ascii="Times New Roman" w:hAnsi="Times New Roman" w:cs="Times New Roman"/>
          <w:noProof/>
          <w:sz w:val="24"/>
          <w:szCs w:val="24"/>
        </w:rPr>
        <w:t>influence</w:t>
      </w:r>
      <w:r w:rsidRPr="0D2B9B9B">
        <w:rPr>
          <w:rFonts w:ascii="Times New Roman" w:hAnsi="Times New Roman" w:cs="Times New Roman"/>
          <w:noProof/>
          <w:sz w:val="24"/>
          <w:szCs w:val="24"/>
        </w:rPr>
        <w:t xml:space="preserve"> the relevance of</w:t>
      </w:r>
      <w:r w:rsidRPr="0D2B9B9B">
        <w:rPr>
          <w:rFonts w:ascii="Times New Roman" w:hAnsi="Times New Roman" w:cs="Times New Roman"/>
          <w:b/>
          <w:bCs/>
          <w:noProof/>
          <w:sz w:val="24"/>
          <w:szCs w:val="24"/>
        </w:rPr>
        <w:t xml:space="preserve"> BEREC</w:t>
      </w:r>
      <w:r w:rsidRPr="0D2B9B9B">
        <w:rPr>
          <w:rFonts w:ascii="Times New Roman" w:hAnsi="Times New Roman" w:cs="Times New Roman"/>
          <w:noProof/>
          <w:sz w:val="24"/>
          <w:szCs w:val="24"/>
        </w:rPr>
        <w:t>’s work for certain NRAs. This is prompting the question how BEREC could best ‘</w:t>
      </w:r>
      <w:r w:rsidRPr="0D2B9B9B">
        <w:rPr>
          <w:rFonts w:ascii="Times New Roman" w:hAnsi="Times New Roman" w:cs="Times New Roman"/>
          <w:i/>
          <w:iCs/>
          <w:noProof/>
          <w:sz w:val="24"/>
          <w:szCs w:val="24"/>
        </w:rPr>
        <w:t>contribute to the regulatory environment fit for the digital age in the run-up to 2030</w:t>
      </w:r>
      <w:r w:rsidRPr="0D2B9B9B">
        <w:rPr>
          <w:rFonts w:ascii="Times New Roman" w:hAnsi="Times New Roman" w:cs="Times New Roman"/>
          <w:noProof/>
          <w:sz w:val="24"/>
          <w:szCs w:val="24"/>
        </w:rPr>
        <w:t xml:space="preserve">’, as BEREC puts it in its own input to the evaluation.  </w:t>
      </w:r>
    </w:p>
    <w:p w14:paraId="1ADC4D1A" w14:textId="6399FDD4"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Also in</w:t>
      </w:r>
      <w:r w:rsidR="005C3501">
        <w:rPr>
          <w:rFonts w:ascii="Times New Roman" w:hAnsi="Times New Roman" w:cs="Times New Roman"/>
          <w:noProof/>
          <w:sz w:val="24"/>
          <w:szCs w:val="24"/>
        </w:rPr>
        <w:t xml:space="preserve"> the field of</w:t>
      </w:r>
      <w:r>
        <w:rPr>
          <w:rFonts w:ascii="Times New Roman" w:hAnsi="Times New Roman" w:cs="Times New Roman"/>
          <w:noProof/>
          <w:sz w:val="24"/>
          <w:szCs w:val="24"/>
        </w:rPr>
        <w:t xml:space="preserve"> electronic communications, the tasks that were entrusted to BEREC and </w:t>
      </w:r>
      <w:r w:rsidR="00F56A55">
        <w:rPr>
          <w:rFonts w:ascii="Times New Roman" w:hAnsi="Times New Roman" w:cs="Times New Roman"/>
          <w:noProof/>
          <w:sz w:val="24"/>
          <w:szCs w:val="24"/>
        </w:rPr>
        <w:t xml:space="preserve">the </w:t>
      </w:r>
      <w:r>
        <w:rPr>
          <w:rFonts w:ascii="Times New Roman" w:hAnsi="Times New Roman" w:cs="Times New Roman"/>
          <w:noProof/>
          <w:sz w:val="24"/>
          <w:szCs w:val="24"/>
        </w:rPr>
        <w:t>BEREC Office had been limited as t</w:t>
      </w:r>
      <w:r w:rsidRPr="0D2B9B9B">
        <w:rPr>
          <w:rFonts w:ascii="Times New Roman" w:hAnsi="Times New Roman" w:cs="Times New Roman"/>
          <w:noProof/>
          <w:sz w:val="24"/>
          <w:szCs w:val="24"/>
        </w:rPr>
        <w:t>he current governance structure ha</w:t>
      </w:r>
      <w:r w:rsidR="005C3501">
        <w:rPr>
          <w:rFonts w:ascii="Times New Roman" w:hAnsi="Times New Roman" w:cs="Times New Roman"/>
          <w:noProof/>
          <w:sz w:val="24"/>
          <w:szCs w:val="24"/>
        </w:rPr>
        <w:t>ve</w:t>
      </w:r>
      <w:r w:rsidRPr="0D2B9B9B">
        <w:rPr>
          <w:rFonts w:ascii="Times New Roman" w:hAnsi="Times New Roman" w:cs="Times New Roman"/>
          <w:noProof/>
          <w:sz w:val="24"/>
          <w:szCs w:val="24"/>
        </w:rPr>
        <w:t xml:space="preserve"> been conceived for markets which are national in scope, </w:t>
      </w:r>
      <w:r>
        <w:rPr>
          <w:rFonts w:ascii="Times New Roman" w:hAnsi="Times New Roman" w:cs="Times New Roman"/>
          <w:noProof/>
          <w:sz w:val="24"/>
          <w:szCs w:val="24"/>
        </w:rPr>
        <w:t xml:space="preserve">with not so many aspects related to harmonisation and </w:t>
      </w:r>
      <w:r w:rsidR="00CE6ED7">
        <w:rPr>
          <w:rFonts w:ascii="Times New Roman" w:hAnsi="Times New Roman" w:cs="Times New Roman"/>
          <w:noProof/>
          <w:sz w:val="24"/>
          <w:szCs w:val="24"/>
        </w:rPr>
        <w:t xml:space="preserve">the </w:t>
      </w:r>
      <w:r w:rsidR="00C85A05">
        <w:rPr>
          <w:rFonts w:ascii="Times New Roman" w:hAnsi="Times New Roman" w:cs="Times New Roman"/>
          <w:noProof/>
          <w:sz w:val="24"/>
          <w:szCs w:val="24"/>
        </w:rPr>
        <w:t>S</w:t>
      </w:r>
      <w:r>
        <w:rPr>
          <w:rFonts w:ascii="Times New Roman" w:hAnsi="Times New Roman" w:cs="Times New Roman"/>
          <w:noProof/>
          <w:sz w:val="24"/>
          <w:szCs w:val="24"/>
        </w:rPr>
        <w:t xml:space="preserve">ingle </w:t>
      </w:r>
      <w:r w:rsidR="00C85A05">
        <w:rPr>
          <w:rFonts w:ascii="Times New Roman" w:hAnsi="Times New Roman" w:cs="Times New Roman"/>
          <w:noProof/>
          <w:sz w:val="24"/>
          <w:szCs w:val="24"/>
        </w:rPr>
        <w:t>M</w:t>
      </w:r>
      <w:r>
        <w:rPr>
          <w:rFonts w:ascii="Times New Roman" w:hAnsi="Times New Roman" w:cs="Times New Roman"/>
          <w:noProof/>
          <w:sz w:val="24"/>
          <w:szCs w:val="24"/>
        </w:rPr>
        <w:t xml:space="preserve">arket </w:t>
      </w:r>
      <w:r w:rsidR="002A29CB">
        <w:rPr>
          <w:rFonts w:ascii="Times New Roman" w:hAnsi="Times New Roman" w:cs="Times New Roman"/>
          <w:noProof/>
          <w:sz w:val="24"/>
          <w:szCs w:val="24"/>
        </w:rPr>
        <w:t>dimension</w:t>
      </w:r>
      <w:r>
        <w:rPr>
          <w:rFonts w:ascii="Times New Roman" w:hAnsi="Times New Roman" w:cs="Times New Roman"/>
          <w:noProof/>
          <w:sz w:val="24"/>
          <w:szCs w:val="24"/>
        </w:rPr>
        <w:t xml:space="preserve"> </w:t>
      </w:r>
      <w:r w:rsidRPr="0D2B9B9B">
        <w:rPr>
          <w:rFonts w:ascii="Times New Roman" w:hAnsi="Times New Roman" w:cs="Times New Roman"/>
          <w:noProof/>
          <w:sz w:val="24"/>
          <w:szCs w:val="24"/>
        </w:rPr>
        <w:t xml:space="preserve">and </w:t>
      </w:r>
      <w:r>
        <w:rPr>
          <w:rFonts w:ascii="Times New Roman" w:hAnsi="Times New Roman" w:cs="Times New Roman"/>
          <w:noProof/>
          <w:sz w:val="24"/>
          <w:szCs w:val="24"/>
        </w:rPr>
        <w:t>with significant focus on</w:t>
      </w:r>
      <w:r w:rsidRPr="0D2B9B9B">
        <w:rPr>
          <w:rFonts w:ascii="Times New Roman" w:hAnsi="Times New Roman" w:cs="Times New Roman"/>
          <w:noProof/>
          <w:sz w:val="24"/>
          <w:szCs w:val="24"/>
        </w:rPr>
        <w:t xml:space="preserve"> </w:t>
      </w:r>
      <w:r w:rsidRPr="0D2B9B9B">
        <w:rPr>
          <w:rFonts w:ascii="Times New Roman" w:hAnsi="Times New Roman" w:cs="Times New Roman"/>
          <w:i/>
          <w:iCs/>
          <w:noProof/>
          <w:sz w:val="24"/>
          <w:szCs w:val="24"/>
        </w:rPr>
        <w:t>ex ante</w:t>
      </w:r>
      <w:r w:rsidRPr="0D2B9B9B">
        <w:rPr>
          <w:rFonts w:ascii="Times New Roman" w:hAnsi="Times New Roman" w:cs="Times New Roman"/>
          <w:noProof/>
          <w:sz w:val="24"/>
          <w:szCs w:val="24"/>
        </w:rPr>
        <w:t xml:space="preserve"> regulation </w:t>
      </w:r>
      <w:r>
        <w:rPr>
          <w:rFonts w:ascii="Times New Roman" w:hAnsi="Times New Roman" w:cs="Times New Roman"/>
          <w:noProof/>
          <w:sz w:val="24"/>
          <w:szCs w:val="24"/>
        </w:rPr>
        <w:t>as the</w:t>
      </w:r>
      <w:r w:rsidRPr="0D2B9B9B">
        <w:rPr>
          <w:rFonts w:ascii="Times New Roman" w:hAnsi="Times New Roman" w:cs="Times New Roman"/>
          <w:noProof/>
          <w:sz w:val="24"/>
          <w:szCs w:val="24"/>
        </w:rPr>
        <w:t xml:space="preserve"> main tool in the regulatory toolbox</w:t>
      </w:r>
      <w:r>
        <w:rPr>
          <w:rFonts w:ascii="Times New Roman" w:hAnsi="Times New Roman" w:cs="Times New Roman"/>
          <w:noProof/>
          <w:sz w:val="24"/>
          <w:szCs w:val="24"/>
        </w:rPr>
        <w:t xml:space="preserve">. </w:t>
      </w:r>
      <w:r w:rsidRPr="0D2B9B9B">
        <w:rPr>
          <w:rFonts w:ascii="Times New Roman" w:hAnsi="Times New Roman" w:cs="Times New Roman"/>
          <w:noProof/>
          <w:sz w:val="24"/>
          <w:szCs w:val="24"/>
        </w:rPr>
        <w:t>This is changing, since the European dimension of the sector has been developing</w:t>
      </w:r>
      <w:r w:rsidR="00E1758C">
        <w:rPr>
          <w:rFonts w:ascii="Times New Roman" w:hAnsi="Times New Roman" w:cs="Times New Roman"/>
          <w:noProof/>
          <w:sz w:val="24"/>
          <w:szCs w:val="24"/>
        </w:rPr>
        <w:t xml:space="preserve"> in some areas</w:t>
      </w:r>
      <w:r w:rsidRPr="0D2B9B9B">
        <w:rPr>
          <w:rFonts w:ascii="Times New Roman" w:hAnsi="Times New Roman" w:cs="Times New Roman"/>
          <w:noProof/>
          <w:sz w:val="24"/>
          <w:szCs w:val="24"/>
        </w:rPr>
        <w:t>, while competitive conditions have evolved</w:t>
      </w:r>
      <w:r>
        <w:rPr>
          <w:rFonts w:ascii="Times New Roman" w:hAnsi="Times New Roman" w:cs="Times New Roman"/>
          <w:noProof/>
          <w:sz w:val="24"/>
          <w:szCs w:val="24"/>
        </w:rPr>
        <w:t xml:space="preserve">. </w:t>
      </w:r>
    </w:p>
    <w:p w14:paraId="10868C01" w14:textId="25AB99B1"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eastAsiaTheme="minorEastAsia" w:hAnsi="Times New Roman"/>
          <w:noProof/>
          <w:sz w:val="24"/>
          <w:szCs w:val="24"/>
        </w:rPr>
        <w:t>R</w:t>
      </w:r>
      <w:r w:rsidRPr="00087EF4">
        <w:rPr>
          <w:rFonts w:ascii="Times New Roman" w:eastAsiaTheme="minorEastAsia" w:hAnsi="Times New Roman"/>
          <w:noProof/>
          <w:sz w:val="24"/>
          <w:szCs w:val="24"/>
        </w:rPr>
        <w:t xml:space="preserve">ecent technological changes create </w:t>
      </w:r>
      <w:r>
        <w:rPr>
          <w:rFonts w:ascii="Times New Roman" w:eastAsiaTheme="minorEastAsia" w:hAnsi="Times New Roman"/>
          <w:noProof/>
          <w:sz w:val="24"/>
          <w:szCs w:val="24"/>
        </w:rPr>
        <w:t xml:space="preserve">various opportunities and challenges for the sector, as </w:t>
      </w:r>
      <w:r w:rsidRPr="61654870">
        <w:rPr>
          <w:rFonts w:ascii="Times New Roman" w:eastAsiaTheme="minorEastAsia" w:hAnsi="Times New Roman"/>
          <w:noProof/>
          <w:sz w:val="24"/>
          <w:szCs w:val="24"/>
        </w:rPr>
        <w:t>indicated in</w:t>
      </w:r>
      <w:r>
        <w:rPr>
          <w:rFonts w:ascii="Times New Roman" w:eastAsiaTheme="minorEastAsia" w:hAnsi="Times New Roman"/>
          <w:noProof/>
          <w:sz w:val="24"/>
          <w:szCs w:val="24"/>
        </w:rPr>
        <w:t xml:space="preserve"> the Commission White Paper on digital infrastructure needs, and </w:t>
      </w:r>
      <w:r w:rsidR="005C3501">
        <w:rPr>
          <w:rFonts w:ascii="Times New Roman" w:eastAsiaTheme="minorEastAsia" w:hAnsi="Times New Roman"/>
          <w:noProof/>
          <w:sz w:val="24"/>
          <w:szCs w:val="24"/>
        </w:rPr>
        <w:t xml:space="preserve">in </w:t>
      </w:r>
      <w:r>
        <w:rPr>
          <w:rFonts w:ascii="Times New Roman" w:eastAsiaTheme="minorEastAsia" w:hAnsi="Times New Roman"/>
          <w:noProof/>
          <w:sz w:val="24"/>
          <w:szCs w:val="24"/>
        </w:rPr>
        <w:t>recent feedback in the Call for evidence accompanying the legislative process for the Digital Networks Act. The recently adopted BEREC Strategy 2026-30 recognises the profound changes of the digital technologies and the intertwined/reciprocal nature of electronic communications and digital technologies (AI, data processing, virtualisation, cloud and edge computing).</w:t>
      </w:r>
      <w:r>
        <w:rPr>
          <w:rStyle w:val="FootnoteReference"/>
          <w:rFonts w:ascii="Times New Roman" w:eastAsiaTheme="minorEastAsia" w:hAnsi="Times New Roman"/>
          <w:noProof/>
          <w:szCs w:val="24"/>
        </w:rPr>
        <w:footnoteReference w:id="21"/>
      </w:r>
      <w:r>
        <w:rPr>
          <w:rFonts w:ascii="Times New Roman" w:eastAsiaTheme="minorEastAsia" w:hAnsi="Times New Roman"/>
          <w:noProof/>
          <w:sz w:val="24"/>
          <w:szCs w:val="24"/>
        </w:rPr>
        <w:t xml:space="preserve"> In order to ensure its relevance in the coming years BEREC identifies key priorities, which besides its current focus (connectivity, competition, end user interests), also put emphasis on environmental sustainability, cybersecurity and resilience. </w:t>
      </w:r>
    </w:p>
    <w:p w14:paraId="14B5C6A0" w14:textId="20DF5494"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sidRPr="61654870">
        <w:rPr>
          <w:rFonts w:ascii="Times New Roman" w:hAnsi="Times New Roman" w:cs="Times New Roman"/>
          <w:noProof/>
          <w:sz w:val="24"/>
          <w:szCs w:val="24"/>
        </w:rPr>
        <w:t xml:space="preserve">The </w:t>
      </w:r>
      <w:r>
        <w:rPr>
          <w:rFonts w:ascii="Times New Roman" w:hAnsi="Times New Roman" w:cs="Times New Roman"/>
          <w:noProof/>
          <w:sz w:val="24"/>
          <w:szCs w:val="24"/>
        </w:rPr>
        <w:t>current</w:t>
      </w:r>
      <w:r w:rsidRPr="61654870">
        <w:rPr>
          <w:rFonts w:ascii="Times New Roman" w:hAnsi="Times New Roman" w:cs="Times New Roman"/>
          <w:noProof/>
          <w:sz w:val="24"/>
          <w:szCs w:val="24"/>
        </w:rPr>
        <w:t xml:space="preserve"> setup of BEREC </w:t>
      </w:r>
      <w:r>
        <w:rPr>
          <w:rFonts w:ascii="Times New Roman" w:hAnsi="Times New Roman" w:cs="Times New Roman"/>
          <w:noProof/>
          <w:sz w:val="24"/>
          <w:szCs w:val="24"/>
        </w:rPr>
        <w:t xml:space="preserve">and tasks entrusted to it </w:t>
      </w:r>
      <w:r w:rsidRPr="61654870">
        <w:rPr>
          <w:rFonts w:ascii="Times New Roman" w:hAnsi="Times New Roman" w:cs="Times New Roman"/>
          <w:noProof/>
          <w:sz w:val="24"/>
          <w:szCs w:val="24"/>
        </w:rPr>
        <w:t>might not be sufficient and appropriate to cope with this evolution. Furthermore, the regulatory toolbox might need to be modernised to address the market and technological changes, with possible broader use of harmonised tools (for example access product) and its most rarely (if ever) used tools, such as resolution of cross-border aspects, may gain prominence.</w:t>
      </w:r>
      <w:r>
        <w:rPr>
          <w:rFonts w:ascii="Times New Roman" w:hAnsi="Times New Roman" w:cs="Times New Roman"/>
          <w:noProof/>
          <w:sz w:val="24"/>
          <w:szCs w:val="24"/>
        </w:rPr>
        <w:t xml:space="preserve"> </w:t>
      </w:r>
      <w:r w:rsidRPr="0D2B9B9B">
        <w:rPr>
          <w:rFonts w:ascii="Times New Roman" w:hAnsi="Times New Roman" w:cs="Times New Roman"/>
          <w:noProof/>
          <w:sz w:val="24"/>
          <w:szCs w:val="24"/>
        </w:rPr>
        <w:t>In this respect, the question arises</w:t>
      </w:r>
      <w:r w:rsidR="005C3501">
        <w:rPr>
          <w:rFonts w:ascii="Times New Roman" w:hAnsi="Times New Roman" w:cs="Times New Roman"/>
          <w:noProof/>
          <w:sz w:val="24"/>
          <w:szCs w:val="24"/>
        </w:rPr>
        <w:t xml:space="preserve"> as to</w:t>
      </w:r>
      <w:r w:rsidRPr="0D2B9B9B">
        <w:rPr>
          <w:rFonts w:ascii="Times New Roman" w:hAnsi="Times New Roman" w:cs="Times New Roman"/>
          <w:noProof/>
          <w:sz w:val="24"/>
          <w:szCs w:val="24"/>
        </w:rPr>
        <w:t xml:space="preserve"> how the</w:t>
      </w:r>
      <w:r>
        <w:rPr>
          <w:rFonts w:ascii="Times New Roman" w:hAnsi="Times New Roman" w:cs="Times New Roman"/>
          <w:noProof/>
          <w:sz w:val="24"/>
          <w:szCs w:val="24"/>
        </w:rPr>
        <w:t xml:space="preserve"> role and</w:t>
      </w:r>
      <w:r w:rsidRPr="0D2B9B9B">
        <w:rPr>
          <w:rFonts w:ascii="Times New Roman" w:hAnsi="Times New Roman" w:cs="Times New Roman"/>
          <w:noProof/>
          <w:sz w:val="24"/>
          <w:szCs w:val="24"/>
        </w:rPr>
        <w:t xml:space="preserve"> mandate of BEREC and the BEREC Office should </w:t>
      </w:r>
      <w:r>
        <w:rPr>
          <w:rFonts w:ascii="Times New Roman" w:hAnsi="Times New Roman" w:cs="Times New Roman"/>
          <w:noProof/>
          <w:sz w:val="24"/>
          <w:szCs w:val="24"/>
        </w:rPr>
        <w:t xml:space="preserve">evolve and </w:t>
      </w:r>
      <w:r w:rsidRPr="0D2B9B9B">
        <w:rPr>
          <w:rFonts w:ascii="Times New Roman" w:hAnsi="Times New Roman" w:cs="Times New Roman"/>
          <w:noProof/>
          <w:sz w:val="24"/>
          <w:szCs w:val="24"/>
        </w:rPr>
        <w:t xml:space="preserve">possibly be </w:t>
      </w:r>
      <w:r>
        <w:rPr>
          <w:rFonts w:ascii="Times New Roman" w:hAnsi="Times New Roman" w:cs="Times New Roman"/>
          <w:noProof/>
          <w:sz w:val="24"/>
          <w:szCs w:val="24"/>
        </w:rPr>
        <w:t xml:space="preserve">strengthened to </w:t>
      </w:r>
      <w:r w:rsidRPr="0D2B9B9B">
        <w:rPr>
          <w:rFonts w:ascii="Times New Roman" w:hAnsi="Times New Roman" w:cs="Times New Roman"/>
          <w:noProof/>
          <w:sz w:val="24"/>
          <w:szCs w:val="24"/>
        </w:rPr>
        <w:t>adapt to new responsibilities</w:t>
      </w:r>
      <w:r>
        <w:rPr>
          <w:rFonts w:ascii="Times New Roman" w:hAnsi="Times New Roman" w:cs="Times New Roman"/>
          <w:noProof/>
          <w:sz w:val="24"/>
          <w:szCs w:val="24"/>
        </w:rPr>
        <w:t xml:space="preserve"> and tasks</w:t>
      </w:r>
      <w:r w:rsidR="000C1AB6">
        <w:rPr>
          <w:rFonts w:ascii="Times New Roman" w:hAnsi="Times New Roman" w:cs="Times New Roman"/>
          <w:noProof/>
          <w:sz w:val="24"/>
          <w:szCs w:val="24"/>
        </w:rPr>
        <w:t>.</w:t>
      </w:r>
      <w:r w:rsidRPr="0D2B9B9B">
        <w:rPr>
          <w:rFonts w:ascii="Times New Roman" w:hAnsi="Times New Roman" w:cs="Times New Roman"/>
          <w:noProof/>
          <w:sz w:val="24"/>
          <w:szCs w:val="24"/>
        </w:rPr>
        <w:t xml:space="preserve"> </w:t>
      </w:r>
    </w:p>
    <w:p w14:paraId="1C91ADD0" w14:textId="33962DB8" w:rsidR="00F9480C" w:rsidRDefault="00F9480C" w:rsidP="00F9480C">
      <w:pPr>
        <w:spacing w:after="100" w:afterAutospacing="1" w:line="240" w:lineRule="auto"/>
        <w:jc w:val="both"/>
        <w:rPr>
          <w:rFonts w:ascii="Times New Roman" w:hAnsi="Times New Roman" w:cs="Times New Roman"/>
          <w:noProof/>
          <w:sz w:val="24"/>
          <w:szCs w:val="24"/>
        </w:rPr>
      </w:pPr>
      <w:r w:rsidRPr="3BD220EB">
        <w:rPr>
          <w:rFonts w:ascii="Times New Roman" w:hAnsi="Times New Roman" w:cs="Times New Roman"/>
          <w:noProof/>
          <w:sz w:val="24"/>
          <w:szCs w:val="24"/>
        </w:rPr>
        <w:t>The current setup also challenges the relevance of BEREC’s work on digital markets for certain industry and consumer representatives. External stakeholders want to engage more with BEREC in virtual events or public consultations, often ask for more time to respond to consultations, and for more transparency on upcoming initiatives.</w:t>
      </w:r>
      <w:r>
        <w:rPr>
          <w:rFonts w:ascii="Times New Roman" w:hAnsi="Times New Roman" w:cs="Times New Roman"/>
          <w:noProof/>
          <w:sz w:val="24"/>
          <w:szCs w:val="24"/>
        </w:rPr>
        <w:t xml:space="preserve"> In that regard</w:t>
      </w:r>
      <w:r w:rsidR="00EB088C">
        <w:rPr>
          <w:rFonts w:ascii="Times New Roman" w:hAnsi="Times New Roman" w:cs="Times New Roman"/>
          <w:noProof/>
          <w:sz w:val="24"/>
          <w:szCs w:val="24"/>
        </w:rPr>
        <w:t>,</w:t>
      </w:r>
      <w:r>
        <w:rPr>
          <w:rFonts w:ascii="Times New Roman" w:hAnsi="Times New Roman" w:cs="Times New Roman"/>
          <w:noProof/>
          <w:sz w:val="24"/>
          <w:szCs w:val="24"/>
        </w:rPr>
        <w:t xml:space="preserve"> during 2024 and 2025 BEREC has put significant emphasis on improving its effective communication with stakeholders, to ensure transparency, build trust and engage with stakeholders, ensuring that all its outputs remain relevant. This has been underlined as one of the aspects of strengthening BEREC capabilities in its Strategy for years </w:t>
      </w:r>
      <w:r w:rsidR="005C3501">
        <w:rPr>
          <w:rFonts w:ascii="Times New Roman" w:hAnsi="Times New Roman" w:cs="Times New Roman"/>
          <w:noProof/>
          <w:sz w:val="24"/>
          <w:szCs w:val="24"/>
        </w:rPr>
        <w:t xml:space="preserve">the </w:t>
      </w:r>
      <w:r>
        <w:rPr>
          <w:rFonts w:ascii="Times New Roman" w:hAnsi="Times New Roman" w:cs="Times New Roman"/>
          <w:noProof/>
          <w:sz w:val="24"/>
          <w:szCs w:val="24"/>
        </w:rPr>
        <w:t>2026-</w:t>
      </w:r>
      <w:r w:rsidR="005C3501">
        <w:rPr>
          <w:rFonts w:ascii="Times New Roman" w:hAnsi="Times New Roman" w:cs="Times New Roman"/>
          <w:noProof/>
          <w:sz w:val="24"/>
          <w:szCs w:val="24"/>
        </w:rPr>
        <w:t>20</w:t>
      </w:r>
      <w:r>
        <w:rPr>
          <w:rFonts w:ascii="Times New Roman" w:hAnsi="Times New Roman" w:cs="Times New Roman"/>
          <w:noProof/>
          <w:sz w:val="24"/>
          <w:szCs w:val="24"/>
        </w:rPr>
        <w:t xml:space="preserve">30, which aims to set BEREC </w:t>
      </w:r>
      <w:r w:rsidRPr="61654870">
        <w:rPr>
          <w:rFonts w:ascii="Times New Roman" w:hAnsi="Times New Roman" w:cs="Times New Roman"/>
          <w:noProof/>
          <w:sz w:val="24"/>
          <w:szCs w:val="24"/>
        </w:rPr>
        <w:t>priorities</w:t>
      </w:r>
      <w:r>
        <w:rPr>
          <w:rFonts w:ascii="Times New Roman" w:hAnsi="Times New Roman" w:cs="Times New Roman"/>
          <w:noProof/>
          <w:sz w:val="24"/>
          <w:szCs w:val="24"/>
        </w:rPr>
        <w:t xml:space="preserve"> for the upcoming 5 years. </w:t>
      </w:r>
    </w:p>
    <w:p w14:paraId="1BC5B532" w14:textId="77777777" w:rsidR="00F9480C" w:rsidRPr="00F9480C" w:rsidRDefault="00F9480C" w:rsidP="00F9480C">
      <w:pPr>
        <w:pStyle w:val="Heading1"/>
        <w:numPr>
          <w:ilvl w:val="0"/>
          <w:numId w:val="1"/>
        </w:numPr>
        <w:rPr>
          <w:rFonts w:ascii="Times New Roman" w:eastAsia="Times New Roman" w:hAnsi="Times New Roman" w:cs="Times New Roman"/>
          <w:b/>
          <w:smallCaps/>
          <w:noProof/>
          <w:color w:val="auto"/>
          <w:sz w:val="24"/>
          <w:szCs w:val="20"/>
        </w:rPr>
      </w:pPr>
      <w:r w:rsidRPr="00F9480C">
        <w:rPr>
          <w:rFonts w:ascii="Times New Roman" w:eastAsia="Times New Roman" w:hAnsi="Times New Roman" w:cs="Times New Roman"/>
          <w:b/>
          <w:smallCaps/>
          <w:noProof/>
          <w:color w:val="auto"/>
          <w:sz w:val="24"/>
          <w:szCs w:val="20"/>
        </w:rPr>
        <w:t>Conclusions</w:t>
      </w:r>
    </w:p>
    <w:p w14:paraId="0AC4EE39" w14:textId="77777777" w:rsidR="00F9480C" w:rsidRPr="0001510F"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This report, and its accompanying Staff Working Document, mainly look backwards, into the performance of BEREC and the BEREC Office over the period 2019-2023</w:t>
      </w:r>
      <w:r>
        <w:rPr>
          <w:rFonts w:ascii="Times New Roman" w:hAnsi="Times New Roman" w:cs="Times New Roman"/>
          <w:noProof/>
          <w:sz w:val="24"/>
          <w:szCs w:val="24"/>
        </w:rPr>
        <w:t>, while also taking into account main developments until December 2025. This report</w:t>
      </w:r>
      <w:r w:rsidRPr="0D2B9B9B">
        <w:rPr>
          <w:rFonts w:ascii="Times New Roman" w:hAnsi="Times New Roman" w:cs="Times New Roman"/>
          <w:noProof/>
          <w:sz w:val="24"/>
          <w:szCs w:val="24"/>
        </w:rPr>
        <w:t xml:space="preserve"> draw</w:t>
      </w:r>
      <w:r>
        <w:rPr>
          <w:rFonts w:ascii="Times New Roman" w:hAnsi="Times New Roman" w:cs="Times New Roman"/>
          <w:noProof/>
          <w:sz w:val="24"/>
          <w:szCs w:val="24"/>
        </w:rPr>
        <w:t>s</w:t>
      </w:r>
      <w:r w:rsidRPr="0D2B9B9B">
        <w:rPr>
          <w:rFonts w:ascii="Times New Roman" w:hAnsi="Times New Roman" w:cs="Times New Roman"/>
          <w:noProof/>
          <w:sz w:val="24"/>
          <w:szCs w:val="24"/>
        </w:rPr>
        <w:t xml:space="preserve"> a number of lessons from this analysis, including on the mandate and the organisation of BEREC and the BEREC Office. </w:t>
      </w:r>
    </w:p>
    <w:p w14:paraId="3FF3B6E1" w14:textId="77777777" w:rsidR="00F9480C" w:rsidRDefault="00F9480C" w:rsidP="00F9480C">
      <w:pPr>
        <w:spacing w:after="100" w:afterAutospacing="1" w:line="240" w:lineRule="auto"/>
        <w:jc w:val="both"/>
        <w:rPr>
          <w:rFonts w:ascii="Times New Roman" w:hAnsi="Times New Roman" w:cs="Times New Roman"/>
          <w:noProof/>
          <w:sz w:val="24"/>
          <w:szCs w:val="24"/>
        </w:rPr>
      </w:pPr>
      <w:r w:rsidRPr="0D2B9B9B">
        <w:rPr>
          <w:rFonts w:ascii="Times New Roman" w:hAnsi="Times New Roman" w:cs="Times New Roman"/>
          <w:noProof/>
          <w:sz w:val="24"/>
          <w:szCs w:val="24"/>
        </w:rPr>
        <w:t>Overall, BEREC and the BEREC Office have proven to be quite effective in delivering on their main objectives. The contribution of independent NRAs, which share the same objectives, is essential in this respect.</w:t>
      </w:r>
      <w:r>
        <w:rPr>
          <w:rFonts w:ascii="Times New Roman" w:hAnsi="Times New Roman" w:cs="Times New Roman"/>
          <w:noProof/>
          <w:sz w:val="24"/>
          <w:szCs w:val="24"/>
        </w:rPr>
        <w:t xml:space="preserve"> </w:t>
      </w:r>
    </w:p>
    <w:p w14:paraId="03BBBC18" w14:textId="1469D8E4" w:rsidR="00F9480C" w:rsidRDefault="00F9480C" w:rsidP="00F9480C">
      <w:pPr>
        <w:spacing w:after="100" w:afterAutospacing="1" w:line="240" w:lineRule="auto"/>
        <w:jc w:val="both"/>
        <w:rPr>
          <w:rFonts w:ascii="Times New Roman" w:hAnsi="Times New Roman" w:cs="Times New Roman"/>
          <w:noProof/>
          <w:sz w:val="24"/>
          <w:szCs w:val="24"/>
        </w:rPr>
      </w:pPr>
      <w:r w:rsidRPr="3BD220EB">
        <w:rPr>
          <w:rFonts w:ascii="Times New Roman" w:hAnsi="Times New Roman" w:cs="Times New Roman"/>
          <w:noProof/>
          <w:sz w:val="24"/>
          <w:szCs w:val="24"/>
        </w:rPr>
        <w:t xml:space="preserve">However, the situation has been developing over the reporting period and continues to evolve significantly. </w:t>
      </w:r>
      <w:r w:rsidRPr="00875954">
        <w:rPr>
          <w:rFonts w:ascii="Times New Roman" w:hAnsi="Times New Roman" w:cs="Times New Roman"/>
          <w:noProof/>
          <w:sz w:val="24"/>
          <w:szCs w:val="24"/>
        </w:rPr>
        <w:t>More complex and interrelated digital markets have led to the enactment of new rules</w:t>
      </w:r>
      <w:r w:rsidRPr="0D2B9B9B">
        <w:rPr>
          <w:rFonts w:ascii="Times New Roman" w:hAnsi="Times New Roman" w:cs="Times New Roman"/>
          <w:noProof/>
          <w:sz w:val="24"/>
          <w:szCs w:val="24"/>
        </w:rPr>
        <w:t xml:space="preserve"> and new </w:t>
      </w:r>
      <w:r>
        <w:rPr>
          <w:rFonts w:ascii="Times New Roman" w:hAnsi="Times New Roman" w:cs="Times New Roman"/>
          <w:noProof/>
          <w:sz w:val="24"/>
          <w:szCs w:val="24"/>
        </w:rPr>
        <w:t xml:space="preserve">tasks </w:t>
      </w:r>
      <w:r w:rsidRPr="0D2B9B9B">
        <w:rPr>
          <w:rFonts w:ascii="Times New Roman" w:hAnsi="Times New Roman" w:cs="Times New Roman"/>
          <w:noProof/>
          <w:sz w:val="24"/>
          <w:szCs w:val="24"/>
        </w:rPr>
        <w:t xml:space="preserve">granted to </w:t>
      </w:r>
      <w:r>
        <w:rPr>
          <w:rFonts w:ascii="Times New Roman" w:hAnsi="Times New Roman" w:cs="Times New Roman"/>
          <w:noProof/>
          <w:sz w:val="24"/>
          <w:szCs w:val="24"/>
        </w:rPr>
        <w:t xml:space="preserve">many </w:t>
      </w:r>
      <w:r w:rsidRPr="0D2B9B9B">
        <w:rPr>
          <w:rFonts w:ascii="Times New Roman" w:hAnsi="Times New Roman" w:cs="Times New Roman"/>
          <w:noProof/>
          <w:sz w:val="24"/>
          <w:szCs w:val="24"/>
        </w:rPr>
        <w:t xml:space="preserve">BEREC members in e.g. digital markets, cybersecurity, </w:t>
      </w:r>
      <w:r>
        <w:rPr>
          <w:rFonts w:ascii="Times New Roman" w:hAnsi="Times New Roman" w:cs="Times New Roman"/>
          <w:noProof/>
          <w:sz w:val="24"/>
          <w:szCs w:val="24"/>
        </w:rPr>
        <w:t>spectrum</w:t>
      </w:r>
      <w:r w:rsidRPr="0D2B9B9B">
        <w:rPr>
          <w:rFonts w:ascii="Times New Roman" w:hAnsi="Times New Roman" w:cs="Times New Roman"/>
          <w:noProof/>
          <w:sz w:val="24"/>
          <w:szCs w:val="24"/>
        </w:rPr>
        <w:t>,</w:t>
      </w:r>
      <w:r>
        <w:rPr>
          <w:rFonts w:ascii="Times New Roman" w:hAnsi="Times New Roman" w:cs="Times New Roman"/>
          <w:noProof/>
          <w:sz w:val="24"/>
          <w:szCs w:val="24"/>
        </w:rPr>
        <w:t xml:space="preserve"> data, AI</w:t>
      </w:r>
      <w:r w:rsidR="005C3501">
        <w:rPr>
          <w:rFonts w:ascii="Times New Roman" w:hAnsi="Times New Roman" w:cs="Times New Roman"/>
          <w:noProof/>
          <w:sz w:val="24"/>
          <w:szCs w:val="24"/>
        </w:rPr>
        <w:t>,</w:t>
      </w:r>
      <w:r w:rsidRPr="0D2B9B9B">
        <w:rPr>
          <w:rFonts w:ascii="Times New Roman" w:hAnsi="Times New Roman" w:cs="Times New Roman"/>
          <w:noProof/>
          <w:sz w:val="24"/>
          <w:szCs w:val="24"/>
        </w:rPr>
        <w:t xml:space="preserve"> </w:t>
      </w:r>
      <w:r>
        <w:rPr>
          <w:rFonts w:ascii="Times New Roman" w:hAnsi="Times New Roman" w:cs="Times New Roman"/>
          <w:noProof/>
          <w:sz w:val="24"/>
          <w:szCs w:val="24"/>
        </w:rPr>
        <w:t xml:space="preserve">which </w:t>
      </w:r>
      <w:r w:rsidRPr="0D2B9B9B">
        <w:rPr>
          <w:rFonts w:ascii="Times New Roman" w:hAnsi="Times New Roman" w:cs="Times New Roman"/>
          <w:noProof/>
          <w:sz w:val="24"/>
          <w:szCs w:val="24"/>
        </w:rPr>
        <w:t>are not always reflected in BEREC’s mandate</w:t>
      </w:r>
      <w:r>
        <w:rPr>
          <w:rFonts w:ascii="Times New Roman" w:hAnsi="Times New Roman" w:cs="Times New Roman"/>
          <w:noProof/>
          <w:sz w:val="24"/>
          <w:szCs w:val="24"/>
        </w:rPr>
        <w:t xml:space="preserve">. This is </w:t>
      </w:r>
      <w:r w:rsidRPr="00875954">
        <w:rPr>
          <w:rFonts w:ascii="Times New Roman" w:hAnsi="Times New Roman" w:cs="Times New Roman"/>
          <w:noProof/>
          <w:sz w:val="24"/>
          <w:szCs w:val="24"/>
        </w:rPr>
        <w:t xml:space="preserve">increasing the asymmetry between NRAs’ responsibilities at national level, as well as between NRAs’ responsibilities and BEREC’s mandate. </w:t>
      </w:r>
      <w:r>
        <w:rPr>
          <w:rFonts w:ascii="Times New Roman" w:eastAsiaTheme="minorEastAsia" w:hAnsi="Times New Roman"/>
          <w:noProof/>
          <w:sz w:val="24"/>
          <w:szCs w:val="24"/>
        </w:rPr>
        <w:t>Moreover, r</w:t>
      </w:r>
      <w:r w:rsidRPr="00087EF4">
        <w:rPr>
          <w:rFonts w:ascii="Times New Roman" w:eastAsiaTheme="minorEastAsia" w:hAnsi="Times New Roman"/>
          <w:noProof/>
          <w:sz w:val="24"/>
          <w:szCs w:val="24"/>
        </w:rPr>
        <w:t xml:space="preserve">ecent </w:t>
      </w:r>
      <w:r>
        <w:rPr>
          <w:rFonts w:ascii="Times New Roman" w:eastAsiaTheme="minorEastAsia" w:hAnsi="Times New Roman"/>
          <w:noProof/>
          <w:sz w:val="24"/>
          <w:szCs w:val="24"/>
        </w:rPr>
        <w:t xml:space="preserve">market and </w:t>
      </w:r>
      <w:r w:rsidRPr="00087EF4">
        <w:rPr>
          <w:rFonts w:ascii="Times New Roman" w:eastAsiaTheme="minorEastAsia" w:hAnsi="Times New Roman"/>
          <w:noProof/>
          <w:sz w:val="24"/>
          <w:szCs w:val="24"/>
        </w:rPr>
        <w:t xml:space="preserve">technological changes </w:t>
      </w:r>
      <w:r>
        <w:rPr>
          <w:rFonts w:ascii="Times New Roman" w:eastAsiaTheme="minorEastAsia" w:hAnsi="Times New Roman"/>
          <w:noProof/>
          <w:sz w:val="24"/>
          <w:szCs w:val="24"/>
        </w:rPr>
        <w:t xml:space="preserve">are </w:t>
      </w:r>
      <w:r w:rsidRPr="00087EF4">
        <w:rPr>
          <w:rFonts w:ascii="Times New Roman" w:eastAsiaTheme="minorEastAsia" w:hAnsi="Times New Roman"/>
          <w:noProof/>
          <w:sz w:val="24"/>
          <w:szCs w:val="24"/>
        </w:rPr>
        <w:t>crea</w:t>
      </w:r>
      <w:r>
        <w:rPr>
          <w:rFonts w:ascii="Times New Roman" w:eastAsiaTheme="minorEastAsia" w:hAnsi="Times New Roman"/>
          <w:noProof/>
          <w:sz w:val="24"/>
          <w:szCs w:val="24"/>
        </w:rPr>
        <w:t>ting</w:t>
      </w:r>
      <w:r w:rsidRPr="00087EF4">
        <w:rPr>
          <w:rFonts w:ascii="Times New Roman" w:eastAsiaTheme="minorEastAsia" w:hAnsi="Times New Roman"/>
          <w:noProof/>
          <w:sz w:val="24"/>
          <w:szCs w:val="24"/>
        </w:rPr>
        <w:t xml:space="preserve"> </w:t>
      </w:r>
      <w:r>
        <w:rPr>
          <w:rFonts w:ascii="Times New Roman" w:eastAsiaTheme="minorEastAsia" w:hAnsi="Times New Roman"/>
          <w:noProof/>
          <w:sz w:val="24"/>
          <w:szCs w:val="24"/>
        </w:rPr>
        <w:t>opportunities and challenges for the sector, as indicated in the Commission’s White Paper on digital infrastructure needs.</w:t>
      </w:r>
    </w:p>
    <w:p w14:paraId="542B9CD7" w14:textId="61BAD536" w:rsidR="00F9480C" w:rsidRPr="00875954"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These developments are</w:t>
      </w:r>
      <w:r w:rsidRPr="00875954">
        <w:rPr>
          <w:rFonts w:ascii="Times New Roman" w:hAnsi="Times New Roman" w:cs="Times New Roman"/>
          <w:noProof/>
          <w:sz w:val="24"/>
          <w:szCs w:val="24"/>
        </w:rPr>
        <w:t xml:space="preserve"> pleading for more coordination and exchange of information at national level or the direct involvement </w:t>
      </w:r>
      <w:r w:rsidR="00D11F92">
        <w:rPr>
          <w:rFonts w:ascii="Times New Roman" w:hAnsi="Times New Roman" w:cs="Times New Roman"/>
          <w:noProof/>
          <w:sz w:val="24"/>
          <w:szCs w:val="24"/>
        </w:rPr>
        <w:t xml:space="preserve">of </w:t>
      </w:r>
      <w:r w:rsidRPr="00875954">
        <w:rPr>
          <w:rFonts w:ascii="Times New Roman" w:hAnsi="Times New Roman" w:cs="Times New Roman"/>
          <w:noProof/>
          <w:sz w:val="24"/>
          <w:szCs w:val="24"/>
        </w:rPr>
        <w:t xml:space="preserve">other competent authorities in the work of BEREC, which could improve its effectiveness. </w:t>
      </w:r>
      <w:r w:rsidRPr="3BD220EB">
        <w:rPr>
          <w:rFonts w:ascii="Times New Roman" w:hAnsi="Times New Roman" w:cs="Times New Roman"/>
          <w:noProof/>
          <w:sz w:val="24"/>
          <w:szCs w:val="24"/>
        </w:rPr>
        <w:t>Moreover, changes occur in the electronic communications sector itself, with evolving competitive conditions and blurring delineation between different asp</w:t>
      </w:r>
      <w:r w:rsidRPr="1A052D6E">
        <w:rPr>
          <w:rFonts w:ascii="Times New Roman" w:hAnsi="Times New Roman" w:cs="Times New Roman"/>
          <w:noProof/>
          <w:sz w:val="24"/>
          <w:szCs w:val="24"/>
        </w:rPr>
        <w:t>ects</w:t>
      </w:r>
      <w:r w:rsidRPr="3BD220EB">
        <w:rPr>
          <w:rFonts w:ascii="Times New Roman" w:hAnsi="Times New Roman" w:cs="Times New Roman"/>
          <w:noProof/>
          <w:sz w:val="24"/>
          <w:szCs w:val="24"/>
        </w:rPr>
        <w:t xml:space="preserve"> of digital networks and electronic communication</w:t>
      </w:r>
      <w:r w:rsidR="00555AB3">
        <w:rPr>
          <w:rFonts w:ascii="Times New Roman" w:hAnsi="Times New Roman" w:cs="Times New Roman"/>
          <w:noProof/>
          <w:sz w:val="24"/>
          <w:szCs w:val="24"/>
        </w:rPr>
        <w:t>s</w:t>
      </w:r>
      <w:r w:rsidRPr="3BD220EB">
        <w:rPr>
          <w:rFonts w:ascii="Times New Roman" w:hAnsi="Times New Roman" w:cs="Times New Roman"/>
          <w:noProof/>
          <w:sz w:val="24"/>
          <w:szCs w:val="24"/>
        </w:rPr>
        <w:t xml:space="preserve"> and digital services. These developments are </w:t>
      </w:r>
      <w:r>
        <w:rPr>
          <w:rFonts w:ascii="Times New Roman" w:hAnsi="Times New Roman" w:cs="Times New Roman"/>
          <w:noProof/>
          <w:sz w:val="24"/>
          <w:szCs w:val="24"/>
        </w:rPr>
        <w:t xml:space="preserve">calling for sustaining and broadening BEREC’s role and expertise, as also recognised by BEREC itself, while underlining the need for </w:t>
      </w:r>
      <w:r w:rsidR="005C3501">
        <w:rPr>
          <w:rFonts w:ascii="Times New Roman" w:hAnsi="Times New Roman" w:cs="Times New Roman"/>
          <w:noProof/>
          <w:sz w:val="24"/>
          <w:szCs w:val="24"/>
        </w:rPr>
        <w:t xml:space="preserve">a </w:t>
      </w:r>
      <w:r>
        <w:rPr>
          <w:rFonts w:ascii="Times New Roman" w:hAnsi="Times New Roman" w:cs="Times New Roman"/>
          <w:noProof/>
          <w:sz w:val="24"/>
          <w:szCs w:val="24"/>
        </w:rPr>
        <w:t>clear delineation of new responsibilities and accountability of various institutional actors, and preserving BEREC</w:t>
      </w:r>
      <w:r w:rsidR="00C02EA9">
        <w:rPr>
          <w:rFonts w:ascii="Times New Roman" w:hAnsi="Times New Roman" w:cs="Times New Roman"/>
          <w:noProof/>
          <w:sz w:val="24"/>
          <w:szCs w:val="24"/>
        </w:rPr>
        <w:t>’s</w:t>
      </w:r>
      <w:r>
        <w:rPr>
          <w:rFonts w:ascii="Times New Roman" w:hAnsi="Times New Roman" w:cs="Times New Roman"/>
          <w:noProof/>
          <w:sz w:val="24"/>
          <w:szCs w:val="24"/>
        </w:rPr>
        <w:t xml:space="preserve"> and NRAs</w:t>
      </w:r>
      <w:r w:rsidR="00C02EA9">
        <w:rPr>
          <w:rFonts w:ascii="Times New Roman" w:hAnsi="Times New Roman" w:cs="Times New Roman"/>
          <w:noProof/>
          <w:sz w:val="24"/>
          <w:szCs w:val="24"/>
        </w:rPr>
        <w:t>’</w:t>
      </w:r>
      <w:r>
        <w:rPr>
          <w:rFonts w:ascii="Times New Roman" w:hAnsi="Times New Roman" w:cs="Times New Roman"/>
          <w:noProof/>
          <w:sz w:val="24"/>
          <w:szCs w:val="24"/>
        </w:rPr>
        <w:t xml:space="preserve"> independence.  </w:t>
      </w:r>
    </w:p>
    <w:sectPr w:rsidR="00F9480C" w:rsidRPr="00875954" w:rsidSect="00F9480C">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2A00F" w14:textId="77777777" w:rsidR="00C42D9C" w:rsidRDefault="00C42D9C" w:rsidP="00F9480C">
      <w:pPr>
        <w:spacing w:after="0" w:line="240" w:lineRule="auto"/>
      </w:pPr>
      <w:r>
        <w:separator/>
      </w:r>
    </w:p>
  </w:endnote>
  <w:endnote w:type="continuationSeparator" w:id="0">
    <w:p w14:paraId="657DBBCF" w14:textId="77777777" w:rsidR="00C42D9C" w:rsidRDefault="00C42D9C" w:rsidP="00F9480C">
      <w:pPr>
        <w:spacing w:after="0" w:line="240" w:lineRule="auto"/>
      </w:pPr>
      <w:r>
        <w:continuationSeparator/>
      </w:r>
    </w:p>
  </w:endnote>
  <w:endnote w:type="continuationNotice" w:id="1">
    <w:p w14:paraId="09C46EEC" w14:textId="77777777" w:rsidR="0072369A" w:rsidRDefault="00723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4D3B4" w14:textId="05C39447" w:rsidR="00BB4E35" w:rsidRPr="00BB4E35" w:rsidRDefault="00BB4E35" w:rsidP="00BB4E35">
    <w:pPr>
      <w:pStyle w:val="FooterCoverPage"/>
      <w:rPr>
        <w:rFonts w:ascii="Arial" w:hAnsi="Arial" w:cs="Arial"/>
        <w:b/>
        <w:sz w:val="48"/>
      </w:rPr>
    </w:pPr>
    <w:r w:rsidRPr="00BB4E35">
      <w:rPr>
        <w:rFonts w:ascii="Arial" w:hAnsi="Arial" w:cs="Arial"/>
        <w:b/>
        <w:sz w:val="48"/>
      </w:rPr>
      <w:t>EN</w:t>
    </w:r>
    <w:r w:rsidRPr="00BB4E35">
      <w:rPr>
        <w:rFonts w:ascii="Arial" w:hAnsi="Arial" w:cs="Arial"/>
        <w:b/>
        <w:sz w:val="48"/>
      </w:rPr>
      <w:tab/>
    </w:r>
    <w:r w:rsidRPr="00BB4E35">
      <w:rPr>
        <w:rFonts w:ascii="Arial" w:hAnsi="Arial" w:cs="Arial"/>
        <w:b/>
        <w:sz w:val="48"/>
      </w:rPr>
      <w:tab/>
    </w:r>
    <w:r w:rsidRPr="00BB4E35">
      <w:tab/>
    </w:r>
    <w:r w:rsidRPr="00BB4E3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8394C" w14:textId="4C9917E4" w:rsidR="00BB4E35" w:rsidRPr="00BB4E35" w:rsidRDefault="00BB4E35" w:rsidP="00BB4E35">
    <w:pPr>
      <w:pStyle w:val="FooterCoverPage"/>
      <w:rPr>
        <w:rFonts w:ascii="Arial" w:hAnsi="Arial" w:cs="Arial"/>
        <w:b/>
        <w:sz w:val="48"/>
      </w:rPr>
    </w:pPr>
    <w:r w:rsidRPr="00BB4E35">
      <w:rPr>
        <w:rFonts w:ascii="Arial" w:hAnsi="Arial" w:cs="Arial"/>
        <w:b/>
        <w:sz w:val="48"/>
      </w:rPr>
      <w:t>EN</w:t>
    </w:r>
    <w:r w:rsidRPr="00BB4E35">
      <w:rPr>
        <w:rFonts w:ascii="Arial" w:hAnsi="Arial" w:cs="Arial"/>
        <w:b/>
        <w:sz w:val="48"/>
      </w:rPr>
      <w:tab/>
    </w:r>
    <w:r w:rsidRPr="00BB4E35">
      <w:rPr>
        <w:rFonts w:ascii="Arial" w:hAnsi="Arial" w:cs="Arial"/>
        <w:b/>
        <w:sz w:val="48"/>
      </w:rPr>
      <w:tab/>
    </w:r>
    <w:r w:rsidRPr="00BB4E35">
      <w:tab/>
    </w:r>
    <w:r w:rsidRPr="00BB4E3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41A51" w14:textId="77777777" w:rsidR="00BB4E35" w:rsidRPr="00BB4E35" w:rsidRDefault="00BB4E35" w:rsidP="00BB4E3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EEC0E" w14:textId="77777777" w:rsidR="00716395" w:rsidRPr="00F9480C" w:rsidRDefault="00716395" w:rsidP="00F9480C">
    <w:pPr>
      <w:pStyle w:val="FooterCoverPage"/>
      <w:rPr>
        <w:rFonts w:ascii="Arial" w:hAnsi="Arial" w:cs="Arial"/>
        <w:b/>
        <w:sz w:val="48"/>
      </w:rPr>
    </w:pPr>
    <w:r w:rsidRPr="00F9480C">
      <w:rPr>
        <w:rFonts w:ascii="Arial" w:hAnsi="Arial" w:cs="Arial"/>
        <w:b/>
        <w:sz w:val="48"/>
      </w:rPr>
      <w:t>EN</w:t>
    </w:r>
    <w:r w:rsidRPr="00F9480C">
      <w:rPr>
        <w:rFonts w:ascii="Arial" w:hAnsi="Arial" w:cs="Arial"/>
        <w:b/>
        <w:sz w:val="48"/>
      </w:rPr>
      <w:tab/>
    </w:r>
    <w:r w:rsidRPr="00F9480C">
      <w:rPr>
        <w:rFonts w:ascii="Arial" w:hAnsi="Arial" w:cs="Arial"/>
        <w:b/>
        <w:sz w:val="48"/>
      </w:rPr>
      <w:tab/>
    </w:r>
    <w:r w:rsidRPr="00F9480C">
      <w:tab/>
    </w:r>
    <w:r w:rsidRPr="00F9480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78142225"/>
      <w:docPartObj>
        <w:docPartGallery w:val="Page Numbers (Bottom of Page)"/>
        <w:docPartUnique/>
      </w:docPartObj>
    </w:sdtPr>
    <w:sdtEndPr>
      <w:rPr>
        <w:noProof/>
      </w:rPr>
    </w:sdtEndPr>
    <w:sdtContent>
      <w:p w14:paraId="3996A22E" w14:textId="020FDE2C" w:rsidR="00CE4890" w:rsidRPr="00CE4890" w:rsidRDefault="00CE4890">
        <w:pPr>
          <w:pStyle w:val="Footer"/>
          <w:jc w:val="right"/>
          <w:rPr>
            <w:rFonts w:ascii="Times New Roman" w:hAnsi="Times New Roman" w:cs="Times New Roman"/>
          </w:rPr>
        </w:pPr>
        <w:r w:rsidRPr="00CE4890">
          <w:rPr>
            <w:rFonts w:ascii="Times New Roman" w:hAnsi="Times New Roman" w:cs="Times New Roman"/>
          </w:rPr>
          <w:fldChar w:fldCharType="begin"/>
        </w:r>
        <w:r w:rsidRPr="00CE4890">
          <w:rPr>
            <w:rFonts w:ascii="Times New Roman" w:hAnsi="Times New Roman" w:cs="Times New Roman"/>
          </w:rPr>
          <w:instrText xml:space="preserve"> PAGE   \* MERGEFORMAT </w:instrText>
        </w:r>
        <w:r w:rsidRPr="00CE4890">
          <w:rPr>
            <w:rFonts w:ascii="Times New Roman" w:hAnsi="Times New Roman" w:cs="Times New Roman"/>
          </w:rPr>
          <w:fldChar w:fldCharType="separate"/>
        </w:r>
        <w:r w:rsidR="00BB4E35">
          <w:rPr>
            <w:rFonts w:ascii="Times New Roman" w:hAnsi="Times New Roman" w:cs="Times New Roman"/>
            <w:noProof/>
          </w:rPr>
          <w:t>1</w:t>
        </w:r>
        <w:r w:rsidRPr="00CE4890">
          <w:rPr>
            <w:rFonts w:ascii="Times New Roman" w:hAnsi="Times New Roman" w:cs="Times New Roman"/>
            <w:noProof/>
          </w:rPr>
          <w:fldChar w:fldCharType="end"/>
        </w:r>
      </w:p>
    </w:sdtContent>
  </w:sdt>
  <w:p w14:paraId="654AC1F1" w14:textId="77777777" w:rsidR="00F9480C" w:rsidRPr="00CE4890" w:rsidRDefault="00F9480C">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B197" w14:textId="77777777" w:rsidR="00716395" w:rsidRDefault="00716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4CD46" w14:textId="77777777" w:rsidR="00C42D9C" w:rsidRDefault="00C42D9C" w:rsidP="00F9480C">
      <w:pPr>
        <w:spacing w:after="0" w:line="240" w:lineRule="auto"/>
      </w:pPr>
      <w:r>
        <w:separator/>
      </w:r>
    </w:p>
  </w:footnote>
  <w:footnote w:type="continuationSeparator" w:id="0">
    <w:p w14:paraId="375CE53A" w14:textId="77777777" w:rsidR="00C42D9C" w:rsidRDefault="00C42D9C" w:rsidP="00F9480C">
      <w:pPr>
        <w:spacing w:after="0" w:line="240" w:lineRule="auto"/>
      </w:pPr>
      <w:r>
        <w:continuationSeparator/>
      </w:r>
    </w:p>
  </w:footnote>
  <w:footnote w:type="continuationNotice" w:id="1">
    <w:p w14:paraId="0C296F33" w14:textId="77777777" w:rsidR="0072369A" w:rsidRDefault="0072369A">
      <w:pPr>
        <w:spacing w:after="0" w:line="240" w:lineRule="auto"/>
      </w:pPr>
    </w:p>
  </w:footnote>
  <w:footnote w:id="2">
    <w:p w14:paraId="282CBFD2" w14:textId="77777777" w:rsidR="00F9480C" w:rsidRPr="00F54A90" w:rsidRDefault="00F9480C" w:rsidP="00F9480C">
      <w:pPr>
        <w:pStyle w:val="FootnoteText"/>
      </w:pPr>
      <w:r>
        <w:rPr>
          <w:rStyle w:val="FootnoteReference"/>
        </w:rPr>
        <w:footnoteRef/>
      </w:r>
      <w:r w:rsidRPr="00F54A90">
        <w:t xml:space="preserve"> </w:t>
      </w:r>
      <w:r>
        <w:tab/>
      </w:r>
      <w:r w:rsidRPr="00BB3810">
        <w:t>Regulation (EU) 2018/1971 of the European Parliament and of the Council of 11 December 2018 establishing the Body of European Regulators for Electronic Communications (BEREC) and the Agency for Support for BEREC (BEREC Office), amending Regulation (EU) 2015/2120 and repealing Regulation (EC) No 1211/2009</w:t>
      </w:r>
      <w:r>
        <w:t xml:space="preserve">, </w:t>
      </w:r>
      <w:r w:rsidRPr="002C2146">
        <w:t>OJ L 321, 17.12.2018, p. 1–35</w:t>
      </w:r>
      <w:r>
        <w:t>.</w:t>
      </w:r>
    </w:p>
  </w:footnote>
  <w:footnote w:id="3">
    <w:p w14:paraId="57C79B5A" w14:textId="77777777" w:rsidR="00F9480C" w:rsidRPr="00826DC4" w:rsidRDefault="00F9480C" w:rsidP="00F9480C">
      <w:pPr>
        <w:pStyle w:val="FootnoteText"/>
      </w:pPr>
      <w:r>
        <w:rPr>
          <w:rStyle w:val="FootnoteReference"/>
        </w:rPr>
        <w:footnoteRef/>
      </w:r>
      <w:r>
        <w:t xml:space="preserve"> </w:t>
      </w:r>
      <w:r>
        <w:tab/>
        <w:t>Commission Staff Working Document: Better Regulation Guidelines, 03.11.2021, SWD(2021) 305 final.</w:t>
      </w:r>
    </w:p>
  </w:footnote>
  <w:footnote w:id="4">
    <w:p w14:paraId="1F9FB127" w14:textId="4333CF73" w:rsidR="00F9480C" w:rsidRPr="008B68B1" w:rsidRDefault="00F9480C" w:rsidP="00F9480C">
      <w:pPr>
        <w:pStyle w:val="FootnoteText"/>
      </w:pPr>
      <w:r>
        <w:rPr>
          <w:rStyle w:val="FootnoteReference"/>
        </w:rPr>
        <w:footnoteRef/>
      </w:r>
      <w:r>
        <w:t xml:space="preserve"> </w:t>
      </w:r>
      <w:r>
        <w:tab/>
        <w:t>Study supporting the Evaluat</w:t>
      </w:r>
      <w:r w:rsidR="00BC2A0C">
        <w:t>i</w:t>
      </w:r>
      <w:r>
        <w:t xml:space="preserve">on of BEREC and the BEREC Office, December 2023 by PPMI and PwC, not yet published. </w:t>
      </w:r>
    </w:p>
  </w:footnote>
  <w:footnote w:id="5">
    <w:p w14:paraId="4C5BD665" w14:textId="132EC203" w:rsidR="00F9480C" w:rsidRDefault="00F9480C" w:rsidP="00F9480C">
      <w:pPr>
        <w:rPr>
          <w:rFonts w:ascii="Times New Roman" w:eastAsia="Times New Roman" w:hAnsi="Times New Roman" w:cs="Times New Roman"/>
          <w:sz w:val="20"/>
          <w:szCs w:val="20"/>
        </w:rPr>
      </w:pPr>
      <w:r w:rsidRPr="00FD3788">
        <w:rPr>
          <w:rFonts w:ascii="Times New Roman" w:hAnsi="Times New Roman" w:cs="Times New Roman"/>
          <w:sz w:val="20"/>
          <w:szCs w:val="20"/>
          <w:vertAlign w:val="superscript"/>
        </w:rPr>
        <w:footnoteRef/>
      </w:r>
      <w:r>
        <w:rPr>
          <w:sz w:val="20"/>
          <w:szCs w:val="20"/>
        </w:rPr>
        <w:t xml:space="preserve"> </w:t>
      </w:r>
      <w:r w:rsidR="00883D2D">
        <w:rPr>
          <w:sz w:val="20"/>
          <w:szCs w:val="20"/>
        </w:rPr>
        <w:t xml:space="preserve">      </w:t>
      </w:r>
      <w:hyperlink r:id="rId1" w:history="1">
        <w:r>
          <w:rPr>
            <w:rStyle w:val="Hyperlink"/>
            <w:rFonts w:ascii="Times New Roman" w:eastAsia="Times New Roman" w:hAnsi="Times New Roman" w:cs="Times New Roman"/>
            <w:sz w:val="20"/>
            <w:szCs w:val="20"/>
          </w:rPr>
          <w:t xml:space="preserve">BEREC input to the European Commission on the functioning of BEREC and the BEREC Office, </w:t>
        </w:r>
      </w:hyperlink>
      <w:r w:rsidRPr="004F2925">
        <w:rPr>
          <w:rStyle w:val="Hyperlink"/>
          <w:rFonts w:ascii="Times New Roman" w:eastAsia="Times New Roman" w:hAnsi="Times New Roman" w:cs="Times New Roman"/>
          <w:sz w:val="20"/>
          <w:szCs w:val="20"/>
        </w:rPr>
        <w:t xml:space="preserve">BoR (23) 114 </w:t>
      </w:r>
    </w:p>
  </w:footnote>
  <w:footnote w:id="6">
    <w:p w14:paraId="7A3CC77D" w14:textId="77777777" w:rsidR="00F9480C" w:rsidRDefault="00F9480C" w:rsidP="00F9480C">
      <w:pPr>
        <w:pStyle w:val="FootnoteText"/>
        <w:rPr>
          <w:lang w:val="en-IE"/>
        </w:rPr>
      </w:pPr>
      <w:r>
        <w:rPr>
          <w:rStyle w:val="FootnoteReference"/>
        </w:rPr>
        <w:footnoteRef/>
      </w:r>
      <w:r>
        <w:t xml:space="preserve"> </w:t>
      </w:r>
      <w:r>
        <w:tab/>
        <w:t xml:space="preserve">SWD(2013) 152 final Commission Staff Working Document on the Evaluation Report of the Body of European Regulators for Electronic Communications (BEREC) and its office. </w:t>
      </w:r>
      <w:r>
        <w:rPr>
          <w:lang w:val="en-IE"/>
        </w:rPr>
        <w:t>Brussels, 23.4.2013.</w:t>
      </w:r>
    </w:p>
  </w:footnote>
  <w:footnote w:id="7">
    <w:p w14:paraId="08BE0EB5" w14:textId="77777777" w:rsidR="00F9480C" w:rsidRPr="005A56DE" w:rsidRDefault="00F9480C" w:rsidP="00F9480C">
      <w:pPr>
        <w:pStyle w:val="FootnoteText"/>
        <w:rPr>
          <w:lang w:val="en-IE"/>
        </w:rPr>
      </w:pPr>
      <w:r>
        <w:rPr>
          <w:rStyle w:val="FootnoteReference"/>
        </w:rPr>
        <w:footnoteRef/>
      </w:r>
      <w:r>
        <w:t xml:space="preserve"> </w:t>
      </w:r>
      <w:r>
        <w:tab/>
      </w:r>
      <w:r w:rsidRPr="00586885">
        <w:t>Directive (EU) 2018/1972 of the European Parliament and of the Council of 11 December 2018 establishing the European Electronic Communications Code</w:t>
      </w:r>
      <w:r>
        <w:t xml:space="preserve">, </w:t>
      </w:r>
      <w:r w:rsidRPr="00E07366">
        <w:t>OJ L 321, 17.12.2018, p. 36–214</w:t>
      </w:r>
      <w:r>
        <w:t>.</w:t>
      </w:r>
    </w:p>
  </w:footnote>
  <w:footnote w:id="8">
    <w:p w14:paraId="7E46F8D0" w14:textId="77777777" w:rsidR="00F9480C" w:rsidRPr="005A56DE" w:rsidRDefault="00F9480C" w:rsidP="00F9480C">
      <w:pPr>
        <w:pStyle w:val="FootnoteText"/>
        <w:rPr>
          <w:lang w:val="en-IE"/>
        </w:rPr>
      </w:pPr>
      <w:r>
        <w:rPr>
          <w:rStyle w:val="FootnoteReference"/>
        </w:rPr>
        <w:footnoteRef/>
      </w:r>
      <w:r>
        <w:t xml:space="preserve">    </w:t>
      </w:r>
      <w:r w:rsidRPr="00613A12">
        <w:t>Regulation (EU) 2022/612 of the European Parliament and of the Council of 6 April 2022 on roaming on public mobile communications networks within the Union</w:t>
      </w:r>
      <w:r>
        <w:t xml:space="preserve">, </w:t>
      </w:r>
      <w:r w:rsidRPr="000A105B">
        <w:t>OJ L 115, 13.4.2022, p. 1–37</w:t>
      </w:r>
      <w:r>
        <w:t xml:space="preserve">, which repealed </w:t>
      </w:r>
      <w:r w:rsidRPr="000074F4">
        <w:t>Regulation (EU) No 531/2012</w:t>
      </w:r>
      <w:r>
        <w:t xml:space="preserve"> referred to in the BEREC Regulation.</w:t>
      </w:r>
    </w:p>
  </w:footnote>
  <w:footnote w:id="9">
    <w:p w14:paraId="03C43336" w14:textId="77777777" w:rsidR="00F9480C" w:rsidRPr="005A56DE" w:rsidRDefault="00F9480C" w:rsidP="00F9480C">
      <w:pPr>
        <w:pStyle w:val="FootnoteText"/>
        <w:rPr>
          <w:lang w:val="en-IE"/>
        </w:rPr>
      </w:pPr>
      <w:r>
        <w:rPr>
          <w:rStyle w:val="FootnoteReference"/>
        </w:rPr>
        <w:footnoteRef/>
      </w:r>
      <w:r>
        <w:t xml:space="preserve"> </w:t>
      </w:r>
      <w:r>
        <w:tab/>
      </w:r>
      <w:r w:rsidRPr="00CA0451">
        <w:t>Regulation (EU) 2015/2120 of the European Parliament and of the Council of 25 November 2015 laying down measures concerning open internet access and amending Directive 2002/22/EC on universal service and users’ rights relating to electronic communications networks and services and Regulation (EU) No 531/2012 on roaming on public mobile communications networks within the Union</w:t>
      </w:r>
      <w:r>
        <w:t xml:space="preserve">, </w:t>
      </w:r>
      <w:r w:rsidRPr="00B11B90">
        <w:t>OJ L 310, 26.11.2015, p. 1–18</w:t>
      </w:r>
      <w:r>
        <w:t>.</w:t>
      </w:r>
    </w:p>
  </w:footnote>
  <w:footnote w:id="10">
    <w:p w14:paraId="18ED449C" w14:textId="77777777" w:rsidR="00F9480C" w:rsidRPr="001B3EB7" w:rsidRDefault="00F9480C" w:rsidP="00F9480C">
      <w:pPr>
        <w:pStyle w:val="FootnoteText"/>
      </w:pPr>
      <w:r>
        <w:rPr>
          <w:rStyle w:val="FootnoteReference"/>
        </w:rPr>
        <w:footnoteRef/>
      </w:r>
      <w:r>
        <w:t xml:space="preserve"> </w:t>
      </w:r>
      <w:r>
        <w:tab/>
      </w:r>
      <w:r w:rsidRPr="00821C4E">
        <w:t>https://www.berec.europa.eu/en/tasks/european-electronic-communications-code?language_content_entity=en</w:t>
      </w:r>
    </w:p>
  </w:footnote>
  <w:footnote w:id="11">
    <w:p w14:paraId="616DCBAB" w14:textId="77777777" w:rsidR="00F9480C" w:rsidRDefault="00F9480C" w:rsidP="00F9480C">
      <w:pPr>
        <w:pStyle w:val="FootnoteText"/>
        <w:rPr>
          <w:lang w:val="en-IE"/>
        </w:rPr>
      </w:pPr>
      <w:r w:rsidRPr="0D2B9B9B">
        <w:rPr>
          <w:rStyle w:val="FootnoteReference"/>
        </w:rPr>
        <w:footnoteRef/>
      </w:r>
      <w:r>
        <w:t xml:space="preserve"> </w:t>
      </w:r>
      <w:r>
        <w:tab/>
        <w:t>Regulation (EU) 2022/2065 of the European Parliament and of the Council of 19 October 2022 on a Single Market For Digital Services and amending Directive 2000/31/EC (Digital Services Act), OJ L 277, 27.10.2022, p. 1–102.</w:t>
      </w:r>
    </w:p>
  </w:footnote>
  <w:footnote w:id="12">
    <w:p w14:paraId="4C2B4566" w14:textId="35AA58CD" w:rsidR="00F9480C" w:rsidRDefault="00F9480C" w:rsidP="00F9480C">
      <w:pPr>
        <w:pStyle w:val="FootnoteText"/>
        <w:rPr>
          <w:lang w:val="en-IE"/>
        </w:rPr>
      </w:pPr>
      <w:r w:rsidRPr="0D2B9B9B">
        <w:rPr>
          <w:rStyle w:val="FootnoteReference"/>
        </w:rPr>
        <w:footnoteRef/>
      </w:r>
      <w:r>
        <w:t xml:space="preserve"> </w:t>
      </w:r>
      <w:r>
        <w:tab/>
      </w:r>
      <w:r w:rsidRPr="0093026A">
        <w:t>Regulation (EU) 2022/1925 of the European Parliament and of the Council of 14 September 2022 on contestable and fair markets in the digital sector and amending Directives (EU) 2019/1937 and (EU) 2020/1828 (Digital Markets Act)</w:t>
      </w:r>
      <w:r>
        <w:t xml:space="preserve">, </w:t>
      </w:r>
      <w:r w:rsidRPr="00C95292">
        <w:t>OJ L 265, 12.10.2022, p. 1–66</w:t>
      </w:r>
      <w:r>
        <w:t>.</w:t>
      </w:r>
    </w:p>
  </w:footnote>
  <w:footnote w:id="13">
    <w:p w14:paraId="33123192" w14:textId="77777777" w:rsidR="00F9480C" w:rsidRDefault="00F9480C" w:rsidP="00F9480C">
      <w:pPr>
        <w:pStyle w:val="FootnoteText"/>
        <w:rPr>
          <w:lang w:val="en-IE"/>
        </w:rPr>
      </w:pPr>
      <w:r w:rsidRPr="0D2B9B9B">
        <w:rPr>
          <w:rStyle w:val="FootnoteReference"/>
        </w:rPr>
        <w:footnoteRef/>
      </w:r>
      <w:r>
        <w:t xml:space="preserve"> </w:t>
      </w:r>
      <w:r>
        <w:tab/>
      </w:r>
      <w:r w:rsidRPr="00C95292">
        <w:t>Regulation (EU) 2023/2854 of the European Parliament and of the Council of 13 December 2023 on harmonised rules on fair access to and use of data and amending Regulation (EU) 2017/2394 and Directive (EU) 2020/1828 (Data Act)</w:t>
      </w:r>
      <w:r>
        <w:t xml:space="preserve">, </w:t>
      </w:r>
      <w:r w:rsidRPr="00C95292">
        <w:t>OJ L, 2023/2854, 22.12.2023</w:t>
      </w:r>
      <w:r>
        <w:t>.</w:t>
      </w:r>
    </w:p>
  </w:footnote>
  <w:footnote w:id="14">
    <w:p w14:paraId="5C048DDF" w14:textId="77777777" w:rsidR="00F9480C" w:rsidRDefault="00F9480C" w:rsidP="00F9480C">
      <w:pPr>
        <w:pStyle w:val="FootnoteText"/>
        <w:rPr>
          <w:lang w:val="en-IE"/>
        </w:rPr>
      </w:pPr>
      <w:r w:rsidRPr="0D2B9B9B">
        <w:rPr>
          <w:rStyle w:val="FootnoteReference"/>
        </w:rPr>
        <w:footnoteRef/>
      </w:r>
      <w:r>
        <w:t xml:space="preserve"> </w:t>
      </w:r>
      <w:r>
        <w:tab/>
      </w:r>
      <w:r w:rsidRPr="00C95292">
        <w:t>Regulation (EU) 2022/868 of the European Parliament and of the Council of 30 May 2022 on European data governance and amending Regulation (EU) 2018/1724 (Data Governance Act)</w:t>
      </w:r>
      <w:r>
        <w:t xml:space="preserve">, </w:t>
      </w:r>
      <w:r w:rsidRPr="006251E1">
        <w:t>OJ L 152, 3.6.2022, p. 1–44</w:t>
      </w:r>
      <w:r>
        <w:t>.</w:t>
      </w:r>
    </w:p>
  </w:footnote>
  <w:footnote w:id="15">
    <w:p w14:paraId="35C38A11" w14:textId="631D8B22" w:rsidR="00F9480C" w:rsidRPr="004A7E15" w:rsidRDefault="00F9480C" w:rsidP="00F9480C">
      <w:pPr>
        <w:pStyle w:val="FootnoteText"/>
      </w:pPr>
      <w:r>
        <w:rPr>
          <w:rStyle w:val="FootnoteReference"/>
        </w:rPr>
        <w:footnoteRef/>
      </w:r>
      <w:r>
        <w:t xml:space="preserve"> </w:t>
      </w:r>
      <w:r>
        <w:tab/>
      </w:r>
      <w:r w:rsidRPr="0022781D">
        <w:t>Regulation (EU) 2024/1689 of the European Parliament and of the Council of 13 June 2024 laying down harmonised rules on artificial intelligence</w:t>
      </w:r>
      <w:r>
        <w:t>,</w:t>
      </w:r>
      <w:r w:rsidRPr="00E02FA9">
        <w:t xml:space="preserve"> OJ L, 2024/1689</w:t>
      </w:r>
      <w:r w:rsidR="00027E09">
        <w:t>.</w:t>
      </w:r>
      <w:r>
        <w:t xml:space="preserve"> </w:t>
      </w:r>
    </w:p>
  </w:footnote>
  <w:footnote w:id="16">
    <w:p w14:paraId="299470CA" w14:textId="3E06E165" w:rsidR="00F9480C" w:rsidRPr="0044541A" w:rsidRDefault="00F9480C" w:rsidP="00F9480C">
      <w:pPr>
        <w:pStyle w:val="FootnoteText"/>
      </w:pPr>
      <w:r>
        <w:rPr>
          <w:rStyle w:val="FootnoteReference"/>
        </w:rPr>
        <w:footnoteRef/>
      </w:r>
      <w:r>
        <w:t xml:space="preserve"> </w:t>
      </w:r>
      <w:r>
        <w:tab/>
        <w:t>E</w:t>
      </w:r>
      <w:r w:rsidR="00131F0C">
        <w:t>.</w:t>
      </w:r>
      <w:r>
        <w:t>g. BEREC participates in the High-Level Group established under Art</w:t>
      </w:r>
      <w:r w:rsidR="00C87394">
        <w:t xml:space="preserve">icle </w:t>
      </w:r>
      <w:r>
        <w:t>40 of the DMA, alongside other bodies such as European Competition Network, Consumer Protection Cooperation Network, EDPS and EDPB. High Level Group provides advice and expertise to the Commission to ensure that DMA and other sectoral regulations applicable to gatekeepers are implemented in a coherent way. Similarly, certain provisions of the Data Act, namely those related to cloud switching (art</w:t>
      </w:r>
      <w:r w:rsidR="00C87394">
        <w:t>icles</w:t>
      </w:r>
      <w:r>
        <w:t xml:space="preserve"> 23 to 31, and art</w:t>
      </w:r>
      <w:r w:rsidR="00C87394">
        <w:t xml:space="preserve">icles </w:t>
      </w:r>
      <w:r>
        <w:t xml:space="preserve">34-35) should be enforced by competent authorities with experience in the field of data and electronic communications services; it is to be expected that many BEREC members may be assigned with such competences.   </w:t>
      </w:r>
    </w:p>
  </w:footnote>
  <w:footnote w:id="17">
    <w:p w14:paraId="3EB7BB37" w14:textId="77777777" w:rsidR="00F9480C" w:rsidRPr="00926164" w:rsidRDefault="00F9480C" w:rsidP="00F9480C">
      <w:pPr>
        <w:pStyle w:val="FootnoteText"/>
      </w:pPr>
      <w:r>
        <w:rPr>
          <w:rStyle w:val="FootnoteReference"/>
        </w:rPr>
        <w:footnoteRef/>
      </w:r>
      <w:r>
        <w:t xml:space="preserve"> </w:t>
      </w:r>
      <w:r>
        <w:tab/>
        <w:t>BEREC submission to the White Paper, p. 8 (</w:t>
      </w:r>
      <w:hyperlink r:id="rId2" w:history="1">
        <w:r w:rsidRPr="00A803AC">
          <w:rPr>
            <w:rStyle w:val="Hyperlink"/>
          </w:rPr>
          <w:t>https://www.berec.europa.eu/system/files/2024-07/BoR%20%2824%29%20100_1_%20BEREC%20Input_White%20Paper_final.pdf</w:t>
        </w:r>
      </w:hyperlink>
      <w:r>
        <w:t xml:space="preserve">). </w:t>
      </w:r>
    </w:p>
  </w:footnote>
  <w:footnote w:id="18">
    <w:p w14:paraId="299611E9" w14:textId="7A5D724B" w:rsidR="00F9480C" w:rsidRPr="00E90858" w:rsidRDefault="00F9480C" w:rsidP="00F9480C">
      <w:pPr>
        <w:pStyle w:val="FootnoteText"/>
      </w:pPr>
      <w:r>
        <w:rPr>
          <w:rStyle w:val="FootnoteReference"/>
        </w:rPr>
        <w:footnoteRef/>
      </w:r>
      <w:r>
        <w:t xml:space="preserve"> </w:t>
      </w:r>
      <w:r>
        <w:tab/>
        <w:t>That is, t</w:t>
      </w:r>
      <w:r w:rsidRPr="00E90858">
        <w:t xml:space="preserve">he ability to process and transport large amounts of data across the entire global Internet has led to the remote storage and processing of data in the cloud, between the cloud and the end-user through Content Delivery Networks (CDNs), and close to the end-user (edge computing). </w:t>
      </w:r>
      <w:r>
        <w:t>Cf. White Paper, p</w:t>
      </w:r>
      <w:r w:rsidR="008812FA">
        <w:t>.</w:t>
      </w:r>
      <w:r>
        <w:t xml:space="preserve"> 5</w:t>
      </w:r>
      <w:r w:rsidR="008812FA">
        <w:t>.</w:t>
      </w:r>
    </w:p>
  </w:footnote>
  <w:footnote w:id="19">
    <w:p w14:paraId="39C0B63B" w14:textId="6E4813B7" w:rsidR="00D36378" w:rsidRPr="00D36378" w:rsidRDefault="00D36378">
      <w:pPr>
        <w:pStyle w:val="FootnoteText"/>
      </w:pPr>
      <w:r>
        <w:rPr>
          <w:rStyle w:val="FootnoteReference"/>
        </w:rPr>
        <w:footnoteRef/>
      </w:r>
      <w:r>
        <w:t xml:space="preserve"> </w:t>
      </w:r>
      <w:r>
        <w:tab/>
        <w:t xml:space="preserve">Study supporting the Evaluation of BEREC and the BEREC Office, December 2023 by PPMI and PwC, not yet published; section 5.1.4. </w:t>
      </w:r>
    </w:p>
  </w:footnote>
  <w:footnote w:id="20">
    <w:p w14:paraId="7D39E4D1" w14:textId="77777777" w:rsidR="00F9480C" w:rsidRPr="008A73D3" w:rsidRDefault="00F9480C" w:rsidP="00F9480C">
      <w:pPr>
        <w:pStyle w:val="FootnoteText"/>
        <w:rPr>
          <w:lang w:val="en-IE"/>
        </w:rPr>
      </w:pPr>
      <w:r>
        <w:rPr>
          <w:rStyle w:val="FootnoteReference"/>
        </w:rPr>
        <w:footnoteRef/>
      </w:r>
      <w:r>
        <w:t xml:space="preserve"> </w:t>
      </w:r>
      <w:r w:rsidRPr="00F37B9E">
        <w:t>https://www.berec.europa.eu/en/all-documents/berec/opinions/berec-input-to-the-european-commissions-call-for-evidence-on-the-digital-networks-act</w:t>
      </w:r>
    </w:p>
  </w:footnote>
  <w:footnote w:id="21">
    <w:p w14:paraId="310C2993" w14:textId="77777777" w:rsidR="00F9480C" w:rsidRPr="00A60371" w:rsidRDefault="00F9480C" w:rsidP="00F9480C">
      <w:pPr>
        <w:pStyle w:val="FootnoteText"/>
      </w:pPr>
      <w:r>
        <w:rPr>
          <w:rStyle w:val="FootnoteReference"/>
        </w:rPr>
        <w:footnoteRef/>
      </w:r>
      <w:r>
        <w:t xml:space="preserve"> BEREC Strategy 2026-30, December 2025, </w:t>
      </w:r>
      <w:hyperlink r:id="rId3" w:history="1">
        <w:r w:rsidRPr="00A803AC">
          <w:rPr>
            <w:rStyle w:val="Hyperlink"/>
          </w:rPr>
          <w:t>https://www.berec.europa.eu/en/all-documents/berec/berec-strategies-and-work-programmes/berec-strategy-2026-2030</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6BA48" w14:textId="77777777" w:rsidR="00BB4E35" w:rsidRPr="00BB4E35" w:rsidRDefault="00BB4E35" w:rsidP="00BB4E3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FA047" w14:textId="77777777" w:rsidR="00BB4E35" w:rsidRPr="00BB4E35" w:rsidRDefault="00BB4E35" w:rsidP="00BB4E3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D1998" w14:textId="77777777" w:rsidR="00BB4E35" w:rsidRPr="00BB4E35" w:rsidRDefault="00BB4E35" w:rsidP="00BB4E3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67C9" w14:textId="77777777" w:rsidR="00716395" w:rsidRDefault="007163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F1FA" w14:textId="77777777" w:rsidR="00F9480C" w:rsidRDefault="00F948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0B90C" w14:textId="77777777" w:rsidR="00716395" w:rsidRDefault="00716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4698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2F77906"/>
    <w:multiLevelType w:val="hybridMultilevel"/>
    <w:tmpl w:val="AB2E7660"/>
    <w:lvl w:ilvl="0" w:tplc="B5EA689A">
      <w:start w:val="1"/>
      <w:numFmt w:val="decimal"/>
      <w:pStyle w:val="SUPERSCharCharCharCharCharCharCharCha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7BC597E-6B84-41A0-AE20-3BA3276409C8"/>
    <w:docVar w:name="LW_COVERPAGE_TYPE" w:val="1"/>
    <w:docVar w:name="LW_CROSSREFERENCE" w:val="{SWD(2026) 17 final}"/>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valuation of BEREC and the BEREC Office"/>
    <w:docVar w:name="LW_TYPE.DOC.CP" w:val="REPORT FROM THE COMMISSION TO THE EUROPEAN PARLIAMENT AND THE COUNCIL"/>
    <w:docVar w:name="LwApiVersions" w:val="LW4CoDe 1.24.5.0; LW 9.2, Build 20251112"/>
  </w:docVars>
  <w:rsids>
    <w:rsidRoot w:val="00F9480C"/>
    <w:rsid w:val="00024D65"/>
    <w:rsid w:val="00027E09"/>
    <w:rsid w:val="00066693"/>
    <w:rsid w:val="000770EC"/>
    <w:rsid w:val="000863A9"/>
    <w:rsid w:val="000B2E55"/>
    <w:rsid w:val="000C1AB6"/>
    <w:rsid w:val="00131F0C"/>
    <w:rsid w:val="001405FD"/>
    <w:rsid w:val="0016635E"/>
    <w:rsid w:val="001C6A64"/>
    <w:rsid w:val="00256788"/>
    <w:rsid w:val="00266A74"/>
    <w:rsid w:val="00282DD6"/>
    <w:rsid w:val="002A29CB"/>
    <w:rsid w:val="002C44F9"/>
    <w:rsid w:val="002D5846"/>
    <w:rsid w:val="002F17A2"/>
    <w:rsid w:val="0031647F"/>
    <w:rsid w:val="00321794"/>
    <w:rsid w:val="00332309"/>
    <w:rsid w:val="0035446A"/>
    <w:rsid w:val="00355883"/>
    <w:rsid w:val="00360E5F"/>
    <w:rsid w:val="003A3F09"/>
    <w:rsid w:val="003C0291"/>
    <w:rsid w:val="003C3DF4"/>
    <w:rsid w:val="003F6FA3"/>
    <w:rsid w:val="00421121"/>
    <w:rsid w:val="00422D2D"/>
    <w:rsid w:val="00433B8A"/>
    <w:rsid w:val="00435726"/>
    <w:rsid w:val="00457411"/>
    <w:rsid w:val="00462638"/>
    <w:rsid w:val="00464B6F"/>
    <w:rsid w:val="004A1147"/>
    <w:rsid w:val="004A47A6"/>
    <w:rsid w:val="004D4FAB"/>
    <w:rsid w:val="004E3FBC"/>
    <w:rsid w:val="004F3B50"/>
    <w:rsid w:val="004F69EB"/>
    <w:rsid w:val="0051626E"/>
    <w:rsid w:val="00534D54"/>
    <w:rsid w:val="00540EDC"/>
    <w:rsid w:val="00541ECD"/>
    <w:rsid w:val="00545BC1"/>
    <w:rsid w:val="00550F70"/>
    <w:rsid w:val="0055106A"/>
    <w:rsid w:val="00555AB3"/>
    <w:rsid w:val="005672C0"/>
    <w:rsid w:val="005C3501"/>
    <w:rsid w:val="005D6671"/>
    <w:rsid w:val="006537C4"/>
    <w:rsid w:val="00685881"/>
    <w:rsid w:val="006870A3"/>
    <w:rsid w:val="006A58B6"/>
    <w:rsid w:val="006C4D65"/>
    <w:rsid w:val="006D11A9"/>
    <w:rsid w:val="00716395"/>
    <w:rsid w:val="00717441"/>
    <w:rsid w:val="0072369A"/>
    <w:rsid w:val="0073360B"/>
    <w:rsid w:val="00780F41"/>
    <w:rsid w:val="007838C0"/>
    <w:rsid w:val="007A6850"/>
    <w:rsid w:val="007C18B1"/>
    <w:rsid w:val="00801A30"/>
    <w:rsid w:val="00823448"/>
    <w:rsid w:val="00830EA5"/>
    <w:rsid w:val="008437F6"/>
    <w:rsid w:val="00845A0F"/>
    <w:rsid w:val="00851C8F"/>
    <w:rsid w:val="008569B5"/>
    <w:rsid w:val="00857F47"/>
    <w:rsid w:val="008812FA"/>
    <w:rsid w:val="00883D2D"/>
    <w:rsid w:val="008A6CE4"/>
    <w:rsid w:val="008E0F93"/>
    <w:rsid w:val="00934AC1"/>
    <w:rsid w:val="009642D1"/>
    <w:rsid w:val="00974691"/>
    <w:rsid w:val="009849D0"/>
    <w:rsid w:val="009B622B"/>
    <w:rsid w:val="009C7B8B"/>
    <w:rsid w:val="009D68D7"/>
    <w:rsid w:val="009E74E1"/>
    <w:rsid w:val="00A21D16"/>
    <w:rsid w:val="00A42122"/>
    <w:rsid w:val="00AE4293"/>
    <w:rsid w:val="00B02D2B"/>
    <w:rsid w:val="00B262BC"/>
    <w:rsid w:val="00B63541"/>
    <w:rsid w:val="00B672CD"/>
    <w:rsid w:val="00B92C37"/>
    <w:rsid w:val="00BB4E35"/>
    <w:rsid w:val="00BC2A0C"/>
    <w:rsid w:val="00BE5CAF"/>
    <w:rsid w:val="00C02EA9"/>
    <w:rsid w:val="00C2130B"/>
    <w:rsid w:val="00C42D9C"/>
    <w:rsid w:val="00C74BA6"/>
    <w:rsid w:val="00C85A05"/>
    <w:rsid w:val="00C87394"/>
    <w:rsid w:val="00CE4890"/>
    <w:rsid w:val="00CE6ED7"/>
    <w:rsid w:val="00CF10AA"/>
    <w:rsid w:val="00D11F92"/>
    <w:rsid w:val="00D36378"/>
    <w:rsid w:val="00D71BA1"/>
    <w:rsid w:val="00D8623E"/>
    <w:rsid w:val="00DD69BD"/>
    <w:rsid w:val="00E1758C"/>
    <w:rsid w:val="00E53B52"/>
    <w:rsid w:val="00E56D51"/>
    <w:rsid w:val="00E61102"/>
    <w:rsid w:val="00EA3216"/>
    <w:rsid w:val="00EB0201"/>
    <w:rsid w:val="00EB088C"/>
    <w:rsid w:val="00EE7F32"/>
    <w:rsid w:val="00EF3B12"/>
    <w:rsid w:val="00F107D4"/>
    <w:rsid w:val="00F42D35"/>
    <w:rsid w:val="00F55A85"/>
    <w:rsid w:val="00F56A55"/>
    <w:rsid w:val="00F61C3B"/>
    <w:rsid w:val="00F9480C"/>
    <w:rsid w:val="00FC1050"/>
    <w:rsid w:val="00FD33F8"/>
    <w:rsid w:val="00FD78B9"/>
    <w:rsid w:val="00FF7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EDB9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9480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F9480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480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9480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9480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94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480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F9480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9480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9480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9480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94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0C"/>
    <w:rPr>
      <w:rFonts w:eastAsiaTheme="majorEastAsia" w:cstheme="majorBidi"/>
      <w:color w:val="272727" w:themeColor="text1" w:themeTint="D8"/>
    </w:rPr>
  </w:style>
  <w:style w:type="paragraph" w:styleId="Title">
    <w:name w:val="Title"/>
    <w:basedOn w:val="Normal"/>
    <w:next w:val="Normal"/>
    <w:link w:val="TitleChar"/>
    <w:uiPriority w:val="10"/>
    <w:qFormat/>
    <w:rsid w:val="00F94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480C"/>
    <w:rPr>
      <w:i/>
      <w:iCs/>
      <w:color w:val="404040" w:themeColor="text1" w:themeTint="BF"/>
    </w:rPr>
  </w:style>
  <w:style w:type="paragraph" w:styleId="ListParagraph">
    <w:name w:val="List Paragraph"/>
    <w:basedOn w:val="Normal"/>
    <w:uiPriority w:val="34"/>
    <w:qFormat/>
    <w:rsid w:val="00F9480C"/>
    <w:pPr>
      <w:ind w:left="720"/>
      <w:contextualSpacing/>
    </w:pPr>
  </w:style>
  <w:style w:type="character" w:styleId="IntenseEmphasis">
    <w:name w:val="Intense Emphasis"/>
    <w:basedOn w:val="DefaultParagraphFont"/>
    <w:uiPriority w:val="21"/>
    <w:qFormat/>
    <w:rsid w:val="00F9480C"/>
    <w:rPr>
      <w:i/>
      <w:iCs/>
      <w:color w:val="365F91" w:themeColor="accent1" w:themeShade="BF"/>
    </w:rPr>
  </w:style>
  <w:style w:type="paragraph" w:styleId="IntenseQuote">
    <w:name w:val="Intense Quote"/>
    <w:basedOn w:val="Normal"/>
    <w:next w:val="Normal"/>
    <w:link w:val="IntenseQuoteChar"/>
    <w:uiPriority w:val="30"/>
    <w:qFormat/>
    <w:rsid w:val="00F948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9480C"/>
    <w:rPr>
      <w:i/>
      <w:iCs/>
      <w:color w:val="365F91" w:themeColor="accent1" w:themeShade="BF"/>
    </w:rPr>
  </w:style>
  <w:style w:type="character" w:styleId="IntenseReference">
    <w:name w:val="Intense Reference"/>
    <w:basedOn w:val="DefaultParagraphFont"/>
    <w:uiPriority w:val="32"/>
    <w:qFormat/>
    <w:rsid w:val="00F9480C"/>
    <w:rPr>
      <w:b/>
      <w:bCs/>
      <w:smallCaps/>
      <w:color w:val="365F91" w:themeColor="accent1" w:themeShade="BF"/>
      <w:spacing w:val="5"/>
    </w:rPr>
  </w:style>
  <w:style w:type="character" w:customStyle="1" w:styleId="Marker">
    <w:name w:val="Marker"/>
    <w:basedOn w:val="DefaultParagraphFont"/>
    <w:rsid w:val="00F9480C"/>
    <w:rPr>
      <w:color w:val="0000FF"/>
      <w:shd w:val="clear" w:color="auto" w:fill="auto"/>
    </w:rPr>
  </w:style>
  <w:style w:type="paragraph" w:styleId="Header">
    <w:name w:val="header"/>
    <w:basedOn w:val="Normal"/>
    <w:link w:val="HeaderChar"/>
    <w:uiPriority w:val="99"/>
    <w:unhideWhenUsed/>
    <w:rsid w:val="00F94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80C"/>
  </w:style>
  <w:style w:type="paragraph" w:styleId="Footer">
    <w:name w:val="footer"/>
    <w:basedOn w:val="Normal"/>
    <w:link w:val="FooterChar"/>
    <w:uiPriority w:val="99"/>
    <w:unhideWhenUsed/>
    <w:rsid w:val="00F94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80C"/>
  </w:style>
  <w:style w:type="paragraph" w:customStyle="1" w:styleId="Pagedecouverture">
    <w:name w:val="Page de couverture"/>
    <w:basedOn w:val="Normal"/>
    <w:next w:val="Normal"/>
    <w:link w:val="PagedecouvertureChar"/>
    <w:rsid w:val="00F9480C"/>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F9480C"/>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F9480C"/>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F948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9480C"/>
    <w:rPr>
      <w:rFonts w:ascii="Times New Roman" w:hAnsi="Times New Roman" w:cs="Times New Roman"/>
      <w:sz w:val="24"/>
    </w:rPr>
  </w:style>
  <w:style w:type="character" w:customStyle="1" w:styleId="FooterCoverPageChar">
    <w:name w:val="Footer Cover Page Char"/>
    <w:basedOn w:val="PagedecouvertureChar"/>
    <w:link w:val="FooterCoverPage"/>
    <w:rsid w:val="00F9480C"/>
    <w:rPr>
      <w:rFonts w:ascii="Times New Roman" w:hAnsi="Times New Roman" w:cs="Times New Roman"/>
      <w:sz w:val="24"/>
    </w:rPr>
  </w:style>
  <w:style w:type="paragraph" w:customStyle="1" w:styleId="FooterSensitivity">
    <w:name w:val="Footer Sensitivity"/>
    <w:basedOn w:val="Normal"/>
    <w:link w:val="FooterSensitivityChar"/>
    <w:rsid w:val="00F948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9480C"/>
    <w:rPr>
      <w:rFonts w:ascii="Times New Roman" w:hAnsi="Times New Roman" w:cs="Times New Roman"/>
      <w:b/>
      <w:sz w:val="32"/>
    </w:rPr>
  </w:style>
  <w:style w:type="paragraph" w:customStyle="1" w:styleId="HeaderCoverPage">
    <w:name w:val="Header Cover Page"/>
    <w:basedOn w:val="Normal"/>
    <w:link w:val="HeaderCoverPageChar"/>
    <w:rsid w:val="00F948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9480C"/>
    <w:rPr>
      <w:rFonts w:ascii="Times New Roman" w:hAnsi="Times New Roman" w:cs="Times New Roman"/>
      <w:sz w:val="24"/>
    </w:rPr>
  </w:style>
  <w:style w:type="paragraph" w:customStyle="1" w:styleId="HeaderSensitivity">
    <w:name w:val="Header Sensitivity"/>
    <w:basedOn w:val="Normal"/>
    <w:link w:val="HeaderSensitivityChar"/>
    <w:rsid w:val="00F948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9480C"/>
    <w:rPr>
      <w:rFonts w:ascii="Times New Roman" w:hAnsi="Times New Roman" w:cs="Times New Roman"/>
      <w:b/>
      <w:sz w:val="32"/>
    </w:rPr>
  </w:style>
  <w:style w:type="paragraph" w:customStyle="1" w:styleId="HeaderSensitivityRight">
    <w:name w:val="Header Sensitivity Right"/>
    <w:basedOn w:val="Normal"/>
    <w:link w:val="HeaderSensitivityRightChar"/>
    <w:rsid w:val="009C7B8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9480C"/>
    <w:rPr>
      <w:rFonts w:ascii="Times New Roman" w:hAnsi="Times New Roman" w:cs="Times New Roman"/>
      <w:sz w:val="28"/>
    </w:rPr>
  </w:style>
  <w:style w:type="character" w:styleId="FootnoteReference">
    <w:name w:val="footnote reference"/>
    <w:aliases w:val="SUPERS Char Char Char Char Char Char Char Char Char,SUPERS Tegn Char Char Char Char Char Char Char Char Char Char,Footnote Reference Number Tegn Char Char Char Char Char Char Char Char Char Char"/>
    <w:link w:val="SUPERSCharCharCharCharCharCharCharChar"/>
    <w:uiPriority w:val="99"/>
    <w:unhideWhenUsed/>
    <w:qFormat/>
    <w:rsid w:val="00F9480C"/>
    <w:rPr>
      <w:sz w:val="20"/>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F9480C"/>
    <w:pPr>
      <w:numPr>
        <w:numId w:val="2"/>
      </w:numPr>
      <w:tabs>
        <w:tab w:val="left" w:pos="907"/>
      </w:tabs>
      <w:spacing w:before="60" w:after="160" w:line="240" w:lineRule="exact"/>
      <w:jc w:val="both"/>
    </w:pPr>
    <w:rPr>
      <w:sz w:val="20"/>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F9480C"/>
    <w:pPr>
      <w:spacing w:after="6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9480C"/>
    <w:rPr>
      <w:rFonts w:ascii="Times New Roman" w:eastAsia="Times New Roman" w:hAnsi="Times New Roman" w:cs="Times New Roman"/>
      <w:sz w:val="20"/>
      <w:szCs w:val="20"/>
    </w:rPr>
  </w:style>
  <w:style w:type="character" w:styleId="Hyperlink">
    <w:name w:val="Hyperlink"/>
    <w:basedOn w:val="DefaultParagraphFont"/>
    <w:uiPriority w:val="99"/>
    <w:unhideWhenUsed/>
    <w:rsid w:val="00F9480C"/>
    <w:rPr>
      <w:color w:val="0000FF" w:themeColor="hyperlink"/>
      <w:u w:val="single"/>
    </w:rPr>
  </w:style>
  <w:style w:type="paragraph" w:customStyle="1" w:styleId="Text1">
    <w:name w:val="Text 1"/>
    <w:basedOn w:val="Normal"/>
    <w:uiPriority w:val="1"/>
    <w:rsid w:val="00F9480C"/>
    <w:pPr>
      <w:spacing w:after="240"/>
      <w:ind w:left="482"/>
      <w:jc w:val="both"/>
    </w:pPr>
    <w:rPr>
      <w:rFonts w:ascii="Times New Roman" w:eastAsia="Times New Roman" w:hAnsi="Times New Roman" w:cs="Times New Roman"/>
      <w:sz w:val="24"/>
      <w:szCs w:val="24"/>
    </w:rPr>
  </w:style>
  <w:style w:type="paragraph" w:customStyle="1" w:styleId="paragraph">
    <w:name w:val="paragraph"/>
    <w:basedOn w:val="Normal"/>
    <w:rsid w:val="00F948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9480C"/>
  </w:style>
  <w:style w:type="character" w:customStyle="1" w:styleId="eop">
    <w:name w:val="eop"/>
    <w:basedOn w:val="DefaultParagraphFont"/>
    <w:rsid w:val="00F9480C"/>
  </w:style>
  <w:style w:type="paragraph" w:styleId="Revision">
    <w:name w:val="Revision"/>
    <w:hidden/>
    <w:uiPriority w:val="99"/>
    <w:semiHidden/>
    <w:rsid w:val="00F55A85"/>
    <w:pPr>
      <w:spacing w:after="0" w:line="240" w:lineRule="auto"/>
    </w:pPr>
  </w:style>
  <w:style w:type="character" w:styleId="CommentReference">
    <w:name w:val="annotation reference"/>
    <w:basedOn w:val="DefaultParagraphFont"/>
    <w:uiPriority w:val="99"/>
    <w:semiHidden/>
    <w:unhideWhenUsed/>
    <w:rsid w:val="00E1758C"/>
    <w:rPr>
      <w:sz w:val="16"/>
      <w:szCs w:val="16"/>
    </w:rPr>
  </w:style>
  <w:style w:type="paragraph" w:styleId="CommentText">
    <w:name w:val="annotation text"/>
    <w:basedOn w:val="Normal"/>
    <w:link w:val="CommentTextChar"/>
    <w:uiPriority w:val="99"/>
    <w:unhideWhenUsed/>
    <w:rsid w:val="00E1758C"/>
    <w:pPr>
      <w:spacing w:line="240" w:lineRule="auto"/>
    </w:pPr>
    <w:rPr>
      <w:sz w:val="20"/>
      <w:szCs w:val="20"/>
    </w:rPr>
  </w:style>
  <w:style w:type="character" w:customStyle="1" w:styleId="CommentTextChar">
    <w:name w:val="Comment Text Char"/>
    <w:basedOn w:val="DefaultParagraphFont"/>
    <w:link w:val="CommentText"/>
    <w:uiPriority w:val="99"/>
    <w:rsid w:val="00E1758C"/>
    <w:rPr>
      <w:sz w:val="20"/>
      <w:szCs w:val="20"/>
    </w:rPr>
  </w:style>
  <w:style w:type="paragraph" w:styleId="CommentSubject">
    <w:name w:val="annotation subject"/>
    <w:basedOn w:val="CommentText"/>
    <w:next w:val="CommentText"/>
    <w:link w:val="CommentSubjectChar"/>
    <w:uiPriority w:val="99"/>
    <w:semiHidden/>
    <w:unhideWhenUsed/>
    <w:rsid w:val="00E1758C"/>
    <w:rPr>
      <w:b/>
      <w:bCs/>
    </w:rPr>
  </w:style>
  <w:style w:type="character" w:customStyle="1" w:styleId="CommentSubjectChar">
    <w:name w:val="Comment Subject Char"/>
    <w:basedOn w:val="CommentTextChar"/>
    <w:link w:val="CommentSubject"/>
    <w:uiPriority w:val="99"/>
    <w:semiHidden/>
    <w:rsid w:val="00E1758C"/>
    <w:rPr>
      <w:b/>
      <w:bCs/>
      <w:sz w:val="20"/>
      <w:szCs w:val="20"/>
    </w:rPr>
  </w:style>
  <w:style w:type="paragraph" w:customStyle="1" w:styleId="Disclaimer">
    <w:name w:val="Disclaimer"/>
    <w:basedOn w:val="Normal"/>
    <w:rsid w:val="009C7B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C7B8B"/>
    <w:pPr>
      <w:spacing w:after="0"/>
      <w:ind w:left="5103"/>
    </w:pPr>
    <w:rPr>
      <w:rFonts w:ascii="Times New Roman" w:hAnsi="Times New Roman" w:cs="Times New Roman"/>
      <w:sz w:val="28"/>
    </w:rPr>
  </w:style>
  <w:style w:type="paragraph" w:customStyle="1" w:styleId="DateMarking">
    <w:name w:val="DateMarking"/>
    <w:basedOn w:val="Normal"/>
    <w:rsid w:val="009C7B8B"/>
    <w:pPr>
      <w:spacing w:after="0"/>
      <w:ind w:left="5103"/>
    </w:pPr>
    <w:rPr>
      <w:rFonts w:ascii="Times New Roman" w:hAnsi="Times New Roman" w:cs="Times New Roman"/>
      <w:i/>
      <w:sz w:val="28"/>
    </w:rPr>
  </w:style>
  <w:style w:type="paragraph" w:customStyle="1" w:styleId="ReleasableTo">
    <w:name w:val="ReleasableTo"/>
    <w:basedOn w:val="Normal"/>
    <w:rsid w:val="009C7B8B"/>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berec.europa.eu/en/all-documents/berec/berec-strategies-and-work-programmes/berec-strategy-2026-2030" TargetMode="External"/><Relationship Id="rId2" Type="http://schemas.openxmlformats.org/officeDocument/2006/relationships/hyperlink" Target="https://www.berec.europa.eu/system/files/2024-07/BoR%20%2824%29%20100_1_%20BEREC%20Input_White%20Paper_final.pdf" TargetMode="External"/><Relationship Id="rId1" Type="http://schemas.openxmlformats.org/officeDocument/2006/relationships/hyperlink" Target="https://www.berec.europa.eu/system/files/2023-09/BoR%20%2823%29%20114%20BEREC%20input%20to%20the%20European%20Commission%20on%20the%20functioning%20of%20BEREC%20and%20the%20BEREC%20Offi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f6184fd04e44c38b741937566525e7df">
  <xsd:schema xmlns:xsd="http://www.w3.org/2001/XMLSchema" xmlns:xs="http://www.w3.org/2001/XMLSchema" xmlns:p="http://schemas.microsoft.com/office/2006/metadata/properties" xmlns:ns2="5e3b0e23-edc7-4d68-902a-f7eeae56b19b" targetNamespace="http://schemas.microsoft.com/office/2006/metadata/properties" ma:root="true" ma:fieldsID="3d731fe2747085c727b80b73323b8645"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4D2F9-A817-41C5-AF76-9BDEB9E6A4F9}">
  <ds:schemaRefs>
    <ds:schemaRef ds:uri="http://schemas.microsoft.com/sharepoint/v3/contenttype/forms"/>
  </ds:schemaRefs>
</ds:datastoreItem>
</file>

<file path=customXml/itemProps2.xml><?xml version="1.0" encoding="utf-8"?>
<ds:datastoreItem xmlns:ds="http://schemas.openxmlformats.org/officeDocument/2006/customXml" ds:itemID="{3D019880-6A38-4FCE-AF72-966A0CBBEA7E}">
  <ds:schemaRefs>
    <ds:schemaRef ds:uri="http://schemas.microsoft.com/office/2006/documentManagement/types"/>
    <ds:schemaRef ds:uri="http://purl.org/dc/dcmitype/"/>
    <ds:schemaRef ds:uri="http://www.w3.org/XML/1998/namespace"/>
    <ds:schemaRef ds:uri="http://purl.org/dc/elements/1.1/"/>
    <ds:schemaRef ds:uri="http://schemas.microsoft.com/office/infopath/2007/PartnerControls"/>
    <ds:schemaRef ds:uri="5e3b0e23-edc7-4d68-902a-f7eeae56b19b"/>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0B8DFED-2976-41AD-8522-6FC7079F9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418BC5-FDAC-4A49-8E6C-EB43A697F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3235</Words>
  <Characters>18441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2026-01-14T17:29:00Z</dcterms:created>
  <dcterms:modified xsi:type="dcterms:W3CDTF">2026-01-20T13:24:00Z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2026-01-13T13:53:31Z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e7afacb4-1e51-4b19-ba76-9ac92717fb4a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0x010100FAEF338F37A4A9419D40C896D14C7EF5</vt:lpwstr>
  </property>
  <property fmtid="{D5CDD505-2E9C-101B-9397-08002B2CF9AE}" pid="14" name="MediaServiceImageTags">
    <vt:lpwstr/>
  </property>
</Properties>
</file>