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1E44A6" w14:textId="58BE0C3C" w:rsidR="00F9480C" w:rsidRPr="00BB4384" w:rsidRDefault="006F356A" w:rsidP="006F356A">
      <w:pPr>
        <w:pStyle w:val="Pagedecouverture"/>
        <w:rPr>
          <w:noProof/>
        </w:rPr>
      </w:pPr>
      <w:bookmarkStart w:id="0" w:name="LW_BM_COVERPAGE"/>
      <w:r>
        <w:rPr>
          <w:noProof/>
        </w:rPr>
        <w:pict w14:anchorId="28285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D5AC5D-F976-4306-826D-87DBF423919F" style="width:455.25pt;height:286.5pt">
            <v:imagedata r:id="rId11" o:title=""/>
          </v:shape>
        </w:pict>
      </w:r>
    </w:p>
    <w:bookmarkEnd w:id="0"/>
    <w:p w14:paraId="769F7CB6" w14:textId="77777777" w:rsidR="00F9480C" w:rsidRPr="00BB4384" w:rsidRDefault="00F9480C" w:rsidP="00F9480C">
      <w:pPr>
        <w:rPr>
          <w:noProof/>
        </w:rPr>
        <w:sectPr w:rsidR="00F9480C" w:rsidRPr="00BB4384" w:rsidSect="006F356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5543DD9" w14:textId="6BD5A112" w:rsidR="009F4666" w:rsidRPr="00BB4384" w:rsidRDefault="009F4666" w:rsidP="009F4666">
      <w:pPr>
        <w:pStyle w:val="Typedudocument"/>
        <w:rPr>
          <w:noProof/>
        </w:rPr>
      </w:pPr>
      <w:bookmarkStart w:id="1" w:name="_GoBack"/>
      <w:bookmarkEnd w:id="1"/>
      <w:r w:rsidRPr="00BB4384">
        <w:rPr>
          <w:noProof/>
        </w:rPr>
        <w:lastRenderedPageBreak/>
        <w:t>RAPORT AL COMISIEI CĂTRE PARLAMENTUL EUROPEAN ȘI CONSILIU</w:t>
      </w:r>
    </w:p>
    <w:p w14:paraId="3404C1F9" w14:textId="3592329E" w:rsidR="009F4666" w:rsidRPr="00BB4384" w:rsidRDefault="009F4666" w:rsidP="009F4666">
      <w:pPr>
        <w:pStyle w:val="Titreobjet"/>
        <w:rPr>
          <w:noProof/>
        </w:rPr>
      </w:pPr>
      <w:r w:rsidRPr="00BB4384">
        <w:rPr>
          <w:noProof/>
        </w:rPr>
        <w:t>Evaluarea OAREC și a Oficiului OAREC</w:t>
      </w:r>
    </w:p>
    <w:p w14:paraId="3D2FB8A8" w14:textId="042C56A6" w:rsidR="00C2130B" w:rsidRPr="00BB4384" w:rsidRDefault="00C2130B" w:rsidP="00C2130B">
      <w:pPr>
        <w:rPr>
          <w:noProof/>
        </w:rPr>
      </w:pPr>
    </w:p>
    <w:p w14:paraId="04DEA0FF" w14:textId="77777777" w:rsidR="00F9480C" w:rsidRPr="00BB4384"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BB4384">
        <w:rPr>
          <w:rFonts w:ascii="Times New Roman" w:hAnsi="Times New Roman"/>
          <w:b/>
          <w:smallCaps/>
          <w:noProof/>
          <w:color w:val="auto"/>
          <w:sz w:val="24"/>
        </w:rPr>
        <w:t>Introducere</w:t>
      </w:r>
    </w:p>
    <w:p w14:paraId="6BD2FEB9" w14:textId="77777777" w:rsidR="00F9480C" w:rsidRPr="00BB4384" w:rsidRDefault="00F9480C" w:rsidP="00F9480C">
      <w:pPr>
        <w:spacing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Prezentul raport către Parlamentul European, Consiliu și Consiliul de administrație prezintă principalele constatări ale Comisiei în urma evaluării performanței OAREC și a Oficiului OAREC, în conformitate cu articolul 48 din Regulamentul (UE) 2018/1971 al Parlamentului European și al Consiliului din 11 decembrie 2018 de instituire a Organismului Autorităților Europene de Reglementare în Domeniul Comunicațiilor Electronice (OAREC) și a Agenției de sprijin pentru OAREC (Oficiul OAREC)</w:t>
      </w:r>
      <w:r w:rsidRPr="00BB4384">
        <w:rPr>
          <w:rStyle w:val="FootnoteReference"/>
          <w:noProof/>
        </w:rPr>
        <w:footnoteReference w:id="2"/>
      </w:r>
      <w:r w:rsidRPr="00BB4384">
        <w:rPr>
          <w:rFonts w:ascii="Times New Roman" w:hAnsi="Times New Roman"/>
          <w:noProof/>
          <w:sz w:val="24"/>
        </w:rPr>
        <w:t>, denumit în continuare „Regulamentul privind OAREC”. Documentul de lucru însoțitor al serviciilor Comisiei include o analiză și dovezi mai detaliate care susțin aceste constatări.</w:t>
      </w:r>
    </w:p>
    <w:p w14:paraId="1882DFDE" w14:textId="77777777" w:rsidR="00F9480C" w:rsidRPr="00BB4384"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BB4384">
        <w:rPr>
          <w:rFonts w:ascii="Times New Roman" w:hAnsi="Times New Roman"/>
          <w:b/>
          <w:smallCaps/>
          <w:noProof/>
          <w:color w:val="auto"/>
          <w:sz w:val="24"/>
        </w:rPr>
        <w:t>Metodă</w:t>
      </w:r>
    </w:p>
    <w:p w14:paraId="6FD30769" w14:textId="7777777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Evaluarea a fost efectuată în conformitate cu Orientările Comisiei privind o mai bună legiferare</w:t>
      </w:r>
      <w:r w:rsidRPr="00BB4384">
        <w:rPr>
          <w:rStyle w:val="FootnoteReference"/>
          <w:rFonts w:ascii="Times New Roman" w:eastAsia="Times New Roman" w:hAnsi="Times New Roman" w:cs="Times New Roman"/>
          <w:noProof/>
        </w:rPr>
        <w:footnoteReference w:id="3"/>
      </w:r>
      <w:r w:rsidRPr="00BB4384">
        <w:rPr>
          <w:rFonts w:ascii="Times New Roman" w:hAnsi="Times New Roman"/>
          <w:noProof/>
          <w:sz w:val="24"/>
        </w:rPr>
        <w:t xml:space="preserve"> și se bazează pe studiul care sprijină evaluarea OAREC și a Oficiului OAREC, elaborat pentru Comisie</w:t>
      </w:r>
      <w:r w:rsidRPr="00BB4384">
        <w:rPr>
          <w:rStyle w:val="FootnoteReference"/>
          <w:rFonts w:ascii="Times New Roman" w:eastAsia="Times New Roman" w:hAnsi="Times New Roman" w:cs="Times New Roman"/>
          <w:noProof/>
        </w:rPr>
        <w:footnoteReference w:id="4"/>
      </w:r>
      <w:r w:rsidRPr="00BB4384">
        <w:rPr>
          <w:rFonts w:ascii="Times New Roman" w:hAnsi="Times New Roman"/>
          <w:noProof/>
          <w:sz w:val="24"/>
        </w:rPr>
        <w:t xml:space="preserve">. Deși, în principiu, acoperă perioada 2019-2023, evaluarea ține seama, de asemenea, de cele mai relevante evoluții de până în decembrie 2025. Raportul a evaluat performanța OAREC și a Oficiului OAREC pe baza următoarelor criterii de evaluare: eficacitate, eficiență, relevanță, coerență și valoarea adăugată a UE. </w:t>
      </w:r>
    </w:p>
    <w:p w14:paraId="0DD03717" w14:textId="7777777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 xml:space="preserve">Studiul în sprijinul evaluării a utilizat mai multe metode de colectare și analiză a datelor, inclusiv, printre altele: cercetare documentară, analiza documentelor, sondaje adresate autoritățile naționale de reglementare (ANR) și părților interesate externe, precum și un program de interviuri cu reprezentanți ai categoriilor de părți interesate. </w:t>
      </w:r>
    </w:p>
    <w:p w14:paraId="07DE2F39" w14:textId="7777777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În evaluarea sa, Comisia a luat în considerare, de asemenea, contribuția din proprie inițiativă a OAREC, adresată Comisiei, cu privire la funcționarea OAREC și a Oficiului OAREC în vederea evaluării în temeiul articolului 48 din Regulamentul privind OAREC</w:t>
      </w:r>
      <w:r w:rsidRPr="00BB4384">
        <w:rPr>
          <w:rFonts w:ascii="Times New Roman" w:eastAsia="Times New Roman" w:hAnsi="Times New Roman" w:cs="Times New Roman"/>
          <w:noProof/>
          <w:sz w:val="24"/>
          <w:szCs w:val="24"/>
          <w:vertAlign w:val="superscript"/>
        </w:rPr>
        <w:footnoteReference w:id="5"/>
      </w:r>
      <w:r w:rsidRPr="00BB4384">
        <w:rPr>
          <w:rFonts w:ascii="Times New Roman" w:hAnsi="Times New Roman"/>
          <w:noProof/>
          <w:sz w:val="24"/>
        </w:rPr>
        <w:t>.</w:t>
      </w:r>
    </w:p>
    <w:p w14:paraId="71C64438" w14:textId="77777777" w:rsidR="00F9480C" w:rsidRPr="00BB4384"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BB4384">
        <w:rPr>
          <w:rFonts w:ascii="Times New Roman" w:hAnsi="Times New Roman"/>
          <w:b/>
          <w:smallCaps/>
          <w:noProof/>
          <w:color w:val="auto"/>
          <w:sz w:val="24"/>
        </w:rPr>
        <w:t>OAREC și Oficiul OAREC în cadrul Regulamentului (UE) 2018/1971</w:t>
      </w:r>
    </w:p>
    <w:p w14:paraId="5E34001E" w14:textId="592F50C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Organismul Autorităților Europene de Reglementare în Domeniul Comunicațiilor Electronice, astfel cum există în prezent, a fost instituit, împreună cu Agenția de Sprijin pentru OAREC, prin Regulamentul privind OAREC. Acestea au succedat OAREC inițial și oficiului acestuia, instituite prin Regulamentul (CE) nr. 1211/2009, ca parte a pachetului de reforme din 2009 în domeniul telecomunicațiilor, pentru a asigura o mai bună armonizare a practicilor între autoritățile naționale de reglementare (ANR-uri), pentru a promova o piață internă eficace în acest sector și pentru a acționa ca forum exclusiv de cooperare între ANR-uri, precum și între Comisie și ANR-uri. În 2018, în urma evaluării efectuate în temeiul Regulamentului (CE) nr. 1211/2009</w:t>
      </w:r>
      <w:r w:rsidRPr="00BB4384">
        <w:rPr>
          <w:rFonts w:ascii="Times New Roman" w:eastAsia="Times New Roman" w:hAnsi="Times New Roman" w:cs="Times New Roman"/>
          <w:noProof/>
          <w:sz w:val="24"/>
          <w:szCs w:val="24"/>
          <w:vertAlign w:val="superscript"/>
        </w:rPr>
        <w:footnoteReference w:id="6"/>
      </w:r>
      <w:r w:rsidRPr="00BB4384">
        <w:rPr>
          <w:rFonts w:ascii="Times New Roman" w:hAnsi="Times New Roman"/>
          <w:noProof/>
          <w:sz w:val="24"/>
        </w:rPr>
        <w:t>, rolul OAREC a fost consolidat și mai mult prin Regulamentul OAREC și prin Directiva (UE) 2018/1972 de instituire a Codului european al comunicațiilor electronice (Directiva privind CECE)</w:t>
      </w:r>
      <w:r w:rsidRPr="00BB4384">
        <w:rPr>
          <w:rStyle w:val="FootnoteReference"/>
          <w:rFonts w:ascii="Times New Roman" w:eastAsia="Times New Roman" w:hAnsi="Times New Roman" w:cs="Times New Roman"/>
          <w:noProof/>
          <w:szCs w:val="24"/>
        </w:rPr>
        <w:footnoteReference w:id="7"/>
      </w:r>
      <w:r w:rsidRPr="00BB4384">
        <w:rPr>
          <w:rFonts w:ascii="Times New Roman" w:hAnsi="Times New Roman"/>
          <w:noProof/>
          <w:sz w:val="24"/>
        </w:rPr>
        <w:t xml:space="preserve">. </w:t>
      </w:r>
    </w:p>
    <w:p w14:paraId="0BF56EC5" w14:textId="69B54F01"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Mandatul OAREC a fost extins în special pentru a emite mai multe orientări menite să faciliteze punerea în aplicare armonizată a Directivei privind CECE, precum și pentru a crea și a menține baze de date specifice, de exemplu privind numerotarea și autorizațiile generale.</w:t>
      </w:r>
      <w:r w:rsidR="00DB0237" w:rsidRPr="00BB4384">
        <w:rPr>
          <w:rFonts w:ascii="Times New Roman" w:hAnsi="Times New Roman"/>
          <w:noProof/>
          <w:sz w:val="24"/>
        </w:rPr>
        <w:t xml:space="preserve"> </w:t>
      </w:r>
    </w:p>
    <w:p w14:paraId="61A7364F" w14:textId="7777777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Structura pe două niveluri a OAREC și a Oficiului OAREC a fost menținută în 2018 de colegiuitori, deși Comisia propusese inițial, în 2016, extinderea OAREC după modelul unei agenții descentralizate. Prin urmare, numai Oficiul OAREC, care a succedat Oficiului, este o agenție descentralizată a UE dedicată furnizării de sprijin profesional și administrativ OAREC, organismul care reunește ANR-urile. Oficiul OAREC are personalitate juridică și își menține autonomia juridică, administrativă și financiară.</w:t>
      </w:r>
    </w:p>
    <w:p w14:paraId="66DB5E1F" w14:textId="7777777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La fel ca statele membre, inclusiv ANR-urile, precum și Comisia și Grupul pentru politica în domeniul spectrului de frecvențe radio (</w:t>
      </w:r>
      <w:r w:rsidRPr="00BB4384">
        <w:rPr>
          <w:rFonts w:ascii="Times New Roman" w:hAnsi="Times New Roman"/>
          <w:i/>
          <w:iCs/>
          <w:noProof/>
          <w:sz w:val="24"/>
        </w:rPr>
        <w:t>Radio Spectrum Policy Group</w:t>
      </w:r>
      <w:r w:rsidRPr="00BB4384">
        <w:rPr>
          <w:rFonts w:ascii="Times New Roman" w:hAnsi="Times New Roman"/>
          <w:noProof/>
          <w:sz w:val="24"/>
        </w:rPr>
        <w:t xml:space="preserve"> - RSPG), OAREC urmărește obiectivele generale prevăzute la articolul 3 din Directiva privind CECE, și anume: promovarea conectivității și a accesului la rețele de foarte mare capacitate (</w:t>
      </w:r>
      <w:r w:rsidRPr="00BB4384">
        <w:rPr>
          <w:rFonts w:ascii="Times New Roman" w:hAnsi="Times New Roman"/>
          <w:i/>
          <w:iCs/>
          <w:noProof/>
          <w:sz w:val="24"/>
        </w:rPr>
        <w:t>very high capacity networks</w:t>
      </w:r>
      <w:r w:rsidRPr="00BB4384">
        <w:rPr>
          <w:rFonts w:ascii="Times New Roman" w:hAnsi="Times New Roman"/>
          <w:noProof/>
          <w:sz w:val="24"/>
        </w:rPr>
        <w:t xml:space="preserve"> - VHCN); promovarea concurenței și a investițiilor eficiente; contribuția la dezvoltarea pieței interne; promovarea intereselor cetățenilor Uniunii. Obiectivul de promovare a conectivității a fost adăugat în Directiva privind CECE, întrucât comunicațiile electronice au devenit esențiale pentru economie și societate în ansamblu.</w:t>
      </w:r>
    </w:p>
    <w:p w14:paraId="08B6BAE9" w14:textId="77777777"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În plus, în conformitate cu articolul 3 din Regulamentul privind OAREC, OAREC trebuie să asigure, în special, o punere în aplicare coerentă a cadrului de reglementare pentru comunicațiile electronice (Directiva privind CECE, Regulamentul privind roamingul</w:t>
      </w:r>
      <w:r w:rsidRPr="00BB4384">
        <w:rPr>
          <w:rStyle w:val="FootnoteReference"/>
          <w:rFonts w:ascii="Times New Roman" w:eastAsia="Times New Roman" w:hAnsi="Times New Roman" w:cs="Times New Roman"/>
          <w:noProof/>
          <w:szCs w:val="24"/>
        </w:rPr>
        <w:footnoteReference w:id="8"/>
      </w:r>
      <w:r w:rsidRPr="00BB4384">
        <w:rPr>
          <w:rFonts w:ascii="Times New Roman" w:hAnsi="Times New Roman"/>
          <w:noProof/>
          <w:sz w:val="24"/>
        </w:rPr>
        <w:t xml:space="preserve"> și Regulamentul privind internetul deschis</w:t>
      </w:r>
      <w:r w:rsidRPr="00BB4384">
        <w:rPr>
          <w:rStyle w:val="FootnoteReference"/>
          <w:rFonts w:ascii="Times New Roman" w:eastAsia="Times New Roman" w:hAnsi="Times New Roman" w:cs="Times New Roman"/>
          <w:noProof/>
          <w:szCs w:val="24"/>
        </w:rPr>
        <w:footnoteReference w:id="9"/>
      </w:r>
      <w:r w:rsidRPr="00BB4384">
        <w:rPr>
          <w:rFonts w:ascii="Times New Roman" w:hAnsi="Times New Roman"/>
          <w:noProof/>
          <w:sz w:val="24"/>
        </w:rPr>
        <w:t>).</w:t>
      </w:r>
    </w:p>
    <w:p w14:paraId="652D227B" w14:textId="77777777" w:rsidR="00F9480C" w:rsidRPr="00BB4384" w:rsidRDefault="00F9480C" w:rsidP="00F9480C">
      <w:pPr>
        <w:pStyle w:val="Heading1"/>
        <w:numPr>
          <w:ilvl w:val="0"/>
          <w:numId w:val="1"/>
        </w:numPr>
        <w:ind w:left="240" w:hanging="240"/>
        <w:rPr>
          <w:rFonts w:ascii="Times New Roman" w:eastAsia="Times New Roman" w:hAnsi="Times New Roman" w:cs="Times New Roman"/>
          <w:b/>
          <w:smallCaps/>
          <w:noProof/>
          <w:color w:val="auto"/>
          <w:sz w:val="24"/>
          <w:szCs w:val="20"/>
        </w:rPr>
      </w:pPr>
      <w:r w:rsidRPr="00BB4384">
        <w:rPr>
          <w:rFonts w:ascii="Times New Roman" w:hAnsi="Times New Roman"/>
          <w:b/>
          <w:smallCaps/>
          <w:noProof/>
          <w:color w:val="auto"/>
          <w:sz w:val="24"/>
        </w:rPr>
        <w:t>Principalele constatări</w:t>
      </w:r>
    </w:p>
    <w:p w14:paraId="0F90BE79" w14:textId="77777777" w:rsidR="00F9480C" w:rsidRPr="00BB4384"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BB4384">
        <w:rPr>
          <w:rFonts w:ascii="Times New Roman" w:hAnsi="Times New Roman"/>
          <w:b/>
          <w:noProof/>
          <w:color w:val="auto"/>
          <w:sz w:val="24"/>
        </w:rPr>
        <w:t>Eficacitate</w:t>
      </w:r>
    </w:p>
    <w:p w14:paraId="3EE7F01D" w14:textId="7777777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În general, în perioada evaluată, </w:t>
      </w:r>
      <w:r w:rsidRPr="00BB4384">
        <w:rPr>
          <w:rFonts w:ascii="Times New Roman" w:hAnsi="Times New Roman"/>
          <w:b/>
          <w:noProof/>
          <w:sz w:val="24"/>
        </w:rPr>
        <w:t>OAREC</w:t>
      </w:r>
      <w:r w:rsidRPr="00BB4384">
        <w:rPr>
          <w:rFonts w:ascii="Times New Roman" w:hAnsi="Times New Roman"/>
          <w:noProof/>
          <w:sz w:val="24"/>
        </w:rPr>
        <w:t xml:space="preserve"> a fost eficace în îndeplinirea principalelor sale obiective, și anume promovarea conectivității și a accesului la VHCN; promovarea concurenței și a investițiilor eficiente; contribuția la dezvoltarea pieței interne; promovarea intereselor cetățenilor Uniunii (articolul 3 din Directiva privind CECE). </w:t>
      </w:r>
    </w:p>
    <w:p w14:paraId="62F35F4D" w14:textId="2A5B59A4"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În temeiul Directivei privind CECE, OAREC a fost însărcinat cu elaborarea unui set de 11</w:t>
      </w:r>
      <w:r w:rsidR="00DB0237" w:rsidRPr="00BB4384">
        <w:rPr>
          <w:rFonts w:ascii="Times New Roman" w:hAnsi="Times New Roman"/>
          <w:noProof/>
          <w:sz w:val="24"/>
        </w:rPr>
        <w:t> </w:t>
      </w:r>
      <w:r w:rsidRPr="00BB4384">
        <w:rPr>
          <w:rFonts w:ascii="Times New Roman" w:hAnsi="Times New Roman"/>
          <w:noProof/>
          <w:sz w:val="24"/>
        </w:rPr>
        <w:t>orientări</w:t>
      </w:r>
      <w:r w:rsidRPr="00BB4384">
        <w:rPr>
          <w:rStyle w:val="FootnoteReference"/>
          <w:rFonts w:ascii="Times New Roman" w:hAnsi="Times New Roman" w:cs="Times New Roman"/>
          <w:noProof/>
          <w:szCs w:val="24"/>
        </w:rPr>
        <w:footnoteReference w:id="10"/>
      </w:r>
      <w:r w:rsidRPr="00BB4384">
        <w:rPr>
          <w:rFonts w:ascii="Times New Roman" w:hAnsi="Times New Roman"/>
          <w:noProof/>
          <w:sz w:val="24"/>
        </w:rPr>
        <w:t xml:space="preserve"> privind aspecte tehnice, economice și juridice complexe, cu scopul de a oferi</w:t>
      </w:r>
      <w:r w:rsidR="00DB0237" w:rsidRPr="00BB4384">
        <w:rPr>
          <w:rFonts w:ascii="Times New Roman" w:hAnsi="Times New Roman"/>
          <w:noProof/>
          <w:sz w:val="24"/>
        </w:rPr>
        <w:t xml:space="preserve"> </w:t>
      </w:r>
      <w:r w:rsidRPr="00BB4384">
        <w:rPr>
          <w:rFonts w:ascii="Times New Roman" w:hAnsi="Times New Roman"/>
          <w:noProof/>
          <w:sz w:val="24"/>
        </w:rPr>
        <w:t xml:space="preserve">ANR-urilor îndrumări pentru punerea în aplicare armonizată a directivei. OAREC a alocat resurse și cunoștințe de specialitate importante pentru elaborarea orientărilor, care, în general, sunt considerate drept recomandări importante ce sprijină abordările comune ale ANR-urilor. Cu toate acestea, orientările, în sine, nu au fost suficiente pentru a crea o piață unică europeană în sectorul comunicațiilor electronice, deoarece, prin natura lor, ele nu sunt obligatorii din punct de vedere juridic și respectă întotdeauna principiul flexibilității ANR. În acest context, garantarea independenței OAREC și a ANR-urilor față de influențele politice și alte părți interesate a fost și rămâne un factor determinant important al eficacității acestora în punerea în aplicare a cadrului de reglementare. </w:t>
      </w:r>
    </w:p>
    <w:p w14:paraId="2D9BF3DA" w14:textId="7EA67D44" w:rsidR="00F9480C" w:rsidRPr="00BB4384" w:rsidRDefault="00F9480C" w:rsidP="00F9480C">
      <w:pPr>
        <w:spacing w:afterAutospacing="1" w:line="240" w:lineRule="auto"/>
        <w:jc w:val="both"/>
        <w:rPr>
          <w:rFonts w:ascii="Times New Roman" w:hAnsi="Times New Roman" w:cs="Times New Roman"/>
          <w:noProof/>
          <w:sz w:val="24"/>
          <w:szCs w:val="24"/>
        </w:rPr>
      </w:pPr>
      <w:r w:rsidRPr="00BB4384">
        <w:rPr>
          <w:rFonts w:ascii="Times New Roman" w:hAnsi="Times New Roman"/>
          <w:noProof/>
          <w:sz w:val="24"/>
        </w:rPr>
        <w:t>În perioada analizată, piețele digitale mai complexe și mai interconectate au favorizat adoptarea, în ultimii ani, a unor norme noi în ecosistemul digital, cum ar fi Regulamentul privind serviciile digitale</w:t>
      </w:r>
      <w:r w:rsidRPr="00BB4384">
        <w:rPr>
          <w:rStyle w:val="FootnoteReference"/>
          <w:rFonts w:ascii="Times New Roman" w:hAnsi="Times New Roman" w:cs="Times New Roman"/>
          <w:noProof/>
        </w:rPr>
        <w:footnoteReference w:id="11"/>
      </w:r>
      <w:r w:rsidRPr="00BB4384">
        <w:rPr>
          <w:rFonts w:ascii="Times New Roman" w:hAnsi="Times New Roman"/>
          <w:noProof/>
          <w:sz w:val="24"/>
        </w:rPr>
        <w:t>, Regulamentul privind piețele digitale</w:t>
      </w:r>
      <w:r w:rsidRPr="00BB4384">
        <w:rPr>
          <w:rStyle w:val="FootnoteReference"/>
          <w:rFonts w:ascii="Times New Roman" w:hAnsi="Times New Roman" w:cs="Times New Roman"/>
          <w:noProof/>
        </w:rPr>
        <w:footnoteReference w:id="12"/>
      </w:r>
      <w:r w:rsidRPr="00BB4384">
        <w:rPr>
          <w:rFonts w:ascii="Times New Roman" w:hAnsi="Times New Roman"/>
          <w:noProof/>
          <w:sz w:val="24"/>
        </w:rPr>
        <w:t>, Regulamentul privind datele</w:t>
      </w:r>
      <w:r w:rsidRPr="00BB4384">
        <w:rPr>
          <w:rStyle w:val="FootnoteReference"/>
          <w:rFonts w:ascii="Times New Roman" w:hAnsi="Times New Roman" w:cs="Times New Roman"/>
          <w:noProof/>
        </w:rPr>
        <w:footnoteReference w:id="13"/>
      </w:r>
      <w:r w:rsidRPr="00BB4384">
        <w:rPr>
          <w:rFonts w:ascii="Times New Roman" w:hAnsi="Times New Roman"/>
          <w:noProof/>
          <w:sz w:val="24"/>
        </w:rPr>
        <w:t>, Regulamentul privind guvernanța datelor</w:t>
      </w:r>
      <w:r w:rsidRPr="00BB4384">
        <w:rPr>
          <w:rStyle w:val="FootnoteReference"/>
          <w:rFonts w:ascii="Times New Roman" w:hAnsi="Times New Roman" w:cs="Times New Roman"/>
          <w:noProof/>
        </w:rPr>
        <w:footnoteReference w:id="14"/>
      </w:r>
      <w:r w:rsidRPr="00BB4384">
        <w:rPr>
          <w:rFonts w:ascii="Times New Roman" w:hAnsi="Times New Roman"/>
          <w:noProof/>
          <w:sz w:val="24"/>
        </w:rPr>
        <w:t xml:space="preserve"> și Regulamentul privind IA</w:t>
      </w:r>
      <w:r w:rsidRPr="00BB4384">
        <w:rPr>
          <w:rStyle w:val="FootnoteReference"/>
          <w:rFonts w:ascii="Times New Roman" w:hAnsi="Times New Roman" w:cs="Times New Roman"/>
          <w:noProof/>
          <w:szCs w:val="24"/>
        </w:rPr>
        <w:footnoteReference w:id="15"/>
      </w:r>
      <w:r w:rsidRPr="00BB4384">
        <w:rPr>
          <w:rFonts w:ascii="Times New Roman" w:hAnsi="Times New Roman"/>
          <w:noProof/>
          <w:sz w:val="24"/>
        </w:rPr>
        <w:t>. Acest lucru a dus la atribuirea de noi responsabilități autorităților naționale competente pentru aceste piețe digitale. Totuși, în aceste noi domenii, precum și în domeniul securității cibernetice sau al spectrului, autoritățile competente desemnate de statele membre nu sunt neapărat ANR-uri, iar aceste noi domenii adesea nu se reflectă în mandatul OAREC. În plus, întrucât aceste noi responsabilități nu sunt neapărat atribuite la nivel național ANR-urilor, OAREC nu se poate baza întotdeauna pe experiența tuturor membrilor săi atunci când, punând în aplicare sarcinile (noi) care i-au fost încredințate sau acționând din proprie inițiativă în situații în care noile sarcini nu au fost încredințate OAREC și membrilor săi, oferă consiliere sau contribuții cu privire la aceste noi aspecte</w:t>
      </w:r>
      <w:r w:rsidRPr="00BB4384">
        <w:rPr>
          <w:rStyle w:val="FootnoteReference"/>
          <w:rFonts w:ascii="Times New Roman" w:hAnsi="Times New Roman" w:cs="Times New Roman"/>
          <w:noProof/>
          <w:szCs w:val="24"/>
        </w:rPr>
        <w:footnoteReference w:id="16"/>
      </w:r>
      <w:r w:rsidRPr="00BB4384">
        <w:rPr>
          <w:noProof/>
        </w:rPr>
        <w:t>.</w:t>
      </w:r>
      <w:r w:rsidRPr="00BB4384">
        <w:rPr>
          <w:rFonts w:ascii="Times New Roman" w:hAnsi="Times New Roman"/>
          <w:noProof/>
          <w:sz w:val="24"/>
        </w:rPr>
        <w:t xml:space="preserve"> Prin urmare, o mai bună cooperare cu autoritățile competente, altele decât ANR-urile, în domeniul comunicațiilor electronice, precum și perfecționarea profesională a ANR-urilor devin și mai importante, în contextul în care reglementarea în domeniul digital se extinde dincolo de sectorul tradițional al telecomunicațiilor. </w:t>
      </w:r>
    </w:p>
    <w:p w14:paraId="52E6B4BB" w14:textId="3F371EEC"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În plus, astfel cum a recunoscut și OAREC</w:t>
      </w:r>
      <w:r w:rsidRPr="00BB4384">
        <w:rPr>
          <w:rStyle w:val="FootnoteReference"/>
          <w:rFonts w:ascii="Times New Roman" w:hAnsi="Times New Roman" w:cs="Times New Roman"/>
          <w:noProof/>
          <w:szCs w:val="24"/>
        </w:rPr>
        <w:footnoteReference w:id="17"/>
      </w:r>
      <w:r w:rsidRPr="00BB4384">
        <w:rPr>
          <w:rFonts w:ascii="Times New Roman" w:hAnsi="Times New Roman"/>
          <w:noProof/>
          <w:sz w:val="24"/>
        </w:rPr>
        <w:t xml:space="preserve"> și cum s-a arătat în Cartea albă a Comisiei intitulată „Cum se pot gestiona nevoile Europei în materie de infrastructură digitală?”,</w:t>
      </w:r>
      <w:r w:rsidRPr="00BB4384">
        <w:rPr>
          <w:noProof/>
        </w:rPr>
        <w:t xml:space="preserve"> </w:t>
      </w:r>
      <w:r w:rsidRPr="00BB4384">
        <w:rPr>
          <w:rFonts w:ascii="Times New Roman" w:hAnsi="Times New Roman"/>
          <w:noProof/>
          <w:sz w:val="24"/>
        </w:rPr>
        <w:t>virtualizarea și trecerea la soluții bazate pe software ale rețelelor de comunicații electronice sunt în curs, la fel ca și transferarea funcțiilor de rețea către infrastructura de tip cloud sau edge</w:t>
      </w:r>
      <w:r w:rsidRPr="00BB4384">
        <w:rPr>
          <w:rStyle w:val="FootnoteReference"/>
          <w:rFonts w:ascii="Times New Roman" w:hAnsi="Times New Roman" w:cs="Times New Roman"/>
          <w:noProof/>
        </w:rPr>
        <w:footnoteReference w:id="18"/>
      </w:r>
      <w:r w:rsidRPr="00BB4384">
        <w:rPr>
          <w:noProof/>
        </w:rPr>
        <w:t>.</w:t>
      </w:r>
      <w:r w:rsidRPr="00BB4384">
        <w:rPr>
          <w:rFonts w:ascii="Times New Roman" w:hAnsi="Times New Roman"/>
          <w:noProof/>
          <w:sz w:val="24"/>
        </w:rPr>
        <w:t xml:space="preserve"> Convergența rețelelor și serviciilor de comunicații electronice și a infrastructurilor de cloud nu are loc doar la nivelul infrastructurii, ci și la nivelul operațiunilor de servicii. În plus, în ultimii ani, aplicațiile bazate pe IA au schimbat profund modul de viață și au afectat toate sectoarele economice. Pentru a-și îndeplini rolul, este important ca OAREC să fie în măsură să răspundă convergenței dintre piața tradițională a telecomunicațiilor și ecosistemul digital mai larg, inclusiv având în vedere caracterul tot mai supranațional al piețelor de conectivitate. În plus, dimensiunea europeană a sectorului se dezvoltă în continuare și, odată cu aceasta, domeniul de aplicare și obiectivele cadrului de reglementare, inclusiv aspectele legate de reglementare, cum ar fi autorizarea, asigurarea unei mai bune funcționări a unui ecosistem de conectivitate mai larg și - foarte important - reziliența și durabilitatea. De asemenea, ar trebui luată în considerare și posibilitatea creării unei structuri de guvernanță mai orientate către nivelul UE. </w:t>
      </w:r>
    </w:p>
    <w:p w14:paraId="77B04F29" w14:textId="40AA0C58" w:rsidR="00F9480C" w:rsidRPr="00BB4384" w:rsidRDefault="00F9480C" w:rsidP="00F9480C">
      <w:pPr>
        <w:pStyle w:val="Text1"/>
        <w:ind w:left="0"/>
        <w:rPr>
          <w:noProof/>
        </w:rPr>
      </w:pPr>
      <w:r w:rsidRPr="00BB4384">
        <w:rPr>
          <w:noProof/>
        </w:rPr>
        <w:t xml:space="preserve">În ceea ce privește </w:t>
      </w:r>
      <w:r w:rsidRPr="00BB4384">
        <w:rPr>
          <w:b/>
          <w:noProof/>
        </w:rPr>
        <w:t>Oficiul OAREC</w:t>
      </w:r>
      <w:r w:rsidRPr="00BB4384">
        <w:rPr>
          <w:noProof/>
        </w:rPr>
        <w:t xml:space="preserve"> în general, acesta a oferit cu succes sprijin OAREC, chiar și în perioade caracterizate printr-un volum de muncă sporit sau atunci când a trebuit să se adapteze la evenimente globale semnificative, cum ar fi războiul de agresiune al Rusiei împotriva Ucrainei. Cu toate acestea, Comisia împărtășește opinia exprimată de mai multe ANR-uri potrivit căreia Oficiul OAREC ar trebui să ofere nu numai sprijin administrativ, ci și un sprijin profesional suplimentar și, în special, să joace un rol mai important în colectarea și analiza de date. Aceasta ar putea fi o evoluție importantă a rolului Oficiului OAREC, întrucât cererea în materie de analiză a datelor și o mai bună înțelegere a tendințelor tehnologice și a factorilor determinanți ai acestora sunt esențiale pentru ca OAREC să își îndeplinească rolul, în prezent și în viitorul previzibil. Prin consolidarea Oficiului OAREC, astfel încât acesta să poată oferi OAREC sprijin și în ceea ce privește conținutul, rezultatele obținute de OAREC vor putea să țină seama într-o mai mare măsură de perspectiva UE și să se alinieze mai bine la politicile de la nivelul UE. </w:t>
      </w:r>
    </w:p>
    <w:p w14:paraId="41D9C0F2" w14:textId="77777777" w:rsidR="00F9480C" w:rsidRPr="00BB4384"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BB4384">
        <w:rPr>
          <w:rFonts w:ascii="Times New Roman" w:hAnsi="Times New Roman"/>
          <w:b/>
          <w:noProof/>
          <w:color w:val="auto"/>
          <w:sz w:val="24"/>
        </w:rPr>
        <w:t>Eficiență</w:t>
      </w:r>
    </w:p>
    <w:p w14:paraId="59CBD0DD" w14:textId="42B4156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rPr>
        <w:t>În general, părțile interesate consideră că</w:t>
      </w:r>
      <w:r w:rsidR="007F0D60" w:rsidRPr="00BB4384">
        <w:rPr>
          <w:rFonts w:ascii="Times New Roman" w:hAnsi="Times New Roman"/>
          <w:noProof/>
        </w:rPr>
        <w:t xml:space="preserve"> </w:t>
      </w:r>
      <w:r w:rsidRPr="00BB4384">
        <w:rPr>
          <w:rFonts w:ascii="Times New Roman" w:hAnsi="Times New Roman"/>
          <w:b/>
          <w:noProof/>
        </w:rPr>
        <w:t>OAREC</w:t>
      </w:r>
      <w:r w:rsidRPr="00BB4384">
        <w:rPr>
          <w:rFonts w:ascii="Times New Roman" w:hAnsi="Times New Roman"/>
          <w:noProof/>
        </w:rPr>
        <w:t xml:space="preserve"> este o organizație cu o structură, o guvernanță și proceduri clare și simple, dar totodată relativ flexibile</w:t>
      </w:r>
      <w:r w:rsidRPr="00BB4384">
        <w:rPr>
          <w:rStyle w:val="FootnoteReference"/>
          <w:rFonts w:ascii="Times New Roman" w:hAnsi="Times New Roman" w:cs="Times New Roman"/>
          <w:noProof/>
          <w:szCs w:val="24"/>
        </w:rPr>
        <w:footnoteReference w:id="19"/>
      </w:r>
      <w:r w:rsidRPr="00BB4384">
        <w:rPr>
          <w:rFonts w:ascii="Times New Roman" w:hAnsi="Times New Roman"/>
          <w:noProof/>
        </w:rPr>
        <w:t>.</w:t>
      </w:r>
      <w:r w:rsidRPr="00BB4384">
        <w:rPr>
          <w:rFonts w:ascii="Times New Roman" w:hAnsi="Times New Roman"/>
          <w:noProof/>
          <w:sz w:val="24"/>
        </w:rPr>
        <w:t xml:space="preserve"> Cu toate acestea, dependența frecventă de ANR-urile mai mari pentru conducerea grupurilor de lucru ale OAREC, asimetria menționată în ceea ce privește competențele ANR-urilor sau nivelul lor limitat de cunoștințe în anumite domenii ar putea afecta reprezentativitatea rezultatelor specifice ale OAREC. Deși mandatul actual al Oficiului OAREC ar putea să nu ofere o marjă mare de manevră, solicitarea de sprijin care să fie axat într-o măsură mai mare pe conținut din partea Oficiului OAREC ar putea îmbunătăți situația.</w:t>
      </w:r>
    </w:p>
    <w:p w14:paraId="7B189D07" w14:textId="7777777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În plus, ar trebui să se evalueze numărul grupurilor de lucru ale OAREC și delimitarea sarcinilor acestora pentru a se asigura că evoluțiile din acest sector sunt abordate, evitându-se, în același timp, eventualele suprapuneri sau inconsecvențe. În cele din urmă, astfel cum au evidențiat și ANR-urile/OAREC, o mai bună coordonare și planificare cu instituțiile UE ar putea permite o îndeplinire mai eficace a sarcinilor în ceea ce privește contribuțiile ad-hoc solicitate OAREC.</w:t>
      </w:r>
    </w:p>
    <w:p w14:paraId="7A4D0136" w14:textId="1317A1BD"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Având în vedere faptul că este una dintre cele mai mici agenții ale UE, </w:t>
      </w:r>
      <w:r w:rsidRPr="00BB4384">
        <w:rPr>
          <w:rFonts w:ascii="Times New Roman" w:hAnsi="Times New Roman"/>
          <w:b/>
          <w:noProof/>
          <w:sz w:val="24"/>
        </w:rPr>
        <w:t>Oficiul OAREC</w:t>
      </w:r>
      <w:r w:rsidRPr="00BB4384">
        <w:rPr>
          <w:rFonts w:ascii="Times New Roman" w:hAnsi="Times New Roman"/>
          <w:noProof/>
          <w:sz w:val="24"/>
        </w:rPr>
        <w:t xml:space="preserve"> se străduiește să ofere sprijin OAREC într-un mod cât mai eficient posibil, în limitele constrângerilor sale bugetare. Cu toate acestea, Oficiul OAREC – și această constatare se aplică și Consiliului său de administrație – depășește în mod sistematic numărul maxim de ENI aprobat de autoritatea bugetară. În același timp, Oficiul OAREC se confruntă în prezent cu o rată de rotație a personalului relativ ridicată, vizibilă mai ales în rândul personalului extern care se ocupă de sarcini administrative. Aceasta generează probleme de continuitate, inclusiv în ceea ce privește păstrarea cunoștințelor. </w:t>
      </w:r>
    </w:p>
    <w:p w14:paraId="77347591" w14:textId="20FF4818"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Oficiul OAREC ar trebui să abordeze aceste aspecte pentru a fi mai eficient. Acest obiectiv ar putea fi realizat prin reorganizarea funcțiilor în cadrul agenției, precum și printr-o colaborare mai strânsă cu serviciile Comisiei sau cu alte agenții descentralizate. De fapt, furnizarea de sprijin axat într-o măsură mai mare pe conținut, de exemplu în ceea ce privește analiza datelor și redactarea rapoartelor, ar putea contribui la un echilibru general adecvat între sarcinile operaționale și cele de sprijin administrativ. Aceasta ar putea face ca Oficiul OAREC să devină un angajator mai atractiv. În plus, instrumentele informatice ale Oficiului OAREC ar putea fi îmbunătățite în continuare pentru a le face mai ușor de utilizat și mai sigure, având în vedere amenințările persistente la adresa securității cibernetice (atât a Oficiului OAREC, având în vedere amplasarea sa, cât și a operatorilor de telecomunicații din UE, dat fiindcă că oficiul ar putea fi utilizat ca vector de atac asupra acestora). În orice caz, în ceea ce privește Consiliul de administrație al OAREC, va fi important ca acesta să abordeze aspectele legate de resursele umane și financiare în conformitate cu cadrul general pentru agențiile europene și să utilizeze resursele în mod eficient.</w:t>
      </w:r>
    </w:p>
    <w:p w14:paraId="328F2CBE" w14:textId="369E4D83" w:rsidR="00F9480C" w:rsidRPr="00BB4384"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BB4384">
        <w:rPr>
          <w:rFonts w:ascii="Times New Roman" w:hAnsi="Times New Roman"/>
          <w:b/>
          <w:noProof/>
          <w:color w:val="auto"/>
          <w:sz w:val="24"/>
        </w:rPr>
        <w:t>Coerența</w:t>
      </w:r>
    </w:p>
    <w:p w14:paraId="39B4529C" w14:textId="7777777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O mai bună coordonare și un schimb mai intens de informații la nivelul UE și/sau la nivel național între ANR-uri și alte autorități competente sau implicarea directă a altor autorități competente în activitățile OAREC pentru care nu toate ANR-urile sunt responsabile la nivel național ar contribui, de asemenea, la coerența anumitor rezultate ale OAREC. În opinia Comisiei, OAREC ar trebui, în orice caz, să își adapteze rezultatele și expertiza pentru a ține seama de chestiunile emergente relevante, cum ar fi IA, securitatea cibernetică și alte aspecte digitale și, foarte important, sustenabilitatea și reziliența rețelelor, care sunt abordate prin diferite politici și instrumente juridice ale UE. </w:t>
      </w:r>
    </w:p>
    <w:p w14:paraId="55D1FF7D" w14:textId="7C7D73E4"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În acest context, ar trebui să se facă, de asemenea, o referire specifică la problemele legate de spectru. Deși un număr semnificativ de membri ai OAREC sunt responsabili de aspecte legate de spectru la nivel național, și atât OAREC, cât și Oficiul OAREC se ocupă, în diverse moduri, de aspecte legate de autorizare, până în prezent aceștia au fost implicați în chestiuni legate de spectru numai în puține cazuri, de exemplu în cadrul participării la evaluările </w:t>
      </w:r>
      <w:r w:rsidRPr="00BB4384">
        <w:rPr>
          <w:rFonts w:ascii="Times New Roman" w:hAnsi="Times New Roman"/>
          <w:i/>
          <w:iCs/>
          <w:noProof/>
          <w:sz w:val="24"/>
        </w:rPr>
        <w:t>inter pares</w:t>
      </w:r>
      <w:r w:rsidRPr="00BB4384">
        <w:rPr>
          <w:rFonts w:ascii="Times New Roman" w:hAnsi="Times New Roman"/>
          <w:noProof/>
          <w:sz w:val="24"/>
        </w:rPr>
        <w:t xml:space="preserve"> ale RSPG. Pentru a aborda evoluțiile recente din domeniul aplicațiilor prin satelit este nevoie, în special, de o implicare sporită a OAREC și a Oficiului OAREC în domeniul spectrului și de o colaborare mult mai strânsă cu RSPG, având în vedere caracterul inerent paneuropean al serviciilor prin satelit. </w:t>
      </w:r>
    </w:p>
    <w:p w14:paraId="74434FEC" w14:textId="77777777" w:rsidR="00F9480C" w:rsidRPr="00BB4384"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BB4384">
        <w:rPr>
          <w:rFonts w:ascii="Times New Roman" w:hAnsi="Times New Roman"/>
          <w:b/>
          <w:noProof/>
          <w:color w:val="auto"/>
          <w:sz w:val="24"/>
        </w:rPr>
        <w:t>Valoarea adăugată europeană</w:t>
      </w:r>
    </w:p>
    <w:p w14:paraId="5FFCC822" w14:textId="36F34E60" w:rsidR="009E74E1"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Prin faptul că reunește expertiza a 27 de ANR-uri, </w:t>
      </w:r>
      <w:r w:rsidRPr="00BB4384">
        <w:rPr>
          <w:rFonts w:ascii="Times New Roman" w:hAnsi="Times New Roman"/>
          <w:b/>
          <w:noProof/>
          <w:sz w:val="24"/>
        </w:rPr>
        <w:t>OAREC</w:t>
      </w:r>
      <w:r w:rsidRPr="00BB4384">
        <w:rPr>
          <w:rFonts w:ascii="Times New Roman" w:hAnsi="Times New Roman"/>
          <w:noProof/>
          <w:sz w:val="24"/>
        </w:rPr>
        <w:t xml:space="preserve"> joacă un rol esențial în punerea în aplicare a cadrului de reglementare a comunicațiilor electronice, în special pentru ANR-uri și instituțiile UE. Structura de guvernanță a OAREC și a Oficiului OAREC este unică și diferită de modelul obișnuit al agențiilor descentralizate ale UE utilizate în alte sectoare reglementate (cum ar fi sectoarele energetic, bancar, medical și cel al siguranței aviației). Această structură pune în aplicare o separare deliberată a funcțiilor de reglementare de sprijinul administrativ, având în vedere necesitatea de a asigura independența ANR-urilor, inclusiv la nivelul UE. Spre deosebire de alte agenții (de exemplu, ACER, AESA, EMA), OAREC nu are personalitate juridică și nici nu poate adopta decizii de reglementare cu caracter obligatoriu, dar rolul său principal, în calitate de organism de experți la nivel înalt, constă în furnizarea de orientări, adoptarea unor poziții comune, emiterea de avize și elaborarea de instrumente legislative fără caracter obligatoriu pentru a armoniza abordările în materie de reglementare ale membrilor săi. În pofida unor limitări (o structură complexă, lipsa competențelor de reglementare directe conferite unui organism al UE), structura actuală a contribuit cu succes la convergența generală a abordărilor în materie de reglementare în cadrul UE.</w:t>
      </w:r>
    </w:p>
    <w:p w14:paraId="15CDACBA" w14:textId="208C6926" w:rsidR="00F9480C" w:rsidRPr="00BB4384" w:rsidRDefault="00685881"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Contribuția OAREC la promovarea coerenței în materie de reglementare și, prin urmare, beneficiile pentru piața internă a comunicațiilor electronice și utilizatorii finali, ar trebui încurajate în continuare. În special, OAREC ar putea juca un rol mai activ, în special prin intermediul orientărilor sale, în promovarea unei abordări armonizate a punerii în aplicare a cadrului european de reglementare pentru comunicațiile electronice, în conformitate cu articolul 3 din Regulamentul privind OAREC. În cursul perioadei de evaluare, orientările OAREC au avut un rol esențial în sprijinirea armonizării abordărilor ANR-urilor, dar au fost insuficiente, împreună cu mulți alți factori care nu au direct legătură cu OAREC, pentru a conduce, în cele din urmă, la crearea unei piețe unice europene a comunicațiilor electronice. Deși OAREC poate adopta avize cu majoritate simplă, în practică se străduiește să ajungă la consens/unanimitate și la un numitor comun în rândul tuturor ANR-urilor implicate. În practică, acest lucru limitează în mod semnificativ capacitatea OAREC de a acționa concentrându-se pe interesele paneuropene, spre deosebire de perspectivele naționale, care sunt uneori mai conservatoare și „în mod natural” mai concentrate pe specificitățile locale.</w:t>
      </w:r>
      <w:r w:rsidR="00DB0237" w:rsidRPr="00BB4384">
        <w:rPr>
          <w:rFonts w:ascii="Times New Roman" w:hAnsi="Times New Roman"/>
          <w:noProof/>
          <w:sz w:val="24"/>
        </w:rPr>
        <w:t xml:space="preserve"> </w:t>
      </w:r>
    </w:p>
    <w:p w14:paraId="0E6814AB" w14:textId="7777777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Avizele OAREC oferă, în general, contribuții valoroase pentru ANR-uri și pentru procesul de elaborare a politicilor UE. Cu toate acestea, avizele emise din proprie inițiativă și/sau în timpul negocierilor interinstituționale ar putea fi mai bine coordonate cu Comisia și colegiuitorii pentru a se asigura utilitatea lor în procesul de elaborare a politicilor. Acest lucru ar pleda pentru găsirea modalităților adecvate și a momentului oportun în care Comisia sau alte instituții pot obține opiniile OAREC, precum și pentru clarificarea mandatului actual al OAREC în ceea ce privește contribuția la pregătirea propunerilor legislative în domeniul comunicațiilor electronice.</w:t>
      </w:r>
    </w:p>
    <w:p w14:paraId="49EDA755" w14:textId="637933E4" w:rsidR="00F9480C" w:rsidRPr="00BB4384" w:rsidRDefault="00F9480C" w:rsidP="00F9480C">
      <w:pPr>
        <w:pStyle w:val="paragraph"/>
        <w:spacing w:before="0" w:beforeAutospacing="0"/>
        <w:jc w:val="both"/>
        <w:textAlignment w:val="baseline"/>
        <w:rPr>
          <w:noProof/>
        </w:rPr>
      </w:pPr>
      <w:r w:rsidRPr="00BB4384">
        <w:rPr>
          <w:rStyle w:val="normaltextrun"/>
          <w:noProof/>
        </w:rPr>
        <w:t>În plus, expertiza BEREC trebuie să fie menținută, aprofundată și extinsă, având în vedere evoluția rapidă a piețelor de comunicații electronice și digitale, în pofida diferențelor în materie de competențe ale membrilor săi la nivel național.</w:t>
      </w:r>
      <w:r w:rsidRPr="00BB4384">
        <w:rPr>
          <w:rStyle w:val="eop"/>
          <w:noProof/>
        </w:rPr>
        <w:t xml:space="preserve"> </w:t>
      </w:r>
      <w:r w:rsidRPr="00BB4384">
        <w:rPr>
          <w:noProof/>
        </w:rPr>
        <w:t>În această privință, în răspunsul său</w:t>
      </w:r>
      <w:r w:rsidRPr="00BB4384">
        <w:rPr>
          <w:rStyle w:val="FootnoteReference"/>
          <w:noProof/>
        </w:rPr>
        <w:footnoteReference w:id="20"/>
      </w:r>
      <w:r w:rsidRPr="00BB4384">
        <w:rPr>
          <w:noProof/>
        </w:rPr>
        <w:t xml:space="preserve"> la cererea de contribuții, OAREC a afirmat că dorește să își asume noi responsabilități instituționale în vederea consolidării în continuare a dimensiunii pieței unice și a perspectivei mai ample a politicii digitale, precizând că o astfel de extindere poate funcționa bine și în cadrul structurii sale actuale pe două niveluri. În plus, OAREC subliniază necesitatea de a delimita în mod clar domeniile de responsabilitate și răspundere în rândul diferiților actori instituționali și recunoaște necesitatea tot mai mare a unei cooperări structurate cu alte organisme de la nivelul UE care supraveghează domenii interconectate ale politicii digitale, cum ar fi guvernanța datelor, serviciile digitale, securitatea cibernetică și IA. </w:t>
      </w:r>
    </w:p>
    <w:p w14:paraId="3D393F19" w14:textId="4DCD25EA"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În fine, creșterea numărului de participanți din partea ANR-urilor din țări terțe, deși contribuie la promovarea piețelor comunicațiilor electronice din UE și la schimbul de opinii și învățarea reciprocă, implică necesitatea de a reflecta asupra rolului acestora, asupra capacității lor de a lua decizii, precum și asupra organizării activității OAREC.</w:t>
      </w:r>
    </w:p>
    <w:p w14:paraId="5836660A" w14:textId="77777777" w:rsidR="00F9480C" w:rsidRPr="00BB4384" w:rsidRDefault="00F9480C" w:rsidP="00F9480C">
      <w:pPr>
        <w:pStyle w:val="Heading2"/>
        <w:keepNext w:val="0"/>
        <w:keepLines w:val="0"/>
        <w:numPr>
          <w:ilvl w:val="1"/>
          <w:numId w:val="1"/>
        </w:numPr>
        <w:spacing w:before="0" w:after="200"/>
        <w:jc w:val="both"/>
        <w:rPr>
          <w:rFonts w:ascii="Times New Roman" w:eastAsia="Times New Roman" w:hAnsi="Times New Roman" w:cs="Times New Roman"/>
          <w:b/>
          <w:noProof/>
          <w:color w:val="auto"/>
          <w:sz w:val="24"/>
          <w:szCs w:val="24"/>
        </w:rPr>
      </w:pPr>
      <w:r w:rsidRPr="00BB4384">
        <w:rPr>
          <w:rFonts w:ascii="Times New Roman" w:hAnsi="Times New Roman"/>
          <w:b/>
          <w:noProof/>
          <w:color w:val="auto"/>
          <w:sz w:val="24"/>
        </w:rPr>
        <w:t>Relevanța</w:t>
      </w:r>
    </w:p>
    <w:p w14:paraId="39F5842C" w14:textId="3B9031EE"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Asimetriile dintre competențele ANR-urilor din statele membre pot influența relevanța activității </w:t>
      </w:r>
      <w:r w:rsidRPr="00BB4384">
        <w:rPr>
          <w:rFonts w:ascii="Times New Roman" w:hAnsi="Times New Roman"/>
          <w:b/>
          <w:noProof/>
          <w:sz w:val="24"/>
        </w:rPr>
        <w:t>OAREC</w:t>
      </w:r>
      <w:r w:rsidRPr="00BB4384">
        <w:rPr>
          <w:rFonts w:ascii="Times New Roman" w:hAnsi="Times New Roman"/>
          <w:noProof/>
          <w:sz w:val="24"/>
        </w:rPr>
        <w:t xml:space="preserve"> pentru anumite ANR-uri. Acest lucru ridică problema modului în care OAREC ar putea „contribui cel mai bine la un mediu de reglementare adecvat pentru era digitală în perioada premergătoare anului 2030”, astfel cum arată OAREC în propria sa contribuție la evaluare.</w:t>
      </w:r>
      <w:r w:rsidR="00DB0237" w:rsidRPr="00BB4384">
        <w:rPr>
          <w:rFonts w:ascii="Times New Roman" w:hAnsi="Times New Roman"/>
          <w:noProof/>
          <w:sz w:val="24"/>
        </w:rPr>
        <w:t xml:space="preserve"> </w:t>
      </w:r>
    </w:p>
    <w:p w14:paraId="1ADC4D1A" w14:textId="6399FDD4"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De asemenea, în domeniul comunicațiilor electronice, sarcinile care au fost încredințate OAREC și Oficiului OAREC au fost limitate, deoarece actuala structură de guvernanță a fost concepută pentru piețe care au un domeniu de aplicare național, cu mai puține aspecte legate de armonizare și de dimensiunea pieței unice și cu un accent semnificativ pe reglementarea </w:t>
      </w:r>
      <w:r w:rsidRPr="00BB4384">
        <w:rPr>
          <w:rFonts w:ascii="Times New Roman" w:hAnsi="Times New Roman"/>
          <w:i/>
          <w:iCs/>
          <w:noProof/>
          <w:sz w:val="24"/>
        </w:rPr>
        <w:t>ex ante</w:t>
      </w:r>
      <w:r w:rsidRPr="00BB4384">
        <w:rPr>
          <w:rFonts w:ascii="Times New Roman" w:hAnsi="Times New Roman"/>
          <w:noProof/>
          <w:sz w:val="24"/>
        </w:rPr>
        <w:t xml:space="preserve"> ca instrument principal al setului de instrumente de reglementare. Acest lucru este în schimbare, deoarece dimensiunea europeană a sectorului s-a dezvoltat în unele domenii, în timp ce condițiile de concurență au evoluat. </w:t>
      </w:r>
    </w:p>
    <w:p w14:paraId="10868C01" w14:textId="5D38B1F4"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Schimbările tehnologice recente creează diverse oportunități și provocări pentru sector, astfel cum se indică în Cartea albă a Comisiei privind nevoile în materie de infrastructură digitală și în reacțiile recente primite la cererea de contribuții care </w:t>
      </w:r>
      <w:r w:rsidRPr="00BB4384">
        <w:rPr>
          <w:rFonts w:ascii="Times New Roman" w:hAnsi="Times New Roman"/>
          <w:noProof/>
          <w:sz w:val="24"/>
          <w:szCs w:val="24"/>
        </w:rPr>
        <w:t>însoțește procesul legislativ aferent Actului legislativ privind rețelele digitale. Strategia OAREC pentru perioada 2026-2030, adoptată recent, recunoaște schimbările profunde ale tehnologiilor digitale și caracterul interconectat/reciproc al comunicațiilor electronice și al tehnologiilor digitale</w:t>
      </w:r>
      <w:r w:rsidR="00006B8A" w:rsidRPr="00BB4384">
        <w:rPr>
          <w:rFonts w:ascii="Times New Roman" w:hAnsi="Times New Roman"/>
          <w:noProof/>
          <w:sz w:val="24"/>
          <w:szCs w:val="24"/>
        </w:rPr>
        <w:t xml:space="preserve"> </w:t>
      </w:r>
      <w:r w:rsidRPr="00BB4384">
        <w:rPr>
          <w:rFonts w:ascii="Times New Roman" w:hAnsi="Times New Roman"/>
          <w:noProof/>
          <w:sz w:val="24"/>
          <w:szCs w:val="24"/>
        </w:rPr>
        <w:t>[IA, prelucrarea datelor, virtualizarea, cloud computing și tehnica de calcul la margine (</w:t>
      </w:r>
      <w:r w:rsidRPr="00BB4384">
        <w:rPr>
          <w:rFonts w:ascii="Times New Roman" w:hAnsi="Times New Roman"/>
          <w:i/>
          <w:iCs/>
          <w:noProof/>
          <w:sz w:val="24"/>
          <w:szCs w:val="24"/>
        </w:rPr>
        <w:t>edge computing</w:t>
      </w:r>
      <w:r w:rsidRPr="00BB4384">
        <w:rPr>
          <w:rFonts w:ascii="Times New Roman" w:hAnsi="Times New Roman"/>
          <w:noProof/>
          <w:sz w:val="24"/>
          <w:szCs w:val="24"/>
        </w:rPr>
        <w:t>)]</w:t>
      </w:r>
      <w:r w:rsidRPr="00BB4384">
        <w:rPr>
          <w:rStyle w:val="FootnoteReference"/>
          <w:rFonts w:ascii="Times New Roman" w:eastAsiaTheme="minorEastAsia" w:hAnsi="Times New Roman"/>
          <w:noProof/>
          <w:sz w:val="24"/>
          <w:szCs w:val="24"/>
        </w:rPr>
        <w:footnoteReference w:id="21"/>
      </w:r>
      <w:r w:rsidRPr="00BB4384">
        <w:rPr>
          <w:rFonts w:ascii="Times New Roman" w:hAnsi="Times New Roman"/>
          <w:noProof/>
          <w:sz w:val="24"/>
          <w:szCs w:val="24"/>
        </w:rPr>
        <w:t>.</w:t>
      </w:r>
      <w:r w:rsidRPr="00BB4384">
        <w:rPr>
          <w:rFonts w:ascii="Times New Roman" w:hAnsi="Times New Roman"/>
          <w:noProof/>
          <w:sz w:val="24"/>
        </w:rPr>
        <w:t xml:space="preserve"> Pentru a asigura faptul că rămâne relevant în următorii ani, OAREC identifică prioritățile-cheie, care, pe lângă aspectele asupra cărora se concentrează în prezent (conectivitate, concurență, interesele utilizatorilor finali), pun accentul și pe durabilitatea mediului, pe securitatea cibernetică și pe reziliență. </w:t>
      </w:r>
    </w:p>
    <w:p w14:paraId="14B5C6A0" w14:textId="20DF5494" w:rsidR="00F9480C" w:rsidRPr="00BB4384" w:rsidRDefault="00F9480C" w:rsidP="00F9480C">
      <w:pPr>
        <w:spacing w:after="100" w:afterAutospacing="1" w:line="240" w:lineRule="auto"/>
        <w:jc w:val="both"/>
        <w:rPr>
          <w:rFonts w:ascii="Times New Roman" w:eastAsia="Times New Roman" w:hAnsi="Times New Roman" w:cs="Times New Roman"/>
          <w:noProof/>
          <w:sz w:val="24"/>
          <w:szCs w:val="24"/>
        </w:rPr>
      </w:pPr>
      <w:r w:rsidRPr="00BB4384">
        <w:rPr>
          <w:rFonts w:ascii="Times New Roman" w:hAnsi="Times New Roman"/>
          <w:noProof/>
          <w:sz w:val="24"/>
        </w:rPr>
        <w:t xml:space="preserve">Este posibil ca structura actuală a OAREC și sarcinile care îi sunt încredințate să nu fie suficiente și adecvate pentru a face față acestei evoluții. În plus, ar putea fi necesar ca setul de instrumente de reglementare să fie modernizat pentru a aborda schimbările tehnologice și de piață, introducând o posibilă utilizare pe scară mai largă a instrumentelor armonizate (de exemplu, produsele de acces) și a instrumentelor sale cel mai rar utilizate (sau neutilizate până în prezent), cum ar fi soluționarea aspectelor transfrontaliere, care ar putea deveni mai importante. În acest sens, se pune problema modului în care rolul și mandatul OAREC și al Oficiului OAREC ar trebui să evolueze și, eventual, să fie consolidate pentru a se adapta la noile responsabilități și sarcini. </w:t>
      </w:r>
    </w:p>
    <w:p w14:paraId="1C91ADD0" w14:textId="33962DB8"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Structura actuală pune, de asemenea, sub semnul întrebării relevanța activității OAREC pe piețele digitale pentru anumiți reprezentanți ai industriei și ai consumatorilor. Părțile interesate externe doresc să colaboreze mai mult cu OAREC în cadrul evenimentelor virtuale sau al consultărilor publice și solicită adesea mai mult timp pentru a răspunde la consultări și mai multă transparență cu privire la inițiativele viitoare. În această privință, în cursul anilor 2024 și 2025, OAREC a pus un accent semnificativ pe îmbunătățirea comunicării sale eficace cu părțile interesate, pentru a asigura transparența, a consolida încrederea și a colabora cu părțile interesate, asigurându-se că toate rezultatele sale rămân relevante. Acest lucru a fost evidențiat ca fiind unul dintre aspectele care stau la baza consolidării capacităților OAREC în strategia sa pentru anii 2026-2030, care urmărește să stabilească prioritățile OAREC pentru următorii 5 ani. </w:t>
      </w:r>
    </w:p>
    <w:p w14:paraId="1BC5B532" w14:textId="77777777" w:rsidR="00F9480C" w:rsidRPr="00BB4384" w:rsidRDefault="00F9480C" w:rsidP="00F9480C">
      <w:pPr>
        <w:pStyle w:val="Heading1"/>
        <w:numPr>
          <w:ilvl w:val="0"/>
          <w:numId w:val="1"/>
        </w:numPr>
        <w:rPr>
          <w:rFonts w:ascii="Times New Roman" w:eastAsia="Times New Roman" w:hAnsi="Times New Roman" w:cs="Times New Roman"/>
          <w:b/>
          <w:smallCaps/>
          <w:noProof/>
          <w:color w:val="auto"/>
          <w:sz w:val="24"/>
          <w:szCs w:val="20"/>
        </w:rPr>
      </w:pPr>
      <w:r w:rsidRPr="00BB4384">
        <w:rPr>
          <w:rFonts w:ascii="Times New Roman" w:hAnsi="Times New Roman"/>
          <w:b/>
          <w:smallCaps/>
          <w:noProof/>
          <w:color w:val="auto"/>
          <w:sz w:val="24"/>
        </w:rPr>
        <w:t>Concluzii</w:t>
      </w:r>
    </w:p>
    <w:p w14:paraId="0AC4EE39" w14:textId="7777777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Prezentul raport și documentul de lucru însoțitor al serviciilor Comisiei analizează în principal retrospectiv performanța OAREC și a Oficiului OAREC în perioada 2019-2023, ținând seama, în același timp, de principalele evoluții până în decembrie 2025. Raportul prezintă o serie de învățăminte desprinse în urma acestei analize, inclusiv în ceea ce privește mandatul și organizarea OAREC și a Oficiului OAREC. </w:t>
      </w:r>
    </w:p>
    <w:p w14:paraId="3FF3B6E1" w14:textId="77777777"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 xml:space="preserve">În general, OAREC și Oficiul OAREC s-au dovedit a fi destul de eficace în îndeplinirea principalelor lor obiective. Contribuția ANR-urilor independente, care împărtășesc aceleași obiective, este esențială în acest sens. </w:t>
      </w:r>
    </w:p>
    <w:p w14:paraId="03BBBC18" w14:textId="1469D8E4" w:rsidR="00F9480C" w:rsidRPr="00BB438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Cu toate acestea, situația a evoluat în cursul perioadei de raportare și continuă să evolueze în mod semnificativ. Piețele digitale mai complexe și mai interconectate au condus la adoptarea de noi norme și la încredințarea unor noi sarcini mai multor membri ai OAREC, de exemplu în domeniile piețelor digitale, securității cibernetice, spectrului, datelor și IA, care nu se reflectă întotdeauna în mandatul OAREC. Acest lucru sporește asimetria dintre responsabilitățile ANR-urilor la nivel național, precum și dintre responsabilitățile ANR-urilor și mandatul OAREC. În plus, schimbările recente ale pieței și ale tehnologiei creează oportunități și provocări pentru acest sector, astfel cum se indică în Cartea albă a Comisiei privind nevoile în materie de infrastructură digitală.</w:t>
      </w:r>
    </w:p>
    <w:p w14:paraId="542B9CD7" w14:textId="35446798" w:rsidR="00F9480C" w:rsidRPr="00875954" w:rsidRDefault="00F9480C" w:rsidP="00F9480C">
      <w:pPr>
        <w:spacing w:after="100" w:afterAutospacing="1" w:line="240" w:lineRule="auto"/>
        <w:jc w:val="both"/>
        <w:rPr>
          <w:rFonts w:ascii="Times New Roman" w:hAnsi="Times New Roman" w:cs="Times New Roman"/>
          <w:noProof/>
          <w:sz w:val="24"/>
          <w:szCs w:val="24"/>
        </w:rPr>
      </w:pPr>
      <w:r w:rsidRPr="00BB4384">
        <w:rPr>
          <w:rFonts w:ascii="Times New Roman" w:hAnsi="Times New Roman"/>
          <w:noProof/>
          <w:sz w:val="24"/>
        </w:rPr>
        <w:t>Aceste evoluții pledează pentru o mai bună coordonare și un schimb mai intens de informații la nivel național sau pentru implicarea directă a altor autorități competente în activitatea OAREC, ceea ce ar putea îmbunătăți eficacitatea acestuia. În plus, au loc schimbări chiar în sectorul comunicațiilor electronice, în contextul în care condițiile de concurență evoluează permanent și granițele clare dintre diferitele aspecte ale rețelelor digitale și ale comunicațiilor electronice și serviciilor digitale se estompează. Aceste evoluții impun susținerea și extinderea rolului și a expertizei OAREC, astfel cum a recunoscut și OAREC, subliniind, în același timp, necesitatea unei delimitări clare a noilor responsabilități și a răspunderii diferiților actori instituționali, precum și menținerea independenței OAREC și a ANR-urilor.</w:t>
      </w:r>
      <w:r w:rsidR="00DB0237" w:rsidRPr="00BB4384">
        <w:rPr>
          <w:rFonts w:ascii="Times New Roman" w:hAnsi="Times New Roman"/>
          <w:noProof/>
          <w:sz w:val="24"/>
        </w:rPr>
        <w:t xml:space="preserve"> </w:t>
      </w:r>
    </w:p>
    <w:sectPr w:rsidR="00F9480C" w:rsidRPr="00875954" w:rsidSect="00F9480C">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2A00F" w14:textId="77777777" w:rsidR="00C42D9C" w:rsidRPr="00BB4384" w:rsidRDefault="00C42D9C" w:rsidP="00F9480C">
      <w:pPr>
        <w:spacing w:after="0" w:line="240" w:lineRule="auto"/>
      </w:pPr>
      <w:r w:rsidRPr="00BB4384">
        <w:separator/>
      </w:r>
    </w:p>
  </w:endnote>
  <w:endnote w:type="continuationSeparator" w:id="0">
    <w:p w14:paraId="657DBBCF" w14:textId="77777777" w:rsidR="00C42D9C" w:rsidRPr="00BB4384" w:rsidRDefault="00C42D9C" w:rsidP="00F9480C">
      <w:pPr>
        <w:spacing w:after="0" w:line="240" w:lineRule="auto"/>
      </w:pPr>
      <w:r w:rsidRPr="00BB4384">
        <w:continuationSeparator/>
      </w:r>
    </w:p>
  </w:endnote>
  <w:endnote w:type="continuationNotice" w:id="1">
    <w:p w14:paraId="09C46EEC" w14:textId="77777777" w:rsidR="0072369A" w:rsidRPr="00BB4384" w:rsidRDefault="00723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33C8B" w14:textId="50356625" w:rsidR="006F356A" w:rsidRPr="006F356A" w:rsidRDefault="006F356A" w:rsidP="006F356A">
    <w:pPr>
      <w:pStyle w:val="FooterCoverPage"/>
      <w:rPr>
        <w:rFonts w:ascii="Arial" w:hAnsi="Arial" w:cs="Arial"/>
        <w:b/>
        <w:sz w:val="48"/>
      </w:rPr>
    </w:pPr>
    <w:r w:rsidRPr="006F356A">
      <w:rPr>
        <w:rFonts w:ascii="Arial" w:hAnsi="Arial" w:cs="Arial"/>
        <w:b/>
        <w:sz w:val="48"/>
      </w:rPr>
      <w:t>RO</w:t>
    </w:r>
    <w:r w:rsidRPr="006F356A">
      <w:rPr>
        <w:rFonts w:ascii="Arial" w:hAnsi="Arial" w:cs="Arial"/>
        <w:b/>
        <w:sz w:val="48"/>
      </w:rPr>
      <w:tab/>
    </w:r>
    <w:r w:rsidRPr="006F356A">
      <w:rPr>
        <w:rFonts w:ascii="Arial" w:hAnsi="Arial" w:cs="Arial"/>
        <w:b/>
        <w:sz w:val="48"/>
      </w:rPr>
      <w:tab/>
    </w:r>
    <w:r w:rsidRPr="006F356A">
      <w:tab/>
    </w:r>
    <w:r w:rsidRPr="006F356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5A5A1" w14:textId="3BE76C91" w:rsidR="006F356A" w:rsidRPr="006F356A" w:rsidRDefault="006F356A" w:rsidP="006F356A">
    <w:pPr>
      <w:pStyle w:val="FooterCoverPage"/>
      <w:rPr>
        <w:rFonts w:ascii="Arial" w:hAnsi="Arial" w:cs="Arial"/>
        <w:b/>
        <w:sz w:val="48"/>
      </w:rPr>
    </w:pPr>
    <w:r w:rsidRPr="006F356A">
      <w:rPr>
        <w:rFonts w:ascii="Arial" w:hAnsi="Arial" w:cs="Arial"/>
        <w:b/>
        <w:sz w:val="48"/>
      </w:rPr>
      <w:t>RO</w:t>
    </w:r>
    <w:r w:rsidRPr="006F356A">
      <w:rPr>
        <w:rFonts w:ascii="Arial" w:hAnsi="Arial" w:cs="Arial"/>
        <w:b/>
        <w:sz w:val="48"/>
      </w:rPr>
      <w:tab/>
    </w:r>
    <w:r w:rsidRPr="006F356A">
      <w:rPr>
        <w:rFonts w:ascii="Arial" w:hAnsi="Arial" w:cs="Arial"/>
        <w:b/>
        <w:sz w:val="48"/>
      </w:rPr>
      <w:tab/>
    </w:r>
    <w:r w:rsidRPr="006F356A">
      <w:tab/>
    </w:r>
    <w:r w:rsidRPr="006F356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91C26" w14:textId="77777777" w:rsidR="006F356A" w:rsidRPr="006F356A" w:rsidRDefault="006F356A" w:rsidP="006F35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EEC0E" w14:textId="77777777" w:rsidR="00716395" w:rsidRPr="00BB4384" w:rsidRDefault="00716395" w:rsidP="00F9480C">
    <w:pPr>
      <w:pStyle w:val="FooterCoverPage"/>
      <w:rPr>
        <w:rFonts w:ascii="Arial" w:hAnsi="Arial" w:cs="Arial"/>
        <w:b/>
        <w:sz w:val="48"/>
      </w:rPr>
    </w:pPr>
    <w:r w:rsidRPr="00BB4384">
      <w:rPr>
        <w:rFonts w:ascii="Arial" w:hAnsi="Arial"/>
        <w:b/>
        <w:sz w:val="48"/>
      </w:rPr>
      <w:t>RO</w:t>
    </w:r>
    <w:r w:rsidRPr="00BB4384">
      <w:tab/>
    </w:r>
    <w:r w:rsidRPr="00BB4384">
      <w:tab/>
    </w:r>
    <w:r w:rsidRPr="00BB4384">
      <w:tab/>
    </w:r>
    <w:r w:rsidRPr="00BB4384">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78142225"/>
      <w:docPartObj>
        <w:docPartGallery w:val="Page Numbers (Bottom of Page)"/>
        <w:docPartUnique/>
      </w:docPartObj>
    </w:sdtPr>
    <w:sdtEndPr/>
    <w:sdtContent>
      <w:p w14:paraId="3996A22E" w14:textId="6FBDF506" w:rsidR="00CE4890" w:rsidRPr="00BB4384" w:rsidRDefault="00CE4890">
        <w:pPr>
          <w:pStyle w:val="Footer"/>
          <w:jc w:val="right"/>
          <w:rPr>
            <w:rFonts w:ascii="Times New Roman" w:hAnsi="Times New Roman" w:cs="Times New Roman"/>
          </w:rPr>
        </w:pPr>
        <w:r w:rsidRPr="00BB4384">
          <w:rPr>
            <w:rFonts w:ascii="Times New Roman" w:hAnsi="Times New Roman" w:cs="Times New Roman"/>
          </w:rPr>
          <w:fldChar w:fldCharType="begin"/>
        </w:r>
        <w:r w:rsidRPr="00BB4384">
          <w:rPr>
            <w:rFonts w:ascii="Times New Roman" w:hAnsi="Times New Roman" w:cs="Times New Roman"/>
          </w:rPr>
          <w:instrText xml:space="preserve"> PAGE   \* MERGEFORMAT </w:instrText>
        </w:r>
        <w:r w:rsidRPr="00BB4384">
          <w:rPr>
            <w:rFonts w:ascii="Times New Roman" w:hAnsi="Times New Roman" w:cs="Times New Roman"/>
          </w:rPr>
          <w:fldChar w:fldCharType="separate"/>
        </w:r>
        <w:r w:rsidR="006F356A">
          <w:rPr>
            <w:rFonts w:ascii="Times New Roman" w:hAnsi="Times New Roman" w:cs="Times New Roman"/>
            <w:noProof/>
          </w:rPr>
          <w:t>1</w:t>
        </w:r>
        <w:r w:rsidRPr="00BB4384">
          <w:rPr>
            <w:rFonts w:ascii="Times New Roman" w:hAnsi="Times New Roman" w:cs="Times New Roman"/>
          </w:rPr>
          <w:fldChar w:fldCharType="end"/>
        </w:r>
      </w:p>
    </w:sdtContent>
  </w:sdt>
  <w:p w14:paraId="654AC1F1" w14:textId="77777777" w:rsidR="00F9480C" w:rsidRPr="00BB4384" w:rsidRDefault="00F9480C">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DB197" w14:textId="77777777" w:rsidR="00716395" w:rsidRPr="00BB4384" w:rsidRDefault="00716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A4CD46" w14:textId="77777777" w:rsidR="00C42D9C" w:rsidRPr="00BB4384" w:rsidRDefault="00C42D9C" w:rsidP="00F9480C">
      <w:pPr>
        <w:spacing w:after="0" w:line="240" w:lineRule="auto"/>
      </w:pPr>
      <w:r w:rsidRPr="00BB4384">
        <w:separator/>
      </w:r>
    </w:p>
  </w:footnote>
  <w:footnote w:type="continuationSeparator" w:id="0">
    <w:p w14:paraId="375CE53A" w14:textId="77777777" w:rsidR="00C42D9C" w:rsidRPr="00BB4384" w:rsidRDefault="00C42D9C" w:rsidP="00F9480C">
      <w:pPr>
        <w:spacing w:after="0" w:line="240" w:lineRule="auto"/>
      </w:pPr>
      <w:r w:rsidRPr="00BB4384">
        <w:continuationSeparator/>
      </w:r>
    </w:p>
  </w:footnote>
  <w:footnote w:type="continuationNotice" w:id="1">
    <w:p w14:paraId="0C296F33" w14:textId="77777777" w:rsidR="0072369A" w:rsidRPr="00BB4384" w:rsidRDefault="0072369A">
      <w:pPr>
        <w:spacing w:after="0" w:line="240" w:lineRule="auto"/>
      </w:pPr>
    </w:p>
  </w:footnote>
  <w:footnote w:id="2">
    <w:p w14:paraId="282CBFD2" w14:textId="77777777" w:rsidR="00F9480C" w:rsidRPr="00BB4384" w:rsidRDefault="00F9480C" w:rsidP="00F9480C">
      <w:pPr>
        <w:pStyle w:val="FootnoteText"/>
      </w:pPr>
      <w:r w:rsidRPr="00BB4384">
        <w:rPr>
          <w:rStyle w:val="FootnoteReference"/>
        </w:rPr>
        <w:footnoteRef/>
      </w:r>
      <w:r w:rsidRPr="00BB4384">
        <w:t xml:space="preserve"> </w:t>
      </w:r>
      <w:r w:rsidRPr="00BB4384">
        <w:tab/>
        <w:t>Regulamentul (UE) 2018/1971 al Parlamentului European și al Consiliului din 11 decembrie 2018 de instituire a Organismului Autorităților Europene de Reglementare în Domeniul Comunicațiilor Electronice (OAREC) și a Agenției de Sprijin pentru OAREC (Oficiul OAREC) și de modificare a Regulamentului (UE) 2015/2120 și de abrogare a Regulamentului (CE) nr. 1211/2009 (JO L 321, 17.12.2018, p. 1).</w:t>
      </w:r>
    </w:p>
  </w:footnote>
  <w:footnote w:id="3">
    <w:p w14:paraId="57C79B5A" w14:textId="77777777" w:rsidR="00F9480C" w:rsidRPr="00BB4384" w:rsidRDefault="00F9480C" w:rsidP="00F9480C">
      <w:pPr>
        <w:pStyle w:val="FootnoteText"/>
      </w:pPr>
      <w:r w:rsidRPr="00BB4384">
        <w:rPr>
          <w:rStyle w:val="FootnoteReference"/>
        </w:rPr>
        <w:footnoteRef/>
      </w:r>
      <w:r w:rsidRPr="00BB4384">
        <w:t xml:space="preserve"> </w:t>
      </w:r>
      <w:r w:rsidRPr="00BB4384">
        <w:tab/>
        <w:t>Documentul de lucru al serviciilor Comisiei: „Orientări pentru o mai bună legiferare”, 3.11.2021, SWD(2021) 305 final.</w:t>
      </w:r>
    </w:p>
  </w:footnote>
  <w:footnote w:id="4">
    <w:p w14:paraId="1F9FB127" w14:textId="4333CF73" w:rsidR="00F9480C" w:rsidRPr="00BB4384" w:rsidRDefault="00F9480C" w:rsidP="00F9480C">
      <w:pPr>
        <w:pStyle w:val="FootnoteText"/>
      </w:pPr>
      <w:r w:rsidRPr="00BB4384">
        <w:rPr>
          <w:rStyle w:val="FootnoteReference"/>
        </w:rPr>
        <w:footnoteRef/>
      </w:r>
      <w:r w:rsidRPr="00BB4384">
        <w:t xml:space="preserve"> </w:t>
      </w:r>
      <w:r w:rsidRPr="00BB4384">
        <w:tab/>
        <w:t xml:space="preserve">Studiu în sprijinul evaluării OAREC și a Oficiului OAREC, decembrie 2023, realizat de PPMI și PwC, nepublicat încă. </w:t>
      </w:r>
    </w:p>
  </w:footnote>
  <w:footnote w:id="5">
    <w:p w14:paraId="4C5BD665" w14:textId="70B9E229" w:rsidR="00F9480C" w:rsidRPr="00BB4384" w:rsidRDefault="00F9480C" w:rsidP="00F9480C">
      <w:pPr>
        <w:rPr>
          <w:rFonts w:ascii="Times New Roman" w:eastAsia="Times New Roman" w:hAnsi="Times New Roman" w:cs="Times New Roman"/>
          <w:sz w:val="20"/>
          <w:szCs w:val="20"/>
        </w:rPr>
      </w:pPr>
      <w:r w:rsidRPr="00BB4384">
        <w:rPr>
          <w:rFonts w:ascii="Times New Roman" w:hAnsi="Times New Roman" w:cs="Times New Roman"/>
          <w:sz w:val="20"/>
          <w:szCs w:val="20"/>
          <w:vertAlign w:val="superscript"/>
        </w:rPr>
        <w:footnoteRef/>
      </w:r>
      <w:r w:rsidR="00DB0237" w:rsidRPr="00BB4384">
        <w:t xml:space="preserve">     </w:t>
      </w:r>
      <w:hyperlink r:id="rId1" w:history="1">
        <w:r w:rsidRPr="00BB4384">
          <w:rPr>
            <w:rStyle w:val="Hyperlink"/>
            <w:rFonts w:ascii="Times New Roman" w:hAnsi="Times New Roman"/>
            <w:sz w:val="20"/>
          </w:rPr>
          <w:t xml:space="preserve">Contribuția OAREC adresată Comisiei Europene cu privire la funcționarea OAREC și a Oficiului OAREC, </w:t>
        </w:r>
      </w:hyperlink>
      <w:r w:rsidRPr="00BB4384">
        <w:rPr>
          <w:rStyle w:val="Hyperlink"/>
          <w:rFonts w:ascii="Times New Roman" w:hAnsi="Times New Roman"/>
          <w:sz w:val="20"/>
        </w:rPr>
        <w:t xml:space="preserve">BoR (23) 114 </w:t>
      </w:r>
    </w:p>
  </w:footnote>
  <w:footnote w:id="6">
    <w:p w14:paraId="7A3CC77D" w14:textId="77777777" w:rsidR="00F9480C" w:rsidRPr="00BB4384" w:rsidRDefault="00F9480C" w:rsidP="00F9480C">
      <w:pPr>
        <w:pStyle w:val="FootnoteText"/>
      </w:pPr>
      <w:r w:rsidRPr="00BB4384">
        <w:rPr>
          <w:rStyle w:val="FootnoteReference"/>
        </w:rPr>
        <w:footnoteRef/>
      </w:r>
      <w:r w:rsidRPr="00BB4384">
        <w:t xml:space="preserve"> </w:t>
      </w:r>
      <w:r w:rsidRPr="00BB4384">
        <w:tab/>
        <w:t>SWD (2013) 152 final - Document de lucru al serviciilor Comisiei privind Raportul de evaluare al Organismului Autorităților Europene de Reglementare în Domeniul Comunicațiilor Electronice (OAREC) și al oficiului acestuia. Bruxelles, 23.4.2013.</w:t>
      </w:r>
    </w:p>
  </w:footnote>
  <w:footnote w:id="7">
    <w:p w14:paraId="08BE0EB5" w14:textId="77777777" w:rsidR="00F9480C" w:rsidRPr="00BB4384" w:rsidRDefault="00F9480C" w:rsidP="00F9480C">
      <w:pPr>
        <w:pStyle w:val="FootnoteText"/>
      </w:pPr>
      <w:r w:rsidRPr="00BB4384">
        <w:rPr>
          <w:rStyle w:val="FootnoteReference"/>
        </w:rPr>
        <w:footnoteRef/>
      </w:r>
      <w:r w:rsidRPr="00BB4384">
        <w:t xml:space="preserve"> </w:t>
      </w:r>
      <w:r w:rsidRPr="00BB4384">
        <w:tab/>
        <w:t>Directiva (UE) 2018/1972 a Parlamentului European și a Consiliului din 11 decembrie 2018 de instituire a Codului european al comunicațiilor electronice, JO L 321, 17.12.2018, p. 36.</w:t>
      </w:r>
    </w:p>
  </w:footnote>
  <w:footnote w:id="8">
    <w:p w14:paraId="7E46F8D0" w14:textId="117F8942" w:rsidR="00F9480C" w:rsidRPr="00BB4384" w:rsidRDefault="00F9480C" w:rsidP="00F9480C">
      <w:pPr>
        <w:pStyle w:val="FootnoteText"/>
      </w:pPr>
      <w:r w:rsidRPr="00BB4384">
        <w:rPr>
          <w:rStyle w:val="FootnoteReference"/>
        </w:rPr>
        <w:footnoteRef/>
      </w:r>
      <w:r w:rsidRPr="00BB4384">
        <w:t xml:space="preserve"> </w:t>
      </w:r>
      <w:r w:rsidR="00DB0237" w:rsidRPr="00BB4384">
        <w:tab/>
      </w:r>
      <w:r w:rsidRPr="00BB4384">
        <w:t>Regulamentul (UE) 2022/612 al Parlamentului European și al Consiliului din 6 aprilie 2022 privind roamingul în rețelele publice de comunicații mobile în interiorul Uniunii (JO L 115, 13.4.2022, p. 1), prin care a fost abrogat Regulamentul (UE) nr. 531/2012, menționat în Regulamentul privind OAREC.</w:t>
      </w:r>
    </w:p>
  </w:footnote>
  <w:footnote w:id="9">
    <w:p w14:paraId="03C43336" w14:textId="77777777" w:rsidR="00F9480C" w:rsidRPr="00BB4384" w:rsidRDefault="00F9480C" w:rsidP="00F9480C">
      <w:pPr>
        <w:pStyle w:val="FootnoteText"/>
      </w:pPr>
      <w:r w:rsidRPr="00BB4384">
        <w:rPr>
          <w:rStyle w:val="FootnoteReference"/>
        </w:rPr>
        <w:footnoteRef/>
      </w:r>
      <w:r w:rsidRPr="00BB4384">
        <w:t xml:space="preserve"> </w:t>
      </w:r>
      <w:r w:rsidRPr="00BB4384">
        <w:tab/>
        <w:t>Regulamentul (UE) 2015/2120 al Parlamentului European și al Consiliului din 25 noiembrie 2015 de stabilire a unor măsuri privind accesul la internetul deschis și de modificare a Directivei 2002/22/CE privind serviciul universal și drepturile utilizatorilor cu privire la rețelele și serviciile electronice de comunicații și a Regulamentului (UE) nr. 531/2012 privind roamingul în rețelele publice de comunicații mobile în interiorul Uniunii, JO L 310, 26.11.2015, p. 1.</w:t>
      </w:r>
    </w:p>
  </w:footnote>
  <w:footnote w:id="10">
    <w:p w14:paraId="18ED449C" w14:textId="77777777" w:rsidR="00F9480C" w:rsidRPr="00BB4384" w:rsidRDefault="00F9480C" w:rsidP="00F9480C">
      <w:pPr>
        <w:pStyle w:val="FootnoteText"/>
      </w:pPr>
      <w:r w:rsidRPr="00BB4384">
        <w:rPr>
          <w:rStyle w:val="FootnoteReference"/>
        </w:rPr>
        <w:footnoteRef/>
      </w:r>
      <w:r w:rsidRPr="00BB4384">
        <w:t xml:space="preserve"> </w:t>
      </w:r>
      <w:r w:rsidRPr="00BB4384">
        <w:tab/>
        <w:t>https://www.berec.europa.eu/en/tasks/european-electronic-communications-code?language_content_entity=en</w:t>
      </w:r>
    </w:p>
  </w:footnote>
  <w:footnote w:id="11">
    <w:p w14:paraId="616DCBAB" w14:textId="77777777" w:rsidR="00F9480C" w:rsidRPr="00BB4384" w:rsidRDefault="00F9480C" w:rsidP="00F9480C">
      <w:pPr>
        <w:pStyle w:val="FootnoteText"/>
      </w:pPr>
      <w:r w:rsidRPr="00BB4384">
        <w:rPr>
          <w:rStyle w:val="FootnoteReference"/>
        </w:rPr>
        <w:footnoteRef/>
      </w:r>
      <w:r w:rsidRPr="00BB4384">
        <w:t xml:space="preserve"> </w:t>
      </w:r>
      <w:r w:rsidRPr="00BB4384">
        <w:tab/>
        <w:t>Regulamentul (UE) 2022/2065 al Parlamentului European și al Consiliului din 19 octombrie 2022 privind o piață unică pentru serviciile digitale și de modificare a Directivei 2000/31/CE (Regulamentul privind serviciile digitale), JO L 277, 27.10.2022, p. 1.</w:t>
      </w:r>
    </w:p>
  </w:footnote>
  <w:footnote w:id="12">
    <w:p w14:paraId="4C2B4566" w14:textId="35AA58CD" w:rsidR="00F9480C" w:rsidRPr="00BB4384" w:rsidRDefault="00F9480C" w:rsidP="00F9480C">
      <w:pPr>
        <w:pStyle w:val="FootnoteText"/>
      </w:pPr>
      <w:r w:rsidRPr="00BB4384">
        <w:rPr>
          <w:rStyle w:val="FootnoteReference"/>
        </w:rPr>
        <w:footnoteRef/>
      </w:r>
      <w:r w:rsidRPr="00BB4384">
        <w:t xml:space="preserve"> </w:t>
      </w:r>
      <w:r w:rsidRPr="00BB4384">
        <w:tab/>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w:t>
      </w:r>
    </w:p>
  </w:footnote>
  <w:footnote w:id="13">
    <w:p w14:paraId="33123192" w14:textId="77777777" w:rsidR="00F9480C" w:rsidRPr="00BB4384" w:rsidRDefault="00F9480C" w:rsidP="00F9480C">
      <w:pPr>
        <w:pStyle w:val="FootnoteText"/>
      </w:pPr>
      <w:r w:rsidRPr="00BB4384">
        <w:rPr>
          <w:rStyle w:val="FootnoteReference"/>
        </w:rPr>
        <w:footnoteRef/>
      </w:r>
      <w:r w:rsidRPr="00BB4384">
        <w:t xml:space="preserve"> </w:t>
      </w:r>
      <w:r w:rsidRPr="00BB4384">
        <w:tab/>
        <w:t>Regulamentul (UE) 2023/2854 al Parlamentului European și al Consiliului din 13 decembrie 2023 privind norme armonizate pentru un acces echitabil la date și o utilizare corectă a acestora și de modificare a Regulamentului (UE) 2017/2394 și a Directivei (UE) 2020/1828 (Regulamentul privind datele), JO L, 2023/2854, 22.12.2023.</w:t>
      </w:r>
    </w:p>
  </w:footnote>
  <w:footnote w:id="14">
    <w:p w14:paraId="5C048DDF" w14:textId="77777777" w:rsidR="00F9480C" w:rsidRPr="00BB4384" w:rsidRDefault="00F9480C" w:rsidP="00F9480C">
      <w:pPr>
        <w:pStyle w:val="FootnoteText"/>
      </w:pPr>
      <w:r w:rsidRPr="00BB4384">
        <w:rPr>
          <w:rStyle w:val="FootnoteReference"/>
        </w:rPr>
        <w:footnoteRef/>
      </w:r>
      <w:r w:rsidRPr="00BB4384">
        <w:t xml:space="preserve"> </w:t>
      </w:r>
      <w:r w:rsidRPr="00BB4384">
        <w:tab/>
        <w:t>Regulamentul (UE) 2022/868 al Parlamentului European și al Consiliului din 30 mai 2022 privind guvernanța datelor la nivel european și de modificare a Regulamentului (UE) 2018/1724 (Regulamentul privind guvernanța datelor), JO L 152, 3.6.2022, p. 1.</w:t>
      </w:r>
    </w:p>
  </w:footnote>
  <w:footnote w:id="15">
    <w:p w14:paraId="35C38A11" w14:textId="631D8B22" w:rsidR="00F9480C" w:rsidRPr="00BB4384" w:rsidRDefault="00F9480C" w:rsidP="00F9480C">
      <w:pPr>
        <w:pStyle w:val="FootnoteText"/>
      </w:pPr>
      <w:r w:rsidRPr="00BB4384">
        <w:rPr>
          <w:rStyle w:val="FootnoteReference"/>
        </w:rPr>
        <w:footnoteRef/>
      </w:r>
      <w:r w:rsidRPr="00BB4384">
        <w:t xml:space="preserve"> </w:t>
      </w:r>
      <w:r w:rsidRPr="00BB4384">
        <w:tab/>
        <w:t xml:space="preserve">Regulamentul (UE) 2024/1689 al Parlamentului European și al Consiliului din 13 iunie 2024 de stabilire a unor norme armonizate privind inteligența artificială, JO L, 2024/1689. </w:t>
      </w:r>
    </w:p>
  </w:footnote>
  <w:footnote w:id="16">
    <w:p w14:paraId="299470CA" w14:textId="1F5CD407" w:rsidR="00F9480C" w:rsidRPr="00BB4384" w:rsidRDefault="00F9480C" w:rsidP="00F9480C">
      <w:pPr>
        <w:pStyle w:val="FootnoteText"/>
      </w:pPr>
      <w:r w:rsidRPr="00BB4384">
        <w:rPr>
          <w:rStyle w:val="FootnoteReference"/>
        </w:rPr>
        <w:footnoteRef/>
      </w:r>
      <w:r w:rsidRPr="00BB4384">
        <w:t xml:space="preserve"> </w:t>
      </w:r>
      <w:r w:rsidRPr="00BB4384">
        <w:tab/>
        <w:t>De exemplu, OAREC participă la Grupul la nivel înalt instituit în temeiul articolului 40 din Regulamentul privind piețele digitale, alături de alte organisme, cum ar fi Rețeaua europeană în domeniul concurenței, Rețeaua de cooperare pentru protecția consumatorilor, Autoritatea Europeană pentru Protecția Datelor (AEPD) și Comitetul european pentru protecția datelor (CEPD). Grupul la nivel înalt oferă Comisiei consiliere și expertiză pentru a asigura o punere în aplicare coerentă a Regulamentului privind piețele digitale și a altor reglementări sectoriale aplicabile controlorilor de acces. În mod similar, anumite dispoziții ale Regulamentului privind datele, și anume cele referitoare la trecerea la cloud (articolele 23-31 și articolele 34-35), ar trebui să fie puse în aplicare de autoritățile competente cu experiență în domeniul datelor și al serviciilor de comunicații electronice; este de așteptat ca multor membri ai OAREC să li se atribuie astfel de competențe.</w:t>
      </w:r>
      <w:r w:rsidR="00DB0237" w:rsidRPr="00BB4384">
        <w:t xml:space="preserve"> </w:t>
      </w:r>
    </w:p>
  </w:footnote>
  <w:footnote w:id="17">
    <w:p w14:paraId="3EB7BB37" w14:textId="77777777" w:rsidR="00F9480C" w:rsidRPr="00BB4384" w:rsidRDefault="00F9480C" w:rsidP="00F9480C">
      <w:pPr>
        <w:pStyle w:val="FootnoteText"/>
      </w:pPr>
      <w:r w:rsidRPr="00BB4384">
        <w:rPr>
          <w:rStyle w:val="FootnoteReference"/>
        </w:rPr>
        <w:footnoteRef/>
      </w:r>
      <w:r w:rsidRPr="00BB4384">
        <w:t xml:space="preserve"> </w:t>
      </w:r>
      <w:r w:rsidRPr="00BB4384">
        <w:tab/>
        <w:t>Contribuția OAREC la Cartea albă, p. 8 (</w:t>
      </w:r>
      <w:hyperlink r:id="rId2" w:history="1">
        <w:r w:rsidRPr="00BB4384">
          <w:rPr>
            <w:rStyle w:val="Hyperlink"/>
          </w:rPr>
          <w:t>https://www.berec.europa.eu/system/files/2024-07/BoR%20%2824%29%20100_1_%20BEREC%20Input_White%20Paper_final.pdf</w:t>
        </w:r>
      </w:hyperlink>
      <w:r w:rsidRPr="00BB4384">
        <w:t xml:space="preserve">). </w:t>
      </w:r>
    </w:p>
  </w:footnote>
  <w:footnote w:id="18">
    <w:p w14:paraId="299611E9" w14:textId="7A5D724B" w:rsidR="00F9480C" w:rsidRPr="00BB4384" w:rsidRDefault="00F9480C" w:rsidP="00F9480C">
      <w:pPr>
        <w:pStyle w:val="FootnoteText"/>
      </w:pPr>
      <w:r w:rsidRPr="00BB4384">
        <w:rPr>
          <w:rStyle w:val="FootnoteReference"/>
        </w:rPr>
        <w:footnoteRef/>
      </w:r>
      <w:r w:rsidRPr="00BB4384">
        <w:t xml:space="preserve"> </w:t>
      </w:r>
      <w:r w:rsidRPr="00BB4384">
        <w:tab/>
        <w:t>Capacitatea de a prelucra și de a transporta volume mari de date prin internet la nivelul întregii lumi a condus la stocarea și prelucrarea la distanță a datelor în cloud, între cloud și utilizatorul final prin intermediul rețelelor de distribuție de conținut și aproape de utilizatorul final (</w:t>
      </w:r>
      <w:r w:rsidRPr="00BB4384">
        <w:rPr>
          <w:i/>
          <w:iCs/>
        </w:rPr>
        <w:t>edge computing</w:t>
      </w:r>
      <w:r w:rsidRPr="00BB4384">
        <w:t>). A se vedea Cartea albă, p. 5.</w:t>
      </w:r>
    </w:p>
  </w:footnote>
  <w:footnote w:id="19">
    <w:p w14:paraId="39C0B63B" w14:textId="271E205F" w:rsidR="00D36378" w:rsidRPr="00BB4384" w:rsidRDefault="00D36378">
      <w:pPr>
        <w:pStyle w:val="FootnoteText"/>
      </w:pPr>
      <w:r w:rsidRPr="00BB4384">
        <w:rPr>
          <w:rStyle w:val="FootnoteReference"/>
        </w:rPr>
        <w:footnoteRef/>
      </w:r>
      <w:r w:rsidRPr="00BB4384">
        <w:t xml:space="preserve"> </w:t>
      </w:r>
      <w:r w:rsidRPr="00BB4384">
        <w:tab/>
        <w:t>Studiu în sprijinul evaluării OAREC și a Oficiului OAREC, decembrie 2023, realizat de PPMI și PwC, nepublicat încă</w:t>
      </w:r>
      <w:r w:rsidR="007F0D60" w:rsidRPr="00BB4384">
        <w:t>;</w:t>
      </w:r>
      <w:r w:rsidRPr="00BB4384">
        <w:t xml:space="preserve"> punctul 5.1.4. </w:t>
      </w:r>
    </w:p>
  </w:footnote>
  <w:footnote w:id="20">
    <w:p w14:paraId="7D39E4D1" w14:textId="3848532A" w:rsidR="00F9480C" w:rsidRPr="00BB4384" w:rsidRDefault="00F9480C" w:rsidP="00F9480C">
      <w:pPr>
        <w:pStyle w:val="FootnoteText"/>
      </w:pPr>
      <w:r w:rsidRPr="00BB4384">
        <w:rPr>
          <w:rStyle w:val="FootnoteReference"/>
        </w:rPr>
        <w:footnoteRef/>
      </w:r>
      <w:r w:rsidRPr="00BB4384">
        <w:t xml:space="preserve"> </w:t>
      </w:r>
      <w:r w:rsidR="00BB4384" w:rsidRPr="00BB4384">
        <w:tab/>
      </w:r>
      <w:r w:rsidRPr="00BB4384">
        <w:t>https://www.berec.europa.eu/en/all-documents/berec/opinions/berec-input-to-the-european-commissions-call-for-evidence-on-the-digital-networks-act</w:t>
      </w:r>
    </w:p>
  </w:footnote>
  <w:footnote w:id="21">
    <w:p w14:paraId="310C2993" w14:textId="2186FDB3" w:rsidR="00F9480C" w:rsidRPr="00A60371" w:rsidRDefault="00F9480C" w:rsidP="00C61A0A">
      <w:pPr>
        <w:pStyle w:val="FootnoteText"/>
        <w:jc w:val="left"/>
      </w:pPr>
      <w:r w:rsidRPr="00BB4384">
        <w:rPr>
          <w:rStyle w:val="FootnoteReference"/>
        </w:rPr>
        <w:footnoteRef/>
      </w:r>
      <w:r w:rsidR="00DB0237" w:rsidRPr="00BB4384">
        <w:t xml:space="preserve"> </w:t>
      </w:r>
      <w:r w:rsidR="00DB0237" w:rsidRPr="00BB4384">
        <w:tab/>
      </w:r>
      <w:r w:rsidRPr="00BB4384">
        <w:t>Strategia OAREC pentru perioada 2026-30, decembrie 2025</w:t>
      </w:r>
      <w:r w:rsidR="00F93C36" w:rsidRPr="00BB4384">
        <w:t>:</w:t>
      </w:r>
      <w:r w:rsidR="00DB0237" w:rsidRPr="00BB4384">
        <w:br/>
      </w:r>
      <w:hyperlink r:id="rId3" w:history="1">
        <w:r w:rsidR="00DB0237" w:rsidRPr="00BB4384">
          <w:rPr>
            <w:rStyle w:val="Hyperlink"/>
          </w:rPr>
          <w:t>https://www.berec.europa.eu/en/all-documents/berec/berec-strategies-and-work-programmes/berec-strategy-2026-2030</w:t>
        </w:r>
      </w:hyperlink>
      <w:r w:rsidRPr="00BB438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53D18" w14:textId="77777777" w:rsidR="006F356A" w:rsidRPr="006F356A" w:rsidRDefault="006F356A" w:rsidP="006F35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BE393" w14:textId="77777777" w:rsidR="006F356A" w:rsidRPr="006F356A" w:rsidRDefault="006F356A" w:rsidP="006F35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20D7E" w14:textId="77777777" w:rsidR="006F356A" w:rsidRPr="006F356A" w:rsidRDefault="006F356A" w:rsidP="006F35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67C9" w14:textId="77777777" w:rsidR="00716395" w:rsidRPr="00BB4384" w:rsidRDefault="0071639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F1FA" w14:textId="77777777" w:rsidR="00F9480C" w:rsidRPr="00BB4384" w:rsidRDefault="00F948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0B90C" w14:textId="77777777" w:rsidR="00716395" w:rsidRPr="00BB4384" w:rsidRDefault="00716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4698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2F77906"/>
    <w:multiLevelType w:val="hybridMultilevel"/>
    <w:tmpl w:val="AB2E7660"/>
    <w:lvl w:ilvl="0" w:tplc="B5EA689A">
      <w:start w:val="1"/>
      <w:numFmt w:val="decimal"/>
      <w:pStyle w:val="SUPERSCharCharCharCharCharCharCharCha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AD5AC5D-F976-4306-826D-87DBF423919F"/>
    <w:docVar w:name="LW_COVERPAGE_TYPE" w:val="1"/>
    <w:docVar w:name="LW_CROSSREFERENCE" w:val="{SWD(2026) 17 final}"/>
    <w:docVar w:name="LW_DocType" w:val="NORMAL"/>
    <w:docVar w:name="LW_EMISSION" w:val="21.1.2026"/>
    <w:docVar w:name="LW_EMISSION_ISODATE" w:val="2026-01-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valuarea OAREC \u537?i a Oficiului OAREC"/>
    <w:docVar w:name="LW_TYPE.DOC.CP" w:val="RAPORT AL COMISIEI C\u258?TRE PARLAMENTUL EUROPEAN \u536?I CONSILIU"/>
    <w:docVar w:name="LwApiVersions" w:val="LW4CoDe 1.24.5.0; LW 9.2, Build 20251112"/>
  </w:docVars>
  <w:rsids>
    <w:rsidRoot w:val="00F9480C"/>
    <w:rsid w:val="00006B8A"/>
    <w:rsid w:val="00024D65"/>
    <w:rsid w:val="00027E09"/>
    <w:rsid w:val="00066693"/>
    <w:rsid w:val="000770EC"/>
    <w:rsid w:val="000863A9"/>
    <w:rsid w:val="000B2E55"/>
    <w:rsid w:val="000C1AB6"/>
    <w:rsid w:val="00131F0C"/>
    <w:rsid w:val="001405FD"/>
    <w:rsid w:val="0016635E"/>
    <w:rsid w:val="001C6A64"/>
    <w:rsid w:val="00256788"/>
    <w:rsid w:val="00266A74"/>
    <w:rsid w:val="00282DD6"/>
    <w:rsid w:val="002A29CB"/>
    <w:rsid w:val="002C44F9"/>
    <w:rsid w:val="002D5846"/>
    <w:rsid w:val="002F17A2"/>
    <w:rsid w:val="0031647F"/>
    <w:rsid w:val="00321794"/>
    <w:rsid w:val="00332309"/>
    <w:rsid w:val="0035446A"/>
    <w:rsid w:val="00355883"/>
    <w:rsid w:val="00360E5F"/>
    <w:rsid w:val="003A3F09"/>
    <w:rsid w:val="003C0291"/>
    <w:rsid w:val="003C3DF4"/>
    <w:rsid w:val="003F6FA3"/>
    <w:rsid w:val="00415335"/>
    <w:rsid w:val="00421121"/>
    <w:rsid w:val="00422D2D"/>
    <w:rsid w:val="00433B8A"/>
    <w:rsid w:val="00435726"/>
    <w:rsid w:val="00457411"/>
    <w:rsid w:val="00462638"/>
    <w:rsid w:val="00464B6F"/>
    <w:rsid w:val="004A1147"/>
    <w:rsid w:val="004A47A6"/>
    <w:rsid w:val="004C2893"/>
    <w:rsid w:val="004D4FAB"/>
    <w:rsid w:val="004E3FBC"/>
    <w:rsid w:val="004F3B50"/>
    <w:rsid w:val="004F69EB"/>
    <w:rsid w:val="0051626E"/>
    <w:rsid w:val="00531871"/>
    <w:rsid w:val="00534D54"/>
    <w:rsid w:val="00540EDC"/>
    <w:rsid w:val="00541ECD"/>
    <w:rsid w:val="00545BC1"/>
    <w:rsid w:val="00550F70"/>
    <w:rsid w:val="0055106A"/>
    <w:rsid w:val="00555AB3"/>
    <w:rsid w:val="005672C0"/>
    <w:rsid w:val="005C3501"/>
    <w:rsid w:val="005D6671"/>
    <w:rsid w:val="005E2E18"/>
    <w:rsid w:val="00605CC9"/>
    <w:rsid w:val="006537C4"/>
    <w:rsid w:val="00685881"/>
    <w:rsid w:val="006870A3"/>
    <w:rsid w:val="006A58B6"/>
    <w:rsid w:val="006C4D65"/>
    <w:rsid w:val="006D11A9"/>
    <w:rsid w:val="006F356A"/>
    <w:rsid w:val="00716395"/>
    <w:rsid w:val="00717441"/>
    <w:rsid w:val="0072369A"/>
    <w:rsid w:val="0073360B"/>
    <w:rsid w:val="00780F41"/>
    <w:rsid w:val="007838C0"/>
    <w:rsid w:val="007A6850"/>
    <w:rsid w:val="007C18B1"/>
    <w:rsid w:val="007F0D60"/>
    <w:rsid w:val="00801A30"/>
    <w:rsid w:val="00823448"/>
    <w:rsid w:val="00830EA5"/>
    <w:rsid w:val="008437F6"/>
    <w:rsid w:val="00845A0F"/>
    <w:rsid w:val="00851C8F"/>
    <w:rsid w:val="008569B5"/>
    <w:rsid w:val="00857F47"/>
    <w:rsid w:val="0087458F"/>
    <w:rsid w:val="008812FA"/>
    <w:rsid w:val="00883D2D"/>
    <w:rsid w:val="008A6CE4"/>
    <w:rsid w:val="008E0F93"/>
    <w:rsid w:val="0092310A"/>
    <w:rsid w:val="00934AC1"/>
    <w:rsid w:val="009642D1"/>
    <w:rsid w:val="00974691"/>
    <w:rsid w:val="009849D0"/>
    <w:rsid w:val="009B622B"/>
    <w:rsid w:val="009C7B8B"/>
    <w:rsid w:val="009D68D7"/>
    <w:rsid w:val="009E74E1"/>
    <w:rsid w:val="009F4666"/>
    <w:rsid w:val="00A21D16"/>
    <w:rsid w:val="00A42122"/>
    <w:rsid w:val="00AE4293"/>
    <w:rsid w:val="00B02D2B"/>
    <w:rsid w:val="00B262BC"/>
    <w:rsid w:val="00B63541"/>
    <w:rsid w:val="00B672CD"/>
    <w:rsid w:val="00B92C37"/>
    <w:rsid w:val="00BB4384"/>
    <w:rsid w:val="00BC2A0C"/>
    <w:rsid w:val="00BE5CAF"/>
    <w:rsid w:val="00C0063B"/>
    <w:rsid w:val="00C02EA9"/>
    <w:rsid w:val="00C2130B"/>
    <w:rsid w:val="00C42D9C"/>
    <w:rsid w:val="00C61A0A"/>
    <w:rsid w:val="00C74BA6"/>
    <w:rsid w:val="00C85A05"/>
    <w:rsid w:val="00C87394"/>
    <w:rsid w:val="00CE4890"/>
    <w:rsid w:val="00CE60B0"/>
    <w:rsid w:val="00CE6ED7"/>
    <w:rsid w:val="00D11F92"/>
    <w:rsid w:val="00D36378"/>
    <w:rsid w:val="00D71BA1"/>
    <w:rsid w:val="00D8623E"/>
    <w:rsid w:val="00DB0237"/>
    <w:rsid w:val="00DD69BD"/>
    <w:rsid w:val="00E07D72"/>
    <w:rsid w:val="00E1758C"/>
    <w:rsid w:val="00E53B52"/>
    <w:rsid w:val="00E56D51"/>
    <w:rsid w:val="00E61102"/>
    <w:rsid w:val="00EA3216"/>
    <w:rsid w:val="00EB0201"/>
    <w:rsid w:val="00EB088C"/>
    <w:rsid w:val="00EE7F32"/>
    <w:rsid w:val="00EF3B12"/>
    <w:rsid w:val="00F107D4"/>
    <w:rsid w:val="00F235C5"/>
    <w:rsid w:val="00F42D35"/>
    <w:rsid w:val="00F55A85"/>
    <w:rsid w:val="00F56A55"/>
    <w:rsid w:val="00F61C3B"/>
    <w:rsid w:val="00F93C36"/>
    <w:rsid w:val="00F9480C"/>
    <w:rsid w:val="00FC1050"/>
    <w:rsid w:val="00FD33F8"/>
    <w:rsid w:val="00FD78B9"/>
    <w:rsid w:val="00FF7E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7EDB9DA"/>
  <w15:chartTrackingRefBased/>
  <w15:docId w15:val="{EE78930E-B81E-44F0-9D05-2D637E0E0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9480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F9480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480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9480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9480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948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8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8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8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480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F9480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9480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9480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9480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948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8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8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80C"/>
    <w:rPr>
      <w:rFonts w:eastAsiaTheme="majorEastAsia" w:cstheme="majorBidi"/>
      <w:color w:val="272727" w:themeColor="text1" w:themeTint="D8"/>
    </w:rPr>
  </w:style>
  <w:style w:type="paragraph" w:styleId="Title">
    <w:name w:val="Title"/>
    <w:basedOn w:val="Normal"/>
    <w:next w:val="Normal"/>
    <w:link w:val="TitleChar"/>
    <w:uiPriority w:val="10"/>
    <w:qFormat/>
    <w:rsid w:val="00F94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80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8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80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480C"/>
    <w:rPr>
      <w:i/>
      <w:iCs/>
      <w:color w:val="404040" w:themeColor="text1" w:themeTint="BF"/>
    </w:rPr>
  </w:style>
  <w:style w:type="paragraph" w:styleId="ListParagraph">
    <w:name w:val="List Paragraph"/>
    <w:basedOn w:val="Normal"/>
    <w:uiPriority w:val="34"/>
    <w:qFormat/>
    <w:rsid w:val="00F9480C"/>
    <w:pPr>
      <w:ind w:left="720"/>
      <w:contextualSpacing/>
    </w:pPr>
  </w:style>
  <w:style w:type="character" w:styleId="IntenseEmphasis">
    <w:name w:val="Intense Emphasis"/>
    <w:basedOn w:val="DefaultParagraphFont"/>
    <w:uiPriority w:val="21"/>
    <w:qFormat/>
    <w:rsid w:val="00F9480C"/>
    <w:rPr>
      <w:i/>
      <w:iCs/>
      <w:color w:val="365F91" w:themeColor="accent1" w:themeShade="BF"/>
    </w:rPr>
  </w:style>
  <w:style w:type="paragraph" w:styleId="IntenseQuote">
    <w:name w:val="Intense Quote"/>
    <w:basedOn w:val="Normal"/>
    <w:next w:val="Normal"/>
    <w:link w:val="IntenseQuoteChar"/>
    <w:uiPriority w:val="30"/>
    <w:qFormat/>
    <w:rsid w:val="00F948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9480C"/>
    <w:rPr>
      <w:i/>
      <w:iCs/>
      <w:color w:val="365F91" w:themeColor="accent1" w:themeShade="BF"/>
    </w:rPr>
  </w:style>
  <w:style w:type="character" w:styleId="IntenseReference">
    <w:name w:val="Intense Reference"/>
    <w:basedOn w:val="DefaultParagraphFont"/>
    <w:uiPriority w:val="32"/>
    <w:qFormat/>
    <w:rsid w:val="00F9480C"/>
    <w:rPr>
      <w:b/>
      <w:bCs/>
      <w:smallCaps/>
      <w:color w:val="365F91" w:themeColor="accent1" w:themeShade="BF"/>
      <w:spacing w:val="5"/>
    </w:rPr>
  </w:style>
  <w:style w:type="character" w:customStyle="1" w:styleId="Marker">
    <w:name w:val="Marker"/>
    <w:basedOn w:val="DefaultParagraphFont"/>
    <w:rsid w:val="00F9480C"/>
    <w:rPr>
      <w:color w:val="0000FF"/>
      <w:shd w:val="clear" w:color="auto" w:fill="auto"/>
    </w:rPr>
  </w:style>
  <w:style w:type="paragraph" w:styleId="Header">
    <w:name w:val="header"/>
    <w:basedOn w:val="Normal"/>
    <w:link w:val="HeaderChar"/>
    <w:uiPriority w:val="99"/>
    <w:unhideWhenUsed/>
    <w:rsid w:val="00F948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80C"/>
  </w:style>
  <w:style w:type="paragraph" w:styleId="Footer">
    <w:name w:val="footer"/>
    <w:basedOn w:val="Normal"/>
    <w:link w:val="FooterChar"/>
    <w:uiPriority w:val="99"/>
    <w:unhideWhenUsed/>
    <w:rsid w:val="00F948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480C"/>
  </w:style>
  <w:style w:type="paragraph" w:customStyle="1" w:styleId="Pagedecouverture">
    <w:name w:val="Page de couverture"/>
    <w:basedOn w:val="Normal"/>
    <w:next w:val="Normal"/>
    <w:link w:val="PagedecouvertureChar"/>
    <w:rsid w:val="00F9480C"/>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F9480C"/>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F9480C"/>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F9480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F9480C"/>
    <w:rPr>
      <w:rFonts w:ascii="Times New Roman" w:hAnsi="Times New Roman" w:cs="Times New Roman"/>
      <w:sz w:val="24"/>
    </w:rPr>
  </w:style>
  <w:style w:type="character" w:customStyle="1" w:styleId="FooterCoverPageChar">
    <w:name w:val="Footer Cover Page Char"/>
    <w:basedOn w:val="PagedecouvertureChar"/>
    <w:link w:val="FooterCoverPage"/>
    <w:rsid w:val="00F9480C"/>
    <w:rPr>
      <w:rFonts w:ascii="Times New Roman" w:hAnsi="Times New Roman" w:cs="Times New Roman"/>
      <w:sz w:val="24"/>
    </w:rPr>
  </w:style>
  <w:style w:type="paragraph" w:customStyle="1" w:styleId="FooterSensitivity">
    <w:name w:val="Footer Sensitivity"/>
    <w:basedOn w:val="Normal"/>
    <w:link w:val="FooterSensitivityChar"/>
    <w:rsid w:val="00F9480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9480C"/>
    <w:rPr>
      <w:rFonts w:ascii="Times New Roman" w:hAnsi="Times New Roman" w:cs="Times New Roman"/>
      <w:b/>
      <w:sz w:val="32"/>
    </w:rPr>
  </w:style>
  <w:style w:type="paragraph" w:customStyle="1" w:styleId="HeaderCoverPage">
    <w:name w:val="Header Cover Page"/>
    <w:basedOn w:val="Normal"/>
    <w:link w:val="HeaderCoverPageChar"/>
    <w:rsid w:val="00F9480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F9480C"/>
    <w:rPr>
      <w:rFonts w:ascii="Times New Roman" w:hAnsi="Times New Roman" w:cs="Times New Roman"/>
      <w:sz w:val="24"/>
    </w:rPr>
  </w:style>
  <w:style w:type="paragraph" w:customStyle="1" w:styleId="HeaderSensitivity">
    <w:name w:val="Header Sensitivity"/>
    <w:basedOn w:val="Normal"/>
    <w:link w:val="HeaderSensitivityChar"/>
    <w:rsid w:val="00F9480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9480C"/>
    <w:rPr>
      <w:rFonts w:ascii="Times New Roman" w:hAnsi="Times New Roman" w:cs="Times New Roman"/>
      <w:b/>
      <w:sz w:val="32"/>
    </w:rPr>
  </w:style>
  <w:style w:type="paragraph" w:customStyle="1" w:styleId="HeaderSensitivityRight">
    <w:name w:val="Header Sensitivity Right"/>
    <w:basedOn w:val="Normal"/>
    <w:link w:val="HeaderSensitivityRightChar"/>
    <w:rsid w:val="009C7B8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9480C"/>
    <w:rPr>
      <w:rFonts w:ascii="Times New Roman" w:hAnsi="Times New Roman" w:cs="Times New Roman"/>
      <w:sz w:val="28"/>
    </w:rPr>
  </w:style>
  <w:style w:type="character" w:styleId="FootnoteReference">
    <w:name w:val="footnote reference"/>
    <w:aliases w:val="SUPERS Char Char Char Char Char Char Char Char Char,SUPERS Tegn Char Char Char Char Char Char Char Char Char Char,Footnote Reference Number Tegn Char Char Char Char Char Char Char Char Char Char"/>
    <w:link w:val="SUPERSCharCharCharCharCharCharCharChar"/>
    <w:uiPriority w:val="99"/>
    <w:unhideWhenUsed/>
    <w:qFormat/>
    <w:rsid w:val="00F9480C"/>
    <w:rPr>
      <w:sz w:val="20"/>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F9480C"/>
    <w:pPr>
      <w:numPr>
        <w:numId w:val="2"/>
      </w:numPr>
      <w:tabs>
        <w:tab w:val="left" w:pos="907"/>
      </w:tabs>
      <w:spacing w:before="60" w:after="160" w:line="240" w:lineRule="exact"/>
      <w:jc w:val="both"/>
    </w:pPr>
    <w:rPr>
      <w:sz w:val="20"/>
      <w:vertAlign w:val="superscript"/>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F9480C"/>
    <w:pPr>
      <w:spacing w:after="6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F9480C"/>
    <w:rPr>
      <w:rFonts w:ascii="Times New Roman" w:eastAsia="Times New Roman" w:hAnsi="Times New Roman" w:cs="Times New Roman"/>
      <w:sz w:val="20"/>
      <w:szCs w:val="20"/>
    </w:rPr>
  </w:style>
  <w:style w:type="character" w:styleId="Hyperlink">
    <w:name w:val="Hyperlink"/>
    <w:basedOn w:val="DefaultParagraphFont"/>
    <w:uiPriority w:val="99"/>
    <w:unhideWhenUsed/>
    <w:rsid w:val="00F9480C"/>
    <w:rPr>
      <w:color w:val="0000FF" w:themeColor="hyperlink"/>
      <w:u w:val="single"/>
    </w:rPr>
  </w:style>
  <w:style w:type="paragraph" w:customStyle="1" w:styleId="Text1">
    <w:name w:val="Text 1"/>
    <w:basedOn w:val="Normal"/>
    <w:uiPriority w:val="1"/>
    <w:rsid w:val="00F9480C"/>
    <w:pPr>
      <w:spacing w:after="240"/>
      <w:ind w:left="482"/>
      <w:jc w:val="both"/>
    </w:pPr>
    <w:rPr>
      <w:rFonts w:ascii="Times New Roman" w:eastAsia="Times New Roman" w:hAnsi="Times New Roman" w:cs="Times New Roman"/>
      <w:sz w:val="24"/>
      <w:szCs w:val="24"/>
    </w:rPr>
  </w:style>
  <w:style w:type="paragraph" w:customStyle="1" w:styleId="paragraph">
    <w:name w:val="paragraph"/>
    <w:basedOn w:val="Normal"/>
    <w:rsid w:val="00F948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9480C"/>
  </w:style>
  <w:style w:type="character" w:customStyle="1" w:styleId="eop">
    <w:name w:val="eop"/>
    <w:basedOn w:val="DefaultParagraphFont"/>
    <w:rsid w:val="00F9480C"/>
  </w:style>
  <w:style w:type="paragraph" w:styleId="Revision">
    <w:name w:val="Revision"/>
    <w:hidden/>
    <w:uiPriority w:val="99"/>
    <w:semiHidden/>
    <w:rsid w:val="00F55A85"/>
    <w:pPr>
      <w:spacing w:after="0" w:line="240" w:lineRule="auto"/>
    </w:pPr>
  </w:style>
  <w:style w:type="character" w:styleId="CommentReference">
    <w:name w:val="annotation reference"/>
    <w:basedOn w:val="DefaultParagraphFont"/>
    <w:uiPriority w:val="99"/>
    <w:semiHidden/>
    <w:unhideWhenUsed/>
    <w:rsid w:val="00E1758C"/>
    <w:rPr>
      <w:sz w:val="16"/>
      <w:szCs w:val="16"/>
    </w:rPr>
  </w:style>
  <w:style w:type="paragraph" w:styleId="CommentText">
    <w:name w:val="annotation text"/>
    <w:basedOn w:val="Normal"/>
    <w:link w:val="CommentTextChar"/>
    <w:uiPriority w:val="99"/>
    <w:unhideWhenUsed/>
    <w:rsid w:val="00E1758C"/>
    <w:pPr>
      <w:spacing w:line="240" w:lineRule="auto"/>
    </w:pPr>
    <w:rPr>
      <w:sz w:val="20"/>
      <w:szCs w:val="20"/>
    </w:rPr>
  </w:style>
  <w:style w:type="character" w:customStyle="1" w:styleId="CommentTextChar">
    <w:name w:val="Comment Text Char"/>
    <w:basedOn w:val="DefaultParagraphFont"/>
    <w:link w:val="CommentText"/>
    <w:uiPriority w:val="99"/>
    <w:rsid w:val="00E1758C"/>
    <w:rPr>
      <w:sz w:val="20"/>
      <w:szCs w:val="20"/>
    </w:rPr>
  </w:style>
  <w:style w:type="paragraph" w:styleId="CommentSubject">
    <w:name w:val="annotation subject"/>
    <w:basedOn w:val="CommentText"/>
    <w:next w:val="CommentText"/>
    <w:link w:val="CommentSubjectChar"/>
    <w:uiPriority w:val="99"/>
    <w:semiHidden/>
    <w:unhideWhenUsed/>
    <w:rsid w:val="00E1758C"/>
    <w:rPr>
      <w:b/>
      <w:bCs/>
    </w:rPr>
  </w:style>
  <w:style w:type="character" w:customStyle="1" w:styleId="CommentSubjectChar">
    <w:name w:val="Comment Subject Char"/>
    <w:basedOn w:val="CommentTextChar"/>
    <w:link w:val="CommentSubject"/>
    <w:uiPriority w:val="99"/>
    <w:semiHidden/>
    <w:rsid w:val="00E1758C"/>
    <w:rPr>
      <w:b/>
      <w:bCs/>
      <w:sz w:val="20"/>
      <w:szCs w:val="20"/>
    </w:rPr>
  </w:style>
  <w:style w:type="paragraph" w:customStyle="1" w:styleId="Disclaimer">
    <w:name w:val="Disclaimer"/>
    <w:basedOn w:val="Normal"/>
    <w:rsid w:val="009C7B8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C7B8B"/>
    <w:pPr>
      <w:spacing w:after="0"/>
      <w:ind w:left="5103"/>
    </w:pPr>
    <w:rPr>
      <w:rFonts w:ascii="Times New Roman" w:hAnsi="Times New Roman" w:cs="Times New Roman"/>
      <w:sz w:val="28"/>
    </w:rPr>
  </w:style>
  <w:style w:type="paragraph" w:customStyle="1" w:styleId="DateMarking">
    <w:name w:val="DateMarking"/>
    <w:basedOn w:val="Normal"/>
    <w:rsid w:val="009C7B8B"/>
    <w:pPr>
      <w:spacing w:after="0"/>
      <w:ind w:left="5103"/>
    </w:pPr>
    <w:rPr>
      <w:rFonts w:ascii="Times New Roman" w:hAnsi="Times New Roman" w:cs="Times New Roman"/>
      <w:i/>
      <w:sz w:val="28"/>
    </w:rPr>
  </w:style>
  <w:style w:type="paragraph" w:customStyle="1" w:styleId="ReleasableTo">
    <w:name w:val="ReleasableTo"/>
    <w:basedOn w:val="Normal"/>
    <w:rsid w:val="009C7B8B"/>
    <w:pPr>
      <w:spacing w:after="0"/>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C61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berec.europa.eu/en/all-documents/berec/berec-strategies-and-work-programmes/berec-strategy-2026-2030" TargetMode="External"/><Relationship Id="rId2" Type="http://schemas.openxmlformats.org/officeDocument/2006/relationships/hyperlink" Target="https://www.berec.europa.eu/system/files/2024-07/BoR%20%2824%29%20100_1_%20BEREC%20Input_White%20Paper_final.pdf" TargetMode="External"/><Relationship Id="rId1" Type="http://schemas.openxmlformats.org/officeDocument/2006/relationships/hyperlink" Target="https://www.berec.europa.eu/system/files/2023-09/BoR%20%2823%29%20114%20BEREC%20input%20to%20the%20European%20Commission%20on%20the%20functioning%20of%20BEREC%20and%20the%20BEREC%20Offi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f6184fd04e44c38b741937566525e7df">
  <xsd:schema xmlns:xsd="http://www.w3.org/2001/XMLSchema" xmlns:xs="http://www.w3.org/2001/XMLSchema" xmlns:p="http://schemas.microsoft.com/office/2006/metadata/properties" xmlns:ns2="5e3b0e23-edc7-4d68-902a-f7eeae56b19b" targetNamespace="http://schemas.microsoft.com/office/2006/metadata/properties" ma:root="true" ma:fieldsID="3d731fe2747085c727b80b73323b8645"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8DFED-2976-41AD-8522-6FC7079F9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84D2F9-A817-41C5-AF76-9BDEB9E6A4F9}">
  <ds:schemaRefs>
    <ds:schemaRef ds:uri="http://schemas.microsoft.com/sharepoint/v3/contenttype/forms"/>
  </ds:schemaRefs>
</ds:datastoreItem>
</file>

<file path=customXml/itemProps3.xml><?xml version="1.0" encoding="utf-8"?>
<ds:datastoreItem xmlns:ds="http://schemas.openxmlformats.org/officeDocument/2006/customXml" ds:itemID="{3D019880-6A38-4FCE-AF72-966A0CBBEA7E}">
  <ds:schemaRefs>
    <ds:schemaRef ds:uri="http://schemas.microsoft.com/office/2006/documentManagement/types"/>
    <ds:schemaRef ds:uri="http://purl.org/dc/dcmitype/"/>
    <ds:schemaRef ds:uri="http://www.w3.org/XML/1998/namespace"/>
    <ds:schemaRef ds:uri="http://purl.org/dc/elements/1.1/"/>
    <ds:schemaRef ds:uri="http://schemas.microsoft.com/office/infopath/2007/PartnerControls"/>
    <ds:schemaRef ds:uri="5e3b0e23-edc7-4d68-902a-f7eeae56b19b"/>
    <ds:schemaRef ds:uri="http://schemas.openxmlformats.org/package/2006/metadata/core-propertie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AC04C1C7-EE97-4519-ADCF-9840F5699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3790</Words>
  <Characters>21606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2026-03-16T11:08:00Z</dcterms:created>
  <dcterms:modified xsi:type="dcterms:W3CDTF">2026-03-23T08:56:00Z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2026-01-13T13:53:31Z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e7afacb4-1e51-4b19-ba76-9ac92717fb4a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0x010100FAEF338F37A4A9419D40C896D14C7EF5</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CP-006</vt:lpwstr>
  </property>
</Properties>
</file>