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EBD28" w14:textId="56257392" w:rsidR="00BC3D86" w:rsidRPr="00C82DFF" w:rsidRDefault="00B36514" w:rsidP="00044DD8">
      <w:pPr>
        <w:pStyle w:val="Pagedecouverture"/>
        <w:rPr>
          <w:noProof/>
        </w:rPr>
      </w:pPr>
      <w:bookmarkStart w:id="0" w:name="LW_BM_COVERPAGE"/>
      <w:bookmarkStart w:id="1" w:name="_Toc878023"/>
      <w:bookmarkStart w:id="2" w:name="_Toc17730531"/>
      <w:bookmarkStart w:id="3" w:name="_Toc106119388"/>
      <w:bookmarkStart w:id="4" w:name="_Toc107311245"/>
      <w:bookmarkStart w:id="5" w:name="_Toc4058292"/>
      <w:bookmarkStart w:id="6" w:name="_Toc10474382"/>
      <w:r>
        <w:rPr>
          <w:noProof/>
        </w:rPr>
        <w:pict w14:anchorId="2B2D27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A1F4632-6266-42E9-B56C-A587BE8E4A19" style="width:455.45pt;height:299.7pt">
            <v:imagedata r:id="rId11" o:title=""/>
          </v:shape>
        </w:pict>
      </w:r>
    </w:p>
    <w:bookmarkEnd w:id="0"/>
    <w:p w14:paraId="32ED289C" w14:textId="77777777" w:rsidR="00494980" w:rsidRPr="00C82DFF" w:rsidRDefault="00494980" w:rsidP="001B1826">
      <w:pPr>
        <w:rPr>
          <w:noProof/>
        </w:rPr>
        <w:sectPr w:rsidR="00494980" w:rsidRPr="00C82DFF" w:rsidSect="00044DD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96E24CB" w14:textId="27971095" w:rsidR="00D277A2" w:rsidRPr="00D255B3" w:rsidRDefault="00A05E3A" w:rsidP="002E1D5E">
      <w:pPr>
        <w:pStyle w:val="Heading1"/>
        <w:numPr>
          <w:ilvl w:val="0"/>
          <w:numId w:val="0"/>
        </w:numPr>
        <w:spacing w:after="240"/>
        <w:rPr>
          <w:rFonts w:ascii="Times New Roman" w:hAnsi="Times New Roman" w:cs="Times New Roman"/>
          <w:b/>
          <w:bCs/>
          <w:noProof/>
          <w:color w:val="auto"/>
          <w:sz w:val="22"/>
          <w:szCs w:val="22"/>
        </w:rPr>
      </w:pPr>
      <w:bookmarkStart w:id="7" w:name="_Toc227857259"/>
      <w:r>
        <w:rPr>
          <w:rFonts w:ascii="Times New Roman" w:hAnsi="Times New Roman"/>
          <w:b/>
          <w:noProof/>
          <w:color w:val="auto"/>
          <w:sz w:val="22"/>
        </w:rPr>
        <w:lastRenderedPageBreak/>
        <w:t>RÉSUMÉ</w:t>
      </w:r>
      <w:bookmarkEnd w:id="7"/>
    </w:p>
    <w:p w14:paraId="7C539C84" w14:textId="75E6CED8" w:rsidR="000E5CE2" w:rsidRPr="00C82DFF" w:rsidRDefault="00D97EC3" w:rsidP="00D04526">
      <w:pPr>
        <w:spacing w:beforeLines="100" w:before="240" w:after="0" w:line="280" w:lineRule="atLeast"/>
        <w:jc w:val="both"/>
        <w:rPr>
          <w:rFonts w:ascii="Times New Roman" w:eastAsia="Times New Roman" w:hAnsi="Times New Roman" w:cs="Times New Roman"/>
          <w:noProof/>
        </w:rPr>
      </w:pPr>
      <w:r>
        <w:rPr>
          <w:rFonts w:ascii="Times New Roman" w:hAnsi="Times New Roman"/>
          <w:noProof/>
        </w:rPr>
        <w:t xml:space="preserve">Le règlement sur les fonds monétaires est entré en vigueur en 2018 et a défini un cadre complet pour les fonds monétaires de l’Union européenne (UE). Il reconnaît leur rôle majeur dans le financement de l’économie, en particulier le financement à court terme des entreprises et des pouvoirs publics, et leur capacité à répondre aux besoins des investisseurs. Les fonds monétaires de l’UE constituent un instrument d’investissement liquide et bien réglementé qui contribue à la réalisation des objectifs de l’union de l’épargne et des investissements. </w:t>
      </w:r>
    </w:p>
    <w:p w14:paraId="1BA2D398" w14:textId="7B4602BF" w:rsidR="00520B81" w:rsidRPr="00C82DFF" w:rsidRDefault="4C50C197" w:rsidP="00D04526">
      <w:pPr>
        <w:spacing w:beforeLines="100" w:before="240" w:after="0" w:line="280" w:lineRule="atLeast"/>
        <w:jc w:val="both"/>
        <w:rPr>
          <w:rFonts w:ascii="Times New Roman" w:eastAsia="Times New Roman" w:hAnsi="Times New Roman" w:cs="Times New Roman"/>
          <w:noProof/>
        </w:rPr>
      </w:pPr>
      <w:r>
        <w:rPr>
          <w:rFonts w:ascii="Times New Roman" w:hAnsi="Times New Roman"/>
          <w:noProof/>
        </w:rPr>
        <w:t>Le règlement sur les fonds monétaires prévoit des garde-fous visant à renforcer la résilience des fonds monétaires, qui est essentielle pour la confiance des investisseurs dans le produit. Le rapport 2023 de la Commission sur les fonds monétaires</w:t>
      </w:r>
      <w:r>
        <w:rPr>
          <w:rStyle w:val="FootnoteReference"/>
          <w:rFonts w:ascii="Times New Roman" w:eastAsia="Times New Roman" w:hAnsi="Times New Roman" w:cs="Times New Roman"/>
          <w:noProof/>
          <w:lang w:eastAsia="en-IE"/>
        </w:rPr>
        <w:footnoteReference w:id="2"/>
      </w:r>
      <w:r>
        <w:rPr>
          <w:rFonts w:ascii="Times New Roman" w:hAnsi="Times New Roman"/>
          <w:noProof/>
        </w:rPr>
        <w:t xml:space="preserve"> a conclu que le cadre était globalement efficace pour réduire les risques de liquidité, mais il a pointé certains aspects des risques de liquidité qui nécessitaient une évaluation plus approfondie. Le présent rapport présente les résultats des travaux analytiques complémentaires menés sur les risques de liquidité, ainsi que les conclusions sur l’amélioration de la résilience des fonds monétaires.</w:t>
      </w:r>
    </w:p>
    <w:p w14:paraId="4E532A8A" w14:textId="6A201387" w:rsidR="00481FE4" w:rsidRPr="00481FE4" w:rsidRDefault="00481FE4" w:rsidP="00D04526">
      <w:pPr>
        <w:spacing w:beforeLines="100" w:before="240" w:after="0" w:line="280" w:lineRule="atLeast"/>
        <w:jc w:val="both"/>
        <w:rPr>
          <w:rFonts w:ascii="Times New Roman" w:hAnsi="Times New Roman" w:cs="Times New Roman"/>
          <w:noProof/>
        </w:rPr>
      </w:pPr>
      <w:r>
        <w:rPr>
          <w:rFonts w:ascii="Times New Roman" w:hAnsi="Times New Roman"/>
          <w:noProof/>
        </w:rPr>
        <w:t>Il existe une diversité de fonds monétaires, lesquels sont confrontés à des niveaux variables de chocs de liquidité en fonction de leur type (valeur liquidative variable, valeur liquidative à faible volatilité ou valeur liquidative constante — respectivement VLV, VL à faible volatilité et VLC), de leur monnaie, de leurs investisseurs et de leurs utilisations. En raison de ces différences, les fonds monétaires conservent des réserves de liquidité supérieures au niveau minimum requis, en fonction des caractéristiques spécifiques de chaque fonds et de leurs résultats aux tests de résistance. Cette approche prudente de la part des gestionnaires de fonds monétaires peut s’expliquer par le contrôle qu’exercent les investisseurs (rendu possible par les règles de transparence instaurées par le règlement sur les fonds monétaires), par la surveillance réglementaire et par les préoccupations quant aux risques d’atteinte à la réputation.</w:t>
      </w:r>
    </w:p>
    <w:p w14:paraId="6793D762" w14:textId="77777777" w:rsidR="00481FE4" w:rsidRPr="00481FE4" w:rsidRDefault="00481FE4" w:rsidP="00D04526">
      <w:pPr>
        <w:spacing w:beforeLines="100" w:before="240" w:after="0" w:line="280" w:lineRule="atLeast"/>
        <w:jc w:val="both"/>
        <w:rPr>
          <w:rFonts w:ascii="Times New Roman" w:hAnsi="Times New Roman" w:cs="Times New Roman"/>
          <w:noProof/>
        </w:rPr>
      </w:pPr>
      <w:r>
        <w:rPr>
          <w:rFonts w:ascii="Times New Roman" w:hAnsi="Times New Roman"/>
          <w:noProof/>
        </w:rPr>
        <w:t>Les fonds monétaires ont démontré leur capacité à reconstituer des coussins de liquidité même en période de tensions sur les marchés, ce qui témoigne d’une gestion active du risque de liquidité et d’une surveillance prudentielle efficace. Cela tend à indiquer que les différents mécanismes prévus dans le règlement sur les fonds monétaires ont été mis en œuvre de manière cohérente, sous la coordination de l’Autorité européenne des marchés financiers (AEMF).</w:t>
      </w:r>
    </w:p>
    <w:p w14:paraId="5B9411D3" w14:textId="77777777" w:rsidR="00481FE4" w:rsidRDefault="00481FE4" w:rsidP="00D04526">
      <w:pPr>
        <w:spacing w:before="100" w:beforeAutospacing="1" w:after="100" w:afterAutospacing="1" w:line="280" w:lineRule="atLeast"/>
        <w:jc w:val="both"/>
        <w:rPr>
          <w:rFonts w:ascii="Times New Roman" w:hAnsi="Times New Roman" w:cs="Times New Roman"/>
          <w:noProof/>
        </w:rPr>
      </w:pPr>
      <w:r>
        <w:rPr>
          <w:rFonts w:ascii="Times New Roman" w:hAnsi="Times New Roman"/>
          <w:noProof/>
        </w:rPr>
        <w:t xml:space="preserve">Le présent rapport a évalué la résilience des actifs liquides hebdomadaires (WLA), qui est considérée comme une référence utile pour la gestion et la surveillance du risque de liquidité. S’appuyant sur une analyse approfondie des données, le présent rapport conclut que les niveaux de référence appropriés de WLA («niveaux de résilience du marché») sont de 20 % pour les fonds à VLV et de 40 % pour les fonds à VLC et les fonds à VL à faible volatilité. </w:t>
      </w:r>
    </w:p>
    <w:p w14:paraId="0003DF30" w14:textId="0F699F02" w:rsidR="00BF0C48" w:rsidRDefault="00CB12B1" w:rsidP="00D04526">
      <w:pPr>
        <w:spacing w:beforeLines="100" w:before="240" w:after="0" w:line="280" w:lineRule="atLeast"/>
        <w:jc w:val="both"/>
        <w:rPr>
          <w:rFonts w:ascii="Times New Roman" w:hAnsi="Times New Roman" w:cs="Times New Roman"/>
          <w:noProof/>
        </w:rPr>
      </w:pPr>
      <w:r>
        <w:rPr>
          <w:rFonts w:ascii="Times New Roman" w:hAnsi="Times New Roman"/>
          <w:noProof/>
        </w:rPr>
        <w:t xml:space="preserve">La Commission estime donc que ces niveaux de résilience du marché peuvent servir de référence aux gestionnaires de fonds monétaires, en particulier dans les rôles de gestion des risques, et aux autorités nationales compétentes, pour leur permettre d’identifier les situations susceptibles de nécessiter un suivi plus étroit et un engagement accru en matière de surveillance.  </w:t>
      </w:r>
    </w:p>
    <w:p w14:paraId="2D55FD21" w14:textId="37EC519E" w:rsidR="003C7387" w:rsidRPr="00C82DFF" w:rsidRDefault="003C7387" w:rsidP="00D04526">
      <w:pPr>
        <w:spacing w:beforeLines="100" w:before="240" w:after="0" w:line="280" w:lineRule="atLeast"/>
        <w:jc w:val="both"/>
        <w:rPr>
          <w:rFonts w:ascii="Times New Roman" w:hAnsi="Times New Roman" w:cs="Times New Roman"/>
          <w:noProof/>
        </w:rPr>
      </w:pPr>
      <w:r>
        <w:rPr>
          <w:noProof/>
        </w:rPr>
        <w:br w:type="page"/>
      </w:r>
    </w:p>
    <w:bookmarkStart w:id="8" w:name="_Toc10474381" w:displacedByCustomXml="next"/>
    <w:sdt>
      <w:sdtPr>
        <w:rPr>
          <w:rFonts w:asciiTheme="minorHAnsi" w:eastAsiaTheme="minorEastAsia" w:hAnsiTheme="minorHAnsi" w:cs="Times New Roman"/>
          <w:noProof/>
          <w:color w:val="auto"/>
          <w:sz w:val="22"/>
          <w:szCs w:val="22"/>
        </w:rPr>
        <w:id w:val="606063663"/>
        <w:docPartObj>
          <w:docPartGallery w:val="Table of Contents"/>
          <w:docPartUnique/>
        </w:docPartObj>
      </w:sdtPr>
      <w:sdtEndPr/>
      <w:sdtContent>
        <w:p w14:paraId="3287A434" w14:textId="170D4F19" w:rsidR="00836507" w:rsidRPr="005B2BDE" w:rsidRDefault="00836507" w:rsidP="0CF9C8C5">
          <w:pPr>
            <w:pStyle w:val="TOCHeading"/>
            <w:numPr>
              <w:ilvl w:val="0"/>
              <w:numId w:val="0"/>
            </w:numPr>
            <w:rPr>
              <w:rFonts w:ascii="Times New Roman" w:hAnsi="Times New Roman" w:cs="Times New Roman"/>
              <w:b/>
              <w:bCs/>
              <w:noProof/>
              <w:sz w:val="22"/>
              <w:szCs w:val="22"/>
            </w:rPr>
          </w:pPr>
          <w:r>
            <w:rPr>
              <w:rFonts w:ascii="Times New Roman" w:hAnsi="Times New Roman"/>
              <w:b/>
              <w:noProof/>
              <w:sz w:val="22"/>
            </w:rPr>
            <w:t>Sommaire</w:t>
          </w:r>
        </w:p>
        <w:p w14:paraId="3D38BBAD" w14:textId="77777777" w:rsidR="007A23A5" w:rsidRPr="00634628" w:rsidRDefault="007A23A5" w:rsidP="00B80A7C">
          <w:pPr>
            <w:rPr>
              <w:rFonts w:ascii="Times New Roman" w:eastAsia="Times New Roman" w:hAnsi="Times New Roman" w:cs="Times New Roman"/>
              <w:noProof/>
            </w:rPr>
          </w:pPr>
        </w:p>
        <w:p w14:paraId="3328F3AF" w14:textId="71DA6A5D" w:rsidR="00415B5B" w:rsidRDefault="0E018B52">
          <w:pPr>
            <w:pStyle w:val="TOC1"/>
            <w:rPr>
              <w:rFonts w:asciiTheme="minorHAnsi" w:hAnsiTheme="minorHAnsi" w:cstheme="minorBidi"/>
              <w:b w:val="0"/>
              <w:bCs w:val="0"/>
              <w:kern w:val="2"/>
              <w:sz w:val="24"/>
              <w:szCs w:val="24"/>
              <w:lang w:val="en-IE" w:eastAsia="en-IE"/>
              <w14:ligatures w14:val="standardContextual"/>
            </w:rPr>
          </w:pPr>
          <w:r>
            <w:fldChar w:fldCharType="begin"/>
          </w:r>
          <w:r w:rsidR="00EB7D99">
            <w:instrText>TOC \o "1-3" \z \u \h</w:instrText>
          </w:r>
          <w:r>
            <w:fldChar w:fldCharType="separate"/>
          </w:r>
          <w:hyperlink w:anchor="_Toc227857259" w:history="1">
            <w:r w:rsidR="00415B5B" w:rsidRPr="005237E4">
              <w:rPr>
                <w:rStyle w:val="Hyperlink"/>
              </w:rPr>
              <w:t>RÉSUMÉ</w:t>
            </w:r>
            <w:r w:rsidR="00415B5B">
              <w:rPr>
                <w:webHidden/>
              </w:rPr>
              <w:tab/>
            </w:r>
            <w:r w:rsidR="00415B5B">
              <w:rPr>
                <w:webHidden/>
              </w:rPr>
              <w:fldChar w:fldCharType="begin"/>
            </w:r>
            <w:r w:rsidR="00415B5B">
              <w:rPr>
                <w:webHidden/>
              </w:rPr>
              <w:instrText xml:space="preserve"> PAGEREF _Toc227857259 \h </w:instrText>
            </w:r>
            <w:r w:rsidR="00415B5B">
              <w:rPr>
                <w:webHidden/>
              </w:rPr>
            </w:r>
            <w:r w:rsidR="00415B5B">
              <w:rPr>
                <w:webHidden/>
              </w:rPr>
              <w:fldChar w:fldCharType="separate"/>
            </w:r>
            <w:r w:rsidR="00E5086A">
              <w:rPr>
                <w:webHidden/>
              </w:rPr>
              <w:t>1</w:t>
            </w:r>
            <w:r w:rsidR="00415B5B">
              <w:rPr>
                <w:webHidden/>
              </w:rPr>
              <w:fldChar w:fldCharType="end"/>
            </w:r>
          </w:hyperlink>
        </w:p>
        <w:p w14:paraId="45194043" w14:textId="2C7753B5" w:rsidR="00415B5B" w:rsidRDefault="00415B5B">
          <w:pPr>
            <w:pStyle w:val="TOC1"/>
            <w:rPr>
              <w:rFonts w:asciiTheme="minorHAnsi" w:hAnsiTheme="minorHAnsi" w:cstheme="minorBidi"/>
              <w:b w:val="0"/>
              <w:bCs w:val="0"/>
              <w:kern w:val="2"/>
              <w:sz w:val="24"/>
              <w:szCs w:val="24"/>
              <w:lang w:val="en-IE" w:eastAsia="en-IE"/>
              <w14:ligatures w14:val="standardContextual"/>
            </w:rPr>
          </w:pPr>
          <w:hyperlink w:anchor="_Toc227857260" w:history="1">
            <w:r w:rsidRPr="005237E4">
              <w:rPr>
                <w:rStyle w:val="Hyperlink"/>
              </w:rPr>
              <w:t>ABRÉVIATIONS</w:t>
            </w:r>
            <w:r>
              <w:rPr>
                <w:webHidden/>
              </w:rPr>
              <w:tab/>
            </w:r>
            <w:r>
              <w:rPr>
                <w:webHidden/>
              </w:rPr>
              <w:fldChar w:fldCharType="begin"/>
            </w:r>
            <w:r>
              <w:rPr>
                <w:webHidden/>
              </w:rPr>
              <w:instrText xml:space="preserve"> PAGEREF _Toc227857260 \h </w:instrText>
            </w:r>
            <w:r>
              <w:rPr>
                <w:webHidden/>
              </w:rPr>
            </w:r>
            <w:r>
              <w:rPr>
                <w:webHidden/>
              </w:rPr>
              <w:fldChar w:fldCharType="separate"/>
            </w:r>
            <w:r w:rsidR="00E5086A">
              <w:rPr>
                <w:webHidden/>
              </w:rPr>
              <w:t>3</w:t>
            </w:r>
            <w:r>
              <w:rPr>
                <w:webHidden/>
              </w:rPr>
              <w:fldChar w:fldCharType="end"/>
            </w:r>
          </w:hyperlink>
        </w:p>
        <w:p w14:paraId="74C33350" w14:textId="5431F470" w:rsidR="00415B5B" w:rsidRDefault="00415B5B">
          <w:pPr>
            <w:pStyle w:val="TOC1"/>
            <w:rPr>
              <w:rFonts w:asciiTheme="minorHAnsi" w:hAnsiTheme="minorHAnsi" w:cstheme="minorBidi"/>
              <w:b w:val="0"/>
              <w:bCs w:val="0"/>
              <w:kern w:val="2"/>
              <w:sz w:val="24"/>
              <w:szCs w:val="24"/>
              <w:lang w:val="en-IE" w:eastAsia="en-IE"/>
              <w14:ligatures w14:val="standardContextual"/>
            </w:rPr>
          </w:pPr>
          <w:hyperlink w:anchor="_Toc227857261" w:history="1">
            <w:r w:rsidRPr="005237E4">
              <w:rPr>
                <w:rStyle w:val="Hyperlink"/>
              </w:rPr>
              <w:t>1</w:t>
            </w:r>
            <w:r>
              <w:rPr>
                <w:rFonts w:asciiTheme="minorHAnsi" w:hAnsiTheme="minorHAnsi" w:cstheme="minorBidi"/>
                <w:b w:val="0"/>
                <w:bCs w:val="0"/>
                <w:kern w:val="2"/>
                <w:sz w:val="24"/>
                <w:szCs w:val="24"/>
                <w:lang w:val="en-IE" w:eastAsia="en-IE"/>
                <w14:ligatures w14:val="standardContextual"/>
              </w:rPr>
              <w:tab/>
            </w:r>
            <w:r w:rsidRPr="005237E4">
              <w:rPr>
                <w:rStyle w:val="Hyperlink"/>
              </w:rPr>
              <w:t>INTRODUCTION</w:t>
            </w:r>
            <w:r>
              <w:rPr>
                <w:webHidden/>
              </w:rPr>
              <w:tab/>
            </w:r>
            <w:r>
              <w:rPr>
                <w:webHidden/>
              </w:rPr>
              <w:fldChar w:fldCharType="begin"/>
            </w:r>
            <w:r>
              <w:rPr>
                <w:webHidden/>
              </w:rPr>
              <w:instrText xml:space="preserve"> PAGEREF _Toc227857261 \h </w:instrText>
            </w:r>
            <w:r>
              <w:rPr>
                <w:webHidden/>
              </w:rPr>
            </w:r>
            <w:r>
              <w:rPr>
                <w:webHidden/>
              </w:rPr>
              <w:fldChar w:fldCharType="separate"/>
            </w:r>
            <w:r w:rsidR="00E5086A">
              <w:rPr>
                <w:webHidden/>
              </w:rPr>
              <w:t>4</w:t>
            </w:r>
            <w:r>
              <w:rPr>
                <w:webHidden/>
              </w:rPr>
              <w:fldChar w:fldCharType="end"/>
            </w:r>
          </w:hyperlink>
        </w:p>
        <w:p w14:paraId="7F947041" w14:textId="628FC340" w:rsidR="00415B5B" w:rsidRDefault="00415B5B">
          <w:pPr>
            <w:pStyle w:val="TOC1"/>
            <w:rPr>
              <w:rFonts w:asciiTheme="minorHAnsi" w:hAnsiTheme="minorHAnsi" w:cstheme="minorBidi"/>
              <w:b w:val="0"/>
              <w:bCs w:val="0"/>
              <w:kern w:val="2"/>
              <w:sz w:val="24"/>
              <w:szCs w:val="24"/>
              <w:lang w:val="en-IE" w:eastAsia="en-IE"/>
              <w14:ligatures w14:val="standardContextual"/>
            </w:rPr>
          </w:pPr>
          <w:hyperlink w:anchor="_Toc227857262" w:history="1">
            <w:r w:rsidRPr="005237E4">
              <w:rPr>
                <w:rStyle w:val="Hyperlink"/>
              </w:rPr>
              <w:t>2</w:t>
            </w:r>
            <w:r>
              <w:rPr>
                <w:rFonts w:asciiTheme="minorHAnsi" w:hAnsiTheme="minorHAnsi" w:cstheme="minorBidi"/>
                <w:b w:val="0"/>
                <w:bCs w:val="0"/>
                <w:kern w:val="2"/>
                <w:sz w:val="24"/>
                <w:szCs w:val="24"/>
                <w:lang w:val="en-IE" w:eastAsia="en-IE"/>
                <w14:ligatures w14:val="standardContextual"/>
              </w:rPr>
              <w:tab/>
            </w:r>
            <w:r w:rsidRPr="005237E4">
              <w:rPr>
                <w:rStyle w:val="Hyperlink"/>
              </w:rPr>
              <w:t>ÉVALUATION DE LA GESTION DE LA LIQUIDITÉ DES FONDS MONÉTAIRES</w:t>
            </w:r>
            <w:r>
              <w:rPr>
                <w:webHidden/>
              </w:rPr>
              <w:tab/>
            </w:r>
            <w:r>
              <w:rPr>
                <w:webHidden/>
              </w:rPr>
              <w:fldChar w:fldCharType="begin"/>
            </w:r>
            <w:r>
              <w:rPr>
                <w:webHidden/>
              </w:rPr>
              <w:instrText xml:space="preserve"> PAGEREF _Toc227857262 \h </w:instrText>
            </w:r>
            <w:r>
              <w:rPr>
                <w:webHidden/>
              </w:rPr>
            </w:r>
            <w:r>
              <w:rPr>
                <w:webHidden/>
              </w:rPr>
              <w:fldChar w:fldCharType="separate"/>
            </w:r>
            <w:r w:rsidR="00E5086A">
              <w:rPr>
                <w:webHidden/>
              </w:rPr>
              <w:t>6</w:t>
            </w:r>
            <w:r>
              <w:rPr>
                <w:webHidden/>
              </w:rPr>
              <w:fldChar w:fldCharType="end"/>
            </w:r>
          </w:hyperlink>
        </w:p>
        <w:p w14:paraId="7CA378E7" w14:textId="4A4766DB" w:rsidR="00415B5B" w:rsidRDefault="00415B5B">
          <w:pPr>
            <w:pStyle w:val="TOC2"/>
            <w:rPr>
              <w:rFonts w:cstheme="minorBidi"/>
              <w:noProof/>
              <w:kern w:val="2"/>
              <w:sz w:val="24"/>
              <w:szCs w:val="24"/>
              <w:lang w:val="en-IE" w:eastAsia="en-IE"/>
              <w14:ligatures w14:val="standardContextual"/>
            </w:rPr>
          </w:pPr>
          <w:hyperlink w:anchor="_Toc227857263" w:history="1">
            <w:r w:rsidRPr="005237E4">
              <w:rPr>
                <w:rStyle w:val="Hyperlink"/>
                <w:noProof/>
              </w:rPr>
              <w:t>2.1</w:t>
            </w:r>
            <w:r>
              <w:rPr>
                <w:rFonts w:cstheme="minorBidi"/>
                <w:noProof/>
                <w:kern w:val="2"/>
                <w:sz w:val="24"/>
                <w:szCs w:val="24"/>
                <w:lang w:val="en-IE" w:eastAsia="en-IE"/>
                <w14:ligatures w14:val="standardContextual"/>
              </w:rPr>
              <w:tab/>
            </w:r>
            <w:r w:rsidRPr="005237E4">
              <w:rPr>
                <w:rStyle w:val="Hyperlink"/>
                <w:noProof/>
              </w:rPr>
              <w:t>Niveau des coussins de liquidité</w:t>
            </w:r>
            <w:r>
              <w:rPr>
                <w:noProof/>
                <w:webHidden/>
              </w:rPr>
              <w:tab/>
            </w:r>
            <w:r>
              <w:rPr>
                <w:noProof/>
                <w:webHidden/>
              </w:rPr>
              <w:fldChar w:fldCharType="begin"/>
            </w:r>
            <w:r>
              <w:rPr>
                <w:noProof/>
                <w:webHidden/>
              </w:rPr>
              <w:instrText xml:space="preserve"> PAGEREF _Toc227857263 \h </w:instrText>
            </w:r>
            <w:r>
              <w:rPr>
                <w:noProof/>
                <w:webHidden/>
              </w:rPr>
            </w:r>
            <w:r>
              <w:rPr>
                <w:noProof/>
                <w:webHidden/>
              </w:rPr>
              <w:fldChar w:fldCharType="separate"/>
            </w:r>
            <w:r w:rsidR="00E5086A">
              <w:rPr>
                <w:noProof/>
                <w:webHidden/>
              </w:rPr>
              <w:t>6</w:t>
            </w:r>
            <w:r>
              <w:rPr>
                <w:noProof/>
                <w:webHidden/>
              </w:rPr>
              <w:fldChar w:fldCharType="end"/>
            </w:r>
          </w:hyperlink>
        </w:p>
        <w:p w14:paraId="26622989" w14:textId="62AC2429" w:rsidR="00415B5B" w:rsidRDefault="00415B5B">
          <w:pPr>
            <w:pStyle w:val="TOC2"/>
            <w:rPr>
              <w:rFonts w:cstheme="minorBidi"/>
              <w:noProof/>
              <w:kern w:val="2"/>
              <w:sz w:val="24"/>
              <w:szCs w:val="24"/>
              <w:lang w:val="en-IE" w:eastAsia="en-IE"/>
              <w14:ligatures w14:val="standardContextual"/>
            </w:rPr>
          </w:pPr>
          <w:hyperlink w:anchor="_Toc227857264" w:history="1">
            <w:r w:rsidRPr="005237E4">
              <w:rPr>
                <w:rStyle w:val="Hyperlink"/>
                <w:noProof/>
              </w:rPr>
              <w:t>2.2</w:t>
            </w:r>
            <w:r>
              <w:rPr>
                <w:rFonts w:cstheme="minorBidi"/>
                <w:noProof/>
                <w:kern w:val="2"/>
                <w:sz w:val="24"/>
                <w:szCs w:val="24"/>
                <w:lang w:val="en-IE" w:eastAsia="en-IE"/>
                <w14:ligatures w14:val="standardContextual"/>
              </w:rPr>
              <w:tab/>
            </w:r>
            <w:r w:rsidRPr="005237E4">
              <w:rPr>
                <w:rStyle w:val="Hyperlink"/>
                <w:noProof/>
              </w:rPr>
              <w:t>Comment les fonds monétaires honorent les demandes de rachat</w:t>
            </w:r>
            <w:r>
              <w:rPr>
                <w:noProof/>
                <w:webHidden/>
              </w:rPr>
              <w:tab/>
            </w:r>
            <w:r>
              <w:rPr>
                <w:noProof/>
                <w:webHidden/>
              </w:rPr>
              <w:fldChar w:fldCharType="begin"/>
            </w:r>
            <w:r>
              <w:rPr>
                <w:noProof/>
                <w:webHidden/>
              </w:rPr>
              <w:instrText xml:space="preserve"> PAGEREF _Toc227857264 \h </w:instrText>
            </w:r>
            <w:r>
              <w:rPr>
                <w:noProof/>
                <w:webHidden/>
              </w:rPr>
            </w:r>
            <w:r>
              <w:rPr>
                <w:noProof/>
                <w:webHidden/>
              </w:rPr>
              <w:fldChar w:fldCharType="separate"/>
            </w:r>
            <w:r w:rsidR="00E5086A">
              <w:rPr>
                <w:noProof/>
                <w:webHidden/>
              </w:rPr>
              <w:t>10</w:t>
            </w:r>
            <w:r>
              <w:rPr>
                <w:noProof/>
                <w:webHidden/>
              </w:rPr>
              <w:fldChar w:fldCharType="end"/>
            </w:r>
          </w:hyperlink>
        </w:p>
        <w:p w14:paraId="1EE02ABD" w14:textId="2E460A8E" w:rsidR="00415B5B" w:rsidRDefault="00415B5B">
          <w:pPr>
            <w:pStyle w:val="TOC1"/>
            <w:rPr>
              <w:rFonts w:asciiTheme="minorHAnsi" w:hAnsiTheme="minorHAnsi" w:cstheme="minorBidi"/>
              <w:b w:val="0"/>
              <w:bCs w:val="0"/>
              <w:kern w:val="2"/>
              <w:sz w:val="24"/>
              <w:szCs w:val="24"/>
              <w:lang w:val="en-IE" w:eastAsia="en-IE"/>
              <w14:ligatures w14:val="standardContextual"/>
            </w:rPr>
          </w:pPr>
          <w:hyperlink w:anchor="_Toc227857265" w:history="1">
            <w:r w:rsidRPr="005237E4">
              <w:rPr>
                <w:rStyle w:val="Hyperlink"/>
              </w:rPr>
              <w:t>3</w:t>
            </w:r>
            <w:r>
              <w:rPr>
                <w:rFonts w:asciiTheme="minorHAnsi" w:hAnsiTheme="minorHAnsi" w:cstheme="minorBidi"/>
                <w:b w:val="0"/>
                <w:bCs w:val="0"/>
                <w:kern w:val="2"/>
                <w:sz w:val="24"/>
                <w:szCs w:val="24"/>
                <w:lang w:val="en-IE" w:eastAsia="en-IE"/>
                <w14:ligatures w14:val="standardContextual"/>
              </w:rPr>
              <w:tab/>
            </w:r>
            <w:r w:rsidRPr="005237E4">
              <w:rPr>
                <w:rStyle w:val="Hyperlink"/>
              </w:rPr>
              <w:t>ÉVALUATION DES NIVEAUX DE RÉSILIENCE DU MARCHÉ APPROPRIÉS DES FONDS MONÉTAIRES</w:t>
            </w:r>
            <w:r>
              <w:rPr>
                <w:webHidden/>
              </w:rPr>
              <w:tab/>
            </w:r>
            <w:r>
              <w:rPr>
                <w:webHidden/>
              </w:rPr>
              <w:fldChar w:fldCharType="begin"/>
            </w:r>
            <w:r>
              <w:rPr>
                <w:webHidden/>
              </w:rPr>
              <w:instrText xml:space="preserve"> PAGEREF _Toc227857265 \h </w:instrText>
            </w:r>
            <w:r>
              <w:rPr>
                <w:webHidden/>
              </w:rPr>
            </w:r>
            <w:r>
              <w:rPr>
                <w:webHidden/>
              </w:rPr>
              <w:fldChar w:fldCharType="separate"/>
            </w:r>
            <w:r w:rsidR="00E5086A">
              <w:rPr>
                <w:webHidden/>
              </w:rPr>
              <w:t>13</w:t>
            </w:r>
            <w:r>
              <w:rPr>
                <w:webHidden/>
              </w:rPr>
              <w:fldChar w:fldCharType="end"/>
            </w:r>
          </w:hyperlink>
        </w:p>
        <w:p w14:paraId="18D45075" w14:textId="089240B9" w:rsidR="00415B5B" w:rsidRDefault="00415B5B">
          <w:pPr>
            <w:pStyle w:val="TOC1"/>
            <w:rPr>
              <w:rFonts w:asciiTheme="minorHAnsi" w:hAnsiTheme="minorHAnsi" w:cstheme="minorBidi"/>
              <w:b w:val="0"/>
              <w:bCs w:val="0"/>
              <w:kern w:val="2"/>
              <w:sz w:val="24"/>
              <w:szCs w:val="24"/>
              <w:lang w:val="en-IE" w:eastAsia="en-IE"/>
              <w14:ligatures w14:val="standardContextual"/>
            </w:rPr>
          </w:pPr>
          <w:hyperlink w:anchor="_Toc227857266" w:history="1">
            <w:r w:rsidRPr="005237E4">
              <w:rPr>
                <w:rStyle w:val="Hyperlink"/>
              </w:rPr>
              <w:t>4</w:t>
            </w:r>
            <w:r>
              <w:rPr>
                <w:rFonts w:asciiTheme="minorHAnsi" w:hAnsiTheme="minorHAnsi" w:cstheme="minorBidi"/>
                <w:b w:val="0"/>
                <w:bCs w:val="0"/>
                <w:kern w:val="2"/>
                <w:sz w:val="24"/>
                <w:szCs w:val="24"/>
                <w:lang w:val="en-IE" w:eastAsia="en-IE"/>
                <w14:ligatures w14:val="standardContextual"/>
              </w:rPr>
              <w:tab/>
            </w:r>
            <w:r w:rsidRPr="005237E4">
              <w:rPr>
                <w:rStyle w:val="Hyperlink"/>
              </w:rPr>
              <w:t>CONCLUSIONS</w:t>
            </w:r>
            <w:r>
              <w:rPr>
                <w:webHidden/>
              </w:rPr>
              <w:tab/>
            </w:r>
            <w:r>
              <w:rPr>
                <w:webHidden/>
              </w:rPr>
              <w:fldChar w:fldCharType="begin"/>
            </w:r>
            <w:r>
              <w:rPr>
                <w:webHidden/>
              </w:rPr>
              <w:instrText xml:space="preserve"> PAGEREF _Toc227857266 \h </w:instrText>
            </w:r>
            <w:r>
              <w:rPr>
                <w:webHidden/>
              </w:rPr>
            </w:r>
            <w:r>
              <w:rPr>
                <w:webHidden/>
              </w:rPr>
              <w:fldChar w:fldCharType="separate"/>
            </w:r>
            <w:r w:rsidR="00E5086A">
              <w:rPr>
                <w:webHidden/>
              </w:rPr>
              <w:t>14</w:t>
            </w:r>
            <w:r>
              <w:rPr>
                <w:webHidden/>
              </w:rPr>
              <w:fldChar w:fldCharType="end"/>
            </w:r>
          </w:hyperlink>
        </w:p>
        <w:p w14:paraId="241F4A09" w14:textId="6C153134" w:rsidR="00415B5B" w:rsidRDefault="00415B5B">
          <w:pPr>
            <w:pStyle w:val="TOC1"/>
            <w:rPr>
              <w:rFonts w:asciiTheme="minorHAnsi" w:hAnsiTheme="minorHAnsi" w:cstheme="minorBidi"/>
              <w:b w:val="0"/>
              <w:bCs w:val="0"/>
              <w:kern w:val="2"/>
              <w:sz w:val="24"/>
              <w:szCs w:val="24"/>
              <w:lang w:val="en-IE" w:eastAsia="en-IE"/>
              <w14:ligatures w14:val="standardContextual"/>
            </w:rPr>
          </w:pPr>
          <w:hyperlink w:anchor="_Toc227857267" w:history="1">
            <w:r w:rsidRPr="005237E4">
              <w:rPr>
                <w:rStyle w:val="Hyperlink"/>
              </w:rPr>
              <w:t>5</w:t>
            </w:r>
            <w:r>
              <w:rPr>
                <w:rFonts w:asciiTheme="minorHAnsi" w:hAnsiTheme="minorHAnsi" w:cstheme="minorBidi"/>
                <w:b w:val="0"/>
                <w:bCs w:val="0"/>
                <w:kern w:val="2"/>
                <w:sz w:val="24"/>
                <w:szCs w:val="24"/>
                <w:lang w:val="en-IE" w:eastAsia="en-IE"/>
                <w14:ligatures w14:val="standardContextual"/>
              </w:rPr>
              <w:tab/>
            </w:r>
            <w:r w:rsidRPr="005237E4">
              <w:rPr>
                <w:rStyle w:val="Hyperlink"/>
              </w:rPr>
              <w:t>ANNEXE I: NIVEAUX DES COUSSINS DE LIQUIDITÉ</w:t>
            </w:r>
            <w:r>
              <w:rPr>
                <w:webHidden/>
              </w:rPr>
              <w:tab/>
            </w:r>
            <w:r>
              <w:rPr>
                <w:webHidden/>
              </w:rPr>
              <w:fldChar w:fldCharType="begin"/>
            </w:r>
            <w:r>
              <w:rPr>
                <w:webHidden/>
              </w:rPr>
              <w:instrText xml:space="preserve"> PAGEREF _Toc227857267 \h </w:instrText>
            </w:r>
            <w:r>
              <w:rPr>
                <w:webHidden/>
              </w:rPr>
            </w:r>
            <w:r>
              <w:rPr>
                <w:webHidden/>
              </w:rPr>
              <w:fldChar w:fldCharType="separate"/>
            </w:r>
            <w:r w:rsidR="00E5086A">
              <w:rPr>
                <w:webHidden/>
              </w:rPr>
              <w:t>15</w:t>
            </w:r>
            <w:r>
              <w:rPr>
                <w:webHidden/>
              </w:rPr>
              <w:fldChar w:fldCharType="end"/>
            </w:r>
          </w:hyperlink>
        </w:p>
        <w:p w14:paraId="5F67F137" w14:textId="1452135B" w:rsidR="00415B5B" w:rsidRDefault="00415B5B">
          <w:pPr>
            <w:pStyle w:val="TOC2"/>
            <w:rPr>
              <w:rFonts w:cstheme="minorBidi"/>
              <w:noProof/>
              <w:kern w:val="2"/>
              <w:sz w:val="24"/>
              <w:szCs w:val="24"/>
              <w:lang w:val="en-IE" w:eastAsia="en-IE"/>
              <w14:ligatures w14:val="standardContextual"/>
            </w:rPr>
          </w:pPr>
          <w:hyperlink w:anchor="_Toc227857268" w:history="1">
            <w:r w:rsidRPr="005237E4">
              <w:rPr>
                <w:rStyle w:val="Hyperlink"/>
                <w:noProof/>
              </w:rPr>
              <w:t>5.1</w:t>
            </w:r>
            <w:r>
              <w:rPr>
                <w:rFonts w:cstheme="minorBidi"/>
                <w:noProof/>
                <w:kern w:val="2"/>
                <w:sz w:val="24"/>
                <w:szCs w:val="24"/>
                <w:lang w:val="en-IE" w:eastAsia="en-IE"/>
                <w14:ligatures w14:val="standardContextual"/>
              </w:rPr>
              <w:tab/>
            </w:r>
            <w:r w:rsidRPr="005237E4">
              <w:rPr>
                <w:rStyle w:val="Hyperlink"/>
                <w:noProof/>
              </w:rPr>
              <w:t>Statistiques sur les niveaux des coussins de liquidité</w:t>
            </w:r>
            <w:r>
              <w:rPr>
                <w:noProof/>
                <w:webHidden/>
              </w:rPr>
              <w:tab/>
            </w:r>
            <w:r>
              <w:rPr>
                <w:noProof/>
                <w:webHidden/>
              </w:rPr>
              <w:fldChar w:fldCharType="begin"/>
            </w:r>
            <w:r>
              <w:rPr>
                <w:noProof/>
                <w:webHidden/>
              </w:rPr>
              <w:instrText xml:space="preserve"> PAGEREF _Toc227857268 \h </w:instrText>
            </w:r>
            <w:r>
              <w:rPr>
                <w:noProof/>
                <w:webHidden/>
              </w:rPr>
            </w:r>
            <w:r>
              <w:rPr>
                <w:noProof/>
                <w:webHidden/>
              </w:rPr>
              <w:fldChar w:fldCharType="separate"/>
            </w:r>
            <w:r w:rsidR="00E5086A">
              <w:rPr>
                <w:noProof/>
                <w:webHidden/>
              </w:rPr>
              <w:t>15</w:t>
            </w:r>
            <w:r>
              <w:rPr>
                <w:noProof/>
                <w:webHidden/>
              </w:rPr>
              <w:fldChar w:fldCharType="end"/>
            </w:r>
          </w:hyperlink>
        </w:p>
        <w:p w14:paraId="319DC2CB" w14:textId="14A3F151" w:rsidR="00415B5B" w:rsidRDefault="00415B5B">
          <w:pPr>
            <w:pStyle w:val="TOC2"/>
            <w:rPr>
              <w:rFonts w:cstheme="minorBidi"/>
              <w:noProof/>
              <w:kern w:val="2"/>
              <w:sz w:val="24"/>
              <w:szCs w:val="24"/>
              <w:lang w:val="en-IE" w:eastAsia="en-IE"/>
              <w14:ligatures w14:val="standardContextual"/>
            </w:rPr>
          </w:pPr>
          <w:hyperlink w:anchor="_Toc227857269" w:history="1">
            <w:r w:rsidRPr="005237E4">
              <w:rPr>
                <w:rStyle w:val="Hyperlink"/>
                <w:noProof/>
              </w:rPr>
              <w:t>5.2</w:t>
            </w:r>
            <w:r>
              <w:rPr>
                <w:rFonts w:cstheme="minorBidi"/>
                <w:noProof/>
                <w:kern w:val="2"/>
                <w:sz w:val="24"/>
                <w:szCs w:val="24"/>
                <w:lang w:val="en-IE" w:eastAsia="en-IE"/>
                <w14:ligatures w14:val="standardContextual"/>
              </w:rPr>
              <w:tab/>
            </w:r>
            <w:r w:rsidRPr="005237E4">
              <w:rPr>
                <w:rStyle w:val="Hyperlink"/>
                <w:noProof/>
              </w:rPr>
              <w:t>Exemples de fonds monétaires confrontés à des chocs de rachats élevés</w:t>
            </w:r>
            <w:r>
              <w:rPr>
                <w:noProof/>
                <w:webHidden/>
              </w:rPr>
              <w:tab/>
            </w:r>
            <w:r>
              <w:rPr>
                <w:noProof/>
                <w:webHidden/>
              </w:rPr>
              <w:fldChar w:fldCharType="begin"/>
            </w:r>
            <w:r>
              <w:rPr>
                <w:noProof/>
                <w:webHidden/>
              </w:rPr>
              <w:instrText xml:space="preserve"> PAGEREF _Toc227857269 \h </w:instrText>
            </w:r>
            <w:r>
              <w:rPr>
                <w:noProof/>
                <w:webHidden/>
              </w:rPr>
            </w:r>
            <w:r>
              <w:rPr>
                <w:noProof/>
                <w:webHidden/>
              </w:rPr>
              <w:fldChar w:fldCharType="separate"/>
            </w:r>
            <w:r w:rsidR="00E5086A">
              <w:rPr>
                <w:noProof/>
                <w:webHidden/>
              </w:rPr>
              <w:t>15</w:t>
            </w:r>
            <w:r>
              <w:rPr>
                <w:noProof/>
                <w:webHidden/>
              </w:rPr>
              <w:fldChar w:fldCharType="end"/>
            </w:r>
          </w:hyperlink>
        </w:p>
        <w:p w14:paraId="0C46AA3C" w14:textId="31956FF6" w:rsidR="00415B5B" w:rsidRDefault="00415B5B">
          <w:pPr>
            <w:pStyle w:val="TOC1"/>
            <w:rPr>
              <w:rFonts w:asciiTheme="minorHAnsi" w:hAnsiTheme="minorHAnsi" w:cstheme="minorBidi"/>
              <w:b w:val="0"/>
              <w:bCs w:val="0"/>
              <w:kern w:val="2"/>
              <w:sz w:val="24"/>
              <w:szCs w:val="24"/>
              <w:lang w:val="en-IE" w:eastAsia="en-IE"/>
              <w14:ligatures w14:val="standardContextual"/>
            </w:rPr>
          </w:pPr>
          <w:hyperlink w:anchor="_Toc227857270" w:history="1">
            <w:r w:rsidRPr="005237E4">
              <w:rPr>
                <w:rStyle w:val="Hyperlink"/>
              </w:rPr>
              <w:t>6</w:t>
            </w:r>
            <w:r>
              <w:rPr>
                <w:rFonts w:asciiTheme="minorHAnsi" w:hAnsiTheme="minorHAnsi" w:cstheme="minorBidi"/>
                <w:b w:val="0"/>
                <w:bCs w:val="0"/>
                <w:kern w:val="2"/>
                <w:sz w:val="24"/>
                <w:szCs w:val="24"/>
                <w:lang w:val="en-IE" w:eastAsia="en-IE"/>
                <w14:ligatures w14:val="standardContextual"/>
              </w:rPr>
              <w:tab/>
            </w:r>
            <w:r w:rsidRPr="005237E4">
              <w:rPr>
                <w:rStyle w:val="Hyperlink"/>
              </w:rPr>
              <w:t>ANNEXE II: ÉVOLUTION DES RACHATS EN SITUATION DE TENSIONS SUR LES MARCHÉS</w:t>
            </w:r>
            <w:r>
              <w:rPr>
                <w:webHidden/>
              </w:rPr>
              <w:tab/>
            </w:r>
            <w:r>
              <w:rPr>
                <w:webHidden/>
              </w:rPr>
              <w:fldChar w:fldCharType="begin"/>
            </w:r>
            <w:r>
              <w:rPr>
                <w:webHidden/>
              </w:rPr>
              <w:instrText xml:space="preserve"> PAGEREF _Toc227857270 \h </w:instrText>
            </w:r>
            <w:r>
              <w:rPr>
                <w:webHidden/>
              </w:rPr>
            </w:r>
            <w:r>
              <w:rPr>
                <w:webHidden/>
              </w:rPr>
              <w:fldChar w:fldCharType="separate"/>
            </w:r>
            <w:r w:rsidR="00E5086A">
              <w:rPr>
                <w:webHidden/>
              </w:rPr>
              <w:t>17</w:t>
            </w:r>
            <w:r>
              <w:rPr>
                <w:webHidden/>
              </w:rPr>
              <w:fldChar w:fldCharType="end"/>
            </w:r>
          </w:hyperlink>
        </w:p>
        <w:p w14:paraId="0DFD7406" w14:textId="6AEF5A77" w:rsidR="00415B5B" w:rsidRDefault="00415B5B">
          <w:pPr>
            <w:pStyle w:val="TOC2"/>
            <w:rPr>
              <w:rFonts w:cstheme="minorBidi"/>
              <w:noProof/>
              <w:kern w:val="2"/>
              <w:sz w:val="24"/>
              <w:szCs w:val="24"/>
              <w:lang w:val="en-IE" w:eastAsia="en-IE"/>
              <w14:ligatures w14:val="standardContextual"/>
            </w:rPr>
          </w:pPr>
          <w:hyperlink w:anchor="_Toc227857271" w:history="1">
            <w:r w:rsidRPr="005237E4">
              <w:rPr>
                <w:rStyle w:val="Hyperlink"/>
                <w:noProof/>
              </w:rPr>
              <w:t>6.1</w:t>
            </w:r>
            <w:r>
              <w:rPr>
                <w:rFonts w:cstheme="minorBidi"/>
                <w:noProof/>
                <w:kern w:val="2"/>
                <w:sz w:val="24"/>
                <w:szCs w:val="24"/>
                <w:lang w:val="en-IE" w:eastAsia="en-IE"/>
                <w14:ligatures w14:val="standardContextual"/>
              </w:rPr>
              <w:tab/>
            </w:r>
            <w:r w:rsidRPr="005237E4">
              <w:rPr>
                <w:rStyle w:val="Hyperlink"/>
                <w:noProof/>
              </w:rPr>
              <w:t>Les tensions sur les marchés au début de la pandémie de COVID-19</w:t>
            </w:r>
            <w:r>
              <w:rPr>
                <w:noProof/>
                <w:webHidden/>
              </w:rPr>
              <w:tab/>
            </w:r>
            <w:r>
              <w:rPr>
                <w:noProof/>
                <w:webHidden/>
              </w:rPr>
              <w:fldChar w:fldCharType="begin"/>
            </w:r>
            <w:r>
              <w:rPr>
                <w:noProof/>
                <w:webHidden/>
              </w:rPr>
              <w:instrText xml:space="preserve"> PAGEREF _Toc227857271 \h </w:instrText>
            </w:r>
            <w:r>
              <w:rPr>
                <w:noProof/>
                <w:webHidden/>
              </w:rPr>
            </w:r>
            <w:r>
              <w:rPr>
                <w:noProof/>
                <w:webHidden/>
              </w:rPr>
              <w:fldChar w:fldCharType="separate"/>
            </w:r>
            <w:r w:rsidR="00E5086A">
              <w:rPr>
                <w:noProof/>
                <w:webHidden/>
              </w:rPr>
              <w:t>17</w:t>
            </w:r>
            <w:r>
              <w:rPr>
                <w:noProof/>
                <w:webHidden/>
              </w:rPr>
              <w:fldChar w:fldCharType="end"/>
            </w:r>
          </w:hyperlink>
        </w:p>
        <w:p w14:paraId="4F58D4CF" w14:textId="573522C4" w:rsidR="00415B5B" w:rsidRDefault="00415B5B">
          <w:pPr>
            <w:pStyle w:val="TOC3"/>
            <w:rPr>
              <w:rFonts w:asciiTheme="minorHAnsi" w:hAnsiTheme="minorHAnsi" w:cstheme="minorBidi"/>
              <w:b w:val="0"/>
              <w:kern w:val="2"/>
              <w:lang w:val="en-IE" w:eastAsia="en-IE"/>
              <w14:ligatures w14:val="standardContextual"/>
            </w:rPr>
          </w:pPr>
          <w:hyperlink w:anchor="_Toc227857272" w:history="1">
            <w:r w:rsidRPr="005237E4">
              <w:rPr>
                <w:rStyle w:val="Hyperlink"/>
                <w:bCs/>
              </w:rPr>
              <w:t>6.1.1</w:t>
            </w:r>
            <w:r>
              <w:rPr>
                <w:rFonts w:asciiTheme="minorHAnsi" w:hAnsiTheme="minorHAnsi" w:cstheme="minorBidi"/>
                <w:b w:val="0"/>
                <w:kern w:val="2"/>
                <w:lang w:val="en-IE" w:eastAsia="en-IE"/>
                <w14:ligatures w14:val="standardContextual"/>
              </w:rPr>
              <w:tab/>
            </w:r>
            <w:r w:rsidRPr="005237E4">
              <w:rPr>
                <w:rStyle w:val="Hyperlink"/>
              </w:rPr>
              <w:t>Incidence globale sur le marché</w:t>
            </w:r>
            <w:r>
              <w:rPr>
                <w:webHidden/>
              </w:rPr>
              <w:tab/>
            </w:r>
            <w:r>
              <w:rPr>
                <w:webHidden/>
              </w:rPr>
              <w:fldChar w:fldCharType="begin"/>
            </w:r>
            <w:r>
              <w:rPr>
                <w:webHidden/>
              </w:rPr>
              <w:instrText xml:space="preserve"> PAGEREF _Toc227857272 \h </w:instrText>
            </w:r>
            <w:r>
              <w:rPr>
                <w:webHidden/>
              </w:rPr>
            </w:r>
            <w:r>
              <w:rPr>
                <w:webHidden/>
              </w:rPr>
              <w:fldChar w:fldCharType="separate"/>
            </w:r>
            <w:r w:rsidR="00E5086A">
              <w:rPr>
                <w:webHidden/>
              </w:rPr>
              <w:t>17</w:t>
            </w:r>
            <w:r>
              <w:rPr>
                <w:webHidden/>
              </w:rPr>
              <w:fldChar w:fldCharType="end"/>
            </w:r>
          </w:hyperlink>
        </w:p>
        <w:p w14:paraId="1DE8DFBE" w14:textId="4DA46A91" w:rsidR="00415B5B" w:rsidRDefault="00415B5B">
          <w:pPr>
            <w:pStyle w:val="TOC3"/>
            <w:rPr>
              <w:rFonts w:asciiTheme="minorHAnsi" w:hAnsiTheme="minorHAnsi" w:cstheme="minorBidi"/>
              <w:b w:val="0"/>
              <w:kern w:val="2"/>
              <w:lang w:val="en-IE" w:eastAsia="en-IE"/>
              <w14:ligatures w14:val="standardContextual"/>
            </w:rPr>
          </w:pPr>
          <w:hyperlink w:anchor="_Toc227857273" w:history="1">
            <w:r w:rsidRPr="005237E4">
              <w:rPr>
                <w:rStyle w:val="Hyperlink"/>
                <w:bCs/>
              </w:rPr>
              <w:t>6.1.2</w:t>
            </w:r>
            <w:r>
              <w:rPr>
                <w:rFonts w:asciiTheme="minorHAnsi" w:hAnsiTheme="minorHAnsi" w:cstheme="minorBidi"/>
                <w:b w:val="0"/>
                <w:kern w:val="2"/>
                <w:lang w:val="en-IE" w:eastAsia="en-IE"/>
                <w14:ligatures w14:val="standardContextual"/>
              </w:rPr>
              <w:tab/>
            </w:r>
            <w:r w:rsidRPr="005237E4">
              <w:rPr>
                <w:rStyle w:val="Hyperlink"/>
              </w:rPr>
              <w:t>Effets et réactions inégaux d’un fonds monétaire à l’autre</w:t>
            </w:r>
            <w:r>
              <w:rPr>
                <w:webHidden/>
              </w:rPr>
              <w:tab/>
            </w:r>
            <w:r>
              <w:rPr>
                <w:webHidden/>
              </w:rPr>
              <w:fldChar w:fldCharType="begin"/>
            </w:r>
            <w:r>
              <w:rPr>
                <w:webHidden/>
              </w:rPr>
              <w:instrText xml:space="preserve"> PAGEREF _Toc227857273 \h </w:instrText>
            </w:r>
            <w:r>
              <w:rPr>
                <w:webHidden/>
              </w:rPr>
            </w:r>
            <w:r>
              <w:rPr>
                <w:webHidden/>
              </w:rPr>
              <w:fldChar w:fldCharType="separate"/>
            </w:r>
            <w:r w:rsidR="00E5086A">
              <w:rPr>
                <w:webHidden/>
              </w:rPr>
              <w:t>17</w:t>
            </w:r>
            <w:r>
              <w:rPr>
                <w:webHidden/>
              </w:rPr>
              <w:fldChar w:fldCharType="end"/>
            </w:r>
          </w:hyperlink>
        </w:p>
        <w:p w14:paraId="09DC4E00" w14:textId="0643E02A" w:rsidR="00415B5B" w:rsidRDefault="00415B5B">
          <w:pPr>
            <w:pStyle w:val="TOC2"/>
            <w:rPr>
              <w:rFonts w:cstheme="minorBidi"/>
              <w:noProof/>
              <w:kern w:val="2"/>
              <w:sz w:val="24"/>
              <w:szCs w:val="24"/>
              <w:lang w:val="en-IE" w:eastAsia="en-IE"/>
              <w14:ligatures w14:val="standardContextual"/>
            </w:rPr>
          </w:pPr>
          <w:hyperlink w:anchor="_Toc227857274" w:history="1">
            <w:r w:rsidRPr="005237E4">
              <w:rPr>
                <w:rStyle w:val="Hyperlink"/>
                <w:noProof/>
              </w:rPr>
              <w:t>6.2</w:t>
            </w:r>
            <w:r>
              <w:rPr>
                <w:rFonts w:cstheme="minorBidi"/>
                <w:noProof/>
                <w:kern w:val="2"/>
                <w:sz w:val="24"/>
                <w:szCs w:val="24"/>
                <w:lang w:val="en-IE" w:eastAsia="en-IE"/>
                <w14:ligatures w14:val="standardContextual"/>
              </w:rPr>
              <w:tab/>
            </w:r>
            <w:r w:rsidRPr="005237E4">
              <w:rPr>
                <w:rStyle w:val="Hyperlink"/>
                <w:noProof/>
              </w:rPr>
              <w:t>L’événement de marché lié aux LDI</w:t>
            </w:r>
            <w:r>
              <w:rPr>
                <w:noProof/>
                <w:webHidden/>
              </w:rPr>
              <w:tab/>
            </w:r>
            <w:r>
              <w:rPr>
                <w:noProof/>
                <w:webHidden/>
              </w:rPr>
              <w:fldChar w:fldCharType="begin"/>
            </w:r>
            <w:r>
              <w:rPr>
                <w:noProof/>
                <w:webHidden/>
              </w:rPr>
              <w:instrText xml:space="preserve"> PAGEREF _Toc227857274 \h </w:instrText>
            </w:r>
            <w:r>
              <w:rPr>
                <w:noProof/>
                <w:webHidden/>
              </w:rPr>
            </w:r>
            <w:r>
              <w:rPr>
                <w:noProof/>
                <w:webHidden/>
              </w:rPr>
              <w:fldChar w:fldCharType="separate"/>
            </w:r>
            <w:r w:rsidR="00E5086A">
              <w:rPr>
                <w:noProof/>
                <w:webHidden/>
              </w:rPr>
              <w:t>18</w:t>
            </w:r>
            <w:r>
              <w:rPr>
                <w:noProof/>
                <w:webHidden/>
              </w:rPr>
              <w:fldChar w:fldCharType="end"/>
            </w:r>
          </w:hyperlink>
        </w:p>
        <w:p w14:paraId="63A8FE89" w14:textId="6AE11ECB" w:rsidR="00415B5B" w:rsidRDefault="00415B5B">
          <w:pPr>
            <w:pStyle w:val="TOC1"/>
            <w:rPr>
              <w:rFonts w:asciiTheme="minorHAnsi" w:hAnsiTheme="minorHAnsi" w:cstheme="minorBidi"/>
              <w:b w:val="0"/>
              <w:bCs w:val="0"/>
              <w:kern w:val="2"/>
              <w:sz w:val="24"/>
              <w:szCs w:val="24"/>
              <w:lang w:val="en-IE" w:eastAsia="en-IE"/>
              <w14:ligatures w14:val="standardContextual"/>
            </w:rPr>
          </w:pPr>
          <w:hyperlink w:anchor="_Toc227857275" w:history="1">
            <w:r w:rsidRPr="005237E4">
              <w:rPr>
                <w:rStyle w:val="Hyperlink"/>
              </w:rPr>
              <w:t>7</w:t>
            </w:r>
            <w:r>
              <w:rPr>
                <w:rFonts w:asciiTheme="minorHAnsi" w:hAnsiTheme="minorHAnsi" w:cstheme="minorBidi"/>
                <w:b w:val="0"/>
                <w:bCs w:val="0"/>
                <w:kern w:val="2"/>
                <w:sz w:val="24"/>
                <w:szCs w:val="24"/>
                <w:lang w:val="en-IE" w:eastAsia="en-IE"/>
                <w14:ligatures w14:val="standardContextual"/>
              </w:rPr>
              <w:tab/>
            </w:r>
            <w:r w:rsidRPr="005237E4">
              <w:rPr>
                <w:rStyle w:val="Hyperlink"/>
              </w:rPr>
              <w:t>ANNEXE III: NIVEAUX DE RÉSILIENCE DU MARCHÉ</w:t>
            </w:r>
            <w:r>
              <w:rPr>
                <w:webHidden/>
              </w:rPr>
              <w:tab/>
            </w:r>
            <w:r>
              <w:rPr>
                <w:webHidden/>
              </w:rPr>
              <w:fldChar w:fldCharType="begin"/>
            </w:r>
            <w:r>
              <w:rPr>
                <w:webHidden/>
              </w:rPr>
              <w:instrText xml:space="preserve"> PAGEREF _Toc227857275 \h </w:instrText>
            </w:r>
            <w:r>
              <w:rPr>
                <w:webHidden/>
              </w:rPr>
            </w:r>
            <w:r>
              <w:rPr>
                <w:webHidden/>
              </w:rPr>
              <w:fldChar w:fldCharType="separate"/>
            </w:r>
            <w:r w:rsidR="00E5086A">
              <w:rPr>
                <w:webHidden/>
              </w:rPr>
              <w:t>21</w:t>
            </w:r>
            <w:r>
              <w:rPr>
                <w:webHidden/>
              </w:rPr>
              <w:fldChar w:fldCharType="end"/>
            </w:r>
          </w:hyperlink>
        </w:p>
        <w:p w14:paraId="6539B1DF" w14:textId="69FF3D32" w:rsidR="00415B5B" w:rsidRDefault="00415B5B">
          <w:pPr>
            <w:pStyle w:val="TOC2"/>
            <w:rPr>
              <w:rFonts w:cstheme="minorBidi"/>
              <w:noProof/>
              <w:kern w:val="2"/>
              <w:sz w:val="24"/>
              <w:szCs w:val="24"/>
              <w:lang w:val="en-IE" w:eastAsia="en-IE"/>
              <w14:ligatures w14:val="standardContextual"/>
            </w:rPr>
          </w:pPr>
          <w:hyperlink w:anchor="_Toc227857276" w:history="1">
            <w:r w:rsidRPr="005237E4">
              <w:rPr>
                <w:rStyle w:val="Hyperlink"/>
                <w:noProof/>
              </w:rPr>
              <w:t>7.1</w:t>
            </w:r>
            <w:r>
              <w:rPr>
                <w:rFonts w:cstheme="minorBidi"/>
                <w:noProof/>
                <w:kern w:val="2"/>
                <w:sz w:val="24"/>
                <w:szCs w:val="24"/>
                <w:lang w:val="en-IE" w:eastAsia="en-IE"/>
                <w14:ligatures w14:val="standardContextual"/>
              </w:rPr>
              <w:tab/>
            </w:r>
            <w:r w:rsidRPr="005237E4">
              <w:rPr>
                <w:rStyle w:val="Hyperlink"/>
                <w:noProof/>
              </w:rPr>
              <w:t>Calibrage des chocs de rachat</w:t>
            </w:r>
            <w:r>
              <w:rPr>
                <w:noProof/>
                <w:webHidden/>
              </w:rPr>
              <w:tab/>
            </w:r>
            <w:r>
              <w:rPr>
                <w:noProof/>
                <w:webHidden/>
              </w:rPr>
              <w:fldChar w:fldCharType="begin"/>
            </w:r>
            <w:r>
              <w:rPr>
                <w:noProof/>
                <w:webHidden/>
              </w:rPr>
              <w:instrText xml:space="preserve"> PAGEREF _Toc227857276 \h </w:instrText>
            </w:r>
            <w:r>
              <w:rPr>
                <w:noProof/>
                <w:webHidden/>
              </w:rPr>
            </w:r>
            <w:r>
              <w:rPr>
                <w:noProof/>
                <w:webHidden/>
              </w:rPr>
              <w:fldChar w:fldCharType="separate"/>
            </w:r>
            <w:r w:rsidR="00E5086A">
              <w:rPr>
                <w:noProof/>
                <w:webHidden/>
              </w:rPr>
              <w:t>21</w:t>
            </w:r>
            <w:r>
              <w:rPr>
                <w:noProof/>
                <w:webHidden/>
              </w:rPr>
              <w:fldChar w:fldCharType="end"/>
            </w:r>
          </w:hyperlink>
        </w:p>
        <w:p w14:paraId="7169ABA0" w14:textId="2846379B" w:rsidR="00415B5B" w:rsidRDefault="00415B5B">
          <w:pPr>
            <w:pStyle w:val="TOC2"/>
            <w:rPr>
              <w:rFonts w:cstheme="minorBidi"/>
              <w:noProof/>
              <w:kern w:val="2"/>
              <w:sz w:val="24"/>
              <w:szCs w:val="24"/>
              <w:lang w:val="en-IE" w:eastAsia="en-IE"/>
              <w14:ligatures w14:val="standardContextual"/>
            </w:rPr>
          </w:pPr>
          <w:hyperlink w:anchor="_Toc227857277" w:history="1">
            <w:r w:rsidRPr="005237E4">
              <w:rPr>
                <w:rStyle w:val="Hyperlink"/>
                <w:noProof/>
              </w:rPr>
              <w:t>7.2</w:t>
            </w:r>
            <w:r>
              <w:rPr>
                <w:rFonts w:cstheme="minorBidi"/>
                <w:noProof/>
                <w:kern w:val="2"/>
                <w:sz w:val="24"/>
                <w:szCs w:val="24"/>
                <w:lang w:val="en-IE" w:eastAsia="en-IE"/>
                <w14:ligatures w14:val="standardContextual"/>
              </w:rPr>
              <w:tab/>
            </w:r>
            <w:r w:rsidRPr="005237E4">
              <w:rPr>
                <w:rStyle w:val="Hyperlink"/>
                <w:noProof/>
              </w:rPr>
              <w:t>Calibrage des «seuils de résilience du marché»</w:t>
            </w:r>
            <w:r>
              <w:rPr>
                <w:noProof/>
                <w:webHidden/>
              </w:rPr>
              <w:tab/>
            </w:r>
            <w:r>
              <w:rPr>
                <w:noProof/>
                <w:webHidden/>
              </w:rPr>
              <w:fldChar w:fldCharType="begin"/>
            </w:r>
            <w:r>
              <w:rPr>
                <w:noProof/>
                <w:webHidden/>
              </w:rPr>
              <w:instrText xml:space="preserve"> PAGEREF _Toc227857277 \h </w:instrText>
            </w:r>
            <w:r>
              <w:rPr>
                <w:noProof/>
                <w:webHidden/>
              </w:rPr>
            </w:r>
            <w:r>
              <w:rPr>
                <w:noProof/>
                <w:webHidden/>
              </w:rPr>
              <w:fldChar w:fldCharType="separate"/>
            </w:r>
            <w:r w:rsidR="00E5086A">
              <w:rPr>
                <w:noProof/>
                <w:webHidden/>
              </w:rPr>
              <w:t>21</w:t>
            </w:r>
            <w:r>
              <w:rPr>
                <w:noProof/>
                <w:webHidden/>
              </w:rPr>
              <w:fldChar w:fldCharType="end"/>
            </w:r>
          </w:hyperlink>
        </w:p>
        <w:p w14:paraId="7CF3428C" w14:textId="7DE9FD60" w:rsidR="00EB7D99" w:rsidRDefault="0E018B52" w:rsidP="00634628">
          <w:pPr>
            <w:pStyle w:val="TOC2"/>
            <w:tabs>
              <w:tab w:val="left" w:pos="660"/>
            </w:tabs>
            <w:rPr>
              <w:rStyle w:val="Hyperlink"/>
              <w:noProof/>
            </w:rPr>
          </w:pPr>
          <w:r>
            <w:rPr>
              <w:noProof/>
            </w:rPr>
            <w:fldChar w:fldCharType="end"/>
          </w:r>
        </w:p>
      </w:sdtContent>
    </w:sdt>
    <w:p w14:paraId="524EFE00" w14:textId="1B4CF849" w:rsidR="0CF9C8C5" w:rsidRPr="00C82DFF" w:rsidRDefault="0CF9C8C5" w:rsidP="0CF9C8C5">
      <w:pPr>
        <w:pStyle w:val="TOC2"/>
        <w:tabs>
          <w:tab w:val="clear" w:pos="9062"/>
          <w:tab w:val="left" w:pos="660"/>
          <w:tab w:val="right" w:leader="dot" w:pos="9060"/>
        </w:tabs>
        <w:rPr>
          <w:rStyle w:val="Hyperlink"/>
          <w:rFonts w:ascii="Times New Roman" w:hAnsi="Times New Roman"/>
          <w:b/>
          <w:bCs/>
          <w:noProof/>
        </w:rPr>
      </w:pPr>
    </w:p>
    <w:p w14:paraId="18B31C8F" w14:textId="4391BDA6" w:rsidR="00836507" w:rsidRPr="00C82DFF" w:rsidRDefault="00836507">
      <w:pPr>
        <w:rPr>
          <w:noProof/>
        </w:rPr>
      </w:pPr>
    </w:p>
    <w:p w14:paraId="21553EB4" w14:textId="0EA4D519" w:rsidR="003C7387" w:rsidRPr="00D255B3" w:rsidRDefault="003C7387" w:rsidP="00D255B3">
      <w:pPr>
        <w:pStyle w:val="Heading1"/>
        <w:numPr>
          <w:ilvl w:val="0"/>
          <w:numId w:val="0"/>
        </w:numPr>
        <w:spacing w:before="360" w:after="360"/>
        <w:rPr>
          <w:rFonts w:ascii="Times New Roman" w:hAnsi="Times New Roman" w:cs="Times New Roman"/>
          <w:b/>
          <w:bCs/>
          <w:noProof/>
          <w:color w:val="auto"/>
          <w:sz w:val="22"/>
          <w:szCs w:val="22"/>
        </w:rPr>
      </w:pPr>
      <w:r>
        <w:rPr>
          <w:noProof/>
        </w:rPr>
        <w:br w:type="page"/>
      </w:r>
      <w:bookmarkStart w:id="9" w:name="_Toc17730530"/>
      <w:bookmarkStart w:id="10" w:name="_Toc227857260"/>
      <w:r>
        <w:rPr>
          <w:rFonts w:ascii="Times New Roman" w:hAnsi="Times New Roman"/>
          <w:b/>
          <w:noProof/>
          <w:color w:val="auto"/>
          <w:sz w:val="22"/>
        </w:rPr>
        <w:lastRenderedPageBreak/>
        <w:t>ABRÉVIATIONS</w:t>
      </w:r>
      <w:bookmarkEnd w:id="9"/>
      <w:bookmarkEnd w:id="10"/>
      <w:bookmarkEnd w:id="8"/>
      <w:r>
        <w:rPr>
          <w:rFonts w:ascii="Times New Roman" w:hAnsi="Times New Roman"/>
          <w:b/>
          <w:noProof/>
          <w:color w:val="auto"/>
          <w:sz w:val="22"/>
        </w:rPr>
        <w:t xml:space="preserve"> </w:t>
      </w:r>
    </w:p>
    <w:p w14:paraId="3916CD48" w14:textId="77777777" w:rsidR="003C7387" w:rsidRPr="00C82DFF" w:rsidRDefault="003C7387" w:rsidP="003C7387">
      <w:pPr>
        <w:spacing w:after="0" w:line="240" w:lineRule="auto"/>
        <w:jc w:val="both"/>
        <w:rPr>
          <w:rFonts w:ascii="Times New Roman" w:eastAsiaTheme="majorEastAsia" w:hAnsi="Times New Roman" w:cs="Times New Roman"/>
          <w:noProof/>
        </w:rPr>
      </w:pPr>
    </w:p>
    <w:p w14:paraId="3ACE1B93" w14:textId="5B513E08" w:rsidR="003C7387" w:rsidRPr="00C82DFF" w:rsidRDefault="00A05D45"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 xml:space="preserve">Directive GFIA </w:t>
      </w:r>
      <w:r>
        <w:rPr>
          <w:noProof/>
        </w:rPr>
        <w:tab/>
      </w:r>
      <w:r>
        <w:rPr>
          <w:rFonts w:ascii="Times New Roman" w:hAnsi="Times New Roman"/>
          <w:noProof/>
        </w:rPr>
        <w:t>Directive sur les gestionnaires de fonds d’investissement alternatifs</w:t>
      </w:r>
    </w:p>
    <w:p w14:paraId="100496C5" w14:textId="55C88C53" w:rsidR="003C7387" w:rsidRPr="00C82DFF" w:rsidRDefault="003C7387" w:rsidP="002E1D5E">
      <w:pPr>
        <w:tabs>
          <w:tab w:val="left" w:pos="1985"/>
        </w:tabs>
        <w:spacing w:after="120" w:line="240" w:lineRule="auto"/>
        <w:ind w:left="1985" w:hanging="1985"/>
        <w:jc w:val="both"/>
        <w:rPr>
          <w:rFonts w:ascii="Times New Roman" w:eastAsia="Times New Roman" w:hAnsi="Times New Roman" w:cs="Times New Roman"/>
          <w:noProof/>
        </w:rPr>
      </w:pPr>
      <w:r>
        <w:rPr>
          <w:rFonts w:ascii="Times New Roman" w:hAnsi="Times New Roman"/>
          <w:noProof/>
        </w:rPr>
        <w:t>Fonds à VLC</w:t>
      </w:r>
      <w:r>
        <w:rPr>
          <w:noProof/>
        </w:rPr>
        <w:tab/>
      </w:r>
      <w:r>
        <w:rPr>
          <w:rFonts w:ascii="Times New Roman" w:hAnsi="Times New Roman"/>
          <w:noProof/>
        </w:rPr>
        <w:t>Fonds monétaire à valeur liquidative constante de dette publique, au sens de l’article 2, point 11, du règlement sur les fonds monétaires</w:t>
      </w:r>
    </w:p>
    <w:p w14:paraId="11D7BA0F" w14:textId="304810B8" w:rsidR="009B758B" w:rsidRPr="00C82DFF" w:rsidRDefault="009B758B"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DLA</w:t>
      </w:r>
      <w:r>
        <w:rPr>
          <w:noProof/>
        </w:rPr>
        <w:tab/>
      </w:r>
      <w:r>
        <w:rPr>
          <w:rFonts w:ascii="Times New Roman" w:hAnsi="Times New Roman"/>
          <w:noProof/>
        </w:rPr>
        <w:t xml:space="preserve">Actifs liquides journaliers, conformément aux exigences énoncées à l’article 24, paragraphe 1, points c) et d), et à l’article 25, paragraphe 1, point c), du règlement sur les fonds monétaires </w:t>
      </w:r>
    </w:p>
    <w:p w14:paraId="1B18B82B" w14:textId="0F97E19F"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 xml:space="preserve">BCE </w:t>
      </w:r>
      <w:r>
        <w:rPr>
          <w:noProof/>
        </w:rPr>
        <w:tab/>
      </w:r>
      <w:r>
        <w:rPr>
          <w:rFonts w:ascii="Times New Roman" w:hAnsi="Times New Roman"/>
          <w:noProof/>
        </w:rPr>
        <w:t>Banque centrale européenne</w:t>
      </w:r>
    </w:p>
    <w:p w14:paraId="1E5E10BB" w14:textId="4C98CB7A" w:rsidR="003C7387" w:rsidRPr="00C82DFF" w:rsidRDefault="00A05D45"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AEMF</w:t>
      </w:r>
      <w:r>
        <w:rPr>
          <w:noProof/>
        </w:rPr>
        <w:tab/>
      </w:r>
      <w:r>
        <w:rPr>
          <w:rFonts w:ascii="Times New Roman" w:hAnsi="Times New Roman"/>
          <w:noProof/>
        </w:rPr>
        <w:t>Autorité européenne des marchés financiers</w:t>
      </w:r>
    </w:p>
    <w:p w14:paraId="19B497E0" w14:textId="6D903E2A"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CERS</w:t>
      </w:r>
      <w:r>
        <w:rPr>
          <w:noProof/>
        </w:rPr>
        <w:tab/>
      </w:r>
      <w:r>
        <w:rPr>
          <w:rFonts w:ascii="Times New Roman" w:hAnsi="Times New Roman"/>
          <w:noProof/>
        </w:rPr>
        <w:t>Comité européen du risque systémique</w:t>
      </w:r>
    </w:p>
    <w:p w14:paraId="403319DB" w14:textId="641ACCEA"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EUR</w:t>
      </w:r>
      <w:r>
        <w:rPr>
          <w:noProof/>
        </w:rPr>
        <w:tab/>
      </w:r>
      <w:r>
        <w:rPr>
          <w:rFonts w:ascii="Times New Roman" w:hAnsi="Times New Roman"/>
          <w:noProof/>
        </w:rPr>
        <w:t>Euro</w:t>
      </w:r>
    </w:p>
    <w:p w14:paraId="0373CA38" w14:textId="3307EA2E"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CSF</w:t>
      </w:r>
      <w:r>
        <w:rPr>
          <w:noProof/>
        </w:rPr>
        <w:tab/>
      </w:r>
      <w:r>
        <w:rPr>
          <w:rFonts w:ascii="Times New Roman" w:hAnsi="Times New Roman"/>
          <w:noProof/>
        </w:rPr>
        <w:t>Conseil de stabilité financière</w:t>
      </w:r>
    </w:p>
    <w:p w14:paraId="0C2169CA" w14:textId="32C63DDC"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GBP</w:t>
      </w:r>
      <w:r>
        <w:rPr>
          <w:noProof/>
        </w:rPr>
        <w:tab/>
      </w:r>
      <w:r>
        <w:rPr>
          <w:rFonts w:ascii="Times New Roman" w:hAnsi="Times New Roman"/>
          <w:noProof/>
        </w:rPr>
        <w:t>Livre sterling</w:t>
      </w:r>
    </w:p>
    <w:p w14:paraId="16C523C0" w14:textId="626236E3" w:rsidR="009A782A" w:rsidRPr="00C82DFF" w:rsidRDefault="009A782A"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LMT</w:t>
      </w:r>
      <w:r>
        <w:rPr>
          <w:noProof/>
        </w:rPr>
        <w:tab/>
      </w:r>
      <w:r>
        <w:rPr>
          <w:rFonts w:ascii="Times New Roman" w:hAnsi="Times New Roman"/>
          <w:noProof/>
        </w:rPr>
        <w:t>Outil de gestion de la liquidité</w:t>
      </w:r>
    </w:p>
    <w:p w14:paraId="78E41AA2" w14:textId="053B86FC"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Fonds à VL à faible volatilité</w:t>
      </w:r>
      <w:r>
        <w:rPr>
          <w:noProof/>
        </w:rPr>
        <w:tab/>
      </w:r>
      <w:r>
        <w:rPr>
          <w:rFonts w:ascii="Times New Roman" w:hAnsi="Times New Roman"/>
          <w:noProof/>
        </w:rPr>
        <w:t>Fonds monétaire à valeur liquidative à faible volatilité, au sens de l’article 2, point 12, du règlement sur les fonds monétaires</w:t>
      </w:r>
    </w:p>
    <w:p w14:paraId="044E01BC" w14:textId="57B61523" w:rsidR="00823E6D" w:rsidRPr="00C82DFF" w:rsidRDefault="00823E6D"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LRM</w:t>
      </w:r>
      <w:r>
        <w:rPr>
          <w:noProof/>
        </w:rPr>
        <w:tab/>
      </w:r>
      <w:r>
        <w:rPr>
          <w:rFonts w:ascii="Times New Roman" w:hAnsi="Times New Roman"/>
          <w:noProof/>
        </w:rPr>
        <w:t>Gestion du risque de liquidité</w:t>
      </w:r>
    </w:p>
    <w:p w14:paraId="61DEB827" w14:textId="5F6AC16F" w:rsidR="003C7387" w:rsidRPr="00C82DFF" w:rsidRDefault="7B5E94B0"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Fonds monétaire</w:t>
      </w:r>
      <w:r>
        <w:rPr>
          <w:noProof/>
        </w:rPr>
        <w:tab/>
      </w:r>
      <w:r>
        <w:rPr>
          <w:rFonts w:ascii="Times New Roman" w:hAnsi="Times New Roman"/>
          <w:noProof/>
        </w:rPr>
        <w:t>L’expression «fonds monétaire» désigne par défaut des fonds domiciliés dans l’UE, sauf indication contraire (par exemple, «fonds monétaires américains»).</w:t>
      </w:r>
    </w:p>
    <w:p w14:paraId="0E52F496" w14:textId="09BC210D" w:rsidR="001E233E" w:rsidRPr="00C82DFF" w:rsidRDefault="001E233E"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Gestionnaire de fonds monétaire</w:t>
      </w:r>
      <w:r>
        <w:rPr>
          <w:noProof/>
        </w:rPr>
        <w:tab/>
      </w:r>
      <w:r>
        <w:rPr>
          <w:rFonts w:ascii="Times New Roman" w:hAnsi="Times New Roman"/>
          <w:noProof/>
        </w:rPr>
        <w:t>Gestionnaire d’un fonds monétaire, au sens de l’article 2, point 23, du règlement sur les fonds monétaires.</w:t>
      </w:r>
    </w:p>
    <w:p w14:paraId="384BA163" w14:textId="03E2D97F"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Règlement sur les fonds monétaires</w:t>
      </w:r>
      <w:r>
        <w:rPr>
          <w:noProof/>
        </w:rPr>
        <w:tab/>
      </w:r>
      <w:r>
        <w:rPr>
          <w:rFonts w:ascii="Times New Roman" w:hAnsi="Times New Roman"/>
          <w:noProof/>
        </w:rPr>
        <w:t xml:space="preserve">Règlement (UE) 2017/1131 sur les fonds monétaires </w:t>
      </w:r>
    </w:p>
    <w:p w14:paraId="487B180C" w14:textId="42F59A85"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VL</w:t>
      </w:r>
      <w:r>
        <w:rPr>
          <w:noProof/>
        </w:rPr>
        <w:tab/>
      </w:r>
      <w:r>
        <w:rPr>
          <w:rFonts w:ascii="Times New Roman" w:hAnsi="Times New Roman"/>
          <w:noProof/>
        </w:rPr>
        <w:t>Valeur liquidative (Net Asset Value, NAV)</w:t>
      </w:r>
    </w:p>
    <w:p w14:paraId="35567055" w14:textId="7F6837C0"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ANC</w:t>
      </w:r>
      <w:r>
        <w:rPr>
          <w:noProof/>
        </w:rPr>
        <w:tab/>
      </w:r>
      <w:r>
        <w:rPr>
          <w:rFonts w:ascii="Times New Roman" w:hAnsi="Times New Roman"/>
          <w:noProof/>
        </w:rPr>
        <w:t>Autorité nationale compétente, qui est l’autorité compétente pour le fonds monétaire, au sens de l’article 2, point 17, du règlement sur les fonds monétaires.</w:t>
      </w:r>
    </w:p>
    <w:p w14:paraId="08EA10A4" w14:textId="6ACDE510" w:rsidR="00D727EB" w:rsidRPr="00C82DFF" w:rsidRDefault="00D727EB"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UEI</w:t>
      </w:r>
      <w:r>
        <w:rPr>
          <w:noProof/>
        </w:rPr>
        <w:tab/>
      </w:r>
      <w:r>
        <w:rPr>
          <w:rFonts w:ascii="Times New Roman" w:hAnsi="Times New Roman"/>
          <w:noProof/>
        </w:rPr>
        <w:t>Union de l’épargne et des investissements, initiative de la Commission européenne visant à créer de meilleures opportunités financières pour les citoyens de l’UE, tout en renforçant la capacité du système financier à mettre en lien l’épargne avec les investissements productifs.</w:t>
      </w:r>
    </w:p>
    <w:p w14:paraId="50203CE7" w14:textId="1F80FEB7"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 xml:space="preserve">USD </w:t>
      </w:r>
      <w:r>
        <w:rPr>
          <w:noProof/>
        </w:rPr>
        <w:tab/>
      </w:r>
      <w:r>
        <w:rPr>
          <w:rFonts w:ascii="Times New Roman" w:hAnsi="Times New Roman"/>
          <w:noProof/>
        </w:rPr>
        <w:t>Dollar des États-Unis</w:t>
      </w:r>
    </w:p>
    <w:p w14:paraId="7FCD4374" w14:textId="5FE1A8C6"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OPCVM</w:t>
      </w:r>
      <w:r>
        <w:rPr>
          <w:noProof/>
        </w:rPr>
        <w:tab/>
      </w:r>
      <w:r>
        <w:rPr>
          <w:rFonts w:ascii="Times New Roman" w:hAnsi="Times New Roman"/>
          <w:noProof/>
        </w:rPr>
        <w:t>Organisme de placement collectif en valeurs mobilières</w:t>
      </w:r>
    </w:p>
    <w:p w14:paraId="00A1BBAB" w14:textId="6A1DA41C"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Fonds à VLV</w:t>
      </w:r>
      <w:r>
        <w:rPr>
          <w:noProof/>
        </w:rPr>
        <w:tab/>
      </w:r>
      <w:r>
        <w:rPr>
          <w:rFonts w:ascii="Times New Roman" w:hAnsi="Times New Roman"/>
          <w:noProof/>
        </w:rPr>
        <w:t>Fonds monétaire à valeur liquidative variable, au sens de l’article 2, point 13, du règlement sur les fonds monétaires</w:t>
      </w:r>
    </w:p>
    <w:p w14:paraId="4A5D86A7" w14:textId="77191FA7" w:rsidR="00FA6F87" w:rsidRPr="00C82DFF" w:rsidRDefault="00FA6F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WAL</w:t>
      </w:r>
      <w:r>
        <w:rPr>
          <w:noProof/>
        </w:rPr>
        <w:tab/>
      </w:r>
      <w:r>
        <w:rPr>
          <w:rFonts w:ascii="Times New Roman" w:hAnsi="Times New Roman"/>
          <w:noProof/>
        </w:rPr>
        <w:t xml:space="preserve">Durée de vie moyenne pondérée, au sens de l’article 2, point 20, du règlement sur les fonds monétaires </w:t>
      </w:r>
    </w:p>
    <w:p w14:paraId="09300A3C" w14:textId="19E04800" w:rsidR="00FA6F87" w:rsidRPr="00C82DFF" w:rsidRDefault="00FA6F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WAM</w:t>
      </w:r>
      <w:r>
        <w:rPr>
          <w:noProof/>
        </w:rPr>
        <w:tab/>
      </w:r>
      <w:r>
        <w:rPr>
          <w:rFonts w:ascii="Times New Roman" w:hAnsi="Times New Roman"/>
          <w:noProof/>
        </w:rPr>
        <w:t xml:space="preserve">Maturité moyenne pondérée, au sens de l’article 2, point 19, du règlement sur les fonds monétaires. </w:t>
      </w:r>
    </w:p>
    <w:p w14:paraId="23C19F43" w14:textId="57B63C02" w:rsidR="00E778C2" w:rsidRPr="00C82DFF" w:rsidRDefault="00E778C2"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WLA</w:t>
      </w:r>
      <w:r>
        <w:rPr>
          <w:noProof/>
        </w:rPr>
        <w:tab/>
      </w:r>
      <w:r>
        <w:rPr>
          <w:rFonts w:ascii="Times New Roman" w:hAnsi="Times New Roman"/>
          <w:noProof/>
        </w:rPr>
        <w:t>Actifs liquides hebdomadaires, conformément aux exigences énoncées à l’article 24, paragraphe 1, points e) et f), et à l’article 25, paragraphe 1, point d), du règlement sur les fonds monétaires</w:t>
      </w:r>
    </w:p>
    <w:p w14:paraId="42BA3D95" w14:textId="09623BF5" w:rsidR="003C7387" w:rsidRPr="00C82DFF" w:rsidRDefault="003C7387" w:rsidP="00E5086A">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Rapport 2023 sur les fonds monétaires</w:t>
      </w:r>
      <w:r>
        <w:rPr>
          <w:noProof/>
        </w:rPr>
        <w:tab/>
      </w:r>
      <w:r>
        <w:rPr>
          <w:rFonts w:ascii="Times New Roman" w:hAnsi="Times New Roman"/>
          <w:noProof/>
        </w:rPr>
        <w:t>Rapport de la Commission au Parlement européen et au Conseil concernant l’adéquation, d’un point de vue prudentiel et économique, du règlement (UE) 2017/1131 du Parlement européen et du Conseil sur les fonds monétaires [COM(2023) 452]</w:t>
      </w:r>
      <w:r>
        <w:rPr>
          <w:noProof/>
        </w:rPr>
        <w:br w:type="page"/>
      </w:r>
    </w:p>
    <w:p w14:paraId="4C82D5AE" w14:textId="48F66186" w:rsidR="00811D7C" w:rsidRPr="00694C8B" w:rsidRDefault="00A05E3A" w:rsidP="002E1D5E">
      <w:pPr>
        <w:pStyle w:val="Heading1"/>
        <w:spacing w:after="240"/>
        <w:ind w:left="431" w:hanging="431"/>
        <w:rPr>
          <w:rFonts w:ascii="Times New Roman" w:hAnsi="Times New Roman" w:cs="Times New Roman"/>
          <w:b/>
          <w:bCs/>
          <w:noProof/>
          <w:color w:val="auto"/>
          <w:sz w:val="22"/>
          <w:szCs w:val="22"/>
        </w:rPr>
      </w:pPr>
      <w:bookmarkStart w:id="11" w:name="_Toc227857261"/>
      <w:r>
        <w:rPr>
          <w:rFonts w:ascii="Times New Roman" w:hAnsi="Times New Roman"/>
          <w:b/>
          <w:noProof/>
          <w:color w:val="auto"/>
          <w:sz w:val="22"/>
        </w:rPr>
        <w:lastRenderedPageBreak/>
        <w:t>INTRODUCTION</w:t>
      </w:r>
      <w:bookmarkEnd w:id="1"/>
      <w:bookmarkEnd w:id="2"/>
      <w:bookmarkEnd w:id="3"/>
      <w:bookmarkEnd w:id="4"/>
      <w:bookmarkEnd w:id="11"/>
      <w:r>
        <w:rPr>
          <w:rFonts w:ascii="Times New Roman" w:hAnsi="Times New Roman"/>
          <w:b/>
          <w:noProof/>
          <w:color w:val="auto"/>
          <w:sz w:val="22"/>
        </w:rPr>
        <w:t xml:space="preserve"> </w:t>
      </w:r>
      <w:bookmarkEnd w:id="5"/>
      <w:bookmarkEnd w:id="6"/>
    </w:p>
    <w:p w14:paraId="1A0DB5EF" w14:textId="1C4BEB8A" w:rsidR="00322388" w:rsidRPr="00C82DFF" w:rsidRDefault="23972DB5" w:rsidP="77FDB47A">
      <w:pPr>
        <w:spacing w:after="240" w:line="280" w:lineRule="atLeast"/>
        <w:jc w:val="both"/>
        <w:rPr>
          <w:rFonts w:ascii="Times New Roman" w:hAnsi="Times New Roman" w:cs="Times New Roman"/>
          <w:noProof/>
        </w:rPr>
      </w:pPr>
      <w:r>
        <w:rPr>
          <w:rFonts w:ascii="Times New Roman" w:hAnsi="Times New Roman"/>
          <w:noProof/>
        </w:rPr>
        <w:t xml:space="preserve">Les fonds monétaires jouent un rôle clé dans le système financier en tant qu’instruments de gestion de trésorerie pour les entreprises et en tant que possibilité de placement pour les investisseurs à la recherche d’investissements à faible volatilité offrant des rendements plus élevés que les dépôts bancaires. L’augmentation des actifs des fonds monétaires de l’UE au cours des cinq dernières années (+ 45 % entre 2019 et 2024) témoigne du succès du cadre. Fin 2024, l’UE comptait 455 fonds monétaires, qui détenaient environ 1 950 milliards d’EUR d’actifs au total. Les fonds monétaires de l’UE sont principalement établis en Irlande, au Luxembourg et en France. En conséquence, les fonds monétaires de l’UE constituent un instrument d’investissement réglementé qui contribue à diversifier les possibilités de placement et la gestion des risques, conformément aux objectifs de l’union de l’épargne et des investissements (UEI). Ils offrent également aux entreprises de l’UE des options de financement supplémentaires, ce qui leur permet de se développer, d’innover et de créer des emplois. </w:t>
      </w:r>
    </w:p>
    <w:p w14:paraId="46880D7B" w14:textId="4E796807" w:rsidR="003B1A44" w:rsidRPr="00C82DFF" w:rsidRDefault="003B1A44" w:rsidP="00EB31F9">
      <w:pPr>
        <w:spacing w:after="0" w:line="240" w:lineRule="auto"/>
        <w:jc w:val="both"/>
        <w:rPr>
          <w:rFonts w:ascii="Times New Roman" w:hAnsi="Times New Roman" w:cs="Times New Roman"/>
          <w:noProof/>
          <w:highlight w:val="yellow"/>
        </w:rPr>
      </w:pPr>
      <w:r>
        <w:rPr>
          <w:rFonts w:ascii="Times New Roman" w:hAnsi="Times New Roman"/>
          <w:noProof/>
          <w:lang w:val="en-GB" w:eastAsia="en-GB"/>
        </w:rPr>
        <w:drawing>
          <wp:inline distT="0" distB="0" distL="0" distR="0" wp14:anchorId="2401A902" wp14:editId="3180C8CA">
            <wp:extent cx="5253487" cy="1535502"/>
            <wp:effectExtent l="0" t="0" r="23495" b="7620"/>
            <wp:docPr id="182337344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9B58279" w14:textId="7E1E5F15" w:rsidR="00EB31F9" w:rsidRPr="00C82DFF" w:rsidRDefault="003B1A44" w:rsidP="0045634D">
      <w:pPr>
        <w:spacing w:after="0" w:line="240" w:lineRule="auto"/>
        <w:jc w:val="both"/>
        <w:rPr>
          <w:rFonts w:ascii="Times New Roman" w:hAnsi="Times New Roman" w:cs="Times New Roman"/>
          <w:noProof/>
        </w:rPr>
      </w:pPr>
      <w:r>
        <w:rPr>
          <w:rFonts w:ascii="Times New Roman" w:hAnsi="Times New Roman"/>
          <w:noProof/>
          <w:sz w:val="20"/>
        </w:rPr>
        <w:t>Source: AEMF, marché des fonds monétaires de l’UE 2023, et données du quatrième trimestre 2024</w:t>
      </w:r>
    </w:p>
    <w:p w14:paraId="2CB416A2" w14:textId="77777777" w:rsidR="0045634D" w:rsidRPr="00C82DFF" w:rsidRDefault="0045634D" w:rsidP="0045634D">
      <w:pPr>
        <w:spacing w:after="0" w:line="240" w:lineRule="auto"/>
        <w:jc w:val="both"/>
        <w:rPr>
          <w:rFonts w:ascii="Times New Roman" w:hAnsi="Times New Roman" w:cs="Times New Roman"/>
          <w:noProof/>
        </w:rPr>
      </w:pPr>
    </w:p>
    <w:p w14:paraId="0D6D584F" w14:textId="77777777" w:rsidR="00D372AD" w:rsidRDefault="00F161B2" w:rsidP="00D04526">
      <w:pPr>
        <w:spacing w:after="240" w:line="280" w:lineRule="atLeast"/>
        <w:jc w:val="both"/>
        <w:rPr>
          <w:rFonts w:ascii="Times New Roman" w:eastAsia="Times New Roman" w:hAnsi="Times New Roman" w:cs="Times New Roman"/>
          <w:noProof/>
        </w:rPr>
      </w:pPr>
      <w:r>
        <w:rPr>
          <w:rFonts w:ascii="Times New Roman" w:hAnsi="Times New Roman"/>
          <w:noProof/>
        </w:rPr>
        <w:t>En 2018, le règlement sur les fonds monétaires est entré en vigueur et a mis en place un cadre réglementaire et de surveillance complet pour les fonds monétaires de l’UE, qui «</w:t>
      </w:r>
      <w:r>
        <w:rPr>
          <w:rFonts w:ascii="Times New Roman" w:hAnsi="Times New Roman"/>
          <w:i/>
          <w:noProof/>
        </w:rPr>
        <w:t>apportent des financements à court terme aux établissements financiers, aux entreprises et aux administrations publiques</w:t>
      </w:r>
      <w:r>
        <w:rPr>
          <w:rFonts w:ascii="Times New Roman" w:hAnsi="Times New Roman"/>
          <w:noProof/>
        </w:rPr>
        <w:t xml:space="preserve"> [et] </w:t>
      </w:r>
      <w:r>
        <w:rPr>
          <w:rFonts w:ascii="Times New Roman" w:hAnsi="Times New Roman"/>
          <w:i/>
          <w:noProof/>
        </w:rPr>
        <w:t>contribuent au financement de l’économie de l’Union</w:t>
      </w:r>
      <w:r>
        <w:rPr>
          <w:rFonts w:ascii="Times New Roman" w:hAnsi="Times New Roman"/>
          <w:noProof/>
        </w:rPr>
        <w:t xml:space="preserve">» (considérant 1 du règlement sur les fonds monétaires). </w:t>
      </w:r>
    </w:p>
    <w:p w14:paraId="15D61718" w14:textId="663C02B5" w:rsidR="00D372AD" w:rsidRDefault="6ECB4D09" w:rsidP="00D04526">
      <w:pPr>
        <w:spacing w:after="240" w:line="280" w:lineRule="atLeast"/>
        <w:jc w:val="both"/>
        <w:rPr>
          <w:rFonts w:ascii="Times New Roman" w:eastAsia="Times New Roman" w:hAnsi="Times New Roman" w:cs="Times New Roman"/>
          <w:noProof/>
        </w:rPr>
      </w:pPr>
      <w:r>
        <w:rPr>
          <w:rFonts w:ascii="Times New Roman" w:hAnsi="Times New Roman"/>
          <w:noProof/>
        </w:rPr>
        <w:t>La directive GFIA et la directive OPCVM ont été révisées afin d’instaurer un cadre renforcé et plus harmonisé pour la gestion du risque de liquidité, notamment en imposant aux gestionnaires de sélectionner et de mettre en œuvre au moins un outil de gestion de la liquidité parmi une liste prescrite. Applicable à partir du 16 avril 2026, ce cadre améliore la cohérence entre les fonds et renforce la stabilité financière globale.</w:t>
      </w:r>
    </w:p>
    <w:p w14:paraId="6B498800" w14:textId="625FA561" w:rsidR="002E1D5E" w:rsidRDefault="222749A3" w:rsidP="00D04526">
      <w:pPr>
        <w:spacing w:after="240" w:line="280" w:lineRule="atLeast"/>
        <w:jc w:val="both"/>
        <w:rPr>
          <w:rFonts w:ascii="Times New Roman" w:eastAsia="Times New Roman" w:hAnsi="Times New Roman" w:cs="Times New Roman"/>
          <w:noProof/>
        </w:rPr>
      </w:pPr>
      <w:r>
        <w:rPr>
          <w:rFonts w:ascii="Times New Roman" w:hAnsi="Times New Roman"/>
          <w:noProof/>
        </w:rPr>
        <w:t>Le règlement sur les fonds monétaires fournit un cadre harmonisé pour renforcer la résilience du secteur et atténuer le risque systémique, ses dispositions portant, entre autres, sur les actifs éligibles, la composition des portefeuilles, la valorisation, la gestion des risques, l’interdiction de l’effet de levier, la transparence et l’établissement de rapports. Les exigences relatives à la composition des portefeuilles constituent un pilier central du règlement sur les fonds monétaires. Il s’agit notamment de dispositions visant à garantir la liquidité des fonds monétaires, telles que des dispositions relatives aux coussins de liquidité et des dispositions décrivant le rôle et les obligations du gestionnaire de fonds monétaire (concernant par exemple les limites relatives à l’échéance et la qualité de crédit</w:t>
      </w:r>
      <w:r>
        <w:rPr>
          <w:rStyle w:val="FootnoteReference"/>
          <w:rFonts w:ascii="Times New Roman" w:hAnsi="Times New Roman" w:cs="Times New Roman"/>
          <w:noProof/>
        </w:rPr>
        <w:footnoteReference w:id="3"/>
      </w:r>
      <w:r>
        <w:rPr>
          <w:rFonts w:ascii="Times New Roman" w:hAnsi="Times New Roman"/>
          <w:noProof/>
        </w:rPr>
        <w:t xml:space="preserve">, voir ci-dessous). Les différents types de fonds monétaires de l’UE ainsi que leurs principales caractéristiques et exigences réglementaires sont présentés dans le tableau 1. Celui-ci indique les seuils réglementaires minimaux pour les actifs liquides journaliers (DLA) et hebdomadaires (WLA) que les fonds monétaires doivent détenir. Les seuils minimaux prévus dans le règlement sur les fonds monétaires visent à garantir, en </w:t>
      </w:r>
      <w:r>
        <w:rPr>
          <w:rFonts w:ascii="Times New Roman" w:hAnsi="Times New Roman"/>
          <w:noProof/>
        </w:rPr>
        <w:lastRenderedPageBreak/>
        <w:t xml:space="preserve">combinaison avec d’autres garde-fous, que les fonds monétaires sont en mesure d’honorer les demandes de rachat des investisseurs au fil du temps. </w:t>
      </w:r>
    </w:p>
    <w:p w14:paraId="1C97D210" w14:textId="7C61751F" w:rsidR="00F609C8" w:rsidRPr="002E1D5E" w:rsidRDefault="002E1D5E" w:rsidP="002E1D5E">
      <w:pPr>
        <w:rPr>
          <w:rFonts w:ascii="Times New Roman" w:eastAsia="Times New Roman" w:hAnsi="Times New Roman" w:cs="Times New Roman"/>
          <w:noProof/>
        </w:rPr>
      </w:pPr>
      <w:r>
        <w:rPr>
          <w:noProof/>
        </w:rPr>
        <w:br w:type="page"/>
      </w:r>
    </w:p>
    <w:p w14:paraId="74FA7938" w14:textId="464467C9" w:rsidR="00A51D78" w:rsidRPr="000530BA" w:rsidRDefault="00A51D78" w:rsidP="00A51D78">
      <w:pPr>
        <w:spacing w:after="240" w:line="240" w:lineRule="auto"/>
        <w:jc w:val="both"/>
        <w:rPr>
          <w:rFonts w:ascii="Times New Roman" w:hAnsi="Times New Roman" w:cs="Times New Roman"/>
          <w:b/>
          <w:noProof/>
        </w:rPr>
      </w:pPr>
      <w:r>
        <w:rPr>
          <w:rFonts w:ascii="Times New Roman" w:hAnsi="Times New Roman"/>
          <w:b/>
          <w:noProof/>
        </w:rPr>
        <w:lastRenderedPageBreak/>
        <w:t xml:space="preserve">Tableau 1: Exigences et caractéristiques clés des fonds monétaires de l’UE </w:t>
      </w:r>
    </w:p>
    <w:tbl>
      <w:tblPr>
        <w:tblStyle w:val="TableGrid"/>
        <w:tblW w:w="93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594"/>
        <w:gridCol w:w="1204"/>
        <w:gridCol w:w="2012"/>
        <w:gridCol w:w="1391"/>
        <w:gridCol w:w="3107"/>
      </w:tblGrid>
      <w:tr w:rsidR="00A51D78" w:rsidRPr="00A51D78" w14:paraId="35548AE7" w14:textId="77777777" w:rsidTr="005B2BDE">
        <w:trPr>
          <w:trHeight w:val="453"/>
        </w:trPr>
        <w:tc>
          <w:tcPr>
            <w:tcW w:w="1594" w:type="dxa"/>
            <w:shd w:val="clear" w:color="auto" w:fill="FFFFFF" w:themeFill="background1"/>
            <w:vAlign w:val="center"/>
          </w:tcPr>
          <w:p w14:paraId="48095BA5" w14:textId="77777777" w:rsidR="00A51D78" w:rsidRPr="005B2BDE" w:rsidRDefault="00A51D78">
            <w:pPr>
              <w:jc w:val="center"/>
              <w:rPr>
                <w:rFonts w:ascii="Times New Roman" w:hAnsi="Times New Roman" w:cs="Times New Roman"/>
                <w:b/>
                <w:bCs/>
                <w:noProof/>
              </w:rPr>
            </w:pPr>
          </w:p>
        </w:tc>
        <w:tc>
          <w:tcPr>
            <w:tcW w:w="4607" w:type="dxa"/>
            <w:gridSpan w:val="3"/>
            <w:shd w:val="clear" w:color="auto" w:fill="365F91" w:themeFill="accent1" w:themeFillShade="BF"/>
            <w:vAlign w:val="center"/>
          </w:tcPr>
          <w:p w14:paraId="2A0D9DFD" w14:textId="77777777" w:rsidR="00A51D78" w:rsidRPr="005B2BDE" w:rsidRDefault="00A51D78">
            <w:pPr>
              <w:jc w:val="center"/>
              <w:rPr>
                <w:rFonts w:ascii="Times New Roman" w:hAnsi="Times New Roman" w:cs="Times New Roman"/>
                <w:b/>
                <w:bCs/>
                <w:noProof/>
                <w:color w:val="FFFFFF" w:themeColor="background1"/>
              </w:rPr>
            </w:pPr>
            <w:r>
              <w:rPr>
                <w:rFonts w:ascii="Times New Roman" w:hAnsi="Times New Roman"/>
                <w:b/>
                <w:noProof/>
                <w:color w:val="FFFFFF" w:themeColor="background1"/>
              </w:rPr>
              <w:t>Fonds monétaires à court terme</w:t>
            </w:r>
          </w:p>
        </w:tc>
        <w:tc>
          <w:tcPr>
            <w:tcW w:w="3107" w:type="dxa"/>
            <w:shd w:val="clear" w:color="auto" w:fill="7030A0"/>
            <w:vAlign w:val="center"/>
          </w:tcPr>
          <w:p w14:paraId="6772AC9A" w14:textId="77777777" w:rsidR="00A51D78" w:rsidRPr="005B2BDE" w:rsidRDefault="00A51D78">
            <w:pPr>
              <w:jc w:val="center"/>
              <w:rPr>
                <w:rFonts w:ascii="Times New Roman" w:hAnsi="Times New Roman" w:cs="Times New Roman"/>
                <w:b/>
                <w:bCs/>
                <w:noProof/>
                <w:color w:val="FFFFFF" w:themeColor="background1"/>
              </w:rPr>
            </w:pPr>
            <w:r>
              <w:rPr>
                <w:rFonts w:ascii="Times New Roman" w:hAnsi="Times New Roman"/>
                <w:b/>
                <w:noProof/>
                <w:color w:val="FFFFFF" w:themeColor="background1"/>
              </w:rPr>
              <w:t>Fonds monétaires standard</w:t>
            </w:r>
          </w:p>
        </w:tc>
      </w:tr>
      <w:tr w:rsidR="00A51D78" w:rsidRPr="00A51D78" w14:paraId="082263E5" w14:textId="77777777" w:rsidTr="00B24626">
        <w:trPr>
          <w:trHeight w:val="429"/>
        </w:trPr>
        <w:tc>
          <w:tcPr>
            <w:tcW w:w="1594" w:type="dxa"/>
            <w:shd w:val="clear" w:color="auto" w:fill="FFFFFF" w:themeFill="background1"/>
            <w:vAlign w:val="center"/>
          </w:tcPr>
          <w:p w14:paraId="07619C88" w14:textId="77777777" w:rsidR="00A51D78" w:rsidRPr="005B2BDE" w:rsidRDefault="00A51D78">
            <w:pPr>
              <w:jc w:val="center"/>
              <w:rPr>
                <w:rFonts w:ascii="Times New Roman" w:hAnsi="Times New Roman" w:cs="Times New Roman"/>
                <w:b/>
                <w:noProof/>
              </w:rPr>
            </w:pPr>
          </w:p>
        </w:tc>
        <w:tc>
          <w:tcPr>
            <w:tcW w:w="3216" w:type="dxa"/>
            <w:gridSpan w:val="2"/>
            <w:shd w:val="clear" w:color="auto" w:fill="95B3D7" w:themeFill="accent1" w:themeFillTint="99"/>
            <w:vAlign w:val="center"/>
          </w:tcPr>
          <w:p w14:paraId="46BED45D" w14:textId="77777777" w:rsidR="00A51D78" w:rsidRPr="005B2BDE" w:rsidRDefault="00A51D78">
            <w:pPr>
              <w:jc w:val="center"/>
              <w:rPr>
                <w:rFonts w:ascii="Times New Roman" w:hAnsi="Times New Roman" w:cs="Times New Roman"/>
                <w:b/>
                <w:noProof/>
              </w:rPr>
            </w:pPr>
            <w:r>
              <w:rPr>
                <w:rFonts w:ascii="Times New Roman" w:hAnsi="Times New Roman"/>
                <w:b/>
                <w:noProof/>
              </w:rPr>
              <w:t>Valeur liquidative stable</w:t>
            </w:r>
          </w:p>
        </w:tc>
        <w:tc>
          <w:tcPr>
            <w:tcW w:w="4498" w:type="dxa"/>
            <w:gridSpan w:val="2"/>
            <w:shd w:val="clear" w:color="auto" w:fill="C59CE6"/>
            <w:vAlign w:val="center"/>
          </w:tcPr>
          <w:p w14:paraId="21E5CE27" w14:textId="77777777" w:rsidR="00A51D78" w:rsidRPr="005B2BDE" w:rsidRDefault="00A51D78">
            <w:pPr>
              <w:jc w:val="center"/>
              <w:rPr>
                <w:rFonts w:ascii="Times New Roman" w:hAnsi="Times New Roman" w:cs="Times New Roman"/>
                <w:b/>
                <w:noProof/>
              </w:rPr>
            </w:pPr>
            <w:r>
              <w:rPr>
                <w:rFonts w:ascii="Times New Roman" w:hAnsi="Times New Roman"/>
                <w:b/>
                <w:noProof/>
              </w:rPr>
              <w:t>Valeur liquidative variable (VLV)</w:t>
            </w:r>
          </w:p>
        </w:tc>
      </w:tr>
      <w:tr w:rsidR="00A51D78" w:rsidRPr="00A51D78" w14:paraId="09AF05DE" w14:textId="77777777" w:rsidTr="00B24626">
        <w:trPr>
          <w:trHeight w:val="549"/>
        </w:trPr>
        <w:tc>
          <w:tcPr>
            <w:tcW w:w="1594" w:type="dxa"/>
            <w:shd w:val="clear" w:color="auto" w:fill="BFBFBF" w:themeFill="background1" w:themeFillShade="BF"/>
            <w:vAlign w:val="center"/>
          </w:tcPr>
          <w:p w14:paraId="2A5F04BC" w14:textId="77777777" w:rsidR="00A51D78" w:rsidRPr="005B2BDE" w:rsidRDefault="00A51D78">
            <w:pPr>
              <w:jc w:val="center"/>
              <w:rPr>
                <w:rFonts w:ascii="Times New Roman" w:hAnsi="Times New Roman" w:cs="Times New Roman"/>
                <w:b/>
                <w:noProof/>
              </w:rPr>
            </w:pPr>
            <w:r>
              <w:rPr>
                <w:rFonts w:ascii="Times New Roman" w:hAnsi="Times New Roman"/>
                <w:b/>
                <w:noProof/>
              </w:rPr>
              <w:t>Exigences</w:t>
            </w:r>
          </w:p>
        </w:tc>
        <w:tc>
          <w:tcPr>
            <w:tcW w:w="1204" w:type="dxa"/>
            <w:shd w:val="clear" w:color="auto" w:fill="BFBFBF" w:themeFill="background1" w:themeFillShade="BF"/>
            <w:vAlign w:val="center"/>
          </w:tcPr>
          <w:p w14:paraId="1A457126" w14:textId="77777777" w:rsidR="00A51D78" w:rsidRPr="005B2BDE" w:rsidRDefault="00A51D78">
            <w:pPr>
              <w:jc w:val="center"/>
              <w:rPr>
                <w:rFonts w:ascii="Times New Roman" w:hAnsi="Times New Roman" w:cs="Times New Roman"/>
                <w:b/>
                <w:noProof/>
              </w:rPr>
            </w:pPr>
            <w:r>
              <w:rPr>
                <w:rFonts w:ascii="Times New Roman" w:hAnsi="Times New Roman"/>
                <w:b/>
                <w:noProof/>
              </w:rPr>
              <w:t>VLC</w:t>
            </w:r>
          </w:p>
        </w:tc>
        <w:tc>
          <w:tcPr>
            <w:tcW w:w="2012" w:type="dxa"/>
            <w:shd w:val="clear" w:color="auto" w:fill="BFBFBF" w:themeFill="background1" w:themeFillShade="BF"/>
            <w:vAlign w:val="center"/>
          </w:tcPr>
          <w:p w14:paraId="751271E7" w14:textId="77777777" w:rsidR="00A51D78" w:rsidRPr="005B2BDE" w:rsidRDefault="00A51D78">
            <w:pPr>
              <w:jc w:val="center"/>
              <w:rPr>
                <w:rFonts w:ascii="Times New Roman" w:hAnsi="Times New Roman" w:cs="Times New Roman"/>
                <w:b/>
                <w:noProof/>
              </w:rPr>
            </w:pPr>
            <w:r>
              <w:rPr>
                <w:rFonts w:ascii="Times New Roman" w:hAnsi="Times New Roman"/>
                <w:b/>
                <w:noProof/>
              </w:rPr>
              <w:t>VL à faible volatilité</w:t>
            </w:r>
          </w:p>
        </w:tc>
        <w:tc>
          <w:tcPr>
            <w:tcW w:w="1391" w:type="dxa"/>
            <w:shd w:val="clear" w:color="auto" w:fill="BFBFBF" w:themeFill="background1" w:themeFillShade="BF"/>
            <w:vAlign w:val="center"/>
          </w:tcPr>
          <w:p w14:paraId="5FA8A679" w14:textId="77777777" w:rsidR="00A51D78" w:rsidRPr="005B2BDE" w:rsidRDefault="00A51D78">
            <w:pPr>
              <w:jc w:val="center"/>
              <w:rPr>
                <w:rFonts w:ascii="Times New Roman" w:hAnsi="Times New Roman" w:cs="Times New Roman"/>
                <w:b/>
                <w:noProof/>
              </w:rPr>
            </w:pPr>
            <w:r>
              <w:rPr>
                <w:rFonts w:ascii="Times New Roman" w:hAnsi="Times New Roman"/>
                <w:b/>
                <w:noProof/>
              </w:rPr>
              <w:t>VLV à court terme</w:t>
            </w:r>
          </w:p>
        </w:tc>
        <w:tc>
          <w:tcPr>
            <w:tcW w:w="3107" w:type="dxa"/>
            <w:shd w:val="clear" w:color="auto" w:fill="BFBFBF" w:themeFill="background1" w:themeFillShade="BF"/>
            <w:vAlign w:val="center"/>
          </w:tcPr>
          <w:p w14:paraId="64075E06" w14:textId="77777777" w:rsidR="00A51D78" w:rsidRPr="005B2BDE" w:rsidRDefault="00A51D78">
            <w:pPr>
              <w:jc w:val="center"/>
              <w:rPr>
                <w:rFonts w:ascii="Times New Roman" w:hAnsi="Times New Roman" w:cs="Times New Roman"/>
                <w:b/>
                <w:noProof/>
              </w:rPr>
            </w:pPr>
            <w:r>
              <w:rPr>
                <w:rFonts w:ascii="Times New Roman" w:hAnsi="Times New Roman"/>
                <w:b/>
                <w:noProof/>
              </w:rPr>
              <w:t>VLV standard</w:t>
            </w:r>
          </w:p>
        </w:tc>
      </w:tr>
      <w:tr w:rsidR="00A51D78" w:rsidRPr="00A51D78" w14:paraId="22CFA79B" w14:textId="77777777" w:rsidTr="005B2BDE">
        <w:trPr>
          <w:trHeight w:val="445"/>
        </w:trPr>
        <w:tc>
          <w:tcPr>
            <w:tcW w:w="1594" w:type="dxa"/>
            <w:shd w:val="clear" w:color="auto" w:fill="D9D9D9" w:themeFill="background1" w:themeFillShade="D9"/>
            <w:vAlign w:val="center"/>
          </w:tcPr>
          <w:p w14:paraId="1A80C887" w14:textId="77777777" w:rsidR="00A51D78" w:rsidRPr="005B2BDE" w:rsidRDefault="00A51D78">
            <w:pPr>
              <w:jc w:val="center"/>
              <w:rPr>
                <w:rFonts w:ascii="Times New Roman" w:hAnsi="Times New Roman" w:cs="Times New Roman"/>
                <w:b/>
                <w:bCs/>
                <w:noProof/>
              </w:rPr>
            </w:pPr>
            <w:r>
              <w:rPr>
                <w:rFonts w:ascii="Times New Roman" w:hAnsi="Times New Roman"/>
                <w:b/>
                <w:noProof/>
              </w:rPr>
              <w:t>WAM</w:t>
            </w:r>
          </w:p>
        </w:tc>
        <w:tc>
          <w:tcPr>
            <w:tcW w:w="4607" w:type="dxa"/>
            <w:gridSpan w:val="3"/>
            <w:shd w:val="clear" w:color="auto" w:fill="D9D9D9" w:themeFill="background1" w:themeFillShade="D9"/>
            <w:vAlign w:val="center"/>
          </w:tcPr>
          <w:p w14:paraId="5999A355" w14:textId="77777777" w:rsidR="00A51D78" w:rsidRPr="005B2BDE" w:rsidRDefault="00A51D78">
            <w:pPr>
              <w:jc w:val="center"/>
              <w:rPr>
                <w:rFonts w:ascii="Times New Roman" w:hAnsi="Times New Roman" w:cs="Times New Roman"/>
                <w:noProof/>
              </w:rPr>
            </w:pPr>
            <w:r>
              <w:rPr>
                <w:rFonts w:ascii="Times New Roman" w:hAnsi="Times New Roman"/>
                <w:noProof/>
              </w:rPr>
              <w:t>Max. 60 jours</w:t>
            </w:r>
          </w:p>
        </w:tc>
        <w:tc>
          <w:tcPr>
            <w:tcW w:w="3107" w:type="dxa"/>
            <w:shd w:val="clear" w:color="auto" w:fill="D9D9D9" w:themeFill="background1" w:themeFillShade="D9"/>
            <w:vAlign w:val="center"/>
          </w:tcPr>
          <w:p w14:paraId="761BC7DF" w14:textId="77777777" w:rsidR="00A51D78" w:rsidRPr="005B2BDE" w:rsidRDefault="00A51D78">
            <w:pPr>
              <w:jc w:val="center"/>
              <w:rPr>
                <w:rFonts w:ascii="Times New Roman" w:hAnsi="Times New Roman" w:cs="Times New Roman"/>
                <w:noProof/>
              </w:rPr>
            </w:pPr>
            <w:r>
              <w:rPr>
                <w:rFonts w:ascii="Times New Roman" w:hAnsi="Times New Roman"/>
                <w:noProof/>
              </w:rPr>
              <w:t>Max. 6 mois</w:t>
            </w:r>
          </w:p>
        </w:tc>
      </w:tr>
      <w:tr w:rsidR="00A51D78" w:rsidRPr="00A51D78" w14:paraId="1C1425A6" w14:textId="77777777" w:rsidTr="005B2BDE">
        <w:trPr>
          <w:trHeight w:val="445"/>
        </w:trPr>
        <w:tc>
          <w:tcPr>
            <w:tcW w:w="1594" w:type="dxa"/>
            <w:shd w:val="clear" w:color="auto" w:fill="D9D9D9" w:themeFill="background1" w:themeFillShade="D9"/>
            <w:vAlign w:val="center"/>
          </w:tcPr>
          <w:p w14:paraId="135DA6E0" w14:textId="77777777" w:rsidR="00A51D78" w:rsidRPr="005B2BDE" w:rsidRDefault="00A51D78">
            <w:pPr>
              <w:jc w:val="center"/>
              <w:rPr>
                <w:rFonts w:ascii="Times New Roman" w:hAnsi="Times New Roman" w:cs="Times New Roman"/>
                <w:b/>
                <w:bCs/>
                <w:noProof/>
              </w:rPr>
            </w:pPr>
            <w:r>
              <w:rPr>
                <w:rFonts w:ascii="Times New Roman" w:hAnsi="Times New Roman"/>
                <w:b/>
                <w:noProof/>
              </w:rPr>
              <w:t xml:space="preserve">WAL </w:t>
            </w:r>
          </w:p>
        </w:tc>
        <w:tc>
          <w:tcPr>
            <w:tcW w:w="4607" w:type="dxa"/>
            <w:gridSpan w:val="3"/>
            <w:shd w:val="clear" w:color="auto" w:fill="D9D9D9" w:themeFill="background1" w:themeFillShade="D9"/>
            <w:vAlign w:val="center"/>
          </w:tcPr>
          <w:p w14:paraId="0AD79062" w14:textId="77777777" w:rsidR="00A51D78" w:rsidRPr="005B2BDE" w:rsidRDefault="00A51D78">
            <w:pPr>
              <w:jc w:val="center"/>
              <w:rPr>
                <w:rFonts w:ascii="Times New Roman" w:hAnsi="Times New Roman" w:cs="Times New Roman"/>
                <w:noProof/>
              </w:rPr>
            </w:pPr>
            <w:r>
              <w:rPr>
                <w:rFonts w:ascii="Times New Roman" w:hAnsi="Times New Roman"/>
                <w:noProof/>
              </w:rPr>
              <w:t>Max. 120 jours</w:t>
            </w:r>
          </w:p>
        </w:tc>
        <w:tc>
          <w:tcPr>
            <w:tcW w:w="3107" w:type="dxa"/>
            <w:shd w:val="clear" w:color="auto" w:fill="D9D9D9" w:themeFill="background1" w:themeFillShade="D9"/>
            <w:vAlign w:val="center"/>
          </w:tcPr>
          <w:p w14:paraId="0ACAAB23" w14:textId="77777777" w:rsidR="00A51D78" w:rsidRPr="005B2BDE" w:rsidRDefault="00A51D78">
            <w:pPr>
              <w:jc w:val="center"/>
              <w:rPr>
                <w:rFonts w:ascii="Times New Roman" w:hAnsi="Times New Roman" w:cs="Times New Roman"/>
                <w:noProof/>
              </w:rPr>
            </w:pPr>
            <w:r>
              <w:rPr>
                <w:rFonts w:ascii="Times New Roman" w:hAnsi="Times New Roman"/>
                <w:noProof/>
              </w:rPr>
              <w:t>Max. 12 mois</w:t>
            </w:r>
          </w:p>
        </w:tc>
      </w:tr>
      <w:tr w:rsidR="00A51D78" w:rsidRPr="00A51D78" w14:paraId="07C6BA71" w14:textId="77777777" w:rsidTr="005B2BDE">
        <w:trPr>
          <w:trHeight w:val="501"/>
        </w:trPr>
        <w:tc>
          <w:tcPr>
            <w:tcW w:w="1594" w:type="dxa"/>
            <w:shd w:val="clear" w:color="auto" w:fill="D9D9D9" w:themeFill="background1" w:themeFillShade="D9"/>
            <w:vAlign w:val="center"/>
          </w:tcPr>
          <w:p w14:paraId="4BF5132B" w14:textId="77777777" w:rsidR="00A51D78" w:rsidRPr="005B2BDE" w:rsidRDefault="00A51D78">
            <w:pPr>
              <w:jc w:val="center"/>
              <w:rPr>
                <w:rFonts w:ascii="Times New Roman" w:hAnsi="Times New Roman" w:cs="Times New Roman"/>
                <w:b/>
                <w:bCs/>
                <w:noProof/>
              </w:rPr>
            </w:pPr>
            <w:r>
              <w:rPr>
                <w:rFonts w:ascii="Times New Roman" w:hAnsi="Times New Roman"/>
                <w:b/>
                <w:noProof/>
              </w:rPr>
              <w:t>Maturité des actifs</w:t>
            </w:r>
          </w:p>
        </w:tc>
        <w:tc>
          <w:tcPr>
            <w:tcW w:w="4607" w:type="dxa"/>
            <w:gridSpan w:val="3"/>
            <w:shd w:val="clear" w:color="auto" w:fill="D9D9D9" w:themeFill="background1" w:themeFillShade="D9"/>
            <w:vAlign w:val="center"/>
          </w:tcPr>
          <w:p w14:paraId="13ED2580" w14:textId="77777777" w:rsidR="00A51D78" w:rsidRPr="005B2BDE" w:rsidRDefault="00A51D78">
            <w:pPr>
              <w:jc w:val="center"/>
              <w:rPr>
                <w:rFonts w:ascii="Times New Roman" w:hAnsi="Times New Roman" w:cs="Times New Roman"/>
                <w:noProof/>
              </w:rPr>
            </w:pPr>
            <w:r>
              <w:rPr>
                <w:rFonts w:ascii="Times New Roman" w:hAnsi="Times New Roman"/>
                <w:noProof/>
              </w:rPr>
              <w:t xml:space="preserve">Max. 397 jours </w:t>
            </w:r>
          </w:p>
        </w:tc>
        <w:tc>
          <w:tcPr>
            <w:tcW w:w="3107" w:type="dxa"/>
            <w:shd w:val="clear" w:color="auto" w:fill="D9D9D9" w:themeFill="background1" w:themeFillShade="D9"/>
            <w:vAlign w:val="center"/>
          </w:tcPr>
          <w:p w14:paraId="0BC460EA" w14:textId="77777777" w:rsidR="00A51D78" w:rsidRPr="005B2BDE" w:rsidRDefault="00A51D78">
            <w:pPr>
              <w:jc w:val="center"/>
              <w:rPr>
                <w:rFonts w:ascii="Times New Roman" w:hAnsi="Times New Roman" w:cs="Times New Roman"/>
                <w:noProof/>
              </w:rPr>
            </w:pPr>
            <w:r>
              <w:rPr>
                <w:rFonts w:ascii="Times New Roman" w:hAnsi="Times New Roman"/>
                <w:noProof/>
              </w:rPr>
              <w:t>Max. 2 ans avec délai de mise à jour de 397 jours</w:t>
            </w:r>
          </w:p>
        </w:tc>
      </w:tr>
      <w:tr w:rsidR="00A51D78" w:rsidRPr="00A51D78" w14:paraId="694ABADD" w14:textId="77777777" w:rsidTr="0027218E">
        <w:trPr>
          <w:trHeight w:val="505"/>
        </w:trPr>
        <w:tc>
          <w:tcPr>
            <w:tcW w:w="1594" w:type="dxa"/>
            <w:shd w:val="clear" w:color="auto" w:fill="D9D9D9" w:themeFill="background1" w:themeFillShade="D9"/>
            <w:vAlign w:val="center"/>
          </w:tcPr>
          <w:p w14:paraId="6DEB34D3" w14:textId="77777777" w:rsidR="00A51D78" w:rsidRPr="005B2BDE" w:rsidRDefault="00A51D78">
            <w:pPr>
              <w:jc w:val="center"/>
              <w:rPr>
                <w:rFonts w:ascii="Times New Roman" w:hAnsi="Times New Roman" w:cs="Times New Roman"/>
                <w:b/>
                <w:bCs/>
                <w:noProof/>
              </w:rPr>
            </w:pPr>
            <w:r>
              <w:rPr>
                <w:rFonts w:ascii="Times New Roman" w:hAnsi="Times New Roman"/>
                <w:b/>
                <w:noProof/>
              </w:rPr>
              <w:t>DLA</w:t>
            </w:r>
          </w:p>
        </w:tc>
        <w:tc>
          <w:tcPr>
            <w:tcW w:w="3216" w:type="dxa"/>
            <w:gridSpan w:val="2"/>
            <w:shd w:val="clear" w:color="auto" w:fill="D9D9D9" w:themeFill="background1" w:themeFillShade="D9"/>
            <w:vAlign w:val="center"/>
          </w:tcPr>
          <w:p w14:paraId="73567032" w14:textId="77777777" w:rsidR="00A51D78" w:rsidRPr="005B2BDE" w:rsidRDefault="00A51D78">
            <w:pPr>
              <w:jc w:val="center"/>
              <w:rPr>
                <w:rFonts w:ascii="Times New Roman" w:hAnsi="Times New Roman" w:cs="Times New Roman"/>
                <w:noProof/>
              </w:rPr>
            </w:pPr>
            <w:r>
              <w:rPr>
                <w:rFonts w:ascii="Times New Roman" w:hAnsi="Times New Roman"/>
                <w:noProof/>
              </w:rPr>
              <w:t>10 % min.</w:t>
            </w:r>
          </w:p>
        </w:tc>
        <w:tc>
          <w:tcPr>
            <w:tcW w:w="4498" w:type="dxa"/>
            <w:gridSpan w:val="2"/>
            <w:shd w:val="clear" w:color="auto" w:fill="D9D9D9" w:themeFill="background1" w:themeFillShade="D9"/>
            <w:vAlign w:val="center"/>
          </w:tcPr>
          <w:p w14:paraId="561B1D95" w14:textId="77777777" w:rsidR="00A51D78" w:rsidRPr="005B2BDE" w:rsidRDefault="00A51D78">
            <w:pPr>
              <w:jc w:val="center"/>
              <w:rPr>
                <w:rFonts w:ascii="Times New Roman" w:hAnsi="Times New Roman" w:cs="Times New Roman"/>
                <w:noProof/>
              </w:rPr>
            </w:pPr>
            <w:r>
              <w:rPr>
                <w:rFonts w:ascii="Times New Roman" w:hAnsi="Times New Roman"/>
                <w:noProof/>
              </w:rPr>
              <w:t>7,5 % min.</w:t>
            </w:r>
          </w:p>
        </w:tc>
      </w:tr>
      <w:tr w:rsidR="00A51D78" w:rsidRPr="00A51D78" w14:paraId="2D84597F" w14:textId="77777777" w:rsidTr="00B24626">
        <w:trPr>
          <w:trHeight w:val="445"/>
        </w:trPr>
        <w:tc>
          <w:tcPr>
            <w:tcW w:w="1594" w:type="dxa"/>
            <w:shd w:val="clear" w:color="auto" w:fill="D9D9D9" w:themeFill="background1" w:themeFillShade="D9"/>
            <w:vAlign w:val="center"/>
          </w:tcPr>
          <w:p w14:paraId="72EF930A" w14:textId="77777777" w:rsidR="00A51D78" w:rsidRPr="005B2BDE" w:rsidRDefault="00A51D78">
            <w:pPr>
              <w:jc w:val="center"/>
              <w:rPr>
                <w:rFonts w:ascii="Times New Roman" w:hAnsi="Times New Roman" w:cs="Times New Roman"/>
                <w:b/>
                <w:bCs/>
                <w:noProof/>
              </w:rPr>
            </w:pPr>
            <w:r>
              <w:rPr>
                <w:rFonts w:ascii="Times New Roman" w:hAnsi="Times New Roman"/>
                <w:b/>
                <w:noProof/>
              </w:rPr>
              <w:t>WLA</w:t>
            </w:r>
          </w:p>
        </w:tc>
        <w:tc>
          <w:tcPr>
            <w:tcW w:w="3216" w:type="dxa"/>
            <w:gridSpan w:val="2"/>
            <w:shd w:val="clear" w:color="auto" w:fill="D9D9D9" w:themeFill="background1" w:themeFillShade="D9"/>
            <w:vAlign w:val="center"/>
          </w:tcPr>
          <w:p w14:paraId="6BE8CFE8" w14:textId="77777777" w:rsidR="00A51D78" w:rsidRPr="005B2BDE" w:rsidRDefault="00A51D78">
            <w:pPr>
              <w:jc w:val="center"/>
              <w:rPr>
                <w:rFonts w:ascii="Times New Roman" w:hAnsi="Times New Roman" w:cs="Times New Roman"/>
                <w:noProof/>
              </w:rPr>
            </w:pPr>
            <w:r>
              <w:rPr>
                <w:rFonts w:ascii="Times New Roman" w:hAnsi="Times New Roman"/>
                <w:noProof/>
              </w:rPr>
              <w:t xml:space="preserve">30 % min. </w:t>
            </w:r>
          </w:p>
          <w:p w14:paraId="5D7CD910" w14:textId="40876159" w:rsidR="00A51D78" w:rsidRPr="005B2BDE" w:rsidRDefault="008F4770">
            <w:pPr>
              <w:jc w:val="center"/>
              <w:rPr>
                <w:rFonts w:ascii="Times New Roman" w:hAnsi="Times New Roman" w:cs="Times New Roman"/>
                <w:noProof/>
              </w:rPr>
            </w:pPr>
            <w:r>
              <w:rPr>
                <w:rFonts w:ascii="Times New Roman" w:hAnsi="Times New Roman"/>
                <w:noProof/>
              </w:rPr>
              <w:t>(dont jusqu’à 17,5 % de dette publique arrivant à échéance dans les 190 jours)</w:t>
            </w:r>
          </w:p>
        </w:tc>
        <w:tc>
          <w:tcPr>
            <w:tcW w:w="4498" w:type="dxa"/>
            <w:gridSpan w:val="2"/>
            <w:shd w:val="clear" w:color="auto" w:fill="D9D9D9" w:themeFill="background1" w:themeFillShade="D9"/>
            <w:vAlign w:val="center"/>
          </w:tcPr>
          <w:p w14:paraId="19A0164D" w14:textId="77777777" w:rsidR="00A51D78" w:rsidRPr="005B2BDE" w:rsidRDefault="00A51D78">
            <w:pPr>
              <w:jc w:val="center"/>
              <w:rPr>
                <w:rFonts w:ascii="Times New Roman" w:hAnsi="Times New Roman" w:cs="Times New Roman"/>
                <w:noProof/>
              </w:rPr>
            </w:pPr>
            <w:r>
              <w:rPr>
                <w:rFonts w:ascii="Times New Roman" w:hAnsi="Times New Roman"/>
                <w:noProof/>
              </w:rPr>
              <w:t>15 % min.</w:t>
            </w:r>
          </w:p>
        </w:tc>
      </w:tr>
      <w:tr w:rsidR="00A51D78" w:rsidRPr="00A51D78" w14:paraId="1686DE29" w14:textId="77777777" w:rsidTr="005B2BDE">
        <w:trPr>
          <w:trHeight w:val="697"/>
        </w:trPr>
        <w:tc>
          <w:tcPr>
            <w:tcW w:w="1594" w:type="dxa"/>
            <w:shd w:val="clear" w:color="auto" w:fill="D9D9D9" w:themeFill="background1" w:themeFillShade="D9"/>
            <w:vAlign w:val="center"/>
          </w:tcPr>
          <w:p w14:paraId="496A2897" w14:textId="77777777" w:rsidR="00A51D78" w:rsidRPr="005B2BDE" w:rsidRDefault="00A51D78">
            <w:pPr>
              <w:jc w:val="center"/>
              <w:rPr>
                <w:rFonts w:ascii="Times New Roman" w:hAnsi="Times New Roman" w:cs="Times New Roman"/>
                <w:b/>
                <w:bCs/>
                <w:noProof/>
              </w:rPr>
            </w:pPr>
            <w:r>
              <w:rPr>
                <w:rFonts w:ascii="Times New Roman" w:hAnsi="Times New Roman"/>
                <w:b/>
                <w:noProof/>
              </w:rPr>
              <w:t xml:space="preserve">Autres </w:t>
            </w:r>
          </w:p>
        </w:tc>
        <w:tc>
          <w:tcPr>
            <w:tcW w:w="7714" w:type="dxa"/>
            <w:gridSpan w:val="4"/>
            <w:shd w:val="clear" w:color="auto" w:fill="D9D9D9" w:themeFill="background1" w:themeFillShade="D9"/>
            <w:vAlign w:val="center"/>
          </w:tcPr>
          <w:p w14:paraId="08A3FF54" w14:textId="77777777" w:rsidR="00A51D78" w:rsidRPr="005B2BDE" w:rsidRDefault="00A51D78">
            <w:pPr>
              <w:jc w:val="center"/>
              <w:rPr>
                <w:rFonts w:ascii="Times New Roman" w:hAnsi="Times New Roman" w:cs="Times New Roman"/>
                <w:noProof/>
              </w:rPr>
            </w:pPr>
            <w:r>
              <w:rPr>
                <w:rFonts w:ascii="Times New Roman" w:hAnsi="Times New Roman"/>
                <w:noProof/>
              </w:rPr>
              <w:t>Pas d’effet de levier, diversification, exigences de qualité de crédit, transparence et rapports</w:t>
            </w:r>
          </w:p>
        </w:tc>
      </w:tr>
    </w:tbl>
    <w:p w14:paraId="72AD33EF" w14:textId="77777777" w:rsidR="000530BA" w:rsidRDefault="000530BA" w:rsidP="00991243">
      <w:pPr>
        <w:spacing w:after="240" w:line="280" w:lineRule="atLeast"/>
        <w:jc w:val="both"/>
        <w:rPr>
          <w:rFonts w:ascii="Times New Roman" w:hAnsi="Times New Roman" w:cs="Times New Roman"/>
          <w:bCs/>
          <w:noProof/>
        </w:rPr>
      </w:pPr>
    </w:p>
    <w:p w14:paraId="327D1E8B" w14:textId="5F6AED19" w:rsidR="00147F43" w:rsidRPr="00C82DFF" w:rsidRDefault="46364A13" w:rsidP="00D04526">
      <w:pPr>
        <w:spacing w:after="240" w:line="280" w:lineRule="atLeast"/>
        <w:jc w:val="both"/>
        <w:rPr>
          <w:rFonts w:ascii="Times New Roman" w:hAnsi="Times New Roman" w:cs="Times New Roman"/>
          <w:noProof/>
        </w:rPr>
      </w:pPr>
      <w:r>
        <w:rPr>
          <w:rFonts w:ascii="Times New Roman" w:hAnsi="Times New Roman"/>
          <w:noProof/>
        </w:rPr>
        <w:t>En 2023, la Commission a publié un rapport</w:t>
      </w:r>
      <w:r>
        <w:rPr>
          <w:rStyle w:val="FootnoteReference"/>
          <w:rFonts w:ascii="Times New Roman" w:hAnsi="Times New Roman" w:cs="Times New Roman"/>
          <w:noProof/>
        </w:rPr>
        <w:footnoteReference w:id="4"/>
      </w:r>
      <w:r>
        <w:rPr>
          <w:rFonts w:ascii="Times New Roman" w:hAnsi="Times New Roman"/>
          <w:noProof/>
        </w:rPr>
        <w:t xml:space="preserve"> (le rapport 2023 sur les fonds monétaires) montrant que «</w:t>
      </w:r>
      <w:r>
        <w:rPr>
          <w:rFonts w:ascii="Times New Roman" w:hAnsi="Times New Roman"/>
          <w:i/>
          <w:noProof/>
        </w:rPr>
        <w:t>le règlement sur les fonds monétaires a subi avec succès l’épreuve de la crise de liquidité à laquelle les fonds monétaires ont été confrontés lors des turbulences qu’a connues le marché en mars 2020 en raison de la COVID-19, des récentes hausses des taux d’intérêt et de la réévaluation correspondante des prix des actifs financiers</w:t>
      </w:r>
      <w:r>
        <w:rPr>
          <w:rFonts w:ascii="Times New Roman" w:hAnsi="Times New Roman"/>
          <w:noProof/>
        </w:rPr>
        <w:t>»</w:t>
      </w:r>
      <w:r>
        <w:rPr>
          <w:rStyle w:val="FootnoteReference"/>
          <w:rFonts w:ascii="Times New Roman" w:hAnsi="Times New Roman" w:cs="Times New Roman"/>
          <w:noProof/>
        </w:rPr>
        <w:footnoteReference w:id="5"/>
      </w:r>
      <w:r>
        <w:rPr>
          <w:rFonts w:ascii="Times New Roman" w:hAnsi="Times New Roman"/>
          <w:noProof/>
        </w:rPr>
        <w:t xml:space="preserve">. Ce rapport a conclu que le cadre avait globalement permis de garantir la résilience du secteur, mais il a pointé certains aspects de la gestion du risque de liquidité qui nécessitaient une évaluation plus approfondie pour s’assurer de la résilience des fonds monétaires.  </w:t>
      </w:r>
    </w:p>
    <w:p w14:paraId="04FC9510" w14:textId="7BA45FAE" w:rsidR="0015116F" w:rsidRPr="00C82DFF" w:rsidRDefault="355BE37B" w:rsidP="00D04526">
      <w:pPr>
        <w:spacing w:after="240" w:line="280" w:lineRule="atLeast"/>
        <w:jc w:val="both"/>
        <w:rPr>
          <w:rFonts w:ascii="Times New Roman" w:hAnsi="Times New Roman" w:cs="Times New Roman"/>
          <w:noProof/>
        </w:rPr>
      </w:pPr>
      <w:r>
        <w:rPr>
          <w:rFonts w:ascii="Times New Roman" w:hAnsi="Times New Roman"/>
          <w:noProof/>
        </w:rPr>
        <w:t>S’inscrivant dans le prolongement du rapport 2023 sur les fonds monétaires, le présent rapport évalue le fonctionnement des fonds monétaires sur la base de travaux analytiques approfondis et s’appuie sur de multiples sources de données</w:t>
      </w:r>
      <w:r>
        <w:rPr>
          <w:rStyle w:val="FootnoteReference"/>
          <w:rFonts w:ascii="Times New Roman" w:hAnsi="Times New Roman" w:cs="Times New Roman"/>
          <w:noProof/>
        </w:rPr>
        <w:footnoteReference w:id="6"/>
      </w:r>
      <w:r>
        <w:rPr>
          <w:rFonts w:ascii="Times New Roman" w:hAnsi="Times New Roman"/>
          <w:noProof/>
        </w:rPr>
        <w:t xml:space="preserve"> et consultations</w:t>
      </w:r>
      <w:r>
        <w:rPr>
          <w:rStyle w:val="FootnoteReference"/>
          <w:rFonts w:ascii="Times New Roman" w:hAnsi="Times New Roman" w:cs="Times New Roman"/>
          <w:noProof/>
        </w:rPr>
        <w:footnoteReference w:id="7"/>
      </w:r>
      <w:r>
        <w:rPr>
          <w:rFonts w:ascii="Times New Roman" w:hAnsi="Times New Roman"/>
          <w:noProof/>
        </w:rPr>
        <w:t xml:space="preserve"> pour examiner la manière dont les risques de liquidité sont gérés. Il évalue la manière dont les fonds monétaires réagissent aux chocs de liquidité et dont les gestionnaires atténuent le risque de liquidité, notamment au moyen de coussins de liquidité.</w:t>
      </w:r>
    </w:p>
    <w:p w14:paraId="20FF555C" w14:textId="48B1C7EF" w:rsidR="00426FB4" w:rsidRPr="00C82DFF" w:rsidRDefault="23C3CF6B" w:rsidP="00D04526">
      <w:pPr>
        <w:spacing w:after="240" w:line="280" w:lineRule="atLeast"/>
        <w:jc w:val="both"/>
        <w:rPr>
          <w:rFonts w:ascii="Times New Roman" w:hAnsi="Times New Roman" w:cs="Times New Roman"/>
          <w:noProof/>
        </w:rPr>
      </w:pPr>
      <w:r>
        <w:rPr>
          <w:rFonts w:ascii="Times New Roman" w:hAnsi="Times New Roman"/>
          <w:noProof/>
        </w:rPr>
        <w:t xml:space="preserve">Le présent rapport présente les principales conclusions de l’évaluation de la gestion de la liquidité des fonds monétaires (section 2) et une analyse des niveaux de résilience du marché appropriés (section 3). Les annexes fournissent une analyse technique plus approfondie de ces thèmes. </w:t>
      </w:r>
    </w:p>
    <w:p w14:paraId="751FD1EC" w14:textId="60CABA83" w:rsidR="00811D7C" w:rsidRPr="00694C8B" w:rsidRDefault="001A59AA" w:rsidP="00A05E3A">
      <w:pPr>
        <w:pStyle w:val="Heading1"/>
        <w:spacing w:before="360" w:after="360"/>
        <w:ind w:left="431" w:hanging="431"/>
        <w:rPr>
          <w:rFonts w:ascii="Times New Roman" w:hAnsi="Times New Roman" w:cs="Times New Roman"/>
          <w:b/>
          <w:bCs/>
          <w:noProof/>
          <w:color w:val="auto"/>
          <w:sz w:val="22"/>
          <w:szCs w:val="22"/>
        </w:rPr>
      </w:pPr>
      <w:bookmarkStart w:id="12" w:name="_Toc227857262"/>
      <w:bookmarkStart w:id="13" w:name="_Toc106119399"/>
      <w:bookmarkStart w:id="14" w:name="_Toc107311257"/>
      <w:bookmarkStart w:id="15" w:name="_Toc878026"/>
      <w:bookmarkStart w:id="16" w:name="_Toc4058295"/>
      <w:bookmarkStart w:id="17" w:name="_Toc10474385"/>
      <w:bookmarkStart w:id="18" w:name="_Toc17730534"/>
      <w:r>
        <w:rPr>
          <w:rFonts w:ascii="Times New Roman" w:hAnsi="Times New Roman"/>
          <w:b/>
          <w:noProof/>
          <w:color w:val="auto"/>
          <w:sz w:val="22"/>
        </w:rPr>
        <w:t>ÉVALUATION DE LA GESTION DE LA LIQUIDITÉ DES FONDS MONÉTAIRES</w:t>
      </w:r>
      <w:bookmarkEnd w:id="12"/>
      <w:r>
        <w:rPr>
          <w:rFonts w:ascii="Times New Roman" w:hAnsi="Times New Roman"/>
          <w:b/>
          <w:noProof/>
          <w:color w:val="auto"/>
          <w:sz w:val="22"/>
        </w:rPr>
        <w:t xml:space="preserve"> </w:t>
      </w:r>
      <w:bookmarkEnd w:id="13"/>
      <w:bookmarkEnd w:id="14"/>
      <w:bookmarkEnd w:id="15"/>
      <w:bookmarkEnd w:id="16"/>
      <w:bookmarkEnd w:id="17"/>
      <w:bookmarkEnd w:id="18"/>
    </w:p>
    <w:p w14:paraId="63C5E15F" w14:textId="67EF3214" w:rsidR="00000CBD" w:rsidRPr="00C82DFF" w:rsidRDefault="0018602B" w:rsidP="00B80A7C">
      <w:pPr>
        <w:pStyle w:val="Heading2"/>
        <w:spacing w:before="360" w:after="240"/>
        <w:ind w:left="578" w:hanging="578"/>
        <w:rPr>
          <w:noProof/>
          <w:sz w:val="22"/>
          <w:szCs w:val="22"/>
        </w:rPr>
      </w:pPr>
      <w:bookmarkStart w:id="19" w:name="_Toc221179442"/>
      <w:bookmarkStart w:id="20" w:name="_Toc227857263"/>
      <w:bookmarkEnd w:id="19"/>
      <w:r>
        <w:rPr>
          <w:noProof/>
          <w:sz w:val="22"/>
        </w:rPr>
        <w:t>Niveau des coussins de liquidité</w:t>
      </w:r>
      <w:bookmarkEnd w:id="20"/>
    </w:p>
    <w:p w14:paraId="23A69ECD" w14:textId="5671AD26" w:rsidR="00AC3066" w:rsidRDefault="54C161C7" w:rsidP="00D04526">
      <w:pPr>
        <w:spacing w:after="240" w:line="280" w:lineRule="atLeast"/>
        <w:jc w:val="both"/>
        <w:rPr>
          <w:rFonts w:ascii="Times New Roman" w:hAnsi="Times New Roman" w:cs="Times New Roman"/>
          <w:noProof/>
        </w:rPr>
      </w:pPr>
      <w:r>
        <w:rPr>
          <w:rFonts w:ascii="Times New Roman" w:hAnsi="Times New Roman"/>
          <w:noProof/>
        </w:rPr>
        <w:t xml:space="preserve">La Commission a procédé à une analyse des coussins de liquidité à l’échelle de l’ensemble du secteur (macroanalyse) et au niveau des différents fonds monétaires (niveau microéconomique) afin de </w:t>
      </w:r>
      <w:r>
        <w:rPr>
          <w:rFonts w:ascii="Times New Roman" w:hAnsi="Times New Roman"/>
          <w:noProof/>
        </w:rPr>
        <w:lastRenderedPageBreak/>
        <w:t>comprendre comment les niveaux de ces coussins sont déterminés et si le marché fait preuve d’un comportement cohérent.</w:t>
      </w:r>
    </w:p>
    <w:p w14:paraId="0BAAD0B0" w14:textId="2127D651" w:rsidR="00621045" w:rsidRPr="00C82DFF" w:rsidRDefault="00621045" w:rsidP="00D04526">
      <w:pPr>
        <w:shd w:val="clear" w:color="auto" w:fill="DBE5F1" w:themeFill="accent1" w:themeFillTint="33"/>
        <w:spacing w:after="240" w:line="240" w:lineRule="auto"/>
        <w:jc w:val="both"/>
        <w:rPr>
          <w:rFonts w:ascii="Times New Roman" w:hAnsi="Times New Roman" w:cs="Times New Roman"/>
          <w:b/>
          <w:bCs/>
          <w:noProof/>
        </w:rPr>
      </w:pPr>
      <w:r>
        <w:rPr>
          <w:rFonts w:ascii="Times New Roman" w:hAnsi="Times New Roman"/>
          <w:b/>
          <w:noProof/>
        </w:rPr>
        <w:t>Constatation clé nº 1: la plupart des fonds monétaires de l’UE détiennent des coussins de liquidité qui dépassent largement les exigences minimales fixées par le règlement sur les fonds monétaires</w:t>
      </w:r>
    </w:p>
    <w:p w14:paraId="207671D6" w14:textId="29351154" w:rsidR="005F2282" w:rsidRPr="00C82DFF" w:rsidRDefault="73F6725D" w:rsidP="00D04526">
      <w:pPr>
        <w:spacing w:after="240" w:line="280" w:lineRule="atLeast"/>
        <w:jc w:val="both"/>
        <w:rPr>
          <w:rFonts w:ascii="Times New Roman" w:hAnsi="Times New Roman" w:cs="Times New Roman"/>
          <w:noProof/>
        </w:rPr>
      </w:pPr>
      <w:r>
        <w:rPr>
          <w:rFonts w:ascii="Times New Roman" w:hAnsi="Times New Roman"/>
          <w:noProof/>
        </w:rPr>
        <w:t>Les niveaux de coussin de liquidité adoptés par les fonds monétaires varient dans une large fourchette selon la situation spécifique de ces derniers, notamment leur propension à être confrontés à des demandes de rachat de volume variable selon leur base d’investisseurs. Entre le T1 2020 et le T4 2025, les fonds à VLV détenaient en moyenne au moins 19 % de DLA et 29 % de WLA, alors que les minima réglementaires sont respectivement de 7,5 % et de 15 %, tandis que les fonds à VLC et les fonds à VL à faible volatilité détenaient des coussins encore plus importants, affichant en moyenne 36 % de DLA et 54 % de WLA, alors que les seuils réglementaires minimaux sont respectivement de 10 % et de 30 %.</w:t>
      </w:r>
    </w:p>
    <w:p w14:paraId="397163F7" w14:textId="7AB1FA00" w:rsidR="007C78FB" w:rsidRPr="00C82DFF" w:rsidRDefault="241925C8" w:rsidP="00D04526">
      <w:pPr>
        <w:spacing w:after="240" w:line="280" w:lineRule="atLeast"/>
        <w:jc w:val="both"/>
        <w:rPr>
          <w:rFonts w:ascii="Times New Roman" w:hAnsi="Times New Roman" w:cs="Times New Roman"/>
          <w:noProof/>
        </w:rPr>
      </w:pPr>
      <w:r>
        <w:rPr>
          <w:rFonts w:ascii="Times New Roman" w:hAnsi="Times New Roman"/>
          <w:noProof/>
        </w:rPr>
        <w:t>Le tableau 2 présente la distribution des DLA et des WLA par type de fonds monétaire sur une période de six ans. Par exemple, en ce qui concerne la distribution des WLA pour les fonds à VL à faible volatilité, le coussin moyen était de 50 %, tandis que les fonds à VL à faible volatilité présentaient un coussin moyen inférieur à 43 % pour le 25</w:t>
      </w:r>
      <w:r>
        <w:rPr>
          <w:rFonts w:ascii="Times New Roman" w:hAnsi="Times New Roman"/>
          <w:noProof/>
          <w:vertAlign w:val="superscript"/>
        </w:rPr>
        <w:t>e</w:t>
      </w:r>
      <w:r>
        <w:rPr>
          <w:rFonts w:ascii="Times New Roman" w:hAnsi="Times New Roman"/>
          <w:noProof/>
        </w:rPr>
        <w:t xml:space="preserve"> centile et un coussin moyen de 54 % pour le 75</w:t>
      </w:r>
      <w:r>
        <w:rPr>
          <w:rFonts w:ascii="Times New Roman" w:hAnsi="Times New Roman"/>
          <w:noProof/>
          <w:vertAlign w:val="superscript"/>
        </w:rPr>
        <w:t>e</w:t>
      </w:r>
      <w:r>
        <w:rPr>
          <w:rFonts w:ascii="Times New Roman" w:hAnsi="Times New Roman"/>
          <w:noProof/>
        </w:rPr>
        <w:t xml:space="preserve"> centile. Ces données montrent que la grande majorité des fonds à VL à faible volatilité (75 %) avaient un niveau moyen de WLA supérieur à 43 %. Des résultats similaires peuvent être observés pour les autres catégories de fonds monétaires et pour leurs niveaux de DLA respectifs.   </w:t>
      </w:r>
    </w:p>
    <w:p w14:paraId="25D2B85C" w14:textId="19241FAA" w:rsidR="00D137FA" w:rsidRPr="009936D9" w:rsidRDefault="00D137FA" w:rsidP="00DE3346">
      <w:pPr>
        <w:spacing w:before="240" w:after="240"/>
        <w:rPr>
          <w:rFonts w:ascii="Times New Roman" w:eastAsia="Times New Roman" w:hAnsi="Times New Roman" w:cs="Times New Roman"/>
          <w:b/>
          <w:noProof/>
          <w:sz w:val="21"/>
          <w:szCs w:val="21"/>
        </w:rPr>
      </w:pPr>
      <w:r>
        <w:rPr>
          <w:rFonts w:ascii="Times New Roman" w:hAnsi="Times New Roman"/>
          <w:b/>
          <w:noProof/>
          <w:sz w:val="21"/>
        </w:rPr>
        <w:t>Tableau 2: Distribution des DLA et des WLA par type de fonds monétaire sur une période de six ans (en % de la VL du fonds)</w:t>
      </w:r>
    </w:p>
    <w:tbl>
      <w:tblPr>
        <w:tblStyle w:val="TableGrid"/>
        <w:tblW w:w="8814" w:type="dxa"/>
        <w:jc w:val="center"/>
        <w:tblLook w:val="04A0" w:firstRow="1" w:lastRow="0" w:firstColumn="1" w:lastColumn="0" w:noHBand="0" w:noVBand="1"/>
      </w:tblPr>
      <w:tblGrid>
        <w:gridCol w:w="1138"/>
        <w:gridCol w:w="1718"/>
        <w:gridCol w:w="1351"/>
        <w:gridCol w:w="1310"/>
        <w:gridCol w:w="1735"/>
        <w:gridCol w:w="1562"/>
      </w:tblGrid>
      <w:tr w:rsidR="004F39E1" w:rsidRPr="00CA2046" w14:paraId="51A5DCCC" w14:textId="77777777" w:rsidTr="00DE3346">
        <w:trPr>
          <w:trHeight w:val="356"/>
          <w:jc w:val="center"/>
        </w:trPr>
        <w:tc>
          <w:tcPr>
            <w:tcW w:w="2856" w:type="dxa"/>
            <w:gridSpan w:val="2"/>
            <w:vMerge w:val="restart"/>
            <w:vAlign w:val="center"/>
          </w:tcPr>
          <w:p w14:paraId="6ABE5AB1" w14:textId="77777777" w:rsidR="00210461" w:rsidRPr="00F43053" w:rsidRDefault="00210461" w:rsidP="00A63B3C">
            <w:pPr>
              <w:spacing w:line="480" w:lineRule="auto"/>
              <w:jc w:val="center"/>
              <w:rPr>
                <w:rFonts w:ascii="Times New Roman" w:hAnsi="Times New Roman" w:cs="Times New Roman"/>
                <w:noProof/>
                <w:sz w:val="18"/>
                <w:szCs w:val="18"/>
              </w:rPr>
            </w:pPr>
          </w:p>
        </w:tc>
        <w:tc>
          <w:tcPr>
            <w:tcW w:w="5958" w:type="dxa"/>
            <w:gridSpan w:val="4"/>
            <w:shd w:val="clear" w:color="auto" w:fill="BFBFBF" w:themeFill="background1" w:themeFillShade="BF"/>
            <w:vAlign w:val="center"/>
          </w:tcPr>
          <w:p w14:paraId="23AA26F9" w14:textId="77777777" w:rsidR="00210461" w:rsidRPr="00F43053" w:rsidRDefault="00210461" w:rsidP="00A63B3C">
            <w:pPr>
              <w:spacing w:before="60" w:after="60" w:line="240" w:lineRule="atLeast"/>
              <w:jc w:val="center"/>
              <w:rPr>
                <w:rFonts w:ascii="Times New Roman" w:hAnsi="Times New Roman" w:cs="Times New Roman"/>
                <w:b/>
                <w:bCs/>
                <w:noProof/>
                <w:sz w:val="18"/>
                <w:szCs w:val="18"/>
              </w:rPr>
            </w:pPr>
            <w:r>
              <w:rPr>
                <w:rFonts w:ascii="Times New Roman" w:hAnsi="Times New Roman"/>
                <w:b/>
                <w:noProof/>
                <w:sz w:val="18"/>
              </w:rPr>
              <w:t>Type de fonds monétaire</w:t>
            </w:r>
          </w:p>
        </w:tc>
      </w:tr>
      <w:tr w:rsidR="00F43053" w:rsidRPr="00CA2046" w14:paraId="1B828EFC" w14:textId="77777777" w:rsidTr="00DE3346">
        <w:trPr>
          <w:trHeight w:val="453"/>
          <w:jc w:val="center"/>
        </w:trPr>
        <w:tc>
          <w:tcPr>
            <w:tcW w:w="2856" w:type="dxa"/>
            <w:gridSpan w:val="2"/>
            <w:vMerge/>
            <w:vAlign w:val="center"/>
          </w:tcPr>
          <w:p w14:paraId="63145CBE" w14:textId="77777777" w:rsidR="00210461" w:rsidRPr="00F43053" w:rsidRDefault="00210461" w:rsidP="00A63B3C">
            <w:pPr>
              <w:spacing w:line="480" w:lineRule="auto"/>
              <w:jc w:val="center"/>
              <w:rPr>
                <w:rFonts w:ascii="Times New Roman" w:hAnsi="Times New Roman" w:cs="Times New Roman"/>
                <w:noProof/>
                <w:sz w:val="18"/>
                <w:szCs w:val="18"/>
              </w:rPr>
            </w:pPr>
          </w:p>
        </w:tc>
        <w:tc>
          <w:tcPr>
            <w:tcW w:w="1351" w:type="dxa"/>
            <w:shd w:val="clear" w:color="auto" w:fill="D9D9D9" w:themeFill="background1" w:themeFillShade="D9"/>
            <w:vAlign w:val="center"/>
          </w:tcPr>
          <w:p w14:paraId="1F36CEAD" w14:textId="77777777" w:rsidR="00210461" w:rsidRPr="00F43053" w:rsidRDefault="00210461" w:rsidP="00A63B3C">
            <w:pPr>
              <w:spacing w:before="60" w:after="60" w:line="240" w:lineRule="atLeast"/>
              <w:jc w:val="center"/>
              <w:rPr>
                <w:rFonts w:ascii="Times New Roman" w:hAnsi="Times New Roman" w:cs="Times New Roman"/>
                <w:b/>
                <w:bCs/>
                <w:noProof/>
                <w:sz w:val="18"/>
                <w:szCs w:val="18"/>
              </w:rPr>
            </w:pPr>
            <w:r>
              <w:rPr>
                <w:rFonts w:ascii="Times New Roman" w:hAnsi="Times New Roman"/>
                <w:b/>
                <w:noProof/>
                <w:sz w:val="18"/>
              </w:rPr>
              <w:t>VLC</w:t>
            </w:r>
          </w:p>
        </w:tc>
        <w:tc>
          <w:tcPr>
            <w:tcW w:w="1310" w:type="dxa"/>
            <w:shd w:val="clear" w:color="auto" w:fill="D9D9D9" w:themeFill="background1" w:themeFillShade="D9"/>
            <w:vAlign w:val="center"/>
          </w:tcPr>
          <w:p w14:paraId="14A37AAC" w14:textId="77777777" w:rsidR="00210461" w:rsidRPr="00F43053" w:rsidRDefault="00210461" w:rsidP="00A63B3C">
            <w:pPr>
              <w:spacing w:before="60" w:after="60" w:line="240" w:lineRule="atLeast"/>
              <w:jc w:val="center"/>
              <w:rPr>
                <w:rFonts w:ascii="Times New Roman" w:hAnsi="Times New Roman" w:cs="Times New Roman"/>
                <w:b/>
                <w:bCs/>
                <w:noProof/>
                <w:sz w:val="18"/>
                <w:szCs w:val="18"/>
              </w:rPr>
            </w:pPr>
            <w:r>
              <w:rPr>
                <w:rFonts w:ascii="Times New Roman" w:hAnsi="Times New Roman"/>
                <w:b/>
                <w:noProof/>
                <w:sz w:val="18"/>
              </w:rPr>
              <w:t>VL à faible volatilité</w:t>
            </w:r>
          </w:p>
        </w:tc>
        <w:tc>
          <w:tcPr>
            <w:tcW w:w="1735" w:type="dxa"/>
            <w:shd w:val="clear" w:color="auto" w:fill="D9D9D9" w:themeFill="background1" w:themeFillShade="D9"/>
            <w:vAlign w:val="center"/>
          </w:tcPr>
          <w:p w14:paraId="5EA5D852" w14:textId="77777777" w:rsidR="00210461" w:rsidRPr="00F43053" w:rsidRDefault="00210461" w:rsidP="00A63B3C">
            <w:pPr>
              <w:spacing w:before="60" w:after="60" w:line="240" w:lineRule="atLeast"/>
              <w:jc w:val="center"/>
              <w:rPr>
                <w:rFonts w:ascii="Times New Roman" w:hAnsi="Times New Roman" w:cs="Times New Roman"/>
                <w:b/>
                <w:bCs/>
                <w:noProof/>
                <w:sz w:val="18"/>
                <w:szCs w:val="18"/>
              </w:rPr>
            </w:pPr>
            <w:r>
              <w:rPr>
                <w:rFonts w:ascii="Times New Roman" w:hAnsi="Times New Roman"/>
                <w:b/>
                <w:noProof/>
                <w:sz w:val="18"/>
              </w:rPr>
              <w:t>VLV à court terme</w:t>
            </w:r>
          </w:p>
        </w:tc>
        <w:tc>
          <w:tcPr>
            <w:tcW w:w="1562" w:type="dxa"/>
            <w:shd w:val="clear" w:color="auto" w:fill="D9D9D9" w:themeFill="background1" w:themeFillShade="D9"/>
            <w:vAlign w:val="center"/>
          </w:tcPr>
          <w:p w14:paraId="1B68B8B4" w14:textId="77777777" w:rsidR="00210461" w:rsidRPr="00F43053" w:rsidRDefault="00210461" w:rsidP="00A63B3C">
            <w:pPr>
              <w:spacing w:before="60" w:after="60" w:line="240" w:lineRule="atLeast"/>
              <w:jc w:val="center"/>
              <w:rPr>
                <w:rFonts w:ascii="Times New Roman" w:hAnsi="Times New Roman" w:cs="Times New Roman"/>
                <w:b/>
                <w:bCs/>
                <w:noProof/>
                <w:sz w:val="18"/>
                <w:szCs w:val="18"/>
              </w:rPr>
            </w:pPr>
            <w:r>
              <w:rPr>
                <w:rFonts w:ascii="Times New Roman" w:hAnsi="Times New Roman"/>
                <w:b/>
                <w:noProof/>
                <w:sz w:val="18"/>
              </w:rPr>
              <w:t>VLV standard</w:t>
            </w:r>
          </w:p>
        </w:tc>
      </w:tr>
      <w:tr w:rsidR="00254822" w:rsidRPr="00CA2046" w14:paraId="517979E3" w14:textId="77777777" w:rsidTr="00DE3346">
        <w:trPr>
          <w:trHeight w:val="314"/>
          <w:jc w:val="center"/>
        </w:trPr>
        <w:tc>
          <w:tcPr>
            <w:tcW w:w="1138" w:type="dxa"/>
            <w:vMerge w:val="restart"/>
            <w:shd w:val="clear" w:color="auto" w:fill="709FDB"/>
            <w:vAlign w:val="center"/>
          </w:tcPr>
          <w:p w14:paraId="7AB418DC" w14:textId="77777777" w:rsidR="00210461" w:rsidRPr="00F43053" w:rsidRDefault="00210461" w:rsidP="00A63B3C">
            <w:pPr>
              <w:spacing w:line="480" w:lineRule="auto"/>
              <w:jc w:val="center"/>
              <w:rPr>
                <w:rFonts w:ascii="Times New Roman" w:hAnsi="Times New Roman" w:cs="Times New Roman"/>
                <w:b/>
                <w:bCs/>
                <w:noProof/>
                <w:sz w:val="18"/>
                <w:szCs w:val="18"/>
              </w:rPr>
            </w:pPr>
            <w:r>
              <w:rPr>
                <w:rFonts w:ascii="Times New Roman" w:hAnsi="Times New Roman"/>
                <w:b/>
                <w:noProof/>
                <w:sz w:val="18"/>
              </w:rPr>
              <w:t>DLA</w:t>
            </w:r>
          </w:p>
        </w:tc>
        <w:tc>
          <w:tcPr>
            <w:tcW w:w="1717" w:type="dxa"/>
            <w:shd w:val="clear" w:color="auto" w:fill="B7CFED"/>
            <w:vAlign w:val="center"/>
          </w:tcPr>
          <w:p w14:paraId="6A2A9C6A"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b/>
                <w:noProof/>
                <w:color w:val="000000"/>
                <w:sz w:val="18"/>
              </w:rPr>
              <w:t>25</w:t>
            </w:r>
            <w:r>
              <w:rPr>
                <w:rFonts w:ascii="Times New Roman" w:hAnsi="Times New Roman"/>
                <w:b/>
                <w:noProof/>
                <w:color w:val="000000"/>
                <w:sz w:val="18"/>
                <w:vertAlign w:val="superscript"/>
              </w:rPr>
              <w:t>e</w:t>
            </w:r>
            <w:r>
              <w:rPr>
                <w:rFonts w:ascii="Times New Roman" w:hAnsi="Times New Roman"/>
                <w:b/>
                <w:noProof/>
                <w:color w:val="000000"/>
                <w:sz w:val="18"/>
              </w:rPr>
              <w:t xml:space="preserve"> centile</w:t>
            </w:r>
          </w:p>
        </w:tc>
        <w:tc>
          <w:tcPr>
            <w:tcW w:w="1351" w:type="dxa"/>
            <w:vAlign w:val="center"/>
          </w:tcPr>
          <w:p w14:paraId="7FBF8F4E"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24 %</w:t>
            </w:r>
          </w:p>
        </w:tc>
        <w:tc>
          <w:tcPr>
            <w:tcW w:w="1310" w:type="dxa"/>
            <w:vAlign w:val="center"/>
          </w:tcPr>
          <w:p w14:paraId="72E9ACC0"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25 %</w:t>
            </w:r>
          </w:p>
        </w:tc>
        <w:tc>
          <w:tcPr>
            <w:tcW w:w="1735" w:type="dxa"/>
            <w:vAlign w:val="center"/>
          </w:tcPr>
          <w:p w14:paraId="0995470D"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11 %</w:t>
            </w:r>
          </w:p>
        </w:tc>
        <w:tc>
          <w:tcPr>
            <w:tcW w:w="1562" w:type="dxa"/>
            <w:vAlign w:val="center"/>
          </w:tcPr>
          <w:p w14:paraId="3ED37698"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8 %</w:t>
            </w:r>
          </w:p>
        </w:tc>
      </w:tr>
      <w:tr w:rsidR="00254822" w:rsidRPr="00CA2046" w14:paraId="3A639EF1" w14:textId="77777777" w:rsidTr="00DE3346">
        <w:trPr>
          <w:trHeight w:val="453"/>
          <w:jc w:val="center"/>
        </w:trPr>
        <w:tc>
          <w:tcPr>
            <w:tcW w:w="1138" w:type="dxa"/>
            <w:vMerge/>
            <w:vAlign w:val="center"/>
          </w:tcPr>
          <w:p w14:paraId="3C45DD0C" w14:textId="77777777" w:rsidR="00210461" w:rsidRPr="00F43053" w:rsidRDefault="00210461" w:rsidP="00A63B3C">
            <w:pPr>
              <w:spacing w:line="480" w:lineRule="auto"/>
              <w:jc w:val="center"/>
              <w:rPr>
                <w:rFonts w:ascii="Times New Roman" w:hAnsi="Times New Roman" w:cs="Times New Roman"/>
                <w:b/>
                <w:bCs/>
                <w:noProof/>
                <w:sz w:val="18"/>
                <w:szCs w:val="18"/>
              </w:rPr>
            </w:pPr>
          </w:p>
        </w:tc>
        <w:tc>
          <w:tcPr>
            <w:tcW w:w="1717" w:type="dxa"/>
            <w:shd w:val="clear" w:color="auto" w:fill="B7CFED"/>
            <w:vAlign w:val="center"/>
          </w:tcPr>
          <w:p w14:paraId="5F3DD832"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b/>
                <w:noProof/>
                <w:color w:val="000000"/>
                <w:sz w:val="18"/>
              </w:rPr>
              <w:t>Moyenne</w:t>
            </w:r>
          </w:p>
        </w:tc>
        <w:tc>
          <w:tcPr>
            <w:tcW w:w="1351" w:type="dxa"/>
            <w:vAlign w:val="center"/>
          </w:tcPr>
          <w:p w14:paraId="629BD0E7"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40 %</w:t>
            </w:r>
          </w:p>
        </w:tc>
        <w:tc>
          <w:tcPr>
            <w:tcW w:w="1310" w:type="dxa"/>
            <w:vAlign w:val="center"/>
          </w:tcPr>
          <w:p w14:paraId="0EAA067D"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33 %</w:t>
            </w:r>
          </w:p>
        </w:tc>
        <w:tc>
          <w:tcPr>
            <w:tcW w:w="1735" w:type="dxa"/>
            <w:vAlign w:val="center"/>
          </w:tcPr>
          <w:p w14:paraId="2BC79159"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22 %</w:t>
            </w:r>
          </w:p>
        </w:tc>
        <w:tc>
          <w:tcPr>
            <w:tcW w:w="1562" w:type="dxa"/>
            <w:vAlign w:val="center"/>
          </w:tcPr>
          <w:p w14:paraId="221FD60E"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15 %</w:t>
            </w:r>
          </w:p>
        </w:tc>
      </w:tr>
      <w:tr w:rsidR="00254822" w:rsidRPr="00CA2046" w14:paraId="748A760A" w14:textId="77777777" w:rsidTr="00DE3346">
        <w:trPr>
          <w:trHeight w:val="453"/>
          <w:jc w:val="center"/>
        </w:trPr>
        <w:tc>
          <w:tcPr>
            <w:tcW w:w="1138" w:type="dxa"/>
            <w:vMerge/>
            <w:vAlign w:val="center"/>
          </w:tcPr>
          <w:p w14:paraId="1AD564CF" w14:textId="77777777" w:rsidR="00210461" w:rsidRPr="00F43053" w:rsidRDefault="00210461" w:rsidP="00A63B3C">
            <w:pPr>
              <w:spacing w:line="480" w:lineRule="auto"/>
              <w:jc w:val="center"/>
              <w:rPr>
                <w:rFonts w:ascii="Times New Roman" w:hAnsi="Times New Roman" w:cs="Times New Roman"/>
                <w:b/>
                <w:bCs/>
                <w:noProof/>
                <w:sz w:val="18"/>
                <w:szCs w:val="18"/>
              </w:rPr>
            </w:pPr>
          </w:p>
        </w:tc>
        <w:tc>
          <w:tcPr>
            <w:tcW w:w="1717" w:type="dxa"/>
            <w:shd w:val="clear" w:color="auto" w:fill="B7CFED"/>
            <w:vAlign w:val="center"/>
          </w:tcPr>
          <w:p w14:paraId="07892A33"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b/>
                <w:noProof/>
                <w:color w:val="000000"/>
                <w:sz w:val="18"/>
              </w:rPr>
              <w:t>75</w:t>
            </w:r>
            <w:r>
              <w:rPr>
                <w:rFonts w:ascii="Times New Roman" w:hAnsi="Times New Roman"/>
                <w:b/>
                <w:noProof/>
                <w:color w:val="000000"/>
                <w:sz w:val="18"/>
                <w:vertAlign w:val="superscript"/>
              </w:rPr>
              <w:t>e</w:t>
            </w:r>
            <w:r>
              <w:rPr>
                <w:rFonts w:ascii="Times New Roman" w:hAnsi="Times New Roman"/>
                <w:b/>
                <w:noProof/>
                <w:color w:val="000000"/>
                <w:sz w:val="18"/>
              </w:rPr>
              <w:t xml:space="preserve"> centile</w:t>
            </w:r>
          </w:p>
        </w:tc>
        <w:tc>
          <w:tcPr>
            <w:tcW w:w="1351" w:type="dxa"/>
            <w:vAlign w:val="center"/>
          </w:tcPr>
          <w:p w14:paraId="3424A791"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53 %</w:t>
            </w:r>
          </w:p>
        </w:tc>
        <w:tc>
          <w:tcPr>
            <w:tcW w:w="1310" w:type="dxa"/>
            <w:vAlign w:val="center"/>
          </w:tcPr>
          <w:p w14:paraId="7D3D32A0"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38 %</w:t>
            </w:r>
          </w:p>
        </w:tc>
        <w:tc>
          <w:tcPr>
            <w:tcW w:w="1735" w:type="dxa"/>
            <w:vAlign w:val="center"/>
          </w:tcPr>
          <w:p w14:paraId="2FCC12DF"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28 %</w:t>
            </w:r>
          </w:p>
        </w:tc>
        <w:tc>
          <w:tcPr>
            <w:tcW w:w="1562" w:type="dxa"/>
            <w:vAlign w:val="center"/>
          </w:tcPr>
          <w:p w14:paraId="42FCBA78"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18 %</w:t>
            </w:r>
          </w:p>
        </w:tc>
      </w:tr>
      <w:tr w:rsidR="00254822" w:rsidRPr="00CA2046" w14:paraId="19B09CBD" w14:textId="77777777" w:rsidTr="00DE3346">
        <w:trPr>
          <w:trHeight w:val="533"/>
          <w:jc w:val="center"/>
        </w:trPr>
        <w:tc>
          <w:tcPr>
            <w:tcW w:w="1138" w:type="dxa"/>
            <w:vMerge w:val="restart"/>
            <w:shd w:val="clear" w:color="auto" w:fill="709FDB"/>
            <w:vAlign w:val="center"/>
          </w:tcPr>
          <w:p w14:paraId="7EDF65C6" w14:textId="77777777" w:rsidR="00210461" w:rsidRPr="00F43053" w:rsidRDefault="00210461" w:rsidP="00A63B3C">
            <w:pPr>
              <w:spacing w:line="480" w:lineRule="auto"/>
              <w:jc w:val="center"/>
              <w:rPr>
                <w:rFonts w:ascii="Times New Roman" w:hAnsi="Times New Roman" w:cs="Times New Roman"/>
                <w:b/>
                <w:bCs/>
                <w:noProof/>
                <w:sz w:val="18"/>
                <w:szCs w:val="18"/>
              </w:rPr>
            </w:pPr>
            <w:r>
              <w:rPr>
                <w:rFonts w:ascii="Times New Roman" w:hAnsi="Times New Roman"/>
                <w:b/>
                <w:noProof/>
                <w:sz w:val="18"/>
              </w:rPr>
              <w:t>WLA</w:t>
            </w:r>
          </w:p>
        </w:tc>
        <w:tc>
          <w:tcPr>
            <w:tcW w:w="1717" w:type="dxa"/>
            <w:shd w:val="clear" w:color="auto" w:fill="B7CFED"/>
            <w:vAlign w:val="center"/>
          </w:tcPr>
          <w:p w14:paraId="5B505EC7"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b/>
                <w:noProof/>
                <w:color w:val="000000"/>
                <w:sz w:val="18"/>
              </w:rPr>
              <w:t>25</w:t>
            </w:r>
            <w:r>
              <w:rPr>
                <w:rFonts w:ascii="Times New Roman" w:hAnsi="Times New Roman"/>
                <w:b/>
                <w:noProof/>
                <w:color w:val="000000"/>
                <w:sz w:val="18"/>
                <w:vertAlign w:val="superscript"/>
              </w:rPr>
              <w:t>e</w:t>
            </w:r>
            <w:r>
              <w:rPr>
                <w:rFonts w:ascii="Times New Roman" w:hAnsi="Times New Roman"/>
                <w:b/>
                <w:noProof/>
                <w:color w:val="000000"/>
                <w:sz w:val="18"/>
              </w:rPr>
              <w:t xml:space="preserve"> centile</w:t>
            </w:r>
          </w:p>
        </w:tc>
        <w:tc>
          <w:tcPr>
            <w:tcW w:w="1351" w:type="dxa"/>
            <w:vAlign w:val="center"/>
          </w:tcPr>
          <w:p w14:paraId="3550F041"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41 %</w:t>
            </w:r>
          </w:p>
        </w:tc>
        <w:tc>
          <w:tcPr>
            <w:tcW w:w="1310" w:type="dxa"/>
            <w:vAlign w:val="center"/>
          </w:tcPr>
          <w:p w14:paraId="7D1DC008" w14:textId="3554B138" w:rsidR="00210461" w:rsidRPr="00F43053" w:rsidRDefault="003A3F8D"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lang w:val="en-GB" w:eastAsia="en-GB"/>
              </w:rPr>
              <mc:AlternateContent>
                <mc:Choice Requires="wps">
                  <w:drawing>
                    <wp:anchor distT="0" distB="0" distL="114300" distR="114300" simplePos="0" relativeHeight="251658243" behindDoc="0" locked="0" layoutInCell="1" allowOverlap="1" wp14:anchorId="79F73284" wp14:editId="27A8D333">
                      <wp:simplePos x="0" y="0"/>
                      <wp:positionH relativeFrom="column">
                        <wp:posOffset>45085</wp:posOffset>
                      </wp:positionH>
                      <wp:positionV relativeFrom="paragraph">
                        <wp:posOffset>17780</wp:posOffset>
                      </wp:positionV>
                      <wp:extent cx="496570" cy="198120"/>
                      <wp:effectExtent l="0" t="0" r="17780" b="11430"/>
                      <wp:wrapNone/>
                      <wp:docPr id="947417186" name="Oval 1"/>
                      <wp:cNvGraphicFramePr/>
                      <a:graphic xmlns:a="http://schemas.openxmlformats.org/drawingml/2006/main">
                        <a:graphicData uri="http://schemas.microsoft.com/office/word/2010/wordprocessingShape">
                          <wps:wsp>
                            <wps:cNvSpPr/>
                            <wps:spPr>
                              <a:xfrm>
                                <a:off x="0" y="0"/>
                                <a:ext cx="496570" cy="198120"/>
                              </a:xfrm>
                              <a:prstGeom prst="ellipse">
                                <a:avLst/>
                              </a:prstGeom>
                              <a:noFill/>
                              <a:ln>
                                <a:solidFill>
                                  <a:srgbClr val="00B05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xmlns:pic="http://schemas.openxmlformats.org/drawingml/2006/picture" xmlns:a14="http://schemas.microsoft.com/office/drawing/2010/main">
                  <w:pict>
                    <v:oval id="Oval 1" style="position:absolute;margin-left:3.55pt;margin-top:1.4pt;width:39.1pt;height:15.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00b050"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" w14:anchorId="1A580446"/>
                  </w:pict>
                </mc:Fallback>
              </mc:AlternateContent>
            </w:r>
            <w:r>
              <w:rPr>
                <w:rFonts w:ascii="Times New Roman" w:hAnsi="Times New Roman"/>
                <w:noProof/>
                <w:sz w:val="18"/>
              </w:rPr>
              <w:t>43 %</w:t>
            </w:r>
          </w:p>
        </w:tc>
        <w:tc>
          <w:tcPr>
            <w:tcW w:w="1735" w:type="dxa"/>
            <w:vAlign w:val="center"/>
          </w:tcPr>
          <w:p w14:paraId="795CEB9D" w14:textId="27B06663"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22 %</w:t>
            </w:r>
          </w:p>
        </w:tc>
        <w:tc>
          <w:tcPr>
            <w:tcW w:w="1562" w:type="dxa"/>
            <w:vAlign w:val="center"/>
          </w:tcPr>
          <w:p w14:paraId="7CC7D7D9"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16 %</w:t>
            </w:r>
          </w:p>
        </w:tc>
      </w:tr>
      <w:tr w:rsidR="00254822" w:rsidRPr="00CA2046" w14:paraId="00B31CD6" w14:textId="77777777" w:rsidTr="00DE3346">
        <w:trPr>
          <w:trHeight w:val="453"/>
          <w:jc w:val="center"/>
        </w:trPr>
        <w:tc>
          <w:tcPr>
            <w:tcW w:w="1138" w:type="dxa"/>
            <w:vMerge/>
            <w:vAlign w:val="center"/>
          </w:tcPr>
          <w:p w14:paraId="2779D0B5" w14:textId="77777777" w:rsidR="00210461" w:rsidRPr="00F43053" w:rsidRDefault="00210461" w:rsidP="00A63B3C">
            <w:pPr>
              <w:spacing w:line="480" w:lineRule="auto"/>
              <w:jc w:val="center"/>
              <w:rPr>
                <w:rFonts w:ascii="Times New Roman" w:hAnsi="Times New Roman" w:cs="Times New Roman"/>
                <w:noProof/>
                <w:sz w:val="18"/>
                <w:szCs w:val="18"/>
              </w:rPr>
            </w:pPr>
          </w:p>
        </w:tc>
        <w:tc>
          <w:tcPr>
            <w:tcW w:w="1717" w:type="dxa"/>
            <w:shd w:val="clear" w:color="auto" w:fill="B7CFED"/>
            <w:vAlign w:val="center"/>
          </w:tcPr>
          <w:p w14:paraId="074885A0"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b/>
                <w:noProof/>
                <w:color w:val="000000"/>
                <w:sz w:val="18"/>
              </w:rPr>
              <w:t>Moyenne</w:t>
            </w:r>
          </w:p>
        </w:tc>
        <w:tc>
          <w:tcPr>
            <w:tcW w:w="1351" w:type="dxa"/>
            <w:vAlign w:val="center"/>
          </w:tcPr>
          <w:p w14:paraId="043B04C0"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59 %</w:t>
            </w:r>
          </w:p>
        </w:tc>
        <w:tc>
          <w:tcPr>
            <w:tcW w:w="1310" w:type="dxa"/>
            <w:vAlign w:val="center"/>
          </w:tcPr>
          <w:p w14:paraId="6731E103"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lang w:val="en-GB" w:eastAsia="en-GB"/>
              </w:rPr>
              <mc:AlternateContent>
                <mc:Choice Requires="wps">
                  <w:drawing>
                    <wp:anchor distT="0" distB="0" distL="114300" distR="114300" simplePos="0" relativeHeight="251658244" behindDoc="0" locked="0" layoutInCell="1" allowOverlap="1" wp14:anchorId="62C8D001" wp14:editId="29E60202">
                      <wp:simplePos x="0" y="0"/>
                      <wp:positionH relativeFrom="column">
                        <wp:posOffset>59055</wp:posOffset>
                      </wp:positionH>
                      <wp:positionV relativeFrom="paragraph">
                        <wp:posOffset>17780</wp:posOffset>
                      </wp:positionV>
                      <wp:extent cx="525780" cy="177800"/>
                      <wp:effectExtent l="0" t="0" r="26670" b="12700"/>
                      <wp:wrapNone/>
                      <wp:docPr id="1245052219" name="Oval 1"/>
                      <wp:cNvGraphicFramePr/>
                      <a:graphic xmlns:a="http://schemas.openxmlformats.org/drawingml/2006/main">
                        <a:graphicData uri="http://schemas.microsoft.com/office/word/2010/wordprocessingShape">
                          <wps:wsp>
                            <wps:cNvSpPr/>
                            <wps:spPr>
                              <a:xfrm>
                                <a:off x="0" y="0"/>
                                <a:ext cx="525780" cy="177800"/>
                              </a:xfrm>
                              <a:prstGeom prst="ellipse">
                                <a:avLst/>
                              </a:prstGeom>
                              <a:noFill/>
                              <a:ln>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xmlns:pic="http://schemas.openxmlformats.org/drawingml/2006/picture" xmlns:a14="http://schemas.microsoft.com/office/drawing/2010/main">
                  <w:pict>
                    <v:oval id="Oval 1" style="position:absolute;margin-left:4.65pt;margin-top:1.4pt;width:41.4pt;height:1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36c0a [2409]"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" w14:anchorId="501AB324"/>
                  </w:pict>
                </mc:Fallback>
              </mc:AlternateContent>
            </w:r>
            <w:r>
              <w:rPr>
                <w:rFonts w:ascii="Times New Roman" w:hAnsi="Times New Roman"/>
                <w:noProof/>
                <w:sz w:val="18"/>
              </w:rPr>
              <w:t>50 %</w:t>
            </w:r>
          </w:p>
        </w:tc>
        <w:tc>
          <w:tcPr>
            <w:tcW w:w="1735" w:type="dxa"/>
            <w:vAlign w:val="center"/>
          </w:tcPr>
          <w:p w14:paraId="7F9210D2"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35 %</w:t>
            </w:r>
          </w:p>
        </w:tc>
        <w:tc>
          <w:tcPr>
            <w:tcW w:w="1562" w:type="dxa"/>
            <w:vAlign w:val="center"/>
          </w:tcPr>
          <w:p w14:paraId="219C353D"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24 %</w:t>
            </w:r>
          </w:p>
        </w:tc>
      </w:tr>
      <w:tr w:rsidR="00254822" w:rsidRPr="00CA2046" w14:paraId="65188D72" w14:textId="77777777" w:rsidTr="00DE3346">
        <w:trPr>
          <w:trHeight w:val="453"/>
          <w:jc w:val="center"/>
        </w:trPr>
        <w:tc>
          <w:tcPr>
            <w:tcW w:w="1138" w:type="dxa"/>
            <w:vMerge/>
            <w:vAlign w:val="center"/>
          </w:tcPr>
          <w:p w14:paraId="7265EFA4" w14:textId="77777777" w:rsidR="00210461" w:rsidRPr="00F43053" w:rsidRDefault="00210461" w:rsidP="00A63B3C">
            <w:pPr>
              <w:spacing w:line="480" w:lineRule="auto"/>
              <w:jc w:val="center"/>
              <w:rPr>
                <w:rFonts w:ascii="Times New Roman" w:hAnsi="Times New Roman" w:cs="Times New Roman"/>
                <w:noProof/>
                <w:sz w:val="18"/>
                <w:szCs w:val="18"/>
              </w:rPr>
            </w:pPr>
          </w:p>
        </w:tc>
        <w:tc>
          <w:tcPr>
            <w:tcW w:w="1717" w:type="dxa"/>
            <w:shd w:val="clear" w:color="auto" w:fill="B7CFED"/>
            <w:vAlign w:val="center"/>
          </w:tcPr>
          <w:p w14:paraId="4BA765BB"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b/>
                <w:noProof/>
                <w:color w:val="000000"/>
                <w:sz w:val="18"/>
              </w:rPr>
              <w:t>75</w:t>
            </w:r>
            <w:r>
              <w:rPr>
                <w:rFonts w:ascii="Times New Roman" w:hAnsi="Times New Roman"/>
                <w:b/>
                <w:noProof/>
                <w:color w:val="000000"/>
                <w:sz w:val="18"/>
                <w:vertAlign w:val="superscript"/>
              </w:rPr>
              <w:t>e</w:t>
            </w:r>
            <w:r>
              <w:rPr>
                <w:rFonts w:ascii="Times New Roman" w:hAnsi="Times New Roman"/>
                <w:b/>
                <w:noProof/>
                <w:color w:val="000000"/>
                <w:sz w:val="18"/>
              </w:rPr>
              <w:t xml:space="preserve"> centile</w:t>
            </w:r>
          </w:p>
        </w:tc>
        <w:tc>
          <w:tcPr>
            <w:tcW w:w="1351" w:type="dxa"/>
            <w:vAlign w:val="center"/>
          </w:tcPr>
          <w:p w14:paraId="6FF6A5C0"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76 %</w:t>
            </w:r>
          </w:p>
        </w:tc>
        <w:tc>
          <w:tcPr>
            <w:tcW w:w="1310" w:type="dxa"/>
            <w:vAlign w:val="center"/>
          </w:tcPr>
          <w:p w14:paraId="6441A963"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lang w:val="en-GB" w:eastAsia="en-GB"/>
              </w:rPr>
              <mc:AlternateContent>
                <mc:Choice Requires="wps">
                  <w:drawing>
                    <wp:anchor distT="0" distB="0" distL="114300" distR="114300" simplePos="0" relativeHeight="251658245" behindDoc="0" locked="0" layoutInCell="1" allowOverlap="1" wp14:anchorId="5F47FE35" wp14:editId="444F0D62">
                      <wp:simplePos x="0" y="0"/>
                      <wp:positionH relativeFrom="column">
                        <wp:posOffset>38100</wp:posOffset>
                      </wp:positionH>
                      <wp:positionV relativeFrom="paragraph">
                        <wp:posOffset>28575</wp:posOffset>
                      </wp:positionV>
                      <wp:extent cx="539750" cy="171450"/>
                      <wp:effectExtent l="0" t="0" r="12700" b="19050"/>
                      <wp:wrapNone/>
                      <wp:docPr id="242359181" name="Oval 1"/>
                      <wp:cNvGraphicFramePr/>
                      <a:graphic xmlns:a="http://schemas.openxmlformats.org/drawingml/2006/main">
                        <a:graphicData uri="http://schemas.microsoft.com/office/word/2010/wordprocessingShape">
                          <wps:wsp>
                            <wps:cNvSpPr/>
                            <wps:spPr>
                              <a:xfrm>
                                <a:off x="0" y="0"/>
                                <a:ext cx="539750" cy="171450"/>
                              </a:xfrm>
                              <a:prstGeom prst="ellipse">
                                <a:avLst/>
                              </a:prstGeom>
                              <a:noFill/>
                              <a:ln>
                                <a:solidFill>
                                  <a:srgbClr val="00B0F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xmlns:pic="http://schemas.openxmlformats.org/drawingml/2006/picture" xmlns:a14="http://schemas.microsoft.com/office/drawing/2010/main">
                  <w:pict>
                    <v:oval id="Oval 1" style="position:absolute;margin-left:3pt;margin-top:2.25pt;width:42.5pt;height:1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00b0f0"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" w14:anchorId="2694690B"/>
                  </w:pict>
                </mc:Fallback>
              </mc:AlternateContent>
            </w:r>
            <w:r>
              <w:rPr>
                <w:rFonts w:ascii="Times New Roman" w:hAnsi="Times New Roman"/>
                <w:noProof/>
                <w:sz w:val="18"/>
              </w:rPr>
              <w:t>54 %</w:t>
            </w:r>
          </w:p>
        </w:tc>
        <w:tc>
          <w:tcPr>
            <w:tcW w:w="1735" w:type="dxa"/>
            <w:vAlign w:val="center"/>
          </w:tcPr>
          <w:p w14:paraId="460C37DF"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43 %</w:t>
            </w:r>
          </w:p>
        </w:tc>
        <w:tc>
          <w:tcPr>
            <w:tcW w:w="1562" w:type="dxa"/>
            <w:vAlign w:val="center"/>
          </w:tcPr>
          <w:p w14:paraId="5DC837FB"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rPr>
              <w:t>28 %</w:t>
            </w:r>
          </w:p>
        </w:tc>
      </w:tr>
    </w:tbl>
    <w:p w14:paraId="483FB1C2" w14:textId="794C91AF" w:rsidR="00E803BB" w:rsidRPr="001D4252" w:rsidRDefault="00E803BB" w:rsidP="00A63B3C">
      <w:pPr>
        <w:spacing w:after="0"/>
        <w:ind w:left="142" w:firstLine="578"/>
        <w:rPr>
          <w:rFonts w:ascii="Times New Roman" w:eastAsia="Times New Roman" w:hAnsi="Times New Roman" w:cs="Times New Roman"/>
          <w:noProof/>
          <w:sz w:val="18"/>
          <w:szCs w:val="18"/>
        </w:rPr>
      </w:pPr>
      <w:r>
        <w:rPr>
          <w:rFonts w:ascii="Times New Roman" w:hAnsi="Times New Roman"/>
          <w:noProof/>
          <w:sz w:val="18"/>
        </w:rPr>
        <w:t>Source: Commission européenne d’après les données de l’AEMF du T1 2020 au T4 2025</w:t>
      </w:r>
    </w:p>
    <w:p w14:paraId="032B7908" w14:textId="77777777" w:rsidR="00B33547" w:rsidRDefault="00B33547" w:rsidP="002E1D5E">
      <w:pPr>
        <w:spacing w:after="0" w:line="280" w:lineRule="atLeast"/>
        <w:jc w:val="both"/>
        <w:rPr>
          <w:rFonts w:ascii="Times New Roman" w:hAnsi="Times New Roman" w:cs="Times New Roman"/>
          <w:noProof/>
        </w:rPr>
      </w:pPr>
    </w:p>
    <w:p w14:paraId="5D8A5BC8" w14:textId="2F62170A" w:rsidR="00480352" w:rsidRDefault="130D8D58" w:rsidP="00D04526">
      <w:pPr>
        <w:spacing w:after="0" w:line="280" w:lineRule="atLeast"/>
        <w:jc w:val="both"/>
        <w:rPr>
          <w:rFonts w:ascii="Times New Roman" w:hAnsi="Times New Roman" w:cs="Times New Roman"/>
          <w:noProof/>
        </w:rPr>
      </w:pPr>
      <w:r>
        <w:rPr>
          <w:rFonts w:ascii="Times New Roman" w:hAnsi="Times New Roman"/>
          <w:noProof/>
        </w:rPr>
        <w:t>Le fait que la plupart des fonds monétaires de l’UE détiennent des coussins de liquidité bien supérieurs aux exigences minimales fixées dans le règlement sur les fonds monétaires s’explique par l’approche généralement prudente adoptée par lesdits fonds, sous l’influence d’une surveillance rigoureuse, du contrôle exercé par les investisseurs (facilité par les exigences de transparence du règlement sur les fonds monétaires) et d’une sensibilité accrue aux risques d’atteinte à la réputation. Cette tendance reste relativement stable dans le temps, avec quelques variations (cf. graphique 1 sur les fonds à VL à faible volatilité et l’annexe I). Le graphique 1 montre que le niveau le plus bas de coussin de liquidité moyen qui ait été observé entre 2020 et 2025 est de 45 %, tandis que le 25</w:t>
      </w:r>
      <w:r>
        <w:rPr>
          <w:rFonts w:ascii="Times New Roman" w:hAnsi="Times New Roman"/>
          <w:noProof/>
          <w:vertAlign w:val="superscript"/>
        </w:rPr>
        <w:t>e</w:t>
      </w:r>
      <w:r>
        <w:rPr>
          <w:rFonts w:ascii="Times New Roman" w:hAnsi="Times New Roman"/>
          <w:noProof/>
        </w:rPr>
        <w:t xml:space="preserve"> centile n’est jamais tombé en dessous d’une moyenne de 40 % (T2 2025). </w:t>
      </w:r>
    </w:p>
    <w:p w14:paraId="7FAE7E96" w14:textId="5939AFBD" w:rsidR="009936D9" w:rsidRDefault="00480352" w:rsidP="00480352">
      <w:pPr>
        <w:rPr>
          <w:rFonts w:ascii="Times New Roman" w:hAnsi="Times New Roman" w:cs="Times New Roman"/>
          <w:noProof/>
        </w:rPr>
      </w:pPr>
      <w:r>
        <w:rPr>
          <w:noProof/>
        </w:rPr>
        <w:br w:type="page"/>
      </w:r>
    </w:p>
    <w:p w14:paraId="1FEFE698" w14:textId="324EF632" w:rsidR="007C78FB" w:rsidRPr="005B2BDE" w:rsidRDefault="008F2294" w:rsidP="002E1D5E">
      <w:pPr>
        <w:spacing w:after="120"/>
        <w:rPr>
          <w:rFonts w:ascii="Times New Roman" w:eastAsia="Times New Roman" w:hAnsi="Times New Roman" w:cs="Times New Roman"/>
          <w:b/>
          <w:noProof/>
        </w:rPr>
      </w:pPr>
      <w:r>
        <w:rPr>
          <w:rFonts w:ascii="Times New Roman" w:hAnsi="Times New Roman"/>
          <w:b/>
          <w:noProof/>
        </w:rPr>
        <w:lastRenderedPageBreak/>
        <w:t>Graphique 1: Tendances de la distribution des WLA pour les fonds monétaires à VL à faible volatilité</w:t>
      </w:r>
    </w:p>
    <w:p w14:paraId="516E0E03" w14:textId="74F58184" w:rsidR="007C78FB" w:rsidRPr="00C82DFF" w:rsidRDefault="00FF1024" w:rsidP="00FF1024">
      <w:pPr>
        <w:spacing w:after="0" w:line="240" w:lineRule="auto"/>
        <w:ind w:left="720"/>
        <w:rPr>
          <w:rFonts w:ascii="Times New Roman" w:hAnsi="Times New Roman" w:cs="Times New Roman"/>
          <w:noProof/>
        </w:rPr>
      </w:pPr>
      <w:r>
        <w:rPr>
          <w:rFonts w:ascii="Times New Roman" w:hAnsi="Times New Roman"/>
          <w:noProof/>
          <w:lang w:val="en-GB" w:eastAsia="en-GB"/>
        </w:rPr>
        <w:drawing>
          <wp:inline distT="0" distB="0" distL="0" distR="0" wp14:anchorId="0976A4EF" wp14:editId="44D9A3E6">
            <wp:extent cx="3562184" cy="2073045"/>
            <wp:effectExtent l="0" t="0" r="635" b="3810"/>
            <wp:docPr id="2132115097" name="Picture 1" descr="Un graphique avec des chiffres et des lignes&#10;&#10;Un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115097" name="Picture 1" descr="A graph with numbers and lines&#10;&#10;AI-generated content may be incorrect."/>
                    <pic:cNvPicPr/>
                  </pic:nvPicPr>
                  <pic:blipFill>
                    <a:blip r:embed="rId23"/>
                    <a:stretch>
                      <a:fillRect/>
                    </a:stretch>
                  </pic:blipFill>
                  <pic:spPr>
                    <a:xfrm>
                      <a:off x="0" y="0"/>
                      <a:ext cx="3606094" cy="2098599"/>
                    </a:xfrm>
                    <a:prstGeom prst="rect">
                      <a:avLst/>
                    </a:prstGeom>
                  </pic:spPr>
                </pic:pic>
              </a:graphicData>
            </a:graphic>
          </wp:inline>
        </w:drawing>
      </w:r>
    </w:p>
    <w:p w14:paraId="368BB2C8" w14:textId="77777777" w:rsidR="003229F6" w:rsidRDefault="003229F6" w:rsidP="00FF1024">
      <w:pPr>
        <w:spacing w:after="0" w:line="240" w:lineRule="auto"/>
        <w:ind w:firstLine="720"/>
        <w:rPr>
          <w:rFonts w:ascii="Times New Roman" w:eastAsia="Times New Roman" w:hAnsi="Times New Roman" w:cs="Times New Roman"/>
          <w:noProof/>
          <w:sz w:val="18"/>
          <w:szCs w:val="18"/>
        </w:rPr>
      </w:pPr>
    </w:p>
    <w:p w14:paraId="061C7D28" w14:textId="761E851E" w:rsidR="007C78FB" w:rsidRPr="00FF1024" w:rsidRDefault="007C78FB" w:rsidP="00FF1024">
      <w:pPr>
        <w:spacing w:after="0" w:line="240" w:lineRule="auto"/>
        <w:ind w:firstLine="720"/>
        <w:rPr>
          <w:rFonts w:ascii="Times New Roman" w:eastAsia="Times New Roman" w:hAnsi="Times New Roman" w:cs="Times New Roman"/>
          <w:noProof/>
          <w:sz w:val="18"/>
          <w:szCs w:val="18"/>
        </w:rPr>
      </w:pPr>
      <w:r>
        <w:rPr>
          <w:rFonts w:ascii="Times New Roman" w:hAnsi="Times New Roman"/>
          <w:noProof/>
          <w:sz w:val="18"/>
        </w:rPr>
        <w:t>Source: Commission européenne d’après les données de l’AEMF du T1 2020 au T4 2025</w:t>
      </w:r>
    </w:p>
    <w:p w14:paraId="393AF7C7" w14:textId="47EF0112" w:rsidR="008F2294" w:rsidRPr="00FF1024" w:rsidRDefault="00AE19F9" w:rsidP="00FF1024">
      <w:pPr>
        <w:spacing w:after="240" w:line="240" w:lineRule="auto"/>
        <w:ind w:left="720"/>
        <w:rPr>
          <w:rFonts w:ascii="Times New Roman" w:hAnsi="Times New Roman" w:cs="Times New Roman"/>
          <w:noProof/>
          <w:sz w:val="18"/>
          <w:szCs w:val="18"/>
        </w:rPr>
      </w:pPr>
      <w:r>
        <w:rPr>
          <w:rFonts w:ascii="Times New Roman" w:hAnsi="Times New Roman"/>
          <w:noProof/>
          <w:sz w:val="18"/>
        </w:rPr>
        <w:t>Remarque: Tendances du niveau moyen des WLA et des 25</w:t>
      </w:r>
      <w:r>
        <w:rPr>
          <w:rFonts w:ascii="Times New Roman" w:hAnsi="Times New Roman"/>
          <w:noProof/>
          <w:sz w:val="18"/>
          <w:vertAlign w:val="superscript"/>
        </w:rPr>
        <w:t>e</w:t>
      </w:r>
      <w:r>
        <w:rPr>
          <w:rFonts w:ascii="Times New Roman" w:hAnsi="Times New Roman"/>
          <w:noProof/>
          <w:sz w:val="18"/>
        </w:rPr>
        <w:t xml:space="preserve"> et 75</w:t>
      </w:r>
      <w:r>
        <w:rPr>
          <w:rFonts w:ascii="Times New Roman" w:hAnsi="Times New Roman"/>
          <w:noProof/>
          <w:sz w:val="18"/>
          <w:vertAlign w:val="superscript"/>
        </w:rPr>
        <w:t>e</w:t>
      </w:r>
      <w:r>
        <w:rPr>
          <w:rFonts w:ascii="Times New Roman" w:hAnsi="Times New Roman"/>
          <w:noProof/>
          <w:sz w:val="18"/>
        </w:rPr>
        <w:t xml:space="preserve"> centiles des WLA (en pourcentage de la VL) pour l’ensemble des fonds à VL à faible volatilité.</w:t>
      </w:r>
    </w:p>
    <w:p w14:paraId="3057F3BA" w14:textId="224FD565" w:rsidR="00251F5E" w:rsidRDefault="60407245" w:rsidP="00D04526">
      <w:pPr>
        <w:spacing w:before="240" w:after="240" w:line="280" w:lineRule="atLeast"/>
        <w:jc w:val="both"/>
        <w:rPr>
          <w:rFonts w:ascii="Times New Roman" w:hAnsi="Times New Roman" w:cs="Times New Roman"/>
          <w:noProof/>
        </w:rPr>
      </w:pPr>
      <w:r>
        <w:rPr>
          <w:rFonts w:ascii="Times New Roman" w:hAnsi="Times New Roman"/>
          <w:noProof/>
        </w:rPr>
        <w:t xml:space="preserve">Des tendances similaires sont observées pour d’autres exigences quantitatives au titre du règlement sur les fonds monétaires, ce qui indique une approche prudente dans l’ensemble du secteur des fonds monétaires. Par exemple, les WAL sont restées à des niveaux nettement inférieurs aux maxima réglementaires applicables. Pour les fonds à VLC, les fonds à VL à faible volatilité et les fonds à VLV à court terme, les WAL moyennes et médianes se situaient généralement en moyenne dans une fourchette de 40 à 65 jours, alors que le maximum réglementaire est de 120 jours. Cela indique que les maturités des actifs sont, en moyenne, deux à trois fois plus courtes que la limite réglementaire, </w:t>
      </w:r>
      <w:r>
        <w:rPr>
          <w:rFonts w:ascii="Times New Roman" w:hAnsi="Times New Roman"/>
          <w:b/>
          <w:noProof/>
        </w:rPr>
        <w:t>ce qui permet un remboursement plus rapide et contribue à la reconstitution des coussins de liquidité.</w:t>
      </w:r>
      <w:r>
        <w:rPr>
          <w:rFonts w:ascii="Times New Roman" w:hAnsi="Times New Roman"/>
          <w:noProof/>
        </w:rPr>
        <w:t xml:space="preserve"> Les fonds à VLV standard affichaient des WAL plus élevées, avec des niveaux moyens et médians de l’ordre de 110 à 125 jours, bien en dessous du plafond réglementaire de 360 jours</w:t>
      </w:r>
      <w:r>
        <w:rPr>
          <w:rStyle w:val="FootnoteReference"/>
          <w:rFonts w:ascii="Times New Roman" w:hAnsi="Times New Roman" w:cs="Times New Roman"/>
          <w:noProof/>
        </w:rPr>
        <w:footnoteReference w:id="8"/>
      </w:r>
      <w:r>
        <w:rPr>
          <w:noProof/>
        </w:rPr>
        <w:t>.</w:t>
      </w:r>
    </w:p>
    <w:p w14:paraId="6EF9094B" w14:textId="77777777" w:rsidR="009936D9" w:rsidRDefault="009936D9" w:rsidP="00D04526">
      <w:pPr>
        <w:spacing w:after="0" w:line="240" w:lineRule="auto"/>
        <w:jc w:val="both"/>
        <w:rPr>
          <w:rFonts w:ascii="Times New Roman" w:hAnsi="Times New Roman" w:cs="Times New Roman"/>
          <w:noProof/>
        </w:rPr>
      </w:pPr>
    </w:p>
    <w:p w14:paraId="17B5EFCF" w14:textId="27D9A869" w:rsidR="00D10012" w:rsidRPr="00C82DFF" w:rsidRDefault="34968161" w:rsidP="00F864A5">
      <w:pPr>
        <w:shd w:val="clear" w:color="auto" w:fill="DBE5F1" w:themeFill="accent1" w:themeFillTint="33"/>
        <w:spacing w:after="240" w:line="240" w:lineRule="auto"/>
        <w:jc w:val="both"/>
        <w:rPr>
          <w:rFonts w:ascii="Times New Roman" w:hAnsi="Times New Roman" w:cs="Times New Roman"/>
          <w:b/>
          <w:bCs/>
          <w:noProof/>
        </w:rPr>
      </w:pPr>
      <w:r>
        <w:rPr>
          <w:rFonts w:ascii="Times New Roman" w:hAnsi="Times New Roman"/>
          <w:b/>
          <w:noProof/>
        </w:rPr>
        <w:t xml:space="preserve">Constatation clé nº 2: les fonds monétaires détiennent des niveaux variables de coussin de liquidité du fait de leurs caractéristiques différentes, en raison des degrés variables de chocs de liquidité potentiels auxquels ils sont exposés </w:t>
      </w:r>
    </w:p>
    <w:p w14:paraId="5AEB429C" w14:textId="0BF6391E" w:rsidR="00006D85" w:rsidRPr="00C82DFF" w:rsidRDefault="08459332" w:rsidP="004929D6">
      <w:pPr>
        <w:spacing w:before="240" w:after="240"/>
        <w:jc w:val="both"/>
        <w:rPr>
          <w:rFonts w:ascii="Times New Roman" w:hAnsi="Times New Roman" w:cs="Times New Roman"/>
          <w:noProof/>
        </w:rPr>
      </w:pPr>
      <w:r>
        <w:rPr>
          <w:rFonts w:ascii="Times New Roman" w:hAnsi="Times New Roman"/>
          <w:noProof/>
        </w:rPr>
        <w:t xml:space="preserve">Les fonds monétaires opèrent généralement avec des coussins supérieurs aux minima réglementaires, mais le niveau de ces coussins est variable. En effet, les fonds monétaires diffèrent les uns des autres par leurs caractéristiques, notamment leur catégorie (VLV, VL à faible volatilité ou VLC), la monnaie dans laquelle ils sont libellés, la composition de leur base d’investisseurs et le but dans lequel ils sont utilisés (voir annexe II). Ils sont donc exposés à des degrés variables de chocs de liquidité potentiels. Même des fonds monétaires de même type et de même monnaie n’ont pas nécessairement la même vulnérabilité aux chocs de liquidité. </w:t>
      </w:r>
    </w:p>
    <w:p w14:paraId="717C3E74" w14:textId="5DB1A5FD" w:rsidR="00480352" w:rsidRDefault="00006D85" w:rsidP="003B558A">
      <w:pPr>
        <w:spacing w:after="120"/>
        <w:jc w:val="both"/>
        <w:rPr>
          <w:rFonts w:ascii="Times New Roman" w:eastAsia="Times New Roman" w:hAnsi="Times New Roman" w:cs="Times New Roman"/>
          <w:noProof/>
        </w:rPr>
      </w:pPr>
      <w:r>
        <w:rPr>
          <w:rFonts w:ascii="Times New Roman" w:hAnsi="Times New Roman"/>
          <w:noProof/>
        </w:rPr>
        <w:t xml:space="preserve">À cet égard, en moyenne, les fonds monétaires ont subi des chocs de rachats lors de l’événement de marché lié à la COVID-19 (cf. graphique 2) qui étaient </w:t>
      </w:r>
      <w:r>
        <w:rPr>
          <w:rFonts w:ascii="Times New Roman" w:hAnsi="Times New Roman"/>
          <w:b/>
          <w:noProof/>
        </w:rPr>
        <w:t>gérables grâce à leurs coussins de liquidité</w:t>
      </w:r>
      <w:r>
        <w:rPr>
          <w:rFonts w:ascii="Times New Roman" w:hAnsi="Times New Roman"/>
          <w:noProof/>
        </w:rPr>
        <w:t>. Le graphique 2 montre que, sur un mois, les fonds à VLV ont fait face à des retraits d’environ 13 %, à mettre au regard d’un coussin minimal de liquidités hebdomadaires de 15 %. Les fonds à VL à faible volatilité ont enregistré des flux sortants d’environ 12 %, qui ont atteint 27 % pour les fonds libellés en USD, à mettre au regard d’un coussin de liquidités hebdomadaires de 30 %. En revanche, les fonds à VLC ont enregistré d’importants flux entrants au cours de la phase initiale de la pandémie de COVID-19.</w:t>
      </w:r>
    </w:p>
    <w:p w14:paraId="155C5243" w14:textId="5CDFC17B" w:rsidR="009936D9" w:rsidRPr="00480352" w:rsidRDefault="00480352" w:rsidP="003B558A">
      <w:pPr>
        <w:spacing w:after="0"/>
        <w:rPr>
          <w:rFonts w:ascii="Times New Roman" w:eastAsia="Times New Roman" w:hAnsi="Times New Roman" w:cs="Times New Roman"/>
          <w:noProof/>
        </w:rPr>
      </w:pPr>
      <w:r>
        <w:rPr>
          <w:noProof/>
        </w:rPr>
        <w:br w:type="page"/>
      </w:r>
    </w:p>
    <w:p w14:paraId="69E0B72E" w14:textId="4AA0C96E" w:rsidR="00BC55DF" w:rsidRPr="00CE6D65" w:rsidRDefault="00127D5D" w:rsidP="00DB7263">
      <w:pPr>
        <w:spacing w:before="240" w:after="240"/>
        <w:rPr>
          <w:rFonts w:ascii="Times New Roman" w:eastAsia="Times New Roman" w:hAnsi="Times New Roman" w:cs="Times New Roman"/>
          <w:b/>
          <w:noProof/>
        </w:rPr>
      </w:pPr>
      <w:r>
        <w:rPr>
          <w:rFonts w:ascii="Times New Roman" w:hAnsi="Times New Roman"/>
          <w:b/>
          <w:noProof/>
        </w:rPr>
        <w:lastRenderedPageBreak/>
        <w:t>Graphique 2: Flux nets cumulés dans les fonds monétaires au début de l’événement de marché lié à la COVID-19</w:t>
      </w:r>
    </w:p>
    <w:p w14:paraId="5A9601CB" w14:textId="136D7611" w:rsidR="00457A39" w:rsidRPr="00893A14" w:rsidRDefault="00EB5B98" w:rsidP="00457A39">
      <w:pPr>
        <w:spacing w:before="240" w:after="240"/>
        <w:jc w:val="center"/>
        <w:rPr>
          <w:rFonts w:ascii="Times New Roman" w:eastAsia="Times New Roman" w:hAnsi="Times New Roman" w:cs="Times New Roman"/>
          <w:noProof/>
        </w:rPr>
      </w:pPr>
      <w:r>
        <w:rPr>
          <w:rFonts w:ascii="Times New Roman" w:hAnsi="Times New Roman"/>
          <w:noProof/>
          <w:lang w:val="en-GB" w:eastAsia="en-GB"/>
        </w:rPr>
        <w:drawing>
          <wp:inline distT="0" distB="0" distL="0" distR="0" wp14:anchorId="7D935738" wp14:editId="546711C4">
            <wp:extent cx="5760720" cy="2472055"/>
            <wp:effectExtent l="0" t="0" r="0" b="4445"/>
            <wp:docPr id="805081643" name="Picture 1" descr="Un graphique composé de différentes lignes colorées&#10;&#10;Un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081643" name="Picture 1" descr="A graph of different colored lines&#10;&#10;AI-generated content may be incorrect."/>
                    <pic:cNvPicPr/>
                  </pic:nvPicPr>
                  <pic:blipFill>
                    <a:blip r:embed="rId24"/>
                    <a:stretch>
                      <a:fillRect/>
                    </a:stretch>
                  </pic:blipFill>
                  <pic:spPr>
                    <a:xfrm>
                      <a:off x="0" y="0"/>
                      <a:ext cx="5760720" cy="2472055"/>
                    </a:xfrm>
                    <a:prstGeom prst="rect">
                      <a:avLst/>
                    </a:prstGeom>
                  </pic:spPr>
                </pic:pic>
              </a:graphicData>
            </a:graphic>
          </wp:inline>
        </w:drawing>
      </w:r>
      <w:r>
        <w:rPr>
          <w:rFonts w:ascii="Times New Roman" w:hAnsi="Times New Roman"/>
          <w:noProof/>
        </w:rPr>
        <w:t xml:space="preserve"> </w:t>
      </w:r>
    </w:p>
    <w:p w14:paraId="47CFBC49" w14:textId="40C4E24E" w:rsidR="00457A39" w:rsidRPr="00FB0392" w:rsidRDefault="00457A39" w:rsidP="00F43053">
      <w:pPr>
        <w:spacing w:after="0" w:line="240" w:lineRule="auto"/>
        <w:jc w:val="both"/>
        <w:rPr>
          <w:rFonts w:ascii="Times New Roman" w:eastAsia="Times New Roman" w:hAnsi="Times New Roman" w:cs="Times New Roman"/>
          <w:noProof/>
          <w:sz w:val="18"/>
          <w:szCs w:val="18"/>
        </w:rPr>
      </w:pPr>
      <w:r>
        <w:rPr>
          <w:rFonts w:ascii="Times New Roman" w:hAnsi="Times New Roman"/>
          <w:noProof/>
          <w:sz w:val="18"/>
        </w:rPr>
        <w:t>Source:  Rapport du CERS, juillet 2021</w:t>
      </w:r>
      <w:r>
        <w:rPr>
          <w:noProof/>
        </w:rPr>
        <w:t xml:space="preserve">, </w:t>
      </w:r>
      <w:hyperlink r:id="rId25" w:history="1">
        <w:r>
          <w:rPr>
            <w:rStyle w:val="Hyperlink"/>
            <w:rFonts w:ascii="Times New Roman" w:hAnsi="Times New Roman"/>
            <w:noProof/>
            <w:sz w:val="18"/>
          </w:rPr>
          <w:t>Issues note on systemic vulnerabilities of and preliminary policy considerations to reform money market funds</w:t>
        </w:r>
      </w:hyperlink>
      <w:r w:rsidR="00B36514">
        <w:t xml:space="preserve"> </w:t>
      </w:r>
      <w:r w:rsidRPr="00E5086A">
        <w:rPr>
          <w:rFonts w:ascii="Times New Roman" w:hAnsi="Times New Roman" w:cs="Times New Roman"/>
          <w:noProof/>
          <w:sz w:val="18"/>
          <w:szCs w:val="18"/>
        </w:rPr>
        <w:t>(note thématique sur les vulnérabilités systémiques des fonds monétaires et considérations préliminaires sur les politiques de réforme de ces fonds).</w:t>
      </w:r>
    </w:p>
    <w:p w14:paraId="77F84245" w14:textId="2D689535" w:rsidR="0018041B" w:rsidRPr="006F305A" w:rsidRDefault="00D06CD6" w:rsidP="00F43053">
      <w:pPr>
        <w:spacing w:after="0" w:line="240" w:lineRule="auto"/>
        <w:jc w:val="both"/>
        <w:rPr>
          <w:rFonts w:ascii="Times New Roman" w:eastAsia="Times New Roman" w:hAnsi="Times New Roman" w:cs="Times New Roman"/>
          <w:noProof/>
          <w:sz w:val="18"/>
          <w:szCs w:val="18"/>
        </w:rPr>
      </w:pPr>
      <w:r>
        <w:rPr>
          <w:rFonts w:ascii="Times New Roman" w:hAnsi="Times New Roman"/>
          <w:noProof/>
          <w:sz w:val="18"/>
        </w:rPr>
        <w:t>Remarque: Flux journaliers cumulés nets ventilés par type de fonds monétaire et exprimés en milliards d’euros (axe des y). Les valeurs positives indiquent des souscriptions nettes, tandis que les valeurs négatives indiquent des rachats nets. Les pourcentages indiquent les flux des fonds par rapport à la valeur liquidative de chaque type de fonds.</w:t>
      </w:r>
    </w:p>
    <w:p w14:paraId="0E33767D" w14:textId="670AC5D6" w:rsidR="004C5A39" w:rsidRPr="00C82DFF" w:rsidRDefault="1A185C71" w:rsidP="00D04526">
      <w:pPr>
        <w:spacing w:after="240" w:line="280" w:lineRule="atLeast"/>
        <w:jc w:val="both"/>
        <w:rPr>
          <w:rFonts w:ascii="Times New Roman" w:eastAsia="Times New Roman" w:hAnsi="Times New Roman" w:cs="Times New Roman"/>
          <w:noProof/>
        </w:rPr>
      </w:pPr>
      <w:r>
        <w:rPr>
          <w:rFonts w:ascii="Times New Roman" w:hAnsi="Times New Roman"/>
          <w:noProof/>
        </w:rPr>
        <w:t>Les fonds à VL à faible volatilité en USD ont subi un choc de rachats important lors de l’événement de marché lié à la crise de la COVID-19. Toutefois, l’incidence a été extrêmement inégale au sein de cette cohorte de fonds monétaires, 6 % ayant enregistré des flux sortants nets cumulés dépassant 30 %, tandis que 10 % n’ont pas du tout subi de rachats. Entre ces deux extrêmes, différents niveaux intermédiaires de flux entrants ou sortants ont été observés, comme le montre le graphique 3. Les lignes représentent les flux nets cumulés des différents fonds à VL à faible volatilité en USD sur environ cinq semaines de l’événement de marché lié à la COVID-19.</w:t>
      </w:r>
    </w:p>
    <w:p w14:paraId="6F3F5A8F" w14:textId="600CC05F" w:rsidR="00853795" w:rsidRPr="00042897" w:rsidRDefault="007C3AFE" w:rsidP="00CE6D65">
      <w:pPr>
        <w:spacing w:before="240" w:after="240"/>
        <w:rPr>
          <w:rFonts w:ascii="Times New Roman" w:eastAsia="Times New Roman" w:hAnsi="Times New Roman" w:cs="Times New Roman"/>
          <w:b/>
          <w:noProof/>
          <w:sz w:val="21"/>
          <w:szCs w:val="21"/>
        </w:rPr>
      </w:pPr>
      <w:r>
        <w:rPr>
          <w:rFonts w:ascii="Times New Roman" w:hAnsi="Times New Roman"/>
          <w:b/>
          <w:noProof/>
          <w:sz w:val="21"/>
        </w:rPr>
        <w:t>Graphique 3: Flux cumulés de différents fonds à VL à faible volatilité en USD pendant l’événement de marché lié à la COVID-19</w:t>
      </w:r>
    </w:p>
    <w:p w14:paraId="1F22BF4F" w14:textId="1AFCE357" w:rsidR="0033187F" w:rsidRPr="00C82DFF" w:rsidRDefault="00250A84" w:rsidP="00254822">
      <w:pPr>
        <w:spacing w:before="240" w:after="0"/>
        <w:ind w:left="720"/>
        <w:rPr>
          <w:rFonts w:ascii="Times New Roman" w:eastAsia="Times New Roman" w:hAnsi="Times New Roman" w:cs="Times New Roman"/>
          <w:noProof/>
        </w:rPr>
      </w:pPr>
      <w:r>
        <w:rPr>
          <w:rFonts w:ascii="Times New Roman" w:hAnsi="Times New Roman"/>
          <w:noProof/>
          <w:lang w:val="en-GB" w:eastAsia="en-GB"/>
        </w:rPr>
        <w:drawing>
          <wp:inline distT="0" distB="0" distL="0" distR="0" wp14:anchorId="72AA2DC9" wp14:editId="09F4E288">
            <wp:extent cx="3411110" cy="2350238"/>
            <wp:effectExtent l="0" t="0" r="0" b="0"/>
            <wp:docPr id="1426066247" name="Picture 1" descr="Un graphique composé de différentes lignes colorées&#10;&#10;Un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066247" name="Picture 1" descr="A graph of different colored lines&#10;&#10;AI-generated content may be incorrect."/>
                    <pic:cNvPicPr/>
                  </pic:nvPicPr>
                  <pic:blipFill>
                    <a:blip r:embed="rId26"/>
                    <a:stretch>
                      <a:fillRect/>
                    </a:stretch>
                  </pic:blipFill>
                  <pic:spPr>
                    <a:xfrm>
                      <a:off x="0" y="0"/>
                      <a:ext cx="3426424" cy="2360790"/>
                    </a:xfrm>
                    <a:prstGeom prst="rect">
                      <a:avLst/>
                    </a:prstGeom>
                  </pic:spPr>
                </pic:pic>
              </a:graphicData>
            </a:graphic>
          </wp:inline>
        </w:drawing>
      </w:r>
    </w:p>
    <w:p w14:paraId="03B2F040" w14:textId="5717CBE5" w:rsidR="00CD2D2C" w:rsidRPr="00B206C5" w:rsidRDefault="00CD2D2C" w:rsidP="008D7C20">
      <w:pPr>
        <w:pStyle w:val="paragraph"/>
        <w:spacing w:before="0" w:beforeAutospacing="0" w:after="0" w:afterAutospacing="0"/>
        <w:textAlignment w:val="baseline"/>
        <w:rPr>
          <w:rFonts w:ascii="Segoe UI" w:hAnsi="Segoe UI" w:cs="Segoe UI"/>
          <w:noProof/>
          <w:sz w:val="18"/>
          <w:szCs w:val="18"/>
        </w:rPr>
      </w:pPr>
      <w:r>
        <w:rPr>
          <w:rStyle w:val="normaltextrun"/>
          <w:noProof/>
          <w:sz w:val="18"/>
        </w:rPr>
        <w:t>Sources: Crane Data et ANC.</w:t>
      </w:r>
    </w:p>
    <w:p w14:paraId="02B7896A" w14:textId="0ED0C207" w:rsidR="00480352" w:rsidRDefault="00D72F78" w:rsidP="008D7C20">
      <w:pPr>
        <w:pStyle w:val="paragraph"/>
        <w:spacing w:before="0" w:beforeAutospacing="0" w:after="0" w:afterAutospacing="0"/>
        <w:jc w:val="both"/>
        <w:textAlignment w:val="baseline"/>
        <w:rPr>
          <w:rStyle w:val="normaltextrun"/>
          <w:rFonts w:eastAsiaTheme="majorEastAsia"/>
          <w:noProof/>
          <w:sz w:val="18"/>
          <w:szCs w:val="18"/>
        </w:rPr>
      </w:pPr>
      <w:r>
        <w:rPr>
          <w:rStyle w:val="normaltextrun"/>
          <w:noProof/>
          <w:sz w:val="18"/>
        </w:rPr>
        <w:t>Remarque: Chaque ligne représente les flux cumulés nets en pourcentage de la VL (axe des y) d’un fonds à VL à faible volatilité en USD dont la VL est supérieure à 1 milliard d’EUR. Les valeurs positives indiquent des souscriptions nettes, tandis que les valeurs négatives indiquent des rachats nets. Ces exemples montrent que, si les fonds à VL à faible volatilité en USD ont fait face à des rachats importants pendant l’événement de marché lié à la COVID-19, l’impact sur les fonds monétaires de ce type a été inégal d’un fonds à l’autre.</w:t>
      </w:r>
    </w:p>
    <w:p w14:paraId="41E47E8B" w14:textId="77777777" w:rsidR="00480352" w:rsidRDefault="00480352">
      <w:pPr>
        <w:rPr>
          <w:rStyle w:val="normaltextrun"/>
          <w:rFonts w:ascii="Times New Roman" w:eastAsiaTheme="majorEastAsia" w:hAnsi="Times New Roman" w:cs="Times New Roman"/>
          <w:noProof/>
          <w:sz w:val="18"/>
          <w:szCs w:val="18"/>
        </w:rPr>
      </w:pPr>
      <w:r>
        <w:rPr>
          <w:noProof/>
        </w:rPr>
        <w:br w:type="page"/>
      </w:r>
    </w:p>
    <w:p w14:paraId="7BBC1758" w14:textId="0C2F1CFC" w:rsidR="004637D8" w:rsidRPr="00C82DFF" w:rsidRDefault="4D360710" w:rsidP="00A05E3A">
      <w:pPr>
        <w:pStyle w:val="Heading2"/>
        <w:spacing w:before="240" w:after="240"/>
        <w:ind w:left="578" w:hanging="578"/>
        <w:rPr>
          <w:rFonts w:cs="Times New Roman"/>
          <w:noProof/>
          <w:sz w:val="22"/>
          <w:szCs w:val="22"/>
        </w:rPr>
      </w:pPr>
      <w:bookmarkStart w:id="21" w:name="_Toc227857264"/>
      <w:r>
        <w:rPr>
          <w:noProof/>
          <w:sz w:val="22"/>
        </w:rPr>
        <w:lastRenderedPageBreak/>
        <w:t>Comment les fonds monétaires honorent les demandes de rachat</w:t>
      </w:r>
      <w:bookmarkEnd w:id="21"/>
    </w:p>
    <w:p w14:paraId="27485294" w14:textId="72D17C95" w:rsidR="005B2BDE" w:rsidRDefault="00AF21CD" w:rsidP="00D04526">
      <w:pPr>
        <w:spacing w:after="240" w:line="280" w:lineRule="atLeast"/>
        <w:jc w:val="both"/>
        <w:rPr>
          <w:rFonts w:ascii="Times New Roman" w:eastAsia="Times New Roman" w:hAnsi="Times New Roman" w:cs="Times New Roman"/>
          <w:noProof/>
        </w:rPr>
      </w:pPr>
      <w:r>
        <w:rPr>
          <w:rFonts w:ascii="Times New Roman" w:hAnsi="Times New Roman"/>
          <w:noProof/>
        </w:rPr>
        <w:t xml:space="preserve">Les situations de tensions sur les marchés, par exemple pendant les événements de marché liés à la pandémie de COVID-19 et aux fonds à gestion adossée au passif (LDI), fournissent des informations précieuses sur la dynamique de la gestion de la liquidité dans de telles situations. La Commission a analysé la capacité des fonds monétaires à reconstituer leurs coussins de liquidité, y compris en période de tensions sur les marchés. S’appuyant sur de vastes jeux de données, cette analyse s’est focalisée sur deux niveaux:  1) le marché dans son ensemble; et 2) un examen plus poussé des fonds monétaires qui ont subi les chocs de liquidité les plus graves. </w:t>
      </w:r>
    </w:p>
    <w:p w14:paraId="31C3AB3B" w14:textId="7280DED8" w:rsidR="00EE59BE" w:rsidRPr="00C82DFF" w:rsidRDefault="00EE59BE" w:rsidP="0006081F">
      <w:pPr>
        <w:shd w:val="clear" w:color="auto" w:fill="DBE5F1" w:themeFill="accent1" w:themeFillTint="33"/>
        <w:spacing w:before="240" w:after="240" w:line="280" w:lineRule="atLeast"/>
        <w:jc w:val="both"/>
        <w:rPr>
          <w:rFonts w:ascii="Times New Roman" w:hAnsi="Times New Roman" w:cs="Times New Roman"/>
          <w:b/>
          <w:bCs/>
          <w:noProof/>
        </w:rPr>
      </w:pPr>
      <w:r>
        <w:rPr>
          <w:rFonts w:ascii="Times New Roman" w:hAnsi="Times New Roman"/>
          <w:b/>
          <w:noProof/>
        </w:rPr>
        <w:t>Constatation clé nº 3: les fonds monétaires sont en mesure de reconstituer leurs coussins de liquidité en cas de forte pression des demandes de rachats, y compris dans une situation de tensions sur les marchés</w:t>
      </w:r>
    </w:p>
    <w:p w14:paraId="4C2EB7C4" w14:textId="70944938" w:rsidR="00FA2D0C" w:rsidRPr="00C82DFF" w:rsidRDefault="6E105919" w:rsidP="00D04526">
      <w:pPr>
        <w:spacing w:after="240" w:line="280" w:lineRule="atLeast"/>
        <w:jc w:val="both"/>
        <w:rPr>
          <w:rFonts w:ascii="Times New Roman" w:eastAsia="Times New Roman" w:hAnsi="Times New Roman" w:cs="Times New Roman"/>
          <w:noProof/>
        </w:rPr>
      </w:pPr>
      <w:r>
        <w:rPr>
          <w:rStyle w:val="Strong"/>
          <w:rFonts w:ascii="Times New Roman" w:hAnsi="Times New Roman"/>
          <w:noProof/>
        </w:rPr>
        <w:t>Dans des conditions de marché normales, les fonds monétaires maintiennent et reconstituent généralement leurs coussins de liquidité au moyen d’«opérations mécaniques».</w:t>
      </w:r>
      <w:r>
        <w:rPr>
          <w:rFonts w:ascii="Times New Roman" w:hAnsi="Times New Roman"/>
          <w:noProof/>
        </w:rPr>
        <w:t xml:space="preserve"> Cet objectif est atteint non seulement au moyen de cycles récurrents de «roll-down» d’actifs de haute qualité arrivant à échéance à court terme (billets de trésorerie/certificats de dépôt/bons du trésor</w:t>
      </w:r>
      <w:r>
        <w:rPr>
          <w:rStyle w:val="FootnoteReference"/>
          <w:rFonts w:ascii="Times New Roman" w:hAnsi="Times New Roman" w:cs="Times New Roman"/>
          <w:noProof/>
        </w:rPr>
        <w:footnoteReference w:id="9"/>
      </w:r>
      <w:r>
        <w:rPr>
          <w:rFonts w:ascii="Times New Roman" w:hAnsi="Times New Roman"/>
          <w:noProof/>
        </w:rPr>
        <w:t xml:space="preserve">) et du réinvestissement des liquidités dans de nouveaux actifs arrivant à échéance à court terme, mais aussi par des opérations sur le marché secondaire et le recours à des financements garantis au jour le jour (par exemple, des prises en pension) dont le volume peut être ajusté à la hausse ou à la baisse quotidiennement. Ce processus est réglementé et surveillé sur la base des exigences de maturité strictes prévues par le règlement sur les fonds monétaires, en particulier la WAL, qui limite la maturité moyenne des actifs des fonds monétaires dans leur ensemble et limite la maturité de chaque actif individuellement (voir tableau 1). </w:t>
      </w:r>
    </w:p>
    <w:p w14:paraId="4BC31E32" w14:textId="053DCEF5" w:rsidR="00B5082E" w:rsidRDefault="3102609F" w:rsidP="00D04526">
      <w:pPr>
        <w:spacing w:after="120" w:line="280" w:lineRule="atLeast"/>
        <w:jc w:val="both"/>
        <w:rPr>
          <w:rFonts w:ascii="Times New Roman" w:hAnsi="Times New Roman" w:cs="Times New Roman"/>
          <w:noProof/>
        </w:rPr>
      </w:pPr>
      <w:r>
        <w:rPr>
          <w:rFonts w:ascii="Times New Roman" w:hAnsi="Times New Roman"/>
          <w:b/>
          <w:noProof/>
        </w:rPr>
        <w:t>En période de tensions sur les marchés,</w:t>
      </w:r>
      <w:r>
        <w:rPr>
          <w:rFonts w:ascii="Times New Roman" w:hAnsi="Times New Roman"/>
          <w:noProof/>
        </w:rPr>
        <w:t xml:space="preserve"> </w:t>
      </w:r>
      <w:r>
        <w:rPr>
          <w:rFonts w:ascii="Times New Roman" w:hAnsi="Times New Roman"/>
          <w:b/>
          <w:noProof/>
        </w:rPr>
        <w:t>la «reconstitution» des fonds monétaires s’opère non plus par des opérations mécaniques, mais par des «opérations défensives».</w:t>
      </w:r>
      <w:r>
        <w:rPr>
          <w:rFonts w:ascii="Times New Roman" w:hAnsi="Times New Roman"/>
          <w:noProof/>
        </w:rPr>
        <w:t xml:space="preserve"> À mesure que les rachats s’accélèrent et que la liquidité du marché secondaire se détériore, les gestionnaires de fonds monétaires accélèrent activement la génération de liquidités en liquidant les avoirs et réduisent l’exposition aux prix du marché (cf. graphique 4). Pour ce faire, ils ajustent la composition du portefeuille afin de réduire la WAM (sensibilité au prix du marché) et la WAL (maturité moyenne)</w:t>
      </w:r>
      <w:r>
        <w:rPr>
          <w:rStyle w:val="FootnoteReference"/>
          <w:rFonts w:ascii="Times New Roman" w:eastAsia="Times New Roman" w:hAnsi="Times New Roman" w:cs="Times New Roman"/>
          <w:noProof/>
          <w:lang w:eastAsia="en-IE"/>
        </w:rPr>
        <w:footnoteReference w:id="10"/>
      </w:r>
      <w:r>
        <w:rPr>
          <w:rFonts w:ascii="Times New Roman" w:hAnsi="Times New Roman"/>
          <w:noProof/>
        </w:rPr>
        <w:t xml:space="preserve"> en concentrant les réinvestissements sur les obligations les plus liquides ayant la maturité la plus courte. Cela permet aux fonds monétaires d’accélérer le rythme de rétablissement des coussins de liquidité. Le graphique 3 montre l’évolution des portefeuilles obligataires des fonds monétaires avant et au début de la pandémie de COVID-19. Il montre que, dans l’ensemble du secteur, la proportion d’obligations de maturité courte (3 à 6 mois) dans le portefeuille a presque doublé entre décembre 2019 et juin 2020.  </w:t>
      </w:r>
    </w:p>
    <w:p w14:paraId="1E7354FA" w14:textId="77777777" w:rsidR="00866624" w:rsidRDefault="00866624" w:rsidP="00365E2F">
      <w:pPr>
        <w:spacing w:before="120" w:after="0" w:line="240" w:lineRule="atLeast"/>
        <w:jc w:val="both"/>
        <w:rPr>
          <w:rFonts w:ascii="Times New Roman" w:hAnsi="Times New Roman" w:cs="Times New Roman"/>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222"/>
        <w:gridCol w:w="4058"/>
      </w:tblGrid>
      <w:tr w:rsidR="00262651" w14:paraId="52181AB5" w14:textId="77777777" w:rsidTr="00AB0E4A">
        <w:tc>
          <w:tcPr>
            <w:tcW w:w="4386" w:type="dxa"/>
          </w:tcPr>
          <w:p w14:paraId="4101A1E6" w14:textId="5F5E9F17" w:rsidR="00262651" w:rsidRPr="006E5ECF" w:rsidRDefault="00262651" w:rsidP="003B558A">
            <w:pPr>
              <w:keepNext/>
              <w:keepLines/>
              <w:widowControl w:val="0"/>
              <w:spacing w:after="120"/>
              <w:rPr>
                <w:rFonts w:ascii="Times New Roman" w:hAnsi="Times New Roman" w:cs="Times New Roman"/>
                <w:b/>
                <w:noProof/>
                <w:sz w:val="20"/>
                <w:szCs w:val="20"/>
              </w:rPr>
            </w:pPr>
            <w:r>
              <w:rPr>
                <w:rFonts w:ascii="Times New Roman" w:hAnsi="Times New Roman"/>
                <w:b/>
                <w:noProof/>
                <w:sz w:val="20"/>
              </w:rPr>
              <w:lastRenderedPageBreak/>
              <w:t xml:space="preserve">Graphique 4: Évolution de la composition de la dette dans les portefeuilles des fonds monétaires  </w:t>
            </w:r>
          </w:p>
          <w:p w14:paraId="76ACD848" w14:textId="0CF1276B" w:rsidR="00262651" w:rsidRPr="00C82DFF" w:rsidRDefault="006A70E9" w:rsidP="003B558A">
            <w:pPr>
              <w:keepNext/>
              <w:keepLines/>
              <w:widowControl w:val="0"/>
              <w:rPr>
                <w:rFonts w:ascii="Times New Roman" w:hAnsi="Times New Roman" w:cs="Times New Roman"/>
                <w:noProof/>
              </w:rPr>
            </w:pPr>
            <w:r>
              <w:rPr>
                <w:rFonts w:ascii="Times New Roman" w:hAnsi="Times New Roman"/>
                <w:noProof/>
                <w:lang w:val="en-GB" w:eastAsia="en-GB"/>
              </w:rPr>
              <w:drawing>
                <wp:inline distT="0" distB="0" distL="0" distR="0" wp14:anchorId="1A81EB52" wp14:editId="6C45DBBE">
                  <wp:extent cx="2931373" cy="2390465"/>
                  <wp:effectExtent l="0" t="0" r="2540" b="0"/>
                  <wp:docPr id="1997399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399038" name=""/>
                          <pic:cNvPicPr/>
                        </pic:nvPicPr>
                        <pic:blipFill>
                          <a:blip r:embed="rId27"/>
                          <a:stretch>
                            <a:fillRect/>
                          </a:stretch>
                        </pic:blipFill>
                        <pic:spPr>
                          <a:xfrm>
                            <a:off x="0" y="0"/>
                            <a:ext cx="2940609" cy="2397997"/>
                          </a:xfrm>
                          <a:prstGeom prst="rect">
                            <a:avLst/>
                          </a:prstGeom>
                        </pic:spPr>
                      </pic:pic>
                    </a:graphicData>
                  </a:graphic>
                </wp:inline>
              </w:drawing>
            </w:r>
          </w:p>
          <w:p w14:paraId="36A25DA4" w14:textId="77777777" w:rsidR="00262651" w:rsidRDefault="00262651" w:rsidP="003B558A">
            <w:pPr>
              <w:keepNext/>
              <w:keepLines/>
              <w:widowControl w:val="0"/>
              <w:jc w:val="both"/>
              <w:rPr>
                <w:rFonts w:ascii="Times New Roman" w:hAnsi="Times New Roman" w:cs="Times New Roman"/>
                <w:noProof/>
                <w:sz w:val="18"/>
                <w:szCs w:val="18"/>
              </w:rPr>
            </w:pPr>
          </w:p>
          <w:p w14:paraId="5FF2394A" w14:textId="5FAD4269" w:rsidR="00262651" w:rsidRPr="00BF0436" w:rsidRDefault="00262651" w:rsidP="003B558A">
            <w:pPr>
              <w:keepNext/>
              <w:keepLines/>
              <w:widowControl w:val="0"/>
              <w:jc w:val="both"/>
              <w:rPr>
                <w:rFonts w:ascii="Times New Roman" w:hAnsi="Times New Roman" w:cs="Times New Roman"/>
                <w:noProof/>
                <w:sz w:val="18"/>
                <w:szCs w:val="18"/>
              </w:rPr>
            </w:pPr>
            <w:r>
              <w:rPr>
                <w:rFonts w:ascii="Times New Roman" w:hAnsi="Times New Roman"/>
                <w:noProof/>
                <w:sz w:val="18"/>
              </w:rPr>
              <w:t>Source: EFAMA</w:t>
            </w:r>
            <w:r>
              <w:rPr>
                <w:rFonts w:ascii="Times New Roman" w:hAnsi="Times New Roman"/>
                <w:i/>
                <w:noProof/>
                <w:sz w:val="18"/>
              </w:rPr>
              <w:t xml:space="preserve">, </w:t>
            </w:r>
            <w:hyperlink r:id="rId28" w:history="1">
              <w:r>
                <w:rPr>
                  <w:rStyle w:val="Hyperlink"/>
                  <w:rFonts w:ascii="Times New Roman" w:hAnsi="Times New Roman"/>
                  <w:noProof/>
                  <w:sz w:val="18"/>
                </w:rPr>
                <w:t>European MMFs in the Covid-19 market turmoil</w:t>
              </w:r>
            </w:hyperlink>
            <w:r>
              <w:rPr>
                <w:rFonts w:ascii="Times New Roman" w:hAnsi="Times New Roman"/>
                <w:noProof/>
                <w:sz w:val="18"/>
              </w:rPr>
              <w:t xml:space="preserve"> (Les fonds monétaires européens lors des turbulences des marchés liées à la COVID-19)</w:t>
            </w:r>
            <w:r>
              <w:rPr>
                <w:rFonts w:ascii="Times New Roman" w:hAnsi="Times New Roman"/>
                <w:i/>
                <w:noProof/>
                <w:sz w:val="18"/>
              </w:rPr>
              <w:t>,</w:t>
            </w:r>
            <w:r>
              <w:rPr>
                <w:rFonts w:ascii="Times New Roman" w:hAnsi="Times New Roman"/>
                <w:noProof/>
                <w:sz w:val="18"/>
              </w:rPr>
              <w:t xml:space="preserve"> novembre 2020</w:t>
            </w:r>
          </w:p>
          <w:p w14:paraId="117A5C24" w14:textId="6BE5B2ED" w:rsidR="00262651" w:rsidRDefault="00262651" w:rsidP="003B558A">
            <w:pPr>
              <w:keepNext/>
              <w:keepLines/>
              <w:widowControl w:val="0"/>
              <w:jc w:val="both"/>
              <w:rPr>
                <w:rFonts w:ascii="Times New Roman" w:hAnsi="Times New Roman" w:cs="Times New Roman"/>
                <w:noProof/>
              </w:rPr>
            </w:pPr>
            <w:r>
              <w:rPr>
                <w:rFonts w:ascii="Times New Roman" w:hAnsi="Times New Roman"/>
                <w:noProof/>
                <w:sz w:val="18"/>
              </w:rPr>
              <w:t>Remarque: Ventilation par maturité des dettes dans le portefeuille des fonds monétaires, exprimées en pourcentage du total des actifs des fonds monétaires</w:t>
            </w:r>
          </w:p>
        </w:tc>
        <w:tc>
          <w:tcPr>
            <w:tcW w:w="236" w:type="dxa"/>
          </w:tcPr>
          <w:p w14:paraId="04F71285" w14:textId="77777777" w:rsidR="00262651" w:rsidRPr="00494867" w:rsidRDefault="00262651" w:rsidP="00494867">
            <w:pPr>
              <w:spacing w:after="120"/>
              <w:rPr>
                <w:rFonts w:ascii="Times New Roman" w:hAnsi="Times New Roman" w:cs="Times New Roman"/>
                <w:b/>
                <w:noProof/>
                <w:sz w:val="20"/>
                <w:szCs w:val="20"/>
              </w:rPr>
            </w:pPr>
          </w:p>
        </w:tc>
        <w:tc>
          <w:tcPr>
            <w:tcW w:w="4330" w:type="dxa"/>
          </w:tcPr>
          <w:p w14:paraId="2E00D5EF" w14:textId="4C0A30FD" w:rsidR="00262651" w:rsidRPr="00494867" w:rsidRDefault="00262651" w:rsidP="00494867">
            <w:pPr>
              <w:spacing w:after="120"/>
              <w:rPr>
                <w:rFonts w:ascii="Times New Roman" w:hAnsi="Times New Roman" w:cs="Times New Roman"/>
                <w:b/>
                <w:noProof/>
                <w:sz w:val="20"/>
                <w:szCs w:val="20"/>
              </w:rPr>
            </w:pPr>
            <w:r>
              <w:rPr>
                <w:rFonts w:ascii="Times New Roman" w:hAnsi="Times New Roman"/>
                <w:b/>
                <w:noProof/>
                <w:sz w:val="20"/>
              </w:rPr>
              <w:t>Graphique 5: Relation entre WLA et écart de VL</w:t>
            </w:r>
          </w:p>
          <w:p w14:paraId="60800788" w14:textId="71756DAD" w:rsidR="00262651" w:rsidRDefault="00262651" w:rsidP="00365E2F">
            <w:pPr>
              <w:spacing w:before="120" w:line="240" w:lineRule="atLeast"/>
              <w:jc w:val="both"/>
              <w:rPr>
                <w:rFonts w:ascii="Times New Roman" w:hAnsi="Times New Roman" w:cs="Times New Roman"/>
                <w:noProof/>
              </w:rPr>
            </w:pPr>
            <w:r>
              <w:rPr>
                <w:rFonts w:ascii="Times New Roman" w:hAnsi="Times New Roman"/>
                <w:noProof/>
                <w:lang w:val="en-GB" w:eastAsia="en-GB"/>
              </w:rPr>
              <w:drawing>
                <wp:inline distT="0" distB="0" distL="0" distR="0" wp14:anchorId="40FD7A5D" wp14:editId="358C06F6">
                  <wp:extent cx="2464058" cy="1932167"/>
                  <wp:effectExtent l="0" t="0" r="0" b="0"/>
                  <wp:docPr id="582779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79306" name=""/>
                          <pic:cNvPicPr/>
                        </pic:nvPicPr>
                        <pic:blipFill>
                          <a:blip r:embed="rId29"/>
                          <a:stretch>
                            <a:fillRect/>
                          </a:stretch>
                        </pic:blipFill>
                        <pic:spPr>
                          <a:xfrm>
                            <a:off x="0" y="0"/>
                            <a:ext cx="2480295" cy="1944899"/>
                          </a:xfrm>
                          <a:prstGeom prst="rect">
                            <a:avLst/>
                          </a:prstGeom>
                        </pic:spPr>
                      </pic:pic>
                    </a:graphicData>
                  </a:graphic>
                </wp:inline>
              </w:drawing>
            </w:r>
          </w:p>
          <w:p w14:paraId="26FF4732" w14:textId="77777777" w:rsidR="00262651" w:rsidRDefault="00262651" w:rsidP="003C0A2C">
            <w:pPr>
              <w:spacing w:line="240" w:lineRule="atLeast"/>
              <w:jc w:val="both"/>
              <w:rPr>
                <w:rFonts w:ascii="Times New Roman" w:hAnsi="Times New Roman" w:cs="Times New Roman"/>
                <w:noProof/>
                <w:sz w:val="18"/>
                <w:szCs w:val="18"/>
              </w:rPr>
            </w:pPr>
          </w:p>
          <w:p w14:paraId="0C58F512" w14:textId="02B4B26B" w:rsidR="00262651" w:rsidRPr="003B558A" w:rsidRDefault="00262651" w:rsidP="003C0A2C">
            <w:pPr>
              <w:spacing w:line="240" w:lineRule="atLeast"/>
              <w:jc w:val="both"/>
              <w:rPr>
                <w:rFonts w:ascii="Times New Roman" w:hAnsi="Times New Roman" w:cs="Times New Roman"/>
                <w:noProof/>
                <w:sz w:val="18"/>
                <w:szCs w:val="18"/>
                <w:lang w:val="en-IE"/>
              </w:rPr>
            </w:pPr>
            <w:r w:rsidRPr="003B558A">
              <w:rPr>
                <w:rFonts w:ascii="Times New Roman" w:hAnsi="Times New Roman"/>
                <w:noProof/>
                <w:sz w:val="18"/>
                <w:lang w:val="en-IE"/>
              </w:rPr>
              <w:t xml:space="preserve">Source: Rapport de l’AEMF, </w:t>
            </w:r>
            <w:hyperlink r:id="rId30" w:history="1">
              <w:r w:rsidRPr="003B558A">
                <w:rPr>
                  <w:rStyle w:val="Hyperlink"/>
                  <w:rFonts w:ascii="Times New Roman" w:hAnsi="Times New Roman"/>
                  <w:noProof/>
                  <w:sz w:val="18"/>
                  <w:lang w:val="en-IE"/>
                </w:rPr>
                <w:t>Vulnerabilities in money market funds</w:t>
              </w:r>
            </w:hyperlink>
            <w:r w:rsidRPr="003B558A">
              <w:rPr>
                <w:rFonts w:ascii="Times New Roman" w:hAnsi="Times New Roman"/>
                <w:noProof/>
                <w:sz w:val="18"/>
                <w:lang w:val="en-IE"/>
              </w:rPr>
              <w:t>, 2021</w:t>
            </w:r>
          </w:p>
          <w:p w14:paraId="1E2D7CC4" w14:textId="313E358D" w:rsidR="00262651" w:rsidRDefault="00262651" w:rsidP="003C0A2C">
            <w:pPr>
              <w:spacing w:line="240" w:lineRule="atLeast"/>
              <w:jc w:val="both"/>
              <w:rPr>
                <w:rFonts w:ascii="Times New Roman" w:hAnsi="Times New Roman" w:cs="Times New Roman"/>
                <w:noProof/>
              </w:rPr>
            </w:pPr>
            <w:r>
              <w:rPr>
                <w:rFonts w:ascii="Times New Roman" w:hAnsi="Times New Roman"/>
                <w:noProof/>
                <w:sz w:val="18"/>
              </w:rPr>
              <w:t>Remarque: Flux nets sur 7 jours, WLA en pourcentage de la VL et écart de VL (en points de base), au 25 mars 2020</w:t>
            </w:r>
          </w:p>
        </w:tc>
      </w:tr>
    </w:tbl>
    <w:p w14:paraId="5F6B1B6D" w14:textId="63B4D366" w:rsidR="0033715A" w:rsidRDefault="76D6CC18" w:rsidP="00D04526">
      <w:pPr>
        <w:spacing w:before="120" w:after="240" w:line="280" w:lineRule="atLeast"/>
        <w:jc w:val="both"/>
        <w:rPr>
          <w:rFonts w:ascii="Times New Roman" w:hAnsi="Times New Roman" w:cs="Times New Roman"/>
          <w:noProof/>
        </w:rPr>
      </w:pPr>
      <w:r>
        <w:rPr>
          <w:rFonts w:ascii="Times New Roman" w:hAnsi="Times New Roman"/>
          <w:noProof/>
        </w:rPr>
        <w:t>Au niveau des différents fonds monétaires, une analyse de ceux qui ont été confrontés à d’importantes demandes de rachat a mis en évidence une tendance semblable: ces fonds ont accordé la priorité au maintien de la liquidité et, après avoir puisé dans leurs coussins de liquidités, ont été en mesure de rapidement reconstituer ces derniers (voir graphique 6 et annexe I). Dans l’ensemble, les chocs de rachats subis par les différents fonds monétaires ont été inférieurs au montant des coussins de liquidité mis en place, ce qui a permis aux fonds d’honorer rapidement les demandes de rachat. Le graphique 6 montre l’exemple d’un fonds à VL à faible volatilité qui a été confronté à un scénario extrême de rachats et illustre la manière dont il a maintenu des coussins de liquidité hebdomadaire supérieurs aux minima réglementaires au cours de la période de référence. Malgré 45 % de flux sortants au cours de la période, les WLA ne sont pas descendus en dessous de 30 %</w:t>
      </w:r>
      <w:r>
        <w:rPr>
          <w:rStyle w:val="FootnoteReference"/>
          <w:rFonts w:ascii="Times New Roman" w:hAnsi="Times New Roman" w:cs="Times New Roman"/>
          <w:noProof/>
        </w:rPr>
        <w:footnoteReference w:id="11"/>
      </w:r>
      <w:r>
        <w:rPr>
          <w:noProof/>
        </w:rPr>
        <w:t>.</w:t>
      </w:r>
      <w:r>
        <w:rPr>
          <w:rFonts w:ascii="Times New Roman" w:hAnsi="Times New Roman"/>
          <w:noProof/>
        </w:rPr>
        <w:t xml:space="preserve"> </w:t>
      </w:r>
    </w:p>
    <w:p w14:paraId="6981263A" w14:textId="2F39365E" w:rsidR="00CA2046" w:rsidRDefault="17B571DE" w:rsidP="00D04526">
      <w:pPr>
        <w:spacing w:after="240" w:line="280" w:lineRule="atLeast"/>
        <w:jc w:val="both"/>
        <w:rPr>
          <w:rFonts w:ascii="Times New Roman" w:hAnsi="Times New Roman" w:cs="Times New Roman"/>
          <w:noProof/>
        </w:rPr>
      </w:pPr>
      <w:r>
        <w:rPr>
          <w:rFonts w:ascii="Times New Roman" w:hAnsi="Times New Roman"/>
          <w:noProof/>
        </w:rPr>
        <w:t>Il convient de noter que les fonds à VL à faible volatilité ont conservé leurs coussins de WLA soit par l’amortissement du portefeuille, soit par la vente d’actifs, dans un contexte d’écarts plus larges entre cours acheteur et court vendeur. Cela peut avoir entraîné des écarts de VL, en particulier lorsque des actifs moins liquides, tels que des billets de trésorerie et des certificats de dépôt, ont été vendus. Ces écarts de VL sont illustrés dans le graphique 5. Le maintien des coussins de WLA peut donc avoir nécessité la vente d’actifs moins liquides, contribuant aux écarts de VL.</w:t>
      </w:r>
    </w:p>
    <w:p w14:paraId="658834B8" w14:textId="77777777" w:rsidR="004C5A39" w:rsidRPr="00C82DFF" w:rsidRDefault="004C5A39" w:rsidP="0033715A">
      <w:pPr>
        <w:spacing w:before="120" w:after="0" w:line="240" w:lineRule="atLeast"/>
        <w:jc w:val="both"/>
        <w:rPr>
          <w:rFonts w:ascii="Times New Roman" w:hAnsi="Times New Roman" w:cs="Times New Roman"/>
          <w:noProof/>
        </w:rPr>
      </w:pPr>
    </w:p>
    <w:p w14:paraId="03BD670A" w14:textId="72AE0545" w:rsidR="007860C6" w:rsidRPr="00254822" w:rsidRDefault="007D08C3" w:rsidP="003B558A">
      <w:pPr>
        <w:keepNext/>
        <w:keepLines/>
        <w:widowControl w:val="0"/>
        <w:spacing w:after="120"/>
        <w:jc w:val="both"/>
        <w:rPr>
          <w:rFonts w:ascii="Times New Roman" w:hAnsi="Times New Roman" w:cs="Times New Roman"/>
          <w:b/>
          <w:noProof/>
          <w:sz w:val="20"/>
          <w:szCs w:val="20"/>
        </w:rPr>
      </w:pPr>
      <w:r>
        <w:rPr>
          <w:rFonts w:ascii="Times New Roman" w:hAnsi="Times New Roman"/>
          <w:b/>
          <w:noProof/>
          <w:sz w:val="20"/>
        </w:rPr>
        <w:lastRenderedPageBreak/>
        <w:t>Graphique 6: Exemple de scénario le plus défavorable d’un fonds monétaire à VL à faible volatilité soumis à un choc de liquidité intense</w:t>
      </w:r>
    </w:p>
    <w:p w14:paraId="08054C48" w14:textId="0F3B59E2" w:rsidR="00A77BCD" w:rsidRPr="00C82DFF" w:rsidRDefault="00592C3C" w:rsidP="003B558A">
      <w:pPr>
        <w:keepNext/>
        <w:keepLines/>
        <w:widowControl w:val="0"/>
        <w:spacing w:after="120"/>
        <w:ind w:left="720"/>
        <w:rPr>
          <w:rFonts w:ascii="Times New Roman" w:hAnsi="Times New Roman" w:cs="Times New Roman"/>
          <w:b/>
          <w:noProof/>
        </w:rPr>
      </w:pPr>
      <w:r>
        <w:rPr>
          <w:rFonts w:ascii="Times New Roman" w:hAnsi="Times New Roman"/>
          <w:b/>
          <w:noProof/>
          <w:lang w:val="en-GB" w:eastAsia="en-GB"/>
        </w:rPr>
        <mc:AlternateContent>
          <mc:Choice Requires="wps">
            <w:drawing>
              <wp:anchor distT="0" distB="0" distL="114300" distR="114300" simplePos="0" relativeHeight="251658242" behindDoc="0" locked="0" layoutInCell="1" allowOverlap="1" wp14:anchorId="4BD14283" wp14:editId="1D55BEFF">
                <wp:simplePos x="0" y="0"/>
                <wp:positionH relativeFrom="column">
                  <wp:posOffset>2590165</wp:posOffset>
                </wp:positionH>
                <wp:positionV relativeFrom="paragraph">
                  <wp:posOffset>6985</wp:posOffset>
                </wp:positionV>
                <wp:extent cx="22860" cy="1264920"/>
                <wp:effectExtent l="0" t="0" r="34290" b="30480"/>
                <wp:wrapNone/>
                <wp:docPr id="1096610161" name="Straight Connector 3"/>
                <wp:cNvGraphicFramePr/>
                <a:graphic xmlns:a="http://schemas.openxmlformats.org/drawingml/2006/main">
                  <a:graphicData uri="http://schemas.microsoft.com/office/word/2010/wordprocessingShape">
                    <wps:wsp>
                      <wps:cNvCnPr/>
                      <wps:spPr>
                        <a:xfrm>
                          <a:off x="0" y="0"/>
                          <a:ext cx="22860" cy="1264920"/>
                        </a:xfrm>
                        <a:prstGeom prst="line">
                          <a:avLst/>
                        </a:prstGeom>
                        <a:ln w="19050" cap="flat" cmpd="sng" algn="ctr">
                          <a:solidFill>
                            <a:schemeClr val="accent3"/>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a="http://schemas.openxmlformats.org/drawingml/2006/main" xmlns:dgm="http://schemas.openxmlformats.org/drawingml/2006/diagram" xmlns:pic="http://schemas.openxmlformats.org/drawingml/2006/picture" xmlns:a14="http://schemas.microsoft.com/office/drawing/2010/main">
            <w:pict>
              <v:line id="Straight Connector 3" style="position:absolute;z-index:251658242;visibility:visible;mso-wrap-style:square;mso-wrap-distance-left:9pt;mso-wrap-distance-top:0;mso-wrap-distance-right:9pt;mso-wrap-distance-bottom:0;mso-position-horizontal:absolute;mso-position-horizontal-relative:text;mso-position-vertical:absolute;mso-position-vertical-relative:text" o:spid="_x0000_s1026" strokecolor="#9bbb59 [3206]"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" from="203.95pt,.55pt" to="205.75pt,100.15pt" w14:anchorId="47771E6E">
                <v:stroke dashstyle="dash"/>
              </v:line>
            </w:pict>
          </mc:Fallback>
        </mc:AlternateContent>
      </w:r>
      <w:r>
        <w:rPr>
          <w:rFonts w:ascii="Times New Roman" w:hAnsi="Times New Roman"/>
          <w:b/>
          <w:noProof/>
          <w:lang w:val="en-GB" w:eastAsia="en-GB"/>
        </w:rPr>
        <mc:AlternateContent>
          <mc:Choice Requires="wps">
            <w:drawing>
              <wp:anchor distT="0" distB="0" distL="114300" distR="114300" simplePos="0" relativeHeight="251658241" behindDoc="0" locked="0" layoutInCell="1" allowOverlap="1" wp14:anchorId="34AA67A4" wp14:editId="1528E7AD">
                <wp:simplePos x="0" y="0"/>
                <wp:positionH relativeFrom="column">
                  <wp:posOffset>3298825</wp:posOffset>
                </wp:positionH>
                <wp:positionV relativeFrom="paragraph">
                  <wp:posOffset>570865</wp:posOffset>
                </wp:positionV>
                <wp:extent cx="1127760" cy="213360"/>
                <wp:effectExtent l="0" t="0" r="15240" b="15240"/>
                <wp:wrapNone/>
                <wp:docPr id="172124182" name="Text Box 2"/>
                <wp:cNvGraphicFramePr/>
                <a:graphic xmlns:a="http://schemas.openxmlformats.org/drawingml/2006/main">
                  <a:graphicData uri="http://schemas.microsoft.com/office/word/2010/wordprocessingShape">
                    <wps:wsp>
                      <wps:cNvSpPr txBox="1"/>
                      <wps:spPr>
                        <a:xfrm>
                          <a:off x="0" y="0"/>
                          <a:ext cx="1127760" cy="213360"/>
                        </a:xfrm>
                        <a:prstGeom prst="rect">
                          <a:avLst/>
                        </a:prstGeom>
                        <a:solidFill>
                          <a:schemeClr val="accent6">
                            <a:lumMod val="75000"/>
                          </a:schemeClr>
                        </a:solidFill>
                        <a:ln w="6350">
                          <a:solidFill>
                            <a:prstClr val="black"/>
                          </a:solidFill>
                        </a:ln>
                      </wps:spPr>
                      <wps:txbx>
                        <w:txbxContent>
                          <w:p w14:paraId="06C7B1E6" w14:textId="10734D63" w:rsidR="00592C3C" w:rsidRPr="00A63B3C" w:rsidRDefault="00592C3C">
                            <w:pPr>
                              <w:rPr>
                                <w:sz w:val="18"/>
                                <w:szCs w:val="18"/>
                              </w:rPr>
                            </w:pPr>
                            <w:r>
                              <w:rPr>
                                <w:sz w:val="18"/>
                              </w:rPr>
                              <w:t>WLA minimum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AA67A4" id="_x0000_t202" coordsize="21600,21600" o:spt="202" path="m,l,21600r21600,l21600,xe">
                <v:stroke joinstyle="miter"/>
                <v:path gradientshapeok="t" o:connecttype="rect"/>
              </v:shapetype>
              <v:shape id="Text Box 2" o:spid="_x0000_s1026" type="#_x0000_t202" style="position:absolute;left:0;text-align:left;margin-left:259.75pt;margin-top:44.95pt;width:88.8pt;height:16.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" fillcolor="#e36c0a [2409]" strokeweight=".5pt">
                <v:textbox>
                  <w:txbxContent>
                    <w:p w14:paraId="06C7B1E6" w14:textId="10734D63" w:rsidR="00592C3C" w:rsidRPr="00A63B3C" w:rsidRDefault="00592C3C">
                      <w:pPr>
                        <w:rPr>
                          <w:sz w:val="18"/>
                          <w:szCs w:val="18"/>
                        </w:rPr>
                      </w:pPr>
                      <w:r>
                        <w:rPr>
                          <w:sz w:val="18"/>
                        </w:rPr>
                        <w:t>WLA minimum</w:t>
                      </w:r>
                    </w:p>
                  </w:txbxContent>
                </v:textbox>
              </v:shape>
            </w:pict>
          </mc:Fallback>
        </mc:AlternateContent>
      </w:r>
      <w:r>
        <w:rPr>
          <w:rFonts w:ascii="Times New Roman" w:hAnsi="Times New Roman"/>
          <w:b/>
          <w:noProof/>
          <w:lang w:val="en-GB" w:eastAsia="en-GB"/>
        </w:rPr>
        <mc:AlternateContent>
          <mc:Choice Requires="wps">
            <w:drawing>
              <wp:anchor distT="0" distB="0" distL="114300" distR="114300" simplePos="0" relativeHeight="251658240" behindDoc="0" locked="0" layoutInCell="1" allowOverlap="1" wp14:anchorId="3BAFD305" wp14:editId="0FE1A1DA">
                <wp:simplePos x="0" y="0"/>
                <wp:positionH relativeFrom="column">
                  <wp:posOffset>784225</wp:posOffset>
                </wp:positionH>
                <wp:positionV relativeFrom="paragraph">
                  <wp:posOffset>532765</wp:posOffset>
                </wp:positionV>
                <wp:extent cx="3954780" cy="38100"/>
                <wp:effectExtent l="0" t="0" r="0" b="0"/>
                <wp:wrapNone/>
                <wp:docPr id="1930170827" name="Straight Connector 1"/>
                <wp:cNvGraphicFramePr/>
                <a:graphic xmlns:a="http://schemas.openxmlformats.org/drawingml/2006/main">
                  <a:graphicData uri="http://schemas.microsoft.com/office/word/2010/wordprocessingShape">
                    <wps:wsp>
                      <wps:cNvCnPr/>
                      <wps:spPr>
                        <a:xfrm flipV="1">
                          <a:off x="0" y="0"/>
                          <a:ext cx="3954780" cy="381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xmlns:pic="http://schemas.openxmlformats.org/drawingml/2006/picture" xmlns:a14="http://schemas.microsoft.com/office/drawing/2010/main">
            <w:pict>
              <v:line id="Straight Connector 1"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c4542 [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" from="61.75pt,41.95pt" to="373.15pt,44.95pt" w14:anchorId="32599CAE"/>
            </w:pict>
          </mc:Fallback>
        </mc:AlternateContent>
      </w:r>
      <w:r>
        <w:rPr>
          <w:noProof/>
        </w:rPr>
        <w:t xml:space="preserve"> </w:t>
      </w:r>
      <w:r>
        <w:rPr>
          <w:noProof/>
          <w:lang w:val="en-GB" w:eastAsia="en-GB"/>
        </w:rPr>
        <w:drawing>
          <wp:inline distT="0" distB="0" distL="0" distR="0" wp14:anchorId="49DDF409" wp14:editId="5D23926E">
            <wp:extent cx="4300493" cy="2758440"/>
            <wp:effectExtent l="0" t="0" r="0" b="8890"/>
            <wp:docPr id="1506496607" name="Picture 1" descr="Un graphique avec des chiffres et une ligne rouge&#10;&#10;Un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96607" name="Picture 1" descr="A graph with numbers and a red line&#10;&#10;AI-generated content may be incorrect."/>
                    <pic:cNvPicPr/>
                  </pic:nvPicPr>
                  <pic:blipFill>
                    <a:blip r:embed="rId31"/>
                    <a:stretch>
                      <a:fillRect/>
                    </a:stretch>
                  </pic:blipFill>
                  <pic:spPr>
                    <a:xfrm>
                      <a:off x="0" y="0"/>
                      <a:ext cx="4300493" cy="2758440"/>
                    </a:xfrm>
                    <a:prstGeom prst="rect">
                      <a:avLst/>
                    </a:prstGeom>
                  </pic:spPr>
                </pic:pic>
              </a:graphicData>
            </a:graphic>
          </wp:inline>
        </w:drawing>
      </w:r>
    </w:p>
    <w:p w14:paraId="23D3E496" w14:textId="77777777" w:rsidR="00196203" w:rsidRPr="00715D73" w:rsidRDefault="00196203" w:rsidP="00A63B3C">
      <w:pPr>
        <w:pStyle w:val="paragraph"/>
        <w:spacing w:before="0" w:beforeAutospacing="0" w:after="0" w:afterAutospacing="0"/>
        <w:ind w:firstLine="990"/>
        <w:textAlignment w:val="baseline"/>
        <w:rPr>
          <w:rFonts w:ascii="Segoe UI" w:hAnsi="Segoe UI" w:cs="Segoe UI"/>
          <w:noProof/>
          <w:sz w:val="16"/>
          <w:szCs w:val="16"/>
        </w:rPr>
      </w:pPr>
      <w:r>
        <w:rPr>
          <w:rStyle w:val="normaltextrun"/>
          <w:noProof/>
          <w:sz w:val="16"/>
        </w:rPr>
        <w:t>Sources: Crane Data et ANC.</w:t>
      </w:r>
      <w:r>
        <w:rPr>
          <w:rStyle w:val="eop"/>
          <w:noProof/>
          <w:sz w:val="16"/>
          <w:bdr w:val="none" w:sz="0" w:space="0" w:color="auto" w:frame="1"/>
          <w:shd w:val="clear" w:color="auto" w:fill="C6C6C6"/>
        </w:rPr>
        <w:t xml:space="preserve"> </w:t>
      </w:r>
    </w:p>
    <w:p w14:paraId="3A8BE17F" w14:textId="0D3EDA2E" w:rsidR="009E21DE" w:rsidRPr="00715D73" w:rsidRDefault="00A0654C" w:rsidP="00A63B3C">
      <w:pPr>
        <w:spacing w:after="0" w:line="240" w:lineRule="atLeast"/>
        <w:ind w:left="990"/>
        <w:jc w:val="both"/>
        <w:rPr>
          <w:rFonts w:ascii="Times New Roman" w:hAnsi="Times New Roman" w:cs="Times New Roman"/>
          <w:noProof/>
          <w:sz w:val="16"/>
          <w:szCs w:val="16"/>
        </w:rPr>
      </w:pPr>
      <w:r>
        <w:rPr>
          <w:rStyle w:val="normaltextrun"/>
          <w:rFonts w:ascii="Times New Roman" w:hAnsi="Times New Roman"/>
          <w:noProof/>
          <w:sz w:val="16"/>
        </w:rPr>
        <w:t>Remarque: Exemple de fonds à VL à faible volatilité confronté à des flux sortants très importants, illustrant l’incidence sur les WLA et la reconstitution ultérieure de la liquidité. Voir d’autres exemples à l’annexe I.</w:t>
      </w:r>
    </w:p>
    <w:p w14:paraId="6A74508A" w14:textId="4EF0BD4A" w:rsidR="00B60CA9" w:rsidRDefault="00B60CA9">
      <w:pPr>
        <w:rPr>
          <w:rFonts w:ascii="Times New Roman" w:eastAsia="Times New Roman" w:hAnsi="Times New Roman" w:cs="Times New Roman"/>
          <w:noProof/>
        </w:rPr>
      </w:pPr>
      <w:r>
        <w:rPr>
          <w:noProof/>
        </w:rPr>
        <w:br w:type="page"/>
      </w:r>
    </w:p>
    <w:p w14:paraId="6CABB5B7" w14:textId="37294EBC" w:rsidR="00EB400F" w:rsidRPr="00C82DFF" w:rsidRDefault="00E515C9" w:rsidP="00F43D5E">
      <w:pPr>
        <w:pStyle w:val="Heading1"/>
        <w:spacing w:before="360" w:after="360"/>
        <w:ind w:left="431" w:hanging="431"/>
        <w:jc w:val="both"/>
        <w:rPr>
          <w:rFonts w:ascii="Times New Roman" w:hAnsi="Times New Roman" w:cs="Times New Roman"/>
          <w:b/>
          <w:bCs/>
          <w:noProof/>
          <w:sz w:val="22"/>
          <w:szCs w:val="22"/>
        </w:rPr>
      </w:pPr>
      <w:bookmarkStart w:id="22" w:name="_Toc227857265"/>
      <w:r>
        <w:rPr>
          <w:rFonts w:ascii="Times New Roman" w:hAnsi="Times New Roman"/>
          <w:b/>
          <w:noProof/>
          <w:sz w:val="22"/>
        </w:rPr>
        <w:lastRenderedPageBreak/>
        <w:t>ÉVALUATION DES NIVEAUX DE RÉSILIENCE DU MARCHÉ APPROPRIÉS DES FONDS MONÉTAIRES</w:t>
      </w:r>
      <w:bookmarkEnd w:id="22"/>
    </w:p>
    <w:p w14:paraId="632A3258" w14:textId="16490205" w:rsidR="00140C6E" w:rsidRPr="00C82DFF" w:rsidRDefault="06F1B78D" w:rsidP="00D04526">
      <w:pPr>
        <w:spacing w:after="240" w:line="280" w:lineRule="atLeast"/>
        <w:jc w:val="both"/>
        <w:rPr>
          <w:rFonts w:ascii="Times New Roman" w:hAnsi="Times New Roman" w:cs="Times New Roman"/>
          <w:noProof/>
        </w:rPr>
      </w:pPr>
      <w:r>
        <w:rPr>
          <w:rFonts w:ascii="Times New Roman" w:hAnsi="Times New Roman"/>
          <w:noProof/>
        </w:rPr>
        <w:t xml:space="preserve">La présente section examine la résilience du secteur des fonds monétaires de l’UE face à une augmentation significative des demandes de rachat. Comme indiqué dans les sections précédentes, les coussins de liquidité jouent un rôle crucial pour permettre d’honorer les demandes de rachat, en particulier pendant les périodes où les marchés à court terme sont susceptibles d’être illiquides. Pour réaliser cette analyse, la Commission a calculé le niveau minimal de WLA («niveau de WLA de résilience») qui, s’il était maintenu par les fonds monétaires, leur permettrait d’honorer de fortes demandes de rachat, tout en maintenant les DLA au-dessus du minimum réglementaire. </w:t>
      </w:r>
    </w:p>
    <w:p w14:paraId="31EED1DE" w14:textId="101A0135" w:rsidR="00CD5B0B" w:rsidRDefault="00166FCB" w:rsidP="00D04526">
      <w:pPr>
        <w:spacing w:after="240" w:line="280" w:lineRule="atLeast"/>
        <w:jc w:val="both"/>
        <w:rPr>
          <w:rFonts w:ascii="Times New Roman" w:hAnsi="Times New Roman" w:cs="Times New Roman"/>
          <w:bCs/>
          <w:noProof/>
        </w:rPr>
      </w:pPr>
      <w:r>
        <w:rPr>
          <w:rFonts w:ascii="Times New Roman" w:hAnsi="Times New Roman"/>
          <w:noProof/>
        </w:rPr>
        <w:t>La méthodologie est résumée ci-dessous et les données correspondantes sont présentées à l’annexe III.</w:t>
      </w:r>
    </w:p>
    <w:p w14:paraId="08A29AEB" w14:textId="4079B5BC" w:rsidR="00B767A5" w:rsidRPr="00931DC7" w:rsidRDefault="00FC05C9" w:rsidP="00D04526">
      <w:pPr>
        <w:spacing w:after="240" w:line="280" w:lineRule="atLeast"/>
        <w:jc w:val="both"/>
        <w:rPr>
          <w:rFonts w:ascii="Times New Roman" w:hAnsi="Times New Roman" w:cs="Times New Roman"/>
          <w:b/>
          <w:noProof/>
        </w:rPr>
      </w:pPr>
      <w:r>
        <w:rPr>
          <w:rFonts w:ascii="Times New Roman" w:hAnsi="Times New Roman"/>
          <w:b/>
          <w:noProof/>
        </w:rPr>
        <w:t>Étapes clés de la méthodologie utilisée pour calibrer le niveau de WLA de résilience</w:t>
      </w:r>
    </w:p>
    <w:p w14:paraId="18F71EEB" w14:textId="7CF34B38" w:rsidR="000E0B7F" w:rsidRDefault="00F14178" w:rsidP="001E656F">
      <w:pPr>
        <w:jc w:val="both"/>
        <w:rPr>
          <w:rFonts w:ascii="Times New Roman" w:hAnsi="Times New Roman" w:cs="Times New Roman"/>
          <w:noProof/>
        </w:rPr>
      </w:pPr>
      <w:r>
        <w:rPr>
          <w:rFonts w:ascii="Times New Roman" w:hAnsi="Times New Roman"/>
          <w:noProof/>
          <w:lang w:val="en-GB" w:eastAsia="en-GB"/>
        </w:rPr>
        <w:drawing>
          <wp:inline distT="0" distB="0" distL="0" distR="0" wp14:anchorId="42209EC4" wp14:editId="07BA9E70">
            <wp:extent cx="5610225" cy="1638300"/>
            <wp:effectExtent l="95250" t="76200" r="66675" b="114300"/>
            <wp:docPr id="118892081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00DBA15C" w14:textId="77777777" w:rsidR="00B34AF0" w:rsidRPr="00C82DFF" w:rsidRDefault="00B34AF0" w:rsidP="001E656F">
      <w:pPr>
        <w:jc w:val="both"/>
        <w:rPr>
          <w:rFonts w:ascii="Times New Roman" w:hAnsi="Times New Roman" w:cs="Times New Roman"/>
          <w:noProof/>
        </w:rPr>
      </w:pPr>
    </w:p>
    <w:p w14:paraId="03EF0FB5" w14:textId="6F2BA961" w:rsidR="00473C51" w:rsidRPr="00C82DFF" w:rsidRDefault="00473C51" w:rsidP="00473C51">
      <w:pPr>
        <w:shd w:val="clear" w:color="auto" w:fill="DBE5F1" w:themeFill="accent1" w:themeFillTint="33"/>
        <w:spacing w:before="120" w:after="0" w:line="240" w:lineRule="atLeast"/>
        <w:jc w:val="both"/>
        <w:rPr>
          <w:rFonts w:ascii="Times New Roman" w:hAnsi="Times New Roman" w:cs="Times New Roman"/>
          <w:noProof/>
        </w:rPr>
      </w:pPr>
      <w:r>
        <w:rPr>
          <w:rFonts w:ascii="Times New Roman" w:hAnsi="Times New Roman"/>
          <w:b/>
          <w:noProof/>
        </w:rPr>
        <w:t>Constatation clé nº 4: Pour résister à une situation de tensions sur les marchés, un niveau de WLA de résilience de 40 % pour les fonds monétaires à VL stable et de 20 % pour les fonds monétaires à VLV est généralement suffisant.</w:t>
      </w:r>
    </w:p>
    <w:p w14:paraId="18739A2D" w14:textId="728A02BF" w:rsidR="00D7036E" w:rsidRPr="00C82DFF" w:rsidRDefault="700DC15B" w:rsidP="0034552B">
      <w:pPr>
        <w:spacing w:before="240" w:after="240" w:line="280" w:lineRule="atLeast"/>
        <w:jc w:val="both"/>
        <w:rPr>
          <w:rFonts w:ascii="Times New Roman" w:hAnsi="Times New Roman" w:cs="Times New Roman"/>
          <w:b/>
          <w:bCs/>
          <w:noProof/>
        </w:rPr>
      </w:pPr>
      <w:r>
        <w:rPr>
          <w:rFonts w:ascii="Times New Roman" w:hAnsi="Times New Roman"/>
          <w:b/>
          <w:noProof/>
        </w:rPr>
        <w:t xml:space="preserve">Cette analyse montre qu’un niveau de WLA de résilience de 40 % pour les fonds monétaires à VL stable et de 20 % pour les fonds à VLV est généralement suffisant pour résister à une situation de tensions sur les marchés (voir également l’annexe III). </w:t>
      </w:r>
      <w:r>
        <w:rPr>
          <w:rFonts w:ascii="Times New Roman" w:hAnsi="Times New Roman"/>
          <w:noProof/>
        </w:rPr>
        <w:t>Plus précisément, le fait de détenir un niveau de WLA supérieur ou égal à ces niveaux de résilience permettrait aux fonds monétaires de l’UE de résister à de graves chocs de rachats sans devoir vendre des actifs en urgence, tout en maintenant les DLA à un niveau supérieur aux minima réglementaires. Le maintien des DLA au-dessus du seuil minimum permet de garantir une liquidité immédiate pour les rachats, en particulier en période de tensions, où les fonds monétaires peuvent être confrontés à des rachats pendant plusieurs jours consécutifs.</w:t>
      </w:r>
    </w:p>
    <w:p w14:paraId="04B429BA" w14:textId="4516BE61" w:rsidR="00DC1FBB" w:rsidRPr="00C82DFF" w:rsidRDefault="263FC8B8" w:rsidP="0034552B">
      <w:pPr>
        <w:spacing w:before="240" w:after="240" w:line="280" w:lineRule="atLeast"/>
        <w:jc w:val="both"/>
        <w:rPr>
          <w:rFonts w:ascii="Times New Roman" w:hAnsi="Times New Roman" w:cs="Times New Roman"/>
          <w:noProof/>
        </w:rPr>
      </w:pPr>
      <w:r>
        <w:rPr>
          <w:rFonts w:ascii="Times New Roman" w:hAnsi="Times New Roman"/>
          <w:noProof/>
        </w:rPr>
        <w:t xml:space="preserve">Cela signifie que, </w:t>
      </w:r>
      <w:r>
        <w:rPr>
          <w:rFonts w:ascii="Times New Roman" w:hAnsi="Times New Roman"/>
          <w:b/>
          <w:noProof/>
        </w:rPr>
        <w:t>du point de vue de l’ensemble du marché</w:t>
      </w:r>
      <w:r>
        <w:rPr>
          <w:rFonts w:ascii="Times New Roman" w:hAnsi="Times New Roman"/>
          <w:noProof/>
        </w:rPr>
        <w:t xml:space="preserve">, l’application uniforme de ces niveaux de résilience renforcera la capacité des fonds monétaires de l’UE à résister aux situations de tensions sur les marchés et à atténuer la propagation des chocs au reste du système financier et de l’économie.  </w:t>
      </w:r>
    </w:p>
    <w:p w14:paraId="55D649AE" w14:textId="40DA3B39" w:rsidR="004E1411" w:rsidRPr="00C82DFF" w:rsidRDefault="00E278B6" w:rsidP="0034552B">
      <w:pPr>
        <w:spacing w:before="240" w:after="240" w:line="280" w:lineRule="atLeast"/>
        <w:jc w:val="both"/>
        <w:rPr>
          <w:rFonts w:ascii="Times New Roman" w:hAnsi="Times New Roman" w:cs="Times New Roman"/>
          <w:noProof/>
        </w:rPr>
      </w:pPr>
      <w:r>
        <w:rPr>
          <w:rFonts w:ascii="Times New Roman" w:hAnsi="Times New Roman"/>
          <w:noProof/>
        </w:rPr>
        <w:t xml:space="preserve">La Commission estime donc que ces niveaux de WLA de résilience pourraient servir de points de référence pratiques pour la gestion du risque de liquidité. Du point de vue de la surveillance, ils pourraient également servir d’indicateurs d’alerte précoce, déclenchant un suivi plus étroit ou un engagement accru des ANC en matière de surveillance, lorsque les fonds monétaires opèrent de manière persistante en dessous des niveaux de résilience identifiés. Par conséquent, ces </w:t>
      </w:r>
      <w:r>
        <w:rPr>
          <w:rFonts w:ascii="Times New Roman" w:hAnsi="Times New Roman"/>
          <w:b/>
          <w:noProof/>
        </w:rPr>
        <w:t xml:space="preserve">niveaux de WLA de résilience pourraient être utilisés pour identifier les situations qui nécessitent une attention accrue de la part des gestionnaires de fonds monétaires, en particulier de leurs équipes de gestion des </w:t>
      </w:r>
      <w:r>
        <w:rPr>
          <w:rFonts w:ascii="Times New Roman" w:hAnsi="Times New Roman"/>
          <w:b/>
          <w:noProof/>
        </w:rPr>
        <w:lastRenderedPageBreak/>
        <w:t>risques, et un engagement renforcé des ANC concernées en matière de surveillance auprès des gestionnaires de fonds monétaires.</w:t>
      </w:r>
      <w:r>
        <w:rPr>
          <w:rFonts w:ascii="Times New Roman" w:hAnsi="Times New Roman"/>
          <w:noProof/>
        </w:rPr>
        <w:t xml:space="preserve"> </w:t>
      </w:r>
    </w:p>
    <w:p w14:paraId="25F6C418" w14:textId="2364F9E0" w:rsidR="000B0C03" w:rsidRDefault="00D95EDA" w:rsidP="0034552B">
      <w:pPr>
        <w:spacing w:before="100" w:beforeAutospacing="1" w:after="240" w:line="280" w:lineRule="atLeast"/>
        <w:jc w:val="both"/>
        <w:rPr>
          <w:rFonts w:ascii="Times New Roman" w:eastAsia="Times New Roman" w:hAnsi="Times New Roman" w:cs="Times New Roman"/>
          <w:noProof/>
        </w:rPr>
      </w:pPr>
      <w:r>
        <w:rPr>
          <w:rFonts w:ascii="Times New Roman" w:hAnsi="Times New Roman"/>
          <w:noProof/>
        </w:rPr>
        <w:t xml:space="preserve">Il convient de souligner que nombre de fonds monétaires sont peu susceptibles de subir des chocs de rachats de l’ampleur de ceux utilisés pour calibrer les niveaux de WLA de résilience. Comme le montre le présent rapport, les fonds monétaires ne sont pas un groupe homogène; leur propension à être confrontés à des chocs de liquidité dépend de leurs caractéristiques spécifiques et de leur base d’investisseurs. En outre, le calibrage des niveaux de WLA de résilience repose sur des hypothèses prudentes, en particulier sur celle selon laquelle les DLA ne sont pas utilisés une fois qu’ils ont atteint le minimum réglementaire. </w:t>
      </w:r>
    </w:p>
    <w:p w14:paraId="18448D26" w14:textId="212F257F" w:rsidR="00586836" w:rsidRPr="00C82DFF" w:rsidRDefault="00203380" w:rsidP="0034552B">
      <w:pPr>
        <w:spacing w:before="100" w:beforeAutospacing="1" w:after="240" w:line="280" w:lineRule="atLeast"/>
        <w:jc w:val="both"/>
        <w:rPr>
          <w:rFonts w:ascii="Times New Roman" w:eastAsia="Times New Roman" w:hAnsi="Times New Roman" w:cs="Times New Roman"/>
          <w:noProof/>
        </w:rPr>
      </w:pPr>
      <w:r>
        <w:rPr>
          <w:rFonts w:ascii="Times New Roman" w:hAnsi="Times New Roman"/>
          <w:noProof/>
        </w:rPr>
        <w:t xml:space="preserve">Par conséquent, </w:t>
      </w:r>
      <w:r>
        <w:rPr>
          <w:rFonts w:ascii="Times New Roman" w:hAnsi="Times New Roman"/>
          <w:b/>
          <w:noProof/>
        </w:rPr>
        <w:t>compte tenu de l’hétérogénéité du secteur des fonds monétaires et des types de fonds, il ne serait pas proportionné que les niveaux de WLA de résilience identifiés soient érigés en nouveaux minima réglementaires contraignants (constatation clé nº 2).</w:t>
      </w:r>
      <w:r>
        <w:rPr>
          <w:rFonts w:ascii="Times New Roman" w:hAnsi="Times New Roman"/>
          <w:noProof/>
        </w:rPr>
        <w:t xml:space="preserve"> La Commission considère que ces niveaux de WLA de résilience peuvent plutôt servir de niveaux de référence en matière de surveillance et de gestion des risques, qui aideraient les gestionnaires de fonds monétaires et les ANC à identifier les situations susceptibles de nécessiter un suivi plus étroit et un engagement renforcé en matière de surveillance. </w:t>
      </w:r>
    </w:p>
    <w:p w14:paraId="4B50237E" w14:textId="283726A9" w:rsidR="001927CF" w:rsidRPr="00C82DFF" w:rsidRDefault="001927CF" w:rsidP="001927CF">
      <w:pPr>
        <w:pStyle w:val="Heading1"/>
        <w:spacing w:before="360" w:after="360"/>
        <w:ind w:left="431" w:hanging="431"/>
        <w:jc w:val="both"/>
        <w:rPr>
          <w:rFonts w:ascii="Times New Roman" w:hAnsi="Times New Roman" w:cs="Times New Roman"/>
          <w:b/>
          <w:noProof/>
          <w:sz w:val="22"/>
          <w:szCs w:val="22"/>
        </w:rPr>
      </w:pPr>
      <w:bookmarkStart w:id="23" w:name="_Toc227857266"/>
      <w:r>
        <w:rPr>
          <w:rFonts w:ascii="Times New Roman" w:hAnsi="Times New Roman"/>
          <w:b/>
          <w:noProof/>
          <w:sz w:val="22"/>
        </w:rPr>
        <w:t>CONCLUSIONS</w:t>
      </w:r>
      <w:bookmarkEnd w:id="23"/>
    </w:p>
    <w:p w14:paraId="05DC8DCE" w14:textId="10E9D9E2" w:rsidR="001F16BE" w:rsidRDefault="45436E80" w:rsidP="0034552B">
      <w:pPr>
        <w:spacing w:before="100" w:beforeAutospacing="1" w:after="240" w:line="280" w:lineRule="atLeast"/>
        <w:jc w:val="both"/>
        <w:rPr>
          <w:rFonts w:ascii="Times New Roman" w:eastAsia="Times New Roman" w:hAnsi="Times New Roman" w:cs="Times New Roman"/>
          <w:noProof/>
        </w:rPr>
      </w:pPr>
      <w:r>
        <w:rPr>
          <w:rFonts w:ascii="Times New Roman" w:hAnsi="Times New Roman"/>
          <w:noProof/>
        </w:rPr>
        <w:t xml:space="preserve">Les conclusions du présent rapport sont destinées à servir de base pour améliorer la gestion de la liquidité par les gestionnaires de fonds monétaires et la surveillance des fonds monétaires par les ANC. Les conclusions de la section 2 montrent qu’à l’échelle du secteur, les niveaux de liquidité sont variables, mais qu’ils sont généralement nettement supérieurs aux seuils réglementaires minimaux fixés dans le règlement sur les fonds monétaires. En outre, dans son ensemble, le secteur des fonds monétaires a géré les risques de liquidité de manière responsable, tant en continu qu’en période de tensions sur les marchés. </w:t>
      </w:r>
    </w:p>
    <w:p w14:paraId="3065E735" w14:textId="265C4E65" w:rsidR="00421225" w:rsidRPr="00C82DFF" w:rsidRDefault="569174E0" w:rsidP="0034552B">
      <w:pPr>
        <w:spacing w:before="100" w:beforeAutospacing="1" w:after="240" w:line="280" w:lineRule="atLeast"/>
        <w:jc w:val="both"/>
        <w:rPr>
          <w:rFonts w:ascii="Times New Roman" w:hAnsi="Times New Roman" w:cs="Times New Roman"/>
          <w:noProof/>
        </w:rPr>
      </w:pPr>
      <w:r>
        <w:rPr>
          <w:rFonts w:ascii="Times New Roman" w:hAnsi="Times New Roman"/>
          <w:noProof/>
        </w:rPr>
        <w:t>Les conclusions de la section 3 indiquent que les niveaux de WLA de résilience identifiés peuvent servir de niveaux de référence en matière de surveillance et de gestion des risques de liquidité, en dessous desquels il est utile d’accroître l’intensité du contrôle des fonctions de gestion des risques des fonds monétaires et de leurs gestionnaires et de renforcer le contrôle prudentiel et les engagements des ACN, afin de garantir la résilience à l’échelle du marché.</w:t>
      </w:r>
    </w:p>
    <w:p w14:paraId="43393929" w14:textId="32814480" w:rsidR="00E670C5" w:rsidRPr="00C82DFF" w:rsidRDefault="00E670C5">
      <w:pPr>
        <w:rPr>
          <w:rFonts w:ascii="Times New Roman" w:hAnsi="Times New Roman" w:cs="Times New Roman"/>
          <w:noProof/>
        </w:rPr>
      </w:pPr>
      <w:r>
        <w:rPr>
          <w:noProof/>
        </w:rPr>
        <w:br w:type="page"/>
      </w:r>
    </w:p>
    <w:p w14:paraId="3A6BC427" w14:textId="1C92B999" w:rsidR="007E136A" w:rsidRPr="00C82DFF" w:rsidRDefault="00C234AB" w:rsidP="00CA7C9E">
      <w:pPr>
        <w:pStyle w:val="Heading1"/>
        <w:spacing w:before="360" w:after="360"/>
        <w:ind w:left="431" w:hanging="431"/>
        <w:jc w:val="both"/>
        <w:rPr>
          <w:rFonts w:ascii="Times New Roman" w:hAnsi="Times New Roman" w:cs="Times New Roman"/>
          <w:b/>
          <w:noProof/>
          <w:sz w:val="22"/>
          <w:szCs w:val="22"/>
        </w:rPr>
      </w:pPr>
      <w:bookmarkStart w:id="24" w:name="_Toc227857267"/>
      <w:r>
        <w:rPr>
          <w:rFonts w:ascii="Times New Roman" w:hAnsi="Times New Roman"/>
          <w:b/>
          <w:noProof/>
          <w:sz w:val="22"/>
        </w:rPr>
        <w:lastRenderedPageBreak/>
        <w:t>ANNEXE I: NIVEAUX DES COUSSINS DE LIQUIDITÉ</w:t>
      </w:r>
      <w:bookmarkEnd w:id="24"/>
    </w:p>
    <w:p w14:paraId="5350E209" w14:textId="6C27C55B" w:rsidR="007E136A" w:rsidRPr="00C82DFF" w:rsidRDefault="00555C6A" w:rsidP="007E136A">
      <w:pPr>
        <w:pStyle w:val="Heading2"/>
        <w:spacing w:before="240" w:after="240"/>
        <w:ind w:left="578" w:hanging="578"/>
        <w:rPr>
          <w:rFonts w:cs="Times New Roman"/>
          <w:noProof/>
          <w:sz w:val="22"/>
          <w:szCs w:val="22"/>
        </w:rPr>
      </w:pPr>
      <w:bookmarkStart w:id="25" w:name="_Toc227857268"/>
      <w:r>
        <w:rPr>
          <w:noProof/>
          <w:sz w:val="22"/>
        </w:rPr>
        <w:t>Statistiques sur les niveaux des coussins de liquidité</w:t>
      </w:r>
      <w:bookmarkEnd w:id="25"/>
    </w:p>
    <w:p w14:paraId="38F5C20C" w14:textId="77777777" w:rsidR="00CC2B07" w:rsidRPr="00AB43E2" w:rsidRDefault="00CC2B07" w:rsidP="0034552B">
      <w:pPr>
        <w:spacing w:before="240" w:after="240" w:line="280" w:lineRule="atLeast"/>
        <w:jc w:val="both"/>
        <w:rPr>
          <w:rFonts w:ascii="Times New Roman" w:hAnsi="Times New Roman" w:cs="Times New Roman"/>
          <w:noProof/>
        </w:rPr>
      </w:pPr>
      <w:r>
        <w:rPr>
          <w:rFonts w:ascii="Times New Roman" w:hAnsi="Times New Roman"/>
          <w:noProof/>
        </w:rPr>
        <w:t xml:space="preserve">Le graphique I.1 présente des statistiques sur les niveaux des coussins de liquidité, qui montrent que les fonds monétaires maintiennent des niveaux de liquidité supérieurs aux minima réglementaires et qui illustrent la manière dont ces niveaux évoluent au fil du temps. </w:t>
      </w:r>
    </w:p>
    <w:p w14:paraId="47221FF9" w14:textId="77777777" w:rsidR="00CC2B07" w:rsidRPr="00AB43E2" w:rsidRDefault="00CC2B07" w:rsidP="00CC2B07">
      <w:pPr>
        <w:rPr>
          <w:rFonts w:ascii="Times New Roman" w:hAnsi="Times New Roman" w:cs="Times New Roman"/>
          <w:b/>
          <w:noProof/>
        </w:rPr>
      </w:pPr>
      <w:r>
        <w:rPr>
          <w:rFonts w:ascii="Times New Roman" w:hAnsi="Times New Roman"/>
          <w:b/>
          <w:noProof/>
        </w:rPr>
        <w:t>Graphique I.1: Niveaux de WLA et de DLA</w:t>
      </w:r>
    </w:p>
    <w:tbl>
      <w:tblPr>
        <w:tblStyle w:val="TableGrid"/>
        <w:tblW w:w="12115" w:type="dxa"/>
        <w:tblInd w:w="-8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56"/>
        <w:gridCol w:w="6859"/>
      </w:tblGrid>
      <w:tr w:rsidR="007E136A" w:rsidRPr="00C82DFF" w14:paraId="425A82D1" w14:textId="77777777">
        <w:tc>
          <w:tcPr>
            <w:tcW w:w="5256" w:type="dxa"/>
          </w:tcPr>
          <w:p w14:paraId="274CAEE5" w14:textId="77777777" w:rsidR="007E136A" w:rsidRPr="00C82DFF" w:rsidRDefault="007E136A">
            <w:pPr>
              <w:rPr>
                <w:noProof/>
              </w:rPr>
            </w:pPr>
            <w:r>
              <w:rPr>
                <w:rFonts w:ascii="Times New Roman" w:hAnsi="Times New Roman"/>
                <w:noProof/>
                <w:lang w:val="en-GB" w:eastAsia="en-GB"/>
              </w:rPr>
              <w:drawing>
                <wp:inline distT="0" distB="0" distL="0" distR="0" wp14:anchorId="5DD0474B" wp14:editId="1A4BFA84">
                  <wp:extent cx="3220299" cy="2169160"/>
                  <wp:effectExtent l="19050" t="19050" r="18415" b="21590"/>
                  <wp:docPr id="356991016" name="Picture 1" descr="Un graphique du nombre de personnes&#10;&#10;Un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411475" name="Picture 1" descr="A graph of a number of people&#10;&#10;AI-generated content may be incorrect."/>
                          <pic:cNvPicPr/>
                        </pic:nvPicPr>
                        <pic:blipFill>
                          <a:blip r:embed="rId37"/>
                          <a:stretch>
                            <a:fillRect/>
                          </a:stretch>
                        </pic:blipFill>
                        <pic:spPr>
                          <a:xfrm>
                            <a:off x="0" y="0"/>
                            <a:ext cx="3220299" cy="2169160"/>
                          </a:xfrm>
                          <a:prstGeom prst="rect">
                            <a:avLst/>
                          </a:prstGeom>
                          <a:ln>
                            <a:solidFill>
                              <a:schemeClr val="tx1"/>
                            </a:solidFill>
                          </a:ln>
                        </pic:spPr>
                      </pic:pic>
                    </a:graphicData>
                  </a:graphic>
                </wp:inline>
              </w:drawing>
            </w:r>
          </w:p>
        </w:tc>
        <w:tc>
          <w:tcPr>
            <w:tcW w:w="6859" w:type="dxa"/>
          </w:tcPr>
          <w:p w14:paraId="43DE4DC6" w14:textId="77777777" w:rsidR="007E136A" w:rsidRPr="00C82DFF" w:rsidRDefault="007E136A">
            <w:pPr>
              <w:rPr>
                <w:noProof/>
              </w:rPr>
            </w:pPr>
            <w:r>
              <w:rPr>
                <w:rFonts w:ascii="Times New Roman" w:hAnsi="Times New Roman"/>
                <w:noProof/>
                <w:lang w:val="en-GB" w:eastAsia="en-GB"/>
              </w:rPr>
              <w:drawing>
                <wp:inline distT="0" distB="0" distL="0" distR="0" wp14:anchorId="6FD64D80" wp14:editId="0B682682">
                  <wp:extent cx="3153641" cy="2217773"/>
                  <wp:effectExtent l="19050" t="19050" r="27940" b="11430"/>
                  <wp:docPr id="1165085369" name="Picture 1" descr="Un graphique avec des chiffres et des lignes&#10;&#10;Un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187640" name="Picture 1" descr="A graph of numbers and lines&#10;&#10;AI-generated content may be incorrect."/>
                          <pic:cNvPicPr/>
                        </pic:nvPicPr>
                        <pic:blipFill>
                          <a:blip r:embed="rId38"/>
                          <a:stretch>
                            <a:fillRect/>
                          </a:stretch>
                        </pic:blipFill>
                        <pic:spPr>
                          <a:xfrm>
                            <a:off x="0" y="0"/>
                            <a:ext cx="3166505" cy="2226819"/>
                          </a:xfrm>
                          <a:prstGeom prst="rect">
                            <a:avLst/>
                          </a:prstGeom>
                          <a:ln>
                            <a:solidFill>
                              <a:schemeClr val="tx1"/>
                            </a:solidFill>
                          </a:ln>
                        </pic:spPr>
                      </pic:pic>
                    </a:graphicData>
                  </a:graphic>
                </wp:inline>
              </w:drawing>
            </w:r>
          </w:p>
        </w:tc>
      </w:tr>
      <w:tr w:rsidR="007E136A" w:rsidRPr="00C82DFF" w14:paraId="3F738866" w14:textId="77777777">
        <w:tc>
          <w:tcPr>
            <w:tcW w:w="5256" w:type="dxa"/>
          </w:tcPr>
          <w:p w14:paraId="25595642" w14:textId="77777777" w:rsidR="007E136A" w:rsidRPr="00C82DFF" w:rsidRDefault="007E136A">
            <w:pPr>
              <w:rPr>
                <w:noProof/>
              </w:rPr>
            </w:pPr>
            <w:r>
              <w:rPr>
                <w:rFonts w:ascii="Times New Roman" w:hAnsi="Times New Roman"/>
                <w:noProof/>
                <w:lang w:val="en-GB" w:eastAsia="en-GB"/>
              </w:rPr>
              <w:drawing>
                <wp:inline distT="0" distB="0" distL="0" distR="0" wp14:anchorId="3599F835" wp14:editId="6ED3DED2">
                  <wp:extent cx="3220085" cy="2320290"/>
                  <wp:effectExtent l="19050" t="19050" r="18415" b="22860"/>
                  <wp:docPr id="1482092275" name="Picture 1" descr="Un graphique avec des chiffres et des lignes&#10;&#10;Un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867850" name="Picture 1" descr="A graph of numbers and lines&#10;&#10;AI-generated content may be incorrect."/>
                          <pic:cNvPicPr/>
                        </pic:nvPicPr>
                        <pic:blipFill>
                          <a:blip r:embed="rId39"/>
                          <a:stretch>
                            <a:fillRect/>
                          </a:stretch>
                        </pic:blipFill>
                        <pic:spPr>
                          <a:xfrm>
                            <a:off x="0" y="0"/>
                            <a:ext cx="3269722" cy="2356057"/>
                          </a:xfrm>
                          <a:prstGeom prst="rect">
                            <a:avLst/>
                          </a:prstGeom>
                          <a:ln>
                            <a:solidFill>
                              <a:schemeClr val="tx1"/>
                            </a:solidFill>
                          </a:ln>
                        </pic:spPr>
                      </pic:pic>
                    </a:graphicData>
                  </a:graphic>
                </wp:inline>
              </w:drawing>
            </w:r>
          </w:p>
        </w:tc>
        <w:tc>
          <w:tcPr>
            <w:tcW w:w="6859" w:type="dxa"/>
          </w:tcPr>
          <w:p w14:paraId="6F4EDCA5" w14:textId="77777777" w:rsidR="007E136A" w:rsidRPr="00C82DFF" w:rsidRDefault="007E136A">
            <w:pPr>
              <w:rPr>
                <w:noProof/>
              </w:rPr>
            </w:pPr>
            <w:r>
              <w:rPr>
                <w:rFonts w:ascii="Times New Roman" w:hAnsi="Times New Roman"/>
                <w:noProof/>
                <w:lang w:val="en-GB" w:eastAsia="en-GB"/>
              </w:rPr>
              <w:drawing>
                <wp:inline distT="0" distB="0" distL="0" distR="0" wp14:anchorId="511808C3" wp14:editId="2214FF07">
                  <wp:extent cx="3167496" cy="2307920"/>
                  <wp:effectExtent l="19050" t="19050" r="13970" b="16510"/>
                  <wp:docPr id="128922111" name="Picture 1" descr="Un graphique avec des chiffres et des lignes&#10;&#10;Un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66898" name="Picture 1" descr="A graph of numbers and lines&#10;&#10;AI-generated content may be incorrect."/>
                          <pic:cNvPicPr/>
                        </pic:nvPicPr>
                        <pic:blipFill>
                          <a:blip r:embed="rId40"/>
                          <a:stretch>
                            <a:fillRect/>
                          </a:stretch>
                        </pic:blipFill>
                        <pic:spPr>
                          <a:xfrm>
                            <a:off x="0" y="0"/>
                            <a:ext cx="3195996" cy="2328686"/>
                          </a:xfrm>
                          <a:prstGeom prst="rect">
                            <a:avLst/>
                          </a:prstGeom>
                          <a:ln>
                            <a:solidFill>
                              <a:schemeClr val="tx1"/>
                            </a:solidFill>
                          </a:ln>
                        </pic:spPr>
                      </pic:pic>
                    </a:graphicData>
                  </a:graphic>
                </wp:inline>
              </w:drawing>
            </w:r>
          </w:p>
        </w:tc>
      </w:tr>
    </w:tbl>
    <w:p w14:paraId="1D535A03" w14:textId="77777777" w:rsidR="000530BA" w:rsidRDefault="000530BA" w:rsidP="00AA1C7B">
      <w:pPr>
        <w:pStyle w:val="paragraph"/>
        <w:spacing w:before="0" w:beforeAutospacing="0" w:after="0" w:afterAutospacing="0"/>
        <w:textAlignment w:val="baseline"/>
        <w:rPr>
          <w:rStyle w:val="normaltextrun"/>
          <w:rFonts w:eastAsiaTheme="majorEastAsia"/>
          <w:noProof/>
          <w:sz w:val="18"/>
          <w:szCs w:val="18"/>
        </w:rPr>
      </w:pPr>
    </w:p>
    <w:p w14:paraId="749CF4C0" w14:textId="77777777" w:rsidR="004B3B28" w:rsidRPr="00AB43E2" w:rsidRDefault="004B3B28" w:rsidP="004B3B28">
      <w:pPr>
        <w:pStyle w:val="paragraph"/>
        <w:spacing w:before="0" w:beforeAutospacing="0" w:after="0" w:afterAutospacing="0"/>
        <w:textAlignment w:val="baseline"/>
        <w:rPr>
          <w:rFonts w:ascii="Segoe UI" w:hAnsi="Segoe UI" w:cs="Segoe UI"/>
          <w:noProof/>
          <w:sz w:val="18"/>
          <w:szCs w:val="18"/>
        </w:rPr>
      </w:pPr>
      <w:r>
        <w:rPr>
          <w:rStyle w:val="normaltextrun"/>
          <w:noProof/>
          <w:sz w:val="18"/>
        </w:rPr>
        <w:t>Source: Commission européenne, d’après les données de l’AEMF du T1 2020 au T4 2025</w:t>
      </w:r>
      <w:r>
        <w:rPr>
          <w:rStyle w:val="eop"/>
          <w:noProof/>
          <w:sz w:val="18"/>
        </w:rPr>
        <w:t xml:space="preserve"> </w:t>
      </w:r>
    </w:p>
    <w:p w14:paraId="5F5B23E4" w14:textId="09DB5721" w:rsidR="004B3B28" w:rsidRPr="000530BA" w:rsidRDefault="004B3B28" w:rsidP="000530BA">
      <w:pPr>
        <w:pStyle w:val="paragraph"/>
        <w:spacing w:before="0" w:beforeAutospacing="0" w:after="0" w:afterAutospacing="0"/>
        <w:textAlignment w:val="baseline"/>
        <w:rPr>
          <w:rFonts w:ascii="Segoe UI" w:hAnsi="Segoe UI" w:cs="Segoe UI"/>
          <w:noProof/>
          <w:sz w:val="18"/>
          <w:szCs w:val="18"/>
        </w:rPr>
      </w:pPr>
      <w:r>
        <w:rPr>
          <w:rStyle w:val="normaltextrun"/>
          <w:noProof/>
          <w:sz w:val="18"/>
        </w:rPr>
        <w:t>Remarque: Tendances du niveau moyen des WLA et des 25</w:t>
      </w:r>
      <w:r>
        <w:rPr>
          <w:rStyle w:val="normaltextrun"/>
          <w:noProof/>
          <w:sz w:val="18"/>
          <w:vertAlign w:val="superscript"/>
        </w:rPr>
        <w:t>e</w:t>
      </w:r>
      <w:r>
        <w:rPr>
          <w:rStyle w:val="normaltextrun"/>
          <w:noProof/>
          <w:sz w:val="18"/>
        </w:rPr>
        <w:t xml:space="preserve"> et 75</w:t>
      </w:r>
      <w:r>
        <w:rPr>
          <w:rStyle w:val="normaltextrun"/>
          <w:noProof/>
          <w:sz w:val="18"/>
          <w:vertAlign w:val="superscript"/>
        </w:rPr>
        <w:t>e</w:t>
      </w:r>
      <w:r>
        <w:rPr>
          <w:rStyle w:val="normaltextrun"/>
          <w:noProof/>
          <w:sz w:val="18"/>
        </w:rPr>
        <w:t xml:space="preserve"> centiles des WLA (en pourcentage de la VL) pour l’ensemble des fonds à VL à faible volatilité.</w:t>
      </w:r>
      <w:r>
        <w:rPr>
          <w:rStyle w:val="eop"/>
          <w:noProof/>
          <w:sz w:val="18"/>
        </w:rPr>
        <w:t xml:space="preserve"> </w:t>
      </w:r>
    </w:p>
    <w:p w14:paraId="58EFD59B" w14:textId="2F46064D" w:rsidR="007E136A" w:rsidRPr="00C82DFF" w:rsidRDefault="007E136A" w:rsidP="007E136A">
      <w:pPr>
        <w:pStyle w:val="Heading2"/>
        <w:spacing w:before="240" w:after="240"/>
        <w:ind w:left="578" w:hanging="578"/>
        <w:rPr>
          <w:rFonts w:cs="Times New Roman"/>
          <w:noProof/>
          <w:sz w:val="22"/>
          <w:szCs w:val="22"/>
        </w:rPr>
      </w:pPr>
      <w:bookmarkStart w:id="26" w:name="_Toc227857269"/>
      <w:r>
        <w:rPr>
          <w:noProof/>
          <w:sz w:val="22"/>
        </w:rPr>
        <w:t>Exemples de fonds monétaires confrontés à des chocs de rachats élevés</w:t>
      </w:r>
      <w:bookmarkEnd w:id="26"/>
    </w:p>
    <w:p w14:paraId="03E278D3" w14:textId="3BA04EAE" w:rsidR="00480352" w:rsidRDefault="007E136A" w:rsidP="0034552B">
      <w:pPr>
        <w:spacing w:before="240" w:after="240" w:line="280" w:lineRule="atLeast"/>
        <w:jc w:val="both"/>
        <w:rPr>
          <w:rFonts w:ascii="Times New Roman" w:hAnsi="Times New Roman" w:cs="Times New Roman"/>
          <w:noProof/>
        </w:rPr>
      </w:pPr>
      <w:r>
        <w:rPr>
          <w:rFonts w:ascii="Times New Roman" w:hAnsi="Times New Roman"/>
          <w:noProof/>
        </w:rPr>
        <w:t>La reconstitution des coussins de liquidité a été analysée en se focalisant sur la tranche inférieure des 10 % de fonds qui ont enregistré les flux sortants les plus importants. Cette analyse s’est appuyée sur les données de surveillance des ANC, d’autres sources de données, les communications des fonds sur la gestion de la liquidité en période de tensions sur les marchés et les changements de composition des portefeuilles. Une tendance constante s’est dégagée: après l’épisode de tensions, les fonds monétaires, même les plus touchés d’entre eux, ont été en mesure de reconstituer leurs coussins de liquidité en un temps relativement court.</w:t>
      </w:r>
    </w:p>
    <w:p w14:paraId="088F3FAC" w14:textId="432834CA" w:rsidR="005B2BDE" w:rsidRPr="00480352" w:rsidRDefault="00480352" w:rsidP="00480352">
      <w:pPr>
        <w:rPr>
          <w:rFonts w:ascii="Times New Roman" w:hAnsi="Times New Roman" w:cs="Times New Roman"/>
          <w:noProof/>
        </w:rPr>
      </w:pPr>
      <w:r>
        <w:rPr>
          <w:noProof/>
        </w:rPr>
        <w:br w:type="page"/>
      </w:r>
    </w:p>
    <w:p w14:paraId="53F3DA5A" w14:textId="6751F3D0" w:rsidR="007E136A" w:rsidRDefault="009A7177" w:rsidP="007E136A">
      <w:pPr>
        <w:spacing w:before="240" w:after="240"/>
        <w:rPr>
          <w:rFonts w:ascii="Times New Roman" w:eastAsia="Times New Roman" w:hAnsi="Times New Roman" w:cs="Times New Roman"/>
          <w:b/>
          <w:noProof/>
        </w:rPr>
      </w:pPr>
      <w:r>
        <w:rPr>
          <w:rFonts w:ascii="Times New Roman" w:hAnsi="Times New Roman"/>
          <w:b/>
          <w:noProof/>
        </w:rPr>
        <w:lastRenderedPageBreak/>
        <w:t>Graphique I.2: Exemples de reconstitution des coussins de liquidité de deux fonds à VLV confrontés à d’importantes demandes de rachat</w:t>
      </w:r>
    </w:p>
    <w:tbl>
      <w:tblPr>
        <w:tblStyle w:val="TableGrid"/>
        <w:tblW w:w="10422" w:type="dxa"/>
        <w:jc w:val="center"/>
        <w:tblLook w:val="04A0" w:firstRow="1" w:lastRow="0" w:firstColumn="1" w:lastColumn="0" w:noHBand="0" w:noVBand="1"/>
      </w:tblPr>
      <w:tblGrid>
        <w:gridCol w:w="5136"/>
        <w:gridCol w:w="5286"/>
      </w:tblGrid>
      <w:tr w:rsidR="0065406B" w14:paraId="126457CF" w14:textId="77777777" w:rsidTr="0034552B">
        <w:trPr>
          <w:jc w:val="center"/>
        </w:trPr>
        <w:tc>
          <w:tcPr>
            <w:tcW w:w="5136" w:type="dxa"/>
          </w:tcPr>
          <w:p w14:paraId="686E25D6" w14:textId="1657D411" w:rsidR="0065406B" w:rsidRDefault="0065406B" w:rsidP="0034552B">
            <w:pPr>
              <w:spacing w:before="240" w:after="240"/>
              <w:jc w:val="center"/>
              <w:rPr>
                <w:rFonts w:ascii="Times New Roman" w:eastAsia="Times New Roman" w:hAnsi="Times New Roman" w:cs="Times New Roman"/>
                <w:b/>
                <w:noProof/>
              </w:rPr>
            </w:pPr>
            <w:r>
              <w:rPr>
                <w:noProof/>
                <w:lang w:val="en-GB" w:eastAsia="en-GB"/>
              </w:rPr>
              <w:drawing>
                <wp:inline distT="0" distB="0" distL="0" distR="0" wp14:anchorId="426F40E1" wp14:editId="1C40F525">
                  <wp:extent cx="3077833" cy="2113592"/>
                  <wp:effectExtent l="19050" t="19050" r="27940" b="20320"/>
                  <wp:docPr id="73382107" name="Picture 1" descr="Un graphique avec des lignes bleues et orange&#10;&#10;Un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60270" name="Picture 1" descr="A graph with blue and orange lines&#10;&#10;AI-generated content may be incorrect."/>
                          <pic:cNvPicPr/>
                        </pic:nvPicPr>
                        <pic:blipFill>
                          <a:blip r:embed="rId41"/>
                          <a:stretch>
                            <a:fillRect/>
                          </a:stretch>
                        </pic:blipFill>
                        <pic:spPr>
                          <a:xfrm>
                            <a:off x="0" y="0"/>
                            <a:ext cx="3105016" cy="2132259"/>
                          </a:xfrm>
                          <a:prstGeom prst="rect">
                            <a:avLst/>
                          </a:prstGeom>
                          <a:ln>
                            <a:solidFill>
                              <a:schemeClr val="tx1"/>
                            </a:solidFill>
                          </a:ln>
                        </pic:spPr>
                      </pic:pic>
                    </a:graphicData>
                  </a:graphic>
                </wp:inline>
              </w:drawing>
            </w:r>
          </w:p>
        </w:tc>
        <w:tc>
          <w:tcPr>
            <w:tcW w:w="5286" w:type="dxa"/>
          </w:tcPr>
          <w:p w14:paraId="64AE6BA4" w14:textId="5EAD184C" w:rsidR="0065406B" w:rsidRDefault="0065406B" w:rsidP="007E136A">
            <w:pPr>
              <w:spacing w:before="240" w:after="240"/>
              <w:rPr>
                <w:rFonts w:ascii="Times New Roman" w:eastAsia="Times New Roman" w:hAnsi="Times New Roman" w:cs="Times New Roman"/>
                <w:b/>
                <w:noProof/>
              </w:rPr>
            </w:pPr>
            <w:r>
              <w:rPr>
                <w:noProof/>
                <w:lang w:val="en-GB" w:eastAsia="en-GB"/>
              </w:rPr>
              <w:drawing>
                <wp:inline distT="0" distB="0" distL="0" distR="0" wp14:anchorId="3189F899" wp14:editId="2F28FDC5">
                  <wp:extent cx="3181350" cy="2218055"/>
                  <wp:effectExtent l="19050" t="19050" r="19050" b="10795"/>
                  <wp:docPr id="40316323" name="Picture 1" descr="Un graphique avec des lignes bleues et orange&#10;&#10;Un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01330" name="Picture 1" descr="A graph with blue and orange lines&#10;&#10;AI-generated content may be incorrect."/>
                          <pic:cNvPicPr/>
                        </pic:nvPicPr>
                        <pic:blipFill>
                          <a:blip r:embed="rId42"/>
                          <a:stretch>
                            <a:fillRect/>
                          </a:stretch>
                        </pic:blipFill>
                        <pic:spPr>
                          <a:xfrm>
                            <a:off x="0" y="0"/>
                            <a:ext cx="3182207" cy="2218653"/>
                          </a:xfrm>
                          <a:prstGeom prst="rect">
                            <a:avLst/>
                          </a:prstGeom>
                          <a:ln>
                            <a:solidFill>
                              <a:schemeClr val="tx1"/>
                            </a:solidFill>
                          </a:ln>
                        </pic:spPr>
                      </pic:pic>
                    </a:graphicData>
                  </a:graphic>
                </wp:inline>
              </w:drawing>
            </w:r>
          </w:p>
        </w:tc>
      </w:tr>
    </w:tbl>
    <w:p w14:paraId="4D0C8F47" w14:textId="76E0BBE9" w:rsidR="007E136A" w:rsidRPr="00C82DFF" w:rsidRDefault="007E136A" w:rsidP="007E136A">
      <w:pPr>
        <w:spacing w:after="0" w:line="240" w:lineRule="auto"/>
        <w:jc w:val="center"/>
        <w:rPr>
          <w:rFonts w:ascii="Times New Roman" w:hAnsi="Times New Roman" w:cs="Times New Roman"/>
          <w:noProof/>
        </w:rPr>
      </w:pPr>
    </w:p>
    <w:p w14:paraId="36F9BFDE" w14:textId="77777777" w:rsidR="00531B77" w:rsidRPr="003C4867" w:rsidRDefault="00531B77" w:rsidP="0065406B">
      <w:pPr>
        <w:pStyle w:val="paragraph"/>
        <w:spacing w:before="0" w:beforeAutospacing="0" w:after="0" w:afterAutospacing="0"/>
        <w:textAlignment w:val="baseline"/>
        <w:rPr>
          <w:rFonts w:ascii="Segoe UI" w:hAnsi="Segoe UI" w:cs="Segoe UI"/>
          <w:noProof/>
          <w:sz w:val="18"/>
          <w:szCs w:val="18"/>
        </w:rPr>
      </w:pPr>
      <w:r>
        <w:rPr>
          <w:rStyle w:val="normaltextrun"/>
          <w:noProof/>
          <w:sz w:val="16"/>
        </w:rPr>
        <w:t>Sources: Crane Data et ANC.</w:t>
      </w:r>
      <w:r>
        <w:rPr>
          <w:rStyle w:val="normaltextrun"/>
          <w:noProof/>
          <w:sz w:val="16"/>
          <w:shd w:val="clear" w:color="auto" w:fill="C6C6C6"/>
        </w:rPr>
        <w:t xml:space="preserve"> </w:t>
      </w:r>
      <w:r>
        <w:rPr>
          <w:rStyle w:val="eop"/>
          <w:noProof/>
          <w:sz w:val="16"/>
        </w:rPr>
        <w:t xml:space="preserve"> </w:t>
      </w:r>
    </w:p>
    <w:p w14:paraId="264276ED" w14:textId="6A425D90" w:rsidR="00531B77" w:rsidRPr="003C4867" w:rsidRDefault="00CF1EC6" w:rsidP="0065406B">
      <w:pPr>
        <w:pStyle w:val="paragraph"/>
        <w:spacing w:before="0" w:beforeAutospacing="0" w:after="0" w:afterAutospacing="0"/>
        <w:jc w:val="both"/>
        <w:textAlignment w:val="baseline"/>
        <w:rPr>
          <w:rFonts w:ascii="Segoe UI" w:hAnsi="Segoe UI" w:cs="Segoe UI"/>
          <w:noProof/>
          <w:sz w:val="18"/>
          <w:szCs w:val="18"/>
        </w:rPr>
      </w:pPr>
      <w:r>
        <w:rPr>
          <w:rStyle w:val="normaltextrun"/>
          <w:noProof/>
          <w:sz w:val="16"/>
        </w:rPr>
        <w:t>Remarque: Deux exemples de fonds à VLV confrontés à des flux sortants importants, illustrant l’incidence sur les WLA et la reconstitution ultérieure des coussins de liquidité. Le niveau minimal de 15 % est représenté par une ligne en pointillés. .</w:t>
      </w:r>
      <w:r>
        <w:rPr>
          <w:rStyle w:val="eop"/>
          <w:noProof/>
          <w:sz w:val="16"/>
        </w:rPr>
        <w:t xml:space="preserve"> </w:t>
      </w:r>
    </w:p>
    <w:p w14:paraId="08077988" w14:textId="77777777" w:rsidR="0065406B" w:rsidRDefault="0065406B" w:rsidP="007E136A">
      <w:pPr>
        <w:spacing w:before="240" w:after="240"/>
        <w:rPr>
          <w:rFonts w:ascii="Times New Roman" w:eastAsia="Times New Roman" w:hAnsi="Times New Roman" w:cs="Times New Roman"/>
          <w:b/>
          <w:noProof/>
        </w:rPr>
      </w:pPr>
    </w:p>
    <w:p w14:paraId="14AD7CA1" w14:textId="4C09865A" w:rsidR="007E136A" w:rsidRPr="00C82DFF" w:rsidRDefault="009A7177" w:rsidP="00BE4513">
      <w:pPr>
        <w:spacing w:before="240" w:after="240"/>
        <w:rPr>
          <w:rFonts w:ascii="Times New Roman" w:eastAsia="Times New Roman" w:hAnsi="Times New Roman" w:cs="Times New Roman"/>
          <w:noProof/>
        </w:rPr>
      </w:pPr>
      <w:r>
        <w:rPr>
          <w:rFonts w:ascii="Times New Roman" w:hAnsi="Times New Roman"/>
          <w:b/>
          <w:noProof/>
        </w:rPr>
        <w:t>Graphique I.3: Reconstitution des coussins de liquidité face à d’importantes demandes de rachat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gridCol w:w="4428"/>
      </w:tblGrid>
      <w:tr w:rsidR="00AC7FAE" w14:paraId="03F74083" w14:textId="77777777" w:rsidTr="0034552B">
        <w:trPr>
          <w:jc w:val="center"/>
        </w:trPr>
        <w:tc>
          <w:tcPr>
            <w:tcW w:w="5051" w:type="dxa"/>
          </w:tcPr>
          <w:p w14:paraId="753A48C3" w14:textId="4D9C4C89" w:rsidR="007E210B" w:rsidRDefault="00B207F5">
            <w:pPr>
              <w:rPr>
                <w:rFonts w:ascii="Times New Roman" w:eastAsia="Times New Roman" w:hAnsi="Times New Roman" w:cs="Times New Roman"/>
                <w:noProof/>
              </w:rPr>
            </w:pPr>
            <w:r>
              <w:rPr>
                <w:rFonts w:ascii="Times New Roman" w:hAnsi="Times New Roman"/>
                <w:noProof/>
                <w:lang w:val="en-GB" w:eastAsia="en-GB"/>
              </w:rPr>
              <mc:AlternateContent>
                <mc:Choice Requires="wps">
                  <w:drawing>
                    <wp:anchor distT="0" distB="0" distL="114300" distR="114300" simplePos="0" relativeHeight="251658246" behindDoc="0" locked="0" layoutInCell="1" allowOverlap="1" wp14:anchorId="48BD3E45" wp14:editId="2548B5AC">
                      <wp:simplePos x="0" y="0"/>
                      <wp:positionH relativeFrom="column">
                        <wp:posOffset>266113</wp:posOffset>
                      </wp:positionH>
                      <wp:positionV relativeFrom="paragraph">
                        <wp:posOffset>460818</wp:posOffset>
                      </wp:positionV>
                      <wp:extent cx="2656936" cy="8627"/>
                      <wp:effectExtent l="0" t="0" r="10160" b="29845"/>
                      <wp:wrapNone/>
                      <wp:docPr id="1241976883" name="Straight Connector 2"/>
                      <wp:cNvGraphicFramePr/>
                      <a:graphic xmlns:a="http://schemas.openxmlformats.org/drawingml/2006/main">
                        <a:graphicData uri="http://schemas.microsoft.com/office/word/2010/wordprocessingShape">
                          <wps:wsp>
                            <wps:cNvCnPr/>
                            <wps:spPr>
                              <a:xfrm flipV="1">
                                <a:off x="0" y="0"/>
                                <a:ext cx="2656936" cy="8627"/>
                              </a:xfrm>
                              <a:prstGeom prst="line">
                                <a:avLst/>
                              </a:prstGeom>
                              <a:ln w="19050" cap="flat" cmpd="sng" algn="ctr">
                                <a:solidFill>
                                  <a:schemeClr val="accent6"/>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a="http://schemas.openxmlformats.org/drawingml/2006/main" xmlns:dgm="http://schemas.openxmlformats.org/drawingml/2006/diagram" xmlns:pic="http://schemas.openxmlformats.org/drawingml/2006/picture" xmlns:a14="http://schemas.microsoft.com/office/drawing/2010/main">
                  <w:pict>
                    <v:line id="Straight Connector 2" style="position:absolute;flip:y;z-index:251658246;visibility:visible;mso-wrap-style:square;mso-wrap-distance-left:9pt;mso-wrap-distance-top:0;mso-wrap-distance-right:9pt;mso-wrap-distance-bottom:0;mso-position-horizontal:absolute;mso-position-horizontal-relative:text;mso-position-vertical:absolute;mso-position-vertical-relative:text" o:spid="_x0000_s1026" strokecolor="#f79646 [3209]"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" from="20.95pt,36.3pt" to="230.15pt,37pt" w14:anchorId="293A4BA2">
                      <v:stroke dashstyle="dash"/>
                    </v:line>
                  </w:pict>
                </mc:Fallback>
              </mc:AlternateContent>
            </w:r>
            <w:r>
              <w:rPr>
                <w:rFonts w:ascii="Times New Roman" w:hAnsi="Times New Roman"/>
                <w:noProof/>
                <w:lang w:val="en-GB" w:eastAsia="en-GB"/>
              </w:rPr>
              <w:drawing>
                <wp:inline distT="0" distB="0" distL="0" distR="0" wp14:anchorId="2122308F" wp14:editId="7D98E391">
                  <wp:extent cx="3135630" cy="2208363"/>
                  <wp:effectExtent l="0" t="0" r="7620" b="1905"/>
                  <wp:docPr id="202000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0654" name=""/>
                          <pic:cNvPicPr/>
                        </pic:nvPicPr>
                        <pic:blipFill>
                          <a:blip r:embed="rId43"/>
                          <a:stretch>
                            <a:fillRect/>
                          </a:stretch>
                        </pic:blipFill>
                        <pic:spPr>
                          <a:xfrm>
                            <a:off x="0" y="0"/>
                            <a:ext cx="3154432" cy="2221605"/>
                          </a:xfrm>
                          <a:prstGeom prst="rect">
                            <a:avLst/>
                          </a:prstGeom>
                        </pic:spPr>
                      </pic:pic>
                    </a:graphicData>
                  </a:graphic>
                </wp:inline>
              </w:drawing>
            </w:r>
          </w:p>
        </w:tc>
        <w:tc>
          <w:tcPr>
            <w:tcW w:w="4583" w:type="dxa"/>
          </w:tcPr>
          <w:p w14:paraId="580647A4" w14:textId="43323706" w:rsidR="007E210B" w:rsidRDefault="00CD0AD1">
            <w:pPr>
              <w:rPr>
                <w:rFonts w:ascii="Times New Roman" w:eastAsia="Times New Roman" w:hAnsi="Times New Roman" w:cs="Times New Roman"/>
                <w:noProof/>
              </w:rPr>
            </w:pPr>
            <w:r>
              <w:rPr>
                <w:rFonts w:ascii="Times New Roman" w:hAnsi="Times New Roman"/>
                <w:noProof/>
                <w:lang w:val="en-GB" w:eastAsia="en-GB"/>
              </w:rPr>
              <mc:AlternateContent>
                <mc:Choice Requires="wps">
                  <w:drawing>
                    <wp:anchor distT="0" distB="0" distL="114300" distR="114300" simplePos="0" relativeHeight="251658247" behindDoc="0" locked="0" layoutInCell="1" allowOverlap="1" wp14:anchorId="2550BBB7" wp14:editId="6E42B8A0">
                      <wp:simplePos x="0" y="0"/>
                      <wp:positionH relativeFrom="column">
                        <wp:posOffset>185504</wp:posOffset>
                      </wp:positionH>
                      <wp:positionV relativeFrom="paragraph">
                        <wp:posOffset>417314</wp:posOffset>
                      </wp:positionV>
                      <wp:extent cx="2700068" cy="0"/>
                      <wp:effectExtent l="0" t="0" r="0" b="0"/>
                      <wp:wrapNone/>
                      <wp:docPr id="970144434" name="Straight Connector 2"/>
                      <wp:cNvGraphicFramePr/>
                      <a:graphic xmlns:a="http://schemas.openxmlformats.org/drawingml/2006/main">
                        <a:graphicData uri="http://schemas.microsoft.com/office/word/2010/wordprocessingShape">
                          <wps:wsp>
                            <wps:cNvCnPr/>
                            <wps:spPr>
                              <a:xfrm flipV="1">
                                <a:off x="0" y="0"/>
                                <a:ext cx="2700068" cy="0"/>
                              </a:xfrm>
                              <a:prstGeom prst="line">
                                <a:avLst/>
                              </a:prstGeom>
                              <a:ln w="19050" cap="flat" cmpd="sng" algn="ctr">
                                <a:solidFill>
                                  <a:schemeClr val="accent6"/>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xmlns:pic="http://schemas.openxmlformats.org/drawingml/2006/picture" xmlns:a14="http://schemas.microsoft.com/office/drawing/2010/main">
                  <w:pict>
                    <v:line id="Straight Connector 2" style="position:absolute;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79646 [3209]"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" from="14.6pt,32.85pt" to="227.2pt,32.85pt" w14:anchorId="4514B8C5">
                      <v:stroke dashstyle="dash"/>
                    </v:line>
                  </w:pict>
                </mc:Fallback>
              </mc:AlternateContent>
            </w:r>
            <w:r>
              <w:rPr>
                <w:noProof/>
                <w:lang w:val="en-GB" w:eastAsia="en-GB"/>
              </w:rPr>
              <w:drawing>
                <wp:inline distT="0" distB="0" distL="0" distR="0" wp14:anchorId="171110EF" wp14:editId="6D53E401">
                  <wp:extent cx="2984393" cy="2096219"/>
                  <wp:effectExtent l="0" t="0" r="6985" b="0"/>
                  <wp:docPr id="1549604522" name="Picture 3" descr="Un graphique avec des chiffres et une ligne rouge&#10;&#10;Un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aph with numbers and a red line&#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03382" cy="2109557"/>
                          </a:xfrm>
                          <a:prstGeom prst="rect">
                            <a:avLst/>
                          </a:prstGeom>
                          <a:noFill/>
                          <a:ln>
                            <a:noFill/>
                          </a:ln>
                        </pic:spPr>
                      </pic:pic>
                    </a:graphicData>
                  </a:graphic>
                </wp:inline>
              </w:drawing>
            </w:r>
          </w:p>
        </w:tc>
      </w:tr>
    </w:tbl>
    <w:p w14:paraId="7C749AFB" w14:textId="77777777" w:rsidR="00BE4513" w:rsidRDefault="00BE4513" w:rsidP="00CD0AD1">
      <w:pPr>
        <w:pStyle w:val="paragraph"/>
        <w:spacing w:before="0" w:beforeAutospacing="0" w:after="0" w:afterAutospacing="0"/>
        <w:textAlignment w:val="baseline"/>
        <w:rPr>
          <w:rStyle w:val="normaltextrun"/>
          <w:rFonts w:eastAsiaTheme="majorEastAsia"/>
          <w:noProof/>
          <w:sz w:val="16"/>
          <w:szCs w:val="16"/>
        </w:rPr>
      </w:pPr>
    </w:p>
    <w:p w14:paraId="40D90D1F" w14:textId="3D157D4C" w:rsidR="00CD0AD1" w:rsidRPr="00226739" w:rsidRDefault="00CD0AD1" w:rsidP="00CD0AD1">
      <w:pPr>
        <w:pStyle w:val="paragraph"/>
        <w:spacing w:before="0" w:beforeAutospacing="0" w:after="0" w:afterAutospacing="0"/>
        <w:textAlignment w:val="baseline"/>
        <w:rPr>
          <w:rFonts w:ascii="Segoe UI" w:hAnsi="Segoe UI" w:cs="Segoe UI"/>
          <w:noProof/>
          <w:sz w:val="18"/>
          <w:szCs w:val="18"/>
        </w:rPr>
      </w:pPr>
      <w:r>
        <w:rPr>
          <w:rStyle w:val="normaltextrun"/>
          <w:noProof/>
          <w:sz w:val="16"/>
        </w:rPr>
        <w:t>Sources: Crane Data et ANC.</w:t>
      </w:r>
      <w:r>
        <w:rPr>
          <w:rStyle w:val="normaltextrun"/>
          <w:noProof/>
          <w:sz w:val="16"/>
          <w:shd w:val="clear" w:color="auto" w:fill="C6C6C6"/>
        </w:rPr>
        <w:t xml:space="preserve"> </w:t>
      </w:r>
      <w:r>
        <w:rPr>
          <w:rStyle w:val="eop"/>
          <w:noProof/>
          <w:sz w:val="16"/>
        </w:rPr>
        <w:t xml:space="preserve"> </w:t>
      </w:r>
    </w:p>
    <w:p w14:paraId="61D936FA" w14:textId="6E41653D" w:rsidR="00CD0AD1" w:rsidRPr="00226739" w:rsidRDefault="00CD0AD1" w:rsidP="00CD0AD1">
      <w:pPr>
        <w:pStyle w:val="paragraph"/>
        <w:spacing w:before="0" w:beforeAutospacing="0" w:after="0" w:afterAutospacing="0"/>
        <w:jc w:val="both"/>
        <w:textAlignment w:val="baseline"/>
        <w:rPr>
          <w:rFonts w:ascii="Segoe UI" w:hAnsi="Segoe UI" w:cs="Segoe UI"/>
          <w:noProof/>
          <w:sz w:val="18"/>
          <w:szCs w:val="18"/>
        </w:rPr>
      </w:pPr>
      <w:r>
        <w:rPr>
          <w:rStyle w:val="normaltextrun"/>
          <w:noProof/>
          <w:sz w:val="16"/>
        </w:rPr>
        <w:t>Remarque: Deux exemples de fonds à VL à faible volatilité confrontée à des flux sortants importants, illustrant l’incidence sur les WLA et la reconstitution ultérieure des coussins de liquidité. Le niveau minimal de 30 % est représenté par une ligne en pointillés.</w:t>
      </w:r>
    </w:p>
    <w:p w14:paraId="64BBBC8B" w14:textId="77777777" w:rsidR="0065406B" w:rsidRPr="00226739" w:rsidRDefault="0065406B">
      <w:pPr>
        <w:rPr>
          <w:rFonts w:ascii="Times New Roman" w:eastAsia="Times New Roman" w:hAnsi="Times New Roman" w:cs="Times New Roman"/>
          <w:noProof/>
        </w:rPr>
      </w:pPr>
    </w:p>
    <w:p w14:paraId="1CA11677" w14:textId="63123BD6" w:rsidR="006F14E0" w:rsidRPr="00C82DFF" w:rsidRDefault="006F14E0">
      <w:pPr>
        <w:rPr>
          <w:rFonts w:ascii="Times New Roman" w:eastAsia="Times New Roman" w:hAnsi="Times New Roman" w:cs="Times New Roman"/>
          <w:noProof/>
        </w:rPr>
      </w:pPr>
      <w:r>
        <w:rPr>
          <w:noProof/>
        </w:rPr>
        <w:br w:type="page"/>
      </w:r>
    </w:p>
    <w:p w14:paraId="6DF0440D" w14:textId="78956BE5" w:rsidR="009B6C59" w:rsidRPr="00C82DFF" w:rsidRDefault="00C234AB" w:rsidP="00906449">
      <w:pPr>
        <w:pStyle w:val="Heading1"/>
        <w:spacing w:before="360" w:after="360"/>
        <w:ind w:left="431" w:hanging="431"/>
        <w:jc w:val="both"/>
        <w:rPr>
          <w:rFonts w:ascii="Times New Roman" w:hAnsi="Times New Roman" w:cs="Times New Roman"/>
          <w:b/>
          <w:bCs/>
          <w:noProof/>
          <w:sz w:val="22"/>
          <w:szCs w:val="22"/>
        </w:rPr>
      </w:pPr>
      <w:bookmarkStart w:id="27" w:name="_Toc227857270"/>
      <w:r>
        <w:rPr>
          <w:rFonts w:ascii="Times New Roman" w:hAnsi="Times New Roman"/>
          <w:b/>
          <w:noProof/>
          <w:sz w:val="22"/>
        </w:rPr>
        <w:lastRenderedPageBreak/>
        <w:t>ANNEXE II: ÉVOLUTION DES RACHATS EN SITUATION DE TENSIONS SUR LES MARCHÉS</w:t>
      </w:r>
      <w:bookmarkEnd w:id="27"/>
    </w:p>
    <w:p w14:paraId="33FE2D43" w14:textId="16F91FB8" w:rsidR="00727B19" w:rsidRPr="00C82DFF" w:rsidRDefault="00727B19" w:rsidP="00906449">
      <w:pPr>
        <w:pStyle w:val="Heading2"/>
        <w:spacing w:before="240" w:after="240"/>
        <w:ind w:left="578" w:hanging="578"/>
        <w:rPr>
          <w:rFonts w:cs="Times New Roman"/>
          <w:noProof/>
          <w:sz w:val="22"/>
          <w:szCs w:val="22"/>
        </w:rPr>
      </w:pPr>
      <w:bookmarkStart w:id="28" w:name="_Toc220346316"/>
      <w:bookmarkStart w:id="29" w:name="_Toc227857271"/>
      <w:r>
        <w:rPr>
          <w:noProof/>
          <w:sz w:val="22"/>
        </w:rPr>
        <w:t>Les tensions sur les marchés au début de la pandémie de COVID-19</w:t>
      </w:r>
      <w:bookmarkEnd w:id="28"/>
      <w:bookmarkEnd w:id="29"/>
    </w:p>
    <w:p w14:paraId="51EF4AA6" w14:textId="52C7DBB1" w:rsidR="00727B19" w:rsidRPr="00C82DFF" w:rsidRDefault="00727B19" w:rsidP="001E656F">
      <w:pPr>
        <w:pStyle w:val="Heading3"/>
        <w:ind w:left="1276"/>
        <w:rPr>
          <w:rFonts w:ascii="Times New Roman" w:hAnsi="Times New Roman" w:cs="Times New Roman"/>
          <w:b/>
          <w:noProof/>
          <w:color w:val="auto"/>
          <w:sz w:val="22"/>
          <w:szCs w:val="22"/>
        </w:rPr>
      </w:pPr>
      <w:bookmarkStart w:id="30" w:name="_Toc227857272"/>
      <w:r>
        <w:rPr>
          <w:rFonts w:ascii="Times New Roman" w:hAnsi="Times New Roman"/>
          <w:b/>
          <w:noProof/>
          <w:color w:val="auto"/>
          <w:sz w:val="22"/>
        </w:rPr>
        <w:t>Incidence globale sur le marché</w:t>
      </w:r>
      <w:bookmarkEnd w:id="30"/>
      <w:r>
        <w:rPr>
          <w:rFonts w:ascii="Times New Roman" w:hAnsi="Times New Roman"/>
          <w:b/>
          <w:noProof/>
          <w:color w:val="auto"/>
          <w:sz w:val="22"/>
        </w:rPr>
        <w:t xml:space="preserve"> </w:t>
      </w:r>
    </w:p>
    <w:p w14:paraId="1BD8FD81" w14:textId="77777777" w:rsidR="00B02FDC" w:rsidRPr="00AB43E2" w:rsidRDefault="00B02FDC" w:rsidP="0034552B">
      <w:pPr>
        <w:spacing w:after="240" w:line="280" w:lineRule="atLeast"/>
        <w:jc w:val="both"/>
        <w:rPr>
          <w:rFonts w:ascii="Times New Roman" w:eastAsia="Times New Roman" w:hAnsi="Times New Roman" w:cs="Times New Roman"/>
          <w:noProof/>
        </w:rPr>
      </w:pPr>
      <w:r>
        <w:rPr>
          <w:rFonts w:ascii="Times New Roman" w:hAnsi="Times New Roman"/>
          <w:noProof/>
        </w:rPr>
        <w:t xml:space="preserve">Les événements de marché provoqués par la pandémie de COVID-19 ont commencé à se produire en février 2020, lorsque les préoccupations suscitées par la propagation mondiale du virus se sont intensifiées et que les marchés financiers ont commencé à intégrer de nouveaux niveaux de risques. Toutefois, l’impact de la pandémie sur les fonds monétaires s’est surtout matérialisé à la mi-mars 2020 et jusqu’en juin 2020, période pendant laquelle des tensions sur les marchés ont été observées. </w:t>
      </w:r>
    </w:p>
    <w:p w14:paraId="6E81FFDF" w14:textId="125162CD" w:rsidR="00B02FDC" w:rsidRPr="00AB43E2" w:rsidRDefault="00B02FDC" w:rsidP="0034552B">
      <w:pPr>
        <w:spacing w:after="240" w:line="280" w:lineRule="atLeast"/>
        <w:jc w:val="both"/>
        <w:rPr>
          <w:rFonts w:ascii="Times New Roman" w:eastAsia="Times New Roman" w:hAnsi="Times New Roman" w:cs="Times New Roman"/>
          <w:noProof/>
        </w:rPr>
      </w:pPr>
      <w:r>
        <w:rPr>
          <w:rFonts w:ascii="Times New Roman" w:hAnsi="Times New Roman"/>
          <w:noProof/>
        </w:rPr>
        <w:t xml:space="preserve">Sur une période de 15 jours à partir de mi-mars, les demandes de liquidités des investisseurs de certains fonds monétaires se sont accrues, en particulier auprès des fonds à VL à faible volatilité libellés en USD, qui ont subi d’importantes pressions des rachats (environ 18 % et 30 % de ces segments de marché). </w:t>
      </w:r>
    </w:p>
    <w:p w14:paraId="61DE942F" w14:textId="400C446A" w:rsidR="00727B19" w:rsidRDefault="00B02FDC" w:rsidP="0034552B">
      <w:pPr>
        <w:spacing w:after="240" w:line="280" w:lineRule="atLeast"/>
        <w:jc w:val="both"/>
        <w:rPr>
          <w:rFonts w:ascii="Times New Roman" w:eastAsia="Times New Roman" w:hAnsi="Times New Roman" w:cs="Times New Roman"/>
          <w:noProof/>
        </w:rPr>
      </w:pPr>
      <w:r>
        <w:rPr>
          <w:rFonts w:ascii="Times New Roman" w:hAnsi="Times New Roman"/>
          <w:noProof/>
        </w:rPr>
        <w:t>De tous les fonds monétaires européens à court terme, ce sont les fonds à VL à faible volatilité libellés en USD qui ont enregistré les flux sortants les plus importants et les plus prolongés au cours des premières semaines de mars 2020. Cela s’explique non seulement par les rachats liés aux besoins de liquidités, mais par le fait que les investisseurs se sont tournés vers les fonds à VLC de dette publique dans l’UE.</w:t>
      </w:r>
    </w:p>
    <w:p w14:paraId="001B2FCA" w14:textId="2037132B" w:rsidR="003A4A78" w:rsidRPr="003A4A78" w:rsidRDefault="003A4A78" w:rsidP="003A4A78">
      <w:pPr>
        <w:spacing w:before="240" w:after="240"/>
        <w:rPr>
          <w:rFonts w:ascii="Times New Roman" w:eastAsia="Times New Roman" w:hAnsi="Times New Roman" w:cs="Times New Roman"/>
          <w:noProof/>
        </w:rPr>
      </w:pPr>
      <w:r>
        <w:rPr>
          <w:rFonts w:ascii="Times New Roman" w:hAnsi="Times New Roman"/>
          <w:b/>
          <w:noProof/>
        </w:rPr>
        <w:t>Graphique II.1: Flux cumulés des fonds monétaires en 2020</w:t>
      </w:r>
    </w:p>
    <w:p w14:paraId="06DA2230" w14:textId="3B7EFDF2" w:rsidR="007E3A12" w:rsidRDefault="007E3A12" w:rsidP="0034552B">
      <w:pPr>
        <w:spacing w:before="240" w:after="240"/>
        <w:jc w:val="center"/>
        <w:rPr>
          <w:rFonts w:ascii="Times New Roman" w:eastAsia="Times New Roman" w:hAnsi="Times New Roman" w:cs="Times New Roman"/>
          <w:noProof/>
        </w:rPr>
      </w:pPr>
      <w:r>
        <w:rPr>
          <w:rFonts w:ascii="Times New Roman" w:hAnsi="Times New Roman"/>
          <w:noProof/>
          <w:lang w:val="en-GB" w:eastAsia="en-GB"/>
        </w:rPr>
        <w:drawing>
          <wp:inline distT="0" distB="0" distL="0" distR="0" wp14:anchorId="79B709FE" wp14:editId="727C6E77">
            <wp:extent cx="5760720" cy="2740025"/>
            <wp:effectExtent l="0" t="0" r="0" b="3175"/>
            <wp:docPr id="1682485043" name="Picture 1" descr="Un graphique du gouvernement américain&#10;&#10;Un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85043" name="Picture 1" descr="A graph of the us government&#10;&#10;AI-generated content may be incorrect."/>
                    <pic:cNvPicPr/>
                  </pic:nvPicPr>
                  <pic:blipFill>
                    <a:blip r:embed="rId45"/>
                    <a:stretch>
                      <a:fillRect/>
                    </a:stretch>
                  </pic:blipFill>
                  <pic:spPr>
                    <a:xfrm>
                      <a:off x="0" y="0"/>
                      <a:ext cx="5760720" cy="2740025"/>
                    </a:xfrm>
                    <a:prstGeom prst="rect">
                      <a:avLst/>
                    </a:prstGeom>
                  </pic:spPr>
                </pic:pic>
              </a:graphicData>
            </a:graphic>
          </wp:inline>
        </w:drawing>
      </w:r>
    </w:p>
    <w:p w14:paraId="67B55B75" w14:textId="191D6A81" w:rsidR="00646715" w:rsidRPr="003B558A" w:rsidRDefault="008F5EC0" w:rsidP="00727B19">
      <w:pPr>
        <w:spacing w:before="240" w:after="240"/>
        <w:jc w:val="both"/>
        <w:rPr>
          <w:rFonts w:ascii="Times New Roman" w:eastAsia="Times New Roman" w:hAnsi="Times New Roman" w:cs="Times New Roman"/>
          <w:noProof/>
          <w:sz w:val="18"/>
          <w:szCs w:val="18"/>
          <w:lang w:val="en-IE"/>
        </w:rPr>
      </w:pPr>
      <w:r w:rsidRPr="003B558A">
        <w:rPr>
          <w:rFonts w:ascii="Times New Roman" w:hAnsi="Times New Roman"/>
          <w:noProof/>
          <w:sz w:val="18"/>
          <w:lang w:val="en-IE"/>
        </w:rPr>
        <w:t xml:space="preserve">Source: CSF, </w:t>
      </w:r>
      <w:hyperlink r:id="rId46" w:history="1">
        <w:r w:rsidRPr="003B558A">
          <w:rPr>
            <w:rStyle w:val="Hyperlink"/>
            <w:rFonts w:ascii="Times New Roman" w:hAnsi="Times New Roman"/>
            <w:noProof/>
            <w:sz w:val="18"/>
            <w:lang w:val="en-IE"/>
          </w:rPr>
          <w:t>Policy proposals to enhance MMF resilience</w:t>
        </w:r>
      </w:hyperlink>
      <w:r w:rsidRPr="003B558A">
        <w:rPr>
          <w:rFonts w:ascii="Times New Roman" w:hAnsi="Times New Roman"/>
          <w:noProof/>
          <w:sz w:val="18"/>
          <w:lang w:val="en-IE"/>
        </w:rPr>
        <w:t>, octobre 2021</w:t>
      </w:r>
    </w:p>
    <w:p w14:paraId="369B78CF" w14:textId="77777777" w:rsidR="00646715" w:rsidRPr="003B558A" w:rsidRDefault="00646715" w:rsidP="0034552B">
      <w:pPr>
        <w:spacing w:after="0" w:line="240" w:lineRule="auto"/>
        <w:jc w:val="both"/>
        <w:rPr>
          <w:rFonts w:ascii="Times New Roman" w:eastAsia="Times New Roman" w:hAnsi="Times New Roman" w:cs="Times New Roman"/>
          <w:noProof/>
          <w:lang w:val="en-IE"/>
        </w:rPr>
      </w:pPr>
    </w:p>
    <w:p w14:paraId="38A30263" w14:textId="1F071F8A" w:rsidR="00727B19" w:rsidRPr="00C82DFF" w:rsidRDefault="00727B19" w:rsidP="001E656F">
      <w:pPr>
        <w:pStyle w:val="Heading3"/>
        <w:ind w:left="1276"/>
        <w:rPr>
          <w:rFonts w:ascii="Times New Roman" w:hAnsi="Times New Roman" w:cs="Times New Roman"/>
          <w:b/>
          <w:noProof/>
          <w:color w:val="auto"/>
          <w:sz w:val="22"/>
          <w:szCs w:val="22"/>
        </w:rPr>
      </w:pPr>
      <w:bookmarkStart w:id="31" w:name="_Toc227857273"/>
      <w:r>
        <w:rPr>
          <w:rFonts w:ascii="Times New Roman" w:hAnsi="Times New Roman"/>
          <w:b/>
          <w:noProof/>
          <w:color w:val="auto"/>
          <w:sz w:val="22"/>
        </w:rPr>
        <w:t>Effets et réactions inégaux d’un fonds monétaire à l’autre</w:t>
      </w:r>
      <w:bookmarkEnd w:id="31"/>
    </w:p>
    <w:p w14:paraId="5912CC6F" w14:textId="77777777" w:rsidR="001F41EA" w:rsidRPr="00AB43E2" w:rsidRDefault="001F41EA" w:rsidP="0034552B">
      <w:pPr>
        <w:spacing w:after="240" w:line="280" w:lineRule="atLeast"/>
        <w:jc w:val="both"/>
        <w:rPr>
          <w:rFonts w:ascii="Times New Roman" w:eastAsia="Times New Roman" w:hAnsi="Times New Roman" w:cs="Times New Roman"/>
          <w:noProof/>
        </w:rPr>
      </w:pPr>
      <w:r>
        <w:rPr>
          <w:rFonts w:ascii="Times New Roman" w:hAnsi="Times New Roman"/>
          <w:noProof/>
        </w:rPr>
        <w:t xml:space="preserve">L’ampleur des demandes de rachats et le comportement des investisseurs dans une situation normale et en situation de tensions varient considérablement d’un fonds monétaire à l’autre. Les réactions et les comportements sont déterminés par différents facteurs, principalement par la base d’investisseurs et par des facteurs au sein de la base d’investisseurs, ainsi que par le type d’utilisation de leurs investissements (voir ci-dessous), la taille des investisseurs clés et le profil des investisseurs. Parmi les autres facteurs déterminants figure le type de fonds monétaire (VLV, VL à faible volatilité, VLC). </w:t>
      </w:r>
    </w:p>
    <w:p w14:paraId="4139983D" w14:textId="50739028" w:rsidR="001F41EA" w:rsidRPr="00AB43E2" w:rsidRDefault="001F41EA" w:rsidP="0034552B">
      <w:pPr>
        <w:spacing w:after="240" w:line="280" w:lineRule="atLeast"/>
        <w:jc w:val="both"/>
        <w:rPr>
          <w:rFonts w:ascii="Times New Roman" w:eastAsia="Times New Roman" w:hAnsi="Times New Roman" w:cs="Times New Roman"/>
          <w:noProof/>
        </w:rPr>
      </w:pPr>
      <w:r>
        <w:rPr>
          <w:rFonts w:ascii="Times New Roman" w:hAnsi="Times New Roman"/>
          <w:noProof/>
        </w:rPr>
        <w:lastRenderedPageBreak/>
        <w:t>Si la classification et la monnaie des fonds sont de toute évidence des déterminants majeurs, même des catégories très similaires ont subi des chocs très différents pendant la crise de la COVID-19 et la période qui a suivi. Ces différences sont mises en évidence dans le graphique 3.</w:t>
      </w:r>
    </w:p>
    <w:p w14:paraId="6B6D12E5" w14:textId="77777777" w:rsidR="0034552B" w:rsidRDefault="11070FE3" w:rsidP="0034552B">
      <w:pPr>
        <w:spacing w:after="240" w:line="280" w:lineRule="atLeast"/>
        <w:jc w:val="both"/>
        <w:rPr>
          <w:rFonts w:ascii="Times New Roman" w:eastAsia="Times New Roman" w:hAnsi="Times New Roman" w:cs="Times New Roman"/>
          <w:noProof/>
        </w:rPr>
      </w:pPr>
      <w:r>
        <w:rPr>
          <w:rFonts w:ascii="Times New Roman" w:hAnsi="Times New Roman"/>
          <w:noProof/>
        </w:rPr>
        <w:t>Les graphiques 2 et 3 montrent que, dans l’ensemble, les fonds à VL à faible volatilité en USD ont subi un choc de rachats important au début de la pandémie de COVID-19. Toutefois, son impact a été très inégal d’un fonds à l’autre. Moins de 6 % des fonds à VL à faible volatilité ont enregistré des flux sortants cumulés dépassant 30 % de leurVL.</w:t>
      </w:r>
    </w:p>
    <w:p w14:paraId="423B6F68" w14:textId="1F1C1EDC" w:rsidR="00727B19" w:rsidRPr="00C82DFF" w:rsidRDefault="00727B19" w:rsidP="0034552B">
      <w:pPr>
        <w:spacing w:after="240" w:line="280" w:lineRule="atLeast"/>
        <w:jc w:val="both"/>
        <w:rPr>
          <w:rFonts w:ascii="Times New Roman" w:eastAsia="Times New Roman" w:hAnsi="Times New Roman" w:cs="Times New Roman"/>
          <w:noProof/>
        </w:rPr>
      </w:pPr>
      <w:r>
        <w:rPr>
          <w:rFonts w:ascii="Times New Roman" w:hAnsi="Times New Roman"/>
          <w:noProof/>
        </w:rPr>
        <w:t>Cette hétérogénéité s’explique notamment par les fins auxquelles les investisseurs les utilisent. Trois exemples schématiques «extrêmes» illustrent la manière dont un même fonds monétaire peut connaître des dynamiques de rachats très différentes en fonction de la base d’investisseurs et de leur comportement dans différentes situations de marché.</w:t>
      </w:r>
    </w:p>
    <w:p w14:paraId="7D2DB355" w14:textId="266A1CFA" w:rsidR="00727B19" w:rsidRPr="00C82DFF" w:rsidRDefault="6D19FE83" w:rsidP="0034552B">
      <w:pPr>
        <w:pStyle w:val="ListParagraph"/>
        <w:numPr>
          <w:ilvl w:val="0"/>
          <w:numId w:val="59"/>
        </w:numPr>
        <w:spacing w:before="240" w:after="240" w:line="280" w:lineRule="atLeast"/>
        <w:ind w:left="714" w:hanging="357"/>
        <w:jc w:val="both"/>
        <w:rPr>
          <w:rFonts w:ascii="Times New Roman" w:eastAsia="Times New Roman" w:hAnsi="Times New Roman" w:cs="Times New Roman"/>
          <w:noProof/>
        </w:rPr>
      </w:pPr>
      <w:r>
        <w:rPr>
          <w:rFonts w:ascii="Times New Roman" w:hAnsi="Times New Roman"/>
          <w:b/>
          <w:noProof/>
        </w:rPr>
        <w:t>Utilisation des fonds monétaires comme véhicule de gestion de la trésorerie/de «paiements» (cycle prévisible):</w:t>
      </w:r>
      <w:r>
        <w:rPr>
          <w:rFonts w:ascii="Times New Roman" w:hAnsi="Times New Roman"/>
          <w:noProof/>
        </w:rPr>
        <w:t xml:space="preserve"> Certains investisseurs institutionnels utilisent les fonds monétaires à VLV comme </w:t>
      </w:r>
      <w:r>
        <w:rPr>
          <w:rFonts w:ascii="Times New Roman" w:hAnsi="Times New Roman"/>
          <w:b/>
          <w:noProof/>
        </w:rPr>
        <w:t>réserves de liquidités transactionnelles</w:t>
      </w:r>
      <w:r>
        <w:rPr>
          <w:rFonts w:ascii="Times New Roman" w:hAnsi="Times New Roman"/>
          <w:noProof/>
        </w:rPr>
        <w:t xml:space="preserve">, c’est-à-dire que les liquidités sont investies au fil de la collecte des cotisations/primes, puis rachetées à une </w:t>
      </w:r>
      <w:r>
        <w:rPr>
          <w:rFonts w:ascii="Times New Roman" w:hAnsi="Times New Roman"/>
          <w:b/>
          <w:noProof/>
        </w:rPr>
        <w:t>cadence prévisible</w:t>
      </w:r>
      <w:r>
        <w:rPr>
          <w:rFonts w:ascii="Times New Roman" w:hAnsi="Times New Roman"/>
          <w:noProof/>
        </w:rPr>
        <w:t xml:space="preserve"> (par exemple aux alentours des échéances de versement des pensions). Dans cette situation, les flux sortants sont souvent </w:t>
      </w:r>
      <w:r>
        <w:rPr>
          <w:rFonts w:ascii="Times New Roman" w:hAnsi="Times New Roman"/>
          <w:b/>
          <w:noProof/>
        </w:rPr>
        <w:t>programmés et sont prévisibles</w:t>
      </w:r>
      <w:r>
        <w:rPr>
          <w:rFonts w:ascii="Times New Roman" w:hAnsi="Times New Roman"/>
          <w:noProof/>
        </w:rPr>
        <w:t xml:space="preserve">, de sorte que toute diminution de la liquidité correspond plutôt à une fluctuation planifiée qu’à un mouvement de rachats massifs. Un exemple similaire est celui des systèmes de retraite qui enregistrent des flux entrants réguliers (cotisations) et des flux sortants périodiques (paiement des prestations), ce qui crée des dynamiques de flux de trésorerie prévisibles. </w:t>
      </w:r>
    </w:p>
    <w:p w14:paraId="5D45B9D1" w14:textId="7974A34D" w:rsidR="00727B19" w:rsidRPr="00C82DFF" w:rsidRDefault="6D19FE83" w:rsidP="0034552B">
      <w:pPr>
        <w:pStyle w:val="ListParagraph"/>
        <w:numPr>
          <w:ilvl w:val="0"/>
          <w:numId w:val="59"/>
        </w:numPr>
        <w:spacing w:before="240" w:after="240" w:line="280" w:lineRule="atLeast"/>
        <w:ind w:left="714" w:hanging="357"/>
        <w:jc w:val="both"/>
        <w:rPr>
          <w:rFonts w:ascii="Times New Roman" w:eastAsia="Times New Roman" w:hAnsi="Times New Roman" w:cs="Times New Roman"/>
          <w:noProof/>
        </w:rPr>
      </w:pPr>
      <w:r>
        <w:rPr>
          <w:rFonts w:ascii="Times New Roman" w:hAnsi="Times New Roman"/>
          <w:b/>
          <w:noProof/>
        </w:rPr>
        <w:t>Utilisation des fonds monétaires comme véhicule de liquidités pour les garanties (collatéral)/les marges (possibilités de phénomènes de rachats en falaise):</w:t>
      </w:r>
      <w:r>
        <w:rPr>
          <w:rFonts w:ascii="Times New Roman" w:hAnsi="Times New Roman"/>
          <w:noProof/>
        </w:rPr>
        <w:t xml:space="preserve"> Lorsque les fonds monétaires sont utilisés (directement ou indirectement) comme </w:t>
      </w:r>
      <w:r>
        <w:rPr>
          <w:rFonts w:ascii="Times New Roman" w:hAnsi="Times New Roman"/>
          <w:b/>
          <w:noProof/>
        </w:rPr>
        <w:t>réserve de liquidités pour les garanties (collatéral)</w:t>
      </w:r>
      <w:r>
        <w:rPr>
          <w:rFonts w:ascii="Times New Roman" w:hAnsi="Times New Roman"/>
          <w:noProof/>
        </w:rPr>
        <w:t xml:space="preserve"> en vue des besoins de marge des dérivés, des opérations de pension ou liés à la gestion adossée au passif, les rachats peuvent être déclenchés par les </w:t>
      </w:r>
      <w:r>
        <w:rPr>
          <w:rFonts w:ascii="Times New Roman" w:hAnsi="Times New Roman"/>
          <w:b/>
          <w:noProof/>
        </w:rPr>
        <w:t>mouvements de marché et les appels de marge qu’ils engendrent</w:t>
      </w:r>
      <w:r>
        <w:rPr>
          <w:rFonts w:ascii="Times New Roman" w:hAnsi="Times New Roman"/>
          <w:noProof/>
        </w:rPr>
        <w:t xml:space="preserve">. En ce qui concerne les fonds LDI à effet de levier, lorsque les taux montent, les besoins de garanties (collatéral) peuvent augmenter rapidement (du fait des pertes en valeur de marché), ce qui déclenche une ruée sur les liquidités de la part de nombreux acteurs du marché à la fois. Dans ces circonstances, les investisseurs sont susceptibles de racheter des parts ou actions de fonds monétaires pour honorer les appels de garanties (collatéral), ou d’utiliser les avoirs dans les fonds monétaires dans les processus de gestion du collatéral, ce qui crée une </w:t>
      </w:r>
      <w:r>
        <w:rPr>
          <w:rFonts w:ascii="Times New Roman" w:hAnsi="Times New Roman"/>
          <w:b/>
          <w:noProof/>
        </w:rPr>
        <w:t>demande de liquidités plus procyclique et corrélée</w:t>
      </w:r>
      <w:r>
        <w:rPr>
          <w:rFonts w:ascii="Times New Roman" w:hAnsi="Times New Roman"/>
          <w:noProof/>
        </w:rPr>
        <w:t xml:space="preserve"> que l’utilisation «purement» à des fins de gestion de la trésorerie. </w:t>
      </w:r>
    </w:p>
    <w:p w14:paraId="74B2A4A6" w14:textId="5E232A88" w:rsidR="00445B2C" w:rsidRPr="0034552B" w:rsidRDefault="47A846A0" w:rsidP="0034552B">
      <w:pPr>
        <w:pStyle w:val="ListParagraph"/>
        <w:numPr>
          <w:ilvl w:val="0"/>
          <w:numId w:val="59"/>
        </w:numPr>
        <w:spacing w:before="240" w:after="240" w:line="280" w:lineRule="atLeast"/>
        <w:ind w:left="714" w:hanging="357"/>
        <w:jc w:val="both"/>
        <w:rPr>
          <w:rFonts w:ascii="Times New Roman" w:eastAsia="Times New Roman" w:hAnsi="Times New Roman" w:cs="Times New Roman"/>
          <w:noProof/>
        </w:rPr>
      </w:pPr>
      <w:r>
        <w:rPr>
          <w:rFonts w:ascii="Times New Roman" w:hAnsi="Times New Roman"/>
          <w:b/>
          <w:noProof/>
        </w:rPr>
        <w:t>Utilisation des fonds monétaires pour regrouper les liquidités d’autres fonds gérés par le même gestionnaire d’actifs Dans ce cas, le gestionnaire jouit d’une bonne visibilité sur les flux de rachats.</w:t>
      </w:r>
    </w:p>
    <w:p w14:paraId="56F65D2B" w14:textId="76429AC2" w:rsidR="00727B19" w:rsidRPr="00C82DFF" w:rsidRDefault="00727B19" w:rsidP="00906449">
      <w:pPr>
        <w:pStyle w:val="Heading2"/>
        <w:spacing w:before="240" w:after="240"/>
        <w:ind w:left="578" w:hanging="578"/>
        <w:rPr>
          <w:rFonts w:cs="Times New Roman"/>
          <w:noProof/>
          <w:sz w:val="22"/>
          <w:szCs w:val="22"/>
        </w:rPr>
      </w:pPr>
      <w:bookmarkStart w:id="32" w:name="_Toc220346317"/>
      <w:bookmarkStart w:id="33" w:name="_Toc227857274"/>
      <w:r>
        <w:rPr>
          <w:noProof/>
          <w:sz w:val="22"/>
        </w:rPr>
        <w:t>L’événement de marché lié aux LDI</w:t>
      </w:r>
      <w:bookmarkEnd w:id="32"/>
      <w:bookmarkEnd w:id="33"/>
    </w:p>
    <w:p w14:paraId="5BBF6003" w14:textId="11AAFB46" w:rsidR="00480352" w:rsidRDefault="00D938EE" w:rsidP="0034552B">
      <w:pPr>
        <w:spacing w:before="240" w:after="240" w:line="280" w:lineRule="atLeast"/>
        <w:jc w:val="both"/>
        <w:rPr>
          <w:rFonts w:ascii="Times New Roman" w:eastAsia="Times New Roman" w:hAnsi="Times New Roman" w:cs="Times New Roman"/>
          <w:noProof/>
        </w:rPr>
      </w:pPr>
      <w:r>
        <w:rPr>
          <w:rFonts w:ascii="Times New Roman" w:hAnsi="Times New Roman"/>
          <w:noProof/>
        </w:rPr>
        <w:t xml:space="preserve">Fin septembre 2022, une forte hausse des taux des gilts britanniques et de graves tensions dans les stratégies de gestion adossée au passif (LDI) utilisées par les fonds de pension ont été observées. Cela a entraîné de lourdes pertes en valeur de marché pour les fonds LDI, ce qui a provoqué des appels de marge de variation. Ces appels de marge ont créé une demande soudaine et importante de liquidités, qui s’est répercutée sur les fonds monétaires libellés en GBP, alors même que ces fonds monétaires n’étaient pas à l’origine de la demande soudaine et extrême de liquidités. Certains fonds monétaires ont été confrontés à des flux sortants abrupts, en particulier de la part des investisseurs institutionnels, et ont réagi en augmentant les coussins de liquidité et en raccourcissant les maturités des portefeuilles. </w:t>
      </w:r>
    </w:p>
    <w:p w14:paraId="22DBB81C" w14:textId="462717FA" w:rsidR="00597A82" w:rsidRPr="00480352" w:rsidRDefault="00480352" w:rsidP="00480352">
      <w:pPr>
        <w:rPr>
          <w:rFonts w:ascii="Times New Roman" w:eastAsia="Times New Roman" w:hAnsi="Times New Roman" w:cs="Times New Roman"/>
          <w:noProof/>
        </w:rPr>
      </w:pPr>
      <w:r>
        <w:rPr>
          <w:noProof/>
        </w:rPr>
        <w:br w:type="page"/>
      </w:r>
    </w:p>
    <w:p w14:paraId="57D335B2" w14:textId="1FD3FE9E" w:rsidR="003F4B66" w:rsidRDefault="007B0281" w:rsidP="003F4B66">
      <w:pPr>
        <w:spacing w:before="240" w:after="240"/>
        <w:rPr>
          <w:rFonts w:ascii="Times New Roman" w:eastAsia="Times New Roman" w:hAnsi="Times New Roman" w:cs="Times New Roman"/>
          <w:b/>
          <w:noProof/>
        </w:rPr>
      </w:pPr>
      <w:r>
        <w:rPr>
          <w:rFonts w:ascii="Times New Roman" w:hAnsi="Times New Roman"/>
          <w:b/>
          <w:noProof/>
        </w:rPr>
        <w:lastRenderedPageBreak/>
        <w:t>Graphique II.2: Impact de la crise des LDI sur les flux des fonds monétaires</w:t>
      </w:r>
    </w:p>
    <w:p w14:paraId="5CBFC900" w14:textId="1FBF7E0A" w:rsidR="00727B19" w:rsidRPr="00C82DFF" w:rsidRDefault="00A37C3C" w:rsidP="0034552B">
      <w:pPr>
        <w:spacing w:before="240" w:after="240"/>
        <w:jc w:val="center"/>
        <w:rPr>
          <w:rFonts w:ascii="Times New Roman" w:eastAsia="Times New Roman" w:hAnsi="Times New Roman" w:cs="Times New Roman"/>
          <w:noProof/>
        </w:rPr>
      </w:pPr>
      <w:r>
        <w:rPr>
          <w:noProof/>
          <w:lang w:val="en-GB" w:eastAsia="en-GB"/>
        </w:rPr>
        <w:drawing>
          <wp:inline distT="0" distB="0" distL="0" distR="0" wp14:anchorId="4C751F9C" wp14:editId="0AD9EB20">
            <wp:extent cx="5774827" cy="3752491"/>
            <wp:effectExtent l="0" t="0" r="0" b="635"/>
            <wp:docPr id="1774966910" name="Picture 1" descr="Un graphique composé de différentes lignes colorées&#10;&#10;Un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966910" name="Picture 1" descr="A graph of different colored lines&#10;&#10;AI-generated content may be incorrect."/>
                    <pic:cNvPicPr/>
                  </pic:nvPicPr>
                  <pic:blipFill>
                    <a:blip r:embed="rId47"/>
                    <a:stretch>
                      <a:fillRect/>
                    </a:stretch>
                  </pic:blipFill>
                  <pic:spPr>
                    <a:xfrm>
                      <a:off x="0" y="0"/>
                      <a:ext cx="5825105" cy="3785161"/>
                    </a:xfrm>
                    <a:prstGeom prst="rect">
                      <a:avLst/>
                    </a:prstGeom>
                  </pic:spPr>
                </pic:pic>
              </a:graphicData>
            </a:graphic>
          </wp:inline>
        </w:drawing>
      </w:r>
    </w:p>
    <w:p w14:paraId="448EEEF3" w14:textId="4121290E" w:rsidR="00727B19" w:rsidRPr="00254822" w:rsidRDefault="00727B19" w:rsidP="005A06C2">
      <w:pPr>
        <w:spacing w:after="0" w:line="240" w:lineRule="auto"/>
        <w:ind w:left="720" w:firstLine="992"/>
        <w:jc w:val="center"/>
        <w:rPr>
          <w:rFonts w:ascii="Times New Roman" w:eastAsia="Times New Roman" w:hAnsi="Times New Roman" w:cs="Times New Roman"/>
          <w:noProof/>
          <w:sz w:val="20"/>
          <w:szCs w:val="20"/>
        </w:rPr>
      </w:pPr>
      <w:r>
        <w:rPr>
          <w:rFonts w:ascii="Times New Roman" w:hAnsi="Times New Roman"/>
          <w:noProof/>
          <w:sz w:val="20"/>
        </w:rPr>
        <w:t>Sources: Crane Data et ANC, fonds monétaire dont la VL dépasse 100 millions d’EUR</w:t>
      </w:r>
    </w:p>
    <w:p w14:paraId="20425F20" w14:textId="794B3C3C" w:rsidR="007B0281" w:rsidRPr="00254822" w:rsidRDefault="004061B8" w:rsidP="005A06C2">
      <w:pPr>
        <w:spacing w:after="0" w:line="240" w:lineRule="auto"/>
        <w:ind w:left="720" w:firstLine="992"/>
        <w:jc w:val="center"/>
        <w:rPr>
          <w:rFonts w:ascii="Times New Roman" w:eastAsia="Times New Roman" w:hAnsi="Times New Roman" w:cs="Times New Roman"/>
          <w:noProof/>
          <w:sz w:val="20"/>
          <w:szCs w:val="20"/>
        </w:rPr>
      </w:pPr>
      <w:r>
        <w:rPr>
          <w:rFonts w:ascii="Times New Roman" w:hAnsi="Times New Roman"/>
          <w:noProof/>
          <w:sz w:val="20"/>
        </w:rPr>
        <w:t>Remarque: Flux cumulés nets par type de fonds monétaire, exprimés en pourcentage de la VL</w:t>
      </w:r>
    </w:p>
    <w:p w14:paraId="5467F616" w14:textId="77777777" w:rsidR="005768ED" w:rsidRDefault="005768ED" w:rsidP="0034552B">
      <w:pPr>
        <w:spacing w:before="240" w:after="240" w:line="280" w:lineRule="atLeast"/>
        <w:jc w:val="both"/>
        <w:rPr>
          <w:rFonts w:ascii="Times New Roman" w:eastAsia="Times New Roman" w:hAnsi="Times New Roman" w:cs="Times New Roman"/>
          <w:noProof/>
        </w:rPr>
      </w:pPr>
      <w:r>
        <w:rPr>
          <w:rFonts w:ascii="Times New Roman" w:hAnsi="Times New Roman"/>
          <w:noProof/>
        </w:rPr>
        <w:t>Les réactions des fonds monétaires à la demande soudaine de liquidités des investisseurs lors de l’événement de marché lié aux LDI ont été encore plus prononcées que lors de la pandémie de COVID-19. Si certains fonds monétaires ont enregistré des flux entrants, d’autres ont parfois été confrontés à de fortes pressions des rachats.</w:t>
      </w:r>
      <w:r>
        <w:rPr>
          <w:noProof/>
        </w:rPr>
        <w:t xml:space="preserve"> </w:t>
      </w:r>
      <w:r>
        <w:rPr>
          <w:rFonts w:ascii="Times New Roman" w:hAnsi="Times New Roman"/>
          <w:noProof/>
        </w:rPr>
        <w:t xml:space="preserve">L’événement de marché lié aux LDI a eu un impact très variable sur les fonds à VL à faible volatilité libellés en GBP, seule une poignée de fonds ayant été touchés, plutôt que l’ensemble du secteur. </w:t>
      </w:r>
    </w:p>
    <w:p w14:paraId="04063A01" w14:textId="03C57A34" w:rsidR="00480352" w:rsidRDefault="005768ED" w:rsidP="0034552B">
      <w:pPr>
        <w:spacing w:before="240" w:after="240" w:line="280" w:lineRule="atLeast"/>
        <w:jc w:val="both"/>
        <w:rPr>
          <w:rFonts w:ascii="Times New Roman" w:eastAsia="Times New Roman" w:hAnsi="Times New Roman" w:cs="Times New Roman"/>
          <w:noProof/>
        </w:rPr>
      </w:pPr>
      <w:r>
        <w:rPr>
          <w:rFonts w:ascii="Times New Roman" w:hAnsi="Times New Roman"/>
          <w:noProof/>
        </w:rPr>
        <w:t>Cet impact variable se traduit dans la distribution des flux sortants: alors que le fonds médian a enregistré un flux sortant hebdomadaire de –9 % (–10 % de manière cumulée), la queue inférieure a fait face à des tensions plus graves, le 10</w:t>
      </w:r>
      <w:r>
        <w:rPr>
          <w:rFonts w:ascii="Times New Roman" w:hAnsi="Times New Roman"/>
          <w:noProof/>
          <w:vertAlign w:val="superscript"/>
        </w:rPr>
        <w:t>e</w:t>
      </w:r>
      <w:r>
        <w:rPr>
          <w:rFonts w:ascii="Times New Roman" w:hAnsi="Times New Roman"/>
          <w:noProof/>
        </w:rPr>
        <w:t xml:space="preserve"> centile ayant enregistré des flux sortants hebdomadaires de –21 % et les 1 % de fonds les plus touchés ayant perdu près de –37 % en une seule semaine (–42 % de manière cumulée). Cette forte asymétrie indique que les tensions ont été concentrées sur les fonds fortement utilisés par les stratégies LDI comme coussins de liquidité pour honorer les appels de marge et de garanties. En revanche, les fonds à VL à faible volatilité libellés en GBP utilisés à des fins plus larges de gestion de la trésorerie, qui ont des bases d’investisseurs plus diversifiées et un lien moins direct avec la transformation de collatéral ou l’activité de mise en pension de gilts, ont enregistré des flux entrants sur la même période.</w:t>
      </w:r>
    </w:p>
    <w:p w14:paraId="23CAFD55" w14:textId="41824D4A" w:rsidR="003F4B66" w:rsidRPr="00480352" w:rsidRDefault="00480352" w:rsidP="00480352">
      <w:pPr>
        <w:rPr>
          <w:rFonts w:ascii="Times New Roman" w:eastAsia="Times New Roman" w:hAnsi="Times New Roman" w:cs="Times New Roman"/>
          <w:noProof/>
        </w:rPr>
      </w:pPr>
      <w:r>
        <w:rPr>
          <w:noProof/>
        </w:rPr>
        <w:br w:type="page"/>
      </w:r>
    </w:p>
    <w:p w14:paraId="37122D2D" w14:textId="06A85D0C" w:rsidR="00727B19" w:rsidRDefault="00237C9C" w:rsidP="00EE4572">
      <w:pPr>
        <w:spacing w:before="240" w:after="240"/>
        <w:rPr>
          <w:rFonts w:ascii="Times New Roman" w:eastAsia="Times New Roman" w:hAnsi="Times New Roman" w:cs="Times New Roman"/>
          <w:b/>
          <w:noProof/>
        </w:rPr>
      </w:pPr>
      <w:r>
        <w:rPr>
          <w:rFonts w:ascii="Times New Roman" w:hAnsi="Times New Roman"/>
          <w:b/>
          <w:noProof/>
        </w:rPr>
        <w:lastRenderedPageBreak/>
        <w:t>Graphique II.3: Tendances des VL, fonds à VL à faible volatilité en GBP durant l’événement de marché lié aux LDI</w:t>
      </w:r>
    </w:p>
    <w:p w14:paraId="752A3DD4" w14:textId="77777777" w:rsidR="003F4B66" w:rsidRPr="00C82DFF" w:rsidRDefault="003F4B66" w:rsidP="00EE4572">
      <w:pPr>
        <w:spacing w:before="240" w:after="240"/>
        <w:rPr>
          <w:rFonts w:ascii="Times New Roman" w:eastAsia="Times New Roman" w:hAnsi="Times New Roman" w:cs="Times New Roman"/>
          <w:noProof/>
        </w:rPr>
      </w:pPr>
    </w:p>
    <w:p w14:paraId="4F5BE965" w14:textId="222F1A67" w:rsidR="00727B19" w:rsidRPr="00C82DFF" w:rsidRDefault="000300E7" w:rsidP="00727B19">
      <w:pPr>
        <w:spacing w:before="240" w:after="240"/>
        <w:jc w:val="center"/>
        <w:rPr>
          <w:rFonts w:ascii="Times New Roman" w:eastAsia="Times New Roman" w:hAnsi="Times New Roman" w:cs="Times New Roman"/>
          <w:b/>
          <w:noProof/>
        </w:rPr>
      </w:pPr>
      <w:r>
        <w:rPr>
          <w:rFonts w:ascii="Times New Roman" w:hAnsi="Times New Roman"/>
          <w:b/>
          <w:noProof/>
          <w:lang w:val="en-GB" w:eastAsia="en-GB"/>
        </w:rPr>
        <w:drawing>
          <wp:inline distT="0" distB="0" distL="0" distR="0" wp14:anchorId="0414B69E" wp14:editId="344DC49B">
            <wp:extent cx="4589333" cy="2967487"/>
            <wp:effectExtent l="0" t="0" r="1905" b="4445"/>
            <wp:docPr id="267443302" name="Picture 1" descr="Un graphique composé de différentes lignes colorées&#10;&#10;Un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43302" name="Picture 1" descr="A graph of different colored lines&#10;&#10;AI-generated content may be incorrect."/>
                    <pic:cNvPicPr/>
                  </pic:nvPicPr>
                  <pic:blipFill>
                    <a:blip r:embed="rId48"/>
                    <a:stretch>
                      <a:fillRect/>
                    </a:stretch>
                  </pic:blipFill>
                  <pic:spPr>
                    <a:xfrm>
                      <a:off x="0" y="0"/>
                      <a:ext cx="4636372" cy="2997902"/>
                    </a:xfrm>
                    <a:prstGeom prst="rect">
                      <a:avLst/>
                    </a:prstGeom>
                  </pic:spPr>
                </pic:pic>
              </a:graphicData>
            </a:graphic>
          </wp:inline>
        </w:drawing>
      </w:r>
    </w:p>
    <w:p w14:paraId="58F2D772" w14:textId="77777777" w:rsidR="003B3500" w:rsidRPr="003B3500" w:rsidRDefault="003B3500" w:rsidP="00C82F95">
      <w:pPr>
        <w:spacing w:after="0" w:line="240" w:lineRule="auto"/>
        <w:ind w:left="720"/>
        <w:jc w:val="both"/>
        <w:rPr>
          <w:rFonts w:ascii="Times New Roman" w:eastAsia="Times New Roman" w:hAnsi="Times New Roman" w:cs="Times New Roman"/>
          <w:noProof/>
          <w:sz w:val="18"/>
          <w:szCs w:val="18"/>
        </w:rPr>
      </w:pPr>
      <w:r>
        <w:rPr>
          <w:rFonts w:ascii="Times New Roman" w:hAnsi="Times New Roman"/>
          <w:noProof/>
          <w:sz w:val="18"/>
        </w:rPr>
        <w:t>Sources: Crane Data et ANC.</w:t>
      </w:r>
    </w:p>
    <w:p w14:paraId="39341536" w14:textId="2BD60810" w:rsidR="006636B3" w:rsidRDefault="006636B3" w:rsidP="00C82F95">
      <w:pPr>
        <w:spacing w:after="0"/>
        <w:ind w:left="720"/>
        <w:jc w:val="both"/>
        <w:rPr>
          <w:rFonts w:ascii="Times New Roman" w:eastAsia="Times New Roman" w:hAnsi="Times New Roman" w:cs="Times New Roman"/>
          <w:noProof/>
          <w:sz w:val="18"/>
          <w:szCs w:val="18"/>
        </w:rPr>
      </w:pPr>
      <w:r>
        <w:rPr>
          <w:rFonts w:ascii="Times New Roman" w:hAnsi="Times New Roman"/>
          <w:noProof/>
          <w:sz w:val="18"/>
        </w:rPr>
        <w:t>Remarque: Chaque ligne représente les flux cumulés nets en pourcentage de la VL (axe des y) d’un fonds à VL à faible volatilité en GBP dont la VL est supérieure à 1 milliard d’EUR. Les valeurs positives indiquent des souscriptions nettes, tandis que les valeurs négatives indiquent des rachats nets. Ces exemples montrent que, si les fonds à VL à faible volatilité en GBP ont fait face à des rachats importants pendant la période de l’événement de marché lié à la crise des LDI, l’impact sur les fonds monétaires de ce type a été inégal d’un fonds à l’autre.</w:t>
      </w:r>
    </w:p>
    <w:p w14:paraId="77401916" w14:textId="2E892658" w:rsidR="003B3500" w:rsidRPr="003B3500" w:rsidRDefault="003B3500" w:rsidP="000300E7">
      <w:pPr>
        <w:spacing w:after="0"/>
        <w:ind w:left="992"/>
        <w:rPr>
          <w:rFonts w:ascii="Times New Roman" w:eastAsia="Times New Roman" w:hAnsi="Times New Roman" w:cs="Times New Roman"/>
          <w:noProof/>
          <w:sz w:val="18"/>
          <w:szCs w:val="18"/>
        </w:rPr>
      </w:pPr>
    </w:p>
    <w:p w14:paraId="72A8DA89" w14:textId="77777777" w:rsidR="00E52F99" w:rsidRPr="00C82DFF" w:rsidRDefault="00E52F99" w:rsidP="00E52F99">
      <w:pPr>
        <w:spacing w:after="240" w:line="240" w:lineRule="auto"/>
        <w:jc w:val="both"/>
        <w:rPr>
          <w:rFonts w:ascii="Times New Roman" w:hAnsi="Times New Roman" w:cs="Times New Roman"/>
          <w:noProof/>
        </w:rPr>
      </w:pPr>
    </w:p>
    <w:p w14:paraId="078BB08B" w14:textId="1703FC3B" w:rsidR="00D26E63" w:rsidRPr="00C82DFF" w:rsidRDefault="00D26E63">
      <w:pPr>
        <w:rPr>
          <w:rFonts w:ascii="Times New Roman" w:hAnsi="Times New Roman" w:cs="Times New Roman"/>
          <w:noProof/>
        </w:rPr>
      </w:pPr>
      <w:r>
        <w:rPr>
          <w:noProof/>
        </w:rPr>
        <w:br w:type="page"/>
      </w:r>
    </w:p>
    <w:p w14:paraId="206CE1C9" w14:textId="3870924D" w:rsidR="00805C07" w:rsidRPr="00C82DFF" w:rsidRDefault="0026483F" w:rsidP="00906449">
      <w:pPr>
        <w:pStyle w:val="Heading1"/>
        <w:spacing w:before="360" w:after="360"/>
        <w:ind w:left="431" w:hanging="431"/>
        <w:jc w:val="both"/>
        <w:rPr>
          <w:rFonts w:ascii="Times New Roman" w:hAnsi="Times New Roman" w:cs="Times New Roman"/>
          <w:b/>
          <w:bCs/>
          <w:noProof/>
          <w:sz w:val="22"/>
          <w:szCs w:val="22"/>
        </w:rPr>
      </w:pPr>
      <w:bookmarkStart w:id="34" w:name="_Toc227857275"/>
      <w:r>
        <w:rPr>
          <w:rFonts w:ascii="Times New Roman" w:hAnsi="Times New Roman"/>
          <w:b/>
          <w:noProof/>
          <w:sz w:val="22"/>
        </w:rPr>
        <w:lastRenderedPageBreak/>
        <w:t>ANNEXE III: NIVEAUX DE RÉSILIENCE DU MARCHÉ</w:t>
      </w:r>
      <w:bookmarkEnd w:id="34"/>
    </w:p>
    <w:p w14:paraId="25E1B391" w14:textId="7526CCB7" w:rsidR="002856B5" w:rsidRPr="00C82DFF" w:rsidRDefault="002856B5" w:rsidP="00906449">
      <w:pPr>
        <w:pStyle w:val="Heading2"/>
        <w:spacing w:before="240" w:after="240"/>
        <w:ind w:left="578" w:hanging="578"/>
        <w:rPr>
          <w:rFonts w:cs="Times New Roman"/>
          <w:noProof/>
          <w:sz w:val="22"/>
          <w:szCs w:val="22"/>
        </w:rPr>
      </w:pPr>
      <w:bookmarkStart w:id="35" w:name="_Toc220346321"/>
      <w:bookmarkStart w:id="36" w:name="_Toc227857276"/>
      <w:r>
        <w:rPr>
          <w:noProof/>
          <w:sz w:val="22"/>
        </w:rPr>
        <w:t>Calibrage des chocs de rachat</w:t>
      </w:r>
      <w:bookmarkEnd w:id="35"/>
      <w:bookmarkEnd w:id="36"/>
    </w:p>
    <w:p w14:paraId="5EB28AE1" w14:textId="77777777" w:rsidR="002856B5" w:rsidRPr="00C82DFF" w:rsidRDefault="002856B5" w:rsidP="0034552B">
      <w:pPr>
        <w:spacing w:after="240" w:line="280" w:lineRule="atLeast"/>
        <w:jc w:val="both"/>
        <w:rPr>
          <w:rFonts w:ascii="Times New Roman" w:eastAsia="Times New Roman" w:hAnsi="Times New Roman" w:cs="Times New Roman"/>
          <w:noProof/>
        </w:rPr>
      </w:pPr>
      <w:r>
        <w:rPr>
          <w:rFonts w:ascii="Times New Roman" w:hAnsi="Times New Roman"/>
          <w:noProof/>
        </w:rPr>
        <w:t xml:space="preserve">Pour évaluer les chocs de rachat, plusieurs modèles ont été testés en utilisant différentes sources de données (Crane Data, ANC, Morningstar) et différentes approches méthodologiques, une attention particulière ayant été accordée à la résolution des problèmes de qualité des données et à la nécessité de garantir leur robustesse. </w:t>
      </w:r>
    </w:p>
    <w:p w14:paraId="0286C557" w14:textId="1506F417" w:rsidR="002856B5" w:rsidRPr="00C82DFF" w:rsidRDefault="002856B5" w:rsidP="0034552B">
      <w:pPr>
        <w:spacing w:after="240" w:line="280" w:lineRule="atLeast"/>
        <w:jc w:val="both"/>
        <w:rPr>
          <w:rFonts w:ascii="Times New Roman" w:eastAsia="Times New Roman" w:hAnsi="Times New Roman" w:cs="Times New Roman"/>
          <w:noProof/>
        </w:rPr>
      </w:pPr>
      <w:r>
        <w:rPr>
          <w:rFonts w:ascii="Times New Roman" w:hAnsi="Times New Roman"/>
          <w:noProof/>
        </w:rPr>
        <w:t xml:space="preserve">Le premier centile des rachats (en % de la VL) a finalement été sélectionné, car il reflète une situation de tensions graves mais plausibles, tout en limitant l’influence d’éventuelles erreurs de données ou valeurs aberrantes. </w:t>
      </w:r>
    </w:p>
    <w:p w14:paraId="074D47CB" w14:textId="5A6AD5AE" w:rsidR="002856B5" w:rsidRPr="00C82DFF" w:rsidRDefault="002856B5" w:rsidP="0034552B">
      <w:pPr>
        <w:spacing w:after="240" w:line="280" w:lineRule="atLeast"/>
        <w:jc w:val="both"/>
        <w:rPr>
          <w:rFonts w:ascii="Times New Roman" w:eastAsia="Times New Roman" w:hAnsi="Times New Roman" w:cs="Times New Roman"/>
          <w:noProof/>
        </w:rPr>
      </w:pPr>
      <w:r>
        <w:rPr>
          <w:rFonts w:ascii="Times New Roman" w:hAnsi="Times New Roman"/>
          <w:noProof/>
        </w:rPr>
        <w:t>Ce centile est calibré sur la base de l’événement de marché lié à la pandémie de COVID-19 et reflète donc un scénario très défavorable. Il convient de noter que de tels scénarios sont susceptibles de ne pas être réalistes pour de nombreux fonds monétaires qui bénéficient d’une base d’investisseurs prévisible. Néanmoins, cette approche stricte est jugée appropriée dans le contexte de risques de contagion, en particulier de contagion affectant la réputation.</w:t>
      </w:r>
    </w:p>
    <w:p w14:paraId="3AC7D82B" w14:textId="3CA1F1F8" w:rsidR="002856B5" w:rsidRPr="00C82DFF" w:rsidRDefault="002856B5" w:rsidP="0034552B">
      <w:pPr>
        <w:spacing w:after="240" w:line="280" w:lineRule="atLeast"/>
        <w:jc w:val="both"/>
        <w:rPr>
          <w:rFonts w:ascii="Times New Roman" w:hAnsi="Times New Roman" w:cs="Times New Roman"/>
          <w:noProof/>
        </w:rPr>
      </w:pPr>
      <w:r>
        <w:rPr>
          <w:rFonts w:ascii="Times New Roman" w:hAnsi="Times New Roman"/>
          <w:noProof/>
        </w:rPr>
        <w:t>La pertinence de la question de la contagion peut également être évaluée dans le contexte des pratiques en matière de connaissance de la clientèle et du fait que les fonds monétaires sont soumis à des obligations réglementaires de communiquer régulièrement des informations à leurs investisseurs. En outre, de nombreux investisseurs exigent des informations plus fréquentes et plus détaillées, ce qui peut atténuer encore les risques de contagion.</w:t>
      </w:r>
    </w:p>
    <w:p w14:paraId="1FBCB48B" w14:textId="0FE9413B" w:rsidR="002856B5" w:rsidRPr="00C82DFF" w:rsidRDefault="002856B5" w:rsidP="002856B5">
      <w:pPr>
        <w:spacing w:after="240" w:line="240" w:lineRule="auto"/>
        <w:jc w:val="both"/>
        <w:rPr>
          <w:rFonts w:ascii="Times New Roman" w:hAnsi="Times New Roman" w:cs="Times New Roman"/>
          <w:b/>
          <w:bCs/>
          <w:noProof/>
        </w:rPr>
      </w:pPr>
      <w:r>
        <w:rPr>
          <w:rFonts w:ascii="Times New Roman" w:hAnsi="Times New Roman"/>
          <w:b/>
          <w:noProof/>
        </w:rPr>
        <w:t>Tableau III.1: Fourchette du premier centile de la distribution du scénario de rachats, toutes sources de données confondues [min 1</w:t>
      </w:r>
      <w:r>
        <w:rPr>
          <w:rFonts w:ascii="Times New Roman" w:hAnsi="Times New Roman"/>
          <w:b/>
          <w:noProof/>
          <w:vertAlign w:val="superscript"/>
        </w:rPr>
        <w:t>er</w:t>
      </w:r>
      <w:r>
        <w:rPr>
          <w:rFonts w:ascii="Times New Roman" w:hAnsi="Times New Roman"/>
          <w:b/>
          <w:noProof/>
        </w:rPr>
        <w:t xml:space="preserve"> centile, max 1</w:t>
      </w:r>
      <w:r>
        <w:rPr>
          <w:rFonts w:ascii="Times New Roman" w:hAnsi="Times New Roman"/>
          <w:b/>
          <w:noProof/>
          <w:vertAlign w:val="superscript"/>
        </w:rPr>
        <w:t>er</w:t>
      </w:r>
      <w:r>
        <w:rPr>
          <w:rFonts w:ascii="Times New Roman" w:hAnsi="Times New Roman"/>
          <w:b/>
          <w:noProof/>
        </w:rPr>
        <w:t xml:space="preserve"> centile]</w:t>
      </w:r>
    </w:p>
    <w:tbl>
      <w:tblPr>
        <w:tblStyle w:val="GridTable5Dark-Accent5"/>
        <w:tblW w:w="9168" w:type="dxa"/>
        <w:tblLook w:val="04A0" w:firstRow="1" w:lastRow="0" w:firstColumn="1" w:lastColumn="0" w:noHBand="0" w:noVBand="1"/>
      </w:tblPr>
      <w:tblGrid>
        <w:gridCol w:w="4616"/>
        <w:gridCol w:w="1375"/>
        <w:gridCol w:w="1687"/>
        <w:gridCol w:w="1490"/>
      </w:tblGrid>
      <w:tr w:rsidR="002856B5" w:rsidRPr="00C82DFF" w14:paraId="1BD7559D" w14:textId="77777777" w:rsidTr="002E16A4">
        <w:trPr>
          <w:cnfStyle w:val="100000000000" w:firstRow="1" w:lastRow="0" w:firstColumn="0" w:lastColumn="0" w:oddVBand="0" w:evenVBand="0" w:oddHBand="0"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566F544" w14:textId="77777777" w:rsidR="002856B5" w:rsidRPr="00C82DFF" w:rsidRDefault="002856B5" w:rsidP="004929D6">
            <w:pP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0" w:type="auto"/>
            <w:vAlign w:val="center"/>
            <w:hideMark/>
          </w:tcPr>
          <w:p w14:paraId="79DBF117" w14:textId="77777777" w:rsidR="002856B5" w:rsidRPr="00C82DFF" w:rsidRDefault="002856B5" w:rsidP="009064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Journalier</w:t>
            </w:r>
          </w:p>
        </w:tc>
        <w:tc>
          <w:tcPr>
            <w:tcW w:w="0" w:type="auto"/>
            <w:vAlign w:val="center"/>
            <w:hideMark/>
          </w:tcPr>
          <w:p w14:paraId="05BCF2D3" w14:textId="77777777" w:rsidR="002856B5" w:rsidRPr="00C82DFF" w:rsidRDefault="002856B5" w:rsidP="009064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Hebdomadaire</w:t>
            </w:r>
          </w:p>
        </w:tc>
        <w:tc>
          <w:tcPr>
            <w:tcW w:w="0" w:type="auto"/>
            <w:vAlign w:val="center"/>
            <w:hideMark/>
          </w:tcPr>
          <w:p w14:paraId="3CBC38AF" w14:textId="77777777" w:rsidR="002856B5" w:rsidRPr="00C82DFF" w:rsidRDefault="002856B5" w:rsidP="009064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Mensuel</w:t>
            </w:r>
          </w:p>
        </w:tc>
      </w:tr>
      <w:tr w:rsidR="00F25498" w:rsidRPr="00C82DFF" w14:paraId="767A305C" w14:textId="77777777" w:rsidTr="002E16A4">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EFC18D1" w14:textId="77777777" w:rsidR="00F25498" w:rsidRPr="00C82DFF" w:rsidRDefault="00F25498" w:rsidP="00F25498">
            <w:pPr>
              <w:rPr>
                <w:rFonts w:ascii="Times New Roman" w:eastAsia="Times New Roman" w:hAnsi="Times New Roman" w:cs="Times New Roman"/>
                <w:noProof/>
                <w:color w:val="000000"/>
              </w:rPr>
            </w:pPr>
            <w:r>
              <w:rPr>
                <w:rFonts w:ascii="Times New Roman" w:hAnsi="Times New Roman"/>
                <w:noProof/>
                <w:color w:val="000000"/>
              </w:rPr>
              <w:t>Fonds à VLV</w:t>
            </w:r>
          </w:p>
        </w:tc>
        <w:tc>
          <w:tcPr>
            <w:tcW w:w="0" w:type="auto"/>
            <w:noWrap/>
            <w:vAlign w:val="center"/>
            <w:hideMark/>
          </w:tcPr>
          <w:p w14:paraId="1850C6EC" w14:textId="61A027A2"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[-4% ;-8%]</w:t>
            </w:r>
          </w:p>
        </w:tc>
        <w:tc>
          <w:tcPr>
            <w:tcW w:w="0" w:type="auto"/>
            <w:noWrap/>
            <w:vAlign w:val="center"/>
            <w:hideMark/>
          </w:tcPr>
          <w:p w14:paraId="6DEBF9AA" w14:textId="7B90C18F"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[-6% ;-19%]</w:t>
            </w:r>
          </w:p>
        </w:tc>
        <w:tc>
          <w:tcPr>
            <w:tcW w:w="0" w:type="auto"/>
            <w:noWrap/>
            <w:vAlign w:val="center"/>
            <w:hideMark/>
          </w:tcPr>
          <w:p w14:paraId="10D5D5DD" w14:textId="72E261F2"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[-16% ;-45%]</w:t>
            </w:r>
          </w:p>
        </w:tc>
      </w:tr>
      <w:tr w:rsidR="00F25498" w:rsidRPr="00C82DFF" w14:paraId="47242AAC" w14:textId="77777777" w:rsidTr="002E16A4">
        <w:trPr>
          <w:trHeight w:val="59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9E38A6" w14:textId="77777777" w:rsidR="00F25498" w:rsidRPr="00C82DFF" w:rsidRDefault="00F25498" w:rsidP="00F25498">
            <w:pPr>
              <w:pStyle w:val="ListParagraph"/>
              <w:numPr>
                <w:ilvl w:val="0"/>
                <w:numId w:val="39"/>
              </w:numPr>
              <w:rPr>
                <w:rFonts w:ascii="Times New Roman" w:eastAsia="Times New Roman" w:hAnsi="Times New Roman" w:cs="Times New Roman"/>
                <w:noProof/>
                <w:color w:val="000000"/>
              </w:rPr>
            </w:pPr>
            <w:r>
              <w:rPr>
                <w:rFonts w:ascii="Times New Roman" w:hAnsi="Times New Roman"/>
                <w:noProof/>
                <w:color w:val="000000"/>
              </w:rPr>
              <w:t>Fonds à VLV standard</w:t>
            </w:r>
          </w:p>
        </w:tc>
        <w:tc>
          <w:tcPr>
            <w:tcW w:w="0" w:type="auto"/>
            <w:noWrap/>
            <w:vAlign w:val="center"/>
            <w:hideMark/>
          </w:tcPr>
          <w:p w14:paraId="78F022A0" w14:textId="00E8A7F6"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[-4% ;-8%]</w:t>
            </w:r>
          </w:p>
        </w:tc>
        <w:tc>
          <w:tcPr>
            <w:tcW w:w="0" w:type="auto"/>
            <w:noWrap/>
            <w:vAlign w:val="center"/>
            <w:hideMark/>
          </w:tcPr>
          <w:p w14:paraId="2F6D4AAA" w14:textId="675443DE"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[-4% ;-21%]</w:t>
            </w:r>
          </w:p>
        </w:tc>
        <w:tc>
          <w:tcPr>
            <w:tcW w:w="0" w:type="auto"/>
            <w:noWrap/>
            <w:vAlign w:val="center"/>
            <w:hideMark/>
          </w:tcPr>
          <w:p w14:paraId="0ED61D06" w14:textId="2B88D952"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[-9% ;-45%]</w:t>
            </w:r>
          </w:p>
        </w:tc>
      </w:tr>
      <w:tr w:rsidR="00F25498" w:rsidRPr="00C82DFF" w14:paraId="3C316187" w14:textId="77777777" w:rsidTr="002E16A4">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185EADD" w14:textId="77777777" w:rsidR="00F25498" w:rsidRPr="00C82DFF" w:rsidRDefault="00F25498" w:rsidP="00F25498">
            <w:pPr>
              <w:pStyle w:val="ListParagraph"/>
              <w:numPr>
                <w:ilvl w:val="0"/>
                <w:numId w:val="39"/>
              </w:numPr>
              <w:rPr>
                <w:rFonts w:ascii="Times New Roman" w:eastAsia="Times New Roman" w:hAnsi="Times New Roman" w:cs="Times New Roman"/>
                <w:noProof/>
                <w:color w:val="000000"/>
              </w:rPr>
            </w:pPr>
            <w:r>
              <w:rPr>
                <w:rFonts w:ascii="Times New Roman" w:hAnsi="Times New Roman"/>
                <w:noProof/>
                <w:color w:val="000000"/>
              </w:rPr>
              <w:t>Fonds à VLV à court terme</w:t>
            </w:r>
          </w:p>
        </w:tc>
        <w:tc>
          <w:tcPr>
            <w:tcW w:w="0" w:type="auto"/>
            <w:noWrap/>
            <w:vAlign w:val="center"/>
            <w:hideMark/>
          </w:tcPr>
          <w:p w14:paraId="19900D15" w14:textId="474C01C5"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[-3% ;-10%]</w:t>
            </w:r>
          </w:p>
        </w:tc>
        <w:tc>
          <w:tcPr>
            <w:tcW w:w="0" w:type="auto"/>
            <w:noWrap/>
            <w:vAlign w:val="center"/>
            <w:hideMark/>
          </w:tcPr>
          <w:p w14:paraId="4652AE94" w14:textId="1B0D278F"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[-6% ;-15%]</w:t>
            </w:r>
          </w:p>
        </w:tc>
        <w:tc>
          <w:tcPr>
            <w:tcW w:w="0" w:type="auto"/>
            <w:noWrap/>
            <w:vAlign w:val="center"/>
            <w:hideMark/>
          </w:tcPr>
          <w:p w14:paraId="6D003656" w14:textId="1422FC4A"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[-17% ;-26%]</w:t>
            </w:r>
          </w:p>
        </w:tc>
      </w:tr>
      <w:tr w:rsidR="00F25498" w:rsidRPr="00C82DFF" w14:paraId="6C34E4A3" w14:textId="77777777" w:rsidTr="002E16A4">
        <w:trPr>
          <w:trHeight w:val="31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D773B41" w14:textId="77777777" w:rsidR="00F25498" w:rsidRPr="00C82DFF" w:rsidRDefault="00F25498" w:rsidP="00F25498">
            <w:pPr>
              <w:rPr>
                <w:rFonts w:ascii="Times New Roman" w:eastAsia="Times New Roman" w:hAnsi="Times New Roman" w:cs="Times New Roman"/>
                <w:noProof/>
                <w:color w:val="000000"/>
              </w:rPr>
            </w:pPr>
            <w:r>
              <w:rPr>
                <w:rFonts w:ascii="Times New Roman" w:hAnsi="Times New Roman"/>
                <w:noProof/>
                <w:color w:val="000000"/>
              </w:rPr>
              <w:t>Fonds à VL à faible volatilité</w:t>
            </w:r>
          </w:p>
        </w:tc>
        <w:tc>
          <w:tcPr>
            <w:tcW w:w="0" w:type="auto"/>
            <w:noWrap/>
            <w:vAlign w:val="center"/>
            <w:hideMark/>
          </w:tcPr>
          <w:p w14:paraId="722903D4" w14:textId="2352CCAE"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[-6% ;-11%]</w:t>
            </w:r>
          </w:p>
        </w:tc>
        <w:tc>
          <w:tcPr>
            <w:tcW w:w="0" w:type="auto"/>
            <w:noWrap/>
            <w:vAlign w:val="center"/>
            <w:hideMark/>
          </w:tcPr>
          <w:p w14:paraId="2A84C657" w14:textId="4E21DEDD"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[-7% ;-28%]</w:t>
            </w:r>
          </w:p>
        </w:tc>
        <w:tc>
          <w:tcPr>
            <w:tcW w:w="0" w:type="auto"/>
            <w:noWrap/>
            <w:vAlign w:val="center"/>
            <w:hideMark/>
          </w:tcPr>
          <w:p w14:paraId="42B9C7DB" w14:textId="48098F32"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[-28% ;-45%]</w:t>
            </w:r>
          </w:p>
        </w:tc>
      </w:tr>
      <w:tr w:rsidR="00F25498" w:rsidRPr="00C82DFF" w14:paraId="4B4B58CF" w14:textId="77777777" w:rsidTr="002E16A4">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4343760" w14:textId="77777777" w:rsidR="00F25498" w:rsidRPr="00C82DFF" w:rsidRDefault="00F25498" w:rsidP="00F25498">
            <w:pPr>
              <w:pStyle w:val="ListParagraph"/>
              <w:numPr>
                <w:ilvl w:val="0"/>
                <w:numId w:val="39"/>
              </w:numPr>
              <w:rPr>
                <w:rFonts w:ascii="Times New Roman" w:eastAsia="Times New Roman" w:hAnsi="Times New Roman" w:cs="Times New Roman"/>
                <w:noProof/>
                <w:color w:val="000000"/>
              </w:rPr>
            </w:pPr>
            <w:r>
              <w:rPr>
                <w:rFonts w:ascii="Times New Roman" w:hAnsi="Times New Roman"/>
                <w:noProof/>
                <w:color w:val="000000"/>
              </w:rPr>
              <w:t>Fonds à VL à faible volatilité en USD</w:t>
            </w:r>
          </w:p>
        </w:tc>
        <w:tc>
          <w:tcPr>
            <w:tcW w:w="0" w:type="auto"/>
            <w:noWrap/>
            <w:vAlign w:val="center"/>
            <w:hideMark/>
          </w:tcPr>
          <w:p w14:paraId="223D48F3" w14:textId="44D77F92"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[-9% ;-12%]</w:t>
            </w:r>
          </w:p>
        </w:tc>
        <w:tc>
          <w:tcPr>
            <w:tcW w:w="0" w:type="auto"/>
            <w:noWrap/>
            <w:vAlign w:val="center"/>
            <w:hideMark/>
          </w:tcPr>
          <w:p w14:paraId="24245B69" w14:textId="05D0CD3E"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[-16% ;-26%]</w:t>
            </w:r>
          </w:p>
        </w:tc>
        <w:tc>
          <w:tcPr>
            <w:tcW w:w="0" w:type="auto"/>
            <w:noWrap/>
            <w:vAlign w:val="center"/>
            <w:hideMark/>
          </w:tcPr>
          <w:p w14:paraId="21D3896A" w14:textId="5F41E11B"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[-30% ;-44%]</w:t>
            </w:r>
          </w:p>
        </w:tc>
      </w:tr>
      <w:tr w:rsidR="00F25498" w:rsidRPr="00C82DFF" w14:paraId="08A2AC05" w14:textId="77777777" w:rsidTr="002E16A4">
        <w:trPr>
          <w:trHeight w:val="51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49AEAF9" w14:textId="77777777" w:rsidR="00F25498" w:rsidRPr="00C82DFF" w:rsidRDefault="00F25498" w:rsidP="00F25498">
            <w:pPr>
              <w:pStyle w:val="ListParagraph"/>
              <w:numPr>
                <w:ilvl w:val="0"/>
                <w:numId w:val="39"/>
              </w:numPr>
              <w:rPr>
                <w:rFonts w:ascii="Times New Roman" w:eastAsia="Times New Roman" w:hAnsi="Times New Roman" w:cs="Times New Roman"/>
                <w:noProof/>
                <w:color w:val="000000"/>
              </w:rPr>
            </w:pPr>
            <w:r>
              <w:rPr>
                <w:rFonts w:ascii="Times New Roman" w:hAnsi="Times New Roman"/>
                <w:noProof/>
                <w:color w:val="000000"/>
              </w:rPr>
              <w:t>Fonds à VL à faible volatilité en GBP</w:t>
            </w:r>
          </w:p>
        </w:tc>
        <w:tc>
          <w:tcPr>
            <w:tcW w:w="0" w:type="auto"/>
            <w:noWrap/>
            <w:vAlign w:val="center"/>
            <w:hideMark/>
          </w:tcPr>
          <w:p w14:paraId="663509E7" w14:textId="3EE40E90"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[-8% ;-11%]</w:t>
            </w:r>
          </w:p>
        </w:tc>
        <w:tc>
          <w:tcPr>
            <w:tcW w:w="0" w:type="auto"/>
            <w:noWrap/>
            <w:vAlign w:val="center"/>
            <w:hideMark/>
          </w:tcPr>
          <w:p w14:paraId="1BC9CCA5" w14:textId="451C9487"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[-16% ;-30%]</w:t>
            </w:r>
          </w:p>
        </w:tc>
        <w:tc>
          <w:tcPr>
            <w:tcW w:w="0" w:type="auto"/>
            <w:noWrap/>
            <w:vAlign w:val="center"/>
            <w:hideMark/>
          </w:tcPr>
          <w:p w14:paraId="27BC94BC" w14:textId="2954D6F6"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[-26% ;-47%]</w:t>
            </w:r>
          </w:p>
        </w:tc>
      </w:tr>
      <w:tr w:rsidR="00F25498" w:rsidRPr="00C82DFF" w14:paraId="7EB7BB04" w14:textId="77777777" w:rsidTr="002E16A4">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ADE660" w14:textId="77777777" w:rsidR="00F25498" w:rsidRPr="00C82DFF" w:rsidRDefault="00F25498" w:rsidP="00F25498">
            <w:pPr>
              <w:rPr>
                <w:rFonts w:ascii="Times New Roman" w:eastAsia="Times New Roman" w:hAnsi="Times New Roman" w:cs="Times New Roman"/>
                <w:noProof/>
                <w:color w:val="000000"/>
              </w:rPr>
            </w:pPr>
            <w:r>
              <w:rPr>
                <w:rFonts w:ascii="Times New Roman" w:hAnsi="Times New Roman"/>
                <w:noProof/>
                <w:color w:val="000000"/>
              </w:rPr>
              <w:t>Fonds à VLC</w:t>
            </w:r>
          </w:p>
        </w:tc>
        <w:tc>
          <w:tcPr>
            <w:tcW w:w="0" w:type="auto"/>
            <w:noWrap/>
            <w:vAlign w:val="center"/>
            <w:hideMark/>
          </w:tcPr>
          <w:p w14:paraId="216BD14F" w14:textId="1D0AC260"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[-5% ;-14%]</w:t>
            </w:r>
          </w:p>
        </w:tc>
        <w:tc>
          <w:tcPr>
            <w:tcW w:w="0" w:type="auto"/>
            <w:noWrap/>
            <w:vAlign w:val="center"/>
            <w:hideMark/>
          </w:tcPr>
          <w:p w14:paraId="404994C6" w14:textId="79E6B011"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[-4% ;-22%]</w:t>
            </w:r>
          </w:p>
        </w:tc>
        <w:tc>
          <w:tcPr>
            <w:tcW w:w="0" w:type="auto"/>
            <w:noWrap/>
            <w:vAlign w:val="center"/>
            <w:hideMark/>
          </w:tcPr>
          <w:p w14:paraId="61DD37EF" w14:textId="11E78607"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[-1% ;-34%]</w:t>
            </w:r>
          </w:p>
        </w:tc>
      </w:tr>
      <w:tr w:rsidR="00F12529" w:rsidRPr="00C82DFF" w14:paraId="6BB9F800" w14:textId="77777777" w:rsidTr="002E16A4">
        <w:trPr>
          <w:trHeight w:val="51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8E7792" w14:textId="77777777" w:rsidR="00F25498" w:rsidRPr="00C82DFF" w:rsidRDefault="00F25498" w:rsidP="00F25498">
            <w:pPr>
              <w:rPr>
                <w:rFonts w:ascii="Times New Roman" w:eastAsia="Times New Roman" w:hAnsi="Times New Roman" w:cs="Times New Roman"/>
                <w:noProof/>
                <w:color w:val="000000"/>
              </w:rPr>
            </w:pPr>
            <w:r>
              <w:rPr>
                <w:rFonts w:ascii="Times New Roman" w:hAnsi="Times New Roman"/>
                <w:noProof/>
                <w:color w:val="000000"/>
              </w:rPr>
              <w:t>Globalement</w:t>
            </w:r>
          </w:p>
        </w:tc>
        <w:tc>
          <w:tcPr>
            <w:tcW w:w="0" w:type="auto"/>
            <w:noWrap/>
            <w:vAlign w:val="center"/>
            <w:hideMark/>
          </w:tcPr>
          <w:p w14:paraId="198E0444" w14:textId="6FFAAAB8"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[-6% ;-11%]</w:t>
            </w:r>
          </w:p>
        </w:tc>
        <w:tc>
          <w:tcPr>
            <w:tcW w:w="0" w:type="auto"/>
            <w:noWrap/>
            <w:vAlign w:val="center"/>
            <w:hideMark/>
          </w:tcPr>
          <w:p w14:paraId="78467194" w14:textId="4E125493"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[-7% ;-26%]</w:t>
            </w:r>
          </w:p>
        </w:tc>
        <w:tc>
          <w:tcPr>
            <w:tcW w:w="0" w:type="auto"/>
            <w:noWrap/>
            <w:vAlign w:val="center"/>
            <w:hideMark/>
          </w:tcPr>
          <w:p w14:paraId="4180228B" w14:textId="24958CF0"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[-21% ;-45%]</w:t>
            </w:r>
          </w:p>
        </w:tc>
      </w:tr>
    </w:tbl>
    <w:p w14:paraId="586BF91B" w14:textId="77777777" w:rsidR="002856B5" w:rsidRDefault="002856B5" w:rsidP="002856B5">
      <w:pPr>
        <w:spacing w:after="240" w:line="240" w:lineRule="auto"/>
        <w:jc w:val="both"/>
        <w:rPr>
          <w:rFonts w:ascii="Times New Roman" w:hAnsi="Times New Roman" w:cs="Times New Roman"/>
          <w:noProof/>
        </w:rPr>
      </w:pPr>
      <w:r>
        <w:rPr>
          <w:rFonts w:ascii="Times New Roman" w:hAnsi="Times New Roman"/>
          <w:noProof/>
        </w:rPr>
        <w:t>Sources: Données de Crane Data, Morningstar et ANC</w:t>
      </w:r>
    </w:p>
    <w:p w14:paraId="5F384913" w14:textId="1B68A40A" w:rsidR="002856B5" w:rsidRPr="00C82DFF" w:rsidRDefault="002856B5" w:rsidP="00906449">
      <w:pPr>
        <w:pStyle w:val="Heading2"/>
        <w:spacing w:before="240" w:after="240"/>
        <w:ind w:left="578" w:hanging="578"/>
        <w:rPr>
          <w:rFonts w:cs="Times New Roman"/>
          <w:noProof/>
          <w:sz w:val="22"/>
          <w:szCs w:val="22"/>
        </w:rPr>
      </w:pPr>
      <w:bookmarkStart w:id="37" w:name="_Toc220346322"/>
      <w:bookmarkStart w:id="38" w:name="_Toc227857277"/>
      <w:r>
        <w:rPr>
          <w:noProof/>
          <w:sz w:val="22"/>
        </w:rPr>
        <w:t>Calibrage des «seuils de résilience du marché»</w:t>
      </w:r>
      <w:bookmarkEnd w:id="37"/>
      <w:bookmarkEnd w:id="38"/>
      <w:r>
        <w:rPr>
          <w:noProof/>
          <w:sz w:val="22"/>
        </w:rPr>
        <w:t xml:space="preserve"> </w:t>
      </w:r>
    </w:p>
    <w:p w14:paraId="56C94C4E" w14:textId="77777777" w:rsidR="004637C4" w:rsidRPr="00AB43E2" w:rsidRDefault="004637C4" w:rsidP="0034552B">
      <w:pPr>
        <w:spacing w:before="100" w:beforeAutospacing="1" w:after="100" w:afterAutospacing="1" w:line="280" w:lineRule="atLeast"/>
        <w:jc w:val="both"/>
        <w:rPr>
          <w:rFonts w:ascii="Times New Roman" w:eastAsia="Times New Roman" w:hAnsi="Times New Roman" w:cs="Times New Roman"/>
          <w:noProof/>
        </w:rPr>
      </w:pPr>
      <w:r>
        <w:rPr>
          <w:rFonts w:ascii="Times New Roman" w:hAnsi="Times New Roman"/>
          <w:noProof/>
        </w:rPr>
        <w:t xml:space="preserve">Les fonds monétaires de l’UE sont généralement capables de résister aux chocs de rachats identifiés à la section 7.1, reflétant la dispersion des niveaux de WLA dans l’ensemble du secteur. Toutefois, il demeure essentiel qu’une surveillance solide et des systèmes efficaces de gestion des risques soient en place afin de garantir que les niveaux de liquidité sont adaptés à la situation spécifique de chaque fonds. </w:t>
      </w:r>
    </w:p>
    <w:p w14:paraId="038139F6" w14:textId="68C5962F" w:rsidR="00480352" w:rsidRDefault="004637C4" w:rsidP="0034552B">
      <w:pPr>
        <w:spacing w:before="100" w:beforeAutospacing="1" w:after="100" w:afterAutospacing="1" w:line="280" w:lineRule="atLeast"/>
        <w:jc w:val="both"/>
        <w:rPr>
          <w:rFonts w:ascii="Times New Roman" w:eastAsia="Times New Roman" w:hAnsi="Times New Roman" w:cs="Times New Roman"/>
          <w:noProof/>
        </w:rPr>
      </w:pPr>
      <w:r>
        <w:rPr>
          <w:rFonts w:ascii="Times New Roman" w:hAnsi="Times New Roman"/>
          <w:noProof/>
        </w:rPr>
        <w:lastRenderedPageBreak/>
        <w:t xml:space="preserve">Dans ce contexte, la présente section calibre des niveaux de WLA de résilience qui, s’ils étaient appliqués de manière uniforme comme niveaux de référence minimaux, permettraient aux fonds monétaires de résister aux scénarios de rachats calibrés à la section 7.1. </w:t>
      </w:r>
    </w:p>
    <w:p w14:paraId="5DBDD48B" w14:textId="76BA27C8" w:rsidR="002E16A4" w:rsidRPr="00480352" w:rsidRDefault="00480352" w:rsidP="00480352">
      <w:pPr>
        <w:rPr>
          <w:rFonts w:ascii="Times New Roman" w:eastAsia="Times New Roman" w:hAnsi="Times New Roman" w:cs="Times New Roman"/>
          <w:noProof/>
        </w:rPr>
      </w:pPr>
      <w:r>
        <w:rPr>
          <w:noProof/>
        </w:rPr>
        <w:br w:type="page"/>
      </w:r>
    </w:p>
    <w:p w14:paraId="64C616F8" w14:textId="7DEBE504" w:rsidR="002856B5" w:rsidRPr="00C82DFF" w:rsidRDefault="004637C4" w:rsidP="004637C4">
      <w:pPr>
        <w:spacing w:before="120" w:after="0" w:line="240" w:lineRule="atLeast"/>
        <w:jc w:val="both"/>
        <w:rPr>
          <w:rFonts w:ascii="Times New Roman" w:eastAsia="Times New Roman" w:hAnsi="Times New Roman" w:cs="Times New Roman"/>
          <w:b/>
          <w:noProof/>
        </w:rPr>
      </w:pPr>
      <w:r>
        <w:rPr>
          <w:rFonts w:ascii="Times New Roman" w:hAnsi="Times New Roman"/>
          <w:b/>
          <w:noProof/>
        </w:rPr>
        <w:lastRenderedPageBreak/>
        <w:t xml:space="preserve">La méthodologie décrite ci-dessous a été utilisée: </w:t>
      </w:r>
    </w:p>
    <w:p w14:paraId="1E6C253A" w14:textId="01B2C590" w:rsidR="002856B5" w:rsidRPr="00C82DFF" w:rsidRDefault="002856B5" w:rsidP="0034552B">
      <w:pPr>
        <w:pStyle w:val="ListParagraph"/>
        <w:numPr>
          <w:ilvl w:val="0"/>
          <w:numId w:val="71"/>
        </w:numPr>
        <w:spacing w:before="120" w:after="0" w:line="280" w:lineRule="atLeast"/>
        <w:jc w:val="both"/>
        <w:rPr>
          <w:rFonts w:ascii="Times New Roman" w:eastAsia="Times New Roman" w:hAnsi="Times New Roman" w:cs="Times New Roman"/>
          <w:noProof/>
        </w:rPr>
      </w:pPr>
      <w:r>
        <w:rPr>
          <w:rFonts w:ascii="Times New Roman" w:hAnsi="Times New Roman"/>
          <w:noProof/>
        </w:rPr>
        <w:t>L’analyse estime le volume de rachats que les fonds monétaires peuvent absorber avant que leurs actifs liquides journaliers ne tombent sous le niveau minimal réglementaire. Pour ce faire, différents niveaux de WLA minimaux sont pris en considération, en utilisant des données réelles sur la composition du portefeuille et son amortissement.</w:t>
      </w:r>
    </w:p>
    <w:p w14:paraId="35DCE296" w14:textId="77777777" w:rsidR="002856B5" w:rsidRPr="00C82DFF" w:rsidRDefault="002856B5" w:rsidP="0034552B">
      <w:pPr>
        <w:pStyle w:val="ListParagraph"/>
        <w:spacing w:before="120" w:after="0" w:line="280" w:lineRule="atLeast"/>
        <w:contextualSpacing w:val="0"/>
        <w:jc w:val="both"/>
        <w:rPr>
          <w:rFonts w:ascii="Times New Roman" w:eastAsia="Times New Roman" w:hAnsi="Times New Roman" w:cs="Times New Roman"/>
          <w:noProof/>
          <w:lang w:eastAsia="en-IE"/>
        </w:rPr>
      </w:pPr>
    </w:p>
    <w:p w14:paraId="75ED5707" w14:textId="05F09361" w:rsidR="002856B5" w:rsidRPr="00C82DFF" w:rsidRDefault="002F119E" w:rsidP="0034552B">
      <w:pPr>
        <w:pStyle w:val="ListParagraph"/>
        <w:numPr>
          <w:ilvl w:val="0"/>
          <w:numId w:val="71"/>
        </w:numPr>
        <w:spacing w:before="120" w:after="0" w:line="280" w:lineRule="atLeast"/>
        <w:jc w:val="both"/>
        <w:rPr>
          <w:rFonts w:ascii="Times New Roman" w:eastAsia="Times New Roman" w:hAnsi="Times New Roman" w:cs="Times New Roman"/>
          <w:noProof/>
        </w:rPr>
      </w:pPr>
      <w:r>
        <w:rPr>
          <w:rFonts w:ascii="Times New Roman" w:hAnsi="Times New Roman"/>
          <w:noProof/>
        </w:rPr>
        <w:t>Pour calibrer les seuils de WLA de résilience, les résultats sont comparés aux scénarios de rachats appliqués aux fonds monétaires identifiés à la section 7.1 (voir tableau III.1). L’analyse tient compte de l’amortissement du portefeuille. L’ensemble d’hypothèses prudent suivant est appliqué:</w:t>
      </w:r>
    </w:p>
    <w:p w14:paraId="2D308CC6" w14:textId="62BB8FB2" w:rsidR="002856B5" w:rsidRPr="00C82DFF" w:rsidRDefault="002856B5" w:rsidP="0034552B">
      <w:pPr>
        <w:pStyle w:val="ListParagraph"/>
        <w:numPr>
          <w:ilvl w:val="0"/>
          <w:numId w:val="7"/>
        </w:numPr>
        <w:spacing w:before="120" w:after="0" w:line="280" w:lineRule="atLeast"/>
        <w:contextualSpacing w:val="0"/>
        <w:jc w:val="both"/>
        <w:rPr>
          <w:rFonts w:ascii="Times New Roman" w:eastAsia="Times New Roman" w:hAnsi="Times New Roman" w:cs="Times New Roman"/>
          <w:noProof/>
        </w:rPr>
      </w:pPr>
      <w:r>
        <w:rPr>
          <w:rFonts w:ascii="Times New Roman" w:hAnsi="Times New Roman"/>
          <w:noProof/>
        </w:rPr>
        <w:t xml:space="preserve">les demandes de rachats sont honorées exclusivement au moyen des DLA et WLA existants, sans vente d’actifs mis à part ceux pouvant être considérés comme des DLA et WLA; </w:t>
      </w:r>
    </w:p>
    <w:p w14:paraId="3A954AB1" w14:textId="17CA34CA" w:rsidR="002856B5" w:rsidRPr="00C82DFF" w:rsidRDefault="002856B5" w:rsidP="0034552B">
      <w:pPr>
        <w:pStyle w:val="ListParagraph"/>
        <w:numPr>
          <w:ilvl w:val="0"/>
          <w:numId w:val="7"/>
        </w:numPr>
        <w:spacing w:before="120" w:after="0" w:line="280" w:lineRule="atLeast"/>
        <w:contextualSpacing w:val="0"/>
        <w:jc w:val="both"/>
        <w:rPr>
          <w:rFonts w:ascii="Times New Roman" w:eastAsia="Times New Roman" w:hAnsi="Times New Roman" w:cs="Times New Roman"/>
          <w:noProof/>
        </w:rPr>
      </w:pPr>
      <w:r>
        <w:rPr>
          <w:rFonts w:ascii="Times New Roman" w:hAnsi="Times New Roman"/>
          <w:noProof/>
        </w:rPr>
        <w:t>le niveau des DLA est maintenu au-dessus des exigences réglementaires minimales</w:t>
      </w:r>
      <w:r>
        <w:rPr>
          <w:rStyle w:val="FootnoteReference"/>
          <w:rFonts w:ascii="Times New Roman" w:eastAsia="Times New Roman" w:hAnsi="Times New Roman" w:cs="Times New Roman"/>
          <w:noProof/>
          <w:lang w:eastAsia="en-IE"/>
        </w:rPr>
        <w:footnoteReference w:id="12"/>
      </w:r>
      <w:r>
        <w:rPr>
          <w:rFonts w:ascii="Times New Roman" w:hAnsi="Times New Roman"/>
          <w:noProof/>
        </w:rPr>
        <w:t>.</w:t>
      </w:r>
    </w:p>
    <w:p w14:paraId="0C5F3C13" w14:textId="77777777" w:rsidR="002856B5" w:rsidRPr="00C82DFF" w:rsidRDefault="002856B5" w:rsidP="002856B5">
      <w:pPr>
        <w:spacing w:before="120" w:after="0" w:line="240" w:lineRule="atLeast"/>
        <w:jc w:val="both"/>
        <w:rPr>
          <w:rFonts w:ascii="Times New Roman" w:eastAsia="Times New Roman" w:hAnsi="Times New Roman" w:cs="Times New Roman"/>
          <w:noProof/>
          <w:lang w:eastAsia="en-IE"/>
        </w:rPr>
      </w:pPr>
    </w:p>
    <w:p w14:paraId="3C905B3A" w14:textId="5A9A42C9" w:rsidR="002856B5" w:rsidRPr="00C82DFF" w:rsidRDefault="002856B5" w:rsidP="00EE4572">
      <w:pPr>
        <w:spacing w:after="240" w:line="240" w:lineRule="auto"/>
        <w:jc w:val="both"/>
        <w:rPr>
          <w:rFonts w:ascii="Times New Roman" w:hAnsi="Times New Roman" w:cs="Times New Roman"/>
          <w:noProof/>
        </w:rPr>
      </w:pPr>
      <w:r>
        <w:rPr>
          <w:rFonts w:ascii="Times New Roman" w:hAnsi="Times New Roman"/>
          <w:b/>
          <w:noProof/>
        </w:rPr>
        <w:t>Tableau III.2: Scénario retenu pour l’exercice de calibration</w:t>
      </w:r>
    </w:p>
    <w:tbl>
      <w:tblPr>
        <w:tblStyle w:val="GridTable5Dark-Accent5"/>
        <w:tblW w:w="6580" w:type="dxa"/>
        <w:tblInd w:w="1440" w:type="dxa"/>
        <w:tblLook w:val="04A0" w:firstRow="1" w:lastRow="0" w:firstColumn="1" w:lastColumn="0" w:noHBand="0" w:noVBand="1"/>
      </w:tblPr>
      <w:tblGrid>
        <w:gridCol w:w="2643"/>
        <w:gridCol w:w="1253"/>
        <w:gridCol w:w="1634"/>
        <w:gridCol w:w="1050"/>
      </w:tblGrid>
      <w:tr w:rsidR="002856B5" w:rsidRPr="00C82DFF" w14:paraId="6200F140" w14:textId="77777777" w:rsidTr="00865E71">
        <w:trPr>
          <w:cnfStyle w:val="100000000000" w:firstRow="1" w:lastRow="0" w:firstColumn="0" w:lastColumn="0" w:oddVBand="0" w:evenVBand="0" w:oddHBand="0"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9088E00" w14:textId="77777777" w:rsidR="002856B5" w:rsidRPr="00C82DFF" w:rsidRDefault="002856B5" w:rsidP="004929D6">
            <w:pPr>
              <w:rPr>
                <w:rFonts w:ascii="Times New Roman" w:eastAsia="Times New Roman" w:hAnsi="Times New Roman" w:cs="Times New Roman"/>
                <w:noProof/>
                <w:color w:val="000000"/>
              </w:rPr>
            </w:pPr>
            <w:r>
              <w:rPr>
                <w:rFonts w:ascii="Times New Roman" w:hAnsi="Times New Roman"/>
                <w:noProof/>
                <w:color w:val="000000"/>
              </w:rPr>
              <w:t>Type de fonds monétaire</w:t>
            </w:r>
          </w:p>
        </w:tc>
        <w:tc>
          <w:tcPr>
            <w:tcW w:w="0" w:type="auto"/>
            <w:vAlign w:val="center"/>
            <w:hideMark/>
          </w:tcPr>
          <w:p w14:paraId="283C45E2" w14:textId="77777777" w:rsidR="002856B5" w:rsidRPr="00C82DFF" w:rsidRDefault="002856B5" w:rsidP="004929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Journalier</w:t>
            </w:r>
          </w:p>
        </w:tc>
        <w:tc>
          <w:tcPr>
            <w:tcW w:w="0" w:type="auto"/>
            <w:vAlign w:val="center"/>
            <w:hideMark/>
          </w:tcPr>
          <w:p w14:paraId="2B51A534" w14:textId="77777777" w:rsidR="002856B5" w:rsidRPr="00C82DFF" w:rsidRDefault="002856B5" w:rsidP="004929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hebdomadaire</w:t>
            </w:r>
          </w:p>
        </w:tc>
        <w:tc>
          <w:tcPr>
            <w:tcW w:w="0" w:type="auto"/>
            <w:vAlign w:val="center"/>
            <w:hideMark/>
          </w:tcPr>
          <w:p w14:paraId="763B74E8" w14:textId="77777777" w:rsidR="002856B5" w:rsidRPr="00C82DFF" w:rsidRDefault="002856B5" w:rsidP="004929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Mensuel</w:t>
            </w:r>
          </w:p>
        </w:tc>
      </w:tr>
      <w:tr w:rsidR="00354EE9" w:rsidRPr="00C82DFF" w14:paraId="59F2D3DB" w14:textId="77777777" w:rsidTr="00865E71">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933FF96" w14:textId="77777777" w:rsidR="00354EE9" w:rsidRPr="00C82DFF" w:rsidRDefault="00354EE9" w:rsidP="00354EE9">
            <w:pPr>
              <w:rPr>
                <w:rFonts w:ascii="Times New Roman" w:eastAsia="Times New Roman" w:hAnsi="Times New Roman" w:cs="Times New Roman"/>
                <w:noProof/>
                <w:color w:val="000000"/>
              </w:rPr>
            </w:pPr>
            <w:r>
              <w:rPr>
                <w:rFonts w:ascii="Times New Roman" w:hAnsi="Times New Roman"/>
                <w:noProof/>
                <w:color w:val="000000"/>
              </w:rPr>
              <w:t>Fonds à VLV standard</w:t>
            </w:r>
          </w:p>
        </w:tc>
        <w:tc>
          <w:tcPr>
            <w:tcW w:w="0" w:type="auto"/>
            <w:noWrap/>
            <w:vAlign w:val="center"/>
            <w:hideMark/>
          </w:tcPr>
          <w:p w14:paraId="3AE10771" w14:textId="57F4B8B4" w:rsidR="00354EE9" w:rsidRPr="00C82DFF" w:rsidRDefault="00354EE9" w:rsidP="00354E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noProof/>
                <w:color w:val="000000"/>
              </w:rPr>
            </w:pPr>
            <w:r>
              <w:rPr>
                <w:rFonts w:ascii="Times New Roman" w:hAnsi="Times New Roman"/>
                <w:noProof/>
              </w:rPr>
              <w:t>-8 %</w:t>
            </w:r>
          </w:p>
        </w:tc>
        <w:tc>
          <w:tcPr>
            <w:tcW w:w="0" w:type="auto"/>
            <w:noWrap/>
            <w:vAlign w:val="center"/>
            <w:hideMark/>
          </w:tcPr>
          <w:p w14:paraId="65E74DBE" w14:textId="69177759" w:rsidR="00354EE9" w:rsidRPr="00C82DFF" w:rsidRDefault="00354EE9" w:rsidP="00354E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noProof/>
                <w:color w:val="000000"/>
              </w:rPr>
            </w:pPr>
            <w:r>
              <w:rPr>
                <w:rFonts w:ascii="Times New Roman" w:hAnsi="Times New Roman"/>
                <w:noProof/>
              </w:rPr>
              <w:t>-17 %</w:t>
            </w:r>
          </w:p>
        </w:tc>
        <w:tc>
          <w:tcPr>
            <w:tcW w:w="0" w:type="auto"/>
            <w:noWrap/>
            <w:vAlign w:val="center"/>
            <w:hideMark/>
          </w:tcPr>
          <w:p w14:paraId="759E6E1A" w14:textId="78CFC831" w:rsidR="00354EE9" w:rsidRPr="00C82DFF" w:rsidRDefault="00354EE9" w:rsidP="00354E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noProof/>
                <w:color w:val="000000"/>
              </w:rPr>
            </w:pPr>
            <w:r>
              <w:rPr>
                <w:rFonts w:ascii="Times New Roman" w:hAnsi="Times New Roman"/>
                <w:noProof/>
              </w:rPr>
              <w:t>-34 %</w:t>
            </w:r>
          </w:p>
        </w:tc>
      </w:tr>
      <w:tr w:rsidR="002856B5" w:rsidRPr="00C82DFF" w14:paraId="5182956D" w14:textId="77777777" w:rsidTr="00865E71">
        <w:trPr>
          <w:trHeight w:val="78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3B64E80" w14:textId="77777777" w:rsidR="002856B5" w:rsidRPr="00C82DFF" w:rsidRDefault="002856B5" w:rsidP="004929D6">
            <w:pPr>
              <w:rPr>
                <w:rFonts w:ascii="Times New Roman" w:eastAsia="Times New Roman" w:hAnsi="Times New Roman" w:cs="Times New Roman"/>
                <w:noProof/>
                <w:color w:val="000000"/>
              </w:rPr>
            </w:pPr>
            <w:r>
              <w:rPr>
                <w:rFonts w:ascii="Times New Roman" w:hAnsi="Times New Roman"/>
                <w:noProof/>
                <w:color w:val="000000"/>
              </w:rPr>
              <w:t>Fonds à VL stable</w:t>
            </w:r>
          </w:p>
        </w:tc>
        <w:tc>
          <w:tcPr>
            <w:tcW w:w="0" w:type="auto"/>
            <w:noWrap/>
            <w:vAlign w:val="center"/>
          </w:tcPr>
          <w:p w14:paraId="13EE6B74" w14:textId="77777777" w:rsidR="002856B5" w:rsidRPr="00C82DFF" w:rsidRDefault="002856B5" w:rsidP="004929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rPr>
            </w:pPr>
            <w:r>
              <w:rPr>
                <w:rFonts w:ascii="Times New Roman" w:hAnsi="Times New Roman"/>
                <w:noProof/>
                <w:color w:val="000000"/>
              </w:rPr>
              <w:t>-15 %</w:t>
            </w:r>
          </w:p>
        </w:tc>
        <w:tc>
          <w:tcPr>
            <w:tcW w:w="0" w:type="auto"/>
            <w:noWrap/>
            <w:vAlign w:val="center"/>
          </w:tcPr>
          <w:p w14:paraId="3C9D0AA5" w14:textId="58307E74" w:rsidR="002856B5" w:rsidRPr="00C82DFF" w:rsidRDefault="002856B5" w:rsidP="004929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-30 %</w:t>
            </w:r>
          </w:p>
        </w:tc>
        <w:tc>
          <w:tcPr>
            <w:tcW w:w="0" w:type="auto"/>
            <w:noWrap/>
            <w:vAlign w:val="center"/>
          </w:tcPr>
          <w:p w14:paraId="6FAE3D0C" w14:textId="77777777" w:rsidR="002856B5" w:rsidRPr="00C82DFF" w:rsidRDefault="002856B5" w:rsidP="004929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-47 %</w:t>
            </w:r>
          </w:p>
        </w:tc>
      </w:tr>
    </w:tbl>
    <w:p w14:paraId="74378E5F" w14:textId="77777777" w:rsidR="002856B5" w:rsidRPr="00C82DFF" w:rsidRDefault="002856B5" w:rsidP="002856B5">
      <w:pPr>
        <w:spacing w:after="240" w:line="240" w:lineRule="auto"/>
        <w:ind w:left="720" w:firstLine="720"/>
        <w:jc w:val="both"/>
        <w:rPr>
          <w:rFonts w:ascii="Times New Roman" w:hAnsi="Times New Roman" w:cs="Times New Roman"/>
          <w:noProof/>
        </w:rPr>
      </w:pPr>
      <w:r>
        <w:rPr>
          <w:rFonts w:ascii="Times New Roman" w:hAnsi="Times New Roman"/>
          <w:noProof/>
        </w:rPr>
        <w:t>Sources: données de Crane Data, Morningstar et ANC</w:t>
      </w:r>
    </w:p>
    <w:p w14:paraId="3369B3D0" w14:textId="3204ECD1" w:rsidR="002856B5" w:rsidRPr="00C82DFF" w:rsidRDefault="002856B5" w:rsidP="0034552B">
      <w:pPr>
        <w:spacing w:after="240" w:line="280" w:lineRule="atLeast"/>
        <w:jc w:val="both"/>
        <w:rPr>
          <w:rFonts w:ascii="Times New Roman" w:hAnsi="Times New Roman" w:cs="Times New Roman"/>
          <w:b/>
          <w:bCs/>
          <w:noProof/>
        </w:rPr>
      </w:pPr>
      <w:r>
        <w:rPr>
          <w:rFonts w:ascii="Times New Roman" w:hAnsi="Times New Roman"/>
          <w:b/>
          <w:noProof/>
        </w:rPr>
        <w:t xml:space="preserve">Cette analyse montre qu’un niveau de WLA de résilience de 35 % à 40 % pour les fonds monétaires à VL stable et de 20 % pour les fonds à VLV est suffisant pour résister à une situation de tensions sur les marchés. </w:t>
      </w:r>
      <w:r>
        <w:rPr>
          <w:rFonts w:ascii="Times New Roman" w:hAnsi="Times New Roman"/>
          <w:noProof/>
        </w:rPr>
        <w:t>En particulier, détenir un niveau de WLA supérieur ou égal à ces niveaux de résilience permettrait aux fonds monétaires de l’UE de résister (c’est-à-dire de maintenir un niveau de DLA supérieur au minimum réglementaire) à de graves chocs de rachats tels que calibrés à la section 7.1.</w:t>
      </w:r>
    </w:p>
    <w:p w14:paraId="1B7C9CBE" w14:textId="77777777" w:rsidR="00805C07" w:rsidRPr="00C82DFF" w:rsidRDefault="00805C07" w:rsidP="00B80A7C">
      <w:pPr>
        <w:rPr>
          <w:noProof/>
        </w:rPr>
      </w:pPr>
    </w:p>
    <w:sectPr w:rsidR="00805C07" w:rsidRPr="00C82DFF" w:rsidSect="00480352">
      <w:headerReference w:type="even" r:id="rId49"/>
      <w:headerReference w:type="default" r:id="rId50"/>
      <w:footerReference w:type="even" r:id="rId51"/>
      <w:footerReference w:type="default" r:id="rId52"/>
      <w:headerReference w:type="first" r:id="rId53"/>
      <w:footerReference w:type="first" r:id="rId54"/>
      <w:pgSz w:w="11906" w:h="16838" w:code="9"/>
      <w:pgMar w:top="851" w:right="1418" w:bottom="851"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391FB" w14:textId="77777777" w:rsidR="001204AD" w:rsidRPr="00280E34" w:rsidRDefault="001204AD" w:rsidP="00811D7C">
      <w:pPr>
        <w:spacing w:after="0" w:line="240" w:lineRule="auto"/>
      </w:pPr>
      <w:r>
        <w:separator/>
      </w:r>
    </w:p>
  </w:endnote>
  <w:endnote w:type="continuationSeparator" w:id="0">
    <w:p w14:paraId="5A1BC47F" w14:textId="77777777" w:rsidR="001204AD" w:rsidRPr="00280E34" w:rsidRDefault="001204AD" w:rsidP="00811D7C">
      <w:pPr>
        <w:spacing w:after="0" w:line="240" w:lineRule="auto"/>
      </w:pPr>
      <w:r>
        <w:continuationSeparator/>
      </w:r>
    </w:p>
  </w:endnote>
  <w:endnote w:type="continuationNotice" w:id="1">
    <w:p w14:paraId="2CE766E8" w14:textId="77777777" w:rsidR="001204AD" w:rsidRPr="00280E34" w:rsidRDefault="001204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1687" w14:textId="44048511" w:rsidR="00044DD8" w:rsidRPr="00044DD8" w:rsidRDefault="00044DD8" w:rsidP="00044DD8">
    <w:pPr>
      <w:pStyle w:val="FooterCoverPage"/>
      <w:rPr>
        <w:rFonts w:ascii="Arial" w:hAnsi="Arial" w:cs="Arial"/>
        <w:b/>
        <w:sz w:val="48"/>
      </w:rPr>
    </w:pPr>
    <w:r w:rsidRPr="00044DD8">
      <w:rPr>
        <w:rFonts w:ascii="Arial" w:hAnsi="Arial" w:cs="Arial"/>
        <w:b/>
        <w:sz w:val="48"/>
      </w:rPr>
      <w:t>FR</w:t>
    </w:r>
    <w:r w:rsidRPr="00044DD8">
      <w:rPr>
        <w:rFonts w:ascii="Arial" w:hAnsi="Arial" w:cs="Arial"/>
        <w:b/>
        <w:sz w:val="48"/>
      </w:rPr>
      <w:tab/>
    </w:r>
    <w:r w:rsidRPr="00044DD8">
      <w:rPr>
        <w:rFonts w:ascii="Arial" w:hAnsi="Arial" w:cs="Arial"/>
        <w:b/>
        <w:sz w:val="48"/>
      </w:rPr>
      <w:tab/>
    </w:r>
    <w:r w:rsidRPr="00044DD8">
      <w:tab/>
    </w:r>
    <w:r w:rsidRPr="00044DD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C9B54" w14:textId="21F0A0E2" w:rsidR="00044DD8" w:rsidRPr="00044DD8" w:rsidRDefault="00044DD8" w:rsidP="00044DD8">
    <w:pPr>
      <w:pStyle w:val="FooterCoverPage"/>
      <w:rPr>
        <w:rFonts w:ascii="Arial" w:hAnsi="Arial" w:cs="Arial"/>
        <w:b/>
        <w:sz w:val="48"/>
      </w:rPr>
    </w:pPr>
    <w:r w:rsidRPr="00044DD8">
      <w:rPr>
        <w:rFonts w:ascii="Arial" w:hAnsi="Arial" w:cs="Arial"/>
        <w:b/>
        <w:sz w:val="48"/>
      </w:rPr>
      <w:t>FR</w:t>
    </w:r>
    <w:r w:rsidRPr="00044DD8">
      <w:rPr>
        <w:rFonts w:ascii="Arial" w:hAnsi="Arial" w:cs="Arial"/>
        <w:b/>
        <w:sz w:val="48"/>
      </w:rPr>
      <w:tab/>
    </w:r>
    <w:r w:rsidRPr="00044DD8">
      <w:rPr>
        <w:rFonts w:ascii="Arial" w:hAnsi="Arial" w:cs="Arial"/>
        <w:b/>
        <w:sz w:val="48"/>
      </w:rPr>
      <w:tab/>
    </w:r>
    <w:r w:rsidRPr="00044DD8">
      <w:tab/>
    </w:r>
    <w:r w:rsidRPr="00044DD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2ED85" w14:textId="77777777" w:rsidR="00044DD8" w:rsidRPr="00044DD8" w:rsidRDefault="00044DD8" w:rsidP="00044DD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DF9FE" w14:textId="77777777" w:rsidR="00522175" w:rsidRPr="00280E34" w:rsidRDefault="005221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8181796"/>
      <w:docPartObj>
        <w:docPartGallery w:val="Page Numbers (Bottom of Page)"/>
        <w:docPartUnique/>
      </w:docPartObj>
    </w:sdtPr>
    <w:sdtEndPr>
      <w:rPr>
        <w:noProof/>
      </w:rPr>
    </w:sdtEndPr>
    <w:sdtContent>
      <w:p w14:paraId="620730FA" w14:textId="46562306" w:rsidR="001038B8" w:rsidRDefault="001038B8">
        <w:pPr>
          <w:pStyle w:val="Footer"/>
          <w:jc w:val="center"/>
        </w:pPr>
        <w:r>
          <w:fldChar w:fldCharType="begin"/>
        </w:r>
        <w:r>
          <w:instrText xml:space="preserve"> PAGE   \* MERGEFORMAT </w:instrText>
        </w:r>
        <w:r>
          <w:fldChar w:fldCharType="separate"/>
        </w:r>
        <w:r w:rsidR="00044DD8">
          <w:rPr>
            <w:noProof/>
          </w:rPr>
          <w:t>1</w:t>
        </w:r>
        <w:r>
          <w:fldChar w:fldCharType="end"/>
        </w:r>
      </w:p>
    </w:sdtContent>
  </w:sdt>
  <w:p w14:paraId="2E95DD82" w14:textId="77777777" w:rsidR="00522175" w:rsidRPr="00280E34" w:rsidRDefault="00522175">
    <w:pPr>
      <w:pStyle w:val="Footer"/>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DD7C7" w14:textId="77777777" w:rsidR="00522175" w:rsidRPr="00280E34" w:rsidRDefault="00522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74953" w14:textId="77777777" w:rsidR="001204AD" w:rsidRPr="00280E34" w:rsidRDefault="001204AD" w:rsidP="00811D7C">
      <w:pPr>
        <w:spacing w:after="0" w:line="240" w:lineRule="auto"/>
      </w:pPr>
      <w:r>
        <w:separator/>
      </w:r>
    </w:p>
  </w:footnote>
  <w:footnote w:type="continuationSeparator" w:id="0">
    <w:p w14:paraId="29066A3D" w14:textId="77777777" w:rsidR="001204AD" w:rsidRPr="00280E34" w:rsidRDefault="001204AD" w:rsidP="00811D7C">
      <w:pPr>
        <w:spacing w:after="0" w:line="240" w:lineRule="auto"/>
      </w:pPr>
      <w:r>
        <w:continuationSeparator/>
      </w:r>
    </w:p>
  </w:footnote>
  <w:footnote w:type="continuationNotice" w:id="1">
    <w:p w14:paraId="3BBEEC0E" w14:textId="77777777" w:rsidR="001204AD" w:rsidRPr="00280E34" w:rsidRDefault="001204AD">
      <w:pPr>
        <w:spacing w:after="0" w:line="240" w:lineRule="auto"/>
      </w:pPr>
    </w:p>
  </w:footnote>
  <w:footnote w:id="2">
    <w:p w14:paraId="42064E7A" w14:textId="7E0EA08E" w:rsidR="00FF2D6C" w:rsidRPr="00CC6B67" w:rsidRDefault="00FF2D6C" w:rsidP="00634628">
      <w:pPr>
        <w:pStyle w:val="FootnoteText"/>
        <w:jc w:val="both"/>
        <w:rPr>
          <w:rFonts w:ascii="Times New Roman" w:hAnsi="Times New Roman" w:cs="Times New Roman"/>
        </w:rPr>
      </w:pPr>
      <w:r>
        <w:rPr>
          <w:rStyle w:val="FootnoteReference"/>
          <w:rFonts w:ascii="Times New Roman" w:hAnsi="Times New Roman" w:cs="Times New Roman"/>
        </w:rPr>
        <w:footnoteRef/>
      </w:r>
      <w:r>
        <w:t> </w:t>
      </w:r>
      <w:r>
        <w:rPr>
          <w:rFonts w:ascii="Times New Roman" w:hAnsi="Times New Roman"/>
        </w:rPr>
        <w:t xml:space="preserve">Rapport de la Commission au Parlement européen et au Conseil concernant l’adéquation, d’un point de vue prudentiel et économique, du règlement (UE) 2017/1131 du Parlement européen et du Conseil sur les fonds monétaires [COM(2023) 452]: </w:t>
      </w:r>
      <w:hyperlink r:id="rId1" w:history="1">
        <w:r>
          <w:rPr>
            <w:rStyle w:val="Hyperlink"/>
            <w:rFonts w:ascii="Times New Roman" w:hAnsi="Times New Roman"/>
          </w:rPr>
          <w:t>EUR-Lex - 52023DC0452 - FR - EUR-Lex</w:t>
        </w:r>
      </w:hyperlink>
      <w:r>
        <w:t>.</w:t>
      </w:r>
      <w:r>
        <w:rPr>
          <w:rFonts w:ascii="Times New Roman" w:hAnsi="Times New Roman"/>
        </w:rPr>
        <w:t xml:space="preserve"> </w:t>
      </w:r>
    </w:p>
  </w:footnote>
  <w:footnote w:id="3">
    <w:p w14:paraId="10DDA754" w14:textId="77777777" w:rsidR="008404AD" w:rsidRPr="00AD36DF" w:rsidRDefault="008404AD" w:rsidP="008404A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Il incombe aux gestionnaires de fonds monétaires de veiller au respect du règlement sur les fonds monétaires. Ils ont des obligations spécifiques, telles que l’évaluation de la qualité de crédit des actifs du fonds monétaires et la réalisation de simulations de crise, la valorisation des actifs et la communication d’informations aux investisseurs.</w:t>
      </w:r>
    </w:p>
  </w:footnote>
  <w:footnote w:id="4">
    <w:p w14:paraId="10F4D7CF" w14:textId="0616FCA1" w:rsidR="00067839" w:rsidRPr="00AD36DF" w:rsidRDefault="00067839" w:rsidP="00403A9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La Commission adopte un rapport sur le fonctionnement du règlement sur les fonds monétaires — Finances</w:t>
        </w:r>
      </w:hyperlink>
    </w:p>
  </w:footnote>
  <w:footnote w:id="5">
    <w:p w14:paraId="66DD12AD" w14:textId="315B4797" w:rsidR="00365492" w:rsidRPr="00AD36DF" w:rsidRDefault="00365492" w:rsidP="00F430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Rapport 2023 sur les fonds monétaires, page 25. </w:t>
      </w:r>
    </w:p>
  </w:footnote>
  <w:footnote w:id="6">
    <w:p w14:paraId="27E09768" w14:textId="21216E12" w:rsidR="00B03A19" w:rsidRPr="00AD36DF" w:rsidRDefault="00B03A19" w:rsidP="004F39E1">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Les données proviennent des sources suivantes: Crane Data, Morningstar, AEMF et ANC.</w:t>
      </w:r>
    </w:p>
  </w:footnote>
  <w:footnote w:id="7">
    <w:p w14:paraId="7A60455E" w14:textId="71F545BC" w:rsidR="002A3FD5" w:rsidRPr="00AD36DF" w:rsidRDefault="002A3FD5" w:rsidP="004F39E1">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hyperlink r:id="rId3" w:history="1">
        <w:r>
          <w:rPr>
            <w:rStyle w:val="Hyperlink"/>
            <w:rFonts w:ascii="Times New Roman" w:hAnsi="Times New Roman"/>
          </w:rPr>
          <w:t>Consultation ciblée de la Commission sur le fonctionnement du règlement sur les marchés monétaires</w:t>
        </w:r>
      </w:hyperlink>
      <w:r>
        <w:rPr>
          <w:rFonts w:ascii="Times New Roman" w:hAnsi="Times New Roman"/>
        </w:rPr>
        <w:t xml:space="preserve">, 12 avril 2022, et </w:t>
      </w:r>
      <w:hyperlink r:id="rId4" w:history="1">
        <w:r>
          <w:rPr>
            <w:rStyle w:val="Hyperlink"/>
            <w:rFonts w:ascii="Times New Roman" w:hAnsi="Times New Roman"/>
          </w:rPr>
          <w:t>consultation ciblée de la Commission évaluant l’adéquation des politiques macroprudentielles pour l’intermédiation financière non bancaire (IFNB)</w:t>
        </w:r>
      </w:hyperlink>
      <w:r>
        <w:rPr>
          <w:rFonts w:ascii="Times New Roman" w:hAnsi="Times New Roman"/>
        </w:rPr>
        <w:t xml:space="preserve">, 22 mai 2024. </w:t>
      </w:r>
    </w:p>
  </w:footnote>
  <w:footnote w:id="8">
    <w:p w14:paraId="20FE7B42" w14:textId="33F55397" w:rsidR="000B3F8D" w:rsidRPr="00AD36DF" w:rsidRDefault="000B3F8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Rapport de l’AEMF sur les fonds monétaires (2023)</w:t>
        </w:r>
      </w:hyperlink>
      <w:r>
        <w:rPr>
          <w:rFonts w:ascii="Times New Roman" w:hAnsi="Times New Roman"/>
        </w:rPr>
        <w:t xml:space="preserve"> et Crane Data</w:t>
      </w:r>
    </w:p>
  </w:footnote>
  <w:footnote w:id="9">
    <w:p w14:paraId="328D108A" w14:textId="6640BF37" w:rsidR="0023079D" w:rsidRPr="00AD36DF" w:rsidRDefault="0023079D" w:rsidP="00254822">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les fonds monétaires investissent dans des instruments à court terme,</w:t>
      </w:r>
      <w:r>
        <w:rPr>
          <w:rFonts w:ascii="Times New Roman" w:hAnsi="Times New Roman"/>
          <w:b/>
        </w:rPr>
        <w:t xml:space="preserve"> </w:t>
      </w:r>
      <w:r>
        <w:rPr>
          <w:rFonts w:ascii="Times New Roman" w:hAnsi="Times New Roman"/>
        </w:rPr>
        <w:t>tels que</w:t>
      </w:r>
      <w:r>
        <w:rPr>
          <w:rStyle w:val="Strong"/>
          <w:rFonts w:ascii="Times New Roman" w:hAnsi="Times New Roman"/>
          <w:b w:val="0"/>
        </w:rPr>
        <w:t xml:space="preserve"> les billets de trésorerie, les certificats de dépôt et les bons du Trésor,</w:t>
      </w:r>
      <w:r>
        <w:rPr>
          <w:rFonts w:ascii="Times New Roman" w:hAnsi="Times New Roman"/>
        </w:rPr>
        <w:t xml:space="preserve"> afin d’offrir aux investisseurs des rendements liquides et à faible risque.</w:t>
      </w:r>
    </w:p>
  </w:footnote>
  <w:footnote w:id="10">
    <w:p w14:paraId="1E17C290" w14:textId="5CF48E00" w:rsidR="00F50113" w:rsidRPr="00AD36DF" w:rsidRDefault="00F50113" w:rsidP="000530B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Le risque de marché est proportionnel à la maturité des obligations. En raccourcissant la maturité des obligations détenues dans les portefeuilles des fonds monétaires, ces portefeuilles sont moins exposés au risque de marché lorsque les obligations sont converties en liquidités dans un délai plus court. </w:t>
      </w:r>
    </w:p>
  </w:footnote>
  <w:footnote w:id="11">
    <w:p w14:paraId="45CE41B3" w14:textId="18D90223" w:rsidR="00D17EC2" w:rsidRPr="00AD36DF" w:rsidRDefault="00D17EC2" w:rsidP="000530B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Il convient de noter que l’intervention de la banque centrale sur les marchés des billets de trésorerie a également soutenu le secteur, contribuant à empêcher de nouvelles répercussions sur les fonds monétaires sous pression.</w:t>
      </w:r>
    </w:p>
  </w:footnote>
  <w:footnote w:id="12">
    <w:p w14:paraId="2CB49844" w14:textId="00516207" w:rsidR="00C821DC" w:rsidRPr="00AD36DF" w:rsidRDefault="00C821DC" w:rsidP="000530B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Il s’agit d’une hypothèse prudente, puisque, dans la pratique, les fonds monétaires peuvent laisser le niveau de DLA descendre temporairement en dessous du minimum réglementaire afin d’honorer les demandes de rachat et qu’ils peuvent également vendre des actifs ou se servir de flux entrants de liquidités.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88DD7" w14:textId="77777777" w:rsidR="00044DD8" w:rsidRPr="00044DD8" w:rsidRDefault="00044DD8" w:rsidP="00044DD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1385" w14:textId="77777777" w:rsidR="00044DD8" w:rsidRPr="00044DD8" w:rsidRDefault="00044DD8" w:rsidP="00044DD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83C3" w14:textId="77777777" w:rsidR="00044DD8" w:rsidRPr="00044DD8" w:rsidRDefault="00044DD8" w:rsidP="00044DD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9724B" w14:textId="77777777" w:rsidR="00522175" w:rsidRPr="00280E34" w:rsidRDefault="005221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08AA8" w14:textId="06B5E5E8" w:rsidR="00522175" w:rsidRPr="00B73F5D" w:rsidRDefault="00522175" w:rsidP="00B73F5D">
    <w:pPr>
      <w:pStyle w:val="Header"/>
      <w:rPr>
        <w:lang w:val="fr-B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764A" w14:textId="77777777" w:rsidR="00522175" w:rsidRPr="00280E34" w:rsidRDefault="0052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31D1"/>
    <w:multiLevelType w:val="multilevel"/>
    <w:tmpl w:val="60A02E8A"/>
    <w:lvl w:ilvl="0">
      <w:start w:val="1"/>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792" w:hanging="432"/>
      </w:pPr>
      <w:rPr>
        <w:b/>
        <w:color w:val="000000" w:themeColor="text1"/>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EE0522"/>
    <w:multiLevelType w:val="hybridMultilevel"/>
    <w:tmpl w:val="512EBB68"/>
    <w:lvl w:ilvl="0" w:tplc="3DCC4CDE">
      <w:start w:val="1"/>
      <w:numFmt w:val="bullet"/>
      <w:lvlText w:val=""/>
      <w:lvlJc w:val="left"/>
      <w:pPr>
        <w:ind w:left="720" w:hanging="360"/>
      </w:pPr>
      <w:rPr>
        <w:rFonts w:ascii="Symbol" w:hAnsi="Symbol"/>
      </w:rPr>
    </w:lvl>
    <w:lvl w:ilvl="1" w:tplc="4A563AA8">
      <w:start w:val="1"/>
      <w:numFmt w:val="bullet"/>
      <w:lvlText w:val=""/>
      <w:lvlJc w:val="left"/>
      <w:pPr>
        <w:ind w:left="720" w:hanging="360"/>
      </w:pPr>
      <w:rPr>
        <w:rFonts w:ascii="Symbol" w:hAnsi="Symbol"/>
      </w:rPr>
    </w:lvl>
    <w:lvl w:ilvl="2" w:tplc="B3C4FB42">
      <w:start w:val="1"/>
      <w:numFmt w:val="bullet"/>
      <w:lvlText w:val=""/>
      <w:lvlJc w:val="left"/>
      <w:pPr>
        <w:ind w:left="720" w:hanging="360"/>
      </w:pPr>
      <w:rPr>
        <w:rFonts w:ascii="Symbol" w:hAnsi="Symbol"/>
      </w:rPr>
    </w:lvl>
    <w:lvl w:ilvl="3" w:tplc="AC9A0952">
      <w:start w:val="1"/>
      <w:numFmt w:val="bullet"/>
      <w:lvlText w:val=""/>
      <w:lvlJc w:val="left"/>
      <w:pPr>
        <w:ind w:left="720" w:hanging="360"/>
      </w:pPr>
      <w:rPr>
        <w:rFonts w:ascii="Symbol" w:hAnsi="Symbol"/>
      </w:rPr>
    </w:lvl>
    <w:lvl w:ilvl="4" w:tplc="ECCA9134">
      <w:start w:val="1"/>
      <w:numFmt w:val="bullet"/>
      <w:lvlText w:val=""/>
      <w:lvlJc w:val="left"/>
      <w:pPr>
        <w:ind w:left="720" w:hanging="360"/>
      </w:pPr>
      <w:rPr>
        <w:rFonts w:ascii="Symbol" w:hAnsi="Symbol"/>
      </w:rPr>
    </w:lvl>
    <w:lvl w:ilvl="5" w:tplc="25C8B9B2">
      <w:start w:val="1"/>
      <w:numFmt w:val="bullet"/>
      <w:lvlText w:val=""/>
      <w:lvlJc w:val="left"/>
      <w:pPr>
        <w:ind w:left="720" w:hanging="360"/>
      </w:pPr>
      <w:rPr>
        <w:rFonts w:ascii="Symbol" w:hAnsi="Symbol"/>
      </w:rPr>
    </w:lvl>
    <w:lvl w:ilvl="6" w:tplc="91FAC7F0">
      <w:start w:val="1"/>
      <w:numFmt w:val="bullet"/>
      <w:lvlText w:val=""/>
      <w:lvlJc w:val="left"/>
      <w:pPr>
        <w:ind w:left="720" w:hanging="360"/>
      </w:pPr>
      <w:rPr>
        <w:rFonts w:ascii="Symbol" w:hAnsi="Symbol"/>
      </w:rPr>
    </w:lvl>
    <w:lvl w:ilvl="7" w:tplc="E32A6146">
      <w:start w:val="1"/>
      <w:numFmt w:val="bullet"/>
      <w:lvlText w:val=""/>
      <w:lvlJc w:val="left"/>
      <w:pPr>
        <w:ind w:left="720" w:hanging="360"/>
      </w:pPr>
      <w:rPr>
        <w:rFonts w:ascii="Symbol" w:hAnsi="Symbol"/>
      </w:rPr>
    </w:lvl>
    <w:lvl w:ilvl="8" w:tplc="0E345E46">
      <w:start w:val="1"/>
      <w:numFmt w:val="bullet"/>
      <w:lvlText w:val=""/>
      <w:lvlJc w:val="left"/>
      <w:pPr>
        <w:ind w:left="720" w:hanging="360"/>
      </w:pPr>
      <w:rPr>
        <w:rFonts w:ascii="Symbol" w:hAnsi="Symbol"/>
      </w:rPr>
    </w:lvl>
  </w:abstractNum>
  <w:abstractNum w:abstractNumId="2" w15:restartNumberingAfterBreak="0">
    <w:nsid w:val="0FE31E74"/>
    <w:multiLevelType w:val="multilevel"/>
    <w:tmpl w:val="60A02E8A"/>
    <w:lvl w:ilvl="0">
      <w:start w:val="1"/>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792" w:hanging="432"/>
      </w:pPr>
      <w:rPr>
        <w:b/>
        <w:color w:val="000000" w:themeColor="text1"/>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DF36C7"/>
    <w:multiLevelType w:val="hybridMultilevel"/>
    <w:tmpl w:val="CE82F83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6E6ECF6"/>
    <w:multiLevelType w:val="hybridMultilevel"/>
    <w:tmpl w:val="4E7E91C4"/>
    <w:lvl w:ilvl="0" w:tplc="8A2C51CA">
      <w:start w:val="1"/>
      <w:numFmt w:val="bullet"/>
      <w:lvlText w:val=""/>
      <w:lvlJc w:val="left"/>
      <w:pPr>
        <w:ind w:left="720" w:hanging="360"/>
      </w:pPr>
      <w:rPr>
        <w:rFonts w:ascii="Symbol" w:hAnsi="Symbol" w:hint="default"/>
      </w:rPr>
    </w:lvl>
    <w:lvl w:ilvl="1" w:tplc="3D902566">
      <w:start w:val="1"/>
      <w:numFmt w:val="bullet"/>
      <w:lvlText w:val="o"/>
      <w:lvlJc w:val="left"/>
      <w:pPr>
        <w:ind w:left="1440" w:hanging="360"/>
      </w:pPr>
      <w:rPr>
        <w:rFonts w:ascii="Courier New" w:hAnsi="Courier New" w:hint="default"/>
      </w:rPr>
    </w:lvl>
    <w:lvl w:ilvl="2" w:tplc="05362FB0">
      <w:start w:val="1"/>
      <w:numFmt w:val="bullet"/>
      <w:lvlText w:val=""/>
      <w:lvlJc w:val="left"/>
      <w:pPr>
        <w:ind w:left="2160" w:hanging="360"/>
      </w:pPr>
      <w:rPr>
        <w:rFonts w:ascii="Wingdings" w:hAnsi="Wingdings" w:hint="default"/>
      </w:rPr>
    </w:lvl>
    <w:lvl w:ilvl="3" w:tplc="BFF47558">
      <w:start w:val="1"/>
      <w:numFmt w:val="bullet"/>
      <w:lvlText w:val=""/>
      <w:lvlJc w:val="left"/>
      <w:pPr>
        <w:ind w:left="2880" w:hanging="360"/>
      </w:pPr>
      <w:rPr>
        <w:rFonts w:ascii="Symbol" w:hAnsi="Symbol" w:hint="default"/>
      </w:rPr>
    </w:lvl>
    <w:lvl w:ilvl="4" w:tplc="364C5DFC">
      <w:start w:val="1"/>
      <w:numFmt w:val="bullet"/>
      <w:lvlText w:val="o"/>
      <w:lvlJc w:val="left"/>
      <w:pPr>
        <w:ind w:left="3600" w:hanging="360"/>
      </w:pPr>
      <w:rPr>
        <w:rFonts w:ascii="Courier New" w:hAnsi="Courier New" w:hint="default"/>
      </w:rPr>
    </w:lvl>
    <w:lvl w:ilvl="5" w:tplc="F710D614">
      <w:start w:val="1"/>
      <w:numFmt w:val="bullet"/>
      <w:lvlText w:val=""/>
      <w:lvlJc w:val="left"/>
      <w:pPr>
        <w:ind w:left="4320" w:hanging="360"/>
      </w:pPr>
      <w:rPr>
        <w:rFonts w:ascii="Wingdings" w:hAnsi="Wingdings" w:hint="default"/>
      </w:rPr>
    </w:lvl>
    <w:lvl w:ilvl="6" w:tplc="43E4D6B4">
      <w:start w:val="1"/>
      <w:numFmt w:val="bullet"/>
      <w:lvlText w:val=""/>
      <w:lvlJc w:val="left"/>
      <w:pPr>
        <w:ind w:left="5040" w:hanging="360"/>
      </w:pPr>
      <w:rPr>
        <w:rFonts w:ascii="Symbol" w:hAnsi="Symbol" w:hint="default"/>
      </w:rPr>
    </w:lvl>
    <w:lvl w:ilvl="7" w:tplc="673E4608">
      <w:start w:val="1"/>
      <w:numFmt w:val="bullet"/>
      <w:lvlText w:val="o"/>
      <w:lvlJc w:val="left"/>
      <w:pPr>
        <w:ind w:left="5760" w:hanging="360"/>
      </w:pPr>
      <w:rPr>
        <w:rFonts w:ascii="Courier New" w:hAnsi="Courier New" w:hint="default"/>
      </w:rPr>
    </w:lvl>
    <w:lvl w:ilvl="8" w:tplc="ED881B04">
      <w:start w:val="1"/>
      <w:numFmt w:val="bullet"/>
      <w:lvlText w:val=""/>
      <w:lvlJc w:val="left"/>
      <w:pPr>
        <w:ind w:left="6480" w:hanging="360"/>
      </w:pPr>
      <w:rPr>
        <w:rFonts w:ascii="Wingdings" w:hAnsi="Wingdings" w:hint="default"/>
      </w:rPr>
    </w:lvl>
  </w:abstractNum>
  <w:abstractNum w:abstractNumId="5" w15:restartNumberingAfterBreak="0">
    <w:nsid w:val="18B91D60"/>
    <w:multiLevelType w:val="multilevel"/>
    <w:tmpl w:val="82A68E3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1996" w:hanging="720"/>
      </w:pPr>
      <w:rPr>
        <w:rFonts w:hint="default"/>
        <w:b/>
        <w:bCs/>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1A84C8C5"/>
    <w:multiLevelType w:val="hybridMultilevel"/>
    <w:tmpl w:val="E118D6A4"/>
    <w:lvl w:ilvl="0" w:tplc="05AA979C">
      <w:start w:val="1"/>
      <w:numFmt w:val="bullet"/>
      <w:lvlText w:val=""/>
      <w:lvlJc w:val="left"/>
      <w:pPr>
        <w:ind w:left="720" w:hanging="360"/>
      </w:pPr>
      <w:rPr>
        <w:rFonts w:ascii="Wingdings" w:hAnsi="Wingdings" w:hint="default"/>
      </w:rPr>
    </w:lvl>
    <w:lvl w:ilvl="1" w:tplc="CDE44892">
      <w:start w:val="1"/>
      <w:numFmt w:val="bullet"/>
      <w:lvlText w:val="o"/>
      <w:lvlJc w:val="left"/>
      <w:pPr>
        <w:ind w:left="1440" w:hanging="360"/>
      </w:pPr>
      <w:rPr>
        <w:rFonts w:ascii="Courier New" w:hAnsi="Courier New" w:hint="default"/>
      </w:rPr>
    </w:lvl>
    <w:lvl w:ilvl="2" w:tplc="6F50EE60">
      <w:start w:val="1"/>
      <w:numFmt w:val="bullet"/>
      <w:lvlText w:val=""/>
      <w:lvlJc w:val="left"/>
      <w:pPr>
        <w:ind w:left="2160" w:hanging="360"/>
      </w:pPr>
      <w:rPr>
        <w:rFonts w:ascii="Wingdings" w:hAnsi="Wingdings" w:hint="default"/>
      </w:rPr>
    </w:lvl>
    <w:lvl w:ilvl="3" w:tplc="714831B0">
      <w:start w:val="1"/>
      <w:numFmt w:val="bullet"/>
      <w:lvlText w:val=""/>
      <w:lvlJc w:val="left"/>
      <w:pPr>
        <w:ind w:left="2880" w:hanging="360"/>
      </w:pPr>
      <w:rPr>
        <w:rFonts w:ascii="Symbol" w:hAnsi="Symbol" w:hint="default"/>
      </w:rPr>
    </w:lvl>
    <w:lvl w:ilvl="4" w:tplc="A3D25F50">
      <w:start w:val="1"/>
      <w:numFmt w:val="bullet"/>
      <w:lvlText w:val="o"/>
      <w:lvlJc w:val="left"/>
      <w:pPr>
        <w:ind w:left="3600" w:hanging="360"/>
      </w:pPr>
      <w:rPr>
        <w:rFonts w:ascii="Courier New" w:hAnsi="Courier New" w:hint="default"/>
      </w:rPr>
    </w:lvl>
    <w:lvl w:ilvl="5" w:tplc="19461546">
      <w:start w:val="1"/>
      <w:numFmt w:val="bullet"/>
      <w:lvlText w:val=""/>
      <w:lvlJc w:val="left"/>
      <w:pPr>
        <w:ind w:left="4320" w:hanging="360"/>
      </w:pPr>
      <w:rPr>
        <w:rFonts w:ascii="Wingdings" w:hAnsi="Wingdings" w:hint="default"/>
      </w:rPr>
    </w:lvl>
    <w:lvl w:ilvl="6" w:tplc="A3EAFAC4">
      <w:start w:val="1"/>
      <w:numFmt w:val="bullet"/>
      <w:lvlText w:val=""/>
      <w:lvlJc w:val="left"/>
      <w:pPr>
        <w:ind w:left="5040" w:hanging="360"/>
      </w:pPr>
      <w:rPr>
        <w:rFonts w:ascii="Symbol" w:hAnsi="Symbol" w:hint="default"/>
      </w:rPr>
    </w:lvl>
    <w:lvl w:ilvl="7" w:tplc="F4DAF454">
      <w:start w:val="1"/>
      <w:numFmt w:val="bullet"/>
      <w:lvlText w:val="o"/>
      <w:lvlJc w:val="left"/>
      <w:pPr>
        <w:ind w:left="5760" w:hanging="360"/>
      </w:pPr>
      <w:rPr>
        <w:rFonts w:ascii="Courier New" w:hAnsi="Courier New" w:hint="default"/>
      </w:rPr>
    </w:lvl>
    <w:lvl w:ilvl="8" w:tplc="C96A7F0C">
      <w:start w:val="1"/>
      <w:numFmt w:val="bullet"/>
      <w:lvlText w:val=""/>
      <w:lvlJc w:val="left"/>
      <w:pPr>
        <w:ind w:left="6480" w:hanging="360"/>
      </w:pPr>
      <w:rPr>
        <w:rFonts w:ascii="Wingdings" w:hAnsi="Wingdings" w:hint="default"/>
      </w:rPr>
    </w:lvl>
  </w:abstractNum>
  <w:abstractNum w:abstractNumId="7" w15:restartNumberingAfterBreak="0">
    <w:nsid w:val="251666BD"/>
    <w:multiLevelType w:val="hybridMultilevel"/>
    <w:tmpl w:val="924E671A"/>
    <w:lvl w:ilvl="0" w:tplc="FD8CA968">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EFB1184"/>
    <w:multiLevelType w:val="hybridMultilevel"/>
    <w:tmpl w:val="6332D1AA"/>
    <w:lvl w:ilvl="0" w:tplc="302A085E">
      <w:start w:val="1"/>
      <w:numFmt w:val="decimal"/>
      <w:lvlText w:val="%1."/>
      <w:lvlJc w:val="left"/>
      <w:pPr>
        <w:ind w:left="720" w:hanging="360"/>
      </w:pPr>
      <w:rPr>
        <w:rFonts w:asciiTheme="minorHAnsi" w:hAnsiTheme="minorHAnsi" w:cstheme="minorBidi"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2BF780A"/>
    <w:multiLevelType w:val="hybridMultilevel"/>
    <w:tmpl w:val="3E024CE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6325A47"/>
    <w:multiLevelType w:val="hybridMultilevel"/>
    <w:tmpl w:val="2E6418DA"/>
    <w:lvl w:ilvl="0" w:tplc="313083BC">
      <w:start w:val="1"/>
      <w:numFmt w:val="lowerLetter"/>
      <w:pStyle w:val="04aNumeration"/>
      <w:lvlText w:val="%1)"/>
      <w:lvlJc w:val="left"/>
      <w:pPr>
        <w:ind w:left="720" w:hanging="360"/>
      </w:pPr>
      <w:rPr>
        <w:rFonts w:asciiTheme="majorHAnsi" w:hAnsiTheme="majorHAnsi" w:cstheme="maj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4CAF81"/>
    <w:multiLevelType w:val="hybridMultilevel"/>
    <w:tmpl w:val="AA283B9A"/>
    <w:lvl w:ilvl="0" w:tplc="18090001">
      <w:start w:val="1"/>
      <w:numFmt w:val="bullet"/>
      <w:lvlText w:val=""/>
      <w:lvlJc w:val="left"/>
      <w:pPr>
        <w:ind w:left="720" w:hanging="360"/>
      </w:pPr>
      <w:rPr>
        <w:rFonts w:ascii="Symbol" w:hAnsi="Symbol" w:hint="default"/>
      </w:rPr>
    </w:lvl>
    <w:lvl w:ilvl="1" w:tplc="366AE2E2">
      <w:start w:val="1"/>
      <w:numFmt w:val="lowerLetter"/>
      <w:lvlText w:val="%2."/>
      <w:lvlJc w:val="left"/>
      <w:pPr>
        <w:ind w:left="1440" w:hanging="360"/>
      </w:pPr>
    </w:lvl>
    <w:lvl w:ilvl="2" w:tplc="7BFA9734">
      <w:start w:val="1"/>
      <w:numFmt w:val="lowerRoman"/>
      <w:lvlText w:val="%3."/>
      <w:lvlJc w:val="right"/>
      <w:pPr>
        <w:ind w:left="2160" w:hanging="180"/>
      </w:pPr>
    </w:lvl>
    <w:lvl w:ilvl="3" w:tplc="3B9887EA">
      <w:start w:val="1"/>
      <w:numFmt w:val="decimal"/>
      <w:lvlText w:val="%4."/>
      <w:lvlJc w:val="left"/>
      <w:pPr>
        <w:ind w:left="2880" w:hanging="360"/>
      </w:pPr>
    </w:lvl>
    <w:lvl w:ilvl="4" w:tplc="BA9EEC20">
      <w:start w:val="1"/>
      <w:numFmt w:val="lowerLetter"/>
      <w:lvlText w:val="%5."/>
      <w:lvlJc w:val="left"/>
      <w:pPr>
        <w:ind w:left="3600" w:hanging="360"/>
      </w:pPr>
    </w:lvl>
    <w:lvl w:ilvl="5" w:tplc="2B6C4804">
      <w:start w:val="1"/>
      <w:numFmt w:val="lowerRoman"/>
      <w:lvlText w:val="%6."/>
      <w:lvlJc w:val="right"/>
      <w:pPr>
        <w:ind w:left="4320" w:hanging="180"/>
      </w:pPr>
    </w:lvl>
    <w:lvl w:ilvl="6" w:tplc="589A98E8">
      <w:start w:val="1"/>
      <w:numFmt w:val="decimal"/>
      <w:lvlText w:val="%7."/>
      <w:lvlJc w:val="left"/>
      <w:pPr>
        <w:ind w:left="5040" w:hanging="360"/>
      </w:pPr>
    </w:lvl>
    <w:lvl w:ilvl="7" w:tplc="7CCC2684">
      <w:start w:val="1"/>
      <w:numFmt w:val="lowerLetter"/>
      <w:lvlText w:val="%8."/>
      <w:lvlJc w:val="left"/>
      <w:pPr>
        <w:ind w:left="5760" w:hanging="360"/>
      </w:pPr>
    </w:lvl>
    <w:lvl w:ilvl="8" w:tplc="1B24B4D4">
      <w:start w:val="1"/>
      <w:numFmt w:val="lowerRoman"/>
      <w:lvlText w:val="%9."/>
      <w:lvlJc w:val="right"/>
      <w:pPr>
        <w:ind w:left="6480" w:hanging="180"/>
      </w:pPr>
    </w:lvl>
  </w:abstractNum>
  <w:abstractNum w:abstractNumId="12" w15:restartNumberingAfterBreak="0">
    <w:nsid w:val="3CC87D05"/>
    <w:multiLevelType w:val="multilevel"/>
    <w:tmpl w:val="60A02E8A"/>
    <w:lvl w:ilvl="0">
      <w:start w:val="1"/>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792" w:hanging="432"/>
      </w:pPr>
      <w:rPr>
        <w:b/>
        <w:color w:val="000000" w:themeColor="text1"/>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3137D78"/>
    <w:multiLevelType w:val="hybridMultilevel"/>
    <w:tmpl w:val="EFE60BC0"/>
    <w:lvl w:ilvl="0" w:tplc="80326F3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566879E"/>
    <w:multiLevelType w:val="hybridMultilevel"/>
    <w:tmpl w:val="99E2DA36"/>
    <w:lvl w:ilvl="0" w:tplc="EA88E964">
      <w:start w:val="1"/>
      <w:numFmt w:val="bullet"/>
      <w:lvlText w:val=""/>
      <w:lvlJc w:val="left"/>
      <w:pPr>
        <w:ind w:left="720" w:hanging="360"/>
      </w:pPr>
      <w:rPr>
        <w:rFonts w:ascii="Wingdings" w:hAnsi="Wingdings" w:hint="default"/>
      </w:rPr>
    </w:lvl>
    <w:lvl w:ilvl="1" w:tplc="54BC3284">
      <w:start w:val="1"/>
      <w:numFmt w:val="bullet"/>
      <w:lvlText w:val="o"/>
      <w:lvlJc w:val="left"/>
      <w:pPr>
        <w:ind w:left="1440" w:hanging="360"/>
      </w:pPr>
      <w:rPr>
        <w:rFonts w:ascii="Courier New" w:hAnsi="Courier New" w:hint="default"/>
      </w:rPr>
    </w:lvl>
    <w:lvl w:ilvl="2" w:tplc="5AD627BA">
      <w:start w:val="1"/>
      <w:numFmt w:val="bullet"/>
      <w:lvlText w:val=""/>
      <w:lvlJc w:val="left"/>
      <w:pPr>
        <w:ind w:left="2160" w:hanging="360"/>
      </w:pPr>
      <w:rPr>
        <w:rFonts w:ascii="Wingdings" w:hAnsi="Wingdings" w:hint="default"/>
      </w:rPr>
    </w:lvl>
    <w:lvl w:ilvl="3" w:tplc="7924CF3C">
      <w:start w:val="1"/>
      <w:numFmt w:val="bullet"/>
      <w:lvlText w:val=""/>
      <w:lvlJc w:val="left"/>
      <w:pPr>
        <w:ind w:left="2880" w:hanging="360"/>
      </w:pPr>
      <w:rPr>
        <w:rFonts w:ascii="Symbol" w:hAnsi="Symbol" w:hint="default"/>
      </w:rPr>
    </w:lvl>
    <w:lvl w:ilvl="4" w:tplc="DFBCCFC0">
      <w:start w:val="1"/>
      <w:numFmt w:val="bullet"/>
      <w:lvlText w:val="o"/>
      <w:lvlJc w:val="left"/>
      <w:pPr>
        <w:ind w:left="3600" w:hanging="360"/>
      </w:pPr>
      <w:rPr>
        <w:rFonts w:ascii="Courier New" w:hAnsi="Courier New" w:hint="default"/>
      </w:rPr>
    </w:lvl>
    <w:lvl w:ilvl="5" w:tplc="720A630C">
      <w:start w:val="1"/>
      <w:numFmt w:val="bullet"/>
      <w:lvlText w:val=""/>
      <w:lvlJc w:val="left"/>
      <w:pPr>
        <w:ind w:left="4320" w:hanging="360"/>
      </w:pPr>
      <w:rPr>
        <w:rFonts w:ascii="Wingdings" w:hAnsi="Wingdings" w:hint="default"/>
      </w:rPr>
    </w:lvl>
    <w:lvl w:ilvl="6" w:tplc="35FA36DE">
      <w:start w:val="1"/>
      <w:numFmt w:val="bullet"/>
      <w:lvlText w:val=""/>
      <w:lvlJc w:val="left"/>
      <w:pPr>
        <w:ind w:left="5040" w:hanging="360"/>
      </w:pPr>
      <w:rPr>
        <w:rFonts w:ascii="Symbol" w:hAnsi="Symbol" w:hint="default"/>
      </w:rPr>
    </w:lvl>
    <w:lvl w:ilvl="7" w:tplc="385EE9EC">
      <w:start w:val="1"/>
      <w:numFmt w:val="bullet"/>
      <w:lvlText w:val="o"/>
      <w:lvlJc w:val="left"/>
      <w:pPr>
        <w:ind w:left="5760" w:hanging="360"/>
      </w:pPr>
      <w:rPr>
        <w:rFonts w:ascii="Courier New" w:hAnsi="Courier New" w:hint="default"/>
      </w:rPr>
    </w:lvl>
    <w:lvl w:ilvl="8" w:tplc="BAAABFBE">
      <w:start w:val="1"/>
      <w:numFmt w:val="bullet"/>
      <w:lvlText w:val=""/>
      <w:lvlJc w:val="left"/>
      <w:pPr>
        <w:ind w:left="6480" w:hanging="360"/>
      </w:pPr>
      <w:rPr>
        <w:rFonts w:ascii="Wingdings" w:hAnsi="Wingdings" w:hint="default"/>
      </w:rPr>
    </w:lvl>
  </w:abstractNum>
  <w:abstractNum w:abstractNumId="15" w15:restartNumberingAfterBreak="0">
    <w:nsid w:val="49300AD6"/>
    <w:multiLevelType w:val="hybridMultilevel"/>
    <w:tmpl w:val="12303F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4C337731"/>
    <w:multiLevelType w:val="hybridMultilevel"/>
    <w:tmpl w:val="EE32B096"/>
    <w:lvl w:ilvl="0" w:tplc="18090011">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F967777"/>
    <w:multiLevelType w:val="hybridMultilevel"/>
    <w:tmpl w:val="F37C68DE"/>
    <w:lvl w:ilvl="0" w:tplc="C5968008">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3B763FD"/>
    <w:multiLevelType w:val="hybridMultilevel"/>
    <w:tmpl w:val="CC567B0E"/>
    <w:lvl w:ilvl="0" w:tplc="45A6421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43713CE"/>
    <w:multiLevelType w:val="hybridMultilevel"/>
    <w:tmpl w:val="5066A87C"/>
    <w:lvl w:ilvl="0" w:tplc="1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9CD598C"/>
    <w:multiLevelType w:val="hybridMultilevel"/>
    <w:tmpl w:val="8F94AA2E"/>
    <w:lvl w:ilvl="0" w:tplc="18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D560742"/>
    <w:multiLevelType w:val="hybridMultilevel"/>
    <w:tmpl w:val="BD224DB8"/>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60626B90"/>
    <w:multiLevelType w:val="hybridMultilevel"/>
    <w:tmpl w:val="5B320D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49207B1"/>
    <w:multiLevelType w:val="hybridMultilevel"/>
    <w:tmpl w:val="41166188"/>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6DB930A1"/>
    <w:multiLevelType w:val="hybridMultilevel"/>
    <w:tmpl w:val="8B0EF826"/>
    <w:lvl w:ilvl="0" w:tplc="1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00B3604"/>
    <w:multiLevelType w:val="hybridMultilevel"/>
    <w:tmpl w:val="911690D6"/>
    <w:lvl w:ilvl="0" w:tplc="25569982">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18B2FA1"/>
    <w:multiLevelType w:val="multilevel"/>
    <w:tmpl w:val="60A02E8A"/>
    <w:lvl w:ilvl="0">
      <w:start w:val="1"/>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792" w:hanging="432"/>
      </w:pPr>
      <w:rPr>
        <w:b/>
        <w:color w:val="000000" w:themeColor="text1"/>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46F0B41"/>
    <w:multiLevelType w:val="hybridMultilevel"/>
    <w:tmpl w:val="D7242530"/>
    <w:lvl w:ilvl="0" w:tplc="C5968008">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E1E159A"/>
    <w:multiLevelType w:val="hybridMultilevel"/>
    <w:tmpl w:val="D7A8035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F693A1A"/>
    <w:multiLevelType w:val="hybridMultilevel"/>
    <w:tmpl w:val="400A25B8"/>
    <w:lvl w:ilvl="0" w:tplc="C5968008">
      <w:start w:val="1"/>
      <w:numFmt w:val="bullet"/>
      <w:lvlText w:val="-"/>
      <w:lvlJc w:val="left"/>
      <w:pPr>
        <w:ind w:left="1440" w:hanging="360"/>
      </w:pPr>
      <w:rPr>
        <w:rFonts w:ascii="Times New Roman" w:eastAsia="Times New Roman" w:hAnsi="Times New Roman" w:cs="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1363627372">
    <w:abstractNumId w:val="11"/>
  </w:num>
  <w:num w:numId="2" w16cid:durableId="1630936591">
    <w:abstractNumId w:val="10"/>
  </w:num>
  <w:num w:numId="3" w16cid:durableId="1982687711">
    <w:abstractNumId w:val="0"/>
  </w:num>
  <w:num w:numId="4" w16cid:durableId="696352353">
    <w:abstractNumId w:val="21"/>
  </w:num>
  <w:num w:numId="5" w16cid:durableId="1376589033">
    <w:abstractNumId w:val="22"/>
  </w:num>
  <w:num w:numId="6" w16cid:durableId="664823778">
    <w:abstractNumId w:val="25"/>
  </w:num>
  <w:num w:numId="7" w16cid:durableId="252395318">
    <w:abstractNumId w:val="29"/>
  </w:num>
  <w:num w:numId="8" w16cid:durableId="1273829505">
    <w:abstractNumId w:val="2"/>
  </w:num>
  <w:num w:numId="9" w16cid:durableId="697243032">
    <w:abstractNumId w:val="13"/>
  </w:num>
  <w:num w:numId="10" w16cid:durableId="1173567209">
    <w:abstractNumId w:val="7"/>
  </w:num>
  <w:num w:numId="11" w16cid:durableId="2104762357">
    <w:abstractNumId w:val="12"/>
  </w:num>
  <w:num w:numId="12" w16cid:durableId="409430193">
    <w:abstractNumId w:val="26"/>
  </w:num>
  <w:num w:numId="13" w16cid:durableId="1005285243">
    <w:abstractNumId w:val="5"/>
  </w:num>
  <w:num w:numId="14" w16cid:durableId="1994289258">
    <w:abstractNumId w:val="5"/>
  </w:num>
  <w:num w:numId="15" w16cid:durableId="1267155123">
    <w:abstractNumId w:val="5"/>
  </w:num>
  <w:num w:numId="16" w16cid:durableId="93017324">
    <w:abstractNumId w:val="5"/>
  </w:num>
  <w:num w:numId="17" w16cid:durableId="255603610">
    <w:abstractNumId w:val="5"/>
  </w:num>
  <w:num w:numId="18" w16cid:durableId="1734087019">
    <w:abstractNumId w:val="5"/>
  </w:num>
  <w:num w:numId="19" w16cid:durableId="1528908624">
    <w:abstractNumId w:val="5"/>
  </w:num>
  <w:num w:numId="20" w16cid:durableId="2098674836">
    <w:abstractNumId w:val="5"/>
  </w:num>
  <w:num w:numId="21" w16cid:durableId="696588700">
    <w:abstractNumId w:val="5"/>
  </w:num>
  <w:num w:numId="22" w16cid:durableId="644429554">
    <w:abstractNumId w:val="5"/>
  </w:num>
  <w:num w:numId="23" w16cid:durableId="166403183">
    <w:abstractNumId w:val="5"/>
  </w:num>
  <w:num w:numId="24" w16cid:durableId="308288982">
    <w:abstractNumId w:val="5"/>
  </w:num>
  <w:num w:numId="25" w16cid:durableId="1579052167">
    <w:abstractNumId w:val="5"/>
  </w:num>
  <w:num w:numId="26" w16cid:durableId="2030981686">
    <w:abstractNumId w:val="5"/>
  </w:num>
  <w:num w:numId="27" w16cid:durableId="1399471559">
    <w:abstractNumId w:val="5"/>
  </w:num>
  <w:num w:numId="28" w16cid:durableId="1005086249">
    <w:abstractNumId w:val="5"/>
  </w:num>
  <w:num w:numId="29" w16cid:durableId="1536314180">
    <w:abstractNumId w:val="5"/>
  </w:num>
  <w:num w:numId="30" w16cid:durableId="2109231456">
    <w:abstractNumId w:val="5"/>
  </w:num>
  <w:num w:numId="31" w16cid:durableId="1799565368">
    <w:abstractNumId w:val="5"/>
  </w:num>
  <w:num w:numId="32" w16cid:durableId="1386567766">
    <w:abstractNumId w:val="5"/>
  </w:num>
  <w:num w:numId="33" w16cid:durableId="1667898406">
    <w:abstractNumId w:val="5"/>
  </w:num>
  <w:num w:numId="34" w16cid:durableId="1019085380">
    <w:abstractNumId w:val="5"/>
  </w:num>
  <w:num w:numId="35" w16cid:durableId="86384886">
    <w:abstractNumId w:val="5"/>
  </w:num>
  <w:num w:numId="36" w16cid:durableId="1510947952">
    <w:abstractNumId w:val="8"/>
  </w:num>
  <w:num w:numId="37" w16cid:durableId="28841560">
    <w:abstractNumId w:val="5"/>
  </w:num>
  <w:num w:numId="38" w16cid:durableId="1907691104">
    <w:abstractNumId w:val="27"/>
  </w:num>
  <w:num w:numId="39" w16cid:durableId="232737982">
    <w:abstractNumId w:val="17"/>
  </w:num>
  <w:num w:numId="40" w16cid:durableId="1016423346">
    <w:abstractNumId w:val="28"/>
  </w:num>
  <w:num w:numId="41" w16cid:durableId="185366010">
    <w:abstractNumId w:val="5"/>
  </w:num>
  <w:num w:numId="42" w16cid:durableId="1110736386">
    <w:abstractNumId w:val="9"/>
  </w:num>
  <w:num w:numId="43" w16cid:durableId="245725872">
    <w:abstractNumId w:val="5"/>
  </w:num>
  <w:num w:numId="44" w16cid:durableId="392823285">
    <w:abstractNumId w:val="3"/>
  </w:num>
  <w:num w:numId="45" w16cid:durableId="69160022">
    <w:abstractNumId w:val="5"/>
  </w:num>
  <w:num w:numId="46" w16cid:durableId="1969779899">
    <w:abstractNumId w:val="23"/>
  </w:num>
  <w:num w:numId="47" w16cid:durableId="993412800">
    <w:abstractNumId w:val="5"/>
  </w:num>
  <w:num w:numId="48" w16cid:durableId="1362240745">
    <w:abstractNumId w:val="5"/>
  </w:num>
  <w:num w:numId="49" w16cid:durableId="248931662">
    <w:abstractNumId w:val="15"/>
  </w:num>
  <w:num w:numId="50" w16cid:durableId="1141192084">
    <w:abstractNumId w:val="5"/>
  </w:num>
  <w:num w:numId="51" w16cid:durableId="1756393982">
    <w:abstractNumId w:val="5"/>
  </w:num>
  <w:num w:numId="52" w16cid:durableId="1171405798">
    <w:abstractNumId w:val="5"/>
  </w:num>
  <w:num w:numId="53" w16cid:durableId="1009792339">
    <w:abstractNumId w:val="5"/>
  </w:num>
  <w:num w:numId="54" w16cid:durableId="85999836">
    <w:abstractNumId w:val="24"/>
  </w:num>
  <w:num w:numId="55" w16cid:durableId="1883008013">
    <w:abstractNumId w:val="6"/>
  </w:num>
  <w:num w:numId="56" w16cid:durableId="1981954462">
    <w:abstractNumId w:val="14"/>
  </w:num>
  <w:num w:numId="57" w16cid:durableId="705564055">
    <w:abstractNumId w:val="4"/>
  </w:num>
  <w:num w:numId="58" w16cid:durableId="1425689539">
    <w:abstractNumId w:val="20"/>
  </w:num>
  <w:num w:numId="59" w16cid:durableId="1829246949">
    <w:abstractNumId w:val="16"/>
  </w:num>
  <w:num w:numId="60" w16cid:durableId="1538935275">
    <w:abstractNumId w:val="5"/>
  </w:num>
  <w:num w:numId="61" w16cid:durableId="1516382051">
    <w:abstractNumId w:val="5"/>
  </w:num>
  <w:num w:numId="62" w16cid:durableId="957565120">
    <w:abstractNumId w:val="5"/>
  </w:num>
  <w:num w:numId="63" w16cid:durableId="437529878">
    <w:abstractNumId w:val="5"/>
  </w:num>
  <w:num w:numId="64" w16cid:durableId="1410535993">
    <w:abstractNumId w:val="5"/>
  </w:num>
  <w:num w:numId="65" w16cid:durableId="317350231">
    <w:abstractNumId w:val="5"/>
  </w:num>
  <w:num w:numId="66" w16cid:durableId="1538276140">
    <w:abstractNumId w:val="5"/>
  </w:num>
  <w:num w:numId="67" w16cid:durableId="1057124131">
    <w:abstractNumId w:val="5"/>
  </w:num>
  <w:num w:numId="68" w16cid:durableId="1431655529">
    <w:abstractNumId w:val="5"/>
  </w:num>
  <w:num w:numId="69" w16cid:durableId="858353432">
    <w:abstractNumId w:val="5"/>
  </w:num>
  <w:num w:numId="70" w16cid:durableId="1288396467">
    <w:abstractNumId w:val="5"/>
  </w:num>
  <w:num w:numId="71" w16cid:durableId="2050181567">
    <w:abstractNumId w:val="19"/>
  </w:num>
  <w:num w:numId="72" w16cid:durableId="865097305">
    <w:abstractNumId w:val="18"/>
  </w:num>
  <w:num w:numId="73" w16cid:durableId="581837498">
    <w:abstractNumId w:val="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activeWritingStyle w:appName="MSWord" w:lang="en-GB" w:vendorID="64" w:dllVersion="0" w:nlCheck="1" w:checkStyle="0"/>
  <w:activeWritingStyle w:appName="MSWord" w:lang="fr-FR" w:vendorID="64" w:dllVersion="0" w:nlCheck="1" w:checkStyle="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DA1F4632-6266-42E9-B56C-A587BE8E4A19"/>
    <w:docVar w:name="LW_COVERPAGE_TYPE" w:val="1"/>
    <w:docVar w:name="LW_CROSSREFERENCE" w:val="&lt;UNUSED&gt;"/>
    <w:docVar w:name="LW_DocType" w:val="NORMAL"/>
    <w:docVar w:name="LW_EMISSION" w:val="11.5.2026"/>
    <w:docVar w:name="LW_EMISSION_ISODATE" w:val="2026-05-11"/>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oncernant l'adéquation, d'un point de vue prudentiel et économique, du règlement (UE) 2017/1131 du Parlement européen et du Conseil sur les fonds monétaires&lt;/FMT&gt;_x000d__x000d__x000d__x000d__x000d__x000d__x000d__x000d__x000d__x000b_"/>
    <w:docVar w:name="LW_TYPE.DOC.CP" w:val="RAPPORT DE LA COMMISSION AU PARLEMENT EUROPÉEN ET AU CONSEIL"/>
    <w:docVar w:name="LwApiVersions" w:val="LW4CoDe 1.24.5.0; LW 9.2, Build 20251112"/>
  </w:docVars>
  <w:rsids>
    <w:rsidRoot w:val="00811D7C"/>
    <w:rsid w:val="000001F7"/>
    <w:rsid w:val="000005CE"/>
    <w:rsid w:val="000006D4"/>
    <w:rsid w:val="00000A77"/>
    <w:rsid w:val="00000B1B"/>
    <w:rsid w:val="00000BCA"/>
    <w:rsid w:val="00000CBD"/>
    <w:rsid w:val="00000E3B"/>
    <w:rsid w:val="00001118"/>
    <w:rsid w:val="00001460"/>
    <w:rsid w:val="0000188D"/>
    <w:rsid w:val="00001E1B"/>
    <w:rsid w:val="00001EA7"/>
    <w:rsid w:val="00002ADC"/>
    <w:rsid w:val="00002CFF"/>
    <w:rsid w:val="00002D34"/>
    <w:rsid w:val="00002F77"/>
    <w:rsid w:val="0000358A"/>
    <w:rsid w:val="000037F0"/>
    <w:rsid w:val="0000437B"/>
    <w:rsid w:val="00004818"/>
    <w:rsid w:val="0000496E"/>
    <w:rsid w:val="00004994"/>
    <w:rsid w:val="0000505E"/>
    <w:rsid w:val="000057AE"/>
    <w:rsid w:val="00005F74"/>
    <w:rsid w:val="000060D2"/>
    <w:rsid w:val="0000689E"/>
    <w:rsid w:val="00006D85"/>
    <w:rsid w:val="00006DC3"/>
    <w:rsid w:val="00006FD7"/>
    <w:rsid w:val="000071B6"/>
    <w:rsid w:val="00007433"/>
    <w:rsid w:val="000074C0"/>
    <w:rsid w:val="00007944"/>
    <w:rsid w:val="00007E22"/>
    <w:rsid w:val="00007FDA"/>
    <w:rsid w:val="000100D1"/>
    <w:rsid w:val="00010419"/>
    <w:rsid w:val="0001043F"/>
    <w:rsid w:val="0001050E"/>
    <w:rsid w:val="0001052A"/>
    <w:rsid w:val="0001087E"/>
    <w:rsid w:val="00010B09"/>
    <w:rsid w:val="00010B86"/>
    <w:rsid w:val="000110B3"/>
    <w:rsid w:val="000112C0"/>
    <w:rsid w:val="000114CC"/>
    <w:rsid w:val="0001160F"/>
    <w:rsid w:val="00011699"/>
    <w:rsid w:val="000116D4"/>
    <w:rsid w:val="000118C2"/>
    <w:rsid w:val="00011B4A"/>
    <w:rsid w:val="0001217D"/>
    <w:rsid w:val="000123BE"/>
    <w:rsid w:val="0001260C"/>
    <w:rsid w:val="000127E9"/>
    <w:rsid w:val="00012833"/>
    <w:rsid w:val="00012975"/>
    <w:rsid w:val="00012B9A"/>
    <w:rsid w:val="00012EBD"/>
    <w:rsid w:val="00012F5F"/>
    <w:rsid w:val="000131B8"/>
    <w:rsid w:val="0001379D"/>
    <w:rsid w:val="00014382"/>
    <w:rsid w:val="000146F7"/>
    <w:rsid w:val="00014752"/>
    <w:rsid w:val="000148A7"/>
    <w:rsid w:val="00014A9F"/>
    <w:rsid w:val="00014E5E"/>
    <w:rsid w:val="000150C6"/>
    <w:rsid w:val="0001519A"/>
    <w:rsid w:val="0001537E"/>
    <w:rsid w:val="00015640"/>
    <w:rsid w:val="00015948"/>
    <w:rsid w:val="00015CA7"/>
    <w:rsid w:val="00015E68"/>
    <w:rsid w:val="00015E74"/>
    <w:rsid w:val="00016040"/>
    <w:rsid w:val="0001619E"/>
    <w:rsid w:val="000162DE"/>
    <w:rsid w:val="000163F1"/>
    <w:rsid w:val="000166E4"/>
    <w:rsid w:val="00016776"/>
    <w:rsid w:val="0001698B"/>
    <w:rsid w:val="00016A10"/>
    <w:rsid w:val="00016B89"/>
    <w:rsid w:val="00016BA3"/>
    <w:rsid w:val="00016F49"/>
    <w:rsid w:val="0001702B"/>
    <w:rsid w:val="00017057"/>
    <w:rsid w:val="000173C3"/>
    <w:rsid w:val="000176C8"/>
    <w:rsid w:val="00017883"/>
    <w:rsid w:val="00017B2D"/>
    <w:rsid w:val="00017E3B"/>
    <w:rsid w:val="0002022A"/>
    <w:rsid w:val="0002061A"/>
    <w:rsid w:val="00020879"/>
    <w:rsid w:val="00020AC8"/>
    <w:rsid w:val="00020AD2"/>
    <w:rsid w:val="00020D10"/>
    <w:rsid w:val="00020DCC"/>
    <w:rsid w:val="00021050"/>
    <w:rsid w:val="00021094"/>
    <w:rsid w:val="000210C2"/>
    <w:rsid w:val="0002148A"/>
    <w:rsid w:val="00021686"/>
    <w:rsid w:val="00021E85"/>
    <w:rsid w:val="000220AE"/>
    <w:rsid w:val="00022E96"/>
    <w:rsid w:val="00023284"/>
    <w:rsid w:val="00023530"/>
    <w:rsid w:val="000235F1"/>
    <w:rsid w:val="00023D97"/>
    <w:rsid w:val="00023F7F"/>
    <w:rsid w:val="00023FD2"/>
    <w:rsid w:val="00023FDA"/>
    <w:rsid w:val="000243A6"/>
    <w:rsid w:val="000246F2"/>
    <w:rsid w:val="00024B80"/>
    <w:rsid w:val="00024E3E"/>
    <w:rsid w:val="000259CB"/>
    <w:rsid w:val="00025C6A"/>
    <w:rsid w:val="000263FA"/>
    <w:rsid w:val="0002669E"/>
    <w:rsid w:val="00026821"/>
    <w:rsid w:val="00026D92"/>
    <w:rsid w:val="000278C5"/>
    <w:rsid w:val="000300E7"/>
    <w:rsid w:val="000302A9"/>
    <w:rsid w:val="0003058F"/>
    <w:rsid w:val="000305DE"/>
    <w:rsid w:val="00030D3C"/>
    <w:rsid w:val="00030F8E"/>
    <w:rsid w:val="0003100E"/>
    <w:rsid w:val="0003113D"/>
    <w:rsid w:val="0003145D"/>
    <w:rsid w:val="000319FE"/>
    <w:rsid w:val="00031A84"/>
    <w:rsid w:val="00031EBB"/>
    <w:rsid w:val="0003200B"/>
    <w:rsid w:val="0003203A"/>
    <w:rsid w:val="00032068"/>
    <w:rsid w:val="00032129"/>
    <w:rsid w:val="0003250D"/>
    <w:rsid w:val="00033103"/>
    <w:rsid w:val="00033703"/>
    <w:rsid w:val="00033D09"/>
    <w:rsid w:val="00034EE9"/>
    <w:rsid w:val="000353CA"/>
    <w:rsid w:val="00035402"/>
    <w:rsid w:val="00035406"/>
    <w:rsid w:val="0003567E"/>
    <w:rsid w:val="0003598B"/>
    <w:rsid w:val="00035B6B"/>
    <w:rsid w:val="00036229"/>
    <w:rsid w:val="0003665F"/>
    <w:rsid w:val="000367D3"/>
    <w:rsid w:val="00036AB0"/>
    <w:rsid w:val="00036F89"/>
    <w:rsid w:val="00037746"/>
    <w:rsid w:val="0003779E"/>
    <w:rsid w:val="0003794A"/>
    <w:rsid w:val="00037AAA"/>
    <w:rsid w:val="00037B15"/>
    <w:rsid w:val="00037C44"/>
    <w:rsid w:val="0004046E"/>
    <w:rsid w:val="000406BC"/>
    <w:rsid w:val="00040836"/>
    <w:rsid w:val="00040A71"/>
    <w:rsid w:val="00040A86"/>
    <w:rsid w:val="00040B8F"/>
    <w:rsid w:val="0004133E"/>
    <w:rsid w:val="00041582"/>
    <w:rsid w:val="00041A7B"/>
    <w:rsid w:val="00041E08"/>
    <w:rsid w:val="00042115"/>
    <w:rsid w:val="000424B4"/>
    <w:rsid w:val="0004263F"/>
    <w:rsid w:val="00042649"/>
    <w:rsid w:val="00042830"/>
    <w:rsid w:val="00042897"/>
    <w:rsid w:val="0004304E"/>
    <w:rsid w:val="000437B0"/>
    <w:rsid w:val="00043CD1"/>
    <w:rsid w:val="00043D5C"/>
    <w:rsid w:val="00044228"/>
    <w:rsid w:val="0004427D"/>
    <w:rsid w:val="00044333"/>
    <w:rsid w:val="000445BF"/>
    <w:rsid w:val="00044A7C"/>
    <w:rsid w:val="00044B86"/>
    <w:rsid w:val="00044CF1"/>
    <w:rsid w:val="00044DD8"/>
    <w:rsid w:val="00044DE7"/>
    <w:rsid w:val="00044EA2"/>
    <w:rsid w:val="00044EA7"/>
    <w:rsid w:val="00045001"/>
    <w:rsid w:val="00045395"/>
    <w:rsid w:val="0004595B"/>
    <w:rsid w:val="000459B0"/>
    <w:rsid w:val="00045E50"/>
    <w:rsid w:val="00046CB2"/>
    <w:rsid w:val="00046CB7"/>
    <w:rsid w:val="00046CF9"/>
    <w:rsid w:val="00046E07"/>
    <w:rsid w:val="00047269"/>
    <w:rsid w:val="00047647"/>
    <w:rsid w:val="000479E4"/>
    <w:rsid w:val="00047CC8"/>
    <w:rsid w:val="00047DB8"/>
    <w:rsid w:val="00050260"/>
    <w:rsid w:val="0005065E"/>
    <w:rsid w:val="00050931"/>
    <w:rsid w:val="00050E3C"/>
    <w:rsid w:val="0005148B"/>
    <w:rsid w:val="000519C9"/>
    <w:rsid w:val="00051C36"/>
    <w:rsid w:val="00051EAC"/>
    <w:rsid w:val="000528C2"/>
    <w:rsid w:val="00052C09"/>
    <w:rsid w:val="00052ECA"/>
    <w:rsid w:val="00052F51"/>
    <w:rsid w:val="000530BA"/>
    <w:rsid w:val="00053ACC"/>
    <w:rsid w:val="00053CF5"/>
    <w:rsid w:val="00054052"/>
    <w:rsid w:val="00054091"/>
    <w:rsid w:val="00054136"/>
    <w:rsid w:val="00054167"/>
    <w:rsid w:val="000541F9"/>
    <w:rsid w:val="0005430F"/>
    <w:rsid w:val="00054601"/>
    <w:rsid w:val="00054668"/>
    <w:rsid w:val="000549A3"/>
    <w:rsid w:val="00054A50"/>
    <w:rsid w:val="00054DCE"/>
    <w:rsid w:val="0005512E"/>
    <w:rsid w:val="00055235"/>
    <w:rsid w:val="000553AA"/>
    <w:rsid w:val="00055736"/>
    <w:rsid w:val="00055753"/>
    <w:rsid w:val="00055BDD"/>
    <w:rsid w:val="00055CB2"/>
    <w:rsid w:val="00056582"/>
    <w:rsid w:val="00056C89"/>
    <w:rsid w:val="00056DB2"/>
    <w:rsid w:val="00056FCB"/>
    <w:rsid w:val="000574C5"/>
    <w:rsid w:val="00057F4E"/>
    <w:rsid w:val="0006081F"/>
    <w:rsid w:val="00060F45"/>
    <w:rsid w:val="000613EC"/>
    <w:rsid w:val="000614F3"/>
    <w:rsid w:val="00061731"/>
    <w:rsid w:val="0006192F"/>
    <w:rsid w:val="00061B24"/>
    <w:rsid w:val="00061E0E"/>
    <w:rsid w:val="00061EA0"/>
    <w:rsid w:val="00061F68"/>
    <w:rsid w:val="000621A7"/>
    <w:rsid w:val="000623B2"/>
    <w:rsid w:val="00062948"/>
    <w:rsid w:val="00062BAF"/>
    <w:rsid w:val="00063040"/>
    <w:rsid w:val="0006341F"/>
    <w:rsid w:val="00063CC6"/>
    <w:rsid w:val="00064471"/>
    <w:rsid w:val="00065348"/>
    <w:rsid w:val="00065748"/>
    <w:rsid w:val="00065948"/>
    <w:rsid w:val="00065D27"/>
    <w:rsid w:val="000660AE"/>
    <w:rsid w:val="00066971"/>
    <w:rsid w:val="00066AEE"/>
    <w:rsid w:val="00066C46"/>
    <w:rsid w:val="00066D35"/>
    <w:rsid w:val="00066F3C"/>
    <w:rsid w:val="00067152"/>
    <w:rsid w:val="00067330"/>
    <w:rsid w:val="00067494"/>
    <w:rsid w:val="00067680"/>
    <w:rsid w:val="000677A0"/>
    <w:rsid w:val="00067839"/>
    <w:rsid w:val="000679EB"/>
    <w:rsid w:val="00067BFF"/>
    <w:rsid w:val="00067F01"/>
    <w:rsid w:val="00067F18"/>
    <w:rsid w:val="00070038"/>
    <w:rsid w:val="00070289"/>
    <w:rsid w:val="0007037A"/>
    <w:rsid w:val="00070630"/>
    <w:rsid w:val="0007070F"/>
    <w:rsid w:val="00070950"/>
    <w:rsid w:val="000709B0"/>
    <w:rsid w:val="00070A74"/>
    <w:rsid w:val="00070E39"/>
    <w:rsid w:val="00070EA9"/>
    <w:rsid w:val="000715BF"/>
    <w:rsid w:val="0007190A"/>
    <w:rsid w:val="00071A4F"/>
    <w:rsid w:val="00071EAB"/>
    <w:rsid w:val="00071ED7"/>
    <w:rsid w:val="00072604"/>
    <w:rsid w:val="00072D7B"/>
    <w:rsid w:val="00073010"/>
    <w:rsid w:val="00073432"/>
    <w:rsid w:val="000734C8"/>
    <w:rsid w:val="00073597"/>
    <w:rsid w:val="00073F38"/>
    <w:rsid w:val="00074228"/>
    <w:rsid w:val="00074717"/>
    <w:rsid w:val="000748B0"/>
    <w:rsid w:val="00074946"/>
    <w:rsid w:val="00074EF2"/>
    <w:rsid w:val="00075033"/>
    <w:rsid w:val="00075177"/>
    <w:rsid w:val="000754DE"/>
    <w:rsid w:val="00075A37"/>
    <w:rsid w:val="00075B43"/>
    <w:rsid w:val="00075B82"/>
    <w:rsid w:val="00075D3A"/>
    <w:rsid w:val="00076043"/>
    <w:rsid w:val="000761E8"/>
    <w:rsid w:val="00076274"/>
    <w:rsid w:val="00076449"/>
    <w:rsid w:val="0007665E"/>
    <w:rsid w:val="0007683D"/>
    <w:rsid w:val="00076A96"/>
    <w:rsid w:val="00076AB2"/>
    <w:rsid w:val="00076F98"/>
    <w:rsid w:val="00077813"/>
    <w:rsid w:val="00077840"/>
    <w:rsid w:val="0007792C"/>
    <w:rsid w:val="000779C4"/>
    <w:rsid w:val="00080654"/>
    <w:rsid w:val="00080C97"/>
    <w:rsid w:val="0008101F"/>
    <w:rsid w:val="00081061"/>
    <w:rsid w:val="00081863"/>
    <w:rsid w:val="00081950"/>
    <w:rsid w:val="00081A20"/>
    <w:rsid w:val="00081CEB"/>
    <w:rsid w:val="00081D1A"/>
    <w:rsid w:val="00082530"/>
    <w:rsid w:val="0008305A"/>
    <w:rsid w:val="0008330F"/>
    <w:rsid w:val="00083E04"/>
    <w:rsid w:val="00084198"/>
    <w:rsid w:val="0008448C"/>
    <w:rsid w:val="000848A0"/>
    <w:rsid w:val="00084932"/>
    <w:rsid w:val="000849C2"/>
    <w:rsid w:val="00084F3F"/>
    <w:rsid w:val="00085216"/>
    <w:rsid w:val="00085710"/>
    <w:rsid w:val="00085BAE"/>
    <w:rsid w:val="00085CAE"/>
    <w:rsid w:val="00086095"/>
    <w:rsid w:val="0008609E"/>
    <w:rsid w:val="0008673C"/>
    <w:rsid w:val="00086832"/>
    <w:rsid w:val="00086A1E"/>
    <w:rsid w:val="00086C13"/>
    <w:rsid w:val="00087592"/>
    <w:rsid w:val="00087987"/>
    <w:rsid w:val="000879C1"/>
    <w:rsid w:val="00087D82"/>
    <w:rsid w:val="00087E9B"/>
    <w:rsid w:val="00090108"/>
    <w:rsid w:val="000907A4"/>
    <w:rsid w:val="000910D0"/>
    <w:rsid w:val="000915F9"/>
    <w:rsid w:val="0009180B"/>
    <w:rsid w:val="00091900"/>
    <w:rsid w:val="00091F59"/>
    <w:rsid w:val="00092383"/>
    <w:rsid w:val="00092480"/>
    <w:rsid w:val="000924B6"/>
    <w:rsid w:val="00092816"/>
    <w:rsid w:val="00092874"/>
    <w:rsid w:val="00092B92"/>
    <w:rsid w:val="00092C91"/>
    <w:rsid w:val="00092EFC"/>
    <w:rsid w:val="000930FD"/>
    <w:rsid w:val="00093BE3"/>
    <w:rsid w:val="00093E32"/>
    <w:rsid w:val="000944C2"/>
    <w:rsid w:val="00094546"/>
    <w:rsid w:val="0009465C"/>
    <w:rsid w:val="00094977"/>
    <w:rsid w:val="00094AE5"/>
    <w:rsid w:val="00094F69"/>
    <w:rsid w:val="00095203"/>
    <w:rsid w:val="00095CE4"/>
    <w:rsid w:val="00095ED8"/>
    <w:rsid w:val="00096832"/>
    <w:rsid w:val="00096940"/>
    <w:rsid w:val="00096F58"/>
    <w:rsid w:val="000971B9"/>
    <w:rsid w:val="000973A7"/>
    <w:rsid w:val="000973E4"/>
    <w:rsid w:val="00097844"/>
    <w:rsid w:val="00097B12"/>
    <w:rsid w:val="00097BA3"/>
    <w:rsid w:val="00097F18"/>
    <w:rsid w:val="000A0005"/>
    <w:rsid w:val="000A0078"/>
    <w:rsid w:val="000A017A"/>
    <w:rsid w:val="000A06A7"/>
    <w:rsid w:val="000A0833"/>
    <w:rsid w:val="000A0B85"/>
    <w:rsid w:val="000A0CD2"/>
    <w:rsid w:val="000A13A5"/>
    <w:rsid w:val="000A16B1"/>
    <w:rsid w:val="000A1D98"/>
    <w:rsid w:val="000A2084"/>
    <w:rsid w:val="000A229D"/>
    <w:rsid w:val="000A253D"/>
    <w:rsid w:val="000A2C26"/>
    <w:rsid w:val="000A2F87"/>
    <w:rsid w:val="000A313E"/>
    <w:rsid w:val="000A3393"/>
    <w:rsid w:val="000A389E"/>
    <w:rsid w:val="000A39BC"/>
    <w:rsid w:val="000A3D27"/>
    <w:rsid w:val="000A3D3C"/>
    <w:rsid w:val="000A4593"/>
    <w:rsid w:val="000A45BE"/>
    <w:rsid w:val="000A45EB"/>
    <w:rsid w:val="000A46F4"/>
    <w:rsid w:val="000A4D58"/>
    <w:rsid w:val="000A4FF0"/>
    <w:rsid w:val="000A6182"/>
    <w:rsid w:val="000A6585"/>
    <w:rsid w:val="000A70C3"/>
    <w:rsid w:val="000A7379"/>
    <w:rsid w:val="000A7433"/>
    <w:rsid w:val="000A7774"/>
    <w:rsid w:val="000A7AED"/>
    <w:rsid w:val="000A7B54"/>
    <w:rsid w:val="000A7D7E"/>
    <w:rsid w:val="000A7FDE"/>
    <w:rsid w:val="000B0023"/>
    <w:rsid w:val="000B04C0"/>
    <w:rsid w:val="000B0558"/>
    <w:rsid w:val="000B06CE"/>
    <w:rsid w:val="000B07EA"/>
    <w:rsid w:val="000B098D"/>
    <w:rsid w:val="000B0ABC"/>
    <w:rsid w:val="000B0C03"/>
    <w:rsid w:val="000B0D33"/>
    <w:rsid w:val="000B1282"/>
    <w:rsid w:val="000B13E4"/>
    <w:rsid w:val="000B14D4"/>
    <w:rsid w:val="000B1586"/>
    <w:rsid w:val="000B18FE"/>
    <w:rsid w:val="000B1960"/>
    <w:rsid w:val="000B2547"/>
    <w:rsid w:val="000B2A51"/>
    <w:rsid w:val="000B2E59"/>
    <w:rsid w:val="000B3050"/>
    <w:rsid w:val="000B308A"/>
    <w:rsid w:val="000B3103"/>
    <w:rsid w:val="000B3188"/>
    <w:rsid w:val="000B3837"/>
    <w:rsid w:val="000B3AD8"/>
    <w:rsid w:val="000B3F16"/>
    <w:rsid w:val="000B3F8D"/>
    <w:rsid w:val="000B44E6"/>
    <w:rsid w:val="000B4B6C"/>
    <w:rsid w:val="000B4BE7"/>
    <w:rsid w:val="000B4D83"/>
    <w:rsid w:val="000B52B1"/>
    <w:rsid w:val="000B5702"/>
    <w:rsid w:val="000B5AE1"/>
    <w:rsid w:val="000B5BCE"/>
    <w:rsid w:val="000B5E57"/>
    <w:rsid w:val="000B61C9"/>
    <w:rsid w:val="000B62DD"/>
    <w:rsid w:val="000B6881"/>
    <w:rsid w:val="000B6E4C"/>
    <w:rsid w:val="000B6F23"/>
    <w:rsid w:val="000B7DF7"/>
    <w:rsid w:val="000B7E8D"/>
    <w:rsid w:val="000B7F62"/>
    <w:rsid w:val="000C0265"/>
    <w:rsid w:val="000C033B"/>
    <w:rsid w:val="000C03EA"/>
    <w:rsid w:val="000C08F1"/>
    <w:rsid w:val="000C09DA"/>
    <w:rsid w:val="000C09EA"/>
    <w:rsid w:val="000C0DE6"/>
    <w:rsid w:val="000C124E"/>
    <w:rsid w:val="000C1416"/>
    <w:rsid w:val="000C1ADD"/>
    <w:rsid w:val="000C1C8F"/>
    <w:rsid w:val="000C1D94"/>
    <w:rsid w:val="000C1E94"/>
    <w:rsid w:val="000C2009"/>
    <w:rsid w:val="000C206A"/>
    <w:rsid w:val="000C289E"/>
    <w:rsid w:val="000C2A19"/>
    <w:rsid w:val="000C32C0"/>
    <w:rsid w:val="000C341B"/>
    <w:rsid w:val="000C348F"/>
    <w:rsid w:val="000C36CD"/>
    <w:rsid w:val="000C3741"/>
    <w:rsid w:val="000C3848"/>
    <w:rsid w:val="000C38A4"/>
    <w:rsid w:val="000C39C2"/>
    <w:rsid w:val="000C39D4"/>
    <w:rsid w:val="000C3A15"/>
    <w:rsid w:val="000C3EA1"/>
    <w:rsid w:val="000C40DB"/>
    <w:rsid w:val="000C4650"/>
    <w:rsid w:val="000C489F"/>
    <w:rsid w:val="000C4D9C"/>
    <w:rsid w:val="000C4E37"/>
    <w:rsid w:val="000C4EEF"/>
    <w:rsid w:val="000C55AF"/>
    <w:rsid w:val="000C5745"/>
    <w:rsid w:val="000C5805"/>
    <w:rsid w:val="000C599C"/>
    <w:rsid w:val="000C5A30"/>
    <w:rsid w:val="000C62CD"/>
    <w:rsid w:val="000C633A"/>
    <w:rsid w:val="000C6A1B"/>
    <w:rsid w:val="000C6F71"/>
    <w:rsid w:val="000C6F92"/>
    <w:rsid w:val="000C7408"/>
    <w:rsid w:val="000C760A"/>
    <w:rsid w:val="000C7A4B"/>
    <w:rsid w:val="000C7B75"/>
    <w:rsid w:val="000C7BC3"/>
    <w:rsid w:val="000C7ECE"/>
    <w:rsid w:val="000D02B2"/>
    <w:rsid w:val="000D08A2"/>
    <w:rsid w:val="000D0964"/>
    <w:rsid w:val="000D0981"/>
    <w:rsid w:val="000D09F0"/>
    <w:rsid w:val="000D17C4"/>
    <w:rsid w:val="000D193D"/>
    <w:rsid w:val="000D1A3C"/>
    <w:rsid w:val="000D1C4D"/>
    <w:rsid w:val="000D20AC"/>
    <w:rsid w:val="000D2192"/>
    <w:rsid w:val="000D2276"/>
    <w:rsid w:val="000D23E8"/>
    <w:rsid w:val="000D28C1"/>
    <w:rsid w:val="000D2BDE"/>
    <w:rsid w:val="000D2BF8"/>
    <w:rsid w:val="000D2F7F"/>
    <w:rsid w:val="000D34BA"/>
    <w:rsid w:val="000D34D4"/>
    <w:rsid w:val="000D3FFE"/>
    <w:rsid w:val="000D412F"/>
    <w:rsid w:val="000D4493"/>
    <w:rsid w:val="000D45D2"/>
    <w:rsid w:val="000D48B6"/>
    <w:rsid w:val="000D4ADB"/>
    <w:rsid w:val="000D4F2C"/>
    <w:rsid w:val="000D4FBA"/>
    <w:rsid w:val="000D4FD6"/>
    <w:rsid w:val="000D50DB"/>
    <w:rsid w:val="000D53EC"/>
    <w:rsid w:val="000D5460"/>
    <w:rsid w:val="000D5730"/>
    <w:rsid w:val="000D59D7"/>
    <w:rsid w:val="000D5A41"/>
    <w:rsid w:val="000D622F"/>
    <w:rsid w:val="000D6262"/>
    <w:rsid w:val="000D6692"/>
    <w:rsid w:val="000D69D9"/>
    <w:rsid w:val="000D6F5D"/>
    <w:rsid w:val="000D7090"/>
    <w:rsid w:val="000D7177"/>
    <w:rsid w:val="000D7552"/>
    <w:rsid w:val="000D75D6"/>
    <w:rsid w:val="000D774B"/>
    <w:rsid w:val="000D77B4"/>
    <w:rsid w:val="000D789A"/>
    <w:rsid w:val="000D7D3E"/>
    <w:rsid w:val="000D7EA3"/>
    <w:rsid w:val="000E01C2"/>
    <w:rsid w:val="000E02F1"/>
    <w:rsid w:val="000E0402"/>
    <w:rsid w:val="000E0B7F"/>
    <w:rsid w:val="000E0C5C"/>
    <w:rsid w:val="000E11EA"/>
    <w:rsid w:val="000E14FB"/>
    <w:rsid w:val="000E15D8"/>
    <w:rsid w:val="000E1673"/>
    <w:rsid w:val="000E1AB1"/>
    <w:rsid w:val="000E1B9D"/>
    <w:rsid w:val="000E1E71"/>
    <w:rsid w:val="000E21E1"/>
    <w:rsid w:val="000E247F"/>
    <w:rsid w:val="000E2581"/>
    <w:rsid w:val="000E2A6C"/>
    <w:rsid w:val="000E30C8"/>
    <w:rsid w:val="000E32A6"/>
    <w:rsid w:val="000E3519"/>
    <w:rsid w:val="000E3669"/>
    <w:rsid w:val="000E39A9"/>
    <w:rsid w:val="000E3CD7"/>
    <w:rsid w:val="000E40D9"/>
    <w:rsid w:val="000E473A"/>
    <w:rsid w:val="000E497B"/>
    <w:rsid w:val="000E4A35"/>
    <w:rsid w:val="000E4B6E"/>
    <w:rsid w:val="000E4D0A"/>
    <w:rsid w:val="000E4F56"/>
    <w:rsid w:val="000E5890"/>
    <w:rsid w:val="000E5CA5"/>
    <w:rsid w:val="000E5CE2"/>
    <w:rsid w:val="000E5E4E"/>
    <w:rsid w:val="000E6015"/>
    <w:rsid w:val="000E6282"/>
    <w:rsid w:val="000E6622"/>
    <w:rsid w:val="000E7687"/>
    <w:rsid w:val="000E768C"/>
    <w:rsid w:val="000E7CE8"/>
    <w:rsid w:val="000F03E2"/>
    <w:rsid w:val="000F0692"/>
    <w:rsid w:val="000F07E2"/>
    <w:rsid w:val="000F0937"/>
    <w:rsid w:val="000F09FE"/>
    <w:rsid w:val="000F0B6A"/>
    <w:rsid w:val="000F0D0F"/>
    <w:rsid w:val="000F0D60"/>
    <w:rsid w:val="000F0E6F"/>
    <w:rsid w:val="000F0FEF"/>
    <w:rsid w:val="000F131E"/>
    <w:rsid w:val="000F13F5"/>
    <w:rsid w:val="000F1806"/>
    <w:rsid w:val="000F1B68"/>
    <w:rsid w:val="000F1C56"/>
    <w:rsid w:val="000F211B"/>
    <w:rsid w:val="000F2209"/>
    <w:rsid w:val="000F255D"/>
    <w:rsid w:val="000F2D4A"/>
    <w:rsid w:val="000F2EEF"/>
    <w:rsid w:val="000F3CA2"/>
    <w:rsid w:val="000F3CDF"/>
    <w:rsid w:val="000F3D84"/>
    <w:rsid w:val="000F3DAF"/>
    <w:rsid w:val="000F3E95"/>
    <w:rsid w:val="000F411F"/>
    <w:rsid w:val="000F4A4E"/>
    <w:rsid w:val="000F4B86"/>
    <w:rsid w:val="000F4F52"/>
    <w:rsid w:val="000F5036"/>
    <w:rsid w:val="000F549A"/>
    <w:rsid w:val="000F54CC"/>
    <w:rsid w:val="000F588E"/>
    <w:rsid w:val="000F5FEB"/>
    <w:rsid w:val="000F62B8"/>
    <w:rsid w:val="000F653A"/>
    <w:rsid w:val="000F6563"/>
    <w:rsid w:val="000F693F"/>
    <w:rsid w:val="000F6B33"/>
    <w:rsid w:val="000F6B8E"/>
    <w:rsid w:val="000F72E0"/>
    <w:rsid w:val="000F7653"/>
    <w:rsid w:val="000F7751"/>
    <w:rsid w:val="000F7C26"/>
    <w:rsid w:val="000F7CB2"/>
    <w:rsid w:val="000F7D7E"/>
    <w:rsid w:val="00100195"/>
    <w:rsid w:val="00100337"/>
    <w:rsid w:val="00100469"/>
    <w:rsid w:val="00100664"/>
    <w:rsid w:val="00100728"/>
    <w:rsid w:val="00100752"/>
    <w:rsid w:val="001009DC"/>
    <w:rsid w:val="00100D5F"/>
    <w:rsid w:val="001016F4"/>
    <w:rsid w:val="001019C6"/>
    <w:rsid w:val="00101B3E"/>
    <w:rsid w:val="00101D01"/>
    <w:rsid w:val="00102029"/>
    <w:rsid w:val="00102253"/>
    <w:rsid w:val="0010259C"/>
    <w:rsid w:val="001028AE"/>
    <w:rsid w:val="0010294F"/>
    <w:rsid w:val="00102C9C"/>
    <w:rsid w:val="00102F57"/>
    <w:rsid w:val="001030BC"/>
    <w:rsid w:val="001038B8"/>
    <w:rsid w:val="00103CD8"/>
    <w:rsid w:val="00103EB2"/>
    <w:rsid w:val="00103F01"/>
    <w:rsid w:val="0010424C"/>
    <w:rsid w:val="001042BF"/>
    <w:rsid w:val="001042D3"/>
    <w:rsid w:val="001042DA"/>
    <w:rsid w:val="0010431B"/>
    <w:rsid w:val="001044B4"/>
    <w:rsid w:val="00104760"/>
    <w:rsid w:val="001047B2"/>
    <w:rsid w:val="001047E3"/>
    <w:rsid w:val="00104868"/>
    <w:rsid w:val="00104872"/>
    <w:rsid w:val="001048B0"/>
    <w:rsid w:val="00104A1A"/>
    <w:rsid w:val="00104E17"/>
    <w:rsid w:val="00104F31"/>
    <w:rsid w:val="001052C5"/>
    <w:rsid w:val="00105308"/>
    <w:rsid w:val="001053DD"/>
    <w:rsid w:val="001054DA"/>
    <w:rsid w:val="00105860"/>
    <w:rsid w:val="001058F5"/>
    <w:rsid w:val="001060EA"/>
    <w:rsid w:val="001061C2"/>
    <w:rsid w:val="00106632"/>
    <w:rsid w:val="0010672A"/>
    <w:rsid w:val="00106C57"/>
    <w:rsid w:val="00106CC7"/>
    <w:rsid w:val="00106F48"/>
    <w:rsid w:val="001073DC"/>
    <w:rsid w:val="001074B7"/>
    <w:rsid w:val="00107528"/>
    <w:rsid w:val="001076E1"/>
    <w:rsid w:val="00107BB7"/>
    <w:rsid w:val="00107C2A"/>
    <w:rsid w:val="00107D5D"/>
    <w:rsid w:val="0011059F"/>
    <w:rsid w:val="00110C53"/>
    <w:rsid w:val="001110A2"/>
    <w:rsid w:val="00111238"/>
    <w:rsid w:val="0011187F"/>
    <w:rsid w:val="00111AED"/>
    <w:rsid w:val="00111B91"/>
    <w:rsid w:val="0011207E"/>
    <w:rsid w:val="00112292"/>
    <w:rsid w:val="00112799"/>
    <w:rsid w:val="00112E1C"/>
    <w:rsid w:val="00113108"/>
    <w:rsid w:val="001133AD"/>
    <w:rsid w:val="001133D1"/>
    <w:rsid w:val="00113E7D"/>
    <w:rsid w:val="00114078"/>
    <w:rsid w:val="00114297"/>
    <w:rsid w:val="00114950"/>
    <w:rsid w:val="0011496F"/>
    <w:rsid w:val="00114D8E"/>
    <w:rsid w:val="00114FAD"/>
    <w:rsid w:val="001152EA"/>
    <w:rsid w:val="00115AA9"/>
    <w:rsid w:val="00115DD3"/>
    <w:rsid w:val="00115FD5"/>
    <w:rsid w:val="001166A6"/>
    <w:rsid w:val="00116A04"/>
    <w:rsid w:val="001172C0"/>
    <w:rsid w:val="00117699"/>
    <w:rsid w:val="00117E6D"/>
    <w:rsid w:val="00120357"/>
    <w:rsid w:val="001204AD"/>
    <w:rsid w:val="00120766"/>
    <w:rsid w:val="00120B73"/>
    <w:rsid w:val="00120BDE"/>
    <w:rsid w:val="00120CF5"/>
    <w:rsid w:val="00120F1E"/>
    <w:rsid w:val="001210DF"/>
    <w:rsid w:val="0012111E"/>
    <w:rsid w:val="00121203"/>
    <w:rsid w:val="0012148D"/>
    <w:rsid w:val="00121589"/>
    <w:rsid w:val="00121859"/>
    <w:rsid w:val="001219BA"/>
    <w:rsid w:val="00121AA6"/>
    <w:rsid w:val="00121D54"/>
    <w:rsid w:val="00121DF5"/>
    <w:rsid w:val="0012252C"/>
    <w:rsid w:val="001225DF"/>
    <w:rsid w:val="001228F9"/>
    <w:rsid w:val="00122F09"/>
    <w:rsid w:val="001230D4"/>
    <w:rsid w:val="001232B0"/>
    <w:rsid w:val="00123704"/>
    <w:rsid w:val="00123A3A"/>
    <w:rsid w:val="00123B93"/>
    <w:rsid w:val="00123E3A"/>
    <w:rsid w:val="0012495E"/>
    <w:rsid w:val="00124AB8"/>
    <w:rsid w:val="00125301"/>
    <w:rsid w:val="00125937"/>
    <w:rsid w:val="00125AC9"/>
    <w:rsid w:val="0012604F"/>
    <w:rsid w:val="00126342"/>
    <w:rsid w:val="0012676B"/>
    <w:rsid w:val="00126F76"/>
    <w:rsid w:val="0012717D"/>
    <w:rsid w:val="00127241"/>
    <w:rsid w:val="0012748F"/>
    <w:rsid w:val="00127816"/>
    <w:rsid w:val="001279C7"/>
    <w:rsid w:val="00127BB4"/>
    <w:rsid w:val="00127D5D"/>
    <w:rsid w:val="00127F7F"/>
    <w:rsid w:val="00127F98"/>
    <w:rsid w:val="001301EF"/>
    <w:rsid w:val="0013037B"/>
    <w:rsid w:val="00130380"/>
    <w:rsid w:val="00130442"/>
    <w:rsid w:val="00130477"/>
    <w:rsid w:val="00130554"/>
    <w:rsid w:val="00130758"/>
    <w:rsid w:val="0013107F"/>
    <w:rsid w:val="00131252"/>
    <w:rsid w:val="001312DF"/>
    <w:rsid w:val="0013194E"/>
    <w:rsid w:val="00131BFD"/>
    <w:rsid w:val="00132429"/>
    <w:rsid w:val="001329EC"/>
    <w:rsid w:val="00132CD0"/>
    <w:rsid w:val="001335EE"/>
    <w:rsid w:val="00133623"/>
    <w:rsid w:val="00133699"/>
    <w:rsid w:val="00133A78"/>
    <w:rsid w:val="00133E4A"/>
    <w:rsid w:val="001341EB"/>
    <w:rsid w:val="00134291"/>
    <w:rsid w:val="001345C2"/>
    <w:rsid w:val="0013529E"/>
    <w:rsid w:val="00135590"/>
    <w:rsid w:val="00135B9D"/>
    <w:rsid w:val="00135C9A"/>
    <w:rsid w:val="00135D82"/>
    <w:rsid w:val="001360AF"/>
    <w:rsid w:val="00136542"/>
    <w:rsid w:val="001365C8"/>
    <w:rsid w:val="0013711C"/>
    <w:rsid w:val="0013713D"/>
    <w:rsid w:val="00137214"/>
    <w:rsid w:val="0013753A"/>
    <w:rsid w:val="0013781B"/>
    <w:rsid w:val="0013792B"/>
    <w:rsid w:val="00137AA0"/>
    <w:rsid w:val="00137B60"/>
    <w:rsid w:val="00137F78"/>
    <w:rsid w:val="0014022A"/>
    <w:rsid w:val="00140630"/>
    <w:rsid w:val="00140B0D"/>
    <w:rsid w:val="00140B68"/>
    <w:rsid w:val="00140C6E"/>
    <w:rsid w:val="001413C5"/>
    <w:rsid w:val="00141459"/>
    <w:rsid w:val="00142050"/>
    <w:rsid w:val="001430E3"/>
    <w:rsid w:val="0014379A"/>
    <w:rsid w:val="00143FFC"/>
    <w:rsid w:val="00144728"/>
    <w:rsid w:val="001448C5"/>
    <w:rsid w:val="00144BCF"/>
    <w:rsid w:val="00144DCE"/>
    <w:rsid w:val="00144E9A"/>
    <w:rsid w:val="00144F49"/>
    <w:rsid w:val="001456ED"/>
    <w:rsid w:val="00145A2D"/>
    <w:rsid w:val="00145C51"/>
    <w:rsid w:val="00145D74"/>
    <w:rsid w:val="00145DAE"/>
    <w:rsid w:val="00145DC4"/>
    <w:rsid w:val="00145F3E"/>
    <w:rsid w:val="001460FA"/>
    <w:rsid w:val="001466B7"/>
    <w:rsid w:val="0014675E"/>
    <w:rsid w:val="001469A4"/>
    <w:rsid w:val="00146F4C"/>
    <w:rsid w:val="00146F4E"/>
    <w:rsid w:val="00147233"/>
    <w:rsid w:val="0014730D"/>
    <w:rsid w:val="00147F43"/>
    <w:rsid w:val="00147FC2"/>
    <w:rsid w:val="00150355"/>
    <w:rsid w:val="00150537"/>
    <w:rsid w:val="001506A7"/>
    <w:rsid w:val="0015071C"/>
    <w:rsid w:val="00150896"/>
    <w:rsid w:val="00150959"/>
    <w:rsid w:val="00150A97"/>
    <w:rsid w:val="00150C0B"/>
    <w:rsid w:val="00150C0E"/>
    <w:rsid w:val="00150E03"/>
    <w:rsid w:val="001510ED"/>
    <w:rsid w:val="0015115F"/>
    <w:rsid w:val="0015116F"/>
    <w:rsid w:val="0015117E"/>
    <w:rsid w:val="001512CD"/>
    <w:rsid w:val="00151456"/>
    <w:rsid w:val="00151B0E"/>
    <w:rsid w:val="0015220F"/>
    <w:rsid w:val="001522BB"/>
    <w:rsid w:val="0015241C"/>
    <w:rsid w:val="0015270A"/>
    <w:rsid w:val="00152E2E"/>
    <w:rsid w:val="00152E84"/>
    <w:rsid w:val="001533E6"/>
    <w:rsid w:val="001539F4"/>
    <w:rsid w:val="00153BA6"/>
    <w:rsid w:val="00153C02"/>
    <w:rsid w:val="00153CB1"/>
    <w:rsid w:val="00153FB0"/>
    <w:rsid w:val="0015446D"/>
    <w:rsid w:val="001544EF"/>
    <w:rsid w:val="001547F7"/>
    <w:rsid w:val="00154C34"/>
    <w:rsid w:val="00155631"/>
    <w:rsid w:val="00155C70"/>
    <w:rsid w:val="00155C8E"/>
    <w:rsid w:val="00155FBB"/>
    <w:rsid w:val="001569F3"/>
    <w:rsid w:val="00156A26"/>
    <w:rsid w:val="00156A67"/>
    <w:rsid w:val="00156BF2"/>
    <w:rsid w:val="00156CFB"/>
    <w:rsid w:val="00156E79"/>
    <w:rsid w:val="001574CA"/>
    <w:rsid w:val="00157596"/>
    <w:rsid w:val="00157872"/>
    <w:rsid w:val="00157890"/>
    <w:rsid w:val="0015789D"/>
    <w:rsid w:val="001579D7"/>
    <w:rsid w:val="00157CA6"/>
    <w:rsid w:val="00157DC8"/>
    <w:rsid w:val="00157E92"/>
    <w:rsid w:val="001603AC"/>
    <w:rsid w:val="00160E46"/>
    <w:rsid w:val="00160EFA"/>
    <w:rsid w:val="00160FD1"/>
    <w:rsid w:val="001611C4"/>
    <w:rsid w:val="001614FD"/>
    <w:rsid w:val="0016165F"/>
    <w:rsid w:val="00161A41"/>
    <w:rsid w:val="00161BD1"/>
    <w:rsid w:val="00161CFB"/>
    <w:rsid w:val="00162413"/>
    <w:rsid w:val="00162596"/>
    <w:rsid w:val="001628A6"/>
    <w:rsid w:val="00162BFA"/>
    <w:rsid w:val="00162C6C"/>
    <w:rsid w:val="0016332E"/>
    <w:rsid w:val="001635A4"/>
    <w:rsid w:val="001637D8"/>
    <w:rsid w:val="0016382F"/>
    <w:rsid w:val="0016399D"/>
    <w:rsid w:val="00164380"/>
    <w:rsid w:val="00164C52"/>
    <w:rsid w:val="00164CF4"/>
    <w:rsid w:val="00164D23"/>
    <w:rsid w:val="00165073"/>
    <w:rsid w:val="001651E8"/>
    <w:rsid w:val="00165B15"/>
    <w:rsid w:val="00165B7D"/>
    <w:rsid w:val="00165C43"/>
    <w:rsid w:val="00166090"/>
    <w:rsid w:val="0016610D"/>
    <w:rsid w:val="0016646F"/>
    <w:rsid w:val="0016662E"/>
    <w:rsid w:val="0016669D"/>
    <w:rsid w:val="001666B1"/>
    <w:rsid w:val="0016697F"/>
    <w:rsid w:val="00166C66"/>
    <w:rsid w:val="00166D2F"/>
    <w:rsid w:val="00166F08"/>
    <w:rsid w:val="00166F90"/>
    <w:rsid w:val="00166FCB"/>
    <w:rsid w:val="00167031"/>
    <w:rsid w:val="00167A25"/>
    <w:rsid w:val="001700A2"/>
    <w:rsid w:val="001702B0"/>
    <w:rsid w:val="0017032E"/>
    <w:rsid w:val="00170850"/>
    <w:rsid w:val="0017113A"/>
    <w:rsid w:val="00171D10"/>
    <w:rsid w:val="00171D9D"/>
    <w:rsid w:val="00172506"/>
    <w:rsid w:val="00172C7E"/>
    <w:rsid w:val="00172F84"/>
    <w:rsid w:val="0017320B"/>
    <w:rsid w:val="00173EAE"/>
    <w:rsid w:val="00174759"/>
    <w:rsid w:val="00174F40"/>
    <w:rsid w:val="0017508F"/>
    <w:rsid w:val="001753CF"/>
    <w:rsid w:val="00175B6D"/>
    <w:rsid w:val="00175D09"/>
    <w:rsid w:val="00175DB8"/>
    <w:rsid w:val="00175DC9"/>
    <w:rsid w:val="00175FA5"/>
    <w:rsid w:val="001761A8"/>
    <w:rsid w:val="0017634D"/>
    <w:rsid w:val="0017638A"/>
    <w:rsid w:val="00176421"/>
    <w:rsid w:val="00176448"/>
    <w:rsid w:val="001765C3"/>
    <w:rsid w:val="00176B7A"/>
    <w:rsid w:val="00177435"/>
    <w:rsid w:val="001775FB"/>
    <w:rsid w:val="0017792B"/>
    <w:rsid w:val="0017ED44"/>
    <w:rsid w:val="00180288"/>
    <w:rsid w:val="001803D3"/>
    <w:rsid w:val="0018041B"/>
    <w:rsid w:val="00180564"/>
    <w:rsid w:val="00180BAF"/>
    <w:rsid w:val="00180E6F"/>
    <w:rsid w:val="00181388"/>
    <w:rsid w:val="00181401"/>
    <w:rsid w:val="00181882"/>
    <w:rsid w:val="00182136"/>
    <w:rsid w:val="0018263C"/>
    <w:rsid w:val="001828B9"/>
    <w:rsid w:val="00182C2E"/>
    <w:rsid w:val="00183EA0"/>
    <w:rsid w:val="00183F0E"/>
    <w:rsid w:val="00183F28"/>
    <w:rsid w:val="00184125"/>
    <w:rsid w:val="00184233"/>
    <w:rsid w:val="00184D7A"/>
    <w:rsid w:val="00185075"/>
    <w:rsid w:val="001850D4"/>
    <w:rsid w:val="001851B2"/>
    <w:rsid w:val="0018581C"/>
    <w:rsid w:val="00185837"/>
    <w:rsid w:val="0018600F"/>
    <w:rsid w:val="0018602B"/>
    <w:rsid w:val="00186757"/>
    <w:rsid w:val="00186826"/>
    <w:rsid w:val="00187074"/>
    <w:rsid w:val="0018758F"/>
    <w:rsid w:val="00187594"/>
    <w:rsid w:val="00187CA8"/>
    <w:rsid w:val="00187CC3"/>
    <w:rsid w:val="00187F7E"/>
    <w:rsid w:val="001904A0"/>
    <w:rsid w:val="001906CF"/>
    <w:rsid w:val="00190E94"/>
    <w:rsid w:val="0019143C"/>
    <w:rsid w:val="001914DB"/>
    <w:rsid w:val="00191794"/>
    <w:rsid w:val="001917A3"/>
    <w:rsid w:val="00191A4E"/>
    <w:rsid w:val="00191B4D"/>
    <w:rsid w:val="00191CCE"/>
    <w:rsid w:val="001925FA"/>
    <w:rsid w:val="0019265D"/>
    <w:rsid w:val="001926F4"/>
    <w:rsid w:val="001927CF"/>
    <w:rsid w:val="00192D2D"/>
    <w:rsid w:val="001933F9"/>
    <w:rsid w:val="001935F5"/>
    <w:rsid w:val="00193608"/>
    <w:rsid w:val="00193673"/>
    <w:rsid w:val="00193683"/>
    <w:rsid w:val="0019371C"/>
    <w:rsid w:val="00193D34"/>
    <w:rsid w:val="00193F06"/>
    <w:rsid w:val="00194ABD"/>
    <w:rsid w:val="00194C9D"/>
    <w:rsid w:val="001953D1"/>
    <w:rsid w:val="00195ECA"/>
    <w:rsid w:val="00196203"/>
    <w:rsid w:val="001964A9"/>
    <w:rsid w:val="00196A5F"/>
    <w:rsid w:val="00196CEE"/>
    <w:rsid w:val="00196DD9"/>
    <w:rsid w:val="00196DFF"/>
    <w:rsid w:val="00196E27"/>
    <w:rsid w:val="001975C7"/>
    <w:rsid w:val="00197781"/>
    <w:rsid w:val="001A0248"/>
    <w:rsid w:val="001A0374"/>
    <w:rsid w:val="001A0475"/>
    <w:rsid w:val="001A0491"/>
    <w:rsid w:val="001A087D"/>
    <w:rsid w:val="001A0D36"/>
    <w:rsid w:val="001A1330"/>
    <w:rsid w:val="001A1CF8"/>
    <w:rsid w:val="001A1D2F"/>
    <w:rsid w:val="001A1D3C"/>
    <w:rsid w:val="001A1E7A"/>
    <w:rsid w:val="001A1EA5"/>
    <w:rsid w:val="001A23D6"/>
    <w:rsid w:val="001A2EF3"/>
    <w:rsid w:val="001A2F2E"/>
    <w:rsid w:val="001A31DE"/>
    <w:rsid w:val="001A3344"/>
    <w:rsid w:val="001A3805"/>
    <w:rsid w:val="001A43AC"/>
    <w:rsid w:val="001A472F"/>
    <w:rsid w:val="001A4770"/>
    <w:rsid w:val="001A4848"/>
    <w:rsid w:val="001A4B13"/>
    <w:rsid w:val="001A4B56"/>
    <w:rsid w:val="001A4D0A"/>
    <w:rsid w:val="001A4DD7"/>
    <w:rsid w:val="001A4FA2"/>
    <w:rsid w:val="001A512E"/>
    <w:rsid w:val="001A5156"/>
    <w:rsid w:val="001A56B6"/>
    <w:rsid w:val="001A582E"/>
    <w:rsid w:val="001A59AA"/>
    <w:rsid w:val="001A5A99"/>
    <w:rsid w:val="001A5AB5"/>
    <w:rsid w:val="001A5C98"/>
    <w:rsid w:val="001A5D7C"/>
    <w:rsid w:val="001A638B"/>
    <w:rsid w:val="001A64A6"/>
    <w:rsid w:val="001A6BB5"/>
    <w:rsid w:val="001A6F61"/>
    <w:rsid w:val="001A6FDF"/>
    <w:rsid w:val="001A743E"/>
    <w:rsid w:val="001A7697"/>
    <w:rsid w:val="001A7DB1"/>
    <w:rsid w:val="001B04A3"/>
    <w:rsid w:val="001B0773"/>
    <w:rsid w:val="001B0863"/>
    <w:rsid w:val="001B0A9C"/>
    <w:rsid w:val="001B0ACD"/>
    <w:rsid w:val="001B10FB"/>
    <w:rsid w:val="001B149C"/>
    <w:rsid w:val="001B1826"/>
    <w:rsid w:val="001B1870"/>
    <w:rsid w:val="001B18CF"/>
    <w:rsid w:val="001B2376"/>
    <w:rsid w:val="001B2497"/>
    <w:rsid w:val="001B24A4"/>
    <w:rsid w:val="001B2570"/>
    <w:rsid w:val="001B25B9"/>
    <w:rsid w:val="001B344A"/>
    <w:rsid w:val="001B3A7C"/>
    <w:rsid w:val="001B3C69"/>
    <w:rsid w:val="001B40F0"/>
    <w:rsid w:val="001B4F3E"/>
    <w:rsid w:val="001B4F5C"/>
    <w:rsid w:val="001B5054"/>
    <w:rsid w:val="001B548D"/>
    <w:rsid w:val="001B58CD"/>
    <w:rsid w:val="001B5E16"/>
    <w:rsid w:val="001B60F2"/>
    <w:rsid w:val="001B6972"/>
    <w:rsid w:val="001B6FF0"/>
    <w:rsid w:val="001B742C"/>
    <w:rsid w:val="001B7533"/>
    <w:rsid w:val="001B7757"/>
    <w:rsid w:val="001B77C0"/>
    <w:rsid w:val="001B7CEC"/>
    <w:rsid w:val="001B7FA0"/>
    <w:rsid w:val="001B7FA2"/>
    <w:rsid w:val="001C02F9"/>
    <w:rsid w:val="001C0518"/>
    <w:rsid w:val="001C0635"/>
    <w:rsid w:val="001C06B6"/>
    <w:rsid w:val="001C06F2"/>
    <w:rsid w:val="001C0B57"/>
    <w:rsid w:val="001C0F05"/>
    <w:rsid w:val="001C0FD9"/>
    <w:rsid w:val="001C11DB"/>
    <w:rsid w:val="001C125E"/>
    <w:rsid w:val="001C13FB"/>
    <w:rsid w:val="001C183C"/>
    <w:rsid w:val="001C1CD3"/>
    <w:rsid w:val="001C1D76"/>
    <w:rsid w:val="001C1E4D"/>
    <w:rsid w:val="001C2539"/>
    <w:rsid w:val="001C2573"/>
    <w:rsid w:val="001C2667"/>
    <w:rsid w:val="001C26D6"/>
    <w:rsid w:val="001C2B27"/>
    <w:rsid w:val="001C3171"/>
    <w:rsid w:val="001C3395"/>
    <w:rsid w:val="001C3580"/>
    <w:rsid w:val="001C3685"/>
    <w:rsid w:val="001C3865"/>
    <w:rsid w:val="001C3F6F"/>
    <w:rsid w:val="001C407F"/>
    <w:rsid w:val="001C41BA"/>
    <w:rsid w:val="001C4426"/>
    <w:rsid w:val="001C4D33"/>
    <w:rsid w:val="001C4D52"/>
    <w:rsid w:val="001C4D6F"/>
    <w:rsid w:val="001C53C4"/>
    <w:rsid w:val="001C5B86"/>
    <w:rsid w:val="001C5DE0"/>
    <w:rsid w:val="001C6185"/>
    <w:rsid w:val="001C63C3"/>
    <w:rsid w:val="001C6992"/>
    <w:rsid w:val="001C6C47"/>
    <w:rsid w:val="001C6D87"/>
    <w:rsid w:val="001C6E40"/>
    <w:rsid w:val="001C6F8B"/>
    <w:rsid w:val="001C7160"/>
    <w:rsid w:val="001C7329"/>
    <w:rsid w:val="001C7CE1"/>
    <w:rsid w:val="001D0485"/>
    <w:rsid w:val="001D073A"/>
    <w:rsid w:val="001D0E5C"/>
    <w:rsid w:val="001D14A8"/>
    <w:rsid w:val="001D1859"/>
    <w:rsid w:val="001D1960"/>
    <w:rsid w:val="001D1BA1"/>
    <w:rsid w:val="001D1D32"/>
    <w:rsid w:val="001D1DDE"/>
    <w:rsid w:val="001D2121"/>
    <w:rsid w:val="001D2C29"/>
    <w:rsid w:val="001D2F57"/>
    <w:rsid w:val="001D31E9"/>
    <w:rsid w:val="001D3713"/>
    <w:rsid w:val="001D4252"/>
    <w:rsid w:val="001D49DB"/>
    <w:rsid w:val="001D4A35"/>
    <w:rsid w:val="001D4A6E"/>
    <w:rsid w:val="001D4DF6"/>
    <w:rsid w:val="001D4EE9"/>
    <w:rsid w:val="001D4F60"/>
    <w:rsid w:val="001D53CE"/>
    <w:rsid w:val="001D55DD"/>
    <w:rsid w:val="001D5702"/>
    <w:rsid w:val="001D5D80"/>
    <w:rsid w:val="001D5E4C"/>
    <w:rsid w:val="001D5ED4"/>
    <w:rsid w:val="001D63B6"/>
    <w:rsid w:val="001D646A"/>
    <w:rsid w:val="001D65DB"/>
    <w:rsid w:val="001D6A36"/>
    <w:rsid w:val="001D6BDF"/>
    <w:rsid w:val="001D6F56"/>
    <w:rsid w:val="001D733F"/>
    <w:rsid w:val="001D7387"/>
    <w:rsid w:val="001D7390"/>
    <w:rsid w:val="001D743C"/>
    <w:rsid w:val="001D772E"/>
    <w:rsid w:val="001D778A"/>
    <w:rsid w:val="001D77AB"/>
    <w:rsid w:val="001D793A"/>
    <w:rsid w:val="001D7B78"/>
    <w:rsid w:val="001D7BC2"/>
    <w:rsid w:val="001E012A"/>
    <w:rsid w:val="001E042C"/>
    <w:rsid w:val="001E05FE"/>
    <w:rsid w:val="001E09D6"/>
    <w:rsid w:val="001E0C7F"/>
    <w:rsid w:val="001E13B8"/>
    <w:rsid w:val="001E1613"/>
    <w:rsid w:val="001E1832"/>
    <w:rsid w:val="001E1A9F"/>
    <w:rsid w:val="001E1C5D"/>
    <w:rsid w:val="001E233E"/>
    <w:rsid w:val="001E26AB"/>
    <w:rsid w:val="001E26B6"/>
    <w:rsid w:val="001E2BB7"/>
    <w:rsid w:val="001E3428"/>
    <w:rsid w:val="001E357B"/>
    <w:rsid w:val="001E3681"/>
    <w:rsid w:val="001E3749"/>
    <w:rsid w:val="001E39F7"/>
    <w:rsid w:val="001E3C92"/>
    <w:rsid w:val="001E44DD"/>
    <w:rsid w:val="001E4517"/>
    <w:rsid w:val="001E4590"/>
    <w:rsid w:val="001E4AB5"/>
    <w:rsid w:val="001E4CB8"/>
    <w:rsid w:val="001E50D6"/>
    <w:rsid w:val="001E50EB"/>
    <w:rsid w:val="001E52B3"/>
    <w:rsid w:val="001E54FD"/>
    <w:rsid w:val="001E5AAF"/>
    <w:rsid w:val="001E656F"/>
    <w:rsid w:val="001E66E7"/>
    <w:rsid w:val="001E66FC"/>
    <w:rsid w:val="001E6818"/>
    <w:rsid w:val="001E7366"/>
    <w:rsid w:val="001E75EF"/>
    <w:rsid w:val="001E772F"/>
    <w:rsid w:val="001E778D"/>
    <w:rsid w:val="001E7863"/>
    <w:rsid w:val="001E7AA8"/>
    <w:rsid w:val="001F02E5"/>
    <w:rsid w:val="001F0480"/>
    <w:rsid w:val="001F0726"/>
    <w:rsid w:val="001F0CDB"/>
    <w:rsid w:val="001F0ED1"/>
    <w:rsid w:val="001F132F"/>
    <w:rsid w:val="001F138E"/>
    <w:rsid w:val="001F155A"/>
    <w:rsid w:val="001F16BE"/>
    <w:rsid w:val="001F1B42"/>
    <w:rsid w:val="001F20A9"/>
    <w:rsid w:val="001F21A9"/>
    <w:rsid w:val="001F235A"/>
    <w:rsid w:val="001F2373"/>
    <w:rsid w:val="001F2385"/>
    <w:rsid w:val="001F23A6"/>
    <w:rsid w:val="001F2446"/>
    <w:rsid w:val="001F27C1"/>
    <w:rsid w:val="001F3130"/>
    <w:rsid w:val="001F3656"/>
    <w:rsid w:val="001F3C30"/>
    <w:rsid w:val="001F4007"/>
    <w:rsid w:val="001F406A"/>
    <w:rsid w:val="001F41EA"/>
    <w:rsid w:val="001F43FF"/>
    <w:rsid w:val="001F4D24"/>
    <w:rsid w:val="001F4ECD"/>
    <w:rsid w:val="001F5DCE"/>
    <w:rsid w:val="001F6302"/>
    <w:rsid w:val="001F64E7"/>
    <w:rsid w:val="001F651E"/>
    <w:rsid w:val="001F662D"/>
    <w:rsid w:val="001F6AA9"/>
    <w:rsid w:val="001F6BFA"/>
    <w:rsid w:val="001F6EDC"/>
    <w:rsid w:val="001F7B46"/>
    <w:rsid w:val="001F7DE2"/>
    <w:rsid w:val="001F7F2F"/>
    <w:rsid w:val="00200062"/>
    <w:rsid w:val="0020037B"/>
    <w:rsid w:val="00200633"/>
    <w:rsid w:val="00200854"/>
    <w:rsid w:val="0020095E"/>
    <w:rsid w:val="00200B32"/>
    <w:rsid w:val="00200CE9"/>
    <w:rsid w:val="00200D6D"/>
    <w:rsid w:val="00200DCA"/>
    <w:rsid w:val="00200EE0"/>
    <w:rsid w:val="002010F3"/>
    <w:rsid w:val="0020168B"/>
    <w:rsid w:val="00201902"/>
    <w:rsid w:val="00201994"/>
    <w:rsid w:val="002019FA"/>
    <w:rsid w:val="00201D8A"/>
    <w:rsid w:val="00202D98"/>
    <w:rsid w:val="002031F9"/>
    <w:rsid w:val="00203380"/>
    <w:rsid w:val="00203651"/>
    <w:rsid w:val="00203834"/>
    <w:rsid w:val="00203C22"/>
    <w:rsid w:val="002042E5"/>
    <w:rsid w:val="00204481"/>
    <w:rsid w:val="002044CD"/>
    <w:rsid w:val="00204544"/>
    <w:rsid w:val="0020455E"/>
    <w:rsid w:val="00204718"/>
    <w:rsid w:val="00204869"/>
    <w:rsid w:val="00204974"/>
    <w:rsid w:val="00205684"/>
    <w:rsid w:val="00205ABF"/>
    <w:rsid w:val="002061BC"/>
    <w:rsid w:val="0020630D"/>
    <w:rsid w:val="00206725"/>
    <w:rsid w:val="00206BD3"/>
    <w:rsid w:val="0020740E"/>
    <w:rsid w:val="002078B9"/>
    <w:rsid w:val="00207ABE"/>
    <w:rsid w:val="00207F65"/>
    <w:rsid w:val="002103B2"/>
    <w:rsid w:val="00210461"/>
    <w:rsid w:val="00210792"/>
    <w:rsid w:val="00210AC1"/>
    <w:rsid w:val="00210FE2"/>
    <w:rsid w:val="0021116A"/>
    <w:rsid w:val="002111F9"/>
    <w:rsid w:val="00211278"/>
    <w:rsid w:val="00211488"/>
    <w:rsid w:val="002115B0"/>
    <w:rsid w:val="00211702"/>
    <w:rsid w:val="00211F2E"/>
    <w:rsid w:val="00211F3E"/>
    <w:rsid w:val="002122E8"/>
    <w:rsid w:val="0021284D"/>
    <w:rsid w:val="00212A05"/>
    <w:rsid w:val="0021345E"/>
    <w:rsid w:val="002142C1"/>
    <w:rsid w:val="002145B3"/>
    <w:rsid w:val="002148E1"/>
    <w:rsid w:val="00214908"/>
    <w:rsid w:val="00214957"/>
    <w:rsid w:val="00214D67"/>
    <w:rsid w:val="00215395"/>
    <w:rsid w:val="0021539B"/>
    <w:rsid w:val="002153F6"/>
    <w:rsid w:val="00215428"/>
    <w:rsid w:val="00215D6B"/>
    <w:rsid w:val="00215E79"/>
    <w:rsid w:val="002168A3"/>
    <w:rsid w:val="00216A3E"/>
    <w:rsid w:val="00216B04"/>
    <w:rsid w:val="00216C88"/>
    <w:rsid w:val="00216DC8"/>
    <w:rsid w:val="00216EF5"/>
    <w:rsid w:val="002171A2"/>
    <w:rsid w:val="00217DB9"/>
    <w:rsid w:val="00220052"/>
    <w:rsid w:val="002203B8"/>
    <w:rsid w:val="002207F1"/>
    <w:rsid w:val="0022093B"/>
    <w:rsid w:val="002209B5"/>
    <w:rsid w:val="00220F97"/>
    <w:rsid w:val="0022136B"/>
    <w:rsid w:val="002220FB"/>
    <w:rsid w:val="002221E3"/>
    <w:rsid w:val="002228A2"/>
    <w:rsid w:val="00223256"/>
    <w:rsid w:val="00223653"/>
    <w:rsid w:val="002239C9"/>
    <w:rsid w:val="00223C6F"/>
    <w:rsid w:val="0022409D"/>
    <w:rsid w:val="0022417E"/>
    <w:rsid w:val="00224304"/>
    <w:rsid w:val="00224781"/>
    <w:rsid w:val="00224AF9"/>
    <w:rsid w:val="00224C2A"/>
    <w:rsid w:val="00224CA1"/>
    <w:rsid w:val="00224E75"/>
    <w:rsid w:val="00224F83"/>
    <w:rsid w:val="00224FC1"/>
    <w:rsid w:val="002250BB"/>
    <w:rsid w:val="002253BF"/>
    <w:rsid w:val="00225D1D"/>
    <w:rsid w:val="00225F63"/>
    <w:rsid w:val="0022616C"/>
    <w:rsid w:val="0022626C"/>
    <w:rsid w:val="00226739"/>
    <w:rsid w:val="00226C80"/>
    <w:rsid w:val="00226D17"/>
    <w:rsid w:val="00226F19"/>
    <w:rsid w:val="00227084"/>
    <w:rsid w:val="00227335"/>
    <w:rsid w:val="00227491"/>
    <w:rsid w:val="00227B75"/>
    <w:rsid w:val="00227F3F"/>
    <w:rsid w:val="00227FDA"/>
    <w:rsid w:val="0022FD43"/>
    <w:rsid w:val="002302C4"/>
    <w:rsid w:val="0023033D"/>
    <w:rsid w:val="0023063B"/>
    <w:rsid w:val="0023079D"/>
    <w:rsid w:val="00230DD3"/>
    <w:rsid w:val="00230F15"/>
    <w:rsid w:val="00231884"/>
    <w:rsid w:val="00231D95"/>
    <w:rsid w:val="002320B7"/>
    <w:rsid w:val="00232277"/>
    <w:rsid w:val="00232358"/>
    <w:rsid w:val="002325B0"/>
    <w:rsid w:val="0023264E"/>
    <w:rsid w:val="0023291D"/>
    <w:rsid w:val="00233434"/>
    <w:rsid w:val="00233587"/>
    <w:rsid w:val="00233623"/>
    <w:rsid w:val="002337D2"/>
    <w:rsid w:val="002337E5"/>
    <w:rsid w:val="002338E5"/>
    <w:rsid w:val="00233B32"/>
    <w:rsid w:val="00233F1F"/>
    <w:rsid w:val="0023429A"/>
    <w:rsid w:val="002342B7"/>
    <w:rsid w:val="002343C5"/>
    <w:rsid w:val="00234403"/>
    <w:rsid w:val="00234412"/>
    <w:rsid w:val="00234AF0"/>
    <w:rsid w:val="00234DA8"/>
    <w:rsid w:val="00234EF6"/>
    <w:rsid w:val="00235049"/>
    <w:rsid w:val="002354D5"/>
    <w:rsid w:val="00235768"/>
    <w:rsid w:val="00235B0D"/>
    <w:rsid w:val="00235FEB"/>
    <w:rsid w:val="002365BB"/>
    <w:rsid w:val="00236E6A"/>
    <w:rsid w:val="00237150"/>
    <w:rsid w:val="00237191"/>
    <w:rsid w:val="00237237"/>
    <w:rsid w:val="002375C3"/>
    <w:rsid w:val="00237A61"/>
    <w:rsid w:val="00237B7D"/>
    <w:rsid w:val="00237C9C"/>
    <w:rsid w:val="00237FA2"/>
    <w:rsid w:val="00237FF8"/>
    <w:rsid w:val="00240129"/>
    <w:rsid w:val="0024044D"/>
    <w:rsid w:val="002405CF"/>
    <w:rsid w:val="0024075F"/>
    <w:rsid w:val="00240C4E"/>
    <w:rsid w:val="0024101C"/>
    <w:rsid w:val="002410D1"/>
    <w:rsid w:val="002411CC"/>
    <w:rsid w:val="00241830"/>
    <w:rsid w:val="00241A74"/>
    <w:rsid w:val="00241B52"/>
    <w:rsid w:val="00241D84"/>
    <w:rsid w:val="00242206"/>
    <w:rsid w:val="00242233"/>
    <w:rsid w:val="002423B1"/>
    <w:rsid w:val="00242420"/>
    <w:rsid w:val="00242465"/>
    <w:rsid w:val="00242926"/>
    <w:rsid w:val="00242940"/>
    <w:rsid w:val="00242A2D"/>
    <w:rsid w:val="00242CF1"/>
    <w:rsid w:val="00243102"/>
    <w:rsid w:val="00243195"/>
    <w:rsid w:val="00244343"/>
    <w:rsid w:val="00244A22"/>
    <w:rsid w:val="002452CE"/>
    <w:rsid w:val="00245454"/>
    <w:rsid w:val="00245B4A"/>
    <w:rsid w:val="00245EB7"/>
    <w:rsid w:val="00245F68"/>
    <w:rsid w:val="00245F9C"/>
    <w:rsid w:val="0024616A"/>
    <w:rsid w:val="0024620F"/>
    <w:rsid w:val="002463B1"/>
    <w:rsid w:val="002469FD"/>
    <w:rsid w:val="00246A2B"/>
    <w:rsid w:val="00246C3F"/>
    <w:rsid w:val="0024752A"/>
    <w:rsid w:val="00247DB1"/>
    <w:rsid w:val="002502BB"/>
    <w:rsid w:val="0025048D"/>
    <w:rsid w:val="00250505"/>
    <w:rsid w:val="0025067D"/>
    <w:rsid w:val="00250A84"/>
    <w:rsid w:val="0025138F"/>
    <w:rsid w:val="00251526"/>
    <w:rsid w:val="002515A2"/>
    <w:rsid w:val="002516FE"/>
    <w:rsid w:val="002517A9"/>
    <w:rsid w:val="002518A1"/>
    <w:rsid w:val="002518CF"/>
    <w:rsid w:val="0025198D"/>
    <w:rsid w:val="00251BBF"/>
    <w:rsid w:val="00251D21"/>
    <w:rsid w:val="00251F5E"/>
    <w:rsid w:val="00251F5F"/>
    <w:rsid w:val="00251FA9"/>
    <w:rsid w:val="002521D1"/>
    <w:rsid w:val="002521E9"/>
    <w:rsid w:val="0025240B"/>
    <w:rsid w:val="002526AC"/>
    <w:rsid w:val="00253236"/>
    <w:rsid w:val="002532BA"/>
    <w:rsid w:val="0025342B"/>
    <w:rsid w:val="00253A29"/>
    <w:rsid w:val="00253C29"/>
    <w:rsid w:val="00253D73"/>
    <w:rsid w:val="00254179"/>
    <w:rsid w:val="002547CA"/>
    <w:rsid w:val="00254822"/>
    <w:rsid w:val="002549C6"/>
    <w:rsid w:val="00254AE0"/>
    <w:rsid w:val="00254E65"/>
    <w:rsid w:val="00254F37"/>
    <w:rsid w:val="00254F5A"/>
    <w:rsid w:val="00255383"/>
    <w:rsid w:val="0025557B"/>
    <w:rsid w:val="00255588"/>
    <w:rsid w:val="00255665"/>
    <w:rsid w:val="00255BEA"/>
    <w:rsid w:val="00256547"/>
    <w:rsid w:val="002566BC"/>
    <w:rsid w:val="00256AF5"/>
    <w:rsid w:val="002572EF"/>
    <w:rsid w:val="002577BB"/>
    <w:rsid w:val="002577E6"/>
    <w:rsid w:val="00257F73"/>
    <w:rsid w:val="00260951"/>
    <w:rsid w:val="00260D46"/>
    <w:rsid w:val="00261066"/>
    <w:rsid w:val="002617D7"/>
    <w:rsid w:val="002619B6"/>
    <w:rsid w:val="00261ABE"/>
    <w:rsid w:val="00262651"/>
    <w:rsid w:val="00262921"/>
    <w:rsid w:val="00262C02"/>
    <w:rsid w:val="00262D70"/>
    <w:rsid w:val="00262E3A"/>
    <w:rsid w:val="0026361B"/>
    <w:rsid w:val="00263C08"/>
    <w:rsid w:val="00263C90"/>
    <w:rsid w:val="00263DCC"/>
    <w:rsid w:val="00263EE9"/>
    <w:rsid w:val="0026404B"/>
    <w:rsid w:val="00264086"/>
    <w:rsid w:val="002646F0"/>
    <w:rsid w:val="0026483F"/>
    <w:rsid w:val="00264874"/>
    <w:rsid w:val="00264A09"/>
    <w:rsid w:val="00264F2F"/>
    <w:rsid w:val="0026567D"/>
    <w:rsid w:val="0026582C"/>
    <w:rsid w:val="0026592F"/>
    <w:rsid w:val="00265B37"/>
    <w:rsid w:val="00265B90"/>
    <w:rsid w:val="00266901"/>
    <w:rsid w:val="00266EE6"/>
    <w:rsid w:val="00267C2F"/>
    <w:rsid w:val="00267F7D"/>
    <w:rsid w:val="00270257"/>
    <w:rsid w:val="0027057B"/>
    <w:rsid w:val="002706B8"/>
    <w:rsid w:val="00270948"/>
    <w:rsid w:val="00270FDC"/>
    <w:rsid w:val="00271650"/>
    <w:rsid w:val="00271740"/>
    <w:rsid w:val="00271AAC"/>
    <w:rsid w:val="00271CF7"/>
    <w:rsid w:val="00271F66"/>
    <w:rsid w:val="00272187"/>
    <w:rsid w:val="0027218E"/>
    <w:rsid w:val="00272470"/>
    <w:rsid w:val="0027249F"/>
    <w:rsid w:val="002724E5"/>
    <w:rsid w:val="00272851"/>
    <w:rsid w:val="00273336"/>
    <w:rsid w:val="00273475"/>
    <w:rsid w:val="002734DA"/>
    <w:rsid w:val="00273666"/>
    <w:rsid w:val="0027380E"/>
    <w:rsid w:val="00273E9D"/>
    <w:rsid w:val="002740DF"/>
    <w:rsid w:val="0027453D"/>
    <w:rsid w:val="002745BC"/>
    <w:rsid w:val="00274798"/>
    <w:rsid w:val="00274810"/>
    <w:rsid w:val="00274BBA"/>
    <w:rsid w:val="00274E40"/>
    <w:rsid w:val="00274EBB"/>
    <w:rsid w:val="002750B9"/>
    <w:rsid w:val="0027520E"/>
    <w:rsid w:val="00275A28"/>
    <w:rsid w:val="00275C96"/>
    <w:rsid w:val="00275E75"/>
    <w:rsid w:val="002764AD"/>
    <w:rsid w:val="002764CD"/>
    <w:rsid w:val="00276502"/>
    <w:rsid w:val="0027666E"/>
    <w:rsid w:val="00276760"/>
    <w:rsid w:val="00277534"/>
    <w:rsid w:val="002777BC"/>
    <w:rsid w:val="002777EF"/>
    <w:rsid w:val="00277B60"/>
    <w:rsid w:val="00277BFE"/>
    <w:rsid w:val="00280428"/>
    <w:rsid w:val="002805A9"/>
    <w:rsid w:val="0028066E"/>
    <w:rsid w:val="00280C25"/>
    <w:rsid w:val="00280D66"/>
    <w:rsid w:val="00280E34"/>
    <w:rsid w:val="00280E3E"/>
    <w:rsid w:val="00280F9D"/>
    <w:rsid w:val="002812E7"/>
    <w:rsid w:val="00281E6F"/>
    <w:rsid w:val="00281EEE"/>
    <w:rsid w:val="0028201D"/>
    <w:rsid w:val="0028278E"/>
    <w:rsid w:val="002829EB"/>
    <w:rsid w:val="00282BFD"/>
    <w:rsid w:val="00283790"/>
    <w:rsid w:val="00283B74"/>
    <w:rsid w:val="00283C68"/>
    <w:rsid w:val="00283CD6"/>
    <w:rsid w:val="00283E59"/>
    <w:rsid w:val="00284274"/>
    <w:rsid w:val="00284910"/>
    <w:rsid w:val="00284A86"/>
    <w:rsid w:val="00284B5C"/>
    <w:rsid w:val="00284C8D"/>
    <w:rsid w:val="00284E53"/>
    <w:rsid w:val="0028562C"/>
    <w:rsid w:val="002856B5"/>
    <w:rsid w:val="002859C8"/>
    <w:rsid w:val="00285BDB"/>
    <w:rsid w:val="00285E02"/>
    <w:rsid w:val="002860AC"/>
    <w:rsid w:val="002864B0"/>
    <w:rsid w:val="002867C2"/>
    <w:rsid w:val="002874B8"/>
    <w:rsid w:val="002876B2"/>
    <w:rsid w:val="0028778B"/>
    <w:rsid w:val="00287990"/>
    <w:rsid w:val="00287A62"/>
    <w:rsid w:val="00287F05"/>
    <w:rsid w:val="00287FBB"/>
    <w:rsid w:val="0029059A"/>
    <w:rsid w:val="002905D5"/>
    <w:rsid w:val="00290E1A"/>
    <w:rsid w:val="00291119"/>
    <w:rsid w:val="00291520"/>
    <w:rsid w:val="002915E7"/>
    <w:rsid w:val="002915EC"/>
    <w:rsid w:val="002917B6"/>
    <w:rsid w:val="00291B80"/>
    <w:rsid w:val="00291E2C"/>
    <w:rsid w:val="0029232E"/>
    <w:rsid w:val="002924CD"/>
    <w:rsid w:val="0029278F"/>
    <w:rsid w:val="00292948"/>
    <w:rsid w:val="00292952"/>
    <w:rsid w:val="00292ACE"/>
    <w:rsid w:val="00292F69"/>
    <w:rsid w:val="0029396E"/>
    <w:rsid w:val="00293AD0"/>
    <w:rsid w:val="00293C61"/>
    <w:rsid w:val="00293EA8"/>
    <w:rsid w:val="00294153"/>
    <w:rsid w:val="00294252"/>
    <w:rsid w:val="00294369"/>
    <w:rsid w:val="002943C4"/>
    <w:rsid w:val="0029471B"/>
    <w:rsid w:val="00294A8D"/>
    <w:rsid w:val="00295392"/>
    <w:rsid w:val="00295857"/>
    <w:rsid w:val="002959BD"/>
    <w:rsid w:val="002959D7"/>
    <w:rsid w:val="00296222"/>
    <w:rsid w:val="00296610"/>
    <w:rsid w:val="00296C78"/>
    <w:rsid w:val="00296DB3"/>
    <w:rsid w:val="00297330"/>
    <w:rsid w:val="00297390"/>
    <w:rsid w:val="002975F7"/>
    <w:rsid w:val="0029774D"/>
    <w:rsid w:val="00297B28"/>
    <w:rsid w:val="00297C15"/>
    <w:rsid w:val="002A01FB"/>
    <w:rsid w:val="002A096D"/>
    <w:rsid w:val="002A0A83"/>
    <w:rsid w:val="002A0C0E"/>
    <w:rsid w:val="002A0D0F"/>
    <w:rsid w:val="002A0D1C"/>
    <w:rsid w:val="002A0E53"/>
    <w:rsid w:val="002A0F5C"/>
    <w:rsid w:val="002A12F3"/>
    <w:rsid w:val="002A14FD"/>
    <w:rsid w:val="002A1577"/>
    <w:rsid w:val="002A17C7"/>
    <w:rsid w:val="002A17D3"/>
    <w:rsid w:val="002A19DF"/>
    <w:rsid w:val="002A1A41"/>
    <w:rsid w:val="002A208E"/>
    <w:rsid w:val="002A24C0"/>
    <w:rsid w:val="002A2A69"/>
    <w:rsid w:val="002A2AB7"/>
    <w:rsid w:val="002A2BAC"/>
    <w:rsid w:val="002A2CD5"/>
    <w:rsid w:val="002A2DA0"/>
    <w:rsid w:val="002A3395"/>
    <w:rsid w:val="002A3408"/>
    <w:rsid w:val="002A3D6A"/>
    <w:rsid w:val="002A3FD5"/>
    <w:rsid w:val="002A4162"/>
    <w:rsid w:val="002A42AE"/>
    <w:rsid w:val="002A46F3"/>
    <w:rsid w:val="002A47BD"/>
    <w:rsid w:val="002A48E6"/>
    <w:rsid w:val="002A4980"/>
    <w:rsid w:val="002A52C1"/>
    <w:rsid w:val="002A53F1"/>
    <w:rsid w:val="002A5535"/>
    <w:rsid w:val="002A558D"/>
    <w:rsid w:val="002A56DD"/>
    <w:rsid w:val="002A5B54"/>
    <w:rsid w:val="002A5CDA"/>
    <w:rsid w:val="002A5F3A"/>
    <w:rsid w:val="002A626C"/>
    <w:rsid w:val="002A684E"/>
    <w:rsid w:val="002A7593"/>
    <w:rsid w:val="002A7892"/>
    <w:rsid w:val="002A7DF9"/>
    <w:rsid w:val="002A7E02"/>
    <w:rsid w:val="002A7FD5"/>
    <w:rsid w:val="002B00A9"/>
    <w:rsid w:val="002B030A"/>
    <w:rsid w:val="002B04EE"/>
    <w:rsid w:val="002B053A"/>
    <w:rsid w:val="002B07F3"/>
    <w:rsid w:val="002B0A24"/>
    <w:rsid w:val="002B0BB3"/>
    <w:rsid w:val="002B11A0"/>
    <w:rsid w:val="002B11EF"/>
    <w:rsid w:val="002B11F5"/>
    <w:rsid w:val="002B1C33"/>
    <w:rsid w:val="002B205B"/>
    <w:rsid w:val="002B22D3"/>
    <w:rsid w:val="002B24AD"/>
    <w:rsid w:val="002B262E"/>
    <w:rsid w:val="002B2869"/>
    <w:rsid w:val="002B2AC3"/>
    <w:rsid w:val="002B2D24"/>
    <w:rsid w:val="002B2EEA"/>
    <w:rsid w:val="002B2F2D"/>
    <w:rsid w:val="002B2F98"/>
    <w:rsid w:val="002B305A"/>
    <w:rsid w:val="002B308F"/>
    <w:rsid w:val="002B3579"/>
    <w:rsid w:val="002B35EC"/>
    <w:rsid w:val="002B37C9"/>
    <w:rsid w:val="002B398D"/>
    <w:rsid w:val="002B3DBF"/>
    <w:rsid w:val="002B4030"/>
    <w:rsid w:val="002B47D2"/>
    <w:rsid w:val="002B4AAB"/>
    <w:rsid w:val="002B4B60"/>
    <w:rsid w:val="002B51E8"/>
    <w:rsid w:val="002B548A"/>
    <w:rsid w:val="002B5490"/>
    <w:rsid w:val="002B562E"/>
    <w:rsid w:val="002B5A0C"/>
    <w:rsid w:val="002B5AAC"/>
    <w:rsid w:val="002B5B1F"/>
    <w:rsid w:val="002B5CA9"/>
    <w:rsid w:val="002B5CD0"/>
    <w:rsid w:val="002B60A7"/>
    <w:rsid w:val="002B6871"/>
    <w:rsid w:val="002B693F"/>
    <w:rsid w:val="002B7182"/>
    <w:rsid w:val="002B7563"/>
    <w:rsid w:val="002B75F7"/>
    <w:rsid w:val="002B78C2"/>
    <w:rsid w:val="002B7ACE"/>
    <w:rsid w:val="002B7D55"/>
    <w:rsid w:val="002C01DE"/>
    <w:rsid w:val="002C0221"/>
    <w:rsid w:val="002C04FC"/>
    <w:rsid w:val="002C065B"/>
    <w:rsid w:val="002C1B35"/>
    <w:rsid w:val="002C1E2D"/>
    <w:rsid w:val="002C1FA1"/>
    <w:rsid w:val="002C209F"/>
    <w:rsid w:val="002C2438"/>
    <w:rsid w:val="002C25B3"/>
    <w:rsid w:val="002C28B8"/>
    <w:rsid w:val="002C2CF7"/>
    <w:rsid w:val="002C2D17"/>
    <w:rsid w:val="002C302C"/>
    <w:rsid w:val="002C32E5"/>
    <w:rsid w:val="002C332C"/>
    <w:rsid w:val="002C3370"/>
    <w:rsid w:val="002C3481"/>
    <w:rsid w:val="002C38D4"/>
    <w:rsid w:val="002C3BA7"/>
    <w:rsid w:val="002C41A5"/>
    <w:rsid w:val="002C4AC1"/>
    <w:rsid w:val="002C4BCE"/>
    <w:rsid w:val="002C4BF8"/>
    <w:rsid w:val="002C4C1C"/>
    <w:rsid w:val="002C4D0A"/>
    <w:rsid w:val="002C4EA8"/>
    <w:rsid w:val="002C50B9"/>
    <w:rsid w:val="002C58BE"/>
    <w:rsid w:val="002C5BE4"/>
    <w:rsid w:val="002C5C09"/>
    <w:rsid w:val="002C5D3B"/>
    <w:rsid w:val="002C5DB2"/>
    <w:rsid w:val="002C661D"/>
    <w:rsid w:val="002C66BB"/>
    <w:rsid w:val="002C66D3"/>
    <w:rsid w:val="002C67F1"/>
    <w:rsid w:val="002C6C51"/>
    <w:rsid w:val="002C6E2F"/>
    <w:rsid w:val="002C72F2"/>
    <w:rsid w:val="002C75E0"/>
    <w:rsid w:val="002C77BB"/>
    <w:rsid w:val="002C7FA5"/>
    <w:rsid w:val="002D00DE"/>
    <w:rsid w:val="002D03B9"/>
    <w:rsid w:val="002D0406"/>
    <w:rsid w:val="002D0670"/>
    <w:rsid w:val="002D08A9"/>
    <w:rsid w:val="002D10F9"/>
    <w:rsid w:val="002D1174"/>
    <w:rsid w:val="002D1491"/>
    <w:rsid w:val="002D16B7"/>
    <w:rsid w:val="002D181F"/>
    <w:rsid w:val="002D21A9"/>
    <w:rsid w:val="002D23CE"/>
    <w:rsid w:val="002D24FF"/>
    <w:rsid w:val="002D2567"/>
    <w:rsid w:val="002D2B08"/>
    <w:rsid w:val="002D2C36"/>
    <w:rsid w:val="002D3491"/>
    <w:rsid w:val="002D38EB"/>
    <w:rsid w:val="002D3F28"/>
    <w:rsid w:val="002D3FD1"/>
    <w:rsid w:val="002D4447"/>
    <w:rsid w:val="002D48B6"/>
    <w:rsid w:val="002D49F8"/>
    <w:rsid w:val="002D4CCB"/>
    <w:rsid w:val="002D5041"/>
    <w:rsid w:val="002D50BC"/>
    <w:rsid w:val="002D61FA"/>
    <w:rsid w:val="002D648E"/>
    <w:rsid w:val="002D64B9"/>
    <w:rsid w:val="002D65DB"/>
    <w:rsid w:val="002D660F"/>
    <w:rsid w:val="002D68DD"/>
    <w:rsid w:val="002D7468"/>
    <w:rsid w:val="002D74A4"/>
    <w:rsid w:val="002D7C3D"/>
    <w:rsid w:val="002D7EE7"/>
    <w:rsid w:val="002D7F6A"/>
    <w:rsid w:val="002E03A1"/>
    <w:rsid w:val="002E0560"/>
    <w:rsid w:val="002E0947"/>
    <w:rsid w:val="002E0B4F"/>
    <w:rsid w:val="002E11F0"/>
    <w:rsid w:val="002E16A4"/>
    <w:rsid w:val="002E1C90"/>
    <w:rsid w:val="002E1D5E"/>
    <w:rsid w:val="002E1E06"/>
    <w:rsid w:val="002E2078"/>
    <w:rsid w:val="002E2311"/>
    <w:rsid w:val="002E25BD"/>
    <w:rsid w:val="002E27E0"/>
    <w:rsid w:val="002E2870"/>
    <w:rsid w:val="002E2B13"/>
    <w:rsid w:val="002E326F"/>
    <w:rsid w:val="002E3A65"/>
    <w:rsid w:val="002E3B51"/>
    <w:rsid w:val="002E3B7F"/>
    <w:rsid w:val="002E3C29"/>
    <w:rsid w:val="002E3F11"/>
    <w:rsid w:val="002E447D"/>
    <w:rsid w:val="002E4648"/>
    <w:rsid w:val="002E489B"/>
    <w:rsid w:val="002E48B0"/>
    <w:rsid w:val="002E4963"/>
    <w:rsid w:val="002E4DE3"/>
    <w:rsid w:val="002E55DE"/>
    <w:rsid w:val="002E5636"/>
    <w:rsid w:val="002E5CE6"/>
    <w:rsid w:val="002E61D7"/>
    <w:rsid w:val="002E6672"/>
    <w:rsid w:val="002E67D2"/>
    <w:rsid w:val="002E684C"/>
    <w:rsid w:val="002E69B2"/>
    <w:rsid w:val="002E730C"/>
    <w:rsid w:val="002E7DEC"/>
    <w:rsid w:val="002F043D"/>
    <w:rsid w:val="002F08FB"/>
    <w:rsid w:val="002F0C1F"/>
    <w:rsid w:val="002F0D76"/>
    <w:rsid w:val="002F119E"/>
    <w:rsid w:val="002F12D7"/>
    <w:rsid w:val="002F16BC"/>
    <w:rsid w:val="002F1E49"/>
    <w:rsid w:val="002F1F56"/>
    <w:rsid w:val="002F1F7A"/>
    <w:rsid w:val="002F1FFF"/>
    <w:rsid w:val="002F2470"/>
    <w:rsid w:val="002F2C73"/>
    <w:rsid w:val="002F3997"/>
    <w:rsid w:val="002F3C93"/>
    <w:rsid w:val="002F3CE7"/>
    <w:rsid w:val="002F46ED"/>
    <w:rsid w:val="002F49AF"/>
    <w:rsid w:val="002F512B"/>
    <w:rsid w:val="002F5706"/>
    <w:rsid w:val="002F5EAD"/>
    <w:rsid w:val="002F5F7C"/>
    <w:rsid w:val="002F61D1"/>
    <w:rsid w:val="002F667A"/>
    <w:rsid w:val="002F71CF"/>
    <w:rsid w:val="002F7244"/>
    <w:rsid w:val="002F7B4D"/>
    <w:rsid w:val="002F7D8E"/>
    <w:rsid w:val="002F7FE2"/>
    <w:rsid w:val="003002EF"/>
    <w:rsid w:val="00300441"/>
    <w:rsid w:val="00300DD7"/>
    <w:rsid w:val="00300E11"/>
    <w:rsid w:val="003011F7"/>
    <w:rsid w:val="0030148A"/>
    <w:rsid w:val="0030164E"/>
    <w:rsid w:val="0030173E"/>
    <w:rsid w:val="00301D5E"/>
    <w:rsid w:val="00301DF8"/>
    <w:rsid w:val="0030247D"/>
    <w:rsid w:val="003024AC"/>
    <w:rsid w:val="003025CB"/>
    <w:rsid w:val="00302D2A"/>
    <w:rsid w:val="00302D4A"/>
    <w:rsid w:val="00303202"/>
    <w:rsid w:val="003032B0"/>
    <w:rsid w:val="003036BF"/>
    <w:rsid w:val="0030389D"/>
    <w:rsid w:val="00303B0F"/>
    <w:rsid w:val="003042A5"/>
    <w:rsid w:val="003042B3"/>
    <w:rsid w:val="00304366"/>
    <w:rsid w:val="003045FD"/>
    <w:rsid w:val="00305041"/>
    <w:rsid w:val="0030553D"/>
    <w:rsid w:val="00305779"/>
    <w:rsid w:val="0030590B"/>
    <w:rsid w:val="00305F1F"/>
    <w:rsid w:val="00306139"/>
    <w:rsid w:val="003062D9"/>
    <w:rsid w:val="00306360"/>
    <w:rsid w:val="00306669"/>
    <w:rsid w:val="00306858"/>
    <w:rsid w:val="00306AF0"/>
    <w:rsid w:val="00306D5D"/>
    <w:rsid w:val="00307194"/>
    <w:rsid w:val="003072CB"/>
    <w:rsid w:val="003076EF"/>
    <w:rsid w:val="003103DA"/>
    <w:rsid w:val="003104A7"/>
    <w:rsid w:val="00310805"/>
    <w:rsid w:val="0031131C"/>
    <w:rsid w:val="0031139C"/>
    <w:rsid w:val="003114D0"/>
    <w:rsid w:val="003115C4"/>
    <w:rsid w:val="00311A7C"/>
    <w:rsid w:val="00311B39"/>
    <w:rsid w:val="00311F70"/>
    <w:rsid w:val="003120EC"/>
    <w:rsid w:val="00312205"/>
    <w:rsid w:val="003122F2"/>
    <w:rsid w:val="0031257B"/>
    <w:rsid w:val="00312792"/>
    <w:rsid w:val="003128EF"/>
    <w:rsid w:val="00312BAC"/>
    <w:rsid w:val="00312E55"/>
    <w:rsid w:val="00313020"/>
    <w:rsid w:val="003132E3"/>
    <w:rsid w:val="00313317"/>
    <w:rsid w:val="00313835"/>
    <w:rsid w:val="003138BB"/>
    <w:rsid w:val="00313914"/>
    <w:rsid w:val="0031396D"/>
    <w:rsid w:val="00313D84"/>
    <w:rsid w:val="003143F1"/>
    <w:rsid w:val="003144B0"/>
    <w:rsid w:val="00314E4A"/>
    <w:rsid w:val="00315635"/>
    <w:rsid w:val="0031563D"/>
    <w:rsid w:val="0031598C"/>
    <w:rsid w:val="00315B11"/>
    <w:rsid w:val="00315B3F"/>
    <w:rsid w:val="00315BC5"/>
    <w:rsid w:val="00315C68"/>
    <w:rsid w:val="00316142"/>
    <w:rsid w:val="0031696A"/>
    <w:rsid w:val="003170D7"/>
    <w:rsid w:val="00317245"/>
    <w:rsid w:val="00317331"/>
    <w:rsid w:val="00320516"/>
    <w:rsid w:val="00320852"/>
    <w:rsid w:val="00320B8E"/>
    <w:rsid w:val="00320E6C"/>
    <w:rsid w:val="0032128B"/>
    <w:rsid w:val="00321614"/>
    <w:rsid w:val="00321767"/>
    <w:rsid w:val="003217CA"/>
    <w:rsid w:val="003217E5"/>
    <w:rsid w:val="00321B51"/>
    <w:rsid w:val="00322213"/>
    <w:rsid w:val="00322388"/>
    <w:rsid w:val="003224A3"/>
    <w:rsid w:val="00322743"/>
    <w:rsid w:val="00322784"/>
    <w:rsid w:val="003229F6"/>
    <w:rsid w:val="0032301E"/>
    <w:rsid w:val="00323807"/>
    <w:rsid w:val="00323990"/>
    <w:rsid w:val="00323E28"/>
    <w:rsid w:val="00323EB3"/>
    <w:rsid w:val="00323F1C"/>
    <w:rsid w:val="00324145"/>
    <w:rsid w:val="0032418A"/>
    <w:rsid w:val="00324535"/>
    <w:rsid w:val="003248E2"/>
    <w:rsid w:val="003249DC"/>
    <w:rsid w:val="00324A42"/>
    <w:rsid w:val="00324AD2"/>
    <w:rsid w:val="00324C96"/>
    <w:rsid w:val="00324D9B"/>
    <w:rsid w:val="00324DE9"/>
    <w:rsid w:val="00324E9B"/>
    <w:rsid w:val="00325249"/>
    <w:rsid w:val="00325277"/>
    <w:rsid w:val="003253C8"/>
    <w:rsid w:val="00325C09"/>
    <w:rsid w:val="00326377"/>
    <w:rsid w:val="00327000"/>
    <w:rsid w:val="003270A5"/>
    <w:rsid w:val="003275F7"/>
    <w:rsid w:val="003276C9"/>
    <w:rsid w:val="00327E15"/>
    <w:rsid w:val="003301C9"/>
    <w:rsid w:val="00330639"/>
    <w:rsid w:val="00330AD5"/>
    <w:rsid w:val="00330B7E"/>
    <w:rsid w:val="00331399"/>
    <w:rsid w:val="00331528"/>
    <w:rsid w:val="003316D1"/>
    <w:rsid w:val="0033187F"/>
    <w:rsid w:val="00331C7B"/>
    <w:rsid w:val="00331DD2"/>
    <w:rsid w:val="00331F15"/>
    <w:rsid w:val="00332103"/>
    <w:rsid w:val="00332281"/>
    <w:rsid w:val="00332567"/>
    <w:rsid w:val="00332BA4"/>
    <w:rsid w:val="00332BD7"/>
    <w:rsid w:val="00332EBE"/>
    <w:rsid w:val="00332FEB"/>
    <w:rsid w:val="00333BFD"/>
    <w:rsid w:val="00333DC6"/>
    <w:rsid w:val="00334872"/>
    <w:rsid w:val="00334A40"/>
    <w:rsid w:val="00334C6C"/>
    <w:rsid w:val="00334F3E"/>
    <w:rsid w:val="003351B1"/>
    <w:rsid w:val="0033520C"/>
    <w:rsid w:val="00335287"/>
    <w:rsid w:val="003353BF"/>
    <w:rsid w:val="0033558E"/>
    <w:rsid w:val="00335CF7"/>
    <w:rsid w:val="003360D4"/>
    <w:rsid w:val="00336258"/>
    <w:rsid w:val="003367BA"/>
    <w:rsid w:val="00336CB4"/>
    <w:rsid w:val="0033715A"/>
    <w:rsid w:val="00337173"/>
    <w:rsid w:val="0033719C"/>
    <w:rsid w:val="00337696"/>
    <w:rsid w:val="00337832"/>
    <w:rsid w:val="00337B24"/>
    <w:rsid w:val="00337B27"/>
    <w:rsid w:val="003401CD"/>
    <w:rsid w:val="003402FC"/>
    <w:rsid w:val="00340A43"/>
    <w:rsid w:val="00340D61"/>
    <w:rsid w:val="00340D73"/>
    <w:rsid w:val="00340FDB"/>
    <w:rsid w:val="00341132"/>
    <w:rsid w:val="003416CE"/>
    <w:rsid w:val="00341AB9"/>
    <w:rsid w:val="00341E0A"/>
    <w:rsid w:val="00342565"/>
    <w:rsid w:val="00342932"/>
    <w:rsid w:val="00342991"/>
    <w:rsid w:val="00342AEB"/>
    <w:rsid w:val="00342FFA"/>
    <w:rsid w:val="00343121"/>
    <w:rsid w:val="003431F7"/>
    <w:rsid w:val="00343227"/>
    <w:rsid w:val="003437ED"/>
    <w:rsid w:val="00343BB3"/>
    <w:rsid w:val="00343C83"/>
    <w:rsid w:val="00344398"/>
    <w:rsid w:val="00344455"/>
    <w:rsid w:val="00344729"/>
    <w:rsid w:val="0034484E"/>
    <w:rsid w:val="00344873"/>
    <w:rsid w:val="00344BB8"/>
    <w:rsid w:val="00345241"/>
    <w:rsid w:val="0034535B"/>
    <w:rsid w:val="0034552B"/>
    <w:rsid w:val="003459AC"/>
    <w:rsid w:val="00345CAB"/>
    <w:rsid w:val="00346440"/>
    <w:rsid w:val="003464BE"/>
    <w:rsid w:val="003465FD"/>
    <w:rsid w:val="00346673"/>
    <w:rsid w:val="0034684A"/>
    <w:rsid w:val="00346D3C"/>
    <w:rsid w:val="00347554"/>
    <w:rsid w:val="0034766B"/>
    <w:rsid w:val="00347A8C"/>
    <w:rsid w:val="00347AEA"/>
    <w:rsid w:val="00347D0D"/>
    <w:rsid w:val="00347D86"/>
    <w:rsid w:val="00347F70"/>
    <w:rsid w:val="0034FB87"/>
    <w:rsid w:val="00350115"/>
    <w:rsid w:val="003502A2"/>
    <w:rsid w:val="0035046A"/>
    <w:rsid w:val="00350535"/>
    <w:rsid w:val="00350FF7"/>
    <w:rsid w:val="0035105C"/>
    <w:rsid w:val="003518CE"/>
    <w:rsid w:val="00351FCE"/>
    <w:rsid w:val="003522F3"/>
    <w:rsid w:val="00352645"/>
    <w:rsid w:val="00352BB9"/>
    <w:rsid w:val="00352CA0"/>
    <w:rsid w:val="00352D10"/>
    <w:rsid w:val="00352D22"/>
    <w:rsid w:val="00352E93"/>
    <w:rsid w:val="00352F0A"/>
    <w:rsid w:val="00353816"/>
    <w:rsid w:val="003539C0"/>
    <w:rsid w:val="003541E9"/>
    <w:rsid w:val="0035430C"/>
    <w:rsid w:val="0035436D"/>
    <w:rsid w:val="00354B2F"/>
    <w:rsid w:val="00354BF0"/>
    <w:rsid w:val="00354DDE"/>
    <w:rsid w:val="00354EE9"/>
    <w:rsid w:val="00354F73"/>
    <w:rsid w:val="00355210"/>
    <w:rsid w:val="00355447"/>
    <w:rsid w:val="00355562"/>
    <w:rsid w:val="0035561E"/>
    <w:rsid w:val="00355A6F"/>
    <w:rsid w:val="00355B77"/>
    <w:rsid w:val="003562A5"/>
    <w:rsid w:val="00356A6D"/>
    <w:rsid w:val="00356EB2"/>
    <w:rsid w:val="00356FF0"/>
    <w:rsid w:val="003577EE"/>
    <w:rsid w:val="003577F0"/>
    <w:rsid w:val="00357832"/>
    <w:rsid w:val="00357B4F"/>
    <w:rsid w:val="00357E31"/>
    <w:rsid w:val="003604D9"/>
    <w:rsid w:val="00360567"/>
    <w:rsid w:val="00360654"/>
    <w:rsid w:val="00360BBB"/>
    <w:rsid w:val="00360E9B"/>
    <w:rsid w:val="003611C7"/>
    <w:rsid w:val="003616B5"/>
    <w:rsid w:val="00361904"/>
    <w:rsid w:val="00361A75"/>
    <w:rsid w:val="0036203A"/>
    <w:rsid w:val="00362475"/>
    <w:rsid w:val="0036297C"/>
    <w:rsid w:val="00362F74"/>
    <w:rsid w:val="00363442"/>
    <w:rsid w:val="00363621"/>
    <w:rsid w:val="00363A2B"/>
    <w:rsid w:val="00363C45"/>
    <w:rsid w:val="00363D11"/>
    <w:rsid w:val="00364170"/>
    <w:rsid w:val="003645A3"/>
    <w:rsid w:val="00364BC1"/>
    <w:rsid w:val="00364ED2"/>
    <w:rsid w:val="00364F90"/>
    <w:rsid w:val="0036507F"/>
    <w:rsid w:val="00365153"/>
    <w:rsid w:val="003651FC"/>
    <w:rsid w:val="0036521F"/>
    <w:rsid w:val="00365492"/>
    <w:rsid w:val="003655BD"/>
    <w:rsid w:val="00365707"/>
    <w:rsid w:val="0036592A"/>
    <w:rsid w:val="00365E2F"/>
    <w:rsid w:val="00365F77"/>
    <w:rsid w:val="00366029"/>
    <w:rsid w:val="0036655C"/>
    <w:rsid w:val="003667BB"/>
    <w:rsid w:val="00366C76"/>
    <w:rsid w:val="00366C81"/>
    <w:rsid w:val="00366CDB"/>
    <w:rsid w:val="003677FC"/>
    <w:rsid w:val="00367BBC"/>
    <w:rsid w:val="00367D86"/>
    <w:rsid w:val="003707D4"/>
    <w:rsid w:val="0037082A"/>
    <w:rsid w:val="00370955"/>
    <w:rsid w:val="00370DC9"/>
    <w:rsid w:val="0037151E"/>
    <w:rsid w:val="0037161D"/>
    <w:rsid w:val="00371A92"/>
    <w:rsid w:val="00371F5C"/>
    <w:rsid w:val="003721D5"/>
    <w:rsid w:val="003721DF"/>
    <w:rsid w:val="00372583"/>
    <w:rsid w:val="00372781"/>
    <w:rsid w:val="00372939"/>
    <w:rsid w:val="00372AF4"/>
    <w:rsid w:val="00372BB8"/>
    <w:rsid w:val="00372FEE"/>
    <w:rsid w:val="003732DC"/>
    <w:rsid w:val="0037384F"/>
    <w:rsid w:val="00373BB1"/>
    <w:rsid w:val="00373C4B"/>
    <w:rsid w:val="00373E1F"/>
    <w:rsid w:val="00374016"/>
    <w:rsid w:val="003744B2"/>
    <w:rsid w:val="00374ABA"/>
    <w:rsid w:val="00374C60"/>
    <w:rsid w:val="00374D23"/>
    <w:rsid w:val="00374D6D"/>
    <w:rsid w:val="00374E4F"/>
    <w:rsid w:val="00374F76"/>
    <w:rsid w:val="00374FD0"/>
    <w:rsid w:val="0037502A"/>
    <w:rsid w:val="00375548"/>
    <w:rsid w:val="00375869"/>
    <w:rsid w:val="0037587E"/>
    <w:rsid w:val="00375B84"/>
    <w:rsid w:val="00375B9E"/>
    <w:rsid w:val="00375CF9"/>
    <w:rsid w:val="00376024"/>
    <w:rsid w:val="0037710A"/>
    <w:rsid w:val="003778B2"/>
    <w:rsid w:val="00377A8D"/>
    <w:rsid w:val="00377C26"/>
    <w:rsid w:val="00377D29"/>
    <w:rsid w:val="00377E51"/>
    <w:rsid w:val="00380037"/>
    <w:rsid w:val="0038015A"/>
    <w:rsid w:val="0038015D"/>
    <w:rsid w:val="00380A94"/>
    <w:rsid w:val="00380ADC"/>
    <w:rsid w:val="00380D86"/>
    <w:rsid w:val="00381009"/>
    <w:rsid w:val="00381140"/>
    <w:rsid w:val="0038143F"/>
    <w:rsid w:val="00381554"/>
    <w:rsid w:val="00381BAD"/>
    <w:rsid w:val="00381CF8"/>
    <w:rsid w:val="00382231"/>
    <w:rsid w:val="00382559"/>
    <w:rsid w:val="00382563"/>
    <w:rsid w:val="00383160"/>
    <w:rsid w:val="0038316A"/>
    <w:rsid w:val="0038329D"/>
    <w:rsid w:val="00383433"/>
    <w:rsid w:val="003836EF"/>
    <w:rsid w:val="00383D93"/>
    <w:rsid w:val="00384001"/>
    <w:rsid w:val="00384216"/>
    <w:rsid w:val="00384603"/>
    <w:rsid w:val="0038486C"/>
    <w:rsid w:val="003848A7"/>
    <w:rsid w:val="00384975"/>
    <w:rsid w:val="00384AB4"/>
    <w:rsid w:val="00384C1C"/>
    <w:rsid w:val="00384D8C"/>
    <w:rsid w:val="00384EEB"/>
    <w:rsid w:val="00384F58"/>
    <w:rsid w:val="00385261"/>
    <w:rsid w:val="003853D2"/>
    <w:rsid w:val="0038545C"/>
    <w:rsid w:val="0038594C"/>
    <w:rsid w:val="00385B1E"/>
    <w:rsid w:val="00385C1C"/>
    <w:rsid w:val="00385E1A"/>
    <w:rsid w:val="00386078"/>
    <w:rsid w:val="00386809"/>
    <w:rsid w:val="00386AFB"/>
    <w:rsid w:val="00386B63"/>
    <w:rsid w:val="00386B97"/>
    <w:rsid w:val="003870EC"/>
    <w:rsid w:val="0038720D"/>
    <w:rsid w:val="00387338"/>
    <w:rsid w:val="00387748"/>
    <w:rsid w:val="003879D4"/>
    <w:rsid w:val="00387A84"/>
    <w:rsid w:val="00387FAC"/>
    <w:rsid w:val="003909EA"/>
    <w:rsid w:val="00390B06"/>
    <w:rsid w:val="00390D3E"/>
    <w:rsid w:val="00390D99"/>
    <w:rsid w:val="0039121E"/>
    <w:rsid w:val="0039177C"/>
    <w:rsid w:val="003917A3"/>
    <w:rsid w:val="003925C4"/>
    <w:rsid w:val="0039278C"/>
    <w:rsid w:val="003931B4"/>
    <w:rsid w:val="0039356A"/>
    <w:rsid w:val="00393C85"/>
    <w:rsid w:val="00393F41"/>
    <w:rsid w:val="00394026"/>
    <w:rsid w:val="0039418C"/>
    <w:rsid w:val="0039424A"/>
    <w:rsid w:val="003945A2"/>
    <w:rsid w:val="00394747"/>
    <w:rsid w:val="00394789"/>
    <w:rsid w:val="003948C1"/>
    <w:rsid w:val="003948DE"/>
    <w:rsid w:val="00394A14"/>
    <w:rsid w:val="00395098"/>
    <w:rsid w:val="00395662"/>
    <w:rsid w:val="00395ACA"/>
    <w:rsid w:val="00395CEA"/>
    <w:rsid w:val="00395E51"/>
    <w:rsid w:val="00395E74"/>
    <w:rsid w:val="00395FB0"/>
    <w:rsid w:val="00396000"/>
    <w:rsid w:val="0039633D"/>
    <w:rsid w:val="0039678E"/>
    <w:rsid w:val="00396AD7"/>
    <w:rsid w:val="00396B28"/>
    <w:rsid w:val="00396F74"/>
    <w:rsid w:val="003972E3"/>
    <w:rsid w:val="003974AC"/>
    <w:rsid w:val="003976ED"/>
    <w:rsid w:val="00397905"/>
    <w:rsid w:val="00397A8F"/>
    <w:rsid w:val="00397DD2"/>
    <w:rsid w:val="003A0184"/>
    <w:rsid w:val="003A062D"/>
    <w:rsid w:val="003A0687"/>
    <w:rsid w:val="003A07C4"/>
    <w:rsid w:val="003A09AB"/>
    <w:rsid w:val="003A0A54"/>
    <w:rsid w:val="003A0BC6"/>
    <w:rsid w:val="003A124A"/>
    <w:rsid w:val="003A157E"/>
    <w:rsid w:val="003A20D0"/>
    <w:rsid w:val="003A2350"/>
    <w:rsid w:val="003A2964"/>
    <w:rsid w:val="003A2AEB"/>
    <w:rsid w:val="003A2F66"/>
    <w:rsid w:val="003A359C"/>
    <w:rsid w:val="003A385A"/>
    <w:rsid w:val="003A3B4E"/>
    <w:rsid w:val="003A3B75"/>
    <w:rsid w:val="003A3E21"/>
    <w:rsid w:val="003A3E75"/>
    <w:rsid w:val="003A3F8D"/>
    <w:rsid w:val="003A43C8"/>
    <w:rsid w:val="003A4822"/>
    <w:rsid w:val="003A4A78"/>
    <w:rsid w:val="003A4CF4"/>
    <w:rsid w:val="003A4E65"/>
    <w:rsid w:val="003A507B"/>
    <w:rsid w:val="003A5329"/>
    <w:rsid w:val="003A53DE"/>
    <w:rsid w:val="003A5A3B"/>
    <w:rsid w:val="003A5BFD"/>
    <w:rsid w:val="003A5C8A"/>
    <w:rsid w:val="003A5D42"/>
    <w:rsid w:val="003A5F2F"/>
    <w:rsid w:val="003A6118"/>
    <w:rsid w:val="003A6CD7"/>
    <w:rsid w:val="003A7026"/>
    <w:rsid w:val="003A729C"/>
    <w:rsid w:val="003A7603"/>
    <w:rsid w:val="003A77D1"/>
    <w:rsid w:val="003A786F"/>
    <w:rsid w:val="003A7CD6"/>
    <w:rsid w:val="003A7E1A"/>
    <w:rsid w:val="003B002A"/>
    <w:rsid w:val="003B049A"/>
    <w:rsid w:val="003B061A"/>
    <w:rsid w:val="003B0E0A"/>
    <w:rsid w:val="003B1153"/>
    <w:rsid w:val="003B1A44"/>
    <w:rsid w:val="003B1A85"/>
    <w:rsid w:val="003B1CF3"/>
    <w:rsid w:val="003B1E95"/>
    <w:rsid w:val="003B26FC"/>
    <w:rsid w:val="003B2839"/>
    <w:rsid w:val="003B2A02"/>
    <w:rsid w:val="003B2A96"/>
    <w:rsid w:val="003B2CE9"/>
    <w:rsid w:val="003B33CA"/>
    <w:rsid w:val="003B346C"/>
    <w:rsid w:val="003B3500"/>
    <w:rsid w:val="003B366E"/>
    <w:rsid w:val="003B39EA"/>
    <w:rsid w:val="003B3A91"/>
    <w:rsid w:val="003B45A3"/>
    <w:rsid w:val="003B485E"/>
    <w:rsid w:val="003B4B91"/>
    <w:rsid w:val="003B4D29"/>
    <w:rsid w:val="003B558A"/>
    <w:rsid w:val="003B5B5E"/>
    <w:rsid w:val="003B606E"/>
    <w:rsid w:val="003B619D"/>
    <w:rsid w:val="003B61C3"/>
    <w:rsid w:val="003B6275"/>
    <w:rsid w:val="003B6348"/>
    <w:rsid w:val="003B6413"/>
    <w:rsid w:val="003B6529"/>
    <w:rsid w:val="003B655E"/>
    <w:rsid w:val="003B6966"/>
    <w:rsid w:val="003B6FA9"/>
    <w:rsid w:val="003B765E"/>
    <w:rsid w:val="003B77E7"/>
    <w:rsid w:val="003B77E8"/>
    <w:rsid w:val="003C0365"/>
    <w:rsid w:val="003C038F"/>
    <w:rsid w:val="003C05FF"/>
    <w:rsid w:val="003C0A2C"/>
    <w:rsid w:val="003C0AAF"/>
    <w:rsid w:val="003C1002"/>
    <w:rsid w:val="003C1392"/>
    <w:rsid w:val="003C13F0"/>
    <w:rsid w:val="003C182E"/>
    <w:rsid w:val="003C18A9"/>
    <w:rsid w:val="003C1DF6"/>
    <w:rsid w:val="003C276A"/>
    <w:rsid w:val="003C293A"/>
    <w:rsid w:val="003C2C06"/>
    <w:rsid w:val="003C2C30"/>
    <w:rsid w:val="003C2EE6"/>
    <w:rsid w:val="003C30F7"/>
    <w:rsid w:val="003C3A74"/>
    <w:rsid w:val="003C3E3F"/>
    <w:rsid w:val="003C40E4"/>
    <w:rsid w:val="003C4867"/>
    <w:rsid w:val="003C50CC"/>
    <w:rsid w:val="003C5533"/>
    <w:rsid w:val="003C5CE1"/>
    <w:rsid w:val="003C5E4D"/>
    <w:rsid w:val="003C6349"/>
    <w:rsid w:val="003C642E"/>
    <w:rsid w:val="003C6691"/>
    <w:rsid w:val="003C7387"/>
    <w:rsid w:val="003C750E"/>
    <w:rsid w:val="003C7560"/>
    <w:rsid w:val="003C7BA1"/>
    <w:rsid w:val="003C7C72"/>
    <w:rsid w:val="003C7C7C"/>
    <w:rsid w:val="003C7F06"/>
    <w:rsid w:val="003C7FC0"/>
    <w:rsid w:val="003D0011"/>
    <w:rsid w:val="003D0082"/>
    <w:rsid w:val="003D0325"/>
    <w:rsid w:val="003D0426"/>
    <w:rsid w:val="003D0690"/>
    <w:rsid w:val="003D1443"/>
    <w:rsid w:val="003D17CF"/>
    <w:rsid w:val="003D1B05"/>
    <w:rsid w:val="003D246D"/>
    <w:rsid w:val="003D26C3"/>
    <w:rsid w:val="003D2DDA"/>
    <w:rsid w:val="003D2E45"/>
    <w:rsid w:val="003D2EEF"/>
    <w:rsid w:val="003D31D7"/>
    <w:rsid w:val="003D328C"/>
    <w:rsid w:val="003D33DF"/>
    <w:rsid w:val="003D3562"/>
    <w:rsid w:val="003D3778"/>
    <w:rsid w:val="003D3B46"/>
    <w:rsid w:val="003D3C02"/>
    <w:rsid w:val="003D3DE8"/>
    <w:rsid w:val="003D3FBD"/>
    <w:rsid w:val="003D3FF5"/>
    <w:rsid w:val="003D431E"/>
    <w:rsid w:val="003D4881"/>
    <w:rsid w:val="003D4966"/>
    <w:rsid w:val="003D4A08"/>
    <w:rsid w:val="003D4E41"/>
    <w:rsid w:val="003D54B1"/>
    <w:rsid w:val="003D58C9"/>
    <w:rsid w:val="003D5A8E"/>
    <w:rsid w:val="003D5C91"/>
    <w:rsid w:val="003D5E24"/>
    <w:rsid w:val="003D5FA8"/>
    <w:rsid w:val="003D6078"/>
    <w:rsid w:val="003D6488"/>
    <w:rsid w:val="003D71D6"/>
    <w:rsid w:val="003D7216"/>
    <w:rsid w:val="003D7447"/>
    <w:rsid w:val="003D75B6"/>
    <w:rsid w:val="003D77B2"/>
    <w:rsid w:val="003D7F29"/>
    <w:rsid w:val="003E0012"/>
    <w:rsid w:val="003E0371"/>
    <w:rsid w:val="003E0412"/>
    <w:rsid w:val="003E04E6"/>
    <w:rsid w:val="003E0F3F"/>
    <w:rsid w:val="003E0FFD"/>
    <w:rsid w:val="003E1104"/>
    <w:rsid w:val="003E12FF"/>
    <w:rsid w:val="003E1384"/>
    <w:rsid w:val="003E1A0B"/>
    <w:rsid w:val="003E1FF4"/>
    <w:rsid w:val="003E27B1"/>
    <w:rsid w:val="003E28AA"/>
    <w:rsid w:val="003E2912"/>
    <w:rsid w:val="003E2CE3"/>
    <w:rsid w:val="003E2FE4"/>
    <w:rsid w:val="003E3A15"/>
    <w:rsid w:val="003E3C3E"/>
    <w:rsid w:val="003E3CDA"/>
    <w:rsid w:val="003E4353"/>
    <w:rsid w:val="003E442E"/>
    <w:rsid w:val="003E472D"/>
    <w:rsid w:val="003E4BB1"/>
    <w:rsid w:val="003E4BEB"/>
    <w:rsid w:val="003E4C36"/>
    <w:rsid w:val="003E4C56"/>
    <w:rsid w:val="003E5102"/>
    <w:rsid w:val="003E5978"/>
    <w:rsid w:val="003E5981"/>
    <w:rsid w:val="003E5FFE"/>
    <w:rsid w:val="003E6136"/>
    <w:rsid w:val="003E62B1"/>
    <w:rsid w:val="003E66B9"/>
    <w:rsid w:val="003E67A8"/>
    <w:rsid w:val="003E67DE"/>
    <w:rsid w:val="003E6D65"/>
    <w:rsid w:val="003E6D67"/>
    <w:rsid w:val="003E6E38"/>
    <w:rsid w:val="003E6E88"/>
    <w:rsid w:val="003E72FD"/>
    <w:rsid w:val="003E7D37"/>
    <w:rsid w:val="003F0030"/>
    <w:rsid w:val="003F0345"/>
    <w:rsid w:val="003F0724"/>
    <w:rsid w:val="003F0DC3"/>
    <w:rsid w:val="003F1452"/>
    <w:rsid w:val="003F20BC"/>
    <w:rsid w:val="003F2561"/>
    <w:rsid w:val="003F282F"/>
    <w:rsid w:val="003F292D"/>
    <w:rsid w:val="003F2F06"/>
    <w:rsid w:val="003F31C5"/>
    <w:rsid w:val="003F328F"/>
    <w:rsid w:val="003F32D2"/>
    <w:rsid w:val="003F3480"/>
    <w:rsid w:val="003F35AB"/>
    <w:rsid w:val="003F3A62"/>
    <w:rsid w:val="003F4525"/>
    <w:rsid w:val="003F46A4"/>
    <w:rsid w:val="003F47A9"/>
    <w:rsid w:val="003F484A"/>
    <w:rsid w:val="003F4B66"/>
    <w:rsid w:val="003F4BD2"/>
    <w:rsid w:val="003F4E67"/>
    <w:rsid w:val="003F4F69"/>
    <w:rsid w:val="003F53F2"/>
    <w:rsid w:val="003F57C9"/>
    <w:rsid w:val="003F5CCA"/>
    <w:rsid w:val="003F5DB9"/>
    <w:rsid w:val="003F5EFC"/>
    <w:rsid w:val="003F6147"/>
    <w:rsid w:val="003F618F"/>
    <w:rsid w:val="003F625F"/>
    <w:rsid w:val="003F6982"/>
    <w:rsid w:val="003F6B11"/>
    <w:rsid w:val="003F6D22"/>
    <w:rsid w:val="003F6D7B"/>
    <w:rsid w:val="003F70E9"/>
    <w:rsid w:val="003F77EF"/>
    <w:rsid w:val="003F78E6"/>
    <w:rsid w:val="003F7A19"/>
    <w:rsid w:val="00400113"/>
    <w:rsid w:val="0040013E"/>
    <w:rsid w:val="00400837"/>
    <w:rsid w:val="00400ACF"/>
    <w:rsid w:val="00400E68"/>
    <w:rsid w:val="00401DCD"/>
    <w:rsid w:val="00402271"/>
    <w:rsid w:val="00402874"/>
    <w:rsid w:val="00403017"/>
    <w:rsid w:val="004033C6"/>
    <w:rsid w:val="00403590"/>
    <w:rsid w:val="00403696"/>
    <w:rsid w:val="004036A1"/>
    <w:rsid w:val="00403717"/>
    <w:rsid w:val="00403A9B"/>
    <w:rsid w:val="00403BB1"/>
    <w:rsid w:val="00403C83"/>
    <w:rsid w:val="00403F3F"/>
    <w:rsid w:val="0040401D"/>
    <w:rsid w:val="00404215"/>
    <w:rsid w:val="004045A0"/>
    <w:rsid w:val="00404EA9"/>
    <w:rsid w:val="0040505B"/>
    <w:rsid w:val="00405144"/>
    <w:rsid w:val="00405CD7"/>
    <w:rsid w:val="004061B8"/>
    <w:rsid w:val="0040628F"/>
    <w:rsid w:val="00406810"/>
    <w:rsid w:val="00406824"/>
    <w:rsid w:val="00406EAF"/>
    <w:rsid w:val="00407948"/>
    <w:rsid w:val="00407B87"/>
    <w:rsid w:val="00407C56"/>
    <w:rsid w:val="00410051"/>
    <w:rsid w:val="0041010C"/>
    <w:rsid w:val="004102FC"/>
    <w:rsid w:val="00410BA0"/>
    <w:rsid w:val="00410BEE"/>
    <w:rsid w:val="00410C66"/>
    <w:rsid w:val="00410D05"/>
    <w:rsid w:val="004110B3"/>
    <w:rsid w:val="004111F2"/>
    <w:rsid w:val="004112EA"/>
    <w:rsid w:val="004115B9"/>
    <w:rsid w:val="004115EA"/>
    <w:rsid w:val="004116BC"/>
    <w:rsid w:val="004118A3"/>
    <w:rsid w:val="00411AE0"/>
    <w:rsid w:val="00411AE3"/>
    <w:rsid w:val="00412176"/>
    <w:rsid w:val="0041251B"/>
    <w:rsid w:val="00412B0B"/>
    <w:rsid w:val="00412C81"/>
    <w:rsid w:val="00413205"/>
    <w:rsid w:val="00413535"/>
    <w:rsid w:val="00413676"/>
    <w:rsid w:val="0041384D"/>
    <w:rsid w:val="0041391A"/>
    <w:rsid w:val="00413D53"/>
    <w:rsid w:val="00414AC1"/>
    <w:rsid w:val="00415330"/>
    <w:rsid w:val="004154B4"/>
    <w:rsid w:val="004158B1"/>
    <w:rsid w:val="004159AC"/>
    <w:rsid w:val="004159B4"/>
    <w:rsid w:val="00415B5B"/>
    <w:rsid w:val="00415BF6"/>
    <w:rsid w:val="00416394"/>
    <w:rsid w:val="00416684"/>
    <w:rsid w:val="00416709"/>
    <w:rsid w:val="00416F18"/>
    <w:rsid w:val="00417011"/>
    <w:rsid w:val="004171FD"/>
    <w:rsid w:val="004173CB"/>
    <w:rsid w:val="004175F5"/>
    <w:rsid w:val="00417751"/>
    <w:rsid w:val="004178CA"/>
    <w:rsid w:val="00417BE4"/>
    <w:rsid w:val="0042060E"/>
    <w:rsid w:val="00420A12"/>
    <w:rsid w:val="004210E3"/>
    <w:rsid w:val="00421225"/>
    <w:rsid w:val="0042133E"/>
    <w:rsid w:val="004217FE"/>
    <w:rsid w:val="00421B06"/>
    <w:rsid w:val="00421B7F"/>
    <w:rsid w:val="004224D5"/>
    <w:rsid w:val="00422676"/>
    <w:rsid w:val="0042277F"/>
    <w:rsid w:val="00422E45"/>
    <w:rsid w:val="00423072"/>
    <w:rsid w:val="00423288"/>
    <w:rsid w:val="004234B6"/>
    <w:rsid w:val="0042360A"/>
    <w:rsid w:val="004236AF"/>
    <w:rsid w:val="00423A1F"/>
    <w:rsid w:val="00423EBC"/>
    <w:rsid w:val="00424616"/>
    <w:rsid w:val="00424771"/>
    <w:rsid w:val="004247E4"/>
    <w:rsid w:val="00424835"/>
    <w:rsid w:val="00424A5B"/>
    <w:rsid w:val="00424DBF"/>
    <w:rsid w:val="00424FEC"/>
    <w:rsid w:val="004252C2"/>
    <w:rsid w:val="004259B6"/>
    <w:rsid w:val="00426FB4"/>
    <w:rsid w:val="00427720"/>
    <w:rsid w:val="00427C45"/>
    <w:rsid w:val="00427E8D"/>
    <w:rsid w:val="00427F68"/>
    <w:rsid w:val="004303AF"/>
    <w:rsid w:val="00430723"/>
    <w:rsid w:val="004308E8"/>
    <w:rsid w:val="00430903"/>
    <w:rsid w:val="004309B4"/>
    <w:rsid w:val="00431266"/>
    <w:rsid w:val="0043151C"/>
    <w:rsid w:val="00431944"/>
    <w:rsid w:val="00431BA5"/>
    <w:rsid w:val="00431E93"/>
    <w:rsid w:val="00431FFB"/>
    <w:rsid w:val="00432388"/>
    <w:rsid w:val="00432448"/>
    <w:rsid w:val="0043251B"/>
    <w:rsid w:val="00432547"/>
    <w:rsid w:val="0043306B"/>
    <w:rsid w:val="00433137"/>
    <w:rsid w:val="004332E7"/>
    <w:rsid w:val="00433479"/>
    <w:rsid w:val="00433F26"/>
    <w:rsid w:val="00433F36"/>
    <w:rsid w:val="004342B0"/>
    <w:rsid w:val="0043496F"/>
    <w:rsid w:val="00434D6C"/>
    <w:rsid w:val="00435988"/>
    <w:rsid w:val="00435C3C"/>
    <w:rsid w:val="00435D96"/>
    <w:rsid w:val="00435E9A"/>
    <w:rsid w:val="00435ECC"/>
    <w:rsid w:val="00436017"/>
    <w:rsid w:val="004360FC"/>
    <w:rsid w:val="00436213"/>
    <w:rsid w:val="004362D2"/>
    <w:rsid w:val="004363E2"/>
    <w:rsid w:val="00436861"/>
    <w:rsid w:val="004368E6"/>
    <w:rsid w:val="0043708E"/>
    <w:rsid w:val="00437129"/>
    <w:rsid w:val="00437147"/>
    <w:rsid w:val="0043720D"/>
    <w:rsid w:val="004376FF"/>
    <w:rsid w:val="00437C02"/>
    <w:rsid w:val="00437CE8"/>
    <w:rsid w:val="00437FBB"/>
    <w:rsid w:val="00440B24"/>
    <w:rsid w:val="00440DB1"/>
    <w:rsid w:val="00440E27"/>
    <w:rsid w:val="00440F3A"/>
    <w:rsid w:val="00441A74"/>
    <w:rsid w:val="00441BAB"/>
    <w:rsid w:val="00441E29"/>
    <w:rsid w:val="00441F1D"/>
    <w:rsid w:val="00442321"/>
    <w:rsid w:val="0044252E"/>
    <w:rsid w:val="0044255C"/>
    <w:rsid w:val="004425A7"/>
    <w:rsid w:val="0044283F"/>
    <w:rsid w:val="004429A7"/>
    <w:rsid w:val="00442AFE"/>
    <w:rsid w:val="00442BC9"/>
    <w:rsid w:val="00442BED"/>
    <w:rsid w:val="00442F42"/>
    <w:rsid w:val="00443948"/>
    <w:rsid w:val="00443EC0"/>
    <w:rsid w:val="00443EEC"/>
    <w:rsid w:val="004440F5"/>
    <w:rsid w:val="004441E5"/>
    <w:rsid w:val="004444B2"/>
    <w:rsid w:val="0044464A"/>
    <w:rsid w:val="0044469A"/>
    <w:rsid w:val="004449D0"/>
    <w:rsid w:val="00444A2E"/>
    <w:rsid w:val="00444BC1"/>
    <w:rsid w:val="00444C95"/>
    <w:rsid w:val="00444C9E"/>
    <w:rsid w:val="00444D04"/>
    <w:rsid w:val="004452C4"/>
    <w:rsid w:val="00445477"/>
    <w:rsid w:val="00445B2C"/>
    <w:rsid w:val="00445B58"/>
    <w:rsid w:val="00446098"/>
    <w:rsid w:val="00446D1D"/>
    <w:rsid w:val="00446E99"/>
    <w:rsid w:val="00446FE6"/>
    <w:rsid w:val="004473BB"/>
    <w:rsid w:val="00447785"/>
    <w:rsid w:val="00447FD6"/>
    <w:rsid w:val="00450049"/>
    <w:rsid w:val="00450119"/>
    <w:rsid w:val="00450A2B"/>
    <w:rsid w:val="00451048"/>
    <w:rsid w:val="00451E2B"/>
    <w:rsid w:val="00451E4E"/>
    <w:rsid w:val="00451EC1"/>
    <w:rsid w:val="0045256B"/>
    <w:rsid w:val="004527CA"/>
    <w:rsid w:val="0045293E"/>
    <w:rsid w:val="00452AFA"/>
    <w:rsid w:val="00453316"/>
    <w:rsid w:val="004535C8"/>
    <w:rsid w:val="00453912"/>
    <w:rsid w:val="00453D84"/>
    <w:rsid w:val="00453E18"/>
    <w:rsid w:val="00454EE2"/>
    <w:rsid w:val="004554ED"/>
    <w:rsid w:val="004557A8"/>
    <w:rsid w:val="00455DCF"/>
    <w:rsid w:val="00456147"/>
    <w:rsid w:val="00456261"/>
    <w:rsid w:val="004562C2"/>
    <w:rsid w:val="004562F4"/>
    <w:rsid w:val="0045634D"/>
    <w:rsid w:val="004566E5"/>
    <w:rsid w:val="00456796"/>
    <w:rsid w:val="00456EAC"/>
    <w:rsid w:val="00456EC2"/>
    <w:rsid w:val="0045751F"/>
    <w:rsid w:val="004575D5"/>
    <w:rsid w:val="00457A38"/>
    <w:rsid w:val="00457A39"/>
    <w:rsid w:val="004601D5"/>
    <w:rsid w:val="00460200"/>
    <w:rsid w:val="004602D8"/>
    <w:rsid w:val="004605FA"/>
    <w:rsid w:val="0046061D"/>
    <w:rsid w:val="00460887"/>
    <w:rsid w:val="00460C9B"/>
    <w:rsid w:val="00460DE0"/>
    <w:rsid w:val="00460E90"/>
    <w:rsid w:val="00461472"/>
    <w:rsid w:val="00461589"/>
    <w:rsid w:val="00461968"/>
    <w:rsid w:val="00461A04"/>
    <w:rsid w:val="00462D20"/>
    <w:rsid w:val="004630A2"/>
    <w:rsid w:val="00463352"/>
    <w:rsid w:val="00463506"/>
    <w:rsid w:val="00463726"/>
    <w:rsid w:val="004637C4"/>
    <w:rsid w:val="004637D8"/>
    <w:rsid w:val="00464CCE"/>
    <w:rsid w:val="00464E0E"/>
    <w:rsid w:val="00464EE0"/>
    <w:rsid w:val="00464FC6"/>
    <w:rsid w:val="0046515A"/>
    <w:rsid w:val="00465353"/>
    <w:rsid w:val="00465492"/>
    <w:rsid w:val="00465C17"/>
    <w:rsid w:val="004661FF"/>
    <w:rsid w:val="00466274"/>
    <w:rsid w:val="004664B5"/>
    <w:rsid w:val="004666DC"/>
    <w:rsid w:val="00466924"/>
    <w:rsid w:val="00466ABC"/>
    <w:rsid w:val="00466BFB"/>
    <w:rsid w:val="00466C2D"/>
    <w:rsid w:val="00466FC7"/>
    <w:rsid w:val="0046700A"/>
    <w:rsid w:val="00467011"/>
    <w:rsid w:val="00467167"/>
    <w:rsid w:val="004678F9"/>
    <w:rsid w:val="00467D02"/>
    <w:rsid w:val="00467D6D"/>
    <w:rsid w:val="00467E8F"/>
    <w:rsid w:val="00467EA0"/>
    <w:rsid w:val="00467FD4"/>
    <w:rsid w:val="0047002A"/>
    <w:rsid w:val="004702F2"/>
    <w:rsid w:val="004706AB"/>
    <w:rsid w:val="00470E86"/>
    <w:rsid w:val="004714F3"/>
    <w:rsid w:val="0047157D"/>
    <w:rsid w:val="0047170E"/>
    <w:rsid w:val="004717A3"/>
    <w:rsid w:val="00471B05"/>
    <w:rsid w:val="00471C52"/>
    <w:rsid w:val="004723ED"/>
    <w:rsid w:val="00472702"/>
    <w:rsid w:val="004729DD"/>
    <w:rsid w:val="00472B39"/>
    <w:rsid w:val="00473856"/>
    <w:rsid w:val="00473C51"/>
    <w:rsid w:val="00473F69"/>
    <w:rsid w:val="0047402D"/>
    <w:rsid w:val="00474144"/>
    <w:rsid w:val="0047427F"/>
    <w:rsid w:val="004746A1"/>
    <w:rsid w:val="00474A32"/>
    <w:rsid w:val="00474C3D"/>
    <w:rsid w:val="00475517"/>
    <w:rsid w:val="00475545"/>
    <w:rsid w:val="0047688B"/>
    <w:rsid w:val="00476C93"/>
    <w:rsid w:val="00476D4A"/>
    <w:rsid w:val="00476FE9"/>
    <w:rsid w:val="0047700D"/>
    <w:rsid w:val="0047729E"/>
    <w:rsid w:val="00477C47"/>
    <w:rsid w:val="00477C6F"/>
    <w:rsid w:val="00477D4B"/>
    <w:rsid w:val="004801F0"/>
    <w:rsid w:val="00480352"/>
    <w:rsid w:val="0048063F"/>
    <w:rsid w:val="0048088F"/>
    <w:rsid w:val="00480A43"/>
    <w:rsid w:val="00480B23"/>
    <w:rsid w:val="00480BD7"/>
    <w:rsid w:val="00480C6F"/>
    <w:rsid w:val="00480D85"/>
    <w:rsid w:val="0048163D"/>
    <w:rsid w:val="004817E7"/>
    <w:rsid w:val="004819D4"/>
    <w:rsid w:val="00481FE4"/>
    <w:rsid w:val="00482139"/>
    <w:rsid w:val="0048240B"/>
    <w:rsid w:val="004826EA"/>
    <w:rsid w:val="00482705"/>
    <w:rsid w:val="00483423"/>
    <w:rsid w:val="0048351A"/>
    <w:rsid w:val="004835FA"/>
    <w:rsid w:val="00483AD4"/>
    <w:rsid w:val="00483BFA"/>
    <w:rsid w:val="00483C6C"/>
    <w:rsid w:val="00483E5F"/>
    <w:rsid w:val="00483F71"/>
    <w:rsid w:val="0048406D"/>
    <w:rsid w:val="00484442"/>
    <w:rsid w:val="0048447C"/>
    <w:rsid w:val="004845A9"/>
    <w:rsid w:val="00484F70"/>
    <w:rsid w:val="00485670"/>
    <w:rsid w:val="004856DC"/>
    <w:rsid w:val="004863C7"/>
    <w:rsid w:val="00486C98"/>
    <w:rsid w:val="00486E01"/>
    <w:rsid w:val="00487277"/>
    <w:rsid w:val="004877F8"/>
    <w:rsid w:val="004877FD"/>
    <w:rsid w:val="00487879"/>
    <w:rsid w:val="00487D7E"/>
    <w:rsid w:val="00487F3A"/>
    <w:rsid w:val="00487F57"/>
    <w:rsid w:val="00487F5F"/>
    <w:rsid w:val="0049000A"/>
    <w:rsid w:val="0049059A"/>
    <w:rsid w:val="00491008"/>
    <w:rsid w:val="004919FA"/>
    <w:rsid w:val="00491AD1"/>
    <w:rsid w:val="004926B6"/>
    <w:rsid w:val="0049271A"/>
    <w:rsid w:val="004929AB"/>
    <w:rsid w:val="004929D6"/>
    <w:rsid w:val="00492E3A"/>
    <w:rsid w:val="00492F73"/>
    <w:rsid w:val="004931A7"/>
    <w:rsid w:val="00493210"/>
    <w:rsid w:val="00493356"/>
    <w:rsid w:val="00493554"/>
    <w:rsid w:val="00493A53"/>
    <w:rsid w:val="00493AED"/>
    <w:rsid w:val="00493E6E"/>
    <w:rsid w:val="0049417A"/>
    <w:rsid w:val="0049424D"/>
    <w:rsid w:val="00494286"/>
    <w:rsid w:val="004943B7"/>
    <w:rsid w:val="00494677"/>
    <w:rsid w:val="0049479B"/>
    <w:rsid w:val="00494867"/>
    <w:rsid w:val="00494980"/>
    <w:rsid w:val="004951F8"/>
    <w:rsid w:val="0049542B"/>
    <w:rsid w:val="004955AF"/>
    <w:rsid w:val="00495838"/>
    <w:rsid w:val="00495B27"/>
    <w:rsid w:val="004961BB"/>
    <w:rsid w:val="00496266"/>
    <w:rsid w:val="00497664"/>
    <w:rsid w:val="004977AD"/>
    <w:rsid w:val="00497817"/>
    <w:rsid w:val="004979A3"/>
    <w:rsid w:val="00497A59"/>
    <w:rsid w:val="00497D31"/>
    <w:rsid w:val="0049A810"/>
    <w:rsid w:val="004A0076"/>
    <w:rsid w:val="004A06F2"/>
    <w:rsid w:val="004A0863"/>
    <w:rsid w:val="004A0A76"/>
    <w:rsid w:val="004A0B69"/>
    <w:rsid w:val="004A0C29"/>
    <w:rsid w:val="004A0D5C"/>
    <w:rsid w:val="004A0E75"/>
    <w:rsid w:val="004A10CB"/>
    <w:rsid w:val="004A119D"/>
    <w:rsid w:val="004A1B88"/>
    <w:rsid w:val="004A1BBF"/>
    <w:rsid w:val="004A2498"/>
    <w:rsid w:val="004A276B"/>
    <w:rsid w:val="004A29E5"/>
    <w:rsid w:val="004A2AC7"/>
    <w:rsid w:val="004A2E36"/>
    <w:rsid w:val="004A2FA2"/>
    <w:rsid w:val="004A305E"/>
    <w:rsid w:val="004A348C"/>
    <w:rsid w:val="004A363A"/>
    <w:rsid w:val="004A37D0"/>
    <w:rsid w:val="004A3AAE"/>
    <w:rsid w:val="004A3FA5"/>
    <w:rsid w:val="004A3FD8"/>
    <w:rsid w:val="004A405A"/>
    <w:rsid w:val="004A4249"/>
    <w:rsid w:val="004A4A78"/>
    <w:rsid w:val="004A4B74"/>
    <w:rsid w:val="004A4CE5"/>
    <w:rsid w:val="004A57B0"/>
    <w:rsid w:val="004A596A"/>
    <w:rsid w:val="004A5B53"/>
    <w:rsid w:val="004A5C1F"/>
    <w:rsid w:val="004A5C89"/>
    <w:rsid w:val="004A5CB2"/>
    <w:rsid w:val="004A5F05"/>
    <w:rsid w:val="004A688C"/>
    <w:rsid w:val="004A6A46"/>
    <w:rsid w:val="004A6A5A"/>
    <w:rsid w:val="004A6EA7"/>
    <w:rsid w:val="004A719C"/>
    <w:rsid w:val="004A7967"/>
    <w:rsid w:val="004A7EBC"/>
    <w:rsid w:val="004A7F10"/>
    <w:rsid w:val="004B0737"/>
    <w:rsid w:val="004B08E8"/>
    <w:rsid w:val="004B0B7A"/>
    <w:rsid w:val="004B0F13"/>
    <w:rsid w:val="004B1299"/>
    <w:rsid w:val="004B13EA"/>
    <w:rsid w:val="004B1517"/>
    <w:rsid w:val="004B195E"/>
    <w:rsid w:val="004B1C87"/>
    <w:rsid w:val="004B1CA7"/>
    <w:rsid w:val="004B223F"/>
    <w:rsid w:val="004B2761"/>
    <w:rsid w:val="004B2CC4"/>
    <w:rsid w:val="004B31B5"/>
    <w:rsid w:val="004B31D5"/>
    <w:rsid w:val="004B31FB"/>
    <w:rsid w:val="004B3613"/>
    <w:rsid w:val="004B3760"/>
    <w:rsid w:val="004B3B28"/>
    <w:rsid w:val="004B3BB3"/>
    <w:rsid w:val="004B3C77"/>
    <w:rsid w:val="004B3DF6"/>
    <w:rsid w:val="004B3DFC"/>
    <w:rsid w:val="004B3FEB"/>
    <w:rsid w:val="004B43D3"/>
    <w:rsid w:val="004B4ABA"/>
    <w:rsid w:val="004B4C1B"/>
    <w:rsid w:val="004B4F74"/>
    <w:rsid w:val="004B5364"/>
    <w:rsid w:val="004B548C"/>
    <w:rsid w:val="004B5A28"/>
    <w:rsid w:val="004B5A88"/>
    <w:rsid w:val="004B5D62"/>
    <w:rsid w:val="004B60A2"/>
    <w:rsid w:val="004B664B"/>
    <w:rsid w:val="004B6CFE"/>
    <w:rsid w:val="004B7035"/>
    <w:rsid w:val="004B70CD"/>
    <w:rsid w:val="004B78A6"/>
    <w:rsid w:val="004B78AB"/>
    <w:rsid w:val="004B7CF2"/>
    <w:rsid w:val="004B7DD1"/>
    <w:rsid w:val="004B7ED2"/>
    <w:rsid w:val="004C056A"/>
    <w:rsid w:val="004C0DCF"/>
    <w:rsid w:val="004C0E9C"/>
    <w:rsid w:val="004C0FD8"/>
    <w:rsid w:val="004C10E4"/>
    <w:rsid w:val="004C12C1"/>
    <w:rsid w:val="004C14C9"/>
    <w:rsid w:val="004C1573"/>
    <w:rsid w:val="004C1680"/>
    <w:rsid w:val="004C207D"/>
    <w:rsid w:val="004C20D1"/>
    <w:rsid w:val="004C20D9"/>
    <w:rsid w:val="004C2788"/>
    <w:rsid w:val="004C282C"/>
    <w:rsid w:val="004C28C6"/>
    <w:rsid w:val="004C2C37"/>
    <w:rsid w:val="004C2F94"/>
    <w:rsid w:val="004C302B"/>
    <w:rsid w:val="004C3B1F"/>
    <w:rsid w:val="004C3F43"/>
    <w:rsid w:val="004C3FD9"/>
    <w:rsid w:val="004C4378"/>
    <w:rsid w:val="004C44EE"/>
    <w:rsid w:val="004C467B"/>
    <w:rsid w:val="004C46D3"/>
    <w:rsid w:val="004C5235"/>
    <w:rsid w:val="004C59E8"/>
    <w:rsid w:val="004C5A39"/>
    <w:rsid w:val="004C5CF1"/>
    <w:rsid w:val="004C5D3C"/>
    <w:rsid w:val="004C5ECD"/>
    <w:rsid w:val="004C6133"/>
    <w:rsid w:val="004C62D7"/>
    <w:rsid w:val="004C665C"/>
    <w:rsid w:val="004C6A56"/>
    <w:rsid w:val="004C6DF8"/>
    <w:rsid w:val="004C74CB"/>
    <w:rsid w:val="004C77BF"/>
    <w:rsid w:val="004C7825"/>
    <w:rsid w:val="004C7BEF"/>
    <w:rsid w:val="004D008E"/>
    <w:rsid w:val="004D0E90"/>
    <w:rsid w:val="004D0FBE"/>
    <w:rsid w:val="004D10B4"/>
    <w:rsid w:val="004D10FD"/>
    <w:rsid w:val="004D139E"/>
    <w:rsid w:val="004D13F8"/>
    <w:rsid w:val="004D1A49"/>
    <w:rsid w:val="004D1C60"/>
    <w:rsid w:val="004D1C88"/>
    <w:rsid w:val="004D1E8E"/>
    <w:rsid w:val="004D1F8D"/>
    <w:rsid w:val="004D24A6"/>
    <w:rsid w:val="004D33F5"/>
    <w:rsid w:val="004D3DC7"/>
    <w:rsid w:val="004D4B74"/>
    <w:rsid w:val="004D4E7D"/>
    <w:rsid w:val="004D5453"/>
    <w:rsid w:val="004D6045"/>
    <w:rsid w:val="004D6151"/>
    <w:rsid w:val="004D621B"/>
    <w:rsid w:val="004D65D7"/>
    <w:rsid w:val="004D6756"/>
    <w:rsid w:val="004D70AB"/>
    <w:rsid w:val="004D7288"/>
    <w:rsid w:val="004D744F"/>
    <w:rsid w:val="004D77D7"/>
    <w:rsid w:val="004E000C"/>
    <w:rsid w:val="004E008E"/>
    <w:rsid w:val="004E0562"/>
    <w:rsid w:val="004E0674"/>
    <w:rsid w:val="004E08AC"/>
    <w:rsid w:val="004E1411"/>
    <w:rsid w:val="004E1694"/>
    <w:rsid w:val="004E18C9"/>
    <w:rsid w:val="004E1C22"/>
    <w:rsid w:val="004E1F9C"/>
    <w:rsid w:val="004E2055"/>
    <w:rsid w:val="004E20ED"/>
    <w:rsid w:val="004E2153"/>
    <w:rsid w:val="004E2E76"/>
    <w:rsid w:val="004E3145"/>
    <w:rsid w:val="004E3368"/>
    <w:rsid w:val="004E36E4"/>
    <w:rsid w:val="004E3808"/>
    <w:rsid w:val="004E3865"/>
    <w:rsid w:val="004E3BD6"/>
    <w:rsid w:val="004E4058"/>
    <w:rsid w:val="004E4535"/>
    <w:rsid w:val="004E4D30"/>
    <w:rsid w:val="004E4DC4"/>
    <w:rsid w:val="004E4ED9"/>
    <w:rsid w:val="004E5420"/>
    <w:rsid w:val="004E5525"/>
    <w:rsid w:val="004E5761"/>
    <w:rsid w:val="004E57B8"/>
    <w:rsid w:val="004E58D5"/>
    <w:rsid w:val="004E5AA0"/>
    <w:rsid w:val="004E5AE6"/>
    <w:rsid w:val="004E5CD5"/>
    <w:rsid w:val="004E5EA1"/>
    <w:rsid w:val="004E6167"/>
    <w:rsid w:val="004E7435"/>
    <w:rsid w:val="004E7643"/>
    <w:rsid w:val="004E77BD"/>
    <w:rsid w:val="004E7800"/>
    <w:rsid w:val="004E78C4"/>
    <w:rsid w:val="004E79CC"/>
    <w:rsid w:val="004E7BF4"/>
    <w:rsid w:val="004E7C74"/>
    <w:rsid w:val="004F014E"/>
    <w:rsid w:val="004F03EF"/>
    <w:rsid w:val="004F0FC1"/>
    <w:rsid w:val="004F15F3"/>
    <w:rsid w:val="004F206B"/>
    <w:rsid w:val="004F28EF"/>
    <w:rsid w:val="004F2DA4"/>
    <w:rsid w:val="004F320E"/>
    <w:rsid w:val="004F3827"/>
    <w:rsid w:val="004F3883"/>
    <w:rsid w:val="004F39C6"/>
    <w:rsid w:val="004F39E1"/>
    <w:rsid w:val="004F3ABD"/>
    <w:rsid w:val="004F3BD0"/>
    <w:rsid w:val="004F3CAC"/>
    <w:rsid w:val="004F3E1B"/>
    <w:rsid w:val="004F3EA4"/>
    <w:rsid w:val="004F3EBC"/>
    <w:rsid w:val="004F3EDA"/>
    <w:rsid w:val="004F3F0A"/>
    <w:rsid w:val="004F4418"/>
    <w:rsid w:val="004F461D"/>
    <w:rsid w:val="004F46DD"/>
    <w:rsid w:val="004F4AFE"/>
    <w:rsid w:val="004F4DF3"/>
    <w:rsid w:val="004F4E77"/>
    <w:rsid w:val="004F5361"/>
    <w:rsid w:val="004F536E"/>
    <w:rsid w:val="004F5419"/>
    <w:rsid w:val="004F579C"/>
    <w:rsid w:val="004F5C37"/>
    <w:rsid w:val="004F618E"/>
    <w:rsid w:val="004F61D7"/>
    <w:rsid w:val="004F630E"/>
    <w:rsid w:val="004F6406"/>
    <w:rsid w:val="004F661A"/>
    <w:rsid w:val="004F6AD3"/>
    <w:rsid w:val="004F7325"/>
    <w:rsid w:val="004F7458"/>
    <w:rsid w:val="004F75C4"/>
    <w:rsid w:val="004F7E20"/>
    <w:rsid w:val="004F7E95"/>
    <w:rsid w:val="005004AC"/>
    <w:rsid w:val="0050083D"/>
    <w:rsid w:val="00500968"/>
    <w:rsid w:val="00500D32"/>
    <w:rsid w:val="0050107A"/>
    <w:rsid w:val="005011AA"/>
    <w:rsid w:val="005012AC"/>
    <w:rsid w:val="00501637"/>
    <w:rsid w:val="00501761"/>
    <w:rsid w:val="005017C3"/>
    <w:rsid w:val="005018FA"/>
    <w:rsid w:val="00501E22"/>
    <w:rsid w:val="00502134"/>
    <w:rsid w:val="0050225B"/>
    <w:rsid w:val="005024B3"/>
    <w:rsid w:val="00502B36"/>
    <w:rsid w:val="00502CE5"/>
    <w:rsid w:val="005030D1"/>
    <w:rsid w:val="00503333"/>
    <w:rsid w:val="00503691"/>
    <w:rsid w:val="00503908"/>
    <w:rsid w:val="00503936"/>
    <w:rsid w:val="005039B3"/>
    <w:rsid w:val="00503D1D"/>
    <w:rsid w:val="0050451E"/>
    <w:rsid w:val="00504AB9"/>
    <w:rsid w:val="00504FB9"/>
    <w:rsid w:val="0050584F"/>
    <w:rsid w:val="0050598E"/>
    <w:rsid w:val="00506397"/>
    <w:rsid w:val="0050639B"/>
    <w:rsid w:val="0050646F"/>
    <w:rsid w:val="0050662A"/>
    <w:rsid w:val="0050667B"/>
    <w:rsid w:val="00506794"/>
    <w:rsid w:val="00506996"/>
    <w:rsid w:val="00506E72"/>
    <w:rsid w:val="00506EAE"/>
    <w:rsid w:val="00506F14"/>
    <w:rsid w:val="00507463"/>
    <w:rsid w:val="00507652"/>
    <w:rsid w:val="005078C7"/>
    <w:rsid w:val="00507F2C"/>
    <w:rsid w:val="005101CD"/>
    <w:rsid w:val="0051059F"/>
    <w:rsid w:val="005105A4"/>
    <w:rsid w:val="00510D47"/>
    <w:rsid w:val="005113CE"/>
    <w:rsid w:val="00511458"/>
    <w:rsid w:val="00511935"/>
    <w:rsid w:val="00511AEA"/>
    <w:rsid w:val="00512047"/>
    <w:rsid w:val="005121A5"/>
    <w:rsid w:val="005126FA"/>
    <w:rsid w:val="00512F6C"/>
    <w:rsid w:val="00513103"/>
    <w:rsid w:val="005145B3"/>
    <w:rsid w:val="00514EA7"/>
    <w:rsid w:val="00515053"/>
    <w:rsid w:val="00515192"/>
    <w:rsid w:val="0051535F"/>
    <w:rsid w:val="0051585B"/>
    <w:rsid w:val="00516DDB"/>
    <w:rsid w:val="00516F85"/>
    <w:rsid w:val="005171C5"/>
    <w:rsid w:val="00517268"/>
    <w:rsid w:val="0051778B"/>
    <w:rsid w:val="00517868"/>
    <w:rsid w:val="0051796B"/>
    <w:rsid w:val="00520A12"/>
    <w:rsid w:val="00520B81"/>
    <w:rsid w:val="0052100B"/>
    <w:rsid w:val="0052109A"/>
    <w:rsid w:val="005211A6"/>
    <w:rsid w:val="00521448"/>
    <w:rsid w:val="005214C2"/>
    <w:rsid w:val="005214F8"/>
    <w:rsid w:val="00521650"/>
    <w:rsid w:val="005219EE"/>
    <w:rsid w:val="00521C3A"/>
    <w:rsid w:val="00522175"/>
    <w:rsid w:val="005221A5"/>
    <w:rsid w:val="005221E7"/>
    <w:rsid w:val="00522947"/>
    <w:rsid w:val="00523035"/>
    <w:rsid w:val="0052385D"/>
    <w:rsid w:val="005239A3"/>
    <w:rsid w:val="00523BE1"/>
    <w:rsid w:val="0052407A"/>
    <w:rsid w:val="005245AC"/>
    <w:rsid w:val="0052474B"/>
    <w:rsid w:val="005248E9"/>
    <w:rsid w:val="00524B14"/>
    <w:rsid w:val="00524E20"/>
    <w:rsid w:val="0052513C"/>
    <w:rsid w:val="0052525B"/>
    <w:rsid w:val="005254E5"/>
    <w:rsid w:val="00525562"/>
    <w:rsid w:val="00525972"/>
    <w:rsid w:val="00525CC1"/>
    <w:rsid w:val="00526490"/>
    <w:rsid w:val="00526BC7"/>
    <w:rsid w:val="00526BDD"/>
    <w:rsid w:val="00526C08"/>
    <w:rsid w:val="00526CD5"/>
    <w:rsid w:val="00526F5D"/>
    <w:rsid w:val="005270C0"/>
    <w:rsid w:val="005278DF"/>
    <w:rsid w:val="00527939"/>
    <w:rsid w:val="00527AFD"/>
    <w:rsid w:val="00527E2E"/>
    <w:rsid w:val="005308B0"/>
    <w:rsid w:val="00530954"/>
    <w:rsid w:val="00530A08"/>
    <w:rsid w:val="00531A8A"/>
    <w:rsid w:val="00531B77"/>
    <w:rsid w:val="00531CB1"/>
    <w:rsid w:val="005324A8"/>
    <w:rsid w:val="00532A82"/>
    <w:rsid w:val="005331B7"/>
    <w:rsid w:val="005332B2"/>
    <w:rsid w:val="005336E0"/>
    <w:rsid w:val="0053370F"/>
    <w:rsid w:val="00533A89"/>
    <w:rsid w:val="00533B3F"/>
    <w:rsid w:val="00533E47"/>
    <w:rsid w:val="00534723"/>
    <w:rsid w:val="00534985"/>
    <w:rsid w:val="00534C92"/>
    <w:rsid w:val="00535587"/>
    <w:rsid w:val="005357CB"/>
    <w:rsid w:val="005359ED"/>
    <w:rsid w:val="00535CE7"/>
    <w:rsid w:val="00535D09"/>
    <w:rsid w:val="00535E72"/>
    <w:rsid w:val="00536511"/>
    <w:rsid w:val="005365F9"/>
    <w:rsid w:val="00536888"/>
    <w:rsid w:val="00536B6B"/>
    <w:rsid w:val="00537219"/>
    <w:rsid w:val="00537360"/>
    <w:rsid w:val="005375C6"/>
    <w:rsid w:val="005401C9"/>
    <w:rsid w:val="00540334"/>
    <w:rsid w:val="005406BF"/>
    <w:rsid w:val="00540A63"/>
    <w:rsid w:val="00540DA3"/>
    <w:rsid w:val="00540E1C"/>
    <w:rsid w:val="00541202"/>
    <w:rsid w:val="00541529"/>
    <w:rsid w:val="00541827"/>
    <w:rsid w:val="00541C51"/>
    <w:rsid w:val="00541C56"/>
    <w:rsid w:val="00541F78"/>
    <w:rsid w:val="005423EB"/>
    <w:rsid w:val="00542718"/>
    <w:rsid w:val="0054273D"/>
    <w:rsid w:val="005427F3"/>
    <w:rsid w:val="00542832"/>
    <w:rsid w:val="00542C54"/>
    <w:rsid w:val="00542E4C"/>
    <w:rsid w:val="005432FE"/>
    <w:rsid w:val="005437EF"/>
    <w:rsid w:val="005438DB"/>
    <w:rsid w:val="00543B3F"/>
    <w:rsid w:val="00543B51"/>
    <w:rsid w:val="00543B5D"/>
    <w:rsid w:val="005440D0"/>
    <w:rsid w:val="00544146"/>
    <w:rsid w:val="005448E2"/>
    <w:rsid w:val="00544DB2"/>
    <w:rsid w:val="00544E28"/>
    <w:rsid w:val="00544E6D"/>
    <w:rsid w:val="00544FE9"/>
    <w:rsid w:val="005452B1"/>
    <w:rsid w:val="00545526"/>
    <w:rsid w:val="005455C5"/>
    <w:rsid w:val="005457E4"/>
    <w:rsid w:val="005458A3"/>
    <w:rsid w:val="005458DF"/>
    <w:rsid w:val="0054598D"/>
    <w:rsid w:val="00545A83"/>
    <w:rsid w:val="00545F39"/>
    <w:rsid w:val="00545F8E"/>
    <w:rsid w:val="00545FC1"/>
    <w:rsid w:val="0054657B"/>
    <w:rsid w:val="00546910"/>
    <w:rsid w:val="00546FFA"/>
    <w:rsid w:val="00547256"/>
    <w:rsid w:val="0054736A"/>
    <w:rsid w:val="00547B74"/>
    <w:rsid w:val="00550214"/>
    <w:rsid w:val="00550448"/>
    <w:rsid w:val="005507F9"/>
    <w:rsid w:val="005513CF"/>
    <w:rsid w:val="005514C7"/>
    <w:rsid w:val="005516A7"/>
    <w:rsid w:val="00551E4A"/>
    <w:rsid w:val="005520C5"/>
    <w:rsid w:val="0055218C"/>
    <w:rsid w:val="00552191"/>
    <w:rsid w:val="005521BA"/>
    <w:rsid w:val="00552358"/>
    <w:rsid w:val="0055244B"/>
    <w:rsid w:val="005524A0"/>
    <w:rsid w:val="00552EF5"/>
    <w:rsid w:val="0055368A"/>
    <w:rsid w:val="00553EB9"/>
    <w:rsid w:val="00553FCC"/>
    <w:rsid w:val="00554119"/>
    <w:rsid w:val="005543DB"/>
    <w:rsid w:val="00554427"/>
    <w:rsid w:val="00554629"/>
    <w:rsid w:val="005546D4"/>
    <w:rsid w:val="00554923"/>
    <w:rsid w:val="00554985"/>
    <w:rsid w:val="005552E3"/>
    <w:rsid w:val="005555C1"/>
    <w:rsid w:val="00555715"/>
    <w:rsid w:val="00555A7C"/>
    <w:rsid w:val="00555C6A"/>
    <w:rsid w:val="00555CE4"/>
    <w:rsid w:val="00555D69"/>
    <w:rsid w:val="00555DC2"/>
    <w:rsid w:val="005566D4"/>
    <w:rsid w:val="0055675F"/>
    <w:rsid w:val="00557038"/>
    <w:rsid w:val="0055707A"/>
    <w:rsid w:val="005570E6"/>
    <w:rsid w:val="00557E55"/>
    <w:rsid w:val="005603A9"/>
    <w:rsid w:val="005607DC"/>
    <w:rsid w:val="005608C1"/>
    <w:rsid w:val="00561237"/>
    <w:rsid w:val="005619A4"/>
    <w:rsid w:val="00561BCD"/>
    <w:rsid w:val="0056223F"/>
    <w:rsid w:val="0056241C"/>
    <w:rsid w:val="0056274B"/>
    <w:rsid w:val="005631AF"/>
    <w:rsid w:val="005633B8"/>
    <w:rsid w:val="0056354A"/>
    <w:rsid w:val="00563D5F"/>
    <w:rsid w:val="005645FA"/>
    <w:rsid w:val="005647CA"/>
    <w:rsid w:val="005647DB"/>
    <w:rsid w:val="00564C47"/>
    <w:rsid w:val="00564C90"/>
    <w:rsid w:val="00564F92"/>
    <w:rsid w:val="0056502A"/>
    <w:rsid w:val="005650EB"/>
    <w:rsid w:val="00565299"/>
    <w:rsid w:val="00565427"/>
    <w:rsid w:val="005654E1"/>
    <w:rsid w:val="0056577B"/>
    <w:rsid w:val="00565BA3"/>
    <w:rsid w:val="00565F7C"/>
    <w:rsid w:val="00565FC4"/>
    <w:rsid w:val="0056664B"/>
    <w:rsid w:val="00566680"/>
    <w:rsid w:val="00566A2D"/>
    <w:rsid w:val="00566C29"/>
    <w:rsid w:val="00566C59"/>
    <w:rsid w:val="00566FAC"/>
    <w:rsid w:val="00567482"/>
    <w:rsid w:val="0056767A"/>
    <w:rsid w:val="0056774C"/>
    <w:rsid w:val="005677C2"/>
    <w:rsid w:val="00567E58"/>
    <w:rsid w:val="005709C0"/>
    <w:rsid w:val="00571049"/>
    <w:rsid w:val="00571740"/>
    <w:rsid w:val="005722DD"/>
    <w:rsid w:val="00572322"/>
    <w:rsid w:val="00572501"/>
    <w:rsid w:val="005747EC"/>
    <w:rsid w:val="0057485F"/>
    <w:rsid w:val="00574C8E"/>
    <w:rsid w:val="00574D6A"/>
    <w:rsid w:val="00574F22"/>
    <w:rsid w:val="005753B8"/>
    <w:rsid w:val="00575446"/>
    <w:rsid w:val="00575EC4"/>
    <w:rsid w:val="005766CC"/>
    <w:rsid w:val="00576808"/>
    <w:rsid w:val="005768ED"/>
    <w:rsid w:val="00576CDB"/>
    <w:rsid w:val="00576DD2"/>
    <w:rsid w:val="00576EB2"/>
    <w:rsid w:val="005770B9"/>
    <w:rsid w:val="00577134"/>
    <w:rsid w:val="0057747A"/>
    <w:rsid w:val="00577EBF"/>
    <w:rsid w:val="00577EF6"/>
    <w:rsid w:val="00580174"/>
    <w:rsid w:val="005802AA"/>
    <w:rsid w:val="00580607"/>
    <w:rsid w:val="005806CD"/>
    <w:rsid w:val="00580AE6"/>
    <w:rsid w:val="00580B7A"/>
    <w:rsid w:val="00580CA5"/>
    <w:rsid w:val="00581634"/>
    <w:rsid w:val="005819F8"/>
    <w:rsid w:val="00581B4E"/>
    <w:rsid w:val="00581EDE"/>
    <w:rsid w:val="00582788"/>
    <w:rsid w:val="00582FFA"/>
    <w:rsid w:val="00583047"/>
    <w:rsid w:val="005831AE"/>
    <w:rsid w:val="005835D2"/>
    <w:rsid w:val="005844CE"/>
    <w:rsid w:val="0058490E"/>
    <w:rsid w:val="00584A7A"/>
    <w:rsid w:val="00584A87"/>
    <w:rsid w:val="00584B9E"/>
    <w:rsid w:val="00584EFE"/>
    <w:rsid w:val="00585155"/>
    <w:rsid w:val="00585D38"/>
    <w:rsid w:val="00585DEB"/>
    <w:rsid w:val="00585E18"/>
    <w:rsid w:val="0058636B"/>
    <w:rsid w:val="00586409"/>
    <w:rsid w:val="005864EE"/>
    <w:rsid w:val="005865C9"/>
    <w:rsid w:val="005867FA"/>
    <w:rsid w:val="00586836"/>
    <w:rsid w:val="00586A69"/>
    <w:rsid w:val="00586BAA"/>
    <w:rsid w:val="00586E44"/>
    <w:rsid w:val="00586FE7"/>
    <w:rsid w:val="00587462"/>
    <w:rsid w:val="00587595"/>
    <w:rsid w:val="00587A23"/>
    <w:rsid w:val="00587A43"/>
    <w:rsid w:val="00587AD2"/>
    <w:rsid w:val="00587CE5"/>
    <w:rsid w:val="00587FF2"/>
    <w:rsid w:val="005906DC"/>
    <w:rsid w:val="005911EC"/>
    <w:rsid w:val="00591567"/>
    <w:rsid w:val="0059190B"/>
    <w:rsid w:val="00591940"/>
    <w:rsid w:val="00591978"/>
    <w:rsid w:val="00591E0E"/>
    <w:rsid w:val="00592054"/>
    <w:rsid w:val="00592142"/>
    <w:rsid w:val="00592201"/>
    <w:rsid w:val="005926C6"/>
    <w:rsid w:val="005927D0"/>
    <w:rsid w:val="00592819"/>
    <w:rsid w:val="00592C3C"/>
    <w:rsid w:val="00592DF2"/>
    <w:rsid w:val="00592F66"/>
    <w:rsid w:val="0059312F"/>
    <w:rsid w:val="005931E4"/>
    <w:rsid w:val="005933FC"/>
    <w:rsid w:val="00593473"/>
    <w:rsid w:val="00593BDD"/>
    <w:rsid w:val="00594307"/>
    <w:rsid w:val="00594B33"/>
    <w:rsid w:val="00594BA9"/>
    <w:rsid w:val="00594CBF"/>
    <w:rsid w:val="0059567E"/>
    <w:rsid w:val="00595A11"/>
    <w:rsid w:val="00595BC7"/>
    <w:rsid w:val="00595E78"/>
    <w:rsid w:val="005969D2"/>
    <w:rsid w:val="005969E2"/>
    <w:rsid w:val="00596E19"/>
    <w:rsid w:val="00597399"/>
    <w:rsid w:val="005973FE"/>
    <w:rsid w:val="00597859"/>
    <w:rsid w:val="00597970"/>
    <w:rsid w:val="00597A82"/>
    <w:rsid w:val="00597AF9"/>
    <w:rsid w:val="00597BE7"/>
    <w:rsid w:val="00597F7B"/>
    <w:rsid w:val="005A000F"/>
    <w:rsid w:val="005A006A"/>
    <w:rsid w:val="005A0448"/>
    <w:rsid w:val="005A05C2"/>
    <w:rsid w:val="005A06C2"/>
    <w:rsid w:val="005A0ADF"/>
    <w:rsid w:val="005A0BBC"/>
    <w:rsid w:val="005A0CDF"/>
    <w:rsid w:val="005A0E78"/>
    <w:rsid w:val="005A0EDB"/>
    <w:rsid w:val="005A0F3F"/>
    <w:rsid w:val="005A11FB"/>
    <w:rsid w:val="005A12AD"/>
    <w:rsid w:val="005A16A3"/>
    <w:rsid w:val="005A185B"/>
    <w:rsid w:val="005A1BC4"/>
    <w:rsid w:val="005A1C5E"/>
    <w:rsid w:val="005A2186"/>
    <w:rsid w:val="005A2F6B"/>
    <w:rsid w:val="005A3076"/>
    <w:rsid w:val="005A359F"/>
    <w:rsid w:val="005A372E"/>
    <w:rsid w:val="005A39A1"/>
    <w:rsid w:val="005A3A4F"/>
    <w:rsid w:val="005A3E49"/>
    <w:rsid w:val="005A47AA"/>
    <w:rsid w:val="005A4D04"/>
    <w:rsid w:val="005A5694"/>
    <w:rsid w:val="005A58DF"/>
    <w:rsid w:val="005A5B22"/>
    <w:rsid w:val="005A5D5A"/>
    <w:rsid w:val="005A6125"/>
    <w:rsid w:val="005A62E8"/>
    <w:rsid w:val="005A65D6"/>
    <w:rsid w:val="005A69A6"/>
    <w:rsid w:val="005A6BB0"/>
    <w:rsid w:val="005A6C35"/>
    <w:rsid w:val="005A78B3"/>
    <w:rsid w:val="005B02CC"/>
    <w:rsid w:val="005B0550"/>
    <w:rsid w:val="005B08A7"/>
    <w:rsid w:val="005B0948"/>
    <w:rsid w:val="005B0D40"/>
    <w:rsid w:val="005B0EC6"/>
    <w:rsid w:val="005B18C5"/>
    <w:rsid w:val="005B1994"/>
    <w:rsid w:val="005B2059"/>
    <w:rsid w:val="005B22A1"/>
    <w:rsid w:val="005B2ACB"/>
    <w:rsid w:val="005B2B20"/>
    <w:rsid w:val="005B2BDE"/>
    <w:rsid w:val="005B2C60"/>
    <w:rsid w:val="005B2D99"/>
    <w:rsid w:val="005B3120"/>
    <w:rsid w:val="005B32AF"/>
    <w:rsid w:val="005B338E"/>
    <w:rsid w:val="005B35F6"/>
    <w:rsid w:val="005B3B03"/>
    <w:rsid w:val="005B42CF"/>
    <w:rsid w:val="005B4BFA"/>
    <w:rsid w:val="005B4D03"/>
    <w:rsid w:val="005B520B"/>
    <w:rsid w:val="005B585A"/>
    <w:rsid w:val="005B5986"/>
    <w:rsid w:val="005B5A72"/>
    <w:rsid w:val="005B5A77"/>
    <w:rsid w:val="005B5D79"/>
    <w:rsid w:val="005B5E2B"/>
    <w:rsid w:val="005B604D"/>
    <w:rsid w:val="005B62E4"/>
    <w:rsid w:val="005B6DCC"/>
    <w:rsid w:val="005B7072"/>
    <w:rsid w:val="005B7361"/>
    <w:rsid w:val="005B7676"/>
    <w:rsid w:val="005B78F5"/>
    <w:rsid w:val="005B797C"/>
    <w:rsid w:val="005B7B73"/>
    <w:rsid w:val="005B7B86"/>
    <w:rsid w:val="005B7DB9"/>
    <w:rsid w:val="005B8EB7"/>
    <w:rsid w:val="005C035B"/>
    <w:rsid w:val="005C059D"/>
    <w:rsid w:val="005C086B"/>
    <w:rsid w:val="005C0E7B"/>
    <w:rsid w:val="005C0F44"/>
    <w:rsid w:val="005C118C"/>
    <w:rsid w:val="005C1963"/>
    <w:rsid w:val="005C1A95"/>
    <w:rsid w:val="005C1AF2"/>
    <w:rsid w:val="005C1AFE"/>
    <w:rsid w:val="005C1CEF"/>
    <w:rsid w:val="005C208F"/>
    <w:rsid w:val="005C20BC"/>
    <w:rsid w:val="005C22FE"/>
    <w:rsid w:val="005C2768"/>
    <w:rsid w:val="005C279F"/>
    <w:rsid w:val="005C28DB"/>
    <w:rsid w:val="005C2B8E"/>
    <w:rsid w:val="005C2CE4"/>
    <w:rsid w:val="005C2E11"/>
    <w:rsid w:val="005C3384"/>
    <w:rsid w:val="005C33B0"/>
    <w:rsid w:val="005C349B"/>
    <w:rsid w:val="005C3554"/>
    <w:rsid w:val="005C38D2"/>
    <w:rsid w:val="005C3C34"/>
    <w:rsid w:val="005C3C35"/>
    <w:rsid w:val="005C3E4F"/>
    <w:rsid w:val="005C3F57"/>
    <w:rsid w:val="005C466B"/>
    <w:rsid w:val="005C48B8"/>
    <w:rsid w:val="005C4A57"/>
    <w:rsid w:val="005C4CE7"/>
    <w:rsid w:val="005C50B4"/>
    <w:rsid w:val="005C524B"/>
    <w:rsid w:val="005C554B"/>
    <w:rsid w:val="005C55BF"/>
    <w:rsid w:val="005C5E82"/>
    <w:rsid w:val="005C618A"/>
    <w:rsid w:val="005C61D1"/>
    <w:rsid w:val="005C63E0"/>
    <w:rsid w:val="005C649A"/>
    <w:rsid w:val="005C6581"/>
    <w:rsid w:val="005C69E7"/>
    <w:rsid w:val="005C6EBC"/>
    <w:rsid w:val="005C737A"/>
    <w:rsid w:val="005C73B0"/>
    <w:rsid w:val="005C73E2"/>
    <w:rsid w:val="005C78B2"/>
    <w:rsid w:val="005C7EF4"/>
    <w:rsid w:val="005D00A5"/>
    <w:rsid w:val="005D0573"/>
    <w:rsid w:val="005D05A6"/>
    <w:rsid w:val="005D099E"/>
    <w:rsid w:val="005D0BA9"/>
    <w:rsid w:val="005D0FF4"/>
    <w:rsid w:val="005D1169"/>
    <w:rsid w:val="005D15A5"/>
    <w:rsid w:val="005D1B17"/>
    <w:rsid w:val="005D1E4A"/>
    <w:rsid w:val="005D2264"/>
    <w:rsid w:val="005D24CD"/>
    <w:rsid w:val="005D2666"/>
    <w:rsid w:val="005D285C"/>
    <w:rsid w:val="005D30A9"/>
    <w:rsid w:val="005D3267"/>
    <w:rsid w:val="005D32DE"/>
    <w:rsid w:val="005D352F"/>
    <w:rsid w:val="005D395E"/>
    <w:rsid w:val="005D42D6"/>
    <w:rsid w:val="005D49E8"/>
    <w:rsid w:val="005D4D14"/>
    <w:rsid w:val="005D4D6C"/>
    <w:rsid w:val="005D5228"/>
    <w:rsid w:val="005D539D"/>
    <w:rsid w:val="005D53FC"/>
    <w:rsid w:val="005D549F"/>
    <w:rsid w:val="005D5E41"/>
    <w:rsid w:val="005D5F0F"/>
    <w:rsid w:val="005D6149"/>
    <w:rsid w:val="005D6479"/>
    <w:rsid w:val="005D6CE2"/>
    <w:rsid w:val="005D6F86"/>
    <w:rsid w:val="005D7003"/>
    <w:rsid w:val="005D71DA"/>
    <w:rsid w:val="005D7A46"/>
    <w:rsid w:val="005D7C88"/>
    <w:rsid w:val="005D7F15"/>
    <w:rsid w:val="005E00EF"/>
    <w:rsid w:val="005E011C"/>
    <w:rsid w:val="005E0417"/>
    <w:rsid w:val="005E08BA"/>
    <w:rsid w:val="005E097A"/>
    <w:rsid w:val="005E0E52"/>
    <w:rsid w:val="005E105C"/>
    <w:rsid w:val="005E10E4"/>
    <w:rsid w:val="005E13BA"/>
    <w:rsid w:val="005E1A24"/>
    <w:rsid w:val="005E1E73"/>
    <w:rsid w:val="005E2125"/>
    <w:rsid w:val="005E224D"/>
    <w:rsid w:val="005E2413"/>
    <w:rsid w:val="005E26B1"/>
    <w:rsid w:val="005E26EB"/>
    <w:rsid w:val="005E2FC4"/>
    <w:rsid w:val="005E3221"/>
    <w:rsid w:val="005E3400"/>
    <w:rsid w:val="005E3DD3"/>
    <w:rsid w:val="005E3DFE"/>
    <w:rsid w:val="005E3EF5"/>
    <w:rsid w:val="005E4330"/>
    <w:rsid w:val="005E4AB9"/>
    <w:rsid w:val="005E5ADF"/>
    <w:rsid w:val="005E5D29"/>
    <w:rsid w:val="005E5F62"/>
    <w:rsid w:val="005E6103"/>
    <w:rsid w:val="005E623A"/>
    <w:rsid w:val="005E627E"/>
    <w:rsid w:val="005E6436"/>
    <w:rsid w:val="005E6742"/>
    <w:rsid w:val="005E6A62"/>
    <w:rsid w:val="005E6B0A"/>
    <w:rsid w:val="005E6BB8"/>
    <w:rsid w:val="005E6DF5"/>
    <w:rsid w:val="005E755F"/>
    <w:rsid w:val="005E7A3F"/>
    <w:rsid w:val="005E7A6E"/>
    <w:rsid w:val="005E7A77"/>
    <w:rsid w:val="005E7AA2"/>
    <w:rsid w:val="005E7B7D"/>
    <w:rsid w:val="005E7E64"/>
    <w:rsid w:val="005F0273"/>
    <w:rsid w:val="005F0DC6"/>
    <w:rsid w:val="005F10A4"/>
    <w:rsid w:val="005F1337"/>
    <w:rsid w:val="005F181E"/>
    <w:rsid w:val="005F1987"/>
    <w:rsid w:val="005F1F4A"/>
    <w:rsid w:val="005F2282"/>
    <w:rsid w:val="005F25D4"/>
    <w:rsid w:val="005F2815"/>
    <w:rsid w:val="005F28C5"/>
    <w:rsid w:val="005F2FF9"/>
    <w:rsid w:val="005F3432"/>
    <w:rsid w:val="005F38C7"/>
    <w:rsid w:val="005F39BD"/>
    <w:rsid w:val="005F3BA5"/>
    <w:rsid w:val="005F437A"/>
    <w:rsid w:val="005F4389"/>
    <w:rsid w:val="005F43BF"/>
    <w:rsid w:val="005F486D"/>
    <w:rsid w:val="005F4873"/>
    <w:rsid w:val="005F4AEF"/>
    <w:rsid w:val="005F4DF5"/>
    <w:rsid w:val="005F556C"/>
    <w:rsid w:val="005F57AF"/>
    <w:rsid w:val="005F5B1B"/>
    <w:rsid w:val="005F6098"/>
    <w:rsid w:val="005F627A"/>
    <w:rsid w:val="005F6316"/>
    <w:rsid w:val="005F654E"/>
    <w:rsid w:val="005F6888"/>
    <w:rsid w:val="005F6A94"/>
    <w:rsid w:val="005F712A"/>
    <w:rsid w:val="005F7209"/>
    <w:rsid w:val="005F75AC"/>
    <w:rsid w:val="005F7740"/>
    <w:rsid w:val="005F79AA"/>
    <w:rsid w:val="005F7C1E"/>
    <w:rsid w:val="005F7E2F"/>
    <w:rsid w:val="005F7F64"/>
    <w:rsid w:val="005F7F7A"/>
    <w:rsid w:val="0060027A"/>
    <w:rsid w:val="0060192E"/>
    <w:rsid w:val="00601E81"/>
    <w:rsid w:val="00602079"/>
    <w:rsid w:val="006029EF"/>
    <w:rsid w:val="0060326B"/>
    <w:rsid w:val="00603BCF"/>
    <w:rsid w:val="00603F45"/>
    <w:rsid w:val="006041FB"/>
    <w:rsid w:val="00604328"/>
    <w:rsid w:val="0060533D"/>
    <w:rsid w:val="006054FC"/>
    <w:rsid w:val="00605CA9"/>
    <w:rsid w:val="0060656D"/>
    <w:rsid w:val="0060687D"/>
    <w:rsid w:val="00606A23"/>
    <w:rsid w:val="00606AF9"/>
    <w:rsid w:val="00606D79"/>
    <w:rsid w:val="00606E0D"/>
    <w:rsid w:val="00607348"/>
    <w:rsid w:val="00607AA9"/>
    <w:rsid w:val="0060B35F"/>
    <w:rsid w:val="00610009"/>
    <w:rsid w:val="0061094A"/>
    <w:rsid w:val="00610A4C"/>
    <w:rsid w:val="00610F31"/>
    <w:rsid w:val="0061126B"/>
    <w:rsid w:val="0061134E"/>
    <w:rsid w:val="0061140E"/>
    <w:rsid w:val="00611491"/>
    <w:rsid w:val="00611689"/>
    <w:rsid w:val="00612303"/>
    <w:rsid w:val="00612A8F"/>
    <w:rsid w:val="00612BD3"/>
    <w:rsid w:val="0061326E"/>
    <w:rsid w:val="006136C1"/>
    <w:rsid w:val="00613905"/>
    <w:rsid w:val="00613D80"/>
    <w:rsid w:val="00614200"/>
    <w:rsid w:val="0061436D"/>
    <w:rsid w:val="0061458A"/>
    <w:rsid w:val="006146B3"/>
    <w:rsid w:val="00614902"/>
    <w:rsid w:val="0061512C"/>
    <w:rsid w:val="006153CC"/>
    <w:rsid w:val="006155BD"/>
    <w:rsid w:val="006159DC"/>
    <w:rsid w:val="006160B2"/>
    <w:rsid w:val="006167B5"/>
    <w:rsid w:val="00616973"/>
    <w:rsid w:val="00616B97"/>
    <w:rsid w:val="00616E98"/>
    <w:rsid w:val="00616F5F"/>
    <w:rsid w:val="006173D9"/>
    <w:rsid w:val="006176F0"/>
    <w:rsid w:val="00617859"/>
    <w:rsid w:val="00620281"/>
    <w:rsid w:val="006203E7"/>
    <w:rsid w:val="0062040C"/>
    <w:rsid w:val="00620A05"/>
    <w:rsid w:val="00620A88"/>
    <w:rsid w:val="00621045"/>
    <w:rsid w:val="0062127C"/>
    <w:rsid w:val="0062148B"/>
    <w:rsid w:val="00621830"/>
    <w:rsid w:val="00621854"/>
    <w:rsid w:val="00621B06"/>
    <w:rsid w:val="00621D49"/>
    <w:rsid w:val="00621E77"/>
    <w:rsid w:val="00621EF2"/>
    <w:rsid w:val="006222E6"/>
    <w:rsid w:val="006228A8"/>
    <w:rsid w:val="00622E28"/>
    <w:rsid w:val="0062382F"/>
    <w:rsid w:val="00623F94"/>
    <w:rsid w:val="006242B1"/>
    <w:rsid w:val="006244FB"/>
    <w:rsid w:val="006250F2"/>
    <w:rsid w:val="0062555A"/>
    <w:rsid w:val="006255C5"/>
    <w:rsid w:val="00626026"/>
    <w:rsid w:val="006261FF"/>
    <w:rsid w:val="006264EB"/>
    <w:rsid w:val="0062651D"/>
    <w:rsid w:val="00626EC4"/>
    <w:rsid w:val="0062703F"/>
    <w:rsid w:val="0062740A"/>
    <w:rsid w:val="00627AA6"/>
    <w:rsid w:val="0062F44F"/>
    <w:rsid w:val="006308C7"/>
    <w:rsid w:val="0063095E"/>
    <w:rsid w:val="00630CAE"/>
    <w:rsid w:val="00631101"/>
    <w:rsid w:val="00631CDB"/>
    <w:rsid w:val="00632228"/>
    <w:rsid w:val="00632357"/>
    <w:rsid w:val="00632527"/>
    <w:rsid w:val="00632589"/>
    <w:rsid w:val="00632636"/>
    <w:rsid w:val="00632664"/>
    <w:rsid w:val="00632CB0"/>
    <w:rsid w:val="00632D41"/>
    <w:rsid w:val="00632FA8"/>
    <w:rsid w:val="0063324F"/>
    <w:rsid w:val="006332D6"/>
    <w:rsid w:val="00633493"/>
    <w:rsid w:val="006341AD"/>
    <w:rsid w:val="00634587"/>
    <w:rsid w:val="006345F3"/>
    <w:rsid w:val="00634628"/>
    <w:rsid w:val="00634939"/>
    <w:rsid w:val="00634A08"/>
    <w:rsid w:val="00634A33"/>
    <w:rsid w:val="00634B7D"/>
    <w:rsid w:val="00634D89"/>
    <w:rsid w:val="00634EFB"/>
    <w:rsid w:val="00634F15"/>
    <w:rsid w:val="006351DD"/>
    <w:rsid w:val="00635722"/>
    <w:rsid w:val="00635B00"/>
    <w:rsid w:val="00636911"/>
    <w:rsid w:val="00636DF5"/>
    <w:rsid w:val="00637250"/>
    <w:rsid w:val="00637283"/>
    <w:rsid w:val="00637538"/>
    <w:rsid w:val="00637DC1"/>
    <w:rsid w:val="00637DF4"/>
    <w:rsid w:val="006405D3"/>
    <w:rsid w:val="00640C5A"/>
    <w:rsid w:val="00640DD5"/>
    <w:rsid w:val="00641056"/>
    <w:rsid w:val="00641416"/>
    <w:rsid w:val="006418DD"/>
    <w:rsid w:val="00641AE9"/>
    <w:rsid w:val="00641C58"/>
    <w:rsid w:val="00641DDA"/>
    <w:rsid w:val="00641E01"/>
    <w:rsid w:val="006422AA"/>
    <w:rsid w:val="006424C2"/>
    <w:rsid w:val="00642854"/>
    <w:rsid w:val="0064299D"/>
    <w:rsid w:val="00642D46"/>
    <w:rsid w:val="006434E3"/>
    <w:rsid w:val="00643930"/>
    <w:rsid w:val="00643B09"/>
    <w:rsid w:val="00643DC2"/>
    <w:rsid w:val="00643E5D"/>
    <w:rsid w:val="00643F24"/>
    <w:rsid w:val="00643FAA"/>
    <w:rsid w:val="0064436F"/>
    <w:rsid w:val="00644D5F"/>
    <w:rsid w:val="006451F9"/>
    <w:rsid w:val="006457A3"/>
    <w:rsid w:val="006457D8"/>
    <w:rsid w:val="00645C04"/>
    <w:rsid w:val="00646297"/>
    <w:rsid w:val="006463BD"/>
    <w:rsid w:val="00646680"/>
    <w:rsid w:val="00646715"/>
    <w:rsid w:val="0064674B"/>
    <w:rsid w:val="006467ED"/>
    <w:rsid w:val="0064761B"/>
    <w:rsid w:val="006476E2"/>
    <w:rsid w:val="00647A06"/>
    <w:rsid w:val="00647D7A"/>
    <w:rsid w:val="00647EF1"/>
    <w:rsid w:val="006501B0"/>
    <w:rsid w:val="006505A0"/>
    <w:rsid w:val="0065066C"/>
    <w:rsid w:val="00650EFE"/>
    <w:rsid w:val="006512EA"/>
    <w:rsid w:val="00651499"/>
    <w:rsid w:val="00651581"/>
    <w:rsid w:val="00651BC4"/>
    <w:rsid w:val="00651D05"/>
    <w:rsid w:val="0065268F"/>
    <w:rsid w:val="0065273D"/>
    <w:rsid w:val="00653287"/>
    <w:rsid w:val="0065359E"/>
    <w:rsid w:val="00653B0C"/>
    <w:rsid w:val="00653D66"/>
    <w:rsid w:val="00653DAE"/>
    <w:rsid w:val="00653FD1"/>
    <w:rsid w:val="0065406B"/>
    <w:rsid w:val="006542B0"/>
    <w:rsid w:val="006545CF"/>
    <w:rsid w:val="00654841"/>
    <w:rsid w:val="00654A91"/>
    <w:rsid w:val="00654B10"/>
    <w:rsid w:val="00654BCC"/>
    <w:rsid w:val="00654D8C"/>
    <w:rsid w:val="00654ED3"/>
    <w:rsid w:val="006550D0"/>
    <w:rsid w:val="00655170"/>
    <w:rsid w:val="00655381"/>
    <w:rsid w:val="0065568C"/>
    <w:rsid w:val="00655693"/>
    <w:rsid w:val="00655721"/>
    <w:rsid w:val="006557B6"/>
    <w:rsid w:val="00655F64"/>
    <w:rsid w:val="00655FAA"/>
    <w:rsid w:val="00656139"/>
    <w:rsid w:val="0065626C"/>
    <w:rsid w:val="00656352"/>
    <w:rsid w:val="00656817"/>
    <w:rsid w:val="006568AF"/>
    <w:rsid w:val="00656A02"/>
    <w:rsid w:val="00656B81"/>
    <w:rsid w:val="00656D25"/>
    <w:rsid w:val="00656D5D"/>
    <w:rsid w:val="00656EC9"/>
    <w:rsid w:val="00656FE5"/>
    <w:rsid w:val="00657483"/>
    <w:rsid w:val="00657C45"/>
    <w:rsid w:val="00657D08"/>
    <w:rsid w:val="00657E81"/>
    <w:rsid w:val="00657F74"/>
    <w:rsid w:val="00660733"/>
    <w:rsid w:val="00660898"/>
    <w:rsid w:val="00660B40"/>
    <w:rsid w:val="00660B93"/>
    <w:rsid w:val="00660C4B"/>
    <w:rsid w:val="00660EA9"/>
    <w:rsid w:val="0066111D"/>
    <w:rsid w:val="00661837"/>
    <w:rsid w:val="006619F5"/>
    <w:rsid w:val="00661B06"/>
    <w:rsid w:val="00661C08"/>
    <w:rsid w:val="00661CDA"/>
    <w:rsid w:val="0066206E"/>
    <w:rsid w:val="00662208"/>
    <w:rsid w:val="0066247D"/>
    <w:rsid w:val="0066249E"/>
    <w:rsid w:val="00662BB8"/>
    <w:rsid w:val="00662BC9"/>
    <w:rsid w:val="00662CFD"/>
    <w:rsid w:val="006630E8"/>
    <w:rsid w:val="006631F6"/>
    <w:rsid w:val="006635FF"/>
    <w:rsid w:val="0066361A"/>
    <w:rsid w:val="00663681"/>
    <w:rsid w:val="006636B3"/>
    <w:rsid w:val="006639F5"/>
    <w:rsid w:val="00663A68"/>
    <w:rsid w:val="00663D60"/>
    <w:rsid w:val="00663D88"/>
    <w:rsid w:val="00664762"/>
    <w:rsid w:val="00664A3E"/>
    <w:rsid w:val="00664A71"/>
    <w:rsid w:val="00664E1B"/>
    <w:rsid w:val="00664E42"/>
    <w:rsid w:val="00664EC4"/>
    <w:rsid w:val="006655C3"/>
    <w:rsid w:val="00666087"/>
    <w:rsid w:val="00666194"/>
    <w:rsid w:val="006665BC"/>
    <w:rsid w:val="00666763"/>
    <w:rsid w:val="00666E53"/>
    <w:rsid w:val="00666F53"/>
    <w:rsid w:val="0066708B"/>
    <w:rsid w:val="00667486"/>
    <w:rsid w:val="00667793"/>
    <w:rsid w:val="00667D53"/>
    <w:rsid w:val="00670137"/>
    <w:rsid w:val="00670FD9"/>
    <w:rsid w:val="006710D6"/>
    <w:rsid w:val="00671672"/>
    <w:rsid w:val="006717F7"/>
    <w:rsid w:val="006718DA"/>
    <w:rsid w:val="00671977"/>
    <w:rsid w:val="00671CC0"/>
    <w:rsid w:val="00671FC7"/>
    <w:rsid w:val="0067204B"/>
    <w:rsid w:val="0067237F"/>
    <w:rsid w:val="0067288D"/>
    <w:rsid w:val="006728DB"/>
    <w:rsid w:val="00673022"/>
    <w:rsid w:val="006734CB"/>
    <w:rsid w:val="0067404A"/>
    <w:rsid w:val="0067443F"/>
    <w:rsid w:val="0067452C"/>
    <w:rsid w:val="0067516D"/>
    <w:rsid w:val="00675337"/>
    <w:rsid w:val="006753EE"/>
    <w:rsid w:val="00675415"/>
    <w:rsid w:val="0067576D"/>
    <w:rsid w:val="00675A85"/>
    <w:rsid w:val="00675BAF"/>
    <w:rsid w:val="00676384"/>
    <w:rsid w:val="006767FC"/>
    <w:rsid w:val="00676800"/>
    <w:rsid w:val="00676861"/>
    <w:rsid w:val="00676993"/>
    <w:rsid w:val="00676A52"/>
    <w:rsid w:val="006777C8"/>
    <w:rsid w:val="00677895"/>
    <w:rsid w:val="006778FD"/>
    <w:rsid w:val="006779D4"/>
    <w:rsid w:val="00677AF5"/>
    <w:rsid w:val="00677B04"/>
    <w:rsid w:val="00677BEA"/>
    <w:rsid w:val="00677BEE"/>
    <w:rsid w:val="00677C0C"/>
    <w:rsid w:val="00677CFC"/>
    <w:rsid w:val="00677DC2"/>
    <w:rsid w:val="006800B4"/>
    <w:rsid w:val="006802B3"/>
    <w:rsid w:val="006809CF"/>
    <w:rsid w:val="00680B48"/>
    <w:rsid w:val="00680F23"/>
    <w:rsid w:val="00680FEE"/>
    <w:rsid w:val="006810E8"/>
    <w:rsid w:val="00681574"/>
    <w:rsid w:val="0068176B"/>
    <w:rsid w:val="00682175"/>
    <w:rsid w:val="0068224E"/>
    <w:rsid w:val="006826BE"/>
    <w:rsid w:val="006827CE"/>
    <w:rsid w:val="0068298D"/>
    <w:rsid w:val="00682ABE"/>
    <w:rsid w:val="00682D88"/>
    <w:rsid w:val="00682F40"/>
    <w:rsid w:val="00682FE0"/>
    <w:rsid w:val="00683069"/>
    <w:rsid w:val="0068350A"/>
    <w:rsid w:val="006836E6"/>
    <w:rsid w:val="006838C7"/>
    <w:rsid w:val="00683924"/>
    <w:rsid w:val="00683D94"/>
    <w:rsid w:val="006840E6"/>
    <w:rsid w:val="0068415C"/>
    <w:rsid w:val="0068420C"/>
    <w:rsid w:val="006842C6"/>
    <w:rsid w:val="00684702"/>
    <w:rsid w:val="00684B89"/>
    <w:rsid w:val="006851C2"/>
    <w:rsid w:val="006852F3"/>
    <w:rsid w:val="00685863"/>
    <w:rsid w:val="00685945"/>
    <w:rsid w:val="0068638B"/>
    <w:rsid w:val="0068663B"/>
    <w:rsid w:val="00686826"/>
    <w:rsid w:val="00686D49"/>
    <w:rsid w:val="00686E32"/>
    <w:rsid w:val="00687364"/>
    <w:rsid w:val="006877AC"/>
    <w:rsid w:val="00687B2C"/>
    <w:rsid w:val="00687B9B"/>
    <w:rsid w:val="00687C6E"/>
    <w:rsid w:val="00687CC5"/>
    <w:rsid w:val="00687EF5"/>
    <w:rsid w:val="0069028C"/>
    <w:rsid w:val="006902F8"/>
    <w:rsid w:val="00690481"/>
    <w:rsid w:val="00690ED6"/>
    <w:rsid w:val="0069162F"/>
    <w:rsid w:val="00692299"/>
    <w:rsid w:val="006922A2"/>
    <w:rsid w:val="006923A7"/>
    <w:rsid w:val="006924F6"/>
    <w:rsid w:val="006927AF"/>
    <w:rsid w:val="006927E4"/>
    <w:rsid w:val="00692B4C"/>
    <w:rsid w:val="00693262"/>
    <w:rsid w:val="00693431"/>
    <w:rsid w:val="0069369A"/>
    <w:rsid w:val="00693AB7"/>
    <w:rsid w:val="00693AB8"/>
    <w:rsid w:val="00693D95"/>
    <w:rsid w:val="00693E45"/>
    <w:rsid w:val="00694C8B"/>
    <w:rsid w:val="00694D03"/>
    <w:rsid w:val="00694D17"/>
    <w:rsid w:val="006951CF"/>
    <w:rsid w:val="006955E6"/>
    <w:rsid w:val="00696837"/>
    <w:rsid w:val="00696ABD"/>
    <w:rsid w:val="00696CD4"/>
    <w:rsid w:val="0069748F"/>
    <w:rsid w:val="00697758"/>
    <w:rsid w:val="006978D0"/>
    <w:rsid w:val="00697AEB"/>
    <w:rsid w:val="00697EC4"/>
    <w:rsid w:val="006A03B0"/>
    <w:rsid w:val="006A06B4"/>
    <w:rsid w:val="006A0C3F"/>
    <w:rsid w:val="006A0D27"/>
    <w:rsid w:val="006A0DF4"/>
    <w:rsid w:val="006A1047"/>
    <w:rsid w:val="006A10DA"/>
    <w:rsid w:val="006A18CB"/>
    <w:rsid w:val="006A1995"/>
    <w:rsid w:val="006A21F2"/>
    <w:rsid w:val="006A2639"/>
    <w:rsid w:val="006A2704"/>
    <w:rsid w:val="006A3290"/>
    <w:rsid w:val="006A333C"/>
    <w:rsid w:val="006A335C"/>
    <w:rsid w:val="006A357F"/>
    <w:rsid w:val="006A379F"/>
    <w:rsid w:val="006A4371"/>
    <w:rsid w:val="006A44C8"/>
    <w:rsid w:val="006A46CE"/>
    <w:rsid w:val="006A4E23"/>
    <w:rsid w:val="006A5450"/>
    <w:rsid w:val="006A5967"/>
    <w:rsid w:val="006A612F"/>
    <w:rsid w:val="006A669C"/>
    <w:rsid w:val="006A66A0"/>
    <w:rsid w:val="006A6ED9"/>
    <w:rsid w:val="006A70E9"/>
    <w:rsid w:val="006A717B"/>
    <w:rsid w:val="006A76D7"/>
    <w:rsid w:val="006A77C5"/>
    <w:rsid w:val="006A7CCD"/>
    <w:rsid w:val="006A7E50"/>
    <w:rsid w:val="006A7F63"/>
    <w:rsid w:val="006A7F6A"/>
    <w:rsid w:val="006B0325"/>
    <w:rsid w:val="006B03FD"/>
    <w:rsid w:val="006B0EEB"/>
    <w:rsid w:val="006B102B"/>
    <w:rsid w:val="006B176A"/>
    <w:rsid w:val="006B1CA0"/>
    <w:rsid w:val="006B20B3"/>
    <w:rsid w:val="006B2635"/>
    <w:rsid w:val="006B27A3"/>
    <w:rsid w:val="006B27A7"/>
    <w:rsid w:val="006B27D6"/>
    <w:rsid w:val="006B289F"/>
    <w:rsid w:val="006B2B0E"/>
    <w:rsid w:val="006B2E29"/>
    <w:rsid w:val="006B3141"/>
    <w:rsid w:val="006B31AE"/>
    <w:rsid w:val="006B348E"/>
    <w:rsid w:val="006B390F"/>
    <w:rsid w:val="006B3A4D"/>
    <w:rsid w:val="006B3D51"/>
    <w:rsid w:val="006B4472"/>
    <w:rsid w:val="006B4737"/>
    <w:rsid w:val="006B488B"/>
    <w:rsid w:val="006B49AE"/>
    <w:rsid w:val="006B4DB2"/>
    <w:rsid w:val="006B5086"/>
    <w:rsid w:val="006B53F9"/>
    <w:rsid w:val="006B57E0"/>
    <w:rsid w:val="006B5BDC"/>
    <w:rsid w:val="006B5F32"/>
    <w:rsid w:val="006B5FE9"/>
    <w:rsid w:val="006B61F0"/>
    <w:rsid w:val="006B63CF"/>
    <w:rsid w:val="006B689D"/>
    <w:rsid w:val="006B75D1"/>
    <w:rsid w:val="006B76B4"/>
    <w:rsid w:val="006B7BD8"/>
    <w:rsid w:val="006C008A"/>
    <w:rsid w:val="006C07B3"/>
    <w:rsid w:val="006C0929"/>
    <w:rsid w:val="006C09F0"/>
    <w:rsid w:val="006C0AB7"/>
    <w:rsid w:val="006C0BB3"/>
    <w:rsid w:val="006C0E9A"/>
    <w:rsid w:val="006C1215"/>
    <w:rsid w:val="006C1568"/>
    <w:rsid w:val="006C1760"/>
    <w:rsid w:val="006C19F1"/>
    <w:rsid w:val="006C2475"/>
    <w:rsid w:val="006C2963"/>
    <w:rsid w:val="006C2B80"/>
    <w:rsid w:val="006C2C0F"/>
    <w:rsid w:val="006C2C32"/>
    <w:rsid w:val="006C2C52"/>
    <w:rsid w:val="006C2C77"/>
    <w:rsid w:val="006C2F62"/>
    <w:rsid w:val="006C33A1"/>
    <w:rsid w:val="006C3443"/>
    <w:rsid w:val="006C354D"/>
    <w:rsid w:val="006C3A01"/>
    <w:rsid w:val="006C3A84"/>
    <w:rsid w:val="006C3D76"/>
    <w:rsid w:val="006C3E66"/>
    <w:rsid w:val="006C4111"/>
    <w:rsid w:val="006C4199"/>
    <w:rsid w:val="006C4C69"/>
    <w:rsid w:val="006C4DDF"/>
    <w:rsid w:val="006C4F45"/>
    <w:rsid w:val="006C50E8"/>
    <w:rsid w:val="006C56B3"/>
    <w:rsid w:val="006C628A"/>
    <w:rsid w:val="006C64CA"/>
    <w:rsid w:val="006C6C0C"/>
    <w:rsid w:val="006C6D08"/>
    <w:rsid w:val="006C6D7B"/>
    <w:rsid w:val="006C772F"/>
    <w:rsid w:val="006D00E0"/>
    <w:rsid w:val="006D0357"/>
    <w:rsid w:val="006D0961"/>
    <w:rsid w:val="006D098D"/>
    <w:rsid w:val="006D0DA9"/>
    <w:rsid w:val="006D0DB4"/>
    <w:rsid w:val="006D14F0"/>
    <w:rsid w:val="006D1768"/>
    <w:rsid w:val="006D196D"/>
    <w:rsid w:val="006D1C8E"/>
    <w:rsid w:val="006D213D"/>
    <w:rsid w:val="006D245E"/>
    <w:rsid w:val="006D24A8"/>
    <w:rsid w:val="006D286B"/>
    <w:rsid w:val="006D287C"/>
    <w:rsid w:val="006D2B03"/>
    <w:rsid w:val="006D2B34"/>
    <w:rsid w:val="006D2E95"/>
    <w:rsid w:val="006D3BDD"/>
    <w:rsid w:val="006D3C5B"/>
    <w:rsid w:val="006D3CC9"/>
    <w:rsid w:val="006D3CFF"/>
    <w:rsid w:val="006D3F57"/>
    <w:rsid w:val="006D4095"/>
    <w:rsid w:val="006D4527"/>
    <w:rsid w:val="006D4638"/>
    <w:rsid w:val="006D47B2"/>
    <w:rsid w:val="006D489F"/>
    <w:rsid w:val="006D4A43"/>
    <w:rsid w:val="006D4AB9"/>
    <w:rsid w:val="006D4B4F"/>
    <w:rsid w:val="006D4DB2"/>
    <w:rsid w:val="006D5AC4"/>
    <w:rsid w:val="006D5BB4"/>
    <w:rsid w:val="006D5F43"/>
    <w:rsid w:val="006D6223"/>
    <w:rsid w:val="006D64AC"/>
    <w:rsid w:val="006D6A6B"/>
    <w:rsid w:val="006D6D62"/>
    <w:rsid w:val="006D7623"/>
    <w:rsid w:val="006D7840"/>
    <w:rsid w:val="006D7945"/>
    <w:rsid w:val="006D7A24"/>
    <w:rsid w:val="006E027E"/>
    <w:rsid w:val="006E0462"/>
    <w:rsid w:val="006E06E2"/>
    <w:rsid w:val="006E0719"/>
    <w:rsid w:val="006E0EF6"/>
    <w:rsid w:val="006E0EFF"/>
    <w:rsid w:val="006E116E"/>
    <w:rsid w:val="006E1BF5"/>
    <w:rsid w:val="006E2005"/>
    <w:rsid w:val="006E226C"/>
    <w:rsid w:val="006E22D8"/>
    <w:rsid w:val="006E2A92"/>
    <w:rsid w:val="006E2B26"/>
    <w:rsid w:val="006E2ECC"/>
    <w:rsid w:val="006E2F3D"/>
    <w:rsid w:val="006E3253"/>
    <w:rsid w:val="006E38AA"/>
    <w:rsid w:val="006E38D6"/>
    <w:rsid w:val="006E38EB"/>
    <w:rsid w:val="006E3B44"/>
    <w:rsid w:val="006E4692"/>
    <w:rsid w:val="006E469E"/>
    <w:rsid w:val="006E46F5"/>
    <w:rsid w:val="006E4A19"/>
    <w:rsid w:val="006E4E3C"/>
    <w:rsid w:val="006E4FF7"/>
    <w:rsid w:val="006E5027"/>
    <w:rsid w:val="006E5038"/>
    <w:rsid w:val="006E519E"/>
    <w:rsid w:val="006E5432"/>
    <w:rsid w:val="006E5ECF"/>
    <w:rsid w:val="006E61E0"/>
    <w:rsid w:val="006E649D"/>
    <w:rsid w:val="006E6575"/>
    <w:rsid w:val="006E664A"/>
    <w:rsid w:val="006E6F7E"/>
    <w:rsid w:val="006E7456"/>
    <w:rsid w:val="006E77EA"/>
    <w:rsid w:val="006E7E49"/>
    <w:rsid w:val="006E7F04"/>
    <w:rsid w:val="006F02CE"/>
    <w:rsid w:val="006F0531"/>
    <w:rsid w:val="006F0650"/>
    <w:rsid w:val="006F08B4"/>
    <w:rsid w:val="006F0DCB"/>
    <w:rsid w:val="006F0F17"/>
    <w:rsid w:val="006F14E0"/>
    <w:rsid w:val="006F1744"/>
    <w:rsid w:val="006F27D7"/>
    <w:rsid w:val="006F2910"/>
    <w:rsid w:val="006F2C2D"/>
    <w:rsid w:val="006F305A"/>
    <w:rsid w:val="006F31BD"/>
    <w:rsid w:val="006F35C1"/>
    <w:rsid w:val="006F37B0"/>
    <w:rsid w:val="006F3CE2"/>
    <w:rsid w:val="006F3D25"/>
    <w:rsid w:val="006F3E85"/>
    <w:rsid w:val="006F409C"/>
    <w:rsid w:val="006F4153"/>
    <w:rsid w:val="006F41B7"/>
    <w:rsid w:val="006F4285"/>
    <w:rsid w:val="006F4375"/>
    <w:rsid w:val="006F4489"/>
    <w:rsid w:val="006F44FD"/>
    <w:rsid w:val="006F4507"/>
    <w:rsid w:val="006F4601"/>
    <w:rsid w:val="006F5058"/>
    <w:rsid w:val="006F577A"/>
    <w:rsid w:val="006F58FB"/>
    <w:rsid w:val="006F5AD7"/>
    <w:rsid w:val="006F5BEB"/>
    <w:rsid w:val="006F5D1E"/>
    <w:rsid w:val="006F5D36"/>
    <w:rsid w:val="006F5D49"/>
    <w:rsid w:val="006F5D76"/>
    <w:rsid w:val="006F60CE"/>
    <w:rsid w:val="006F63F5"/>
    <w:rsid w:val="006F64F4"/>
    <w:rsid w:val="006F6622"/>
    <w:rsid w:val="006F6897"/>
    <w:rsid w:val="006F6AF3"/>
    <w:rsid w:val="006F6E94"/>
    <w:rsid w:val="006F6F24"/>
    <w:rsid w:val="006F74E6"/>
    <w:rsid w:val="006F774A"/>
    <w:rsid w:val="006F7A06"/>
    <w:rsid w:val="006F7EB4"/>
    <w:rsid w:val="006F7FBC"/>
    <w:rsid w:val="0070049E"/>
    <w:rsid w:val="00700C22"/>
    <w:rsid w:val="00700CA5"/>
    <w:rsid w:val="00701651"/>
    <w:rsid w:val="007017B5"/>
    <w:rsid w:val="007017D0"/>
    <w:rsid w:val="00701AB7"/>
    <w:rsid w:val="0070235B"/>
    <w:rsid w:val="00702D89"/>
    <w:rsid w:val="00702E77"/>
    <w:rsid w:val="00702EAD"/>
    <w:rsid w:val="00703008"/>
    <w:rsid w:val="00703191"/>
    <w:rsid w:val="00703209"/>
    <w:rsid w:val="0070385F"/>
    <w:rsid w:val="00703C0A"/>
    <w:rsid w:val="00703C41"/>
    <w:rsid w:val="00703D18"/>
    <w:rsid w:val="00703F4A"/>
    <w:rsid w:val="007040CD"/>
    <w:rsid w:val="0070481B"/>
    <w:rsid w:val="007048BD"/>
    <w:rsid w:val="00704A69"/>
    <w:rsid w:val="00704C96"/>
    <w:rsid w:val="00705050"/>
    <w:rsid w:val="007050E8"/>
    <w:rsid w:val="0070568A"/>
    <w:rsid w:val="007056F5"/>
    <w:rsid w:val="00705712"/>
    <w:rsid w:val="007057D4"/>
    <w:rsid w:val="00705926"/>
    <w:rsid w:val="00705B39"/>
    <w:rsid w:val="00705EDB"/>
    <w:rsid w:val="00706433"/>
    <w:rsid w:val="00706565"/>
    <w:rsid w:val="007067AE"/>
    <w:rsid w:val="007067F7"/>
    <w:rsid w:val="007068E2"/>
    <w:rsid w:val="00706A30"/>
    <w:rsid w:val="00706A6F"/>
    <w:rsid w:val="00706B3B"/>
    <w:rsid w:val="00706C92"/>
    <w:rsid w:val="00706F59"/>
    <w:rsid w:val="00707235"/>
    <w:rsid w:val="0070726B"/>
    <w:rsid w:val="00707497"/>
    <w:rsid w:val="007075E1"/>
    <w:rsid w:val="0070777E"/>
    <w:rsid w:val="00707BC3"/>
    <w:rsid w:val="00707BD7"/>
    <w:rsid w:val="00707D38"/>
    <w:rsid w:val="00707E41"/>
    <w:rsid w:val="007102FF"/>
    <w:rsid w:val="00710719"/>
    <w:rsid w:val="00710771"/>
    <w:rsid w:val="0071080A"/>
    <w:rsid w:val="00710902"/>
    <w:rsid w:val="00710C03"/>
    <w:rsid w:val="00710CF6"/>
    <w:rsid w:val="0071147C"/>
    <w:rsid w:val="007118C5"/>
    <w:rsid w:val="00711A82"/>
    <w:rsid w:val="007121F2"/>
    <w:rsid w:val="00712A3B"/>
    <w:rsid w:val="00712E6A"/>
    <w:rsid w:val="00713106"/>
    <w:rsid w:val="00713C93"/>
    <w:rsid w:val="00713DC8"/>
    <w:rsid w:val="00713DFE"/>
    <w:rsid w:val="0071466C"/>
    <w:rsid w:val="007148FC"/>
    <w:rsid w:val="00714CC3"/>
    <w:rsid w:val="007152AE"/>
    <w:rsid w:val="00715D73"/>
    <w:rsid w:val="00716177"/>
    <w:rsid w:val="007164B9"/>
    <w:rsid w:val="0071673F"/>
    <w:rsid w:val="0071679D"/>
    <w:rsid w:val="00716940"/>
    <w:rsid w:val="00717002"/>
    <w:rsid w:val="00717038"/>
    <w:rsid w:val="007174CC"/>
    <w:rsid w:val="007175D8"/>
    <w:rsid w:val="00717601"/>
    <w:rsid w:val="00717694"/>
    <w:rsid w:val="00717754"/>
    <w:rsid w:val="00717A12"/>
    <w:rsid w:val="00717AF2"/>
    <w:rsid w:val="00717BC4"/>
    <w:rsid w:val="00717EFA"/>
    <w:rsid w:val="00720479"/>
    <w:rsid w:val="00720731"/>
    <w:rsid w:val="00720A72"/>
    <w:rsid w:val="00720ADD"/>
    <w:rsid w:val="00720F35"/>
    <w:rsid w:val="00721889"/>
    <w:rsid w:val="00721B53"/>
    <w:rsid w:val="00721C55"/>
    <w:rsid w:val="007222AB"/>
    <w:rsid w:val="007222FA"/>
    <w:rsid w:val="00722A21"/>
    <w:rsid w:val="00722BE2"/>
    <w:rsid w:val="00723225"/>
    <w:rsid w:val="00723878"/>
    <w:rsid w:val="00723C7C"/>
    <w:rsid w:val="007243BC"/>
    <w:rsid w:val="00724428"/>
    <w:rsid w:val="00724B8A"/>
    <w:rsid w:val="00724C5D"/>
    <w:rsid w:val="00724FDE"/>
    <w:rsid w:val="007253DA"/>
    <w:rsid w:val="0072542D"/>
    <w:rsid w:val="007254DF"/>
    <w:rsid w:val="00725516"/>
    <w:rsid w:val="007256C5"/>
    <w:rsid w:val="007257A8"/>
    <w:rsid w:val="00725A8F"/>
    <w:rsid w:val="00726474"/>
    <w:rsid w:val="0072653B"/>
    <w:rsid w:val="00726B64"/>
    <w:rsid w:val="00726CB6"/>
    <w:rsid w:val="00727B19"/>
    <w:rsid w:val="00727D99"/>
    <w:rsid w:val="00727E3E"/>
    <w:rsid w:val="00730001"/>
    <w:rsid w:val="00730100"/>
    <w:rsid w:val="00730B23"/>
    <w:rsid w:val="00730CEC"/>
    <w:rsid w:val="0073101E"/>
    <w:rsid w:val="00731143"/>
    <w:rsid w:val="007319CE"/>
    <w:rsid w:val="00731BB6"/>
    <w:rsid w:val="00731F2C"/>
    <w:rsid w:val="007320B4"/>
    <w:rsid w:val="0073244B"/>
    <w:rsid w:val="007324D4"/>
    <w:rsid w:val="00732BBA"/>
    <w:rsid w:val="00732CC8"/>
    <w:rsid w:val="007330EA"/>
    <w:rsid w:val="00733EDC"/>
    <w:rsid w:val="007343EF"/>
    <w:rsid w:val="00734431"/>
    <w:rsid w:val="0073472F"/>
    <w:rsid w:val="00734A7F"/>
    <w:rsid w:val="00734AF8"/>
    <w:rsid w:val="00734CCD"/>
    <w:rsid w:val="00734F7C"/>
    <w:rsid w:val="0073509A"/>
    <w:rsid w:val="007354FD"/>
    <w:rsid w:val="00735BAA"/>
    <w:rsid w:val="00735D05"/>
    <w:rsid w:val="00735DE5"/>
    <w:rsid w:val="00735F6C"/>
    <w:rsid w:val="0073622C"/>
    <w:rsid w:val="00736309"/>
    <w:rsid w:val="007363E0"/>
    <w:rsid w:val="00736555"/>
    <w:rsid w:val="007366A8"/>
    <w:rsid w:val="007367E0"/>
    <w:rsid w:val="007369ED"/>
    <w:rsid w:val="00737006"/>
    <w:rsid w:val="00737011"/>
    <w:rsid w:val="007375DF"/>
    <w:rsid w:val="007376AF"/>
    <w:rsid w:val="00737A48"/>
    <w:rsid w:val="00740323"/>
    <w:rsid w:val="00740384"/>
    <w:rsid w:val="007404CD"/>
    <w:rsid w:val="00741062"/>
    <w:rsid w:val="00741185"/>
    <w:rsid w:val="00741878"/>
    <w:rsid w:val="00741CF4"/>
    <w:rsid w:val="00741E90"/>
    <w:rsid w:val="00741EE0"/>
    <w:rsid w:val="007421BA"/>
    <w:rsid w:val="0074236E"/>
    <w:rsid w:val="00742484"/>
    <w:rsid w:val="00742898"/>
    <w:rsid w:val="00742BC9"/>
    <w:rsid w:val="00742C3B"/>
    <w:rsid w:val="00742FCD"/>
    <w:rsid w:val="0074326E"/>
    <w:rsid w:val="00743B8F"/>
    <w:rsid w:val="00743DC2"/>
    <w:rsid w:val="00744033"/>
    <w:rsid w:val="0074414E"/>
    <w:rsid w:val="007441C5"/>
    <w:rsid w:val="0074463C"/>
    <w:rsid w:val="0074465E"/>
    <w:rsid w:val="00744860"/>
    <w:rsid w:val="00744B05"/>
    <w:rsid w:val="0074549F"/>
    <w:rsid w:val="0074586D"/>
    <w:rsid w:val="00745D8C"/>
    <w:rsid w:val="00745DF7"/>
    <w:rsid w:val="007460DE"/>
    <w:rsid w:val="007468C6"/>
    <w:rsid w:val="007470A4"/>
    <w:rsid w:val="007471A2"/>
    <w:rsid w:val="0074730A"/>
    <w:rsid w:val="00747391"/>
    <w:rsid w:val="007500F3"/>
    <w:rsid w:val="007501D2"/>
    <w:rsid w:val="007504E9"/>
    <w:rsid w:val="00750537"/>
    <w:rsid w:val="00750918"/>
    <w:rsid w:val="0075091B"/>
    <w:rsid w:val="00750A26"/>
    <w:rsid w:val="00750C0A"/>
    <w:rsid w:val="007510CA"/>
    <w:rsid w:val="00751863"/>
    <w:rsid w:val="00751AA9"/>
    <w:rsid w:val="00751C49"/>
    <w:rsid w:val="00751F0E"/>
    <w:rsid w:val="0075223F"/>
    <w:rsid w:val="00752561"/>
    <w:rsid w:val="00752DF5"/>
    <w:rsid w:val="007533E2"/>
    <w:rsid w:val="00753580"/>
    <w:rsid w:val="007536FC"/>
    <w:rsid w:val="00754C9A"/>
    <w:rsid w:val="00754F78"/>
    <w:rsid w:val="00755732"/>
    <w:rsid w:val="00755A54"/>
    <w:rsid w:val="007560B9"/>
    <w:rsid w:val="00756107"/>
    <w:rsid w:val="00756135"/>
    <w:rsid w:val="007568A7"/>
    <w:rsid w:val="007568B8"/>
    <w:rsid w:val="0075692F"/>
    <w:rsid w:val="00757C59"/>
    <w:rsid w:val="0076000C"/>
    <w:rsid w:val="00760189"/>
    <w:rsid w:val="0076029E"/>
    <w:rsid w:val="0076036C"/>
    <w:rsid w:val="007604EC"/>
    <w:rsid w:val="0076074C"/>
    <w:rsid w:val="00760DA9"/>
    <w:rsid w:val="0076116D"/>
    <w:rsid w:val="00761262"/>
    <w:rsid w:val="007613FF"/>
    <w:rsid w:val="007618AE"/>
    <w:rsid w:val="00761B66"/>
    <w:rsid w:val="00761ECB"/>
    <w:rsid w:val="0076262C"/>
    <w:rsid w:val="007626E9"/>
    <w:rsid w:val="00762BC2"/>
    <w:rsid w:val="00762CE6"/>
    <w:rsid w:val="00762F7F"/>
    <w:rsid w:val="00763011"/>
    <w:rsid w:val="00763112"/>
    <w:rsid w:val="0076324E"/>
    <w:rsid w:val="0076340F"/>
    <w:rsid w:val="007634C7"/>
    <w:rsid w:val="0076356E"/>
    <w:rsid w:val="007638DE"/>
    <w:rsid w:val="00763C2A"/>
    <w:rsid w:val="00763FF2"/>
    <w:rsid w:val="00764205"/>
    <w:rsid w:val="00764306"/>
    <w:rsid w:val="00764930"/>
    <w:rsid w:val="00764968"/>
    <w:rsid w:val="00764CBE"/>
    <w:rsid w:val="00764DC4"/>
    <w:rsid w:val="00764E47"/>
    <w:rsid w:val="007656B0"/>
    <w:rsid w:val="007658DC"/>
    <w:rsid w:val="00765B64"/>
    <w:rsid w:val="00765DFF"/>
    <w:rsid w:val="0076624B"/>
    <w:rsid w:val="007663C4"/>
    <w:rsid w:val="007669C4"/>
    <w:rsid w:val="00766BF3"/>
    <w:rsid w:val="0076752A"/>
    <w:rsid w:val="00767AE2"/>
    <w:rsid w:val="00767BAC"/>
    <w:rsid w:val="00767C24"/>
    <w:rsid w:val="00767CE0"/>
    <w:rsid w:val="00770403"/>
    <w:rsid w:val="00770668"/>
    <w:rsid w:val="007706BE"/>
    <w:rsid w:val="0077071F"/>
    <w:rsid w:val="00770939"/>
    <w:rsid w:val="00770B0E"/>
    <w:rsid w:val="00771207"/>
    <w:rsid w:val="00771256"/>
    <w:rsid w:val="00771406"/>
    <w:rsid w:val="00771511"/>
    <w:rsid w:val="007719D2"/>
    <w:rsid w:val="00771BAF"/>
    <w:rsid w:val="007726F0"/>
    <w:rsid w:val="00772BB7"/>
    <w:rsid w:val="00772C1D"/>
    <w:rsid w:val="00773275"/>
    <w:rsid w:val="00773F25"/>
    <w:rsid w:val="007740C2"/>
    <w:rsid w:val="0077458D"/>
    <w:rsid w:val="00774849"/>
    <w:rsid w:val="007752A7"/>
    <w:rsid w:val="007755A2"/>
    <w:rsid w:val="00775C65"/>
    <w:rsid w:val="00775DC7"/>
    <w:rsid w:val="00775F22"/>
    <w:rsid w:val="00775F6C"/>
    <w:rsid w:val="00775F86"/>
    <w:rsid w:val="00776442"/>
    <w:rsid w:val="00777343"/>
    <w:rsid w:val="00777C33"/>
    <w:rsid w:val="00777F8E"/>
    <w:rsid w:val="00780079"/>
    <w:rsid w:val="00780426"/>
    <w:rsid w:val="00780617"/>
    <w:rsid w:val="007806E1"/>
    <w:rsid w:val="00780BE2"/>
    <w:rsid w:val="00781175"/>
    <w:rsid w:val="007811E9"/>
    <w:rsid w:val="0078156C"/>
    <w:rsid w:val="007815F1"/>
    <w:rsid w:val="007815FB"/>
    <w:rsid w:val="00781E09"/>
    <w:rsid w:val="007824B7"/>
    <w:rsid w:val="0078271B"/>
    <w:rsid w:val="00782757"/>
    <w:rsid w:val="00782E5F"/>
    <w:rsid w:val="007831A0"/>
    <w:rsid w:val="00783582"/>
    <w:rsid w:val="0078362E"/>
    <w:rsid w:val="00783AE8"/>
    <w:rsid w:val="00783C64"/>
    <w:rsid w:val="00783DCE"/>
    <w:rsid w:val="00784111"/>
    <w:rsid w:val="00784611"/>
    <w:rsid w:val="0078474F"/>
    <w:rsid w:val="00784E73"/>
    <w:rsid w:val="00784E89"/>
    <w:rsid w:val="007854B5"/>
    <w:rsid w:val="0078569A"/>
    <w:rsid w:val="00785723"/>
    <w:rsid w:val="007857F0"/>
    <w:rsid w:val="00785804"/>
    <w:rsid w:val="007858B5"/>
    <w:rsid w:val="00785E65"/>
    <w:rsid w:val="007860C6"/>
    <w:rsid w:val="007864DA"/>
    <w:rsid w:val="00786777"/>
    <w:rsid w:val="0078692F"/>
    <w:rsid w:val="0078702E"/>
    <w:rsid w:val="007870F3"/>
    <w:rsid w:val="007877A5"/>
    <w:rsid w:val="00787810"/>
    <w:rsid w:val="00787ABA"/>
    <w:rsid w:val="007900B7"/>
    <w:rsid w:val="00790259"/>
    <w:rsid w:val="0079031A"/>
    <w:rsid w:val="00790336"/>
    <w:rsid w:val="007903D6"/>
    <w:rsid w:val="0079068B"/>
    <w:rsid w:val="007907AB"/>
    <w:rsid w:val="0079085A"/>
    <w:rsid w:val="0079096C"/>
    <w:rsid w:val="00790BEB"/>
    <w:rsid w:val="00790C73"/>
    <w:rsid w:val="00790E29"/>
    <w:rsid w:val="00790FC1"/>
    <w:rsid w:val="007911FB"/>
    <w:rsid w:val="007917DF"/>
    <w:rsid w:val="00791809"/>
    <w:rsid w:val="00791888"/>
    <w:rsid w:val="0079192F"/>
    <w:rsid w:val="00791F8D"/>
    <w:rsid w:val="00791FF6"/>
    <w:rsid w:val="00792071"/>
    <w:rsid w:val="007924F3"/>
    <w:rsid w:val="007927E3"/>
    <w:rsid w:val="00792ABB"/>
    <w:rsid w:val="00792D26"/>
    <w:rsid w:val="00792EE1"/>
    <w:rsid w:val="00793457"/>
    <w:rsid w:val="0079377B"/>
    <w:rsid w:val="00793815"/>
    <w:rsid w:val="007938F2"/>
    <w:rsid w:val="00793912"/>
    <w:rsid w:val="007939AC"/>
    <w:rsid w:val="00793B5E"/>
    <w:rsid w:val="00793E7D"/>
    <w:rsid w:val="007940CD"/>
    <w:rsid w:val="007940E3"/>
    <w:rsid w:val="0079418B"/>
    <w:rsid w:val="00794395"/>
    <w:rsid w:val="007943C2"/>
    <w:rsid w:val="00794A89"/>
    <w:rsid w:val="00794B4A"/>
    <w:rsid w:val="0079517D"/>
    <w:rsid w:val="00795235"/>
    <w:rsid w:val="007954C0"/>
    <w:rsid w:val="00795D91"/>
    <w:rsid w:val="00796321"/>
    <w:rsid w:val="00796824"/>
    <w:rsid w:val="007968E9"/>
    <w:rsid w:val="007969B3"/>
    <w:rsid w:val="00796D44"/>
    <w:rsid w:val="00796E71"/>
    <w:rsid w:val="00796EED"/>
    <w:rsid w:val="0079702F"/>
    <w:rsid w:val="007972A8"/>
    <w:rsid w:val="007973F6"/>
    <w:rsid w:val="00797821"/>
    <w:rsid w:val="00797D20"/>
    <w:rsid w:val="007A01F0"/>
    <w:rsid w:val="007A0370"/>
    <w:rsid w:val="007A047B"/>
    <w:rsid w:val="007A0908"/>
    <w:rsid w:val="007A0AF4"/>
    <w:rsid w:val="007A0C1A"/>
    <w:rsid w:val="007A0DB3"/>
    <w:rsid w:val="007A1230"/>
    <w:rsid w:val="007A13A2"/>
    <w:rsid w:val="007A1A32"/>
    <w:rsid w:val="007A1E33"/>
    <w:rsid w:val="007A1EE4"/>
    <w:rsid w:val="007A210C"/>
    <w:rsid w:val="007A21FE"/>
    <w:rsid w:val="007A23A5"/>
    <w:rsid w:val="007A2A02"/>
    <w:rsid w:val="007A2C96"/>
    <w:rsid w:val="007A2F83"/>
    <w:rsid w:val="007A31A5"/>
    <w:rsid w:val="007A31D9"/>
    <w:rsid w:val="007A3415"/>
    <w:rsid w:val="007A37DE"/>
    <w:rsid w:val="007A3A05"/>
    <w:rsid w:val="007A3BB6"/>
    <w:rsid w:val="007A437F"/>
    <w:rsid w:val="007A4557"/>
    <w:rsid w:val="007A4BB7"/>
    <w:rsid w:val="007A4C95"/>
    <w:rsid w:val="007A4CAE"/>
    <w:rsid w:val="007A4FF5"/>
    <w:rsid w:val="007A5195"/>
    <w:rsid w:val="007A5240"/>
    <w:rsid w:val="007A538B"/>
    <w:rsid w:val="007A54C4"/>
    <w:rsid w:val="007A5578"/>
    <w:rsid w:val="007A5F51"/>
    <w:rsid w:val="007A5FCD"/>
    <w:rsid w:val="007A61BC"/>
    <w:rsid w:val="007A6262"/>
    <w:rsid w:val="007A67F7"/>
    <w:rsid w:val="007A6ADF"/>
    <w:rsid w:val="007A74EB"/>
    <w:rsid w:val="007A75A4"/>
    <w:rsid w:val="007A79CA"/>
    <w:rsid w:val="007A79E6"/>
    <w:rsid w:val="007A7BEE"/>
    <w:rsid w:val="007A7C77"/>
    <w:rsid w:val="007B0082"/>
    <w:rsid w:val="007B0281"/>
    <w:rsid w:val="007B04AE"/>
    <w:rsid w:val="007B068C"/>
    <w:rsid w:val="007B08AB"/>
    <w:rsid w:val="007B08BB"/>
    <w:rsid w:val="007B0987"/>
    <w:rsid w:val="007B0DAE"/>
    <w:rsid w:val="007B1264"/>
    <w:rsid w:val="007B156A"/>
    <w:rsid w:val="007B1A7A"/>
    <w:rsid w:val="007B1C2F"/>
    <w:rsid w:val="007B20AE"/>
    <w:rsid w:val="007B2510"/>
    <w:rsid w:val="007B2820"/>
    <w:rsid w:val="007B2AFA"/>
    <w:rsid w:val="007B2C7F"/>
    <w:rsid w:val="007B2CCC"/>
    <w:rsid w:val="007B2D41"/>
    <w:rsid w:val="007B3363"/>
    <w:rsid w:val="007B4411"/>
    <w:rsid w:val="007B4864"/>
    <w:rsid w:val="007B4C5E"/>
    <w:rsid w:val="007B52F6"/>
    <w:rsid w:val="007B567C"/>
    <w:rsid w:val="007B5696"/>
    <w:rsid w:val="007B58B8"/>
    <w:rsid w:val="007B5EAE"/>
    <w:rsid w:val="007B5EB5"/>
    <w:rsid w:val="007B6094"/>
    <w:rsid w:val="007B6275"/>
    <w:rsid w:val="007B62D0"/>
    <w:rsid w:val="007B6466"/>
    <w:rsid w:val="007B6E40"/>
    <w:rsid w:val="007B6E6C"/>
    <w:rsid w:val="007B70B0"/>
    <w:rsid w:val="007B74E2"/>
    <w:rsid w:val="007B7B6C"/>
    <w:rsid w:val="007B7F71"/>
    <w:rsid w:val="007B7FA3"/>
    <w:rsid w:val="007C01F1"/>
    <w:rsid w:val="007C06AA"/>
    <w:rsid w:val="007C086A"/>
    <w:rsid w:val="007C0DE6"/>
    <w:rsid w:val="007C0F84"/>
    <w:rsid w:val="007C123F"/>
    <w:rsid w:val="007C12CF"/>
    <w:rsid w:val="007C13F4"/>
    <w:rsid w:val="007C16E9"/>
    <w:rsid w:val="007C27F7"/>
    <w:rsid w:val="007C3056"/>
    <w:rsid w:val="007C3312"/>
    <w:rsid w:val="007C3AFE"/>
    <w:rsid w:val="007C400C"/>
    <w:rsid w:val="007C4074"/>
    <w:rsid w:val="007C4135"/>
    <w:rsid w:val="007C49C0"/>
    <w:rsid w:val="007C4C27"/>
    <w:rsid w:val="007C4E99"/>
    <w:rsid w:val="007C4FEC"/>
    <w:rsid w:val="007C503F"/>
    <w:rsid w:val="007C537A"/>
    <w:rsid w:val="007C5627"/>
    <w:rsid w:val="007C59C5"/>
    <w:rsid w:val="007C5B5A"/>
    <w:rsid w:val="007C5D57"/>
    <w:rsid w:val="007C5E7C"/>
    <w:rsid w:val="007C5FA9"/>
    <w:rsid w:val="007C5FE8"/>
    <w:rsid w:val="007C605B"/>
    <w:rsid w:val="007C620D"/>
    <w:rsid w:val="007C6315"/>
    <w:rsid w:val="007C63A2"/>
    <w:rsid w:val="007C65E8"/>
    <w:rsid w:val="007C6864"/>
    <w:rsid w:val="007C6AC0"/>
    <w:rsid w:val="007C6B63"/>
    <w:rsid w:val="007C70BE"/>
    <w:rsid w:val="007C70C2"/>
    <w:rsid w:val="007C7372"/>
    <w:rsid w:val="007C75EA"/>
    <w:rsid w:val="007C77C9"/>
    <w:rsid w:val="007C78FB"/>
    <w:rsid w:val="007C7BA0"/>
    <w:rsid w:val="007C7BE9"/>
    <w:rsid w:val="007C7E39"/>
    <w:rsid w:val="007C7F35"/>
    <w:rsid w:val="007D0106"/>
    <w:rsid w:val="007D0146"/>
    <w:rsid w:val="007D02A1"/>
    <w:rsid w:val="007D0533"/>
    <w:rsid w:val="007D06E6"/>
    <w:rsid w:val="007D08C3"/>
    <w:rsid w:val="007D08FB"/>
    <w:rsid w:val="007D0A05"/>
    <w:rsid w:val="007D0A58"/>
    <w:rsid w:val="007D0AA6"/>
    <w:rsid w:val="007D0AFE"/>
    <w:rsid w:val="007D10AE"/>
    <w:rsid w:val="007D1248"/>
    <w:rsid w:val="007D17E6"/>
    <w:rsid w:val="007D1D5B"/>
    <w:rsid w:val="007D202D"/>
    <w:rsid w:val="007D20E0"/>
    <w:rsid w:val="007D2458"/>
    <w:rsid w:val="007D2607"/>
    <w:rsid w:val="007D2A6D"/>
    <w:rsid w:val="007D2B5C"/>
    <w:rsid w:val="007D308E"/>
    <w:rsid w:val="007D32FC"/>
    <w:rsid w:val="007D3D93"/>
    <w:rsid w:val="007D3E2B"/>
    <w:rsid w:val="007D44FE"/>
    <w:rsid w:val="007D4678"/>
    <w:rsid w:val="007D4790"/>
    <w:rsid w:val="007D5470"/>
    <w:rsid w:val="007D5A9D"/>
    <w:rsid w:val="007D71A3"/>
    <w:rsid w:val="007E0022"/>
    <w:rsid w:val="007E0108"/>
    <w:rsid w:val="007E064C"/>
    <w:rsid w:val="007E100E"/>
    <w:rsid w:val="007E136A"/>
    <w:rsid w:val="007E1462"/>
    <w:rsid w:val="007E1ABF"/>
    <w:rsid w:val="007E1F2C"/>
    <w:rsid w:val="007E1FBD"/>
    <w:rsid w:val="007E210B"/>
    <w:rsid w:val="007E2491"/>
    <w:rsid w:val="007E264D"/>
    <w:rsid w:val="007E2728"/>
    <w:rsid w:val="007E277D"/>
    <w:rsid w:val="007E28C9"/>
    <w:rsid w:val="007E2AF6"/>
    <w:rsid w:val="007E2F1E"/>
    <w:rsid w:val="007E2F5B"/>
    <w:rsid w:val="007E3252"/>
    <w:rsid w:val="007E3A05"/>
    <w:rsid w:val="007E3A12"/>
    <w:rsid w:val="007E3BC6"/>
    <w:rsid w:val="007E3C7F"/>
    <w:rsid w:val="007E3D92"/>
    <w:rsid w:val="007E40AB"/>
    <w:rsid w:val="007E456E"/>
    <w:rsid w:val="007E470D"/>
    <w:rsid w:val="007E481C"/>
    <w:rsid w:val="007E4C85"/>
    <w:rsid w:val="007E4EFE"/>
    <w:rsid w:val="007E5B13"/>
    <w:rsid w:val="007E61D2"/>
    <w:rsid w:val="007E6410"/>
    <w:rsid w:val="007E649E"/>
    <w:rsid w:val="007E654E"/>
    <w:rsid w:val="007E6872"/>
    <w:rsid w:val="007E6A2B"/>
    <w:rsid w:val="007E7418"/>
    <w:rsid w:val="007F00CE"/>
    <w:rsid w:val="007F0231"/>
    <w:rsid w:val="007F0360"/>
    <w:rsid w:val="007F0469"/>
    <w:rsid w:val="007F04C7"/>
    <w:rsid w:val="007F08DC"/>
    <w:rsid w:val="007F0A96"/>
    <w:rsid w:val="007F0AD7"/>
    <w:rsid w:val="007F129F"/>
    <w:rsid w:val="007F12ED"/>
    <w:rsid w:val="007F2436"/>
    <w:rsid w:val="007F2A37"/>
    <w:rsid w:val="007F2D38"/>
    <w:rsid w:val="007F2DEF"/>
    <w:rsid w:val="007F300B"/>
    <w:rsid w:val="007F3045"/>
    <w:rsid w:val="007F3A0F"/>
    <w:rsid w:val="007F3A35"/>
    <w:rsid w:val="007F3A65"/>
    <w:rsid w:val="007F3B4D"/>
    <w:rsid w:val="007F4066"/>
    <w:rsid w:val="007F40D0"/>
    <w:rsid w:val="007F42B8"/>
    <w:rsid w:val="007F43AE"/>
    <w:rsid w:val="007F500E"/>
    <w:rsid w:val="007F5072"/>
    <w:rsid w:val="007F5102"/>
    <w:rsid w:val="007F573B"/>
    <w:rsid w:val="007F58E9"/>
    <w:rsid w:val="007F59BD"/>
    <w:rsid w:val="007F5B93"/>
    <w:rsid w:val="007F63CD"/>
    <w:rsid w:val="007F6964"/>
    <w:rsid w:val="007F6D20"/>
    <w:rsid w:val="007F6D4F"/>
    <w:rsid w:val="007F6E54"/>
    <w:rsid w:val="007F709F"/>
    <w:rsid w:val="007F729E"/>
    <w:rsid w:val="007F74EB"/>
    <w:rsid w:val="007F77BF"/>
    <w:rsid w:val="007F7F8F"/>
    <w:rsid w:val="008000F2"/>
    <w:rsid w:val="0080022A"/>
    <w:rsid w:val="00800C77"/>
    <w:rsid w:val="00800FA5"/>
    <w:rsid w:val="00801817"/>
    <w:rsid w:val="008018B8"/>
    <w:rsid w:val="0080190B"/>
    <w:rsid w:val="00801A9E"/>
    <w:rsid w:val="00801CF2"/>
    <w:rsid w:val="008022E9"/>
    <w:rsid w:val="00802C30"/>
    <w:rsid w:val="00802E9B"/>
    <w:rsid w:val="0080309C"/>
    <w:rsid w:val="008030CE"/>
    <w:rsid w:val="00803384"/>
    <w:rsid w:val="0080375C"/>
    <w:rsid w:val="008038FE"/>
    <w:rsid w:val="00803FB8"/>
    <w:rsid w:val="0080405D"/>
    <w:rsid w:val="008041BA"/>
    <w:rsid w:val="00804824"/>
    <w:rsid w:val="0080491B"/>
    <w:rsid w:val="00804ADB"/>
    <w:rsid w:val="00804E48"/>
    <w:rsid w:val="00804EBA"/>
    <w:rsid w:val="00805093"/>
    <w:rsid w:val="0080553C"/>
    <w:rsid w:val="008059ED"/>
    <w:rsid w:val="00805C07"/>
    <w:rsid w:val="00805C7C"/>
    <w:rsid w:val="00805F06"/>
    <w:rsid w:val="00806348"/>
    <w:rsid w:val="00806483"/>
    <w:rsid w:val="00806497"/>
    <w:rsid w:val="00806789"/>
    <w:rsid w:val="00806C4B"/>
    <w:rsid w:val="00806CB7"/>
    <w:rsid w:val="00807424"/>
    <w:rsid w:val="0080762A"/>
    <w:rsid w:val="00807800"/>
    <w:rsid w:val="008078C9"/>
    <w:rsid w:val="00807A5A"/>
    <w:rsid w:val="00807E14"/>
    <w:rsid w:val="00810555"/>
    <w:rsid w:val="00810749"/>
    <w:rsid w:val="008111CE"/>
    <w:rsid w:val="00811A04"/>
    <w:rsid w:val="00811D7C"/>
    <w:rsid w:val="0081210E"/>
    <w:rsid w:val="00812358"/>
    <w:rsid w:val="0081328D"/>
    <w:rsid w:val="008132CD"/>
    <w:rsid w:val="00813543"/>
    <w:rsid w:val="008136B7"/>
    <w:rsid w:val="00813769"/>
    <w:rsid w:val="0081385C"/>
    <w:rsid w:val="00813908"/>
    <w:rsid w:val="00813942"/>
    <w:rsid w:val="00813B7B"/>
    <w:rsid w:val="00813C23"/>
    <w:rsid w:val="00813EEB"/>
    <w:rsid w:val="00814101"/>
    <w:rsid w:val="0081429C"/>
    <w:rsid w:val="008145C1"/>
    <w:rsid w:val="008147C2"/>
    <w:rsid w:val="008148F4"/>
    <w:rsid w:val="00814A02"/>
    <w:rsid w:val="00814D02"/>
    <w:rsid w:val="00814E43"/>
    <w:rsid w:val="00815181"/>
    <w:rsid w:val="0081521D"/>
    <w:rsid w:val="008159A6"/>
    <w:rsid w:val="00815A34"/>
    <w:rsid w:val="00815A36"/>
    <w:rsid w:val="00815B92"/>
    <w:rsid w:val="00815FFB"/>
    <w:rsid w:val="00816181"/>
    <w:rsid w:val="008164C0"/>
    <w:rsid w:val="008164D0"/>
    <w:rsid w:val="0081654D"/>
    <w:rsid w:val="00816605"/>
    <w:rsid w:val="00816661"/>
    <w:rsid w:val="0081666D"/>
    <w:rsid w:val="0081692E"/>
    <w:rsid w:val="00816C0E"/>
    <w:rsid w:val="0081704E"/>
    <w:rsid w:val="00817143"/>
    <w:rsid w:val="008172DC"/>
    <w:rsid w:val="00817860"/>
    <w:rsid w:val="00817B39"/>
    <w:rsid w:val="00817B83"/>
    <w:rsid w:val="00817C92"/>
    <w:rsid w:val="00820463"/>
    <w:rsid w:val="0082066C"/>
    <w:rsid w:val="008206AA"/>
    <w:rsid w:val="00820828"/>
    <w:rsid w:val="00820AE0"/>
    <w:rsid w:val="00820DA6"/>
    <w:rsid w:val="00820F6E"/>
    <w:rsid w:val="008212C3"/>
    <w:rsid w:val="0082150E"/>
    <w:rsid w:val="00821980"/>
    <w:rsid w:val="00821E5D"/>
    <w:rsid w:val="00821F0D"/>
    <w:rsid w:val="00822462"/>
    <w:rsid w:val="00822B12"/>
    <w:rsid w:val="00822D98"/>
    <w:rsid w:val="00823194"/>
    <w:rsid w:val="00823C03"/>
    <w:rsid w:val="00823E6D"/>
    <w:rsid w:val="0082405C"/>
    <w:rsid w:val="008244DB"/>
    <w:rsid w:val="008244EE"/>
    <w:rsid w:val="008250DF"/>
    <w:rsid w:val="00825550"/>
    <w:rsid w:val="0082581E"/>
    <w:rsid w:val="00825924"/>
    <w:rsid w:val="00825C6E"/>
    <w:rsid w:val="00825D74"/>
    <w:rsid w:val="00825EC8"/>
    <w:rsid w:val="00825F51"/>
    <w:rsid w:val="00826543"/>
    <w:rsid w:val="00826565"/>
    <w:rsid w:val="00826620"/>
    <w:rsid w:val="008266CE"/>
    <w:rsid w:val="00826953"/>
    <w:rsid w:val="00826A9C"/>
    <w:rsid w:val="00826F46"/>
    <w:rsid w:val="00826F8C"/>
    <w:rsid w:val="0082785B"/>
    <w:rsid w:val="00827A21"/>
    <w:rsid w:val="00827A59"/>
    <w:rsid w:val="00827C13"/>
    <w:rsid w:val="00827F82"/>
    <w:rsid w:val="0083027C"/>
    <w:rsid w:val="0083053E"/>
    <w:rsid w:val="00830A70"/>
    <w:rsid w:val="00830C48"/>
    <w:rsid w:val="00830D66"/>
    <w:rsid w:val="00830E7E"/>
    <w:rsid w:val="00830F94"/>
    <w:rsid w:val="00831039"/>
    <w:rsid w:val="008311A0"/>
    <w:rsid w:val="00831B18"/>
    <w:rsid w:val="00831C93"/>
    <w:rsid w:val="00831DC3"/>
    <w:rsid w:val="00831F59"/>
    <w:rsid w:val="0083217F"/>
    <w:rsid w:val="00832431"/>
    <w:rsid w:val="0083254B"/>
    <w:rsid w:val="0083257E"/>
    <w:rsid w:val="008328C2"/>
    <w:rsid w:val="008329EF"/>
    <w:rsid w:val="00833663"/>
    <w:rsid w:val="008336D6"/>
    <w:rsid w:val="0083381E"/>
    <w:rsid w:val="00833A96"/>
    <w:rsid w:val="00833ABA"/>
    <w:rsid w:val="00834307"/>
    <w:rsid w:val="008345AC"/>
    <w:rsid w:val="00834644"/>
    <w:rsid w:val="00834732"/>
    <w:rsid w:val="00834736"/>
    <w:rsid w:val="008347CE"/>
    <w:rsid w:val="008348AE"/>
    <w:rsid w:val="008348D7"/>
    <w:rsid w:val="00834A8D"/>
    <w:rsid w:val="00834BF1"/>
    <w:rsid w:val="00834D4F"/>
    <w:rsid w:val="00834ED1"/>
    <w:rsid w:val="00834FDD"/>
    <w:rsid w:val="0083507B"/>
    <w:rsid w:val="008351FD"/>
    <w:rsid w:val="0083546C"/>
    <w:rsid w:val="008355C5"/>
    <w:rsid w:val="00835669"/>
    <w:rsid w:val="008356DC"/>
    <w:rsid w:val="0083592E"/>
    <w:rsid w:val="00835A6C"/>
    <w:rsid w:val="00835EBA"/>
    <w:rsid w:val="00835F8C"/>
    <w:rsid w:val="00836016"/>
    <w:rsid w:val="0083619B"/>
    <w:rsid w:val="008363EC"/>
    <w:rsid w:val="00836507"/>
    <w:rsid w:val="00836FD5"/>
    <w:rsid w:val="00836FD7"/>
    <w:rsid w:val="008370CA"/>
    <w:rsid w:val="008370CC"/>
    <w:rsid w:val="00837B58"/>
    <w:rsid w:val="008404AD"/>
    <w:rsid w:val="00840879"/>
    <w:rsid w:val="00840ADB"/>
    <w:rsid w:val="00841077"/>
    <w:rsid w:val="008413A3"/>
    <w:rsid w:val="008416EB"/>
    <w:rsid w:val="00841CBD"/>
    <w:rsid w:val="008422B2"/>
    <w:rsid w:val="0084266D"/>
    <w:rsid w:val="0084278D"/>
    <w:rsid w:val="00842A22"/>
    <w:rsid w:val="0084315B"/>
    <w:rsid w:val="0084336D"/>
    <w:rsid w:val="00843C8D"/>
    <w:rsid w:val="00843EB9"/>
    <w:rsid w:val="00843EC8"/>
    <w:rsid w:val="00844024"/>
    <w:rsid w:val="0084407A"/>
    <w:rsid w:val="008444D9"/>
    <w:rsid w:val="0084460F"/>
    <w:rsid w:val="00844692"/>
    <w:rsid w:val="008453A7"/>
    <w:rsid w:val="0084542C"/>
    <w:rsid w:val="00845637"/>
    <w:rsid w:val="008459E1"/>
    <w:rsid w:val="00845E13"/>
    <w:rsid w:val="00845FE0"/>
    <w:rsid w:val="00845FF5"/>
    <w:rsid w:val="008466CC"/>
    <w:rsid w:val="00846C16"/>
    <w:rsid w:val="00846C81"/>
    <w:rsid w:val="0084700D"/>
    <w:rsid w:val="00847083"/>
    <w:rsid w:val="00847119"/>
    <w:rsid w:val="00847405"/>
    <w:rsid w:val="00847EE2"/>
    <w:rsid w:val="00850077"/>
    <w:rsid w:val="0085036E"/>
    <w:rsid w:val="008503EE"/>
    <w:rsid w:val="00850811"/>
    <w:rsid w:val="00850954"/>
    <w:rsid w:val="008509E9"/>
    <w:rsid w:val="00850A0B"/>
    <w:rsid w:val="00850BE9"/>
    <w:rsid w:val="00850E5C"/>
    <w:rsid w:val="0085123F"/>
    <w:rsid w:val="0085124D"/>
    <w:rsid w:val="00851404"/>
    <w:rsid w:val="00851551"/>
    <w:rsid w:val="00851F07"/>
    <w:rsid w:val="00851FDD"/>
    <w:rsid w:val="0085225A"/>
    <w:rsid w:val="00852870"/>
    <w:rsid w:val="00852FA4"/>
    <w:rsid w:val="00853099"/>
    <w:rsid w:val="0085363F"/>
    <w:rsid w:val="00853795"/>
    <w:rsid w:val="00853AE2"/>
    <w:rsid w:val="00853C58"/>
    <w:rsid w:val="00853F8D"/>
    <w:rsid w:val="008542AE"/>
    <w:rsid w:val="00854431"/>
    <w:rsid w:val="0085485A"/>
    <w:rsid w:val="00854994"/>
    <w:rsid w:val="00854F17"/>
    <w:rsid w:val="00854F7B"/>
    <w:rsid w:val="00855034"/>
    <w:rsid w:val="008554B8"/>
    <w:rsid w:val="00855AB3"/>
    <w:rsid w:val="00855B11"/>
    <w:rsid w:val="00855DA4"/>
    <w:rsid w:val="0085637C"/>
    <w:rsid w:val="00856589"/>
    <w:rsid w:val="0085669D"/>
    <w:rsid w:val="00856955"/>
    <w:rsid w:val="00856B3F"/>
    <w:rsid w:val="00856C18"/>
    <w:rsid w:val="00856C6E"/>
    <w:rsid w:val="008571C4"/>
    <w:rsid w:val="0085743A"/>
    <w:rsid w:val="008575D7"/>
    <w:rsid w:val="00857857"/>
    <w:rsid w:val="00860074"/>
    <w:rsid w:val="008601F6"/>
    <w:rsid w:val="0086084D"/>
    <w:rsid w:val="00860964"/>
    <w:rsid w:val="00860B30"/>
    <w:rsid w:val="00860E90"/>
    <w:rsid w:val="008610FD"/>
    <w:rsid w:val="00861163"/>
    <w:rsid w:val="00861335"/>
    <w:rsid w:val="00861730"/>
    <w:rsid w:val="00861BD4"/>
    <w:rsid w:val="00861DA0"/>
    <w:rsid w:val="00861F2B"/>
    <w:rsid w:val="00862563"/>
    <w:rsid w:val="00862C6E"/>
    <w:rsid w:val="008631C7"/>
    <w:rsid w:val="0086331C"/>
    <w:rsid w:val="00863504"/>
    <w:rsid w:val="00863860"/>
    <w:rsid w:val="00863D9C"/>
    <w:rsid w:val="00863F10"/>
    <w:rsid w:val="00864403"/>
    <w:rsid w:val="008644CE"/>
    <w:rsid w:val="00864583"/>
    <w:rsid w:val="0086492B"/>
    <w:rsid w:val="00864FD1"/>
    <w:rsid w:val="00865681"/>
    <w:rsid w:val="00865828"/>
    <w:rsid w:val="00865867"/>
    <w:rsid w:val="008658D3"/>
    <w:rsid w:val="008659B9"/>
    <w:rsid w:val="00865C54"/>
    <w:rsid w:val="00865E71"/>
    <w:rsid w:val="00865F8B"/>
    <w:rsid w:val="008660F5"/>
    <w:rsid w:val="008663E8"/>
    <w:rsid w:val="00866624"/>
    <w:rsid w:val="00867202"/>
    <w:rsid w:val="00867240"/>
    <w:rsid w:val="00867436"/>
    <w:rsid w:val="00867698"/>
    <w:rsid w:val="0086769C"/>
    <w:rsid w:val="008678F3"/>
    <w:rsid w:val="0087000E"/>
    <w:rsid w:val="008701D6"/>
    <w:rsid w:val="00870283"/>
    <w:rsid w:val="008703EA"/>
    <w:rsid w:val="008708C5"/>
    <w:rsid w:val="008709B6"/>
    <w:rsid w:val="00870A45"/>
    <w:rsid w:val="00870CC4"/>
    <w:rsid w:val="00870FA8"/>
    <w:rsid w:val="00871173"/>
    <w:rsid w:val="008712DB"/>
    <w:rsid w:val="008713A5"/>
    <w:rsid w:val="00871F4D"/>
    <w:rsid w:val="0087271C"/>
    <w:rsid w:val="00872900"/>
    <w:rsid w:val="00872E25"/>
    <w:rsid w:val="00872FAC"/>
    <w:rsid w:val="0087366B"/>
    <w:rsid w:val="00873AC1"/>
    <w:rsid w:val="00873C36"/>
    <w:rsid w:val="00873C65"/>
    <w:rsid w:val="00873CE9"/>
    <w:rsid w:val="008745B1"/>
    <w:rsid w:val="008747E2"/>
    <w:rsid w:val="00874C09"/>
    <w:rsid w:val="00874F26"/>
    <w:rsid w:val="00874F5A"/>
    <w:rsid w:val="008753B6"/>
    <w:rsid w:val="00875719"/>
    <w:rsid w:val="008757E6"/>
    <w:rsid w:val="0087611A"/>
    <w:rsid w:val="0087666D"/>
    <w:rsid w:val="008767F4"/>
    <w:rsid w:val="00876848"/>
    <w:rsid w:val="00876884"/>
    <w:rsid w:val="008768E2"/>
    <w:rsid w:val="008769C3"/>
    <w:rsid w:val="00876AC4"/>
    <w:rsid w:val="00876B34"/>
    <w:rsid w:val="00876ED9"/>
    <w:rsid w:val="00876F6C"/>
    <w:rsid w:val="0087725E"/>
    <w:rsid w:val="008777B7"/>
    <w:rsid w:val="00877892"/>
    <w:rsid w:val="00877AB7"/>
    <w:rsid w:val="00877AC1"/>
    <w:rsid w:val="00877EBB"/>
    <w:rsid w:val="00880209"/>
    <w:rsid w:val="0088032A"/>
    <w:rsid w:val="00880833"/>
    <w:rsid w:val="00880A6E"/>
    <w:rsid w:val="008811CD"/>
    <w:rsid w:val="00881259"/>
    <w:rsid w:val="00881401"/>
    <w:rsid w:val="00881D00"/>
    <w:rsid w:val="00881E2B"/>
    <w:rsid w:val="008823A1"/>
    <w:rsid w:val="008823F9"/>
    <w:rsid w:val="00882478"/>
    <w:rsid w:val="008825BE"/>
    <w:rsid w:val="008827E5"/>
    <w:rsid w:val="00882965"/>
    <w:rsid w:val="00882C23"/>
    <w:rsid w:val="00882D18"/>
    <w:rsid w:val="00882E34"/>
    <w:rsid w:val="00883785"/>
    <w:rsid w:val="00883EAF"/>
    <w:rsid w:val="008841A2"/>
    <w:rsid w:val="008841F6"/>
    <w:rsid w:val="0088488F"/>
    <w:rsid w:val="00884A10"/>
    <w:rsid w:val="008851EB"/>
    <w:rsid w:val="0088534A"/>
    <w:rsid w:val="008853D3"/>
    <w:rsid w:val="00885629"/>
    <w:rsid w:val="008859E8"/>
    <w:rsid w:val="00885AD5"/>
    <w:rsid w:val="00885DC0"/>
    <w:rsid w:val="00885E2F"/>
    <w:rsid w:val="00886105"/>
    <w:rsid w:val="0088657E"/>
    <w:rsid w:val="008867D7"/>
    <w:rsid w:val="00886B49"/>
    <w:rsid w:val="00886F81"/>
    <w:rsid w:val="0088723F"/>
    <w:rsid w:val="008873B0"/>
    <w:rsid w:val="00887B3E"/>
    <w:rsid w:val="00887E10"/>
    <w:rsid w:val="0089021F"/>
    <w:rsid w:val="00890536"/>
    <w:rsid w:val="00890754"/>
    <w:rsid w:val="00890860"/>
    <w:rsid w:val="00890963"/>
    <w:rsid w:val="008909E0"/>
    <w:rsid w:val="00890C76"/>
    <w:rsid w:val="00890EFC"/>
    <w:rsid w:val="00891262"/>
    <w:rsid w:val="00891EA9"/>
    <w:rsid w:val="008920BB"/>
    <w:rsid w:val="00892706"/>
    <w:rsid w:val="008928DB"/>
    <w:rsid w:val="00892A2D"/>
    <w:rsid w:val="00892A5D"/>
    <w:rsid w:val="00892ABD"/>
    <w:rsid w:val="008937DD"/>
    <w:rsid w:val="00893A14"/>
    <w:rsid w:val="008948D3"/>
    <w:rsid w:val="008949DD"/>
    <w:rsid w:val="00894CAD"/>
    <w:rsid w:val="00894D2C"/>
    <w:rsid w:val="00894DA1"/>
    <w:rsid w:val="00895495"/>
    <w:rsid w:val="00895575"/>
    <w:rsid w:val="0089593E"/>
    <w:rsid w:val="008959CD"/>
    <w:rsid w:val="00895C32"/>
    <w:rsid w:val="0089671F"/>
    <w:rsid w:val="00896CEC"/>
    <w:rsid w:val="00897687"/>
    <w:rsid w:val="00897D64"/>
    <w:rsid w:val="00897E33"/>
    <w:rsid w:val="008A001D"/>
    <w:rsid w:val="008A02AC"/>
    <w:rsid w:val="008A0347"/>
    <w:rsid w:val="008A0412"/>
    <w:rsid w:val="008A0694"/>
    <w:rsid w:val="008A0847"/>
    <w:rsid w:val="008A0ED6"/>
    <w:rsid w:val="008A1ABE"/>
    <w:rsid w:val="008A1BB0"/>
    <w:rsid w:val="008A1CC8"/>
    <w:rsid w:val="008A1F48"/>
    <w:rsid w:val="008A2722"/>
    <w:rsid w:val="008A290E"/>
    <w:rsid w:val="008A29D3"/>
    <w:rsid w:val="008A2B3D"/>
    <w:rsid w:val="008A345F"/>
    <w:rsid w:val="008A34D5"/>
    <w:rsid w:val="008A3640"/>
    <w:rsid w:val="008A3D19"/>
    <w:rsid w:val="008A3F05"/>
    <w:rsid w:val="008A4225"/>
    <w:rsid w:val="008A4552"/>
    <w:rsid w:val="008A4A6F"/>
    <w:rsid w:val="008A4C73"/>
    <w:rsid w:val="008A4E5D"/>
    <w:rsid w:val="008A4F51"/>
    <w:rsid w:val="008A5652"/>
    <w:rsid w:val="008A5879"/>
    <w:rsid w:val="008A58F5"/>
    <w:rsid w:val="008A59EA"/>
    <w:rsid w:val="008A5E73"/>
    <w:rsid w:val="008A5E75"/>
    <w:rsid w:val="008A6030"/>
    <w:rsid w:val="008A6207"/>
    <w:rsid w:val="008A6755"/>
    <w:rsid w:val="008A6BD5"/>
    <w:rsid w:val="008A6E28"/>
    <w:rsid w:val="008A6F07"/>
    <w:rsid w:val="008A701A"/>
    <w:rsid w:val="008A7E42"/>
    <w:rsid w:val="008A7F1A"/>
    <w:rsid w:val="008B00C9"/>
    <w:rsid w:val="008B0C1D"/>
    <w:rsid w:val="008B0D71"/>
    <w:rsid w:val="008B0F7F"/>
    <w:rsid w:val="008B11A4"/>
    <w:rsid w:val="008B12D9"/>
    <w:rsid w:val="008B13BE"/>
    <w:rsid w:val="008B1541"/>
    <w:rsid w:val="008B15A0"/>
    <w:rsid w:val="008B1EEE"/>
    <w:rsid w:val="008B2056"/>
    <w:rsid w:val="008B2988"/>
    <w:rsid w:val="008B2F42"/>
    <w:rsid w:val="008B301E"/>
    <w:rsid w:val="008B3234"/>
    <w:rsid w:val="008B3649"/>
    <w:rsid w:val="008B369B"/>
    <w:rsid w:val="008B3731"/>
    <w:rsid w:val="008B3C7B"/>
    <w:rsid w:val="008B4B28"/>
    <w:rsid w:val="008B4E06"/>
    <w:rsid w:val="008B4EB8"/>
    <w:rsid w:val="008B4FD7"/>
    <w:rsid w:val="008B5139"/>
    <w:rsid w:val="008B5358"/>
    <w:rsid w:val="008B54CB"/>
    <w:rsid w:val="008B56BC"/>
    <w:rsid w:val="008B5CBE"/>
    <w:rsid w:val="008B6170"/>
    <w:rsid w:val="008B63A9"/>
    <w:rsid w:val="008B64B0"/>
    <w:rsid w:val="008B6890"/>
    <w:rsid w:val="008B7599"/>
    <w:rsid w:val="008B75E5"/>
    <w:rsid w:val="008B7C97"/>
    <w:rsid w:val="008B7CE6"/>
    <w:rsid w:val="008C01A1"/>
    <w:rsid w:val="008C085E"/>
    <w:rsid w:val="008C0CB8"/>
    <w:rsid w:val="008C0DDA"/>
    <w:rsid w:val="008C12EA"/>
    <w:rsid w:val="008C131C"/>
    <w:rsid w:val="008C14DD"/>
    <w:rsid w:val="008C153C"/>
    <w:rsid w:val="008C1947"/>
    <w:rsid w:val="008C1976"/>
    <w:rsid w:val="008C1DE0"/>
    <w:rsid w:val="008C1E83"/>
    <w:rsid w:val="008C2253"/>
    <w:rsid w:val="008C2980"/>
    <w:rsid w:val="008C2A9B"/>
    <w:rsid w:val="008C2D85"/>
    <w:rsid w:val="008C3B45"/>
    <w:rsid w:val="008C3FF8"/>
    <w:rsid w:val="008C41A8"/>
    <w:rsid w:val="008C44DA"/>
    <w:rsid w:val="008C485C"/>
    <w:rsid w:val="008C4898"/>
    <w:rsid w:val="008C51CF"/>
    <w:rsid w:val="008C5A45"/>
    <w:rsid w:val="008C5EC3"/>
    <w:rsid w:val="008C5F04"/>
    <w:rsid w:val="008C68DF"/>
    <w:rsid w:val="008C72F7"/>
    <w:rsid w:val="008C7E88"/>
    <w:rsid w:val="008C7FED"/>
    <w:rsid w:val="008C7FF2"/>
    <w:rsid w:val="008D0125"/>
    <w:rsid w:val="008D03A0"/>
    <w:rsid w:val="008D085C"/>
    <w:rsid w:val="008D0B5A"/>
    <w:rsid w:val="008D114E"/>
    <w:rsid w:val="008D1790"/>
    <w:rsid w:val="008D1AF9"/>
    <w:rsid w:val="008D1C2A"/>
    <w:rsid w:val="008D1D2A"/>
    <w:rsid w:val="008D2203"/>
    <w:rsid w:val="008D22F7"/>
    <w:rsid w:val="008D2E8E"/>
    <w:rsid w:val="008D3138"/>
    <w:rsid w:val="008D3191"/>
    <w:rsid w:val="008D32C9"/>
    <w:rsid w:val="008D396D"/>
    <w:rsid w:val="008D3993"/>
    <w:rsid w:val="008D42C9"/>
    <w:rsid w:val="008D4369"/>
    <w:rsid w:val="008D47F7"/>
    <w:rsid w:val="008D4A4C"/>
    <w:rsid w:val="008D4AF6"/>
    <w:rsid w:val="008D4B4D"/>
    <w:rsid w:val="008D4E37"/>
    <w:rsid w:val="008D50FD"/>
    <w:rsid w:val="008D5A58"/>
    <w:rsid w:val="008D5B79"/>
    <w:rsid w:val="008D6618"/>
    <w:rsid w:val="008D676E"/>
    <w:rsid w:val="008D687C"/>
    <w:rsid w:val="008D6A30"/>
    <w:rsid w:val="008D700D"/>
    <w:rsid w:val="008D7168"/>
    <w:rsid w:val="008D7704"/>
    <w:rsid w:val="008D7A07"/>
    <w:rsid w:val="008D7B0C"/>
    <w:rsid w:val="008D7C20"/>
    <w:rsid w:val="008D7C94"/>
    <w:rsid w:val="008D7DB4"/>
    <w:rsid w:val="008D7E37"/>
    <w:rsid w:val="008D7E74"/>
    <w:rsid w:val="008D7EAB"/>
    <w:rsid w:val="008D7F91"/>
    <w:rsid w:val="008D7FAE"/>
    <w:rsid w:val="008E06A7"/>
    <w:rsid w:val="008E0730"/>
    <w:rsid w:val="008E098D"/>
    <w:rsid w:val="008E0C14"/>
    <w:rsid w:val="008E10CB"/>
    <w:rsid w:val="008E127C"/>
    <w:rsid w:val="008E1980"/>
    <w:rsid w:val="008E1A52"/>
    <w:rsid w:val="008E23AF"/>
    <w:rsid w:val="008E2BD8"/>
    <w:rsid w:val="008E2DBD"/>
    <w:rsid w:val="008E2F42"/>
    <w:rsid w:val="008E3420"/>
    <w:rsid w:val="008E3478"/>
    <w:rsid w:val="008E354B"/>
    <w:rsid w:val="008E360E"/>
    <w:rsid w:val="008E3A55"/>
    <w:rsid w:val="008E3A87"/>
    <w:rsid w:val="008E46B4"/>
    <w:rsid w:val="008E48E3"/>
    <w:rsid w:val="008E4BBF"/>
    <w:rsid w:val="008E4CFF"/>
    <w:rsid w:val="008E4E77"/>
    <w:rsid w:val="008E527E"/>
    <w:rsid w:val="008E53E7"/>
    <w:rsid w:val="008E54AA"/>
    <w:rsid w:val="008E583D"/>
    <w:rsid w:val="008E5F84"/>
    <w:rsid w:val="008E5FFA"/>
    <w:rsid w:val="008E63BF"/>
    <w:rsid w:val="008E6A2E"/>
    <w:rsid w:val="008E6CC4"/>
    <w:rsid w:val="008E6FB0"/>
    <w:rsid w:val="008E6FC4"/>
    <w:rsid w:val="008E7733"/>
    <w:rsid w:val="008E78F3"/>
    <w:rsid w:val="008E7B30"/>
    <w:rsid w:val="008F0089"/>
    <w:rsid w:val="008F024D"/>
    <w:rsid w:val="008F08FD"/>
    <w:rsid w:val="008F0926"/>
    <w:rsid w:val="008F1600"/>
    <w:rsid w:val="008F16BB"/>
    <w:rsid w:val="008F1762"/>
    <w:rsid w:val="008F1A72"/>
    <w:rsid w:val="008F1C95"/>
    <w:rsid w:val="008F1E0C"/>
    <w:rsid w:val="008F1E25"/>
    <w:rsid w:val="008F2094"/>
    <w:rsid w:val="008F2221"/>
    <w:rsid w:val="008F2241"/>
    <w:rsid w:val="008F2294"/>
    <w:rsid w:val="008F2360"/>
    <w:rsid w:val="008F2428"/>
    <w:rsid w:val="008F2763"/>
    <w:rsid w:val="008F2BD7"/>
    <w:rsid w:val="008F2BF8"/>
    <w:rsid w:val="008F3189"/>
    <w:rsid w:val="008F3902"/>
    <w:rsid w:val="008F3BB7"/>
    <w:rsid w:val="008F3C4A"/>
    <w:rsid w:val="008F3DA4"/>
    <w:rsid w:val="008F3F85"/>
    <w:rsid w:val="008F3FDB"/>
    <w:rsid w:val="008F4770"/>
    <w:rsid w:val="008F514E"/>
    <w:rsid w:val="008F525A"/>
    <w:rsid w:val="008F58B9"/>
    <w:rsid w:val="008F59B3"/>
    <w:rsid w:val="008F5EC0"/>
    <w:rsid w:val="008F5FE4"/>
    <w:rsid w:val="008F5FE8"/>
    <w:rsid w:val="008F60AE"/>
    <w:rsid w:val="008F6225"/>
    <w:rsid w:val="008F63D2"/>
    <w:rsid w:val="008F6602"/>
    <w:rsid w:val="008F67F0"/>
    <w:rsid w:val="008F684D"/>
    <w:rsid w:val="008F6A80"/>
    <w:rsid w:val="008F6DD3"/>
    <w:rsid w:val="008F71E7"/>
    <w:rsid w:val="008F7289"/>
    <w:rsid w:val="008F7644"/>
    <w:rsid w:val="008F76DC"/>
    <w:rsid w:val="008F7C85"/>
    <w:rsid w:val="0090008C"/>
    <w:rsid w:val="009001A3"/>
    <w:rsid w:val="00900308"/>
    <w:rsid w:val="0090039E"/>
    <w:rsid w:val="00900882"/>
    <w:rsid w:val="009012F6"/>
    <w:rsid w:val="00901FA6"/>
    <w:rsid w:val="009021CE"/>
    <w:rsid w:val="00902AA7"/>
    <w:rsid w:val="00903126"/>
    <w:rsid w:val="009031B6"/>
    <w:rsid w:val="0090346E"/>
    <w:rsid w:val="00903794"/>
    <w:rsid w:val="009037E5"/>
    <w:rsid w:val="00903CD8"/>
    <w:rsid w:val="00903E6A"/>
    <w:rsid w:val="00903FF4"/>
    <w:rsid w:val="0090410F"/>
    <w:rsid w:val="00904303"/>
    <w:rsid w:val="00904D82"/>
    <w:rsid w:val="0090586F"/>
    <w:rsid w:val="00905A4F"/>
    <w:rsid w:val="00905B47"/>
    <w:rsid w:val="00905E37"/>
    <w:rsid w:val="0090603B"/>
    <w:rsid w:val="009060D3"/>
    <w:rsid w:val="00906374"/>
    <w:rsid w:val="00906449"/>
    <w:rsid w:val="0090684A"/>
    <w:rsid w:val="00906E0B"/>
    <w:rsid w:val="0090708B"/>
    <w:rsid w:val="0090719B"/>
    <w:rsid w:val="00907381"/>
    <w:rsid w:val="009074BF"/>
    <w:rsid w:val="009077A2"/>
    <w:rsid w:val="00907C2E"/>
    <w:rsid w:val="00907C9F"/>
    <w:rsid w:val="00907CA9"/>
    <w:rsid w:val="00907D5E"/>
    <w:rsid w:val="00909411"/>
    <w:rsid w:val="0090C804"/>
    <w:rsid w:val="00910425"/>
    <w:rsid w:val="00910591"/>
    <w:rsid w:val="009106F0"/>
    <w:rsid w:val="0091087E"/>
    <w:rsid w:val="00910B3F"/>
    <w:rsid w:val="00910FFE"/>
    <w:rsid w:val="0091115E"/>
    <w:rsid w:val="009116C3"/>
    <w:rsid w:val="00911749"/>
    <w:rsid w:val="00911DEC"/>
    <w:rsid w:val="00911FF7"/>
    <w:rsid w:val="00912259"/>
    <w:rsid w:val="0091234B"/>
    <w:rsid w:val="00912696"/>
    <w:rsid w:val="009127CE"/>
    <w:rsid w:val="009129BA"/>
    <w:rsid w:val="00912DA9"/>
    <w:rsid w:val="00913014"/>
    <w:rsid w:val="009130B0"/>
    <w:rsid w:val="00913403"/>
    <w:rsid w:val="00913825"/>
    <w:rsid w:val="00913BCF"/>
    <w:rsid w:val="00913E31"/>
    <w:rsid w:val="0091400C"/>
    <w:rsid w:val="0091402D"/>
    <w:rsid w:val="009143B2"/>
    <w:rsid w:val="009144EB"/>
    <w:rsid w:val="00914524"/>
    <w:rsid w:val="00914A1F"/>
    <w:rsid w:val="00914B28"/>
    <w:rsid w:val="00914B4F"/>
    <w:rsid w:val="00914E34"/>
    <w:rsid w:val="0091500D"/>
    <w:rsid w:val="009151EE"/>
    <w:rsid w:val="009154B5"/>
    <w:rsid w:val="009155B1"/>
    <w:rsid w:val="0091568A"/>
    <w:rsid w:val="00915711"/>
    <w:rsid w:val="0091598C"/>
    <w:rsid w:val="00915C43"/>
    <w:rsid w:val="00915ECF"/>
    <w:rsid w:val="00915FDA"/>
    <w:rsid w:val="0091647B"/>
    <w:rsid w:val="009165A7"/>
    <w:rsid w:val="0091691F"/>
    <w:rsid w:val="00916F82"/>
    <w:rsid w:val="00916FF6"/>
    <w:rsid w:val="0091736D"/>
    <w:rsid w:val="009174AD"/>
    <w:rsid w:val="00917A7E"/>
    <w:rsid w:val="00917C9E"/>
    <w:rsid w:val="0092016A"/>
    <w:rsid w:val="009207F7"/>
    <w:rsid w:val="0092088B"/>
    <w:rsid w:val="00920AD3"/>
    <w:rsid w:val="00920FF8"/>
    <w:rsid w:val="00921167"/>
    <w:rsid w:val="009211F9"/>
    <w:rsid w:val="00921AEC"/>
    <w:rsid w:val="00921BE1"/>
    <w:rsid w:val="00921ED1"/>
    <w:rsid w:val="00921FF4"/>
    <w:rsid w:val="009220BF"/>
    <w:rsid w:val="009222CB"/>
    <w:rsid w:val="009224A4"/>
    <w:rsid w:val="00922929"/>
    <w:rsid w:val="00923609"/>
    <w:rsid w:val="009238C5"/>
    <w:rsid w:val="009241B9"/>
    <w:rsid w:val="009243E6"/>
    <w:rsid w:val="009244CB"/>
    <w:rsid w:val="0092525C"/>
    <w:rsid w:val="0092550F"/>
    <w:rsid w:val="00925676"/>
    <w:rsid w:val="0092688D"/>
    <w:rsid w:val="00926CDB"/>
    <w:rsid w:val="00926DA3"/>
    <w:rsid w:val="0092722C"/>
    <w:rsid w:val="009275F0"/>
    <w:rsid w:val="009278AB"/>
    <w:rsid w:val="00927B3C"/>
    <w:rsid w:val="00927D37"/>
    <w:rsid w:val="00927EB3"/>
    <w:rsid w:val="009301C0"/>
    <w:rsid w:val="00930670"/>
    <w:rsid w:val="00930874"/>
    <w:rsid w:val="0093103C"/>
    <w:rsid w:val="00931064"/>
    <w:rsid w:val="009311A7"/>
    <w:rsid w:val="009313AF"/>
    <w:rsid w:val="009319AE"/>
    <w:rsid w:val="00931DC7"/>
    <w:rsid w:val="00932631"/>
    <w:rsid w:val="00932E7A"/>
    <w:rsid w:val="00932EDE"/>
    <w:rsid w:val="00933898"/>
    <w:rsid w:val="00933A56"/>
    <w:rsid w:val="00933E62"/>
    <w:rsid w:val="00934088"/>
    <w:rsid w:val="009342C6"/>
    <w:rsid w:val="00934402"/>
    <w:rsid w:val="00934896"/>
    <w:rsid w:val="009348C2"/>
    <w:rsid w:val="00934A92"/>
    <w:rsid w:val="009353D5"/>
    <w:rsid w:val="0093541F"/>
    <w:rsid w:val="0093547B"/>
    <w:rsid w:val="0093549E"/>
    <w:rsid w:val="009356F8"/>
    <w:rsid w:val="00935787"/>
    <w:rsid w:val="00935A5B"/>
    <w:rsid w:val="00935AE5"/>
    <w:rsid w:val="00935DC1"/>
    <w:rsid w:val="009360E6"/>
    <w:rsid w:val="009361C8"/>
    <w:rsid w:val="0093641F"/>
    <w:rsid w:val="00936C47"/>
    <w:rsid w:val="00936EF5"/>
    <w:rsid w:val="00936F23"/>
    <w:rsid w:val="009370F6"/>
    <w:rsid w:val="009375D6"/>
    <w:rsid w:val="00937649"/>
    <w:rsid w:val="00937667"/>
    <w:rsid w:val="00937844"/>
    <w:rsid w:val="0093784C"/>
    <w:rsid w:val="00937A63"/>
    <w:rsid w:val="00937E70"/>
    <w:rsid w:val="009401BB"/>
    <w:rsid w:val="009402B7"/>
    <w:rsid w:val="0094039E"/>
    <w:rsid w:val="00940D12"/>
    <w:rsid w:val="00941633"/>
    <w:rsid w:val="009417C8"/>
    <w:rsid w:val="00941CEB"/>
    <w:rsid w:val="0094208B"/>
    <w:rsid w:val="009422F4"/>
    <w:rsid w:val="00942812"/>
    <w:rsid w:val="00942859"/>
    <w:rsid w:val="00942950"/>
    <w:rsid w:val="00942D5E"/>
    <w:rsid w:val="00943095"/>
    <w:rsid w:val="00943226"/>
    <w:rsid w:val="009432E3"/>
    <w:rsid w:val="0094380E"/>
    <w:rsid w:val="00943C07"/>
    <w:rsid w:val="00943E60"/>
    <w:rsid w:val="00944565"/>
    <w:rsid w:val="00944875"/>
    <w:rsid w:val="009448F8"/>
    <w:rsid w:val="00944956"/>
    <w:rsid w:val="00944F7C"/>
    <w:rsid w:val="00945217"/>
    <w:rsid w:val="0094532F"/>
    <w:rsid w:val="00945925"/>
    <w:rsid w:val="00945B8E"/>
    <w:rsid w:val="00946691"/>
    <w:rsid w:val="009466C3"/>
    <w:rsid w:val="00947045"/>
    <w:rsid w:val="009470F1"/>
    <w:rsid w:val="009476C5"/>
    <w:rsid w:val="00947898"/>
    <w:rsid w:val="00947BE6"/>
    <w:rsid w:val="00950863"/>
    <w:rsid w:val="009508B3"/>
    <w:rsid w:val="00950AE8"/>
    <w:rsid w:val="00950B3C"/>
    <w:rsid w:val="00950F39"/>
    <w:rsid w:val="00951733"/>
    <w:rsid w:val="00951A9C"/>
    <w:rsid w:val="00951B17"/>
    <w:rsid w:val="00951BE1"/>
    <w:rsid w:val="00951E93"/>
    <w:rsid w:val="00951F31"/>
    <w:rsid w:val="009523A6"/>
    <w:rsid w:val="0095246D"/>
    <w:rsid w:val="009524B6"/>
    <w:rsid w:val="009526C0"/>
    <w:rsid w:val="00952884"/>
    <w:rsid w:val="00952CBA"/>
    <w:rsid w:val="00952CD5"/>
    <w:rsid w:val="00953685"/>
    <w:rsid w:val="00953707"/>
    <w:rsid w:val="0095479A"/>
    <w:rsid w:val="009547A8"/>
    <w:rsid w:val="009548E7"/>
    <w:rsid w:val="00954B3C"/>
    <w:rsid w:val="00955078"/>
    <w:rsid w:val="00955504"/>
    <w:rsid w:val="00955B4C"/>
    <w:rsid w:val="009560E4"/>
    <w:rsid w:val="0095623C"/>
    <w:rsid w:val="00956260"/>
    <w:rsid w:val="009567B4"/>
    <w:rsid w:val="00956A06"/>
    <w:rsid w:val="00956E2B"/>
    <w:rsid w:val="009570A6"/>
    <w:rsid w:val="0095754B"/>
    <w:rsid w:val="00957704"/>
    <w:rsid w:val="009578E0"/>
    <w:rsid w:val="00957C25"/>
    <w:rsid w:val="00957EEC"/>
    <w:rsid w:val="009601D5"/>
    <w:rsid w:val="00960948"/>
    <w:rsid w:val="00960BA0"/>
    <w:rsid w:val="00960DF6"/>
    <w:rsid w:val="00961160"/>
    <w:rsid w:val="00961207"/>
    <w:rsid w:val="00961368"/>
    <w:rsid w:val="009614B0"/>
    <w:rsid w:val="0096152F"/>
    <w:rsid w:val="00961556"/>
    <w:rsid w:val="009619F7"/>
    <w:rsid w:val="00961DB5"/>
    <w:rsid w:val="00961FC9"/>
    <w:rsid w:val="009620D3"/>
    <w:rsid w:val="00962535"/>
    <w:rsid w:val="00962690"/>
    <w:rsid w:val="009627CD"/>
    <w:rsid w:val="009629A1"/>
    <w:rsid w:val="00963A45"/>
    <w:rsid w:val="00963DB2"/>
    <w:rsid w:val="00963DF3"/>
    <w:rsid w:val="00963F28"/>
    <w:rsid w:val="00964040"/>
    <w:rsid w:val="00964044"/>
    <w:rsid w:val="00964282"/>
    <w:rsid w:val="00964CE6"/>
    <w:rsid w:val="00964F85"/>
    <w:rsid w:val="0096507F"/>
    <w:rsid w:val="009650D8"/>
    <w:rsid w:val="00965154"/>
    <w:rsid w:val="009651EF"/>
    <w:rsid w:val="009656CC"/>
    <w:rsid w:val="009656DD"/>
    <w:rsid w:val="00965767"/>
    <w:rsid w:val="00965863"/>
    <w:rsid w:val="00965BB7"/>
    <w:rsid w:val="00965E0C"/>
    <w:rsid w:val="00965E75"/>
    <w:rsid w:val="0096658E"/>
    <w:rsid w:val="00966652"/>
    <w:rsid w:val="0096668A"/>
    <w:rsid w:val="00966E42"/>
    <w:rsid w:val="00967067"/>
    <w:rsid w:val="0096726C"/>
    <w:rsid w:val="009675C7"/>
    <w:rsid w:val="009678D8"/>
    <w:rsid w:val="00967AD8"/>
    <w:rsid w:val="00967BB9"/>
    <w:rsid w:val="00967D2A"/>
    <w:rsid w:val="00970510"/>
    <w:rsid w:val="00970721"/>
    <w:rsid w:val="00970909"/>
    <w:rsid w:val="00970D6D"/>
    <w:rsid w:val="00970E8D"/>
    <w:rsid w:val="00970F6B"/>
    <w:rsid w:val="00971450"/>
    <w:rsid w:val="00971C26"/>
    <w:rsid w:val="00971C78"/>
    <w:rsid w:val="009726B5"/>
    <w:rsid w:val="00972722"/>
    <w:rsid w:val="0097275D"/>
    <w:rsid w:val="0097279E"/>
    <w:rsid w:val="009727B4"/>
    <w:rsid w:val="0097287E"/>
    <w:rsid w:val="00972CC4"/>
    <w:rsid w:val="00972D6E"/>
    <w:rsid w:val="00972DD1"/>
    <w:rsid w:val="00972DF0"/>
    <w:rsid w:val="00973032"/>
    <w:rsid w:val="0097311A"/>
    <w:rsid w:val="00973254"/>
    <w:rsid w:val="009735FF"/>
    <w:rsid w:val="009739B0"/>
    <w:rsid w:val="00973AD7"/>
    <w:rsid w:val="00973BD2"/>
    <w:rsid w:val="00973BDB"/>
    <w:rsid w:val="00974010"/>
    <w:rsid w:val="009740F1"/>
    <w:rsid w:val="0097413E"/>
    <w:rsid w:val="00974FB7"/>
    <w:rsid w:val="009751DB"/>
    <w:rsid w:val="00975647"/>
    <w:rsid w:val="009757C6"/>
    <w:rsid w:val="00976609"/>
    <w:rsid w:val="00976854"/>
    <w:rsid w:val="00976975"/>
    <w:rsid w:val="00976C05"/>
    <w:rsid w:val="00976FC4"/>
    <w:rsid w:val="00976FF1"/>
    <w:rsid w:val="0097718E"/>
    <w:rsid w:val="009771BD"/>
    <w:rsid w:val="00977228"/>
    <w:rsid w:val="00977365"/>
    <w:rsid w:val="0097746F"/>
    <w:rsid w:val="0097758C"/>
    <w:rsid w:val="00977795"/>
    <w:rsid w:val="009777AD"/>
    <w:rsid w:val="00977866"/>
    <w:rsid w:val="00977A37"/>
    <w:rsid w:val="00977DE6"/>
    <w:rsid w:val="00977ECC"/>
    <w:rsid w:val="0097D96E"/>
    <w:rsid w:val="00980033"/>
    <w:rsid w:val="00980D8B"/>
    <w:rsid w:val="00980E43"/>
    <w:rsid w:val="0098115F"/>
    <w:rsid w:val="0098129F"/>
    <w:rsid w:val="009812CB"/>
    <w:rsid w:val="0098141B"/>
    <w:rsid w:val="0098154E"/>
    <w:rsid w:val="00981691"/>
    <w:rsid w:val="009822CD"/>
    <w:rsid w:val="009825D6"/>
    <w:rsid w:val="0098293A"/>
    <w:rsid w:val="00982C0A"/>
    <w:rsid w:val="00982C72"/>
    <w:rsid w:val="00982F0A"/>
    <w:rsid w:val="009831B0"/>
    <w:rsid w:val="009832A6"/>
    <w:rsid w:val="00983383"/>
    <w:rsid w:val="00983502"/>
    <w:rsid w:val="009835D0"/>
    <w:rsid w:val="009837BA"/>
    <w:rsid w:val="009838A9"/>
    <w:rsid w:val="009839DB"/>
    <w:rsid w:val="00983DC5"/>
    <w:rsid w:val="009840B0"/>
    <w:rsid w:val="00984281"/>
    <w:rsid w:val="0098437B"/>
    <w:rsid w:val="009846CC"/>
    <w:rsid w:val="009847CB"/>
    <w:rsid w:val="009849FC"/>
    <w:rsid w:val="00984CD8"/>
    <w:rsid w:val="00985006"/>
    <w:rsid w:val="009850A5"/>
    <w:rsid w:val="00985173"/>
    <w:rsid w:val="0098527A"/>
    <w:rsid w:val="00985376"/>
    <w:rsid w:val="00985CB6"/>
    <w:rsid w:val="009868D5"/>
    <w:rsid w:val="00986A29"/>
    <w:rsid w:val="00986A78"/>
    <w:rsid w:val="00986D29"/>
    <w:rsid w:val="00986D90"/>
    <w:rsid w:val="00987389"/>
    <w:rsid w:val="00987525"/>
    <w:rsid w:val="00987CE6"/>
    <w:rsid w:val="00987E0C"/>
    <w:rsid w:val="00990130"/>
    <w:rsid w:val="00990447"/>
    <w:rsid w:val="009904B1"/>
    <w:rsid w:val="0099081A"/>
    <w:rsid w:val="00990D72"/>
    <w:rsid w:val="00990EED"/>
    <w:rsid w:val="00991243"/>
    <w:rsid w:val="00991436"/>
    <w:rsid w:val="00991ACA"/>
    <w:rsid w:val="00991C6D"/>
    <w:rsid w:val="009922F7"/>
    <w:rsid w:val="00992840"/>
    <w:rsid w:val="0099290D"/>
    <w:rsid w:val="00992C03"/>
    <w:rsid w:val="00992CC6"/>
    <w:rsid w:val="00992F16"/>
    <w:rsid w:val="00992F6D"/>
    <w:rsid w:val="00993411"/>
    <w:rsid w:val="009936D9"/>
    <w:rsid w:val="00993810"/>
    <w:rsid w:val="009938FC"/>
    <w:rsid w:val="00993B04"/>
    <w:rsid w:val="00993D9D"/>
    <w:rsid w:val="00993F94"/>
    <w:rsid w:val="00994234"/>
    <w:rsid w:val="009947D2"/>
    <w:rsid w:val="00994897"/>
    <w:rsid w:val="00994B34"/>
    <w:rsid w:val="00994EB6"/>
    <w:rsid w:val="00995283"/>
    <w:rsid w:val="00995284"/>
    <w:rsid w:val="00995409"/>
    <w:rsid w:val="0099589E"/>
    <w:rsid w:val="00995BE9"/>
    <w:rsid w:val="00995F41"/>
    <w:rsid w:val="00995F4E"/>
    <w:rsid w:val="0099624A"/>
    <w:rsid w:val="0099654B"/>
    <w:rsid w:val="00996574"/>
    <w:rsid w:val="00996958"/>
    <w:rsid w:val="00996A36"/>
    <w:rsid w:val="00996CDB"/>
    <w:rsid w:val="00996ECE"/>
    <w:rsid w:val="00997058"/>
    <w:rsid w:val="0099713C"/>
    <w:rsid w:val="009973B8"/>
    <w:rsid w:val="00997741"/>
    <w:rsid w:val="0099779D"/>
    <w:rsid w:val="009978EF"/>
    <w:rsid w:val="009979FE"/>
    <w:rsid w:val="00997DC5"/>
    <w:rsid w:val="009A0662"/>
    <w:rsid w:val="009A0B36"/>
    <w:rsid w:val="009A0EE6"/>
    <w:rsid w:val="009A1AA7"/>
    <w:rsid w:val="009A1F6C"/>
    <w:rsid w:val="009A1F8C"/>
    <w:rsid w:val="009A2042"/>
    <w:rsid w:val="009A23BF"/>
    <w:rsid w:val="009A2BBB"/>
    <w:rsid w:val="009A3750"/>
    <w:rsid w:val="009A37AC"/>
    <w:rsid w:val="009A3ABF"/>
    <w:rsid w:val="009A3D21"/>
    <w:rsid w:val="009A3DE4"/>
    <w:rsid w:val="009A47EB"/>
    <w:rsid w:val="009A48B7"/>
    <w:rsid w:val="009A49E6"/>
    <w:rsid w:val="009A4D72"/>
    <w:rsid w:val="009A50A2"/>
    <w:rsid w:val="009A5239"/>
    <w:rsid w:val="009A5536"/>
    <w:rsid w:val="009A5D78"/>
    <w:rsid w:val="009A6358"/>
    <w:rsid w:val="009A6791"/>
    <w:rsid w:val="009A6888"/>
    <w:rsid w:val="009A6A7F"/>
    <w:rsid w:val="009A6E5D"/>
    <w:rsid w:val="009A7139"/>
    <w:rsid w:val="009A7177"/>
    <w:rsid w:val="009A7481"/>
    <w:rsid w:val="009A7520"/>
    <w:rsid w:val="009A782A"/>
    <w:rsid w:val="009A7899"/>
    <w:rsid w:val="009A7BB7"/>
    <w:rsid w:val="009A7BE2"/>
    <w:rsid w:val="009A7D3C"/>
    <w:rsid w:val="009B0863"/>
    <w:rsid w:val="009B0946"/>
    <w:rsid w:val="009B106F"/>
    <w:rsid w:val="009B1341"/>
    <w:rsid w:val="009B13A9"/>
    <w:rsid w:val="009B161E"/>
    <w:rsid w:val="009B1DCD"/>
    <w:rsid w:val="009B1EED"/>
    <w:rsid w:val="009B1F04"/>
    <w:rsid w:val="009B2063"/>
    <w:rsid w:val="009B20E9"/>
    <w:rsid w:val="009B22EC"/>
    <w:rsid w:val="009B2BBE"/>
    <w:rsid w:val="009B2D17"/>
    <w:rsid w:val="009B3053"/>
    <w:rsid w:val="009B3459"/>
    <w:rsid w:val="009B3974"/>
    <w:rsid w:val="009B3F07"/>
    <w:rsid w:val="009B3F7C"/>
    <w:rsid w:val="009B3FCE"/>
    <w:rsid w:val="009B4650"/>
    <w:rsid w:val="009B468F"/>
    <w:rsid w:val="009B4B67"/>
    <w:rsid w:val="009B5689"/>
    <w:rsid w:val="009B6128"/>
    <w:rsid w:val="009B63E8"/>
    <w:rsid w:val="009B63F6"/>
    <w:rsid w:val="009B641A"/>
    <w:rsid w:val="009B67CB"/>
    <w:rsid w:val="009B681E"/>
    <w:rsid w:val="009B6AE3"/>
    <w:rsid w:val="009B6C59"/>
    <w:rsid w:val="009B71C6"/>
    <w:rsid w:val="009B7424"/>
    <w:rsid w:val="009B758B"/>
    <w:rsid w:val="009B7997"/>
    <w:rsid w:val="009B7B3A"/>
    <w:rsid w:val="009B7B9F"/>
    <w:rsid w:val="009B7F9B"/>
    <w:rsid w:val="009C0329"/>
    <w:rsid w:val="009C0372"/>
    <w:rsid w:val="009C0CB7"/>
    <w:rsid w:val="009C0D51"/>
    <w:rsid w:val="009C106F"/>
    <w:rsid w:val="009C14C7"/>
    <w:rsid w:val="009C1508"/>
    <w:rsid w:val="009C2531"/>
    <w:rsid w:val="009C2681"/>
    <w:rsid w:val="009C299F"/>
    <w:rsid w:val="009C2ADE"/>
    <w:rsid w:val="009C2BB6"/>
    <w:rsid w:val="009C2BF9"/>
    <w:rsid w:val="009C2C94"/>
    <w:rsid w:val="009C2D14"/>
    <w:rsid w:val="009C2EBC"/>
    <w:rsid w:val="009C3620"/>
    <w:rsid w:val="009C3716"/>
    <w:rsid w:val="009C3900"/>
    <w:rsid w:val="009C3961"/>
    <w:rsid w:val="009C3BBB"/>
    <w:rsid w:val="009C3EBB"/>
    <w:rsid w:val="009C43AB"/>
    <w:rsid w:val="009C47DB"/>
    <w:rsid w:val="009C4B0C"/>
    <w:rsid w:val="009C4D22"/>
    <w:rsid w:val="009C4E76"/>
    <w:rsid w:val="009C4F6B"/>
    <w:rsid w:val="009C4FC3"/>
    <w:rsid w:val="009C53A6"/>
    <w:rsid w:val="009C5564"/>
    <w:rsid w:val="009C5A2E"/>
    <w:rsid w:val="009C61E6"/>
    <w:rsid w:val="009C6884"/>
    <w:rsid w:val="009C68D9"/>
    <w:rsid w:val="009C699F"/>
    <w:rsid w:val="009C6A42"/>
    <w:rsid w:val="009C70DE"/>
    <w:rsid w:val="009C7743"/>
    <w:rsid w:val="009C7786"/>
    <w:rsid w:val="009C7D66"/>
    <w:rsid w:val="009D0382"/>
    <w:rsid w:val="009D03BE"/>
    <w:rsid w:val="009D03C5"/>
    <w:rsid w:val="009D0443"/>
    <w:rsid w:val="009D06F5"/>
    <w:rsid w:val="009D091D"/>
    <w:rsid w:val="009D0DB9"/>
    <w:rsid w:val="009D0DC2"/>
    <w:rsid w:val="009D0EC0"/>
    <w:rsid w:val="009D0F31"/>
    <w:rsid w:val="009D13D9"/>
    <w:rsid w:val="009D19F8"/>
    <w:rsid w:val="009D1B92"/>
    <w:rsid w:val="009D1FB6"/>
    <w:rsid w:val="009D2574"/>
    <w:rsid w:val="009D30A3"/>
    <w:rsid w:val="009D3254"/>
    <w:rsid w:val="009D3303"/>
    <w:rsid w:val="009D4138"/>
    <w:rsid w:val="009D4235"/>
    <w:rsid w:val="009D43E1"/>
    <w:rsid w:val="009D4B5F"/>
    <w:rsid w:val="009D4E01"/>
    <w:rsid w:val="009D4ECF"/>
    <w:rsid w:val="009D534D"/>
    <w:rsid w:val="009D6017"/>
    <w:rsid w:val="009D611B"/>
    <w:rsid w:val="009D6695"/>
    <w:rsid w:val="009D6A1E"/>
    <w:rsid w:val="009D6BB8"/>
    <w:rsid w:val="009D70C8"/>
    <w:rsid w:val="009D71C9"/>
    <w:rsid w:val="009D7582"/>
    <w:rsid w:val="009D7A5D"/>
    <w:rsid w:val="009E018F"/>
    <w:rsid w:val="009E0E84"/>
    <w:rsid w:val="009E1733"/>
    <w:rsid w:val="009E18DE"/>
    <w:rsid w:val="009E1CC9"/>
    <w:rsid w:val="009E1D5F"/>
    <w:rsid w:val="009E1F77"/>
    <w:rsid w:val="009E2060"/>
    <w:rsid w:val="009E21DE"/>
    <w:rsid w:val="009E2518"/>
    <w:rsid w:val="009E27F2"/>
    <w:rsid w:val="009E2936"/>
    <w:rsid w:val="009E2945"/>
    <w:rsid w:val="009E2E0E"/>
    <w:rsid w:val="009E2F75"/>
    <w:rsid w:val="009E3CAC"/>
    <w:rsid w:val="009E3D02"/>
    <w:rsid w:val="009E3FA6"/>
    <w:rsid w:val="009E4528"/>
    <w:rsid w:val="009E45A2"/>
    <w:rsid w:val="009E4694"/>
    <w:rsid w:val="009E4BCA"/>
    <w:rsid w:val="009E4CC8"/>
    <w:rsid w:val="009E4EF8"/>
    <w:rsid w:val="009E4F28"/>
    <w:rsid w:val="009E5064"/>
    <w:rsid w:val="009E514F"/>
    <w:rsid w:val="009E57EB"/>
    <w:rsid w:val="009E581F"/>
    <w:rsid w:val="009E5E5A"/>
    <w:rsid w:val="009E5EBE"/>
    <w:rsid w:val="009E624A"/>
    <w:rsid w:val="009E6303"/>
    <w:rsid w:val="009E6316"/>
    <w:rsid w:val="009E6786"/>
    <w:rsid w:val="009E70A3"/>
    <w:rsid w:val="009E72A0"/>
    <w:rsid w:val="009E7740"/>
    <w:rsid w:val="009E780D"/>
    <w:rsid w:val="009E79BE"/>
    <w:rsid w:val="009F0142"/>
    <w:rsid w:val="009F024C"/>
    <w:rsid w:val="009F045E"/>
    <w:rsid w:val="009F0CA0"/>
    <w:rsid w:val="009F14C2"/>
    <w:rsid w:val="009F1726"/>
    <w:rsid w:val="009F1739"/>
    <w:rsid w:val="009F1B14"/>
    <w:rsid w:val="009F1C10"/>
    <w:rsid w:val="009F1C44"/>
    <w:rsid w:val="009F1CBF"/>
    <w:rsid w:val="009F1EFF"/>
    <w:rsid w:val="009F206A"/>
    <w:rsid w:val="009F2690"/>
    <w:rsid w:val="009F271B"/>
    <w:rsid w:val="009F29CB"/>
    <w:rsid w:val="009F2C33"/>
    <w:rsid w:val="009F31F1"/>
    <w:rsid w:val="009F32A2"/>
    <w:rsid w:val="009F32FB"/>
    <w:rsid w:val="009F392C"/>
    <w:rsid w:val="009F3C4A"/>
    <w:rsid w:val="009F42BC"/>
    <w:rsid w:val="009F4809"/>
    <w:rsid w:val="009F4A65"/>
    <w:rsid w:val="009F4D3C"/>
    <w:rsid w:val="009F4ED8"/>
    <w:rsid w:val="009F54B0"/>
    <w:rsid w:val="009F5595"/>
    <w:rsid w:val="009F579F"/>
    <w:rsid w:val="009F59CC"/>
    <w:rsid w:val="009F5FBD"/>
    <w:rsid w:val="009F643C"/>
    <w:rsid w:val="009F6D3E"/>
    <w:rsid w:val="009F6E30"/>
    <w:rsid w:val="009F6FFD"/>
    <w:rsid w:val="009F7207"/>
    <w:rsid w:val="009F7337"/>
    <w:rsid w:val="009F7D9F"/>
    <w:rsid w:val="00A00574"/>
    <w:rsid w:val="00A00930"/>
    <w:rsid w:val="00A00C1B"/>
    <w:rsid w:val="00A00CEC"/>
    <w:rsid w:val="00A00E1F"/>
    <w:rsid w:val="00A00FD0"/>
    <w:rsid w:val="00A014D8"/>
    <w:rsid w:val="00A01704"/>
    <w:rsid w:val="00A0199C"/>
    <w:rsid w:val="00A01D74"/>
    <w:rsid w:val="00A01E9E"/>
    <w:rsid w:val="00A0253A"/>
    <w:rsid w:val="00A02542"/>
    <w:rsid w:val="00A0266D"/>
    <w:rsid w:val="00A02B86"/>
    <w:rsid w:val="00A02BAB"/>
    <w:rsid w:val="00A02D63"/>
    <w:rsid w:val="00A02EA9"/>
    <w:rsid w:val="00A02FF4"/>
    <w:rsid w:val="00A03304"/>
    <w:rsid w:val="00A034FA"/>
    <w:rsid w:val="00A04406"/>
    <w:rsid w:val="00A047B9"/>
    <w:rsid w:val="00A04929"/>
    <w:rsid w:val="00A04980"/>
    <w:rsid w:val="00A04ADD"/>
    <w:rsid w:val="00A04CE7"/>
    <w:rsid w:val="00A04E85"/>
    <w:rsid w:val="00A04FE2"/>
    <w:rsid w:val="00A0525C"/>
    <w:rsid w:val="00A053F2"/>
    <w:rsid w:val="00A05ACF"/>
    <w:rsid w:val="00A05D45"/>
    <w:rsid w:val="00A05E3A"/>
    <w:rsid w:val="00A06108"/>
    <w:rsid w:val="00A0641A"/>
    <w:rsid w:val="00A0654C"/>
    <w:rsid w:val="00A06954"/>
    <w:rsid w:val="00A06E2D"/>
    <w:rsid w:val="00A06E4C"/>
    <w:rsid w:val="00A071E9"/>
    <w:rsid w:val="00A0727A"/>
    <w:rsid w:val="00A07633"/>
    <w:rsid w:val="00A07C55"/>
    <w:rsid w:val="00A10379"/>
    <w:rsid w:val="00A106C0"/>
    <w:rsid w:val="00A1075F"/>
    <w:rsid w:val="00A11302"/>
    <w:rsid w:val="00A113B3"/>
    <w:rsid w:val="00A11921"/>
    <w:rsid w:val="00A11B99"/>
    <w:rsid w:val="00A12AC8"/>
    <w:rsid w:val="00A12B57"/>
    <w:rsid w:val="00A1312A"/>
    <w:rsid w:val="00A13B93"/>
    <w:rsid w:val="00A142B3"/>
    <w:rsid w:val="00A144F8"/>
    <w:rsid w:val="00A149CA"/>
    <w:rsid w:val="00A14B5B"/>
    <w:rsid w:val="00A14EAE"/>
    <w:rsid w:val="00A14EFB"/>
    <w:rsid w:val="00A156A0"/>
    <w:rsid w:val="00A157E7"/>
    <w:rsid w:val="00A15C57"/>
    <w:rsid w:val="00A15C84"/>
    <w:rsid w:val="00A16319"/>
    <w:rsid w:val="00A16DB5"/>
    <w:rsid w:val="00A16DE7"/>
    <w:rsid w:val="00A16E02"/>
    <w:rsid w:val="00A16E20"/>
    <w:rsid w:val="00A16FC1"/>
    <w:rsid w:val="00A170D0"/>
    <w:rsid w:val="00A17193"/>
    <w:rsid w:val="00A178EC"/>
    <w:rsid w:val="00A17CE1"/>
    <w:rsid w:val="00A17D56"/>
    <w:rsid w:val="00A17DE8"/>
    <w:rsid w:val="00A20322"/>
    <w:rsid w:val="00A20978"/>
    <w:rsid w:val="00A20D3D"/>
    <w:rsid w:val="00A2173C"/>
    <w:rsid w:val="00A218D7"/>
    <w:rsid w:val="00A21A08"/>
    <w:rsid w:val="00A21CCD"/>
    <w:rsid w:val="00A21CD6"/>
    <w:rsid w:val="00A21DAC"/>
    <w:rsid w:val="00A22070"/>
    <w:rsid w:val="00A2229C"/>
    <w:rsid w:val="00A2236F"/>
    <w:rsid w:val="00A2279A"/>
    <w:rsid w:val="00A22CFA"/>
    <w:rsid w:val="00A230A9"/>
    <w:rsid w:val="00A230EC"/>
    <w:rsid w:val="00A2313B"/>
    <w:rsid w:val="00A23630"/>
    <w:rsid w:val="00A23C2F"/>
    <w:rsid w:val="00A23E25"/>
    <w:rsid w:val="00A244CD"/>
    <w:rsid w:val="00A249EB"/>
    <w:rsid w:val="00A24BBC"/>
    <w:rsid w:val="00A24C1D"/>
    <w:rsid w:val="00A25021"/>
    <w:rsid w:val="00A2513E"/>
    <w:rsid w:val="00A251EF"/>
    <w:rsid w:val="00A25296"/>
    <w:rsid w:val="00A25721"/>
    <w:rsid w:val="00A25907"/>
    <w:rsid w:val="00A25B5E"/>
    <w:rsid w:val="00A25C14"/>
    <w:rsid w:val="00A25E72"/>
    <w:rsid w:val="00A2615C"/>
    <w:rsid w:val="00A264A0"/>
    <w:rsid w:val="00A26983"/>
    <w:rsid w:val="00A26ECB"/>
    <w:rsid w:val="00A2733D"/>
    <w:rsid w:val="00A276A6"/>
    <w:rsid w:val="00A27A3B"/>
    <w:rsid w:val="00A305F4"/>
    <w:rsid w:val="00A30C90"/>
    <w:rsid w:val="00A30C9D"/>
    <w:rsid w:val="00A30EB5"/>
    <w:rsid w:val="00A30F56"/>
    <w:rsid w:val="00A310CF"/>
    <w:rsid w:val="00A310DD"/>
    <w:rsid w:val="00A3113A"/>
    <w:rsid w:val="00A31475"/>
    <w:rsid w:val="00A31C57"/>
    <w:rsid w:val="00A31DE6"/>
    <w:rsid w:val="00A31F20"/>
    <w:rsid w:val="00A32025"/>
    <w:rsid w:val="00A321F4"/>
    <w:rsid w:val="00A32AF5"/>
    <w:rsid w:val="00A32C0B"/>
    <w:rsid w:val="00A32D26"/>
    <w:rsid w:val="00A32F36"/>
    <w:rsid w:val="00A33014"/>
    <w:rsid w:val="00A3317B"/>
    <w:rsid w:val="00A33452"/>
    <w:rsid w:val="00A339C8"/>
    <w:rsid w:val="00A33BE2"/>
    <w:rsid w:val="00A33E33"/>
    <w:rsid w:val="00A34019"/>
    <w:rsid w:val="00A340BF"/>
    <w:rsid w:val="00A342A4"/>
    <w:rsid w:val="00A346FC"/>
    <w:rsid w:val="00A347E1"/>
    <w:rsid w:val="00A34922"/>
    <w:rsid w:val="00A34BBD"/>
    <w:rsid w:val="00A34E9C"/>
    <w:rsid w:val="00A350B7"/>
    <w:rsid w:val="00A3536A"/>
    <w:rsid w:val="00A355BB"/>
    <w:rsid w:val="00A3562F"/>
    <w:rsid w:val="00A359D2"/>
    <w:rsid w:val="00A35BCE"/>
    <w:rsid w:val="00A35CD0"/>
    <w:rsid w:val="00A36081"/>
    <w:rsid w:val="00A3619C"/>
    <w:rsid w:val="00A36689"/>
    <w:rsid w:val="00A36D42"/>
    <w:rsid w:val="00A37229"/>
    <w:rsid w:val="00A374FA"/>
    <w:rsid w:val="00A3750E"/>
    <w:rsid w:val="00A37A50"/>
    <w:rsid w:val="00A37ABF"/>
    <w:rsid w:val="00A37C3C"/>
    <w:rsid w:val="00A4067B"/>
    <w:rsid w:val="00A40B6F"/>
    <w:rsid w:val="00A41D83"/>
    <w:rsid w:val="00A426C7"/>
    <w:rsid w:val="00A42767"/>
    <w:rsid w:val="00A42D5B"/>
    <w:rsid w:val="00A42E29"/>
    <w:rsid w:val="00A4370F"/>
    <w:rsid w:val="00A4392F"/>
    <w:rsid w:val="00A43E87"/>
    <w:rsid w:val="00A4422E"/>
    <w:rsid w:val="00A44462"/>
    <w:rsid w:val="00A4449E"/>
    <w:rsid w:val="00A4453F"/>
    <w:rsid w:val="00A4473C"/>
    <w:rsid w:val="00A44837"/>
    <w:rsid w:val="00A44BFE"/>
    <w:rsid w:val="00A4512E"/>
    <w:rsid w:val="00A456CF"/>
    <w:rsid w:val="00A45736"/>
    <w:rsid w:val="00A45749"/>
    <w:rsid w:val="00A45BD7"/>
    <w:rsid w:val="00A45DFC"/>
    <w:rsid w:val="00A45F45"/>
    <w:rsid w:val="00A463A6"/>
    <w:rsid w:val="00A4669A"/>
    <w:rsid w:val="00A4679A"/>
    <w:rsid w:val="00A468BE"/>
    <w:rsid w:val="00A468D9"/>
    <w:rsid w:val="00A46ED9"/>
    <w:rsid w:val="00A474C7"/>
    <w:rsid w:val="00A47531"/>
    <w:rsid w:val="00A47A18"/>
    <w:rsid w:val="00A47B12"/>
    <w:rsid w:val="00A47C43"/>
    <w:rsid w:val="00A47D85"/>
    <w:rsid w:val="00A50021"/>
    <w:rsid w:val="00A5048B"/>
    <w:rsid w:val="00A50A43"/>
    <w:rsid w:val="00A50B93"/>
    <w:rsid w:val="00A50D71"/>
    <w:rsid w:val="00A50EF7"/>
    <w:rsid w:val="00A5104D"/>
    <w:rsid w:val="00A51216"/>
    <w:rsid w:val="00A517F2"/>
    <w:rsid w:val="00A51862"/>
    <w:rsid w:val="00A51A8F"/>
    <w:rsid w:val="00A51D78"/>
    <w:rsid w:val="00A52151"/>
    <w:rsid w:val="00A528C7"/>
    <w:rsid w:val="00A531A2"/>
    <w:rsid w:val="00A5368F"/>
    <w:rsid w:val="00A53873"/>
    <w:rsid w:val="00A5387A"/>
    <w:rsid w:val="00A5398C"/>
    <w:rsid w:val="00A53A82"/>
    <w:rsid w:val="00A53CA0"/>
    <w:rsid w:val="00A53F03"/>
    <w:rsid w:val="00A53FD0"/>
    <w:rsid w:val="00A548AE"/>
    <w:rsid w:val="00A54B38"/>
    <w:rsid w:val="00A54C98"/>
    <w:rsid w:val="00A55100"/>
    <w:rsid w:val="00A55CAA"/>
    <w:rsid w:val="00A55E8F"/>
    <w:rsid w:val="00A55E92"/>
    <w:rsid w:val="00A5625C"/>
    <w:rsid w:val="00A5645E"/>
    <w:rsid w:val="00A56B05"/>
    <w:rsid w:val="00A56CED"/>
    <w:rsid w:val="00A56DC4"/>
    <w:rsid w:val="00A57132"/>
    <w:rsid w:val="00A574C1"/>
    <w:rsid w:val="00A576BA"/>
    <w:rsid w:val="00A57CCB"/>
    <w:rsid w:val="00A605A6"/>
    <w:rsid w:val="00A60A27"/>
    <w:rsid w:val="00A60A65"/>
    <w:rsid w:val="00A60C11"/>
    <w:rsid w:val="00A60C79"/>
    <w:rsid w:val="00A60CE1"/>
    <w:rsid w:val="00A60DB1"/>
    <w:rsid w:val="00A61151"/>
    <w:rsid w:val="00A6116A"/>
    <w:rsid w:val="00A61442"/>
    <w:rsid w:val="00A619F2"/>
    <w:rsid w:val="00A61B78"/>
    <w:rsid w:val="00A61CF8"/>
    <w:rsid w:val="00A625F0"/>
    <w:rsid w:val="00A62664"/>
    <w:rsid w:val="00A62670"/>
    <w:rsid w:val="00A6273D"/>
    <w:rsid w:val="00A62B7D"/>
    <w:rsid w:val="00A62DB3"/>
    <w:rsid w:val="00A6373D"/>
    <w:rsid w:val="00A63B3C"/>
    <w:rsid w:val="00A63B99"/>
    <w:rsid w:val="00A63D30"/>
    <w:rsid w:val="00A63EB9"/>
    <w:rsid w:val="00A6479F"/>
    <w:rsid w:val="00A64BE0"/>
    <w:rsid w:val="00A64D5F"/>
    <w:rsid w:val="00A65675"/>
    <w:rsid w:val="00A65696"/>
    <w:rsid w:val="00A658B6"/>
    <w:rsid w:val="00A658BC"/>
    <w:rsid w:val="00A65F57"/>
    <w:rsid w:val="00A6620B"/>
    <w:rsid w:val="00A662D8"/>
    <w:rsid w:val="00A662F0"/>
    <w:rsid w:val="00A66429"/>
    <w:rsid w:val="00A6646C"/>
    <w:rsid w:val="00A665E7"/>
    <w:rsid w:val="00A66919"/>
    <w:rsid w:val="00A669A2"/>
    <w:rsid w:val="00A670DA"/>
    <w:rsid w:val="00A67167"/>
    <w:rsid w:val="00A6721C"/>
    <w:rsid w:val="00A6728D"/>
    <w:rsid w:val="00A674F8"/>
    <w:rsid w:val="00A67A5B"/>
    <w:rsid w:val="00A7035E"/>
    <w:rsid w:val="00A70AEF"/>
    <w:rsid w:val="00A70B17"/>
    <w:rsid w:val="00A70FF3"/>
    <w:rsid w:val="00A711EA"/>
    <w:rsid w:val="00A714F3"/>
    <w:rsid w:val="00A71C93"/>
    <w:rsid w:val="00A7239E"/>
    <w:rsid w:val="00A72685"/>
    <w:rsid w:val="00A72787"/>
    <w:rsid w:val="00A72A7F"/>
    <w:rsid w:val="00A72AB2"/>
    <w:rsid w:val="00A72C29"/>
    <w:rsid w:val="00A72D17"/>
    <w:rsid w:val="00A733F2"/>
    <w:rsid w:val="00A735F4"/>
    <w:rsid w:val="00A737A0"/>
    <w:rsid w:val="00A73885"/>
    <w:rsid w:val="00A73A95"/>
    <w:rsid w:val="00A73CA6"/>
    <w:rsid w:val="00A74555"/>
    <w:rsid w:val="00A74588"/>
    <w:rsid w:val="00A7503A"/>
    <w:rsid w:val="00A75168"/>
    <w:rsid w:val="00A751C1"/>
    <w:rsid w:val="00A75570"/>
    <w:rsid w:val="00A75718"/>
    <w:rsid w:val="00A75751"/>
    <w:rsid w:val="00A75788"/>
    <w:rsid w:val="00A75B5F"/>
    <w:rsid w:val="00A761C3"/>
    <w:rsid w:val="00A76432"/>
    <w:rsid w:val="00A76DFE"/>
    <w:rsid w:val="00A76ECD"/>
    <w:rsid w:val="00A76F46"/>
    <w:rsid w:val="00A76FC0"/>
    <w:rsid w:val="00A7738E"/>
    <w:rsid w:val="00A7773F"/>
    <w:rsid w:val="00A7780B"/>
    <w:rsid w:val="00A77A15"/>
    <w:rsid w:val="00A77BCD"/>
    <w:rsid w:val="00A80124"/>
    <w:rsid w:val="00A8019B"/>
    <w:rsid w:val="00A80231"/>
    <w:rsid w:val="00A805E8"/>
    <w:rsid w:val="00A815BF"/>
    <w:rsid w:val="00A81DA4"/>
    <w:rsid w:val="00A81F2A"/>
    <w:rsid w:val="00A822DD"/>
    <w:rsid w:val="00A833C2"/>
    <w:rsid w:val="00A8381D"/>
    <w:rsid w:val="00A83901"/>
    <w:rsid w:val="00A83CEF"/>
    <w:rsid w:val="00A83F35"/>
    <w:rsid w:val="00A84209"/>
    <w:rsid w:val="00A8447E"/>
    <w:rsid w:val="00A84B8E"/>
    <w:rsid w:val="00A85370"/>
    <w:rsid w:val="00A85A23"/>
    <w:rsid w:val="00A85CB4"/>
    <w:rsid w:val="00A85DC7"/>
    <w:rsid w:val="00A86292"/>
    <w:rsid w:val="00A867B9"/>
    <w:rsid w:val="00A86AC1"/>
    <w:rsid w:val="00A86C66"/>
    <w:rsid w:val="00A86EEB"/>
    <w:rsid w:val="00A87332"/>
    <w:rsid w:val="00A874CD"/>
    <w:rsid w:val="00A87A36"/>
    <w:rsid w:val="00A87A45"/>
    <w:rsid w:val="00A87EC7"/>
    <w:rsid w:val="00A90077"/>
    <w:rsid w:val="00A90392"/>
    <w:rsid w:val="00A90824"/>
    <w:rsid w:val="00A90AC6"/>
    <w:rsid w:val="00A90B4C"/>
    <w:rsid w:val="00A90E6A"/>
    <w:rsid w:val="00A90EE9"/>
    <w:rsid w:val="00A91213"/>
    <w:rsid w:val="00A912B1"/>
    <w:rsid w:val="00A912ED"/>
    <w:rsid w:val="00A9133A"/>
    <w:rsid w:val="00A91427"/>
    <w:rsid w:val="00A91774"/>
    <w:rsid w:val="00A91AAF"/>
    <w:rsid w:val="00A9218D"/>
    <w:rsid w:val="00A9220A"/>
    <w:rsid w:val="00A92608"/>
    <w:rsid w:val="00A92654"/>
    <w:rsid w:val="00A92C61"/>
    <w:rsid w:val="00A92E48"/>
    <w:rsid w:val="00A92EC4"/>
    <w:rsid w:val="00A9390B"/>
    <w:rsid w:val="00A93DFD"/>
    <w:rsid w:val="00A9448A"/>
    <w:rsid w:val="00A9462D"/>
    <w:rsid w:val="00A948D1"/>
    <w:rsid w:val="00A94F84"/>
    <w:rsid w:val="00A95103"/>
    <w:rsid w:val="00A95222"/>
    <w:rsid w:val="00A955C5"/>
    <w:rsid w:val="00A956E1"/>
    <w:rsid w:val="00A96080"/>
    <w:rsid w:val="00A96421"/>
    <w:rsid w:val="00A96733"/>
    <w:rsid w:val="00A96793"/>
    <w:rsid w:val="00A976DF"/>
    <w:rsid w:val="00A97941"/>
    <w:rsid w:val="00A97AD9"/>
    <w:rsid w:val="00A97DB2"/>
    <w:rsid w:val="00AA00CC"/>
    <w:rsid w:val="00AA04DB"/>
    <w:rsid w:val="00AA0691"/>
    <w:rsid w:val="00AA07E9"/>
    <w:rsid w:val="00AA0B34"/>
    <w:rsid w:val="00AA134A"/>
    <w:rsid w:val="00AA1391"/>
    <w:rsid w:val="00AA1751"/>
    <w:rsid w:val="00AA186E"/>
    <w:rsid w:val="00AA1C7B"/>
    <w:rsid w:val="00AA1D68"/>
    <w:rsid w:val="00AA1EA7"/>
    <w:rsid w:val="00AA2340"/>
    <w:rsid w:val="00AA2CBB"/>
    <w:rsid w:val="00AA33A8"/>
    <w:rsid w:val="00AA3AE1"/>
    <w:rsid w:val="00AA3C4A"/>
    <w:rsid w:val="00AA4081"/>
    <w:rsid w:val="00AA441F"/>
    <w:rsid w:val="00AA443B"/>
    <w:rsid w:val="00AA471A"/>
    <w:rsid w:val="00AA4842"/>
    <w:rsid w:val="00AA4CF3"/>
    <w:rsid w:val="00AA52FA"/>
    <w:rsid w:val="00AA570A"/>
    <w:rsid w:val="00AA5719"/>
    <w:rsid w:val="00AA59DB"/>
    <w:rsid w:val="00AA60A2"/>
    <w:rsid w:val="00AA61ED"/>
    <w:rsid w:val="00AA632E"/>
    <w:rsid w:val="00AA6422"/>
    <w:rsid w:val="00AA667B"/>
    <w:rsid w:val="00AA699A"/>
    <w:rsid w:val="00AA7BD4"/>
    <w:rsid w:val="00AB007B"/>
    <w:rsid w:val="00AB0115"/>
    <w:rsid w:val="00AB0168"/>
    <w:rsid w:val="00AB030C"/>
    <w:rsid w:val="00AB03D5"/>
    <w:rsid w:val="00AB067E"/>
    <w:rsid w:val="00AB06F2"/>
    <w:rsid w:val="00AB0790"/>
    <w:rsid w:val="00AB0DC1"/>
    <w:rsid w:val="00AB0E4A"/>
    <w:rsid w:val="00AB1B10"/>
    <w:rsid w:val="00AB1D4B"/>
    <w:rsid w:val="00AB2861"/>
    <w:rsid w:val="00AB2A4E"/>
    <w:rsid w:val="00AB2C4E"/>
    <w:rsid w:val="00AB2D82"/>
    <w:rsid w:val="00AB308E"/>
    <w:rsid w:val="00AB319F"/>
    <w:rsid w:val="00AB356E"/>
    <w:rsid w:val="00AB3EFB"/>
    <w:rsid w:val="00AB41D5"/>
    <w:rsid w:val="00AB4662"/>
    <w:rsid w:val="00AB47A8"/>
    <w:rsid w:val="00AB4B6D"/>
    <w:rsid w:val="00AB4CF6"/>
    <w:rsid w:val="00AB4FE4"/>
    <w:rsid w:val="00AB5261"/>
    <w:rsid w:val="00AB57C6"/>
    <w:rsid w:val="00AB581C"/>
    <w:rsid w:val="00AB59C0"/>
    <w:rsid w:val="00AB5BFC"/>
    <w:rsid w:val="00AB5F9A"/>
    <w:rsid w:val="00AB615A"/>
    <w:rsid w:val="00AB6A32"/>
    <w:rsid w:val="00AB6BDD"/>
    <w:rsid w:val="00AB711A"/>
    <w:rsid w:val="00AB722C"/>
    <w:rsid w:val="00AB72E4"/>
    <w:rsid w:val="00AB7604"/>
    <w:rsid w:val="00AB76A1"/>
    <w:rsid w:val="00AB7C9F"/>
    <w:rsid w:val="00AB7DE8"/>
    <w:rsid w:val="00AB7FCB"/>
    <w:rsid w:val="00AC0176"/>
    <w:rsid w:val="00AC035C"/>
    <w:rsid w:val="00AC07E2"/>
    <w:rsid w:val="00AC0919"/>
    <w:rsid w:val="00AC0B1A"/>
    <w:rsid w:val="00AC0D4D"/>
    <w:rsid w:val="00AC0E34"/>
    <w:rsid w:val="00AC0EC8"/>
    <w:rsid w:val="00AC10A3"/>
    <w:rsid w:val="00AC1179"/>
    <w:rsid w:val="00AC12CB"/>
    <w:rsid w:val="00AC15AF"/>
    <w:rsid w:val="00AC18E2"/>
    <w:rsid w:val="00AC1965"/>
    <w:rsid w:val="00AC1A67"/>
    <w:rsid w:val="00AC1AC4"/>
    <w:rsid w:val="00AC2354"/>
    <w:rsid w:val="00AC2FD4"/>
    <w:rsid w:val="00AC3066"/>
    <w:rsid w:val="00AC329E"/>
    <w:rsid w:val="00AC3304"/>
    <w:rsid w:val="00AC3681"/>
    <w:rsid w:val="00AC37F7"/>
    <w:rsid w:val="00AC3BC2"/>
    <w:rsid w:val="00AC402E"/>
    <w:rsid w:val="00AC40EC"/>
    <w:rsid w:val="00AC45DF"/>
    <w:rsid w:val="00AC494B"/>
    <w:rsid w:val="00AC4B7F"/>
    <w:rsid w:val="00AC4BB8"/>
    <w:rsid w:val="00AC4C8D"/>
    <w:rsid w:val="00AC4E0E"/>
    <w:rsid w:val="00AC50E9"/>
    <w:rsid w:val="00AC5327"/>
    <w:rsid w:val="00AC5627"/>
    <w:rsid w:val="00AC576F"/>
    <w:rsid w:val="00AC58A8"/>
    <w:rsid w:val="00AC5BA7"/>
    <w:rsid w:val="00AC6057"/>
    <w:rsid w:val="00AC63A4"/>
    <w:rsid w:val="00AC6497"/>
    <w:rsid w:val="00AC695D"/>
    <w:rsid w:val="00AC69F0"/>
    <w:rsid w:val="00AC76D9"/>
    <w:rsid w:val="00AC7877"/>
    <w:rsid w:val="00AC7C3F"/>
    <w:rsid w:val="00AC7FAE"/>
    <w:rsid w:val="00AD0391"/>
    <w:rsid w:val="00AD054A"/>
    <w:rsid w:val="00AD0AB9"/>
    <w:rsid w:val="00AD0D83"/>
    <w:rsid w:val="00AD1538"/>
    <w:rsid w:val="00AD19DE"/>
    <w:rsid w:val="00AD1E62"/>
    <w:rsid w:val="00AD2056"/>
    <w:rsid w:val="00AD24CD"/>
    <w:rsid w:val="00AD2671"/>
    <w:rsid w:val="00AD29D0"/>
    <w:rsid w:val="00AD2CF7"/>
    <w:rsid w:val="00AD3115"/>
    <w:rsid w:val="00AD3154"/>
    <w:rsid w:val="00AD31B4"/>
    <w:rsid w:val="00AD320E"/>
    <w:rsid w:val="00AD36DF"/>
    <w:rsid w:val="00AD3795"/>
    <w:rsid w:val="00AD38DA"/>
    <w:rsid w:val="00AD3DFC"/>
    <w:rsid w:val="00AD3E04"/>
    <w:rsid w:val="00AD4267"/>
    <w:rsid w:val="00AD4977"/>
    <w:rsid w:val="00AD4A31"/>
    <w:rsid w:val="00AD4C5B"/>
    <w:rsid w:val="00AD4FCA"/>
    <w:rsid w:val="00AD51A6"/>
    <w:rsid w:val="00AD54D7"/>
    <w:rsid w:val="00AD56DF"/>
    <w:rsid w:val="00AD5750"/>
    <w:rsid w:val="00AD5973"/>
    <w:rsid w:val="00AD599B"/>
    <w:rsid w:val="00AD5B3F"/>
    <w:rsid w:val="00AD5CA8"/>
    <w:rsid w:val="00AD5FEF"/>
    <w:rsid w:val="00AD6384"/>
    <w:rsid w:val="00AD6528"/>
    <w:rsid w:val="00AD681A"/>
    <w:rsid w:val="00AD6845"/>
    <w:rsid w:val="00AD7303"/>
    <w:rsid w:val="00AD7391"/>
    <w:rsid w:val="00AD75A3"/>
    <w:rsid w:val="00AD77A7"/>
    <w:rsid w:val="00AD7ACD"/>
    <w:rsid w:val="00AD7D0D"/>
    <w:rsid w:val="00AD7EB7"/>
    <w:rsid w:val="00AD7FE1"/>
    <w:rsid w:val="00AE0664"/>
    <w:rsid w:val="00AE07EF"/>
    <w:rsid w:val="00AE0AFE"/>
    <w:rsid w:val="00AE0FB7"/>
    <w:rsid w:val="00AE173B"/>
    <w:rsid w:val="00AE1762"/>
    <w:rsid w:val="00AE19F9"/>
    <w:rsid w:val="00AE27BE"/>
    <w:rsid w:val="00AE2A0A"/>
    <w:rsid w:val="00AE3058"/>
    <w:rsid w:val="00AE36CD"/>
    <w:rsid w:val="00AE36FE"/>
    <w:rsid w:val="00AE4005"/>
    <w:rsid w:val="00AE402A"/>
    <w:rsid w:val="00AE4066"/>
    <w:rsid w:val="00AE459D"/>
    <w:rsid w:val="00AE461A"/>
    <w:rsid w:val="00AE4EC8"/>
    <w:rsid w:val="00AE5187"/>
    <w:rsid w:val="00AE56FF"/>
    <w:rsid w:val="00AE5748"/>
    <w:rsid w:val="00AE5DA8"/>
    <w:rsid w:val="00AE675E"/>
    <w:rsid w:val="00AE68C3"/>
    <w:rsid w:val="00AE6CE4"/>
    <w:rsid w:val="00AE70D8"/>
    <w:rsid w:val="00AE73DC"/>
    <w:rsid w:val="00AE780D"/>
    <w:rsid w:val="00AE7C04"/>
    <w:rsid w:val="00AE7D6C"/>
    <w:rsid w:val="00AF007F"/>
    <w:rsid w:val="00AF020D"/>
    <w:rsid w:val="00AF03FF"/>
    <w:rsid w:val="00AF0E4E"/>
    <w:rsid w:val="00AF112E"/>
    <w:rsid w:val="00AF15E5"/>
    <w:rsid w:val="00AF193B"/>
    <w:rsid w:val="00AF21CD"/>
    <w:rsid w:val="00AF37F1"/>
    <w:rsid w:val="00AF3BCC"/>
    <w:rsid w:val="00AF3DB8"/>
    <w:rsid w:val="00AF3E10"/>
    <w:rsid w:val="00AF418D"/>
    <w:rsid w:val="00AF4716"/>
    <w:rsid w:val="00AF4B6A"/>
    <w:rsid w:val="00AF4BD9"/>
    <w:rsid w:val="00AF5296"/>
    <w:rsid w:val="00AF5CB1"/>
    <w:rsid w:val="00AF5CC4"/>
    <w:rsid w:val="00AF6629"/>
    <w:rsid w:val="00AF66FA"/>
    <w:rsid w:val="00AF674D"/>
    <w:rsid w:val="00AF69B4"/>
    <w:rsid w:val="00AF6C15"/>
    <w:rsid w:val="00AF7442"/>
    <w:rsid w:val="00AF756C"/>
    <w:rsid w:val="00B002EA"/>
    <w:rsid w:val="00B00476"/>
    <w:rsid w:val="00B00639"/>
    <w:rsid w:val="00B008E4"/>
    <w:rsid w:val="00B00AD6"/>
    <w:rsid w:val="00B00F77"/>
    <w:rsid w:val="00B01012"/>
    <w:rsid w:val="00B01180"/>
    <w:rsid w:val="00B01B19"/>
    <w:rsid w:val="00B01CF6"/>
    <w:rsid w:val="00B02464"/>
    <w:rsid w:val="00B024D7"/>
    <w:rsid w:val="00B02FC9"/>
    <w:rsid w:val="00B02FDC"/>
    <w:rsid w:val="00B033F9"/>
    <w:rsid w:val="00B034A1"/>
    <w:rsid w:val="00B0359B"/>
    <w:rsid w:val="00B038FC"/>
    <w:rsid w:val="00B03A19"/>
    <w:rsid w:val="00B03D8F"/>
    <w:rsid w:val="00B0422C"/>
    <w:rsid w:val="00B042BC"/>
    <w:rsid w:val="00B046BD"/>
    <w:rsid w:val="00B049FF"/>
    <w:rsid w:val="00B04AD8"/>
    <w:rsid w:val="00B04DDD"/>
    <w:rsid w:val="00B04E86"/>
    <w:rsid w:val="00B04F12"/>
    <w:rsid w:val="00B05244"/>
    <w:rsid w:val="00B05767"/>
    <w:rsid w:val="00B05A12"/>
    <w:rsid w:val="00B05AAB"/>
    <w:rsid w:val="00B05CAF"/>
    <w:rsid w:val="00B0636F"/>
    <w:rsid w:val="00B06541"/>
    <w:rsid w:val="00B06C98"/>
    <w:rsid w:val="00B06FAC"/>
    <w:rsid w:val="00B079DA"/>
    <w:rsid w:val="00B07AB7"/>
    <w:rsid w:val="00B07B24"/>
    <w:rsid w:val="00B07F3A"/>
    <w:rsid w:val="00B1038D"/>
    <w:rsid w:val="00B10689"/>
    <w:rsid w:val="00B10E7C"/>
    <w:rsid w:val="00B10F41"/>
    <w:rsid w:val="00B111EF"/>
    <w:rsid w:val="00B1188B"/>
    <w:rsid w:val="00B11A34"/>
    <w:rsid w:val="00B11AA0"/>
    <w:rsid w:val="00B11E07"/>
    <w:rsid w:val="00B124CF"/>
    <w:rsid w:val="00B1374E"/>
    <w:rsid w:val="00B138DA"/>
    <w:rsid w:val="00B13AF6"/>
    <w:rsid w:val="00B13F4A"/>
    <w:rsid w:val="00B14206"/>
    <w:rsid w:val="00B1468B"/>
    <w:rsid w:val="00B146F5"/>
    <w:rsid w:val="00B15838"/>
    <w:rsid w:val="00B16629"/>
    <w:rsid w:val="00B16943"/>
    <w:rsid w:val="00B16C08"/>
    <w:rsid w:val="00B16EDF"/>
    <w:rsid w:val="00B16F96"/>
    <w:rsid w:val="00B1724D"/>
    <w:rsid w:val="00B174DF"/>
    <w:rsid w:val="00B176B5"/>
    <w:rsid w:val="00B17B3A"/>
    <w:rsid w:val="00B17BB8"/>
    <w:rsid w:val="00B17BD4"/>
    <w:rsid w:val="00B17F70"/>
    <w:rsid w:val="00B20114"/>
    <w:rsid w:val="00B20332"/>
    <w:rsid w:val="00B203D1"/>
    <w:rsid w:val="00B206C5"/>
    <w:rsid w:val="00B207F5"/>
    <w:rsid w:val="00B210AF"/>
    <w:rsid w:val="00B2125E"/>
    <w:rsid w:val="00B21270"/>
    <w:rsid w:val="00B218E6"/>
    <w:rsid w:val="00B21CD9"/>
    <w:rsid w:val="00B21E47"/>
    <w:rsid w:val="00B22841"/>
    <w:rsid w:val="00B2297D"/>
    <w:rsid w:val="00B22CB5"/>
    <w:rsid w:val="00B23047"/>
    <w:rsid w:val="00B2312F"/>
    <w:rsid w:val="00B2316F"/>
    <w:rsid w:val="00B235FB"/>
    <w:rsid w:val="00B236B5"/>
    <w:rsid w:val="00B239FB"/>
    <w:rsid w:val="00B24350"/>
    <w:rsid w:val="00B2436A"/>
    <w:rsid w:val="00B24509"/>
    <w:rsid w:val="00B24607"/>
    <w:rsid w:val="00B24626"/>
    <w:rsid w:val="00B24958"/>
    <w:rsid w:val="00B24A5C"/>
    <w:rsid w:val="00B24D9A"/>
    <w:rsid w:val="00B25489"/>
    <w:rsid w:val="00B254D2"/>
    <w:rsid w:val="00B2555C"/>
    <w:rsid w:val="00B255FA"/>
    <w:rsid w:val="00B25856"/>
    <w:rsid w:val="00B258CF"/>
    <w:rsid w:val="00B25A08"/>
    <w:rsid w:val="00B25B5A"/>
    <w:rsid w:val="00B2607A"/>
    <w:rsid w:val="00B26113"/>
    <w:rsid w:val="00B264C8"/>
    <w:rsid w:val="00B2677D"/>
    <w:rsid w:val="00B2682A"/>
    <w:rsid w:val="00B269B6"/>
    <w:rsid w:val="00B269CC"/>
    <w:rsid w:val="00B26A37"/>
    <w:rsid w:val="00B26CFF"/>
    <w:rsid w:val="00B27773"/>
    <w:rsid w:val="00B2777B"/>
    <w:rsid w:val="00B2791F"/>
    <w:rsid w:val="00B27A65"/>
    <w:rsid w:val="00B27AFD"/>
    <w:rsid w:val="00B27EE4"/>
    <w:rsid w:val="00B30A5F"/>
    <w:rsid w:val="00B30F59"/>
    <w:rsid w:val="00B31067"/>
    <w:rsid w:val="00B3116A"/>
    <w:rsid w:val="00B31330"/>
    <w:rsid w:val="00B316C3"/>
    <w:rsid w:val="00B316D4"/>
    <w:rsid w:val="00B318F2"/>
    <w:rsid w:val="00B319F4"/>
    <w:rsid w:val="00B32710"/>
    <w:rsid w:val="00B32DB4"/>
    <w:rsid w:val="00B32E16"/>
    <w:rsid w:val="00B32EDC"/>
    <w:rsid w:val="00B33174"/>
    <w:rsid w:val="00B33547"/>
    <w:rsid w:val="00B33BD3"/>
    <w:rsid w:val="00B33C32"/>
    <w:rsid w:val="00B3402A"/>
    <w:rsid w:val="00B34222"/>
    <w:rsid w:val="00B3422A"/>
    <w:rsid w:val="00B346D1"/>
    <w:rsid w:val="00B346DB"/>
    <w:rsid w:val="00B34A33"/>
    <w:rsid w:val="00B34A49"/>
    <w:rsid w:val="00B34AF0"/>
    <w:rsid w:val="00B34CB3"/>
    <w:rsid w:val="00B34D3D"/>
    <w:rsid w:val="00B34D3E"/>
    <w:rsid w:val="00B350B9"/>
    <w:rsid w:val="00B35657"/>
    <w:rsid w:val="00B35746"/>
    <w:rsid w:val="00B35A2E"/>
    <w:rsid w:val="00B35A74"/>
    <w:rsid w:val="00B361A8"/>
    <w:rsid w:val="00B3647C"/>
    <w:rsid w:val="00B36514"/>
    <w:rsid w:val="00B36896"/>
    <w:rsid w:val="00B36B95"/>
    <w:rsid w:val="00B37144"/>
    <w:rsid w:val="00B37197"/>
    <w:rsid w:val="00B374F7"/>
    <w:rsid w:val="00B40512"/>
    <w:rsid w:val="00B407CA"/>
    <w:rsid w:val="00B40D46"/>
    <w:rsid w:val="00B41624"/>
    <w:rsid w:val="00B41773"/>
    <w:rsid w:val="00B417DB"/>
    <w:rsid w:val="00B417FF"/>
    <w:rsid w:val="00B4188F"/>
    <w:rsid w:val="00B41929"/>
    <w:rsid w:val="00B41980"/>
    <w:rsid w:val="00B419D3"/>
    <w:rsid w:val="00B41C22"/>
    <w:rsid w:val="00B41DF2"/>
    <w:rsid w:val="00B41E85"/>
    <w:rsid w:val="00B420ED"/>
    <w:rsid w:val="00B42271"/>
    <w:rsid w:val="00B4227B"/>
    <w:rsid w:val="00B422B7"/>
    <w:rsid w:val="00B42AD6"/>
    <w:rsid w:val="00B42E18"/>
    <w:rsid w:val="00B42ED9"/>
    <w:rsid w:val="00B43182"/>
    <w:rsid w:val="00B43296"/>
    <w:rsid w:val="00B434F7"/>
    <w:rsid w:val="00B435F1"/>
    <w:rsid w:val="00B436AD"/>
    <w:rsid w:val="00B43BDD"/>
    <w:rsid w:val="00B43E57"/>
    <w:rsid w:val="00B43E76"/>
    <w:rsid w:val="00B442CC"/>
    <w:rsid w:val="00B4471F"/>
    <w:rsid w:val="00B44BBA"/>
    <w:rsid w:val="00B4507C"/>
    <w:rsid w:val="00B4542C"/>
    <w:rsid w:val="00B455C5"/>
    <w:rsid w:val="00B45784"/>
    <w:rsid w:val="00B465F1"/>
    <w:rsid w:val="00B46F00"/>
    <w:rsid w:val="00B472F8"/>
    <w:rsid w:val="00B474DA"/>
    <w:rsid w:val="00B474F3"/>
    <w:rsid w:val="00B47D97"/>
    <w:rsid w:val="00B47E69"/>
    <w:rsid w:val="00B5012C"/>
    <w:rsid w:val="00B5082E"/>
    <w:rsid w:val="00B50C5E"/>
    <w:rsid w:val="00B50E57"/>
    <w:rsid w:val="00B50FD2"/>
    <w:rsid w:val="00B51790"/>
    <w:rsid w:val="00B52531"/>
    <w:rsid w:val="00B52E0F"/>
    <w:rsid w:val="00B52E12"/>
    <w:rsid w:val="00B530E4"/>
    <w:rsid w:val="00B53155"/>
    <w:rsid w:val="00B53537"/>
    <w:rsid w:val="00B53717"/>
    <w:rsid w:val="00B53737"/>
    <w:rsid w:val="00B53CC6"/>
    <w:rsid w:val="00B53D53"/>
    <w:rsid w:val="00B53F61"/>
    <w:rsid w:val="00B540CB"/>
    <w:rsid w:val="00B54110"/>
    <w:rsid w:val="00B5428D"/>
    <w:rsid w:val="00B54385"/>
    <w:rsid w:val="00B54410"/>
    <w:rsid w:val="00B5456C"/>
    <w:rsid w:val="00B548E2"/>
    <w:rsid w:val="00B54A7B"/>
    <w:rsid w:val="00B54F02"/>
    <w:rsid w:val="00B5509D"/>
    <w:rsid w:val="00B55278"/>
    <w:rsid w:val="00B55768"/>
    <w:rsid w:val="00B55B16"/>
    <w:rsid w:val="00B55B5A"/>
    <w:rsid w:val="00B55D52"/>
    <w:rsid w:val="00B5632D"/>
    <w:rsid w:val="00B563DF"/>
    <w:rsid w:val="00B56553"/>
    <w:rsid w:val="00B56851"/>
    <w:rsid w:val="00B5693B"/>
    <w:rsid w:val="00B571C3"/>
    <w:rsid w:val="00B5738E"/>
    <w:rsid w:val="00B575D5"/>
    <w:rsid w:val="00B57B6E"/>
    <w:rsid w:val="00B57E64"/>
    <w:rsid w:val="00B60065"/>
    <w:rsid w:val="00B604FC"/>
    <w:rsid w:val="00B60552"/>
    <w:rsid w:val="00B60B6B"/>
    <w:rsid w:val="00B60CA9"/>
    <w:rsid w:val="00B61056"/>
    <w:rsid w:val="00B611B9"/>
    <w:rsid w:val="00B613AA"/>
    <w:rsid w:val="00B61687"/>
    <w:rsid w:val="00B61B44"/>
    <w:rsid w:val="00B61BDD"/>
    <w:rsid w:val="00B61CB0"/>
    <w:rsid w:val="00B61EA4"/>
    <w:rsid w:val="00B62112"/>
    <w:rsid w:val="00B62435"/>
    <w:rsid w:val="00B6262B"/>
    <w:rsid w:val="00B62A4B"/>
    <w:rsid w:val="00B62D88"/>
    <w:rsid w:val="00B62FCB"/>
    <w:rsid w:val="00B62FD3"/>
    <w:rsid w:val="00B63241"/>
    <w:rsid w:val="00B632ED"/>
    <w:rsid w:val="00B635A3"/>
    <w:rsid w:val="00B63705"/>
    <w:rsid w:val="00B63C7F"/>
    <w:rsid w:val="00B63CB6"/>
    <w:rsid w:val="00B647A6"/>
    <w:rsid w:val="00B6507D"/>
    <w:rsid w:val="00B65159"/>
    <w:rsid w:val="00B652FE"/>
    <w:rsid w:val="00B6549B"/>
    <w:rsid w:val="00B6551D"/>
    <w:rsid w:val="00B656F7"/>
    <w:rsid w:val="00B65991"/>
    <w:rsid w:val="00B65A6F"/>
    <w:rsid w:val="00B65C76"/>
    <w:rsid w:val="00B65ED5"/>
    <w:rsid w:val="00B65FAD"/>
    <w:rsid w:val="00B662B3"/>
    <w:rsid w:val="00B6661C"/>
    <w:rsid w:val="00B66718"/>
    <w:rsid w:val="00B66A28"/>
    <w:rsid w:val="00B66B10"/>
    <w:rsid w:val="00B66C1F"/>
    <w:rsid w:val="00B67075"/>
    <w:rsid w:val="00B70427"/>
    <w:rsid w:val="00B70450"/>
    <w:rsid w:val="00B70B87"/>
    <w:rsid w:val="00B71A54"/>
    <w:rsid w:val="00B7245D"/>
    <w:rsid w:val="00B72843"/>
    <w:rsid w:val="00B72CEC"/>
    <w:rsid w:val="00B73516"/>
    <w:rsid w:val="00B73611"/>
    <w:rsid w:val="00B737A6"/>
    <w:rsid w:val="00B7389C"/>
    <w:rsid w:val="00B73F5D"/>
    <w:rsid w:val="00B7415B"/>
    <w:rsid w:val="00B7426C"/>
    <w:rsid w:val="00B742EF"/>
    <w:rsid w:val="00B7449F"/>
    <w:rsid w:val="00B747CA"/>
    <w:rsid w:val="00B74912"/>
    <w:rsid w:val="00B74A3B"/>
    <w:rsid w:val="00B74D66"/>
    <w:rsid w:val="00B758AC"/>
    <w:rsid w:val="00B758D3"/>
    <w:rsid w:val="00B75987"/>
    <w:rsid w:val="00B76058"/>
    <w:rsid w:val="00B765B4"/>
    <w:rsid w:val="00B765ED"/>
    <w:rsid w:val="00B767A5"/>
    <w:rsid w:val="00B7696D"/>
    <w:rsid w:val="00B76C39"/>
    <w:rsid w:val="00B76C60"/>
    <w:rsid w:val="00B770EB"/>
    <w:rsid w:val="00B775EF"/>
    <w:rsid w:val="00B776F8"/>
    <w:rsid w:val="00B77968"/>
    <w:rsid w:val="00B779F7"/>
    <w:rsid w:val="00B77CE4"/>
    <w:rsid w:val="00B77EB7"/>
    <w:rsid w:val="00B8040F"/>
    <w:rsid w:val="00B80424"/>
    <w:rsid w:val="00B804A9"/>
    <w:rsid w:val="00B80A7C"/>
    <w:rsid w:val="00B80ACD"/>
    <w:rsid w:val="00B80D1C"/>
    <w:rsid w:val="00B80E45"/>
    <w:rsid w:val="00B80E4A"/>
    <w:rsid w:val="00B80FA4"/>
    <w:rsid w:val="00B81495"/>
    <w:rsid w:val="00B81DEA"/>
    <w:rsid w:val="00B821DB"/>
    <w:rsid w:val="00B8223E"/>
    <w:rsid w:val="00B82278"/>
    <w:rsid w:val="00B82A3B"/>
    <w:rsid w:val="00B82B88"/>
    <w:rsid w:val="00B82DA8"/>
    <w:rsid w:val="00B8328C"/>
    <w:rsid w:val="00B8361A"/>
    <w:rsid w:val="00B8391F"/>
    <w:rsid w:val="00B83A97"/>
    <w:rsid w:val="00B83BE2"/>
    <w:rsid w:val="00B841D4"/>
    <w:rsid w:val="00B84450"/>
    <w:rsid w:val="00B84A1D"/>
    <w:rsid w:val="00B84D52"/>
    <w:rsid w:val="00B8551B"/>
    <w:rsid w:val="00B858FE"/>
    <w:rsid w:val="00B85999"/>
    <w:rsid w:val="00B85CF0"/>
    <w:rsid w:val="00B85D8E"/>
    <w:rsid w:val="00B86967"/>
    <w:rsid w:val="00B86AFC"/>
    <w:rsid w:val="00B8718B"/>
    <w:rsid w:val="00B87606"/>
    <w:rsid w:val="00B87907"/>
    <w:rsid w:val="00B87AA1"/>
    <w:rsid w:val="00B87AB0"/>
    <w:rsid w:val="00B87FB7"/>
    <w:rsid w:val="00B901E7"/>
    <w:rsid w:val="00B9050B"/>
    <w:rsid w:val="00B906B3"/>
    <w:rsid w:val="00B91893"/>
    <w:rsid w:val="00B91DBC"/>
    <w:rsid w:val="00B92408"/>
    <w:rsid w:val="00B92539"/>
    <w:rsid w:val="00B92936"/>
    <w:rsid w:val="00B92A59"/>
    <w:rsid w:val="00B92A97"/>
    <w:rsid w:val="00B92F4A"/>
    <w:rsid w:val="00B92F52"/>
    <w:rsid w:val="00B9303B"/>
    <w:rsid w:val="00B93071"/>
    <w:rsid w:val="00B93B55"/>
    <w:rsid w:val="00B93D37"/>
    <w:rsid w:val="00B93EC8"/>
    <w:rsid w:val="00B948DF"/>
    <w:rsid w:val="00B94AAB"/>
    <w:rsid w:val="00B94F8C"/>
    <w:rsid w:val="00B950CE"/>
    <w:rsid w:val="00B9543D"/>
    <w:rsid w:val="00B95A07"/>
    <w:rsid w:val="00B95E64"/>
    <w:rsid w:val="00B962B0"/>
    <w:rsid w:val="00B96755"/>
    <w:rsid w:val="00B968BE"/>
    <w:rsid w:val="00B96A14"/>
    <w:rsid w:val="00B96B79"/>
    <w:rsid w:val="00B96C9C"/>
    <w:rsid w:val="00B97492"/>
    <w:rsid w:val="00B97613"/>
    <w:rsid w:val="00B977B4"/>
    <w:rsid w:val="00B97B10"/>
    <w:rsid w:val="00B97B49"/>
    <w:rsid w:val="00B97E18"/>
    <w:rsid w:val="00BA032B"/>
    <w:rsid w:val="00BA036A"/>
    <w:rsid w:val="00BA0570"/>
    <w:rsid w:val="00BA09CE"/>
    <w:rsid w:val="00BA0C4D"/>
    <w:rsid w:val="00BA0D2D"/>
    <w:rsid w:val="00BA0E61"/>
    <w:rsid w:val="00BA126D"/>
    <w:rsid w:val="00BA1321"/>
    <w:rsid w:val="00BA14D4"/>
    <w:rsid w:val="00BA18CE"/>
    <w:rsid w:val="00BA1F2A"/>
    <w:rsid w:val="00BA1FBC"/>
    <w:rsid w:val="00BA23EF"/>
    <w:rsid w:val="00BA2410"/>
    <w:rsid w:val="00BA25AF"/>
    <w:rsid w:val="00BA286A"/>
    <w:rsid w:val="00BA2B30"/>
    <w:rsid w:val="00BA2E71"/>
    <w:rsid w:val="00BA2FA5"/>
    <w:rsid w:val="00BA31CF"/>
    <w:rsid w:val="00BA31E3"/>
    <w:rsid w:val="00BA3852"/>
    <w:rsid w:val="00BA3879"/>
    <w:rsid w:val="00BA387C"/>
    <w:rsid w:val="00BA4008"/>
    <w:rsid w:val="00BA417B"/>
    <w:rsid w:val="00BA41A9"/>
    <w:rsid w:val="00BA452E"/>
    <w:rsid w:val="00BA47FB"/>
    <w:rsid w:val="00BA4DA0"/>
    <w:rsid w:val="00BA4EC9"/>
    <w:rsid w:val="00BA5097"/>
    <w:rsid w:val="00BA56E1"/>
    <w:rsid w:val="00BA574D"/>
    <w:rsid w:val="00BA587A"/>
    <w:rsid w:val="00BA627E"/>
    <w:rsid w:val="00BA62A8"/>
    <w:rsid w:val="00BA658D"/>
    <w:rsid w:val="00BA6B0D"/>
    <w:rsid w:val="00BA6C61"/>
    <w:rsid w:val="00BA753F"/>
    <w:rsid w:val="00BA7FFE"/>
    <w:rsid w:val="00BB06AE"/>
    <w:rsid w:val="00BB0797"/>
    <w:rsid w:val="00BB0EF0"/>
    <w:rsid w:val="00BB0FE3"/>
    <w:rsid w:val="00BB1042"/>
    <w:rsid w:val="00BB10BA"/>
    <w:rsid w:val="00BB1E0E"/>
    <w:rsid w:val="00BB1FD2"/>
    <w:rsid w:val="00BB2102"/>
    <w:rsid w:val="00BB2188"/>
    <w:rsid w:val="00BB29B8"/>
    <w:rsid w:val="00BB2EDF"/>
    <w:rsid w:val="00BB2FC7"/>
    <w:rsid w:val="00BB332A"/>
    <w:rsid w:val="00BB36EB"/>
    <w:rsid w:val="00BB3A5A"/>
    <w:rsid w:val="00BB3CCE"/>
    <w:rsid w:val="00BB3F8E"/>
    <w:rsid w:val="00BB4255"/>
    <w:rsid w:val="00BB429B"/>
    <w:rsid w:val="00BB4813"/>
    <w:rsid w:val="00BB4AFF"/>
    <w:rsid w:val="00BB4D44"/>
    <w:rsid w:val="00BB4DBE"/>
    <w:rsid w:val="00BB506E"/>
    <w:rsid w:val="00BB53F3"/>
    <w:rsid w:val="00BB54EE"/>
    <w:rsid w:val="00BB56B1"/>
    <w:rsid w:val="00BB5A4E"/>
    <w:rsid w:val="00BB5A88"/>
    <w:rsid w:val="00BB5F8A"/>
    <w:rsid w:val="00BB61A5"/>
    <w:rsid w:val="00BB6B24"/>
    <w:rsid w:val="00BB6C91"/>
    <w:rsid w:val="00BB6F43"/>
    <w:rsid w:val="00BB76CB"/>
    <w:rsid w:val="00BB7A02"/>
    <w:rsid w:val="00BC02AD"/>
    <w:rsid w:val="00BC0D31"/>
    <w:rsid w:val="00BC0D75"/>
    <w:rsid w:val="00BC1191"/>
    <w:rsid w:val="00BC1526"/>
    <w:rsid w:val="00BC15E2"/>
    <w:rsid w:val="00BC166A"/>
    <w:rsid w:val="00BC1750"/>
    <w:rsid w:val="00BC19AC"/>
    <w:rsid w:val="00BC1BAD"/>
    <w:rsid w:val="00BC1ED9"/>
    <w:rsid w:val="00BC1EFF"/>
    <w:rsid w:val="00BC2342"/>
    <w:rsid w:val="00BC249B"/>
    <w:rsid w:val="00BC2D2A"/>
    <w:rsid w:val="00BC33C3"/>
    <w:rsid w:val="00BC3466"/>
    <w:rsid w:val="00BC3484"/>
    <w:rsid w:val="00BC3CEA"/>
    <w:rsid w:val="00BC3D86"/>
    <w:rsid w:val="00BC3E0B"/>
    <w:rsid w:val="00BC43A9"/>
    <w:rsid w:val="00BC4B6D"/>
    <w:rsid w:val="00BC4D98"/>
    <w:rsid w:val="00BC4F2A"/>
    <w:rsid w:val="00BC4F5F"/>
    <w:rsid w:val="00BC4F93"/>
    <w:rsid w:val="00BC5522"/>
    <w:rsid w:val="00BC55DF"/>
    <w:rsid w:val="00BC5779"/>
    <w:rsid w:val="00BC5C20"/>
    <w:rsid w:val="00BC5E55"/>
    <w:rsid w:val="00BC5F4F"/>
    <w:rsid w:val="00BC61B3"/>
    <w:rsid w:val="00BC6363"/>
    <w:rsid w:val="00BC659A"/>
    <w:rsid w:val="00BC75A8"/>
    <w:rsid w:val="00BC7AD9"/>
    <w:rsid w:val="00BC7B2F"/>
    <w:rsid w:val="00BC7C97"/>
    <w:rsid w:val="00BC7D41"/>
    <w:rsid w:val="00BD03F5"/>
    <w:rsid w:val="00BD08E6"/>
    <w:rsid w:val="00BD08EC"/>
    <w:rsid w:val="00BD09D2"/>
    <w:rsid w:val="00BD0B4E"/>
    <w:rsid w:val="00BD1006"/>
    <w:rsid w:val="00BD1089"/>
    <w:rsid w:val="00BD1B7C"/>
    <w:rsid w:val="00BD20C4"/>
    <w:rsid w:val="00BD20EA"/>
    <w:rsid w:val="00BD2770"/>
    <w:rsid w:val="00BD2983"/>
    <w:rsid w:val="00BD2ADD"/>
    <w:rsid w:val="00BD2C20"/>
    <w:rsid w:val="00BD3680"/>
    <w:rsid w:val="00BD36FD"/>
    <w:rsid w:val="00BD3728"/>
    <w:rsid w:val="00BD39A5"/>
    <w:rsid w:val="00BD3ADE"/>
    <w:rsid w:val="00BD42F8"/>
    <w:rsid w:val="00BD45B7"/>
    <w:rsid w:val="00BD4896"/>
    <w:rsid w:val="00BD4AAF"/>
    <w:rsid w:val="00BD4BC2"/>
    <w:rsid w:val="00BD4CEA"/>
    <w:rsid w:val="00BD4DBC"/>
    <w:rsid w:val="00BD50C1"/>
    <w:rsid w:val="00BD50C6"/>
    <w:rsid w:val="00BD58EA"/>
    <w:rsid w:val="00BD5AD7"/>
    <w:rsid w:val="00BD5BE5"/>
    <w:rsid w:val="00BD5E77"/>
    <w:rsid w:val="00BD6153"/>
    <w:rsid w:val="00BD618D"/>
    <w:rsid w:val="00BD64D6"/>
    <w:rsid w:val="00BD66E0"/>
    <w:rsid w:val="00BD6E29"/>
    <w:rsid w:val="00BD71D0"/>
    <w:rsid w:val="00BD735F"/>
    <w:rsid w:val="00BD74C5"/>
    <w:rsid w:val="00BD7532"/>
    <w:rsid w:val="00BD7DF9"/>
    <w:rsid w:val="00BE000A"/>
    <w:rsid w:val="00BE01BD"/>
    <w:rsid w:val="00BE0304"/>
    <w:rsid w:val="00BE066F"/>
    <w:rsid w:val="00BE0851"/>
    <w:rsid w:val="00BE1344"/>
    <w:rsid w:val="00BE14BC"/>
    <w:rsid w:val="00BE192A"/>
    <w:rsid w:val="00BE1C80"/>
    <w:rsid w:val="00BE1D8D"/>
    <w:rsid w:val="00BE1E49"/>
    <w:rsid w:val="00BE229A"/>
    <w:rsid w:val="00BE22BB"/>
    <w:rsid w:val="00BE2976"/>
    <w:rsid w:val="00BE2F86"/>
    <w:rsid w:val="00BE3192"/>
    <w:rsid w:val="00BE349A"/>
    <w:rsid w:val="00BE3578"/>
    <w:rsid w:val="00BE36C4"/>
    <w:rsid w:val="00BE3945"/>
    <w:rsid w:val="00BE39EA"/>
    <w:rsid w:val="00BE3A6C"/>
    <w:rsid w:val="00BE3AA2"/>
    <w:rsid w:val="00BE3AD6"/>
    <w:rsid w:val="00BE3B94"/>
    <w:rsid w:val="00BE3DAA"/>
    <w:rsid w:val="00BE3DC1"/>
    <w:rsid w:val="00BE433C"/>
    <w:rsid w:val="00BE434D"/>
    <w:rsid w:val="00BE4513"/>
    <w:rsid w:val="00BE475F"/>
    <w:rsid w:val="00BE493B"/>
    <w:rsid w:val="00BE4B83"/>
    <w:rsid w:val="00BE4FE7"/>
    <w:rsid w:val="00BE521C"/>
    <w:rsid w:val="00BE5286"/>
    <w:rsid w:val="00BE5318"/>
    <w:rsid w:val="00BE54A4"/>
    <w:rsid w:val="00BE5813"/>
    <w:rsid w:val="00BE5A29"/>
    <w:rsid w:val="00BE5D51"/>
    <w:rsid w:val="00BE5E10"/>
    <w:rsid w:val="00BE613F"/>
    <w:rsid w:val="00BE6309"/>
    <w:rsid w:val="00BE65EB"/>
    <w:rsid w:val="00BE6CD4"/>
    <w:rsid w:val="00BE7382"/>
    <w:rsid w:val="00BE73C8"/>
    <w:rsid w:val="00BE7726"/>
    <w:rsid w:val="00BE796D"/>
    <w:rsid w:val="00BE7C1A"/>
    <w:rsid w:val="00BE7F20"/>
    <w:rsid w:val="00BF03E7"/>
    <w:rsid w:val="00BF0436"/>
    <w:rsid w:val="00BF0451"/>
    <w:rsid w:val="00BF04AC"/>
    <w:rsid w:val="00BF0C48"/>
    <w:rsid w:val="00BF0E27"/>
    <w:rsid w:val="00BF0F91"/>
    <w:rsid w:val="00BF1224"/>
    <w:rsid w:val="00BF13EC"/>
    <w:rsid w:val="00BF15B2"/>
    <w:rsid w:val="00BF1963"/>
    <w:rsid w:val="00BF1AAC"/>
    <w:rsid w:val="00BF1B55"/>
    <w:rsid w:val="00BF1FFD"/>
    <w:rsid w:val="00BF23F0"/>
    <w:rsid w:val="00BF2566"/>
    <w:rsid w:val="00BF2A3B"/>
    <w:rsid w:val="00BF32F9"/>
    <w:rsid w:val="00BF36DA"/>
    <w:rsid w:val="00BF379C"/>
    <w:rsid w:val="00BF3C44"/>
    <w:rsid w:val="00BF4144"/>
    <w:rsid w:val="00BF4A6E"/>
    <w:rsid w:val="00BF4F65"/>
    <w:rsid w:val="00BF55E6"/>
    <w:rsid w:val="00BF55EE"/>
    <w:rsid w:val="00BF5A2D"/>
    <w:rsid w:val="00BF60DE"/>
    <w:rsid w:val="00BF631A"/>
    <w:rsid w:val="00BF652F"/>
    <w:rsid w:val="00BF6A8D"/>
    <w:rsid w:val="00BF6D65"/>
    <w:rsid w:val="00BF71B8"/>
    <w:rsid w:val="00BF72F3"/>
    <w:rsid w:val="00BF752D"/>
    <w:rsid w:val="00BF754B"/>
    <w:rsid w:val="00BF76A3"/>
    <w:rsid w:val="00BF7A47"/>
    <w:rsid w:val="00C0029A"/>
    <w:rsid w:val="00C00383"/>
    <w:rsid w:val="00C0041F"/>
    <w:rsid w:val="00C004D5"/>
    <w:rsid w:val="00C00686"/>
    <w:rsid w:val="00C00804"/>
    <w:rsid w:val="00C00811"/>
    <w:rsid w:val="00C00CD8"/>
    <w:rsid w:val="00C00D8A"/>
    <w:rsid w:val="00C01500"/>
    <w:rsid w:val="00C0162B"/>
    <w:rsid w:val="00C01A7B"/>
    <w:rsid w:val="00C02039"/>
    <w:rsid w:val="00C02367"/>
    <w:rsid w:val="00C023C0"/>
    <w:rsid w:val="00C025BA"/>
    <w:rsid w:val="00C02A52"/>
    <w:rsid w:val="00C02B62"/>
    <w:rsid w:val="00C02E0C"/>
    <w:rsid w:val="00C02F41"/>
    <w:rsid w:val="00C02F9A"/>
    <w:rsid w:val="00C0300B"/>
    <w:rsid w:val="00C034D0"/>
    <w:rsid w:val="00C035D1"/>
    <w:rsid w:val="00C0364D"/>
    <w:rsid w:val="00C03B05"/>
    <w:rsid w:val="00C03CA4"/>
    <w:rsid w:val="00C04735"/>
    <w:rsid w:val="00C04AA3"/>
    <w:rsid w:val="00C04E59"/>
    <w:rsid w:val="00C04FB6"/>
    <w:rsid w:val="00C05135"/>
    <w:rsid w:val="00C0527E"/>
    <w:rsid w:val="00C0538C"/>
    <w:rsid w:val="00C053A8"/>
    <w:rsid w:val="00C05BAD"/>
    <w:rsid w:val="00C05C14"/>
    <w:rsid w:val="00C063F6"/>
    <w:rsid w:val="00C064B4"/>
    <w:rsid w:val="00C064BB"/>
    <w:rsid w:val="00C06814"/>
    <w:rsid w:val="00C0730B"/>
    <w:rsid w:val="00C076E8"/>
    <w:rsid w:val="00C077AF"/>
    <w:rsid w:val="00C077E4"/>
    <w:rsid w:val="00C07850"/>
    <w:rsid w:val="00C07956"/>
    <w:rsid w:val="00C079E0"/>
    <w:rsid w:val="00C103C6"/>
    <w:rsid w:val="00C1046D"/>
    <w:rsid w:val="00C10697"/>
    <w:rsid w:val="00C106DE"/>
    <w:rsid w:val="00C1109F"/>
    <w:rsid w:val="00C11342"/>
    <w:rsid w:val="00C11A7F"/>
    <w:rsid w:val="00C12193"/>
    <w:rsid w:val="00C122A6"/>
    <w:rsid w:val="00C128C7"/>
    <w:rsid w:val="00C129C5"/>
    <w:rsid w:val="00C12B78"/>
    <w:rsid w:val="00C12EF1"/>
    <w:rsid w:val="00C13414"/>
    <w:rsid w:val="00C13592"/>
    <w:rsid w:val="00C136B5"/>
    <w:rsid w:val="00C1384C"/>
    <w:rsid w:val="00C13E39"/>
    <w:rsid w:val="00C13FDB"/>
    <w:rsid w:val="00C14115"/>
    <w:rsid w:val="00C14342"/>
    <w:rsid w:val="00C14753"/>
    <w:rsid w:val="00C14BB0"/>
    <w:rsid w:val="00C14D59"/>
    <w:rsid w:val="00C151BB"/>
    <w:rsid w:val="00C158DF"/>
    <w:rsid w:val="00C16221"/>
    <w:rsid w:val="00C16648"/>
    <w:rsid w:val="00C16B74"/>
    <w:rsid w:val="00C16BEE"/>
    <w:rsid w:val="00C16C21"/>
    <w:rsid w:val="00C16CD8"/>
    <w:rsid w:val="00C17032"/>
    <w:rsid w:val="00C17936"/>
    <w:rsid w:val="00C1793E"/>
    <w:rsid w:val="00C17A89"/>
    <w:rsid w:val="00C17B74"/>
    <w:rsid w:val="00C17C47"/>
    <w:rsid w:val="00C17EB2"/>
    <w:rsid w:val="00C1DAAC"/>
    <w:rsid w:val="00C205FA"/>
    <w:rsid w:val="00C2091F"/>
    <w:rsid w:val="00C21372"/>
    <w:rsid w:val="00C21565"/>
    <w:rsid w:val="00C2194E"/>
    <w:rsid w:val="00C21E0E"/>
    <w:rsid w:val="00C22015"/>
    <w:rsid w:val="00C2221C"/>
    <w:rsid w:val="00C2276F"/>
    <w:rsid w:val="00C227E0"/>
    <w:rsid w:val="00C229A6"/>
    <w:rsid w:val="00C22F88"/>
    <w:rsid w:val="00C230F6"/>
    <w:rsid w:val="00C23113"/>
    <w:rsid w:val="00C234AB"/>
    <w:rsid w:val="00C23976"/>
    <w:rsid w:val="00C23A85"/>
    <w:rsid w:val="00C23CE4"/>
    <w:rsid w:val="00C23E08"/>
    <w:rsid w:val="00C23F0C"/>
    <w:rsid w:val="00C23F70"/>
    <w:rsid w:val="00C24009"/>
    <w:rsid w:val="00C242D7"/>
    <w:rsid w:val="00C242E9"/>
    <w:rsid w:val="00C24618"/>
    <w:rsid w:val="00C24658"/>
    <w:rsid w:val="00C248C9"/>
    <w:rsid w:val="00C24A07"/>
    <w:rsid w:val="00C25051"/>
    <w:rsid w:val="00C252A4"/>
    <w:rsid w:val="00C253A6"/>
    <w:rsid w:val="00C2585F"/>
    <w:rsid w:val="00C25FC8"/>
    <w:rsid w:val="00C26340"/>
    <w:rsid w:val="00C26666"/>
    <w:rsid w:val="00C26973"/>
    <w:rsid w:val="00C26EEE"/>
    <w:rsid w:val="00C27304"/>
    <w:rsid w:val="00C30385"/>
    <w:rsid w:val="00C30909"/>
    <w:rsid w:val="00C3096F"/>
    <w:rsid w:val="00C309CE"/>
    <w:rsid w:val="00C309E1"/>
    <w:rsid w:val="00C310C2"/>
    <w:rsid w:val="00C315DF"/>
    <w:rsid w:val="00C31B5E"/>
    <w:rsid w:val="00C31C96"/>
    <w:rsid w:val="00C321B1"/>
    <w:rsid w:val="00C33310"/>
    <w:rsid w:val="00C3364B"/>
    <w:rsid w:val="00C3371B"/>
    <w:rsid w:val="00C3379E"/>
    <w:rsid w:val="00C33F31"/>
    <w:rsid w:val="00C34228"/>
    <w:rsid w:val="00C34250"/>
    <w:rsid w:val="00C344BF"/>
    <w:rsid w:val="00C344F3"/>
    <w:rsid w:val="00C34DC1"/>
    <w:rsid w:val="00C351CB"/>
    <w:rsid w:val="00C358A2"/>
    <w:rsid w:val="00C359C6"/>
    <w:rsid w:val="00C35B15"/>
    <w:rsid w:val="00C35EB6"/>
    <w:rsid w:val="00C36030"/>
    <w:rsid w:val="00C360ED"/>
    <w:rsid w:val="00C36329"/>
    <w:rsid w:val="00C363BE"/>
    <w:rsid w:val="00C37234"/>
    <w:rsid w:val="00C37240"/>
    <w:rsid w:val="00C3736F"/>
    <w:rsid w:val="00C373B7"/>
    <w:rsid w:val="00C373F0"/>
    <w:rsid w:val="00C3754E"/>
    <w:rsid w:val="00C375A1"/>
    <w:rsid w:val="00C37AB1"/>
    <w:rsid w:val="00C37C30"/>
    <w:rsid w:val="00C37CE5"/>
    <w:rsid w:val="00C37E60"/>
    <w:rsid w:val="00C40024"/>
    <w:rsid w:val="00C406F5"/>
    <w:rsid w:val="00C4096C"/>
    <w:rsid w:val="00C412DD"/>
    <w:rsid w:val="00C4149A"/>
    <w:rsid w:val="00C41759"/>
    <w:rsid w:val="00C41919"/>
    <w:rsid w:val="00C41CDC"/>
    <w:rsid w:val="00C42985"/>
    <w:rsid w:val="00C4316F"/>
    <w:rsid w:val="00C4327A"/>
    <w:rsid w:val="00C43413"/>
    <w:rsid w:val="00C434B4"/>
    <w:rsid w:val="00C4390B"/>
    <w:rsid w:val="00C4391D"/>
    <w:rsid w:val="00C43A17"/>
    <w:rsid w:val="00C43D3F"/>
    <w:rsid w:val="00C446B8"/>
    <w:rsid w:val="00C446CA"/>
    <w:rsid w:val="00C44A4C"/>
    <w:rsid w:val="00C45052"/>
    <w:rsid w:val="00C453D4"/>
    <w:rsid w:val="00C45839"/>
    <w:rsid w:val="00C45973"/>
    <w:rsid w:val="00C459E5"/>
    <w:rsid w:val="00C45C80"/>
    <w:rsid w:val="00C46A1C"/>
    <w:rsid w:val="00C46B44"/>
    <w:rsid w:val="00C46C7A"/>
    <w:rsid w:val="00C46EB8"/>
    <w:rsid w:val="00C4768C"/>
    <w:rsid w:val="00C4774B"/>
    <w:rsid w:val="00C47980"/>
    <w:rsid w:val="00C47EB7"/>
    <w:rsid w:val="00C500FD"/>
    <w:rsid w:val="00C50137"/>
    <w:rsid w:val="00C50457"/>
    <w:rsid w:val="00C50754"/>
    <w:rsid w:val="00C507D3"/>
    <w:rsid w:val="00C50847"/>
    <w:rsid w:val="00C50A14"/>
    <w:rsid w:val="00C51026"/>
    <w:rsid w:val="00C515FC"/>
    <w:rsid w:val="00C519F9"/>
    <w:rsid w:val="00C51DDD"/>
    <w:rsid w:val="00C51E98"/>
    <w:rsid w:val="00C521C3"/>
    <w:rsid w:val="00C52327"/>
    <w:rsid w:val="00C52368"/>
    <w:rsid w:val="00C52944"/>
    <w:rsid w:val="00C52D65"/>
    <w:rsid w:val="00C532E8"/>
    <w:rsid w:val="00C53C12"/>
    <w:rsid w:val="00C54023"/>
    <w:rsid w:val="00C54358"/>
    <w:rsid w:val="00C545A0"/>
    <w:rsid w:val="00C550C7"/>
    <w:rsid w:val="00C553CD"/>
    <w:rsid w:val="00C55703"/>
    <w:rsid w:val="00C55865"/>
    <w:rsid w:val="00C5596B"/>
    <w:rsid w:val="00C55F81"/>
    <w:rsid w:val="00C55FA0"/>
    <w:rsid w:val="00C5611F"/>
    <w:rsid w:val="00C56422"/>
    <w:rsid w:val="00C56A8F"/>
    <w:rsid w:val="00C56B5E"/>
    <w:rsid w:val="00C56F5A"/>
    <w:rsid w:val="00C5718E"/>
    <w:rsid w:val="00C579FF"/>
    <w:rsid w:val="00C57A84"/>
    <w:rsid w:val="00C57AD9"/>
    <w:rsid w:val="00C57C52"/>
    <w:rsid w:val="00C600B2"/>
    <w:rsid w:val="00C6064E"/>
    <w:rsid w:val="00C60818"/>
    <w:rsid w:val="00C609C7"/>
    <w:rsid w:val="00C60E23"/>
    <w:rsid w:val="00C60F31"/>
    <w:rsid w:val="00C610C9"/>
    <w:rsid w:val="00C610ED"/>
    <w:rsid w:val="00C61764"/>
    <w:rsid w:val="00C61A3D"/>
    <w:rsid w:val="00C61DF3"/>
    <w:rsid w:val="00C62050"/>
    <w:rsid w:val="00C621A5"/>
    <w:rsid w:val="00C62380"/>
    <w:rsid w:val="00C6243F"/>
    <w:rsid w:val="00C62859"/>
    <w:rsid w:val="00C62A50"/>
    <w:rsid w:val="00C62CBD"/>
    <w:rsid w:val="00C62EE6"/>
    <w:rsid w:val="00C63268"/>
    <w:rsid w:val="00C63AA6"/>
    <w:rsid w:val="00C63C33"/>
    <w:rsid w:val="00C64D1E"/>
    <w:rsid w:val="00C64D5F"/>
    <w:rsid w:val="00C64E5E"/>
    <w:rsid w:val="00C65212"/>
    <w:rsid w:val="00C653BC"/>
    <w:rsid w:val="00C6552F"/>
    <w:rsid w:val="00C6578C"/>
    <w:rsid w:val="00C65908"/>
    <w:rsid w:val="00C65EA3"/>
    <w:rsid w:val="00C65EF7"/>
    <w:rsid w:val="00C661B9"/>
    <w:rsid w:val="00C66897"/>
    <w:rsid w:val="00C668BE"/>
    <w:rsid w:val="00C674A9"/>
    <w:rsid w:val="00C67E18"/>
    <w:rsid w:val="00C67E7C"/>
    <w:rsid w:val="00C70379"/>
    <w:rsid w:val="00C704FF"/>
    <w:rsid w:val="00C70E8D"/>
    <w:rsid w:val="00C71023"/>
    <w:rsid w:val="00C71176"/>
    <w:rsid w:val="00C711AC"/>
    <w:rsid w:val="00C7135C"/>
    <w:rsid w:val="00C71527"/>
    <w:rsid w:val="00C716EE"/>
    <w:rsid w:val="00C71A75"/>
    <w:rsid w:val="00C71A95"/>
    <w:rsid w:val="00C71B91"/>
    <w:rsid w:val="00C721F8"/>
    <w:rsid w:val="00C724D4"/>
    <w:rsid w:val="00C727DB"/>
    <w:rsid w:val="00C729D7"/>
    <w:rsid w:val="00C72A3A"/>
    <w:rsid w:val="00C72CD1"/>
    <w:rsid w:val="00C737AD"/>
    <w:rsid w:val="00C73A4D"/>
    <w:rsid w:val="00C73BAB"/>
    <w:rsid w:val="00C74067"/>
    <w:rsid w:val="00C7471D"/>
    <w:rsid w:val="00C74D8E"/>
    <w:rsid w:val="00C75524"/>
    <w:rsid w:val="00C7573C"/>
    <w:rsid w:val="00C75826"/>
    <w:rsid w:val="00C75AD2"/>
    <w:rsid w:val="00C75E1C"/>
    <w:rsid w:val="00C75E5D"/>
    <w:rsid w:val="00C75EFD"/>
    <w:rsid w:val="00C76125"/>
    <w:rsid w:val="00C762BB"/>
    <w:rsid w:val="00C7640E"/>
    <w:rsid w:val="00C7678C"/>
    <w:rsid w:val="00C7699F"/>
    <w:rsid w:val="00C76A01"/>
    <w:rsid w:val="00C76C0C"/>
    <w:rsid w:val="00C76C72"/>
    <w:rsid w:val="00C76EF7"/>
    <w:rsid w:val="00C7721E"/>
    <w:rsid w:val="00C7744E"/>
    <w:rsid w:val="00C77585"/>
    <w:rsid w:val="00C7762A"/>
    <w:rsid w:val="00C77636"/>
    <w:rsid w:val="00C7775C"/>
    <w:rsid w:val="00C77DBB"/>
    <w:rsid w:val="00C77E9F"/>
    <w:rsid w:val="00C809A2"/>
    <w:rsid w:val="00C80AED"/>
    <w:rsid w:val="00C80DF8"/>
    <w:rsid w:val="00C80E19"/>
    <w:rsid w:val="00C81283"/>
    <w:rsid w:val="00C816DD"/>
    <w:rsid w:val="00C81B23"/>
    <w:rsid w:val="00C81F95"/>
    <w:rsid w:val="00C821DC"/>
    <w:rsid w:val="00C8234C"/>
    <w:rsid w:val="00C826E1"/>
    <w:rsid w:val="00C8298F"/>
    <w:rsid w:val="00C82DFF"/>
    <w:rsid w:val="00C82E1A"/>
    <w:rsid w:val="00C82F95"/>
    <w:rsid w:val="00C82FA0"/>
    <w:rsid w:val="00C82FA6"/>
    <w:rsid w:val="00C83137"/>
    <w:rsid w:val="00C83240"/>
    <w:rsid w:val="00C836F0"/>
    <w:rsid w:val="00C83C33"/>
    <w:rsid w:val="00C83EB6"/>
    <w:rsid w:val="00C84299"/>
    <w:rsid w:val="00C843C3"/>
    <w:rsid w:val="00C84596"/>
    <w:rsid w:val="00C848F2"/>
    <w:rsid w:val="00C849CA"/>
    <w:rsid w:val="00C84C8B"/>
    <w:rsid w:val="00C84CC6"/>
    <w:rsid w:val="00C850CE"/>
    <w:rsid w:val="00C85559"/>
    <w:rsid w:val="00C85637"/>
    <w:rsid w:val="00C859A0"/>
    <w:rsid w:val="00C85AF5"/>
    <w:rsid w:val="00C85B0F"/>
    <w:rsid w:val="00C85D58"/>
    <w:rsid w:val="00C86AB6"/>
    <w:rsid w:val="00C87102"/>
    <w:rsid w:val="00C87707"/>
    <w:rsid w:val="00C87EDA"/>
    <w:rsid w:val="00C90364"/>
    <w:rsid w:val="00C90A96"/>
    <w:rsid w:val="00C90CDA"/>
    <w:rsid w:val="00C90D1C"/>
    <w:rsid w:val="00C90F3E"/>
    <w:rsid w:val="00C9108A"/>
    <w:rsid w:val="00C9142C"/>
    <w:rsid w:val="00C915E8"/>
    <w:rsid w:val="00C9195F"/>
    <w:rsid w:val="00C919F5"/>
    <w:rsid w:val="00C924B1"/>
    <w:rsid w:val="00C926A0"/>
    <w:rsid w:val="00C928AA"/>
    <w:rsid w:val="00C9299F"/>
    <w:rsid w:val="00C92B3B"/>
    <w:rsid w:val="00C92C4E"/>
    <w:rsid w:val="00C932E8"/>
    <w:rsid w:val="00C9371A"/>
    <w:rsid w:val="00C93B20"/>
    <w:rsid w:val="00C93BC0"/>
    <w:rsid w:val="00C93C43"/>
    <w:rsid w:val="00C9403E"/>
    <w:rsid w:val="00C94377"/>
    <w:rsid w:val="00C949C5"/>
    <w:rsid w:val="00C94A8C"/>
    <w:rsid w:val="00C951B7"/>
    <w:rsid w:val="00C95404"/>
    <w:rsid w:val="00C95474"/>
    <w:rsid w:val="00C954EA"/>
    <w:rsid w:val="00C9572B"/>
    <w:rsid w:val="00C95EBC"/>
    <w:rsid w:val="00C960B9"/>
    <w:rsid w:val="00C96372"/>
    <w:rsid w:val="00C965EA"/>
    <w:rsid w:val="00C96817"/>
    <w:rsid w:val="00C968F7"/>
    <w:rsid w:val="00C96909"/>
    <w:rsid w:val="00C96F89"/>
    <w:rsid w:val="00C9708A"/>
    <w:rsid w:val="00C9739B"/>
    <w:rsid w:val="00C97455"/>
    <w:rsid w:val="00C97ABF"/>
    <w:rsid w:val="00C97C27"/>
    <w:rsid w:val="00C97E58"/>
    <w:rsid w:val="00CA00C8"/>
    <w:rsid w:val="00CA046F"/>
    <w:rsid w:val="00CA08C7"/>
    <w:rsid w:val="00CA12C6"/>
    <w:rsid w:val="00CA14CB"/>
    <w:rsid w:val="00CA18BE"/>
    <w:rsid w:val="00CA18C4"/>
    <w:rsid w:val="00CA1B4B"/>
    <w:rsid w:val="00CA1B6D"/>
    <w:rsid w:val="00CA1FB5"/>
    <w:rsid w:val="00CA2046"/>
    <w:rsid w:val="00CA2114"/>
    <w:rsid w:val="00CA2180"/>
    <w:rsid w:val="00CA2645"/>
    <w:rsid w:val="00CA325B"/>
    <w:rsid w:val="00CA3832"/>
    <w:rsid w:val="00CA3D63"/>
    <w:rsid w:val="00CA3EF0"/>
    <w:rsid w:val="00CA4021"/>
    <w:rsid w:val="00CA430E"/>
    <w:rsid w:val="00CA446C"/>
    <w:rsid w:val="00CA460E"/>
    <w:rsid w:val="00CA48CA"/>
    <w:rsid w:val="00CA52CA"/>
    <w:rsid w:val="00CA53E6"/>
    <w:rsid w:val="00CA5D3B"/>
    <w:rsid w:val="00CA5E69"/>
    <w:rsid w:val="00CA5F8C"/>
    <w:rsid w:val="00CA60B0"/>
    <w:rsid w:val="00CA6530"/>
    <w:rsid w:val="00CA6725"/>
    <w:rsid w:val="00CA68A6"/>
    <w:rsid w:val="00CA691B"/>
    <w:rsid w:val="00CA70C2"/>
    <w:rsid w:val="00CA7A3A"/>
    <w:rsid w:val="00CA7BDC"/>
    <w:rsid w:val="00CA7C9E"/>
    <w:rsid w:val="00CA7E1C"/>
    <w:rsid w:val="00CA7F74"/>
    <w:rsid w:val="00CB003A"/>
    <w:rsid w:val="00CB013A"/>
    <w:rsid w:val="00CB027F"/>
    <w:rsid w:val="00CB07B2"/>
    <w:rsid w:val="00CB07D8"/>
    <w:rsid w:val="00CB08A4"/>
    <w:rsid w:val="00CB0C9E"/>
    <w:rsid w:val="00CB11DB"/>
    <w:rsid w:val="00CB1268"/>
    <w:rsid w:val="00CB12A4"/>
    <w:rsid w:val="00CB12B1"/>
    <w:rsid w:val="00CB13B2"/>
    <w:rsid w:val="00CB14EA"/>
    <w:rsid w:val="00CB165E"/>
    <w:rsid w:val="00CB1688"/>
    <w:rsid w:val="00CB1B99"/>
    <w:rsid w:val="00CB1C4D"/>
    <w:rsid w:val="00CB21C2"/>
    <w:rsid w:val="00CB2254"/>
    <w:rsid w:val="00CB2684"/>
    <w:rsid w:val="00CB2747"/>
    <w:rsid w:val="00CB28CE"/>
    <w:rsid w:val="00CB2AAC"/>
    <w:rsid w:val="00CB2C30"/>
    <w:rsid w:val="00CB2DFC"/>
    <w:rsid w:val="00CB30B2"/>
    <w:rsid w:val="00CB3551"/>
    <w:rsid w:val="00CB3B50"/>
    <w:rsid w:val="00CB3C13"/>
    <w:rsid w:val="00CB45F1"/>
    <w:rsid w:val="00CB4600"/>
    <w:rsid w:val="00CB47FA"/>
    <w:rsid w:val="00CB49EE"/>
    <w:rsid w:val="00CB4CB4"/>
    <w:rsid w:val="00CB5322"/>
    <w:rsid w:val="00CB55DB"/>
    <w:rsid w:val="00CB5B68"/>
    <w:rsid w:val="00CB5B87"/>
    <w:rsid w:val="00CB60F3"/>
    <w:rsid w:val="00CB61F1"/>
    <w:rsid w:val="00CB6275"/>
    <w:rsid w:val="00CB6777"/>
    <w:rsid w:val="00CB6A4E"/>
    <w:rsid w:val="00CB6AAE"/>
    <w:rsid w:val="00CB725A"/>
    <w:rsid w:val="00CB76E2"/>
    <w:rsid w:val="00CB783F"/>
    <w:rsid w:val="00CB7921"/>
    <w:rsid w:val="00CB79CD"/>
    <w:rsid w:val="00CC05B7"/>
    <w:rsid w:val="00CC0CCC"/>
    <w:rsid w:val="00CC0E99"/>
    <w:rsid w:val="00CC0E9E"/>
    <w:rsid w:val="00CC0ECD"/>
    <w:rsid w:val="00CC0F64"/>
    <w:rsid w:val="00CC1039"/>
    <w:rsid w:val="00CC1580"/>
    <w:rsid w:val="00CC1D44"/>
    <w:rsid w:val="00CC1DEF"/>
    <w:rsid w:val="00CC1F55"/>
    <w:rsid w:val="00CC2B07"/>
    <w:rsid w:val="00CC2BD1"/>
    <w:rsid w:val="00CC352F"/>
    <w:rsid w:val="00CC364B"/>
    <w:rsid w:val="00CC36ED"/>
    <w:rsid w:val="00CC399B"/>
    <w:rsid w:val="00CC39F3"/>
    <w:rsid w:val="00CC3CEB"/>
    <w:rsid w:val="00CC3E74"/>
    <w:rsid w:val="00CC45F3"/>
    <w:rsid w:val="00CC46F4"/>
    <w:rsid w:val="00CC5682"/>
    <w:rsid w:val="00CC59E1"/>
    <w:rsid w:val="00CC5AD5"/>
    <w:rsid w:val="00CC5B43"/>
    <w:rsid w:val="00CC5BAA"/>
    <w:rsid w:val="00CC6146"/>
    <w:rsid w:val="00CC6378"/>
    <w:rsid w:val="00CC6409"/>
    <w:rsid w:val="00CC660D"/>
    <w:rsid w:val="00CC66DF"/>
    <w:rsid w:val="00CC690E"/>
    <w:rsid w:val="00CC6B18"/>
    <w:rsid w:val="00CC6B67"/>
    <w:rsid w:val="00CC7130"/>
    <w:rsid w:val="00CC765E"/>
    <w:rsid w:val="00CC78E1"/>
    <w:rsid w:val="00CD03FC"/>
    <w:rsid w:val="00CD06DD"/>
    <w:rsid w:val="00CD0847"/>
    <w:rsid w:val="00CD0AD1"/>
    <w:rsid w:val="00CD139F"/>
    <w:rsid w:val="00CD19B0"/>
    <w:rsid w:val="00CD1C52"/>
    <w:rsid w:val="00CD27A0"/>
    <w:rsid w:val="00CD2929"/>
    <w:rsid w:val="00CD293D"/>
    <w:rsid w:val="00CD2D2C"/>
    <w:rsid w:val="00CD2FCC"/>
    <w:rsid w:val="00CD304F"/>
    <w:rsid w:val="00CD3227"/>
    <w:rsid w:val="00CD335A"/>
    <w:rsid w:val="00CD36CF"/>
    <w:rsid w:val="00CD3ADE"/>
    <w:rsid w:val="00CD3B12"/>
    <w:rsid w:val="00CD3C7B"/>
    <w:rsid w:val="00CD3DAE"/>
    <w:rsid w:val="00CD40D3"/>
    <w:rsid w:val="00CD41B0"/>
    <w:rsid w:val="00CD4E8C"/>
    <w:rsid w:val="00CD522E"/>
    <w:rsid w:val="00CD5865"/>
    <w:rsid w:val="00CD5B0B"/>
    <w:rsid w:val="00CD5B0C"/>
    <w:rsid w:val="00CD5C90"/>
    <w:rsid w:val="00CD5E8C"/>
    <w:rsid w:val="00CD65F2"/>
    <w:rsid w:val="00CD681D"/>
    <w:rsid w:val="00CD6B89"/>
    <w:rsid w:val="00CD6D0A"/>
    <w:rsid w:val="00CD6E1C"/>
    <w:rsid w:val="00CD7274"/>
    <w:rsid w:val="00CD75DE"/>
    <w:rsid w:val="00CD76A5"/>
    <w:rsid w:val="00CD7887"/>
    <w:rsid w:val="00CD7CAA"/>
    <w:rsid w:val="00CD7E56"/>
    <w:rsid w:val="00CD7F82"/>
    <w:rsid w:val="00CE05EC"/>
    <w:rsid w:val="00CE07F1"/>
    <w:rsid w:val="00CE0968"/>
    <w:rsid w:val="00CE0B6F"/>
    <w:rsid w:val="00CE0CB2"/>
    <w:rsid w:val="00CE128D"/>
    <w:rsid w:val="00CE1342"/>
    <w:rsid w:val="00CE13C4"/>
    <w:rsid w:val="00CE13D9"/>
    <w:rsid w:val="00CE1407"/>
    <w:rsid w:val="00CE1534"/>
    <w:rsid w:val="00CE1AC2"/>
    <w:rsid w:val="00CE1C86"/>
    <w:rsid w:val="00CE1DEE"/>
    <w:rsid w:val="00CE2734"/>
    <w:rsid w:val="00CE31CE"/>
    <w:rsid w:val="00CE39EB"/>
    <w:rsid w:val="00CE4094"/>
    <w:rsid w:val="00CE4464"/>
    <w:rsid w:val="00CE4757"/>
    <w:rsid w:val="00CE4ACF"/>
    <w:rsid w:val="00CE4DA5"/>
    <w:rsid w:val="00CE5063"/>
    <w:rsid w:val="00CE51E2"/>
    <w:rsid w:val="00CE5438"/>
    <w:rsid w:val="00CE55D7"/>
    <w:rsid w:val="00CE5B8E"/>
    <w:rsid w:val="00CE5BA1"/>
    <w:rsid w:val="00CE5C1D"/>
    <w:rsid w:val="00CE6296"/>
    <w:rsid w:val="00CE6D65"/>
    <w:rsid w:val="00CE70D0"/>
    <w:rsid w:val="00CE7233"/>
    <w:rsid w:val="00CE747A"/>
    <w:rsid w:val="00CE766E"/>
    <w:rsid w:val="00CE77C4"/>
    <w:rsid w:val="00CE7B60"/>
    <w:rsid w:val="00CE7CAA"/>
    <w:rsid w:val="00CE7F9D"/>
    <w:rsid w:val="00CE7FFA"/>
    <w:rsid w:val="00CE9649"/>
    <w:rsid w:val="00CF0048"/>
    <w:rsid w:val="00CF0303"/>
    <w:rsid w:val="00CF03D6"/>
    <w:rsid w:val="00CF089F"/>
    <w:rsid w:val="00CF09D9"/>
    <w:rsid w:val="00CF0A33"/>
    <w:rsid w:val="00CF0FB8"/>
    <w:rsid w:val="00CF107A"/>
    <w:rsid w:val="00CF10A4"/>
    <w:rsid w:val="00CF1269"/>
    <w:rsid w:val="00CF1277"/>
    <w:rsid w:val="00CF1781"/>
    <w:rsid w:val="00CF1B20"/>
    <w:rsid w:val="00CF1B26"/>
    <w:rsid w:val="00CF1DBD"/>
    <w:rsid w:val="00CF1EC6"/>
    <w:rsid w:val="00CF2800"/>
    <w:rsid w:val="00CF2822"/>
    <w:rsid w:val="00CF2835"/>
    <w:rsid w:val="00CF2868"/>
    <w:rsid w:val="00CF2960"/>
    <w:rsid w:val="00CF29C5"/>
    <w:rsid w:val="00CF2A33"/>
    <w:rsid w:val="00CF2A56"/>
    <w:rsid w:val="00CF2A94"/>
    <w:rsid w:val="00CF2BD1"/>
    <w:rsid w:val="00CF3232"/>
    <w:rsid w:val="00CF331C"/>
    <w:rsid w:val="00CF346E"/>
    <w:rsid w:val="00CF3BA4"/>
    <w:rsid w:val="00CF403C"/>
    <w:rsid w:val="00CF48D2"/>
    <w:rsid w:val="00CF49CC"/>
    <w:rsid w:val="00CF4DDF"/>
    <w:rsid w:val="00CF5097"/>
    <w:rsid w:val="00CF516A"/>
    <w:rsid w:val="00CF5174"/>
    <w:rsid w:val="00CF5196"/>
    <w:rsid w:val="00CF5F15"/>
    <w:rsid w:val="00CF63FC"/>
    <w:rsid w:val="00CF67CD"/>
    <w:rsid w:val="00CF73BE"/>
    <w:rsid w:val="00CF74F4"/>
    <w:rsid w:val="00CF7505"/>
    <w:rsid w:val="00CF7794"/>
    <w:rsid w:val="00CF77B4"/>
    <w:rsid w:val="00CF7A3B"/>
    <w:rsid w:val="00D0080F"/>
    <w:rsid w:val="00D00893"/>
    <w:rsid w:val="00D00963"/>
    <w:rsid w:val="00D00BAD"/>
    <w:rsid w:val="00D00EEF"/>
    <w:rsid w:val="00D01423"/>
    <w:rsid w:val="00D0173D"/>
    <w:rsid w:val="00D01BA9"/>
    <w:rsid w:val="00D02015"/>
    <w:rsid w:val="00D025F2"/>
    <w:rsid w:val="00D028E2"/>
    <w:rsid w:val="00D02FFD"/>
    <w:rsid w:val="00D0303D"/>
    <w:rsid w:val="00D0304B"/>
    <w:rsid w:val="00D030E1"/>
    <w:rsid w:val="00D03938"/>
    <w:rsid w:val="00D03B0A"/>
    <w:rsid w:val="00D04096"/>
    <w:rsid w:val="00D04142"/>
    <w:rsid w:val="00D041DD"/>
    <w:rsid w:val="00D04350"/>
    <w:rsid w:val="00D04416"/>
    <w:rsid w:val="00D04526"/>
    <w:rsid w:val="00D0454D"/>
    <w:rsid w:val="00D04C8A"/>
    <w:rsid w:val="00D04DE7"/>
    <w:rsid w:val="00D05169"/>
    <w:rsid w:val="00D0528E"/>
    <w:rsid w:val="00D05C42"/>
    <w:rsid w:val="00D06079"/>
    <w:rsid w:val="00D060E2"/>
    <w:rsid w:val="00D060E6"/>
    <w:rsid w:val="00D06CD6"/>
    <w:rsid w:val="00D06E7B"/>
    <w:rsid w:val="00D07035"/>
    <w:rsid w:val="00D070D1"/>
    <w:rsid w:val="00D071B5"/>
    <w:rsid w:val="00D079B3"/>
    <w:rsid w:val="00D07CB7"/>
    <w:rsid w:val="00D07F14"/>
    <w:rsid w:val="00D07F2F"/>
    <w:rsid w:val="00D10012"/>
    <w:rsid w:val="00D10278"/>
    <w:rsid w:val="00D103CA"/>
    <w:rsid w:val="00D105F5"/>
    <w:rsid w:val="00D10975"/>
    <w:rsid w:val="00D10B20"/>
    <w:rsid w:val="00D10D47"/>
    <w:rsid w:val="00D1198E"/>
    <w:rsid w:val="00D11D18"/>
    <w:rsid w:val="00D11E0B"/>
    <w:rsid w:val="00D11FFB"/>
    <w:rsid w:val="00D120BE"/>
    <w:rsid w:val="00D12456"/>
    <w:rsid w:val="00D12CC7"/>
    <w:rsid w:val="00D13064"/>
    <w:rsid w:val="00D13251"/>
    <w:rsid w:val="00D133B9"/>
    <w:rsid w:val="00D135F7"/>
    <w:rsid w:val="00D137FA"/>
    <w:rsid w:val="00D13DDE"/>
    <w:rsid w:val="00D13E5A"/>
    <w:rsid w:val="00D13EA6"/>
    <w:rsid w:val="00D13F39"/>
    <w:rsid w:val="00D1416B"/>
    <w:rsid w:val="00D143D9"/>
    <w:rsid w:val="00D1498A"/>
    <w:rsid w:val="00D14BC4"/>
    <w:rsid w:val="00D14E47"/>
    <w:rsid w:val="00D15149"/>
    <w:rsid w:val="00D16450"/>
    <w:rsid w:val="00D1661E"/>
    <w:rsid w:val="00D1670C"/>
    <w:rsid w:val="00D16D59"/>
    <w:rsid w:val="00D172EE"/>
    <w:rsid w:val="00D1734B"/>
    <w:rsid w:val="00D176A0"/>
    <w:rsid w:val="00D177C6"/>
    <w:rsid w:val="00D17866"/>
    <w:rsid w:val="00D17CD9"/>
    <w:rsid w:val="00D17EC2"/>
    <w:rsid w:val="00D201FA"/>
    <w:rsid w:val="00D20D27"/>
    <w:rsid w:val="00D2139D"/>
    <w:rsid w:val="00D21D56"/>
    <w:rsid w:val="00D22464"/>
    <w:rsid w:val="00D22844"/>
    <w:rsid w:val="00D228C0"/>
    <w:rsid w:val="00D22B62"/>
    <w:rsid w:val="00D22E05"/>
    <w:rsid w:val="00D22EDA"/>
    <w:rsid w:val="00D234A6"/>
    <w:rsid w:val="00D2351D"/>
    <w:rsid w:val="00D2369C"/>
    <w:rsid w:val="00D23B9C"/>
    <w:rsid w:val="00D23DCC"/>
    <w:rsid w:val="00D24272"/>
    <w:rsid w:val="00D248C1"/>
    <w:rsid w:val="00D255B3"/>
    <w:rsid w:val="00D25B57"/>
    <w:rsid w:val="00D25B96"/>
    <w:rsid w:val="00D2606A"/>
    <w:rsid w:val="00D263A7"/>
    <w:rsid w:val="00D2652B"/>
    <w:rsid w:val="00D26751"/>
    <w:rsid w:val="00D2697D"/>
    <w:rsid w:val="00D26A70"/>
    <w:rsid w:val="00D26DE5"/>
    <w:rsid w:val="00D26E63"/>
    <w:rsid w:val="00D271FF"/>
    <w:rsid w:val="00D272AC"/>
    <w:rsid w:val="00D27428"/>
    <w:rsid w:val="00D274CC"/>
    <w:rsid w:val="00D27530"/>
    <w:rsid w:val="00D277A2"/>
    <w:rsid w:val="00D27F09"/>
    <w:rsid w:val="00D303CE"/>
    <w:rsid w:val="00D30D53"/>
    <w:rsid w:val="00D30E71"/>
    <w:rsid w:val="00D30EDE"/>
    <w:rsid w:val="00D30EFC"/>
    <w:rsid w:val="00D3124B"/>
    <w:rsid w:val="00D312C7"/>
    <w:rsid w:val="00D313BB"/>
    <w:rsid w:val="00D3164C"/>
    <w:rsid w:val="00D3218E"/>
    <w:rsid w:val="00D328AC"/>
    <w:rsid w:val="00D32ADD"/>
    <w:rsid w:val="00D32B1B"/>
    <w:rsid w:val="00D33043"/>
    <w:rsid w:val="00D333EA"/>
    <w:rsid w:val="00D33912"/>
    <w:rsid w:val="00D33B58"/>
    <w:rsid w:val="00D33DDD"/>
    <w:rsid w:val="00D33EE3"/>
    <w:rsid w:val="00D340EB"/>
    <w:rsid w:val="00D3432A"/>
    <w:rsid w:val="00D345F7"/>
    <w:rsid w:val="00D346AF"/>
    <w:rsid w:val="00D348E7"/>
    <w:rsid w:val="00D34D6D"/>
    <w:rsid w:val="00D34EF7"/>
    <w:rsid w:val="00D354E8"/>
    <w:rsid w:val="00D35C47"/>
    <w:rsid w:val="00D35D85"/>
    <w:rsid w:val="00D35DE5"/>
    <w:rsid w:val="00D3649D"/>
    <w:rsid w:val="00D3661F"/>
    <w:rsid w:val="00D36881"/>
    <w:rsid w:val="00D36979"/>
    <w:rsid w:val="00D36BFC"/>
    <w:rsid w:val="00D36C87"/>
    <w:rsid w:val="00D372AD"/>
    <w:rsid w:val="00D377C6"/>
    <w:rsid w:val="00D37D9A"/>
    <w:rsid w:val="00D400A1"/>
    <w:rsid w:val="00D402FC"/>
    <w:rsid w:val="00D40722"/>
    <w:rsid w:val="00D4087E"/>
    <w:rsid w:val="00D40CF4"/>
    <w:rsid w:val="00D40F5C"/>
    <w:rsid w:val="00D41082"/>
    <w:rsid w:val="00D4148C"/>
    <w:rsid w:val="00D41735"/>
    <w:rsid w:val="00D41A7E"/>
    <w:rsid w:val="00D41B5E"/>
    <w:rsid w:val="00D41BFE"/>
    <w:rsid w:val="00D41C91"/>
    <w:rsid w:val="00D42065"/>
    <w:rsid w:val="00D4232F"/>
    <w:rsid w:val="00D424A6"/>
    <w:rsid w:val="00D42686"/>
    <w:rsid w:val="00D428E6"/>
    <w:rsid w:val="00D429C7"/>
    <w:rsid w:val="00D42E30"/>
    <w:rsid w:val="00D42E5A"/>
    <w:rsid w:val="00D432E4"/>
    <w:rsid w:val="00D43DF3"/>
    <w:rsid w:val="00D4424D"/>
    <w:rsid w:val="00D44AC5"/>
    <w:rsid w:val="00D44E41"/>
    <w:rsid w:val="00D44E48"/>
    <w:rsid w:val="00D450BF"/>
    <w:rsid w:val="00D450EC"/>
    <w:rsid w:val="00D4548E"/>
    <w:rsid w:val="00D4599D"/>
    <w:rsid w:val="00D4659E"/>
    <w:rsid w:val="00D46895"/>
    <w:rsid w:val="00D4694D"/>
    <w:rsid w:val="00D47268"/>
    <w:rsid w:val="00D4748C"/>
    <w:rsid w:val="00D479AA"/>
    <w:rsid w:val="00D47ADC"/>
    <w:rsid w:val="00D47EDD"/>
    <w:rsid w:val="00D5036D"/>
    <w:rsid w:val="00D50C58"/>
    <w:rsid w:val="00D5154B"/>
    <w:rsid w:val="00D5198D"/>
    <w:rsid w:val="00D519B7"/>
    <w:rsid w:val="00D51B18"/>
    <w:rsid w:val="00D52088"/>
    <w:rsid w:val="00D520DF"/>
    <w:rsid w:val="00D52509"/>
    <w:rsid w:val="00D52E37"/>
    <w:rsid w:val="00D53294"/>
    <w:rsid w:val="00D534FF"/>
    <w:rsid w:val="00D53F4E"/>
    <w:rsid w:val="00D542DB"/>
    <w:rsid w:val="00D54458"/>
    <w:rsid w:val="00D54CC0"/>
    <w:rsid w:val="00D55424"/>
    <w:rsid w:val="00D55892"/>
    <w:rsid w:val="00D558B3"/>
    <w:rsid w:val="00D559CE"/>
    <w:rsid w:val="00D56139"/>
    <w:rsid w:val="00D56658"/>
    <w:rsid w:val="00D56A4E"/>
    <w:rsid w:val="00D56C78"/>
    <w:rsid w:val="00D57043"/>
    <w:rsid w:val="00D571A1"/>
    <w:rsid w:val="00D574E9"/>
    <w:rsid w:val="00D574EA"/>
    <w:rsid w:val="00D57595"/>
    <w:rsid w:val="00D57598"/>
    <w:rsid w:val="00D57A0D"/>
    <w:rsid w:val="00D57B27"/>
    <w:rsid w:val="00D6019D"/>
    <w:rsid w:val="00D601E4"/>
    <w:rsid w:val="00D604E8"/>
    <w:rsid w:val="00D60760"/>
    <w:rsid w:val="00D6081B"/>
    <w:rsid w:val="00D608AF"/>
    <w:rsid w:val="00D60990"/>
    <w:rsid w:val="00D60E59"/>
    <w:rsid w:val="00D61144"/>
    <w:rsid w:val="00D61327"/>
    <w:rsid w:val="00D61419"/>
    <w:rsid w:val="00D6153E"/>
    <w:rsid w:val="00D615D5"/>
    <w:rsid w:val="00D6167E"/>
    <w:rsid w:val="00D61854"/>
    <w:rsid w:val="00D619AC"/>
    <w:rsid w:val="00D61FAE"/>
    <w:rsid w:val="00D62106"/>
    <w:rsid w:val="00D62125"/>
    <w:rsid w:val="00D62597"/>
    <w:rsid w:val="00D62795"/>
    <w:rsid w:val="00D62DBB"/>
    <w:rsid w:val="00D62F77"/>
    <w:rsid w:val="00D638B1"/>
    <w:rsid w:val="00D639FF"/>
    <w:rsid w:val="00D640D6"/>
    <w:rsid w:val="00D64531"/>
    <w:rsid w:val="00D645D0"/>
    <w:rsid w:val="00D64A01"/>
    <w:rsid w:val="00D64B5E"/>
    <w:rsid w:val="00D64CEB"/>
    <w:rsid w:val="00D64D5F"/>
    <w:rsid w:val="00D64D60"/>
    <w:rsid w:val="00D64D98"/>
    <w:rsid w:val="00D64EAD"/>
    <w:rsid w:val="00D65043"/>
    <w:rsid w:val="00D651DB"/>
    <w:rsid w:val="00D652C7"/>
    <w:rsid w:val="00D65787"/>
    <w:rsid w:val="00D657EA"/>
    <w:rsid w:val="00D65BBC"/>
    <w:rsid w:val="00D66196"/>
    <w:rsid w:val="00D6634D"/>
    <w:rsid w:val="00D668AF"/>
    <w:rsid w:val="00D66A30"/>
    <w:rsid w:val="00D66F6B"/>
    <w:rsid w:val="00D6706F"/>
    <w:rsid w:val="00D67B16"/>
    <w:rsid w:val="00D67B66"/>
    <w:rsid w:val="00D67D6F"/>
    <w:rsid w:val="00D7036E"/>
    <w:rsid w:val="00D7067E"/>
    <w:rsid w:val="00D71094"/>
    <w:rsid w:val="00D71444"/>
    <w:rsid w:val="00D714B9"/>
    <w:rsid w:val="00D71C0C"/>
    <w:rsid w:val="00D71C51"/>
    <w:rsid w:val="00D71D19"/>
    <w:rsid w:val="00D7225B"/>
    <w:rsid w:val="00D7225C"/>
    <w:rsid w:val="00D72300"/>
    <w:rsid w:val="00D72488"/>
    <w:rsid w:val="00D72710"/>
    <w:rsid w:val="00D72756"/>
    <w:rsid w:val="00D727EB"/>
    <w:rsid w:val="00D72BCC"/>
    <w:rsid w:val="00D72F78"/>
    <w:rsid w:val="00D73269"/>
    <w:rsid w:val="00D732DD"/>
    <w:rsid w:val="00D734D3"/>
    <w:rsid w:val="00D741A3"/>
    <w:rsid w:val="00D74348"/>
    <w:rsid w:val="00D7435A"/>
    <w:rsid w:val="00D743BD"/>
    <w:rsid w:val="00D7483B"/>
    <w:rsid w:val="00D74AC0"/>
    <w:rsid w:val="00D74C91"/>
    <w:rsid w:val="00D74D40"/>
    <w:rsid w:val="00D74F3B"/>
    <w:rsid w:val="00D753B2"/>
    <w:rsid w:val="00D75C40"/>
    <w:rsid w:val="00D75F75"/>
    <w:rsid w:val="00D76108"/>
    <w:rsid w:val="00D76141"/>
    <w:rsid w:val="00D7633D"/>
    <w:rsid w:val="00D76698"/>
    <w:rsid w:val="00D76733"/>
    <w:rsid w:val="00D768B8"/>
    <w:rsid w:val="00D769F9"/>
    <w:rsid w:val="00D76CAB"/>
    <w:rsid w:val="00D77245"/>
    <w:rsid w:val="00D77818"/>
    <w:rsid w:val="00D77A99"/>
    <w:rsid w:val="00D800CC"/>
    <w:rsid w:val="00D800D8"/>
    <w:rsid w:val="00D80645"/>
    <w:rsid w:val="00D81954"/>
    <w:rsid w:val="00D8269C"/>
    <w:rsid w:val="00D82808"/>
    <w:rsid w:val="00D82C80"/>
    <w:rsid w:val="00D82D16"/>
    <w:rsid w:val="00D8319B"/>
    <w:rsid w:val="00D832EF"/>
    <w:rsid w:val="00D835C7"/>
    <w:rsid w:val="00D83903"/>
    <w:rsid w:val="00D83994"/>
    <w:rsid w:val="00D839A4"/>
    <w:rsid w:val="00D83A3B"/>
    <w:rsid w:val="00D83DB2"/>
    <w:rsid w:val="00D83DCD"/>
    <w:rsid w:val="00D83E24"/>
    <w:rsid w:val="00D84161"/>
    <w:rsid w:val="00D841A0"/>
    <w:rsid w:val="00D841D1"/>
    <w:rsid w:val="00D845F4"/>
    <w:rsid w:val="00D84692"/>
    <w:rsid w:val="00D8488B"/>
    <w:rsid w:val="00D84AE5"/>
    <w:rsid w:val="00D84F40"/>
    <w:rsid w:val="00D84FF0"/>
    <w:rsid w:val="00D8507C"/>
    <w:rsid w:val="00D85181"/>
    <w:rsid w:val="00D85321"/>
    <w:rsid w:val="00D85339"/>
    <w:rsid w:val="00D85608"/>
    <w:rsid w:val="00D858D6"/>
    <w:rsid w:val="00D85C64"/>
    <w:rsid w:val="00D8630C"/>
    <w:rsid w:val="00D86429"/>
    <w:rsid w:val="00D86767"/>
    <w:rsid w:val="00D86875"/>
    <w:rsid w:val="00D87190"/>
    <w:rsid w:val="00D87538"/>
    <w:rsid w:val="00D87813"/>
    <w:rsid w:val="00D878C2"/>
    <w:rsid w:val="00D87B8B"/>
    <w:rsid w:val="00D9004B"/>
    <w:rsid w:val="00D9027F"/>
    <w:rsid w:val="00D902AA"/>
    <w:rsid w:val="00D904B1"/>
    <w:rsid w:val="00D90866"/>
    <w:rsid w:val="00D90D84"/>
    <w:rsid w:val="00D90F5B"/>
    <w:rsid w:val="00D91339"/>
    <w:rsid w:val="00D92154"/>
    <w:rsid w:val="00D92CF4"/>
    <w:rsid w:val="00D92D72"/>
    <w:rsid w:val="00D92F20"/>
    <w:rsid w:val="00D92FF1"/>
    <w:rsid w:val="00D9305C"/>
    <w:rsid w:val="00D9313A"/>
    <w:rsid w:val="00D93327"/>
    <w:rsid w:val="00D93439"/>
    <w:rsid w:val="00D9348C"/>
    <w:rsid w:val="00D938EE"/>
    <w:rsid w:val="00D93EAD"/>
    <w:rsid w:val="00D943C2"/>
    <w:rsid w:val="00D946F5"/>
    <w:rsid w:val="00D94A45"/>
    <w:rsid w:val="00D94CAC"/>
    <w:rsid w:val="00D94FAD"/>
    <w:rsid w:val="00D95224"/>
    <w:rsid w:val="00D95702"/>
    <w:rsid w:val="00D95B4B"/>
    <w:rsid w:val="00D95EDA"/>
    <w:rsid w:val="00D96385"/>
    <w:rsid w:val="00D96493"/>
    <w:rsid w:val="00D9662A"/>
    <w:rsid w:val="00D968D8"/>
    <w:rsid w:val="00D969C8"/>
    <w:rsid w:val="00D969EB"/>
    <w:rsid w:val="00D96C68"/>
    <w:rsid w:val="00D96E57"/>
    <w:rsid w:val="00D96FA3"/>
    <w:rsid w:val="00D978FA"/>
    <w:rsid w:val="00D97B50"/>
    <w:rsid w:val="00D97D89"/>
    <w:rsid w:val="00D97EC3"/>
    <w:rsid w:val="00DA0729"/>
    <w:rsid w:val="00DA0B64"/>
    <w:rsid w:val="00DA0E97"/>
    <w:rsid w:val="00DA1A3E"/>
    <w:rsid w:val="00DA1AA1"/>
    <w:rsid w:val="00DA1D25"/>
    <w:rsid w:val="00DA1D85"/>
    <w:rsid w:val="00DA1DB3"/>
    <w:rsid w:val="00DA25E3"/>
    <w:rsid w:val="00DA27BF"/>
    <w:rsid w:val="00DA2B6B"/>
    <w:rsid w:val="00DA37D3"/>
    <w:rsid w:val="00DA38F7"/>
    <w:rsid w:val="00DA423C"/>
    <w:rsid w:val="00DA434F"/>
    <w:rsid w:val="00DA4504"/>
    <w:rsid w:val="00DA4A01"/>
    <w:rsid w:val="00DA4ADA"/>
    <w:rsid w:val="00DA4C27"/>
    <w:rsid w:val="00DA4D2D"/>
    <w:rsid w:val="00DA5F87"/>
    <w:rsid w:val="00DA602F"/>
    <w:rsid w:val="00DA6157"/>
    <w:rsid w:val="00DA61C6"/>
    <w:rsid w:val="00DA63DF"/>
    <w:rsid w:val="00DA6621"/>
    <w:rsid w:val="00DA66E5"/>
    <w:rsid w:val="00DA6927"/>
    <w:rsid w:val="00DA6CF4"/>
    <w:rsid w:val="00DA6E45"/>
    <w:rsid w:val="00DA6E77"/>
    <w:rsid w:val="00DA7434"/>
    <w:rsid w:val="00DA74DE"/>
    <w:rsid w:val="00DA7772"/>
    <w:rsid w:val="00DA7875"/>
    <w:rsid w:val="00DB00B2"/>
    <w:rsid w:val="00DB05C3"/>
    <w:rsid w:val="00DB0A4E"/>
    <w:rsid w:val="00DB0C20"/>
    <w:rsid w:val="00DB0EAA"/>
    <w:rsid w:val="00DB151F"/>
    <w:rsid w:val="00DB1847"/>
    <w:rsid w:val="00DB1D6C"/>
    <w:rsid w:val="00DB2443"/>
    <w:rsid w:val="00DB2F82"/>
    <w:rsid w:val="00DB32A9"/>
    <w:rsid w:val="00DB3610"/>
    <w:rsid w:val="00DB36C2"/>
    <w:rsid w:val="00DB38F6"/>
    <w:rsid w:val="00DB3C13"/>
    <w:rsid w:val="00DB3C6F"/>
    <w:rsid w:val="00DB3D41"/>
    <w:rsid w:val="00DB43C1"/>
    <w:rsid w:val="00DB49D8"/>
    <w:rsid w:val="00DB5031"/>
    <w:rsid w:val="00DB5154"/>
    <w:rsid w:val="00DB526C"/>
    <w:rsid w:val="00DB53F5"/>
    <w:rsid w:val="00DB5976"/>
    <w:rsid w:val="00DB5B70"/>
    <w:rsid w:val="00DB5CD1"/>
    <w:rsid w:val="00DB5CEB"/>
    <w:rsid w:val="00DB627A"/>
    <w:rsid w:val="00DB6517"/>
    <w:rsid w:val="00DB6748"/>
    <w:rsid w:val="00DB677C"/>
    <w:rsid w:val="00DB67E7"/>
    <w:rsid w:val="00DB706A"/>
    <w:rsid w:val="00DB7263"/>
    <w:rsid w:val="00DB7367"/>
    <w:rsid w:val="00DC0825"/>
    <w:rsid w:val="00DC0989"/>
    <w:rsid w:val="00DC0E11"/>
    <w:rsid w:val="00DC1554"/>
    <w:rsid w:val="00DC1930"/>
    <w:rsid w:val="00DC19B1"/>
    <w:rsid w:val="00DC1FBB"/>
    <w:rsid w:val="00DC211E"/>
    <w:rsid w:val="00DC295F"/>
    <w:rsid w:val="00DC2A88"/>
    <w:rsid w:val="00DC2B76"/>
    <w:rsid w:val="00DC31A1"/>
    <w:rsid w:val="00DC3782"/>
    <w:rsid w:val="00DC3B9C"/>
    <w:rsid w:val="00DC40D1"/>
    <w:rsid w:val="00DC4199"/>
    <w:rsid w:val="00DC4711"/>
    <w:rsid w:val="00DC4A26"/>
    <w:rsid w:val="00DC4DA8"/>
    <w:rsid w:val="00DC50EC"/>
    <w:rsid w:val="00DC592B"/>
    <w:rsid w:val="00DC60C0"/>
    <w:rsid w:val="00DC628B"/>
    <w:rsid w:val="00DC64A3"/>
    <w:rsid w:val="00DC6596"/>
    <w:rsid w:val="00DC669D"/>
    <w:rsid w:val="00DC6716"/>
    <w:rsid w:val="00DC6B88"/>
    <w:rsid w:val="00DC709C"/>
    <w:rsid w:val="00DC754F"/>
    <w:rsid w:val="00DC7587"/>
    <w:rsid w:val="00DC768A"/>
    <w:rsid w:val="00DC76F5"/>
    <w:rsid w:val="00DC7C98"/>
    <w:rsid w:val="00DCD007"/>
    <w:rsid w:val="00DD098D"/>
    <w:rsid w:val="00DD0AAF"/>
    <w:rsid w:val="00DD0B22"/>
    <w:rsid w:val="00DD0C6F"/>
    <w:rsid w:val="00DD0E10"/>
    <w:rsid w:val="00DD11E7"/>
    <w:rsid w:val="00DD158D"/>
    <w:rsid w:val="00DD1A46"/>
    <w:rsid w:val="00DD1C65"/>
    <w:rsid w:val="00DD2EE1"/>
    <w:rsid w:val="00DD38DF"/>
    <w:rsid w:val="00DD3AC9"/>
    <w:rsid w:val="00DD3C44"/>
    <w:rsid w:val="00DD436F"/>
    <w:rsid w:val="00DD4512"/>
    <w:rsid w:val="00DD4F34"/>
    <w:rsid w:val="00DD510A"/>
    <w:rsid w:val="00DD54ED"/>
    <w:rsid w:val="00DD63B8"/>
    <w:rsid w:val="00DD63E7"/>
    <w:rsid w:val="00DD67B5"/>
    <w:rsid w:val="00DD6AB5"/>
    <w:rsid w:val="00DD6E07"/>
    <w:rsid w:val="00DD75E5"/>
    <w:rsid w:val="00DD7686"/>
    <w:rsid w:val="00DD7A38"/>
    <w:rsid w:val="00DE01CA"/>
    <w:rsid w:val="00DE0363"/>
    <w:rsid w:val="00DE0515"/>
    <w:rsid w:val="00DE0851"/>
    <w:rsid w:val="00DE08E9"/>
    <w:rsid w:val="00DE0C3C"/>
    <w:rsid w:val="00DE0EF3"/>
    <w:rsid w:val="00DE1009"/>
    <w:rsid w:val="00DE1340"/>
    <w:rsid w:val="00DE1444"/>
    <w:rsid w:val="00DE156B"/>
    <w:rsid w:val="00DE15FE"/>
    <w:rsid w:val="00DE227F"/>
    <w:rsid w:val="00DE2AF2"/>
    <w:rsid w:val="00DE2BB4"/>
    <w:rsid w:val="00DE2CEA"/>
    <w:rsid w:val="00DE2F26"/>
    <w:rsid w:val="00DE331B"/>
    <w:rsid w:val="00DE3346"/>
    <w:rsid w:val="00DE371F"/>
    <w:rsid w:val="00DE3778"/>
    <w:rsid w:val="00DE3B27"/>
    <w:rsid w:val="00DE3BA4"/>
    <w:rsid w:val="00DE3CE0"/>
    <w:rsid w:val="00DE42C5"/>
    <w:rsid w:val="00DE43B1"/>
    <w:rsid w:val="00DE4C15"/>
    <w:rsid w:val="00DE4D70"/>
    <w:rsid w:val="00DE4FD1"/>
    <w:rsid w:val="00DE5005"/>
    <w:rsid w:val="00DE5044"/>
    <w:rsid w:val="00DE5052"/>
    <w:rsid w:val="00DE506F"/>
    <w:rsid w:val="00DE53DB"/>
    <w:rsid w:val="00DE5457"/>
    <w:rsid w:val="00DE5ED6"/>
    <w:rsid w:val="00DE5F24"/>
    <w:rsid w:val="00DE60FF"/>
    <w:rsid w:val="00DE67E7"/>
    <w:rsid w:val="00DE68DD"/>
    <w:rsid w:val="00DE6D26"/>
    <w:rsid w:val="00DE6D30"/>
    <w:rsid w:val="00DE705F"/>
    <w:rsid w:val="00DE7364"/>
    <w:rsid w:val="00DE74F0"/>
    <w:rsid w:val="00DF014C"/>
    <w:rsid w:val="00DF0330"/>
    <w:rsid w:val="00DF07A1"/>
    <w:rsid w:val="00DF090F"/>
    <w:rsid w:val="00DF1139"/>
    <w:rsid w:val="00DF15B9"/>
    <w:rsid w:val="00DF1B5F"/>
    <w:rsid w:val="00DF204C"/>
    <w:rsid w:val="00DF20E2"/>
    <w:rsid w:val="00DF27FA"/>
    <w:rsid w:val="00DF2AA6"/>
    <w:rsid w:val="00DF417F"/>
    <w:rsid w:val="00DF443F"/>
    <w:rsid w:val="00DF4626"/>
    <w:rsid w:val="00DF469D"/>
    <w:rsid w:val="00DF4804"/>
    <w:rsid w:val="00DF4AC0"/>
    <w:rsid w:val="00DF4E8B"/>
    <w:rsid w:val="00DF53E3"/>
    <w:rsid w:val="00DF6107"/>
    <w:rsid w:val="00DF685E"/>
    <w:rsid w:val="00DF68E6"/>
    <w:rsid w:val="00DF6A0A"/>
    <w:rsid w:val="00DF7120"/>
    <w:rsid w:val="00DF7442"/>
    <w:rsid w:val="00DF75CA"/>
    <w:rsid w:val="00DF7972"/>
    <w:rsid w:val="00DF7BA8"/>
    <w:rsid w:val="00DF7EA8"/>
    <w:rsid w:val="00E000D4"/>
    <w:rsid w:val="00E01409"/>
    <w:rsid w:val="00E01CCA"/>
    <w:rsid w:val="00E01EB8"/>
    <w:rsid w:val="00E02361"/>
    <w:rsid w:val="00E0238D"/>
    <w:rsid w:val="00E025DB"/>
    <w:rsid w:val="00E026D2"/>
    <w:rsid w:val="00E028B7"/>
    <w:rsid w:val="00E02A91"/>
    <w:rsid w:val="00E031A8"/>
    <w:rsid w:val="00E034DF"/>
    <w:rsid w:val="00E03A46"/>
    <w:rsid w:val="00E03FC8"/>
    <w:rsid w:val="00E04195"/>
    <w:rsid w:val="00E046DF"/>
    <w:rsid w:val="00E04915"/>
    <w:rsid w:val="00E0495F"/>
    <w:rsid w:val="00E05244"/>
    <w:rsid w:val="00E0533E"/>
    <w:rsid w:val="00E0604D"/>
    <w:rsid w:val="00E0653D"/>
    <w:rsid w:val="00E065BF"/>
    <w:rsid w:val="00E066DD"/>
    <w:rsid w:val="00E06951"/>
    <w:rsid w:val="00E0696E"/>
    <w:rsid w:val="00E06BD8"/>
    <w:rsid w:val="00E07194"/>
    <w:rsid w:val="00E073CE"/>
    <w:rsid w:val="00E0745F"/>
    <w:rsid w:val="00E0790D"/>
    <w:rsid w:val="00E10117"/>
    <w:rsid w:val="00E10164"/>
    <w:rsid w:val="00E101D3"/>
    <w:rsid w:val="00E1052C"/>
    <w:rsid w:val="00E109F6"/>
    <w:rsid w:val="00E1109F"/>
    <w:rsid w:val="00E11112"/>
    <w:rsid w:val="00E1167D"/>
    <w:rsid w:val="00E11921"/>
    <w:rsid w:val="00E11A5F"/>
    <w:rsid w:val="00E11E16"/>
    <w:rsid w:val="00E121ED"/>
    <w:rsid w:val="00E122B8"/>
    <w:rsid w:val="00E122F8"/>
    <w:rsid w:val="00E1289B"/>
    <w:rsid w:val="00E12A42"/>
    <w:rsid w:val="00E12C1F"/>
    <w:rsid w:val="00E12E5B"/>
    <w:rsid w:val="00E12EB2"/>
    <w:rsid w:val="00E130B8"/>
    <w:rsid w:val="00E13708"/>
    <w:rsid w:val="00E138A7"/>
    <w:rsid w:val="00E13A1B"/>
    <w:rsid w:val="00E13C8B"/>
    <w:rsid w:val="00E13CD3"/>
    <w:rsid w:val="00E13FF8"/>
    <w:rsid w:val="00E14312"/>
    <w:rsid w:val="00E1448C"/>
    <w:rsid w:val="00E14500"/>
    <w:rsid w:val="00E14599"/>
    <w:rsid w:val="00E145E0"/>
    <w:rsid w:val="00E14789"/>
    <w:rsid w:val="00E1480F"/>
    <w:rsid w:val="00E14996"/>
    <w:rsid w:val="00E14AA3"/>
    <w:rsid w:val="00E14C6A"/>
    <w:rsid w:val="00E14D8F"/>
    <w:rsid w:val="00E154E4"/>
    <w:rsid w:val="00E155A1"/>
    <w:rsid w:val="00E15637"/>
    <w:rsid w:val="00E157BF"/>
    <w:rsid w:val="00E15894"/>
    <w:rsid w:val="00E15D66"/>
    <w:rsid w:val="00E160E6"/>
    <w:rsid w:val="00E161E7"/>
    <w:rsid w:val="00E1628A"/>
    <w:rsid w:val="00E16645"/>
    <w:rsid w:val="00E16950"/>
    <w:rsid w:val="00E16AAE"/>
    <w:rsid w:val="00E178B0"/>
    <w:rsid w:val="00E20101"/>
    <w:rsid w:val="00E206E8"/>
    <w:rsid w:val="00E21080"/>
    <w:rsid w:val="00E210C9"/>
    <w:rsid w:val="00E211D6"/>
    <w:rsid w:val="00E216C0"/>
    <w:rsid w:val="00E220F3"/>
    <w:rsid w:val="00E224EC"/>
    <w:rsid w:val="00E22B77"/>
    <w:rsid w:val="00E22DFE"/>
    <w:rsid w:val="00E22F25"/>
    <w:rsid w:val="00E2348E"/>
    <w:rsid w:val="00E23D84"/>
    <w:rsid w:val="00E23DFF"/>
    <w:rsid w:val="00E23F7E"/>
    <w:rsid w:val="00E23FE0"/>
    <w:rsid w:val="00E24508"/>
    <w:rsid w:val="00E245C8"/>
    <w:rsid w:val="00E24882"/>
    <w:rsid w:val="00E24F1F"/>
    <w:rsid w:val="00E24F34"/>
    <w:rsid w:val="00E25376"/>
    <w:rsid w:val="00E253D5"/>
    <w:rsid w:val="00E255AF"/>
    <w:rsid w:val="00E25BCB"/>
    <w:rsid w:val="00E25BD2"/>
    <w:rsid w:val="00E26084"/>
    <w:rsid w:val="00E2609D"/>
    <w:rsid w:val="00E26538"/>
    <w:rsid w:val="00E26735"/>
    <w:rsid w:val="00E26777"/>
    <w:rsid w:val="00E27374"/>
    <w:rsid w:val="00E277AE"/>
    <w:rsid w:val="00E278B6"/>
    <w:rsid w:val="00E27911"/>
    <w:rsid w:val="00E27967"/>
    <w:rsid w:val="00E27BA0"/>
    <w:rsid w:val="00E27F9A"/>
    <w:rsid w:val="00E30048"/>
    <w:rsid w:val="00E3053E"/>
    <w:rsid w:val="00E30B4C"/>
    <w:rsid w:val="00E30C06"/>
    <w:rsid w:val="00E3100A"/>
    <w:rsid w:val="00E311AA"/>
    <w:rsid w:val="00E31CEE"/>
    <w:rsid w:val="00E31D66"/>
    <w:rsid w:val="00E31D8C"/>
    <w:rsid w:val="00E31D92"/>
    <w:rsid w:val="00E31F7B"/>
    <w:rsid w:val="00E32A9D"/>
    <w:rsid w:val="00E32FF6"/>
    <w:rsid w:val="00E3369F"/>
    <w:rsid w:val="00E33A2B"/>
    <w:rsid w:val="00E33C42"/>
    <w:rsid w:val="00E33E46"/>
    <w:rsid w:val="00E343A8"/>
    <w:rsid w:val="00E34AD4"/>
    <w:rsid w:val="00E34EE0"/>
    <w:rsid w:val="00E35295"/>
    <w:rsid w:val="00E35315"/>
    <w:rsid w:val="00E3595E"/>
    <w:rsid w:val="00E35A36"/>
    <w:rsid w:val="00E35CE4"/>
    <w:rsid w:val="00E36119"/>
    <w:rsid w:val="00E3633F"/>
    <w:rsid w:val="00E36757"/>
    <w:rsid w:val="00E36762"/>
    <w:rsid w:val="00E36975"/>
    <w:rsid w:val="00E369C5"/>
    <w:rsid w:val="00E36AD9"/>
    <w:rsid w:val="00E36B24"/>
    <w:rsid w:val="00E36BED"/>
    <w:rsid w:val="00E36FAD"/>
    <w:rsid w:val="00E37413"/>
    <w:rsid w:val="00E37443"/>
    <w:rsid w:val="00E3757D"/>
    <w:rsid w:val="00E37BA0"/>
    <w:rsid w:val="00E37E89"/>
    <w:rsid w:val="00E405A1"/>
    <w:rsid w:val="00E4069E"/>
    <w:rsid w:val="00E406C7"/>
    <w:rsid w:val="00E40C23"/>
    <w:rsid w:val="00E411A3"/>
    <w:rsid w:val="00E413FA"/>
    <w:rsid w:val="00E41885"/>
    <w:rsid w:val="00E41F18"/>
    <w:rsid w:val="00E42580"/>
    <w:rsid w:val="00E4274E"/>
    <w:rsid w:val="00E427D6"/>
    <w:rsid w:val="00E4322D"/>
    <w:rsid w:val="00E43796"/>
    <w:rsid w:val="00E43DFC"/>
    <w:rsid w:val="00E4454B"/>
    <w:rsid w:val="00E449A0"/>
    <w:rsid w:val="00E44D31"/>
    <w:rsid w:val="00E44D7C"/>
    <w:rsid w:val="00E44FBF"/>
    <w:rsid w:val="00E454F1"/>
    <w:rsid w:val="00E456EC"/>
    <w:rsid w:val="00E457C2"/>
    <w:rsid w:val="00E45A62"/>
    <w:rsid w:val="00E45C70"/>
    <w:rsid w:val="00E45F9D"/>
    <w:rsid w:val="00E46768"/>
    <w:rsid w:val="00E4676E"/>
    <w:rsid w:val="00E47137"/>
    <w:rsid w:val="00E47566"/>
    <w:rsid w:val="00E479EA"/>
    <w:rsid w:val="00E47A18"/>
    <w:rsid w:val="00E50058"/>
    <w:rsid w:val="00E50605"/>
    <w:rsid w:val="00E50687"/>
    <w:rsid w:val="00E5086A"/>
    <w:rsid w:val="00E509AD"/>
    <w:rsid w:val="00E50B82"/>
    <w:rsid w:val="00E50D8D"/>
    <w:rsid w:val="00E511E5"/>
    <w:rsid w:val="00E51282"/>
    <w:rsid w:val="00E515C9"/>
    <w:rsid w:val="00E5170A"/>
    <w:rsid w:val="00E51F50"/>
    <w:rsid w:val="00E5221D"/>
    <w:rsid w:val="00E52688"/>
    <w:rsid w:val="00E5294F"/>
    <w:rsid w:val="00E52A2A"/>
    <w:rsid w:val="00E52F99"/>
    <w:rsid w:val="00E5342A"/>
    <w:rsid w:val="00E5348A"/>
    <w:rsid w:val="00E538DF"/>
    <w:rsid w:val="00E5392E"/>
    <w:rsid w:val="00E53BF1"/>
    <w:rsid w:val="00E53E6A"/>
    <w:rsid w:val="00E53FFC"/>
    <w:rsid w:val="00E54446"/>
    <w:rsid w:val="00E5475C"/>
    <w:rsid w:val="00E54B08"/>
    <w:rsid w:val="00E54BE5"/>
    <w:rsid w:val="00E54C2F"/>
    <w:rsid w:val="00E54D6C"/>
    <w:rsid w:val="00E555C3"/>
    <w:rsid w:val="00E55876"/>
    <w:rsid w:val="00E56149"/>
    <w:rsid w:val="00E56BC4"/>
    <w:rsid w:val="00E56D03"/>
    <w:rsid w:val="00E57437"/>
    <w:rsid w:val="00E57891"/>
    <w:rsid w:val="00E579E4"/>
    <w:rsid w:val="00E57BCB"/>
    <w:rsid w:val="00E57C54"/>
    <w:rsid w:val="00E57E7C"/>
    <w:rsid w:val="00E58BD8"/>
    <w:rsid w:val="00E6038C"/>
    <w:rsid w:val="00E60484"/>
    <w:rsid w:val="00E6059F"/>
    <w:rsid w:val="00E611AD"/>
    <w:rsid w:val="00E612F4"/>
    <w:rsid w:val="00E61496"/>
    <w:rsid w:val="00E614D0"/>
    <w:rsid w:val="00E619B4"/>
    <w:rsid w:val="00E61AD4"/>
    <w:rsid w:val="00E61C22"/>
    <w:rsid w:val="00E61C48"/>
    <w:rsid w:val="00E61FE6"/>
    <w:rsid w:val="00E6250D"/>
    <w:rsid w:val="00E625ED"/>
    <w:rsid w:val="00E627FA"/>
    <w:rsid w:val="00E62A54"/>
    <w:rsid w:val="00E62ED4"/>
    <w:rsid w:val="00E62F29"/>
    <w:rsid w:val="00E62F73"/>
    <w:rsid w:val="00E62FEF"/>
    <w:rsid w:val="00E62FF9"/>
    <w:rsid w:val="00E634E9"/>
    <w:rsid w:val="00E63B67"/>
    <w:rsid w:val="00E63B75"/>
    <w:rsid w:val="00E63BBB"/>
    <w:rsid w:val="00E64013"/>
    <w:rsid w:val="00E6418D"/>
    <w:rsid w:val="00E64555"/>
    <w:rsid w:val="00E6507F"/>
    <w:rsid w:val="00E6535F"/>
    <w:rsid w:val="00E65390"/>
    <w:rsid w:val="00E654AA"/>
    <w:rsid w:val="00E667D4"/>
    <w:rsid w:val="00E6699E"/>
    <w:rsid w:val="00E66A2B"/>
    <w:rsid w:val="00E66D5C"/>
    <w:rsid w:val="00E66D7F"/>
    <w:rsid w:val="00E670C5"/>
    <w:rsid w:val="00E67167"/>
    <w:rsid w:val="00E7080C"/>
    <w:rsid w:val="00E70E09"/>
    <w:rsid w:val="00E70E3F"/>
    <w:rsid w:val="00E70F00"/>
    <w:rsid w:val="00E71270"/>
    <w:rsid w:val="00E71435"/>
    <w:rsid w:val="00E71817"/>
    <w:rsid w:val="00E71C81"/>
    <w:rsid w:val="00E71F29"/>
    <w:rsid w:val="00E7271C"/>
    <w:rsid w:val="00E729DA"/>
    <w:rsid w:val="00E72A27"/>
    <w:rsid w:val="00E72C36"/>
    <w:rsid w:val="00E73616"/>
    <w:rsid w:val="00E73F2C"/>
    <w:rsid w:val="00E741B2"/>
    <w:rsid w:val="00E74452"/>
    <w:rsid w:val="00E745FE"/>
    <w:rsid w:val="00E74686"/>
    <w:rsid w:val="00E746C8"/>
    <w:rsid w:val="00E74774"/>
    <w:rsid w:val="00E74938"/>
    <w:rsid w:val="00E74D82"/>
    <w:rsid w:val="00E74F72"/>
    <w:rsid w:val="00E74F96"/>
    <w:rsid w:val="00E75254"/>
    <w:rsid w:val="00E75286"/>
    <w:rsid w:val="00E752A7"/>
    <w:rsid w:val="00E75E83"/>
    <w:rsid w:val="00E76258"/>
    <w:rsid w:val="00E76336"/>
    <w:rsid w:val="00E767ED"/>
    <w:rsid w:val="00E76B87"/>
    <w:rsid w:val="00E76E1B"/>
    <w:rsid w:val="00E775D5"/>
    <w:rsid w:val="00E776CC"/>
    <w:rsid w:val="00E777E4"/>
    <w:rsid w:val="00E778C2"/>
    <w:rsid w:val="00E77908"/>
    <w:rsid w:val="00E779BA"/>
    <w:rsid w:val="00E77BBB"/>
    <w:rsid w:val="00E77ECE"/>
    <w:rsid w:val="00E800B9"/>
    <w:rsid w:val="00E80236"/>
    <w:rsid w:val="00E803BB"/>
    <w:rsid w:val="00E80F55"/>
    <w:rsid w:val="00E810A6"/>
    <w:rsid w:val="00E810B7"/>
    <w:rsid w:val="00E81325"/>
    <w:rsid w:val="00E816AE"/>
    <w:rsid w:val="00E81763"/>
    <w:rsid w:val="00E81C12"/>
    <w:rsid w:val="00E81CF8"/>
    <w:rsid w:val="00E82272"/>
    <w:rsid w:val="00E82586"/>
    <w:rsid w:val="00E82777"/>
    <w:rsid w:val="00E8297D"/>
    <w:rsid w:val="00E82BBE"/>
    <w:rsid w:val="00E82BD9"/>
    <w:rsid w:val="00E82C32"/>
    <w:rsid w:val="00E82E94"/>
    <w:rsid w:val="00E83361"/>
    <w:rsid w:val="00E83371"/>
    <w:rsid w:val="00E837E8"/>
    <w:rsid w:val="00E83A10"/>
    <w:rsid w:val="00E8427D"/>
    <w:rsid w:val="00E8428B"/>
    <w:rsid w:val="00E845E0"/>
    <w:rsid w:val="00E84645"/>
    <w:rsid w:val="00E84F78"/>
    <w:rsid w:val="00E850AE"/>
    <w:rsid w:val="00E8550D"/>
    <w:rsid w:val="00E85522"/>
    <w:rsid w:val="00E85638"/>
    <w:rsid w:val="00E8576B"/>
    <w:rsid w:val="00E859C3"/>
    <w:rsid w:val="00E863F2"/>
    <w:rsid w:val="00E8693F"/>
    <w:rsid w:val="00E8694F"/>
    <w:rsid w:val="00E86C85"/>
    <w:rsid w:val="00E86D5F"/>
    <w:rsid w:val="00E86EF7"/>
    <w:rsid w:val="00E877D3"/>
    <w:rsid w:val="00E900C2"/>
    <w:rsid w:val="00E903B9"/>
    <w:rsid w:val="00E90C57"/>
    <w:rsid w:val="00E90F02"/>
    <w:rsid w:val="00E90FCB"/>
    <w:rsid w:val="00E91AD5"/>
    <w:rsid w:val="00E91C6B"/>
    <w:rsid w:val="00E9280C"/>
    <w:rsid w:val="00E93230"/>
    <w:rsid w:val="00E9372F"/>
    <w:rsid w:val="00E93891"/>
    <w:rsid w:val="00E93C0C"/>
    <w:rsid w:val="00E93C85"/>
    <w:rsid w:val="00E9405B"/>
    <w:rsid w:val="00E943F5"/>
    <w:rsid w:val="00E9473C"/>
    <w:rsid w:val="00E94CCE"/>
    <w:rsid w:val="00E9510E"/>
    <w:rsid w:val="00E9550F"/>
    <w:rsid w:val="00E9552F"/>
    <w:rsid w:val="00E95540"/>
    <w:rsid w:val="00E95607"/>
    <w:rsid w:val="00E95801"/>
    <w:rsid w:val="00E9586A"/>
    <w:rsid w:val="00E95EC1"/>
    <w:rsid w:val="00E964E0"/>
    <w:rsid w:val="00E9696F"/>
    <w:rsid w:val="00E96BD3"/>
    <w:rsid w:val="00E974EE"/>
    <w:rsid w:val="00E97967"/>
    <w:rsid w:val="00E97A52"/>
    <w:rsid w:val="00E97A8D"/>
    <w:rsid w:val="00E97D3C"/>
    <w:rsid w:val="00E97E3F"/>
    <w:rsid w:val="00EA04D9"/>
    <w:rsid w:val="00EA06D6"/>
    <w:rsid w:val="00EA0709"/>
    <w:rsid w:val="00EA0A1D"/>
    <w:rsid w:val="00EA0BFF"/>
    <w:rsid w:val="00EA0CA8"/>
    <w:rsid w:val="00EA16AD"/>
    <w:rsid w:val="00EA17C1"/>
    <w:rsid w:val="00EA18DA"/>
    <w:rsid w:val="00EA1A03"/>
    <w:rsid w:val="00EA1FFA"/>
    <w:rsid w:val="00EA2059"/>
    <w:rsid w:val="00EA2122"/>
    <w:rsid w:val="00EA222D"/>
    <w:rsid w:val="00EA237B"/>
    <w:rsid w:val="00EA2610"/>
    <w:rsid w:val="00EA2791"/>
    <w:rsid w:val="00EA2904"/>
    <w:rsid w:val="00EA2F13"/>
    <w:rsid w:val="00EA30B4"/>
    <w:rsid w:val="00EA3421"/>
    <w:rsid w:val="00EA346F"/>
    <w:rsid w:val="00EA3561"/>
    <w:rsid w:val="00EA37DA"/>
    <w:rsid w:val="00EA37FB"/>
    <w:rsid w:val="00EA3A61"/>
    <w:rsid w:val="00EA3BFF"/>
    <w:rsid w:val="00EA4999"/>
    <w:rsid w:val="00EA4F92"/>
    <w:rsid w:val="00EA54C9"/>
    <w:rsid w:val="00EA6114"/>
    <w:rsid w:val="00EA6C98"/>
    <w:rsid w:val="00EA6CDF"/>
    <w:rsid w:val="00EA7021"/>
    <w:rsid w:val="00EA70CD"/>
    <w:rsid w:val="00EA721B"/>
    <w:rsid w:val="00EA741B"/>
    <w:rsid w:val="00EA75DC"/>
    <w:rsid w:val="00EA770F"/>
    <w:rsid w:val="00EA78A6"/>
    <w:rsid w:val="00EA7D7C"/>
    <w:rsid w:val="00EB00FB"/>
    <w:rsid w:val="00EB0254"/>
    <w:rsid w:val="00EB0A01"/>
    <w:rsid w:val="00EB0CB6"/>
    <w:rsid w:val="00EB0E98"/>
    <w:rsid w:val="00EB1159"/>
    <w:rsid w:val="00EB1454"/>
    <w:rsid w:val="00EB14FD"/>
    <w:rsid w:val="00EB16D6"/>
    <w:rsid w:val="00EB1B78"/>
    <w:rsid w:val="00EB1B99"/>
    <w:rsid w:val="00EB2276"/>
    <w:rsid w:val="00EB2280"/>
    <w:rsid w:val="00EB248A"/>
    <w:rsid w:val="00EB26BA"/>
    <w:rsid w:val="00EB26E7"/>
    <w:rsid w:val="00EB28FA"/>
    <w:rsid w:val="00EB2A7D"/>
    <w:rsid w:val="00EB2B7D"/>
    <w:rsid w:val="00EB2E73"/>
    <w:rsid w:val="00EB2F8F"/>
    <w:rsid w:val="00EB2FDC"/>
    <w:rsid w:val="00EB31F9"/>
    <w:rsid w:val="00EB34EB"/>
    <w:rsid w:val="00EB3661"/>
    <w:rsid w:val="00EB400F"/>
    <w:rsid w:val="00EB411E"/>
    <w:rsid w:val="00EB41AF"/>
    <w:rsid w:val="00EB4223"/>
    <w:rsid w:val="00EB434C"/>
    <w:rsid w:val="00EB485C"/>
    <w:rsid w:val="00EB48FF"/>
    <w:rsid w:val="00EB49B9"/>
    <w:rsid w:val="00EB4BD3"/>
    <w:rsid w:val="00EB4FCE"/>
    <w:rsid w:val="00EB5097"/>
    <w:rsid w:val="00EB51FF"/>
    <w:rsid w:val="00EB537E"/>
    <w:rsid w:val="00EB54D6"/>
    <w:rsid w:val="00EB56AE"/>
    <w:rsid w:val="00EB58DF"/>
    <w:rsid w:val="00EB5B98"/>
    <w:rsid w:val="00EB65B0"/>
    <w:rsid w:val="00EB6B22"/>
    <w:rsid w:val="00EB6B40"/>
    <w:rsid w:val="00EB6BA6"/>
    <w:rsid w:val="00EB7130"/>
    <w:rsid w:val="00EB7606"/>
    <w:rsid w:val="00EB7868"/>
    <w:rsid w:val="00EB7A62"/>
    <w:rsid w:val="00EB7A66"/>
    <w:rsid w:val="00EB7D99"/>
    <w:rsid w:val="00EC0044"/>
    <w:rsid w:val="00EC00C4"/>
    <w:rsid w:val="00EC08A1"/>
    <w:rsid w:val="00EC08AB"/>
    <w:rsid w:val="00EC098B"/>
    <w:rsid w:val="00EC0D71"/>
    <w:rsid w:val="00EC16BD"/>
    <w:rsid w:val="00EC1C9C"/>
    <w:rsid w:val="00EC1CC3"/>
    <w:rsid w:val="00EC1EC0"/>
    <w:rsid w:val="00EC1FED"/>
    <w:rsid w:val="00EC210C"/>
    <w:rsid w:val="00EC21DF"/>
    <w:rsid w:val="00EC2298"/>
    <w:rsid w:val="00EC2394"/>
    <w:rsid w:val="00EC251B"/>
    <w:rsid w:val="00EC258C"/>
    <w:rsid w:val="00EC2FCE"/>
    <w:rsid w:val="00EC32AE"/>
    <w:rsid w:val="00EC3722"/>
    <w:rsid w:val="00EC3FB3"/>
    <w:rsid w:val="00EC4795"/>
    <w:rsid w:val="00EC4CE7"/>
    <w:rsid w:val="00EC4E23"/>
    <w:rsid w:val="00EC4ED7"/>
    <w:rsid w:val="00EC4F02"/>
    <w:rsid w:val="00EC5058"/>
    <w:rsid w:val="00EC51F0"/>
    <w:rsid w:val="00EC52AB"/>
    <w:rsid w:val="00EC54E9"/>
    <w:rsid w:val="00EC556C"/>
    <w:rsid w:val="00EC5664"/>
    <w:rsid w:val="00EC5673"/>
    <w:rsid w:val="00EC5E1F"/>
    <w:rsid w:val="00EC64DD"/>
    <w:rsid w:val="00EC6526"/>
    <w:rsid w:val="00EC6868"/>
    <w:rsid w:val="00EC6A44"/>
    <w:rsid w:val="00EC6FD3"/>
    <w:rsid w:val="00EC705F"/>
    <w:rsid w:val="00EC7134"/>
    <w:rsid w:val="00EC79A0"/>
    <w:rsid w:val="00EC7B4C"/>
    <w:rsid w:val="00EC7D6F"/>
    <w:rsid w:val="00EC7E43"/>
    <w:rsid w:val="00ED0241"/>
    <w:rsid w:val="00ED033E"/>
    <w:rsid w:val="00ED09FF"/>
    <w:rsid w:val="00ED0A9B"/>
    <w:rsid w:val="00ED1372"/>
    <w:rsid w:val="00ED155B"/>
    <w:rsid w:val="00ED1D6C"/>
    <w:rsid w:val="00ED1DD7"/>
    <w:rsid w:val="00ED1EE3"/>
    <w:rsid w:val="00ED2177"/>
    <w:rsid w:val="00ED2341"/>
    <w:rsid w:val="00ED2962"/>
    <w:rsid w:val="00ED2A0F"/>
    <w:rsid w:val="00ED2B01"/>
    <w:rsid w:val="00ED2C90"/>
    <w:rsid w:val="00ED2D09"/>
    <w:rsid w:val="00ED34B8"/>
    <w:rsid w:val="00ED3606"/>
    <w:rsid w:val="00ED3781"/>
    <w:rsid w:val="00ED3C7C"/>
    <w:rsid w:val="00ED3CE0"/>
    <w:rsid w:val="00ED3E31"/>
    <w:rsid w:val="00ED4399"/>
    <w:rsid w:val="00ED475F"/>
    <w:rsid w:val="00ED4766"/>
    <w:rsid w:val="00ED4F3D"/>
    <w:rsid w:val="00ED51D3"/>
    <w:rsid w:val="00ED529C"/>
    <w:rsid w:val="00ED5942"/>
    <w:rsid w:val="00ED5DDA"/>
    <w:rsid w:val="00ED61B7"/>
    <w:rsid w:val="00ED631D"/>
    <w:rsid w:val="00ED63A1"/>
    <w:rsid w:val="00ED651A"/>
    <w:rsid w:val="00ED655D"/>
    <w:rsid w:val="00ED6816"/>
    <w:rsid w:val="00ED6E38"/>
    <w:rsid w:val="00ED7063"/>
    <w:rsid w:val="00ED7158"/>
    <w:rsid w:val="00ED76CF"/>
    <w:rsid w:val="00ED78EF"/>
    <w:rsid w:val="00ED7979"/>
    <w:rsid w:val="00ED7B44"/>
    <w:rsid w:val="00EE0021"/>
    <w:rsid w:val="00EE01BF"/>
    <w:rsid w:val="00EE01C3"/>
    <w:rsid w:val="00EE02D6"/>
    <w:rsid w:val="00EE0322"/>
    <w:rsid w:val="00EE0371"/>
    <w:rsid w:val="00EE095B"/>
    <w:rsid w:val="00EE0A1D"/>
    <w:rsid w:val="00EE0D82"/>
    <w:rsid w:val="00EE0DC1"/>
    <w:rsid w:val="00EE1317"/>
    <w:rsid w:val="00EE14B5"/>
    <w:rsid w:val="00EE1BF9"/>
    <w:rsid w:val="00EE1CE7"/>
    <w:rsid w:val="00EE243F"/>
    <w:rsid w:val="00EE2489"/>
    <w:rsid w:val="00EE252E"/>
    <w:rsid w:val="00EE2674"/>
    <w:rsid w:val="00EE26C8"/>
    <w:rsid w:val="00EE2B56"/>
    <w:rsid w:val="00EE2D2A"/>
    <w:rsid w:val="00EE2D60"/>
    <w:rsid w:val="00EE2F2A"/>
    <w:rsid w:val="00EE31F0"/>
    <w:rsid w:val="00EE343D"/>
    <w:rsid w:val="00EE382E"/>
    <w:rsid w:val="00EE3CEA"/>
    <w:rsid w:val="00EE3DC8"/>
    <w:rsid w:val="00EE4442"/>
    <w:rsid w:val="00EE4572"/>
    <w:rsid w:val="00EE4A26"/>
    <w:rsid w:val="00EE4A27"/>
    <w:rsid w:val="00EE59BE"/>
    <w:rsid w:val="00EE59C3"/>
    <w:rsid w:val="00EE5A23"/>
    <w:rsid w:val="00EE5A3B"/>
    <w:rsid w:val="00EE5B19"/>
    <w:rsid w:val="00EE5B7F"/>
    <w:rsid w:val="00EE5D49"/>
    <w:rsid w:val="00EE60BA"/>
    <w:rsid w:val="00EE634A"/>
    <w:rsid w:val="00EE6B0A"/>
    <w:rsid w:val="00EE6C54"/>
    <w:rsid w:val="00EE7185"/>
    <w:rsid w:val="00EE76F1"/>
    <w:rsid w:val="00EE7A34"/>
    <w:rsid w:val="00EE7B8A"/>
    <w:rsid w:val="00EE7E69"/>
    <w:rsid w:val="00EE7EEC"/>
    <w:rsid w:val="00EE7F25"/>
    <w:rsid w:val="00EF0570"/>
    <w:rsid w:val="00EF05D2"/>
    <w:rsid w:val="00EF0C75"/>
    <w:rsid w:val="00EF0E17"/>
    <w:rsid w:val="00EF1012"/>
    <w:rsid w:val="00EF120A"/>
    <w:rsid w:val="00EF1235"/>
    <w:rsid w:val="00EF14AD"/>
    <w:rsid w:val="00EF1707"/>
    <w:rsid w:val="00EF240B"/>
    <w:rsid w:val="00EF2BE2"/>
    <w:rsid w:val="00EF2BEF"/>
    <w:rsid w:val="00EF30D8"/>
    <w:rsid w:val="00EF313C"/>
    <w:rsid w:val="00EF3201"/>
    <w:rsid w:val="00EF375E"/>
    <w:rsid w:val="00EF3A35"/>
    <w:rsid w:val="00EF3AC9"/>
    <w:rsid w:val="00EF3BCB"/>
    <w:rsid w:val="00EF3DFE"/>
    <w:rsid w:val="00EF40C9"/>
    <w:rsid w:val="00EF4210"/>
    <w:rsid w:val="00EF4227"/>
    <w:rsid w:val="00EF426E"/>
    <w:rsid w:val="00EF427B"/>
    <w:rsid w:val="00EF457E"/>
    <w:rsid w:val="00EF49FE"/>
    <w:rsid w:val="00EF4E26"/>
    <w:rsid w:val="00EF55AB"/>
    <w:rsid w:val="00EF5789"/>
    <w:rsid w:val="00EF5C49"/>
    <w:rsid w:val="00EF6383"/>
    <w:rsid w:val="00EF651B"/>
    <w:rsid w:val="00EF6621"/>
    <w:rsid w:val="00EF66FF"/>
    <w:rsid w:val="00EF6EA1"/>
    <w:rsid w:val="00EF6F4E"/>
    <w:rsid w:val="00EF711D"/>
    <w:rsid w:val="00EF785A"/>
    <w:rsid w:val="00EF79F2"/>
    <w:rsid w:val="00EF7DB9"/>
    <w:rsid w:val="00EF7EED"/>
    <w:rsid w:val="00EF8960"/>
    <w:rsid w:val="00F00365"/>
    <w:rsid w:val="00F00D35"/>
    <w:rsid w:val="00F00E23"/>
    <w:rsid w:val="00F01607"/>
    <w:rsid w:val="00F01D92"/>
    <w:rsid w:val="00F02206"/>
    <w:rsid w:val="00F026B9"/>
    <w:rsid w:val="00F02762"/>
    <w:rsid w:val="00F02C0B"/>
    <w:rsid w:val="00F02D1D"/>
    <w:rsid w:val="00F0305F"/>
    <w:rsid w:val="00F0347E"/>
    <w:rsid w:val="00F034C9"/>
    <w:rsid w:val="00F0404E"/>
    <w:rsid w:val="00F04307"/>
    <w:rsid w:val="00F0450B"/>
    <w:rsid w:val="00F0490B"/>
    <w:rsid w:val="00F04A70"/>
    <w:rsid w:val="00F04D55"/>
    <w:rsid w:val="00F051E0"/>
    <w:rsid w:val="00F054E1"/>
    <w:rsid w:val="00F05762"/>
    <w:rsid w:val="00F05B2B"/>
    <w:rsid w:val="00F05C72"/>
    <w:rsid w:val="00F05DE4"/>
    <w:rsid w:val="00F061CC"/>
    <w:rsid w:val="00F06239"/>
    <w:rsid w:val="00F06341"/>
    <w:rsid w:val="00F06443"/>
    <w:rsid w:val="00F065A7"/>
    <w:rsid w:val="00F06646"/>
    <w:rsid w:val="00F0680F"/>
    <w:rsid w:val="00F06AA7"/>
    <w:rsid w:val="00F06E2B"/>
    <w:rsid w:val="00F0728B"/>
    <w:rsid w:val="00F07380"/>
    <w:rsid w:val="00F07864"/>
    <w:rsid w:val="00F10000"/>
    <w:rsid w:val="00F101E3"/>
    <w:rsid w:val="00F1047C"/>
    <w:rsid w:val="00F10C3C"/>
    <w:rsid w:val="00F10FBC"/>
    <w:rsid w:val="00F12529"/>
    <w:rsid w:val="00F12692"/>
    <w:rsid w:val="00F12A5B"/>
    <w:rsid w:val="00F132C1"/>
    <w:rsid w:val="00F134CD"/>
    <w:rsid w:val="00F1373A"/>
    <w:rsid w:val="00F1385F"/>
    <w:rsid w:val="00F13A38"/>
    <w:rsid w:val="00F13AD8"/>
    <w:rsid w:val="00F13B3D"/>
    <w:rsid w:val="00F13CD5"/>
    <w:rsid w:val="00F13D0A"/>
    <w:rsid w:val="00F14101"/>
    <w:rsid w:val="00F14178"/>
    <w:rsid w:val="00F14185"/>
    <w:rsid w:val="00F142FC"/>
    <w:rsid w:val="00F143D3"/>
    <w:rsid w:val="00F14581"/>
    <w:rsid w:val="00F14658"/>
    <w:rsid w:val="00F146EB"/>
    <w:rsid w:val="00F14849"/>
    <w:rsid w:val="00F154A0"/>
    <w:rsid w:val="00F156C1"/>
    <w:rsid w:val="00F160D1"/>
    <w:rsid w:val="00F161B2"/>
    <w:rsid w:val="00F162B4"/>
    <w:rsid w:val="00F16AC5"/>
    <w:rsid w:val="00F16BF4"/>
    <w:rsid w:val="00F16C78"/>
    <w:rsid w:val="00F16D19"/>
    <w:rsid w:val="00F17330"/>
    <w:rsid w:val="00F17715"/>
    <w:rsid w:val="00F177A9"/>
    <w:rsid w:val="00F17981"/>
    <w:rsid w:val="00F17A36"/>
    <w:rsid w:val="00F20366"/>
    <w:rsid w:val="00F206B8"/>
    <w:rsid w:val="00F20A03"/>
    <w:rsid w:val="00F211FE"/>
    <w:rsid w:val="00F21499"/>
    <w:rsid w:val="00F21759"/>
    <w:rsid w:val="00F21A4C"/>
    <w:rsid w:val="00F21FF4"/>
    <w:rsid w:val="00F223B0"/>
    <w:rsid w:val="00F22453"/>
    <w:rsid w:val="00F224B1"/>
    <w:rsid w:val="00F224E2"/>
    <w:rsid w:val="00F228C2"/>
    <w:rsid w:val="00F230B9"/>
    <w:rsid w:val="00F231F0"/>
    <w:rsid w:val="00F232DD"/>
    <w:rsid w:val="00F233FA"/>
    <w:rsid w:val="00F23648"/>
    <w:rsid w:val="00F23777"/>
    <w:rsid w:val="00F237C4"/>
    <w:rsid w:val="00F23CDF"/>
    <w:rsid w:val="00F23D43"/>
    <w:rsid w:val="00F23E29"/>
    <w:rsid w:val="00F245B2"/>
    <w:rsid w:val="00F245FF"/>
    <w:rsid w:val="00F247B2"/>
    <w:rsid w:val="00F248B7"/>
    <w:rsid w:val="00F24A5E"/>
    <w:rsid w:val="00F24AA8"/>
    <w:rsid w:val="00F25498"/>
    <w:rsid w:val="00F2562A"/>
    <w:rsid w:val="00F2572E"/>
    <w:rsid w:val="00F257E3"/>
    <w:rsid w:val="00F259EF"/>
    <w:rsid w:val="00F25CD9"/>
    <w:rsid w:val="00F25D4C"/>
    <w:rsid w:val="00F25EE4"/>
    <w:rsid w:val="00F2638B"/>
    <w:rsid w:val="00F26395"/>
    <w:rsid w:val="00F263D0"/>
    <w:rsid w:val="00F26569"/>
    <w:rsid w:val="00F26FF7"/>
    <w:rsid w:val="00F27495"/>
    <w:rsid w:val="00F27F93"/>
    <w:rsid w:val="00F30216"/>
    <w:rsid w:val="00F304F7"/>
    <w:rsid w:val="00F30549"/>
    <w:rsid w:val="00F30644"/>
    <w:rsid w:val="00F30847"/>
    <w:rsid w:val="00F30FF3"/>
    <w:rsid w:val="00F310A7"/>
    <w:rsid w:val="00F312A9"/>
    <w:rsid w:val="00F31B50"/>
    <w:rsid w:val="00F31B8D"/>
    <w:rsid w:val="00F31E08"/>
    <w:rsid w:val="00F31F45"/>
    <w:rsid w:val="00F32138"/>
    <w:rsid w:val="00F323D8"/>
    <w:rsid w:val="00F325A8"/>
    <w:rsid w:val="00F3269A"/>
    <w:rsid w:val="00F326EF"/>
    <w:rsid w:val="00F32880"/>
    <w:rsid w:val="00F337D0"/>
    <w:rsid w:val="00F337D7"/>
    <w:rsid w:val="00F337F8"/>
    <w:rsid w:val="00F33CE5"/>
    <w:rsid w:val="00F343D0"/>
    <w:rsid w:val="00F34A1A"/>
    <w:rsid w:val="00F34C1C"/>
    <w:rsid w:val="00F34E21"/>
    <w:rsid w:val="00F35086"/>
    <w:rsid w:val="00F351C6"/>
    <w:rsid w:val="00F360F1"/>
    <w:rsid w:val="00F3620E"/>
    <w:rsid w:val="00F365CC"/>
    <w:rsid w:val="00F368DB"/>
    <w:rsid w:val="00F369BE"/>
    <w:rsid w:val="00F36A8B"/>
    <w:rsid w:val="00F36CE0"/>
    <w:rsid w:val="00F3768E"/>
    <w:rsid w:val="00F37A44"/>
    <w:rsid w:val="00F37DD6"/>
    <w:rsid w:val="00F401C0"/>
    <w:rsid w:val="00F4075B"/>
    <w:rsid w:val="00F40A18"/>
    <w:rsid w:val="00F40DCE"/>
    <w:rsid w:val="00F40EC0"/>
    <w:rsid w:val="00F4107A"/>
    <w:rsid w:val="00F413A3"/>
    <w:rsid w:val="00F4141A"/>
    <w:rsid w:val="00F419BF"/>
    <w:rsid w:val="00F419FC"/>
    <w:rsid w:val="00F41F92"/>
    <w:rsid w:val="00F4273E"/>
    <w:rsid w:val="00F428CE"/>
    <w:rsid w:val="00F42B71"/>
    <w:rsid w:val="00F42E49"/>
    <w:rsid w:val="00F42EC6"/>
    <w:rsid w:val="00F43052"/>
    <w:rsid w:val="00F43053"/>
    <w:rsid w:val="00F431BD"/>
    <w:rsid w:val="00F43354"/>
    <w:rsid w:val="00F43474"/>
    <w:rsid w:val="00F43ACB"/>
    <w:rsid w:val="00F43D5E"/>
    <w:rsid w:val="00F4421E"/>
    <w:rsid w:val="00F44314"/>
    <w:rsid w:val="00F443D9"/>
    <w:rsid w:val="00F446B3"/>
    <w:rsid w:val="00F4483B"/>
    <w:rsid w:val="00F44AED"/>
    <w:rsid w:val="00F44FE0"/>
    <w:rsid w:val="00F44FE9"/>
    <w:rsid w:val="00F45626"/>
    <w:rsid w:val="00F4570A"/>
    <w:rsid w:val="00F45A11"/>
    <w:rsid w:val="00F45AE6"/>
    <w:rsid w:val="00F45B4E"/>
    <w:rsid w:val="00F45BC2"/>
    <w:rsid w:val="00F467C9"/>
    <w:rsid w:val="00F46806"/>
    <w:rsid w:val="00F4693B"/>
    <w:rsid w:val="00F46B54"/>
    <w:rsid w:val="00F470DC"/>
    <w:rsid w:val="00F4743C"/>
    <w:rsid w:val="00F47931"/>
    <w:rsid w:val="00F47B14"/>
    <w:rsid w:val="00F47BA4"/>
    <w:rsid w:val="00F47D61"/>
    <w:rsid w:val="00F47F59"/>
    <w:rsid w:val="00F50113"/>
    <w:rsid w:val="00F501B4"/>
    <w:rsid w:val="00F50555"/>
    <w:rsid w:val="00F509FF"/>
    <w:rsid w:val="00F50BDA"/>
    <w:rsid w:val="00F50E09"/>
    <w:rsid w:val="00F50F93"/>
    <w:rsid w:val="00F51624"/>
    <w:rsid w:val="00F518CD"/>
    <w:rsid w:val="00F51989"/>
    <w:rsid w:val="00F52196"/>
    <w:rsid w:val="00F521AA"/>
    <w:rsid w:val="00F5249C"/>
    <w:rsid w:val="00F52935"/>
    <w:rsid w:val="00F52D57"/>
    <w:rsid w:val="00F535FA"/>
    <w:rsid w:val="00F538BD"/>
    <w:rsid w:val="00F53A05"/>
    <w:rsid w:val="00F53A81"/>
    <w:rsid w:val="00F54155"/>
    <w:rsid w:val="00F542BB"/>
    <w:rsid w:val="00F5444D"/>
    <w:rsid w:val="00F54B0A"/>
    <w:rsid w:val="00F550CA"/>
    <w:rsid w:val="00F55442"/>
    <w:rsid w:val="00F55454"/>
    <w:rsid w:val="00F559B9"/>
    <w:rsid w:val="00F55C6C"/>
    <w:rsid w:val="00F5603A"/>
    <w:rsid w:val="00F563A8"/>
    <w:rsid w:val="00F5671D"/>
    <w:rsid w:val="00F56C08"/>
    <w:rsid w:val="00F56ECC"/>
    <w:rsid w:val="00F57119"/>
    <w:rsid w:val="00F5713F"/>
    <w:rsid w:val="00F5744B"/>
    <w:rsid w:val="00F574B0"/>
    <w:rsid w:val="00F5752A"/>
    <w:rsid w:val="00F57787"/>
    <w:rsid w:val="00F57AD1"/>
    <w:rsid w:val="00F57CF8"/>
    <w:rsid w:val="00F57EDA"/>
    <w:rsid w:val="00F57F9D"/>
    <w:rsid w:val="00F605FF"/>
    <w:rsid w:val="00F6076A"/>
    <w:rsid w:val="00F609C8"/>
    <w:rsid w:val="00F60B6A"/>
    <w:rsid w:val="00F61150"/>
    <w:rsid w:val="00F6168F"/>
    <w:rsid w:val="00F61ADC"/>
    <w:rsid w:val="00F61AF0"/>
    <w:rsid w:val="00F61B0E"/>
    <w:rsid w:val="00F61E20"/>
    <w:rsid w:val="00F61FC4"/>
    <w:rsid w:val="00F61FE0"/>
    <w:rsid w:val="00F620A9"/>
    <w:rsid w:val="00F62351"/>
    <w:rsid w:val="00F6255D"/>
    <w:rsid w:val="00F625A5"/>
    <w:rsid w:val="00F62BDE"/>
    <w:rsid w:val="00F62D6A"/>
    <w:rsid w:val="00F62D7C"/>
    <w:rsid w:val="00F62E23"/>
    <w:rsid w:val="00F63063"/>
    <w:rsid w:val="00F6331E"/>
    <w:rsid w:val="00F637B5"/>
    <w:rsid w:val="00F63DCB"/>
    <w:rsid w:val="00F64024"/>
    <w:rsid w:val="00F648FF"/>
    <w:rsid w:val="00F6511A"/>
    <w:rsid w:val="00F65576"/>
    <w:rsid w:val="00F655CF"/>
    <w:rsid w:val="00F6573E"/>
    <w:rsid w:val="00F65DB4"/>
    <w:rsid w:val="00F65DE3"/>
    <w:rsid w:val="00F65E71"/>
    <w:rsid w:val="00F66542"/>
    <w:rsid w:val="00F669BF"/>
    <w:rsid w:val="00F66A7A"/>
    <w:rsid w:val="00F66A97"/>
    <w:rsid w:val="00F66DCC"/>
    <w:rsid w:val="00F66EB7"/>
    <w:rsid w:val="00F674D1"/>
    <w:rsid w:val="00F67580"/>
    <w:rsid w:val="00F6778F"/>
    <w:rsid w:val="00F678FA"/>
    <w:rsid w:val="00F67B88"/>
    <w:rsid w:val="00F67DFD"/>
    <w:rsid w:val="00F70195"/>
    <w:rsid w:val="00F704B9"/>
    <w:rsid w:val="00F70923"/>
    <w:rsid w:val="00F70E66"/>
    <w:rsid w:val="00F711D9"/>
    <w:rsid w:val="00F71223"/>
    <w:rsid w:val="00F713A8"/>
    <w:rsid w:val="00F713FF"/>
    <w:rsid w:val="00F71B4C"/>
    <w:rsid w:val="00F726C3"/>
    <w:rsid w:val="00F72727"/>
    <w:rsid w:val="00F728FB"/>
    <w:rsid w:val="00F729FC"/>
    <w:rsid w:val="00F72CBF"/>
    <w:rsid w:val="00F72D5E"/>
    <w:rsid w:val="00F72EF0"/>
    <w:rsid w:val="00F73127"/>
    <w:rsid w:val="00F7348A"/>
    <w:rsid w:val="00F735CF"/>
    <w:rsid w:val="00F73A90"/>
    <w:rsid w:val="00F73DD2"/>
    <w:rsid w:val="00F73FCA"/>
    <w:rsid w:val="00F740C2"/>
    <w:rsid w:val="00F74A94"/>
    <w:rsid w:val="00F74E4C"/>
    <w:rsid w:val="00F74F20"/>
    <w:rsid w:val="00F74F36"/>
    <w:rsid w:val="00F74FA3"/>
    <w:rsid w:val="00F754C4"/>
    <w:rsid w:val="00F7568E"/>
    <w:rsid w:val="00F7574D"/>
    <w:rsid w:val="00F75825"/>
    <w:rsid w:val="00F7585A"/>
    <w:rsid w:val="00F75DD3"/>
    <w:rsid w:val="00F75EFA"/>
    <w:rsid w:val="00F76091"/>
    <w:rsid w:val="00F76254"/>
    <w:rsid w:val="00F76306"/>
    <w:rsid w:val="00F7643E"/>
    <w:rsid w:val="00F767BD"/>
    <w:rsid w:val="00F76AD0"/>
    <w:rsid w:val="00F76C46"/>
    <w:rsid w:val="00F76E57"/>
    <w:rsid w:val="00F77100"/>
    <w:rsid w:val="00F772F9"/>
    <w:rsid w:val="00F7748E"/>
    <w:rsid w:val="00F775B0"/>
    <w:rsid w:val="00F77870"/>
    <w:rsid w:val="00F80093"/>
    <w:rsid w:val="00F80585"/>
    <w:rsid w:val="00F80710"/>
    <w:rsid w:val="00F807C0"/>
    <w:rsid w:val="00F80973"/>
    <w:rsid w:val="00F80BA4"/>
    <w:rsid w:val="00F80C38"/>
    <w:rsid w:val="00F80E92"/>
    <w:rsid w:val="00F81243"/>
    <w:rsid w:val="00F81365"/>
    <w:rsid w:val="00F81E63"/>
    <w:rsid w:val="00F81F6A"/>
    <w:rsid w:val="00F82688"/>
    <w:rsid w:val="00F8270A"/>
    <w:rsid w:val="00F82824"/>
    <w:rsid w:val="00F82A4B"/>
    <w:rsid w:val="00F82A80"/>
    <w:rsid w:val="00F82A9D"/>
    <w:rsid w:val="00F82E31"/>
    <w:rsid w:val="00F8305F"/>
    <w:rsid w:val="00F83309"/>
    <w:rsid w:val="00F834CC"/>
    <w:rsid w:val="00F834FA"/>
    <w:rsid w:val="00F83728"/>
    <w:rsid w:val="00F837EC"/>
    <w:rsid w:val="00F8397A"/>
    <w:rsid w:val="00F83A46"/>
    <w:rsid w:val="00F83C55"/>
    <w:rsid w:val="00F83E37"/>
    <w:rsid w:val="00F83F5C"/>
    <w:rsid w:val="00F840A3"/>
    <w:rsid w:val="00F8447D"/>
    <w:rsid w:val="00F8481D"/>
    <w:rsid w:val="00F84EE0"/>
    <w:rsid w:val="00F84F9A"/>
    <w:rsid w:val="00F8531B"/>
    <w:rsid w:val="00F85913"/>
    <w:rsid w:val="00F85FA8"/>
    <w:rsid w:val="00F86277"/>
    <w:rsid w:val="00F864A5"/>
    <w:rsid w:val="00F8653B"/>
    <w:rsid w:val="00F8672D"/>
    <w:rsid w:val="00F868E1"/>
    <w:rsid w:val="00F868F9"/>
    <w:rsid w:val="00F86B09"/>
    <w:rsid w:val="00F87047"/>
    <w:rsid w:val="00F903DC"/>
    <w:rsid w:val="00F904B5"/>
    <w:rsid w:val="00F9057B"/>
    <w:rsid w:val="00F91034"/>
    <w:rsid w:val="00F915D3"/>
    <w:rsid w:val="00F91612"/>
    <w:rsid w:val="00F91861"/>
    <w:rsid w:val="00F918A6"/>
    <w:rsid w:val="00F91B12"/>
    <w:rsid w:val="00F91DBA"/>
    <w:rsid w:val="00F91DD7"/>
    <w:rsid w:val="00F91F8F"/>
    <w:rsid w:val="00F920CB"/>
    <w:rsid w:val="00F923F5"/>
    <w:rsid w:val="00F92694"/>
    <w:rsid w:val="00F92A23"/>
    <w:rsid w:val="00F92A4F"/>
    <w:rsid w:val="00F92B33"/>
    <w:rsid w:val="00F92EFC"/>
    <w:rsid w:val="00F93031"/>
    <w:rsid w:val="00F9367C"/>
    <w:rsid w:val="00F939B3"/>
    <w:rsid w:val="00F93D2E"/>
    <w:rsid w:val="00F93F7D"/>
    <w:rsid w:val="00F943B7"/>
    <w:rsid w:val="00F946F2"/>
    <w:rsid w:val="00F9473B"/>
    <w:rsid w:val="00F94B20"/>
    <w:rsid w:val="00F94C17"/>
    <w:rsid w:val="00F94F58"/>
    <w:rsid w:val="00F94FC5"/>
    <w:rsid w:val="00F950EA"/>
    <w:rsid w:val="00F95120"/>
    <w:rsid w:val="00F953C0"/>
    <w:rsid w:val="00F95434"/>
    <w:rsid w:val="00F95CB8"/>
    <w:rsid w:val="00F965D1"/>
    <w:rsid w:val="00F966C4"/>
    <w:rsid w:val="00F9670E"/>
    <w:rsid w:val="00F9674F"/>
    <w:rsid w:val="00F96DB2"/>
    <w:rsid w:val="00F96F48"/>
    <w:rsid w:val="00F972CD"/>
    <w:rsid w:val="00F972E1"/>
    <w:rsid w:val="00F97BC9"/>
    <w:rsid w:val="00F97CE0"/>
    <w:rsid w:val="00FA05D1"/>
    <w:rsid w:val="00FA064F"/>
    <w:rsid w:val="00FA0AD1"/>
    <w:rsid w:val="00FA0C73"/>
    <w:rsid w:val="00FA0F11"/>
    <w:rsid w:val="00FA13FB"/>
    <w:rsid w:val="00FA14D1"/>
    <w:rsid w:val="00FA18F3"/>
    <w:rsid w:val="00FA1978"/>
    <w:rsid w:val="00FA1B3B"/>
    <w:rsid w:val="00FA1C7A"/>
    <w:rsid w:val="00FA1D0B"/>
    <w:rsid w:val="00FA2053"/>
    <w:rsid w:val="00FA228B"/>
    <w:rsid w:val="00FA252B"/>
    <w:rsid w:val="00FA26A9"/>
    <w:rsid w:val="00FA2788"/>
    <w:rsid w:val="00FA27D6"/>
    <w:rsid w:val="00FA27E8"/>
    <w:rsid w:val="00FA29C6"/>
    <w:rsid w:val="00FA2B38"/>
    <w:rsid w:val="00FA2CA9"/>
    <w:rsid w:val="00FA2D0C"/>
    <w:rsid w:val="00FA2E19"/>
    <w:rsid w:val="00FA30AA"/>
    <w:rsid w:val="00FA376A"/>
    <w:rsid w:val="00FA3D09"/>
    <w:rsid w:val="00FA3E6C"/>
    <w:rsid w:val="00FA4076"/>
    <w:rsid w:val="00FA4222"/>
    <w:rsid w:val="00FA431B"/>
    <w:rsid w:val="00FA488B"/>
    <w:rsid w:val="00FA509E"/>
    <w:rsid w:val="00FA5818"/>
    <w:rsid w:val="00FA639D"/>
    <w:rsid w:val="00FA6573"/>
    <w:rsid w:val="00FA6803"/>
    <w:rsid w:val="00FA6E65"/>
    <w:rsid w:val="00FA6F87"/>
    <w:rsid w:val="00FA7176"/>
    <w:rsid w:val="00FA7269"/>
    <w:rsid w:val="00FA758C"/>
    <w:rsid w:val="00FA7B88"/>
    <w:rsid w:val="00FA7D08"/>
    <w:rsid w:val="00FA919F"/>
    <w:rsid w:val="00FB00E9"/>
    <w:rsid w:val="00FB02C4"/>
    <w:rsid w:val="00FB0392"/>
    <w:rsid w:val="00FB0646"/>
    <w:rsid w:val="00FB0865"/>
    <w:rsid w:val="00FB0970"/>
    <w:rsid w:val="00FB0973"/>
    <w:rsid w:val="00FB0ACF"/>
    <w:rsid w:val="00FB0BBD"/>
    <w:rsid w:val="00FB0C8A"/>
    <w:rsid w:val="00FB119A"/>
    <w:rsid w:val="00FB13D0"/>
    <w:rsid w:val="00FB1697"/>
    <w:rsid w:val="00FB1712"/>
    <w:rsid w:val="00FB18B5"/>
    <w:rsid w:val="00FB1ED0"/>
    <w:rsid w:val="00FB1EF4"/>
    <w:rsid w:val="00FB1EFD"/>
    <w:rsid w:val="00FB22D5"/>
    <w:rsid w:val="00FB22FF"/>
    <w:rsid w:val="00FB27A3"/>
    <w:rsid w:val="00FB2850"/>
    <w:rsid w:val="00FB2D8D"/>
    <w:rsid w:val="00FB2F86"/>
    <w:rsid w:val="00FB30A0"/>
    <w:rsid w:val="00FB3318"/>
    <w:rsid w:val="00FB3969"/>
    <w:rsid w:val="00FB3A0E"/>
    <w:rsid w:val="00FB3E62"/>
    <w:rsid w:val="00FB401F"/>
    <w:rsid w:val="00FB41DE"/>
    <w:rsid w:val="00FB4303"/>
    <w:rsid w:val="00FB432D"/>
    <w:rsid w:val="00FB48AE"/>
    <w:rsid w:val="00FB4B87"/>
    <w:rsid w:val="00FB4C05"/>
    <w:rsid w:val="00FB4FAB"/>
    <w:rsid w:val="00FB5642"/>
    <w:rsid w:val="00FB566F"/>
    <w:rsid w:val="00FB58DB"/>
    <w:rsid w:val="00FB5B22"/>
    <w:rsid w:val="00FB5E56"/>
    <w:rsid w:val="00FB622C"/>
    <w:rsid w:val="00FB6266"/>
    <w:rsid w:val="00FB6D83"/>
    <w:rsid w:val="00FB6FBE"/>
    <w:rsid w:val="00FB755D"/>
    <w:rsid w:val="00FB7892"/>
    <w:rsid w:val="00FBF7C8"/>
    <w:rsid w:val="00FC03B1"/>
    <w:rsid w:val="00FC05C9"/>
    <w:rsid w:val="00FC0649"/>
    <w:rsid w:val="00FC1571"/>
    <w:rsid w:val="00FC1669"/>
    <w:rsid w:val="00FC1862"/>
    <w:rsid w:val="00FC1CC0"/>
    <w:rsid w:val="00FC21D9"/>
    <w:rsid w:val="00FC2326"/>
    <w:rsid w:val="00FC3186"/>
    <w:rsid w:val="00FC3191"/>
    <w:rsid w:val="00FC3384"/>
    <w:rsid w:val="00FC33F7"/>
    <w:rsid w:val="00FC3489"/>
    <w:rsid w:val="00FC3B70"/>
    <w:rsid w:val="00FC3C27"/>
    <w:rsid w:val="00FC3C9E"/>
    <w:rsid w:val="00FC3CE1"/>
    <w:rsid w:val="00FC3E57"/>
    <w:rsid w:val="00FC3E76"/>
    <w:rsid w:val="00FC3EE7"/>
    <w:rsid w:val="00FC3F48"/>
    <w:rsid w:val="00FC4A65"/>
    <w:rsid w:val="00FC4C5B"/>
    <w:rsid w:val="00FC4C69"/>
    <w:rsid w:val="00FC5374"/>
    <w:rsid w:val="00FC53E6"/>
    <w:rsid w:val="00FC5A55"/>
    <w:rsid w:val="00FC5C41"/>
    <w:rsid w:val="00FC5E61"/>
    <w:rsid w:val="00FC60DD"/>
    <w:rsid w:val="00FC611B"/>
    <w:rsid w:val="00FC614F"/>
    <w:rsid w:val="00FC65F1"/>
    <w:rsid w:val="00FC66FD"/>
    <w:rsid w:val="00FC7255"/>
    <w:rsid w:val="00FC7329"/>
    <w:rsid w:val="00FC758D"/>
    <w:rsid w:val="00FC7642"/>
    <w:rsid w:val="00FC7796"/>
    <w:rsid w:val="00FC7A66"/>
    <w:rsid w:val="00FC7B45"/>
    <w:rsid w:val="00FC7D5C"/>
    <w:rsid w:val="00FD03C1"/>
    <w:rsid w:val="00FD0459"/>
    <w:rsid w:val="00FD0A23"/>
    <w:rsid w:val="00FD1390"/>
    <w:rsid w:val="00FD13EF"/>
    <w:rsid w:val="00FD1AF3"/>
    <w:rsid w:val="00FD22F2"/>
    <w:rsid w:val="00FD2329"/>
    <w:rsid w:val="00FD2522"/>
    <w:rsid w:val="00FD2527"/>
    <w:rsid w:val="00FD25A2"/>
    <w:rsid w:val="00FD2DAF"/>
    <w:rsid w:val="00FD31D1"/>
    <w:rsid w:val="00FD358F"/>
    <w:rsid w:val="00FD35FE"/>
    <w:rsid w:val="00FD36EB"/>
    <w:rsid w:val="00FD3D90"/>
    <w:rsid w:val="00FD3DDA"/>
    <w:rsid w:val="00FD4134"/>
    <w:rsid w:val="00FD46DE"/>
    <w:rsid w:val="00FD4DC4"/>
    <w:rsid w:val="00FD5096"/>
    <w:rsid w:val="00FD5348"/>
    <w:rsid w:val="00FD5715"/>
    <w:rsid w:val="00FD5BC2"/>
    <w:rsid w:val="00FD5DAF"/>
    <w:rsid w:val="00FD5FB1"/>
    <w:rsid w:val="00FD66D8"/>
    <w:rsid w:val="00FD6942"/>
    <w:rsid w:val="00FD6D08"/>
    <w:rsid w:val="00FD6DDD"/>
    <w:rsid w:val="00FD725C"/>
    <w:rsid w:val="00FD786D"/>
    <w:rsid w:val="00FD78CC"/>
    <w:rsid w:val="00FD796A"/>
    <w:rsid w:val="00FD7FA4"/>
    <w:rsid w:val="00FE04A3"/>
    <w:rsid w:val="00FE0A6A"/>
    <w:rsid w:val="00FE12E3"/>
    <w:rsid w:val="00FE1514"/>
    <w:rsid w:val="00FE1966"/>
    <w:rsid w:val="00FE19C9"/>
    <w:rsid w:val="00FE1A7E"/>
    <w:rsid w:val="00FE20EE"/>
    <w:rsid w:val="00FE297E"/>
    <w:rsid w:val="00FE2BA0"/>
    <w:rsid w:val="00FE34F0"/>
    <w:rsid w:val="00FE3869"/>
    <w:rsid w:val="00FE3A24"/>
    <w:rsid w:val="00FE3EA3"/>
    <w:rsid w:val="00FE43A5"/>
    <w:rsid w:val="00FE4682"/>
    <w:rsid w:val="00FE4760"/>
    <w:rsid w:val="00FE4B74"/>
    <w:rsid w:val="00FE50A6"/>
    <w:rsid w:val="00FE51C8"/>
    <w:rsid w:val="00FE52F0"/>
    <w:rsid w:val="00FE562D"/>
    <w:rsid w:val="00FE573A"/>
    <w:rsid w:val="00FE589A"/>
    <w:rsid w:val="00FE59C9"/>
    <w:rsid w:val="00FE5E32"/>
    <w:rsid w:val="00FE5EB1"/>
    <w:rsid w:val="00FE6040"/>
    <w:rsid w:val="00FE6262"/>
    <w:rsid w:val="00FE64BB"/>
    <w:rsid w:val="00FE6594"/>
    <w:rsid w:val="00FE665D"/>
    <w:rsid w:val="00FE6768"/>
    <w:rsid w:val="00FE6B81"/>
    <w:rsid w:val="00FE6C73"/>
    <w:rsid w:val="00FE79C0"/>
    <w:rsid w:val="00FE7A44"/>
    <w:rsid w:val="00FE7B90"/>
    <w:rsid w:val="00FF0595"/>
    <w:rsid w:val="00FF064F"/>
    <w:rsid w:val="00FF0672"/>
    <w:rsid w:val="00FF0E24"/>
    <w:rsid w:val="00FF1024"/>
    <w:rsid w:val="00FF1569"/>
    <w:rsid w:val="00FF1D3B"/>
    <w:rsid w:val="00FF1FF7"/>
    <w:rsid w:val="00FF20A1"/>
    <w:rsid w:val="00FF22DC"/>
    <w:rsid w:val="00FF2540"/>
    <w:rsid w:val="00FF2625"/>
    <w:rsid w:val="00FF2693"/>
    <w:rsid w:val="00FF26DE"/>
    <w:rsid w:val="00FF26EF"/>
    <w:rsid w:val="00FF28F6"/>
    <w:rsid w:val="00FF2D6C"/>
    <w:rsid w:val="00FF2FB4"/>
    <w:rsid w:val="00FF319C"/>
    <w:rsid w:val="00FF31E7"/>
    <w:rsid w:val="00FF3295"/>
    <w:rsid w:val="00FF3404"/>
    <w:rsid w:val="00FF351A"/>
    <w:rsid w:val="00FF3EB0"/>
    <w:rsid w:val="00FF3EE1"/>
    <w:rsid w:val="00FF449B"/>
    <w:rsid w:val="00FF44A0"/>
    <w:rsid w:val="00FF4678"/>
    <w:rsid w:val="00FF4CB6"/>
    <w:rsid w:val="00FF4F60"/>
    <w:rsid w:val="00FF5047"/>
    <w:rsid w:val="00FF55FF"/>
    <w:rsid w:val="00FF5A37"/>
    <w:rsid w:val="00FF5C61"/>
    <w:rsid w:val="00FF5C68"/>
    <w:rsid w:val="00FF5DAA"/>
    <w:rsid w:val="00FF5F7E"/>
    <w:rsid w:val="00FF61AB"/>
    <w:rsid w:val="00FF63A4"/>
    <w:rsid w:val="00FF6448"/>
    <w:rsid w:val="00FF65A4"/>
    <w:rsid w:val="00FF67FF"/>
    <w:rsid w:val="00FF6868"/>
    <w:rsid w:val="00FF6A2F"/>
    <w:rsid w:val="00FF6AA6"/>
    <w:rsid w:val="00FF6C29"/>
    <w:rsid w:val="00FF7A38"/>
    <w:rsid w:val="00FF7A82"/>
    <w:rsid w:val="00FF7AB9"/>
    <w:rsid w:val="00FF7FF5"/>
    <w:rsid w:val="010B87FD"/>
    <w:rsid w:val="01193E36"/>
    <w:rsid w:val="01216032"/>
    <w:rsid w:val="01332F6D"/>
    <w:rsid w:val="013631AA"/>
    <w:rsid w:val="01384022"/>
    <w:rsid w:val="013E8346"/>
    <w:rsid w:val="01463B21"/>
    <w:rsid w:val="01542D3C"/>
    <w:rsid w:val="0178A0BD"/>
    <w:rsid w:val="0187921E"/>
    <w:rsid w:val="01880096"/>
    <w:rsid w:val="018A7F65"/>
    <w:rsid w:val="01A828BF"/>
    <w:rsid w:val="01B34EE1"/>
    <w:rsid w:val="01B4CADC"/>
    <w:rsid w:val="01C033A8"/>
    <w:rsid w:val="01D11AD7"/>
    <w:rsid w:val="01E3F7D2"/>
    <w:rsid w:val="01EAF440"/>
    <w:rsid w:val="01F1D927"/>
    <w:rsid w:val="01FB1F39"/>
    <w:rsid w:val="0204233A"/>
    <w:rsid w:val="02079301"/>
    <w:rsid w:val="02086C82"/>
    <w:rsid w:val="020C5FAD"/>
    <w:rsid w:val="0222E1AD"/>
    <w:rsid w:val="0225A098"/>
    <w:rsid w:val="022B1D4D"/>
    <w:rsid w:val="022F6898"/>
    <w:rsid w:val="023992D6"/>
    <w:rsid w:val="0248AEE3"/>
    <w:rsid w:val="024BE73E"/>
    <w:rsid w:val="024D14A5"/>
    <w:rsid w:val="028B892B"/>
    <w:rsid w:val="028C32E5"/>
    <w:rsid w:val="028DBB2A"/>
    <w:rsid w:val="02917F80"/>
    <w:rsid w:val="0298FE54"/>
    <w:rsid w:val="02A5A499"/>
    <w:rsid w:val="02A618A1"/>
    <w:rsid w:val="02A6664C"/>
    <w:rsid w:val="02ABBC2E"/>
    <w:rsid w:val="02B1EFBE"/>
    <w:rsid w:val="02B4ED96"/>
    <w:rsid w:val="02B7BB45"/>
    <w:rsid w:val="02BE0DF9"/>
    <w:rsid w:val="02C17D05"/>
    <w:rsid w:val="02CE25D1"/>
    <w:rsid w:val="02D0EB79"/>
    <w:rsid w:val="02DC9362"/>
    <w:rsid w:val="02E5BA78"/>
    <w:rsid w:val="02E7AAA5"/>
    <w:rsid w:val="02E7C196"/>
    <w:rsid w:val="02E80445"/>
    <w:rsid w:val="02EE1A4F"/>
    <w:rsid w:val="02F19243"/>
    <w:rsid w:val="02F7E01B"/>
    <w:rsid w:val="02FAA072"/>
    <w:rsid w:val="0304AFC6"/>
    <w:rsid w:val="0307C2F7"/>
    <w:rsid w:val="0307DB69"/>
    <w:rsid w:val="030AC019"/>
    <w:rsid w:val="032DD1D7"/>
    <w:rsid w:val="032DD967"/>
    <w:rsid w:val="0343456C"/>
    <w:rsid w:val="034D0D49"/>
    <w:rsid w:val="0353A060"/>
    <w:rsid w:val="035B07AD"/>
    <w:rsid w:val="0377CD58"/>
    <w:rsid w:val="0383326C"/>
    <w:rsid w:val="038EC0F7"/>
    <w:rsid w:val="03927EA0"/>
    <w:rsid w:val="039CC97A"/>
    <w:rsid w:val="03AC0B86"/>
    <w:rsid w:val="03BE0737"/>
    <w:rsid w:val="03C4BDCE"/>
    <w:rsid w:val="03DB3A62"/>
    <w:rsid w:val="03DBD48D"/>
    <w:rsid w:val="03DF783D"/>
    <w:rsid w:val="03EA4A21"/>
    <w:rsid w:val="03ED0752"/>
    <w:rsid w:val="040BDF68"/>
    <w:rsid w:val="04111EEB"/>
    <w:rsid w:val="0417DC04"/>
    <w:rsid w:val="042694F4"/>
    <w:rsid w:val="042DFE7B"/>
    <w:rsid w:val="0430A279"/>
    <w:rsid w:val="04371961"/>
    <w:rsid w:val="043BA48A"/>
    <w:rsid w:val="044C0331"/>
    <w:rsid w:val="04570FFB"/>
    <w:rsid w:val="045E925B"/>
    <w:rsid w:val="0466F94C"/>
    <w:rsid w:val="047F2E3E"/>
    <w:rsid w:val="0486E4C2"/>
    <w:rsid w:val="048C3350"/>
    <w:rsid w:val="04930E6A"/>
    <w:rsid w:val="0495DCD3"/>
    <w:rsid w:val="049F2F82"/>
    <w:rsid w:val="04B58B67"/>
    <w:rsid w:val="04B8D752"/>
    <w:rsid w:val="04C68501"/>
    <w:rsid w:val="04C73C33"/>
    <w:rsid w:val="04CD68AB"/>
    <w:rsid w:val="04DCBE1F"/>
    <w:rsid w:val="04DCF5C4"/>
    <w:rsid w:val="04E0C9C8"/>
    <w:rsid w:val="04E6EE10"/>
    <w:rsid w:val="04F8706F"/>
    <w:rsid w:val="04FDB335"/>
    <w:rsid w:val="0500D9B3"/>
    <w:rsid w:val="0504030F"/>
    <w:rsid w:val="051579AC"/>
    <w:rsid w:val="051722E5"/>
    <w:rsid w:val="051BB6E8"/>
    <w:rsid w:val="051BDF0F"/>
    <w:rsid w:val="051DAA26"/>
    <w:rsid w:val="05298A90"/>
    <w:rsid w:val="05304C3D"/>
    <w:rsid w:val="053283DA"/>
    <w:rsid w:val="053FA0A4"/>
    <w:rsid w:val="054A4257"/>
    <w:rsid w:val="05631483"/>
    <w:rsid w:val="056F829A"/>
    <w:rsid w:val="05839446"/>
    <w:rsid w:val="058E4006"/>
    <w:rsid w:val="05969859"/>
    <w:rsid w:val="05A9FCFE"/>
    <w:rsid w:val="05AE82E6"/>
    <w:rsid w:val="05B76AE2"/>
    <w:rsid w:val="05C7CA27"/>
    <w:rsid w:val="05CD6C81"/>
    <w:rsid w:val="05E138E0"/>
    <w:rsid w:val="05E5938C"/>
    <w:rsid w:val="05E90B6D"/>
    <w:rsid w:val="05EF2EB7"/>
    <w:rsid w:val="05EFF010"/>
    <w:rsid w:val="0606AB05"/>
    <w:rsid w:val="060C1F6D"/>
    <w:rsid w:val="061598F6"/>
    <w:rsid w:val="061D5B3A"/>
    <w:rsid w:val="0631764D"/>
    <w:rsid w:val="06521162"/>
    <w:rsid w:val="06719181"/>
    <w:rsid w:val="0677BCEF"/>
    <w:rsid w:val="068DD7C7"/>
    <w:rsid w:val="0696884D"/>
    <w:rsid w:val="06A55F3A"/>
    <w:rsid w:val="06A62D07"/>
    <w:rsid w:val="06B36CDE"/>
    <w:rsid w:val="06CC1354"/>
    <w:rsid w:val="06D7E576"/>
    <w:rsid w:val="06E54FED"/>
    <w:rsid w:val="06F1B78D"/>
    <w:rsid w:val="06F8024C"/>
    <w:rsid w:val="0700306F"/>
    <w:rsid w:val="074CB141"/>
    <w:rsid w:val="075097E0"/>
    <w:rsid w:val="075C2F9B"/>
    <w:rsid w:val="0768C4DE"/>
    <w:rsid w:val="077158F1"/>
    <w:rsid w:val="0771AB74"/>
    <w:rsid w:val="07766793"/>
    <w:rsid w:val="078768BC"/>
    <w:rsid w:val="078D0E41"/>
    <w:rsid w:val="07B92B9B"/>
    <w:rsid w:val="07C34044"/>
    <w:rsid w:val="07C454AA"/>
    <w:rsid w:val="07D6C58C"/>
    <w:rsid w:val="07E7BEA2"/>
    <w:rsid w:val="07ED70BA"/>
    <w:rsid w:val="07F05240"/>
    <w:rsid w:val="080248A4"/>
    <w:rsid w:val="08143C5B"/>
    <w:rsid w:val="08181A26"/>
    <w:rsid w:val="084071B5"/>
    <w:rsid w:val="08459332"/>
    <w:rsid w:val="08518AA4"/>
    <w:rsid w:val="08630FBD"/>
    <w:rsid w:val="086CC316"/>
    <w:rsid w:val="0872EC16"/>
    <w:rsid w:val="0876644B"/>
    <w:rsid w:val="087AFD57"/>
    <w:rsid w:val="0889BAE8"/>
    <w:rsid w:val="088F1C93"/>
    <w:rsid w:val="08A046E2"/>
    <w:rsid w:val="08B49318"/>
    <w:rsid w:val="08D51BC0"/>
    <w:rsid w:val="08E05BCA"/>
    <w:rsid w:val="08E5CF01"/>
    <w:rsid w:val="08F6CF38"/>
    <w:rsid w:val="08FDFB9C"/>
    <w:rsid w:val="0907513F"/>
    <w:rsid w:val="093470E6"/>
    <w:rsid w:val="0934961A"/>
    <w:rsid w:val="095EFA58"/>
    <w:rsid w:val="096D76CF"/>
    <w:rsid w:val="0982C6C7"/>
    <w:rsid w:val="09997279"/>
    <w:rsid w:val="099BD31F"/>
    <w:rsid w:val="09AA3BAF"/>
    <w:rsid w:val="09AA9639"/>
    <w:rsid w:val="09ADCBAC"/>
    <w:rsid w:val="09AE25CC"/>
    <w:rsid w:val="09AE6953"/>
    <w:rsid w:val="09B104B6"/>
    <w:rsid w:val="09B37E4A"/>
    <w:rsid w:val="09B79ABB"/>
    <w:rsid w:val="09C081EF"/>
    <w:rsid w:val="09C52844"/>
    <w:rsid w:val="09CD4DDC"/>
    <w:rsid w:val="09E918DD"/>
    <w:rsid w:val="0A1171A7"/>
    <w:rsid w:val="0A1AD4E5"/>
    <w:rsid w:val="0A20BFF4"/>
    <w:rsid w:val="0A307E90"/>
    <w:rsid w:val="0A3609FA"/>
    <w:rsid w:val="0A57D7BB"/>
    <w:rsid w:val="0A5A9F02"/>
    <w:rsid w:val="0A630F1F"/>
    <w:rsid w:val="0A6A55B7"/>
    <w:rsid w:val="0A6D77B4"/>
    <w:rsid w:val="0A7C19D7"/>
    <w:rsid w:val="0A85E9DE"/>
    <w:rsid w:val="0A953A9C"/>
    <w:rsid w:val="0A9E6122"/>
    <w:rsid w:val="0AB453FC"/>
    <w:rsid w:val="0AB79617"/>
    <w:rsid w:val="0AB9EB9B"/>
    <w:rsid w:val="0ABD9573"/>
    <w:rsid w:val="0AE527AC"/>
    <w:rsid w:val="0AE9D29E"/>
    <w:rsid w:val="0AECEA08"/>
    <w:rsid w:val="0AF0C9C3"/>
    <w:rsid w:val="0AFF9553"/>
    <w:rsid w:val="0B01881E"/>
    <w:rsid w:val="0B018DD0"/>
    <w:rsid w:val="0B02B42C"/>
    <w:rsid w:val="0B03CE44"/>
    <w:rsid w:val="0B0DA1C8"/>
    <w:rsid w:val="0B109AC7"/>
    <w:rsid w:val="0B1B8CCF"/>
    <w:rsid w:val="0B1EF4CB"/>
    <w:rsid w:val="0B22F24F"/>
    <w:rsid w:val="0B2408A3"/>
    <w:rsid w:val="0B2C95C2"/>
    <w:rsid w:val="0B2E9F68"/>
    <w:rsid w:val="0B31979C"/>
    <w:rsid w:val="0B3436EC"/>
    <w:rsid w:val="0B34B734"/>
    <w:rsid w:val="0B4EE228"/>
    <w:rsid w:val="0B53D912"/>
    <w:rsid w:val="0B6140B3"/>
    <w:rsid w:val="0B77AD83"/>
    <w:rsid w:val="0B827375"/>
    <w:rsid w:val="0B8FE5DE"/>
    <w:rsid w:val="0B9475A8"/>
    <w:rsid w:val="0BA66FBE"/>
    <w:rsid w:val="0BA843A4"/>
    <w:rsid w:val="0BB02F4E"/>
    <w:rsid w:val="0BB7551B"/>
    <w:rsid w:val="0BB7847F"/>
    <w:rsid w:val="0BD776C8"/>
    <w:rsid w:val="0BEE09B9"/>
    <w:rsid w:val="0BFB3F10"/>
    <w:rsid w:val="0C256452"/>
    <w:rsid w:val="0C270302"/>
    <w:rsid w:val="0C2BE01B"/>
    <w:rsid w:val="0C2DAE13"/>
    <w:rsid w:val="0C3C770B"/>
    <w:rsid w:val="0C3D44B9"/>
    <w:rsid w:val="0C45CFDD"/>
    <w:rsid w:val="0C528998"/>
    <w:rsid w:val="0C692842"/>
    <w:rsid w:val="0C6E46CA"/>
    <w:rsid w:val="0C7C2C64"/>
    <w:rsid w:val="0C7D96DC"/>
    <w:rsid w:val="0C83595F"/>
    <w:rsid w:val="0C83EEC0"/>
    <w:rsid w:val="0C8B7AFE"/>
    <w:rsid w:val="0C8D47FA"/>
    <w:rsid w:val="0C9D836E"/>
    <w:rsid w:val="0CAC7A59"/>
    <w:rsid w:val="0CB269FC"/>
    <w:rsid w:val="0CB3752C"/>
    <w:rsid w:val="0CBCDC0F"/>
    <w:rsid w:val="0CD9AA8D"/>
    <w:rsid w:val="0CE1DC6D"/>
    <w:rsid w:val="0CE4B733"/>
    <w:rsid w:val="0CEA7FC6"/>
    <w:rsid w:val="0CF9C8C5"/>
    <w:rsid w:val="0CFCE761"/>
    <w:rsid w:val="0CFD0E8E"/>
    <w:rsid w:val="0D057D4D"/>
    <w:rsid w:val="0D0C7C13"/>
    <w:rsid w:val="0D196A58"/>
    <w:rsid w:val="0D30D1B3"/>
    <w:rsid w:val="0D334283"/>
    <w:rsid w:val="0D3455C8"/>
    <w:rsid w:val="0D352F38"/>
    <w:rsid w:val="0D48963C"/>
    <w:rsid w:val="0D48FBB6"/>
    <w:rsid w:val="0D51C484"/>
    <w:rsid w:val="0D59EF03"/>
    <w:rsid w:val="0D643C51"/>
    <w:rsid w:val="0D6582F8"/>
    <w:rsid w:val="0D711011"/>
    <w:rsid w:val="0D767864"/>
    <w:rsid w:val="0D8841D8"/>
    <w:rsid w:val="0D8D5985"/>
    <w:rsid w:val="0D9D53A0"/>
    <w:rsid w:val="0DA5075F"/>
    <w:rsid w:val="0DB832FF"/>
    <w:rsid w:val="0DBD7F9E"/>
    <w:rsid w:val="0DBF5F5C"/>
    <w:rsid w:val="0DD2DA5B"/>
    <w:rsid w:val="0DE39D5D"/>
    <w:rsid w:val="0DF2CB10"/>
    <w:rsid w:val="0DF5F2A6"/>
    <w:rsid w:val="0E018B52"/>
    <w:rsid w:val="0E0A17BA"/>
    <w:rsid w:val="0E0A4778"/>
    <w:rsid w:val="0E0BDFC2"/>
    <w:rsid w:val="0E1681A1"/>
    <w:rsid w:val="0E211A51"/>
    <w:rsid w:val="0E29480F"/>
    <w:rsid w:val="0E29B0C9"/>
    <w:rsid w:val="0E325074"/>
    <w:rsid w:val="0E335E80"/>
    <w:rsid w:val="0E3A5CEB"/>
    <w:rsid w:val="0E3B88A6"/>
    <w:rsid w:val="0E3F6CB2"/>
    <w:rsid w:val="0E465602"/>
    <w:rsid w:val="0E4EBF32"/>
    <w:rsid w:val="0E5AA2B9"/>
    <w:rsid w:val="0E5D4FA3"/>
    <w:rsid w:val="0E5E5B63"/>
    <w:rsid w:val="0E636616"/>
    <w:rsid w:val="0E68A4E9"/>
    <w:rsid w:val="0E7AC76A"/>
    <w:rsid w:val="0E8F81C2"/>
    <w:rsid w:val="0E94AFAE"/>
    <w:rsid w:val="0EAE12B0"/>
    <w:rsid w:val="0EB3AEA9"/>
    <w:rsid w:val="0EC1F32D"/>
    <w:rsid w:val="0EC623AD"/>
    <w:rsid w:val="0EC9E0CB"/>
    <w:rsid w:val="0ED14976"/>
    <w:rsid w:val="0EE4918E"/>
    <w:rsid w:val="0EF5BD2D"/>
    <w:rsid w:val="0F2ABECE"/>
    <w:rsid w:val="0F40BC25"/>
    <w:rsid w:val="0F45FA27"/>
    <w:rsid w:val="0F4EA2A9"/>
    <w:rsid w:val="0F4FCB73"/>
    <w:rsid w:val="0F530BCC"/>
    <w:rsid w:val="0F59C929"/>
    <w:rsid w:val="0F5D533F"/>
    <w:rsid w:val="0F5FC8EA"/>
    <w:rsid w:val="0F8433BA"/>
    <w:rsid w:val="0F8F2D43"/>
    <w:rsid w:val="0F93D4A9"/>
    <w:rsid w:val="0F94EFFD"/>
    <w:rsid w:val="0FA09E41"/>
    <w:rsid w:val="0FA6BE9A"/>
    <w:rsid w:val="0FADDC4F"/>
    <w:rsid w:val="0FC79A79"/>
    <w:rsid w:val="0FCB4080"/>
    <w:rsid w:val="0FCB5C0E"/>
    <w:rsid w:val="0FCD580F"/>
    <w:rsid w:val="0FE30143"/>
    <w:rsid w:val="0FF7CA9D"/>
    <w:rsid w:val="10138AD5"/>
    <w:rsid w:val="10269F77"/>
    <w:rsid w:val="102905F5"/>
    <w:rsid w:val="102C5E9F"/>
    <w:rsid w:val="1034E2F3"/>
    <w:rsid w:val="1036209B"/>
    <w:rsid w:val="103CFC2D"/>
    <w:rsid w:val="103FA866"/>
    <w:rsid w:val="1042CFB8"/>
    <w:rsid w:val="1050B327"/>
    <w:rsid w:val="1050DE17"/>
    <w:rsid w:val="1062C7BB"/>
    <w:rsid w:val="106860A1"/>
    <w:rsid w:val="106C2D97"/>
    <w:rsid w:val="106F9277"/>
    <w:rsid w:val="107290CB"/>
    <w:rsid w:val="107B30F6"/>
    <w:rsid w:val="107BDC53"/>
    <w:rsid w:val="10815CA0"/>
    <w:rsid w:val="109BD5D4"/>
    <w:rsid w:val="10A07BF3"/>
    <w:rsid w:val="10A1EB6C"/>
    <w:rsid w:val="10AF44AF"/>
    <w:rsid w:val="10BF78B5"/>
    <w:rsid w:val="10C0EC0A"/>
    <w:rsid w:val="10D27553"/>
    <w:rsid w:val="10EC84CD"/>
    <w:rsid w:val="11070FE3"/>
    <w:rsid w:val="1116FED6"/>
    <w:rsid w:val="111BE125"/>
    <w:rsid w:val="1130A484"/>
    <w:rsid w:val="11498F30"/>
    <w:rsid w:val="114E38B1"/>
    <w:rsid w:val="1152E79B"/>
    <w:rsid w:val="115368D1"/>
    <w:rsid w:val="115479A3"/>
    <w:rsid w:val="1163071D"/>
    <w:rsid w:val="11798262"/>
    <w:rsid w:val="117F1A96"/>
    <w:rsid w:val="11826EBE"/>
    <w:rsid w:val="118517B1"/>
    <w:rsid w:val="1186080D"/>
    <w:rsid w:val="1189C59B"/>
    <w:rsid w:val="118EB3BE"/>
    <w:rsid w:val="11B776A6"/>
    <w:rsid w:val="11B8D23F"/>
    <w:rsid w:val="11BFBC74"/>
    <w:rsid w:val="11DF4915"/>
    <w:rsid w:val="11E56329"/>
    <w:rsid w:val="11FA8989"/>
    <w:rsid w:val="1202B92D"/>
    <w:rsid w:val="120482C0"/>
    <w:rsid w:val="120AD4E2"/>
    <w:rsid w:val="120C8B09"/>
    <w:rsid w:val="122D511A"/>
    <w:rsid w:val="12306153"/>
    <w:rsid w:val="123E0D2C"/>
    <w:rsid w:val="124B0A78"/>
    <w:rsid w:val="124CCA61"/>
    <w:rsid w:val="124DE63D"/>
    <w:rsid w:val="12502A71"/>
    <w:rsid w:val="126EDB45"/>
    <w:rsid w:val="12755ED3"/>
    <w:rsid w:val="128C0C6F"/>
    <w:rsid w:val="1296E768"/>
    <w:rsid w:val="129CB482"/>
    <w:rsid w:val="12AE9CD1"/>
    <w:rsid w:val="12BE065A"/>
    <w:rsid w:val="12C7F159"/>
    <w:rsid w:val="12CDE9E7"/>
    <w:rsid w:val="12CE2F8A"/>
    <w:rsid w:val="12DE6CE2"/>
    <w:rsid w:val="12EFFBA3"/>
    <w:rsid w:val="12F976F6"/>
    <w:rsid w:val="12FE3343"/>
    <w:rsid w:val="130D8D58"/>
    <w:rsid w:val="130FF955"/>
    <w:rsid w:val="131B8E58"/>
    <w:rsid w:val="131FB26C"/>
    <w:rsid w:val="13248B1A"/>
    <w:rsid w:val="13269305"/>
    <w:rsid w:val="1348537C"/>
    <w:rsid w:val="13652D70"/>
    <w:rsid w:val="13671DB2"/>
    <w:rsid w:val="137C1821"/>
    <w:rsid w:val="138361DE"/>
    <w:rsid w:val="13856B1A"/>
    <w:rsid w:val="13B6C4BF"/>
    <w:rsid w:val="13BFD588"/>
    <w:rsid w:val="13CB2B8A"/>
    <w:rsid w:val="13CE26A0"/>
    <w:rsid w:val="13D2D4FD"/>
    <w:rsid w:val="13DFB2B3"/>
    <w:rsid w:val="140311A2"/>
    <w:rsid w:val="14146CCE"/>
    <w:rsid w:val="141780C5"/>
    <w:rsid w:val="14390357"/>
    <w:rsid w:val="1444A19C"/>
    <w:rsid w:val="14501B65"/>
    <w:rsid w:val="14587970"/>
    <w:rsid w:val="145F04E5"/>
    <w:rsid w:val="146D0C22"/>
    <w:rsid w:val="147C7A82"/>
    <w:rsid w:val="148A4ED2"/>
    <w:rsid w:val="1494D333"/>
    <w:rsid w:val="149B2593"/>
    <w:rsid w:val="149B2CD2"/>
    <w:rsid w:val="14A68B1C"/>
    <w:rsid w:val="14A873AA"/>
    <w:rsid w:val="14AA1714"/>
    <w:rsid w:val="14ACE698"/>
    <w:rsid w:val="14AFA243"/>
    <w:rsid w:val="14BA8303"/>
    <w:rsid w:val="14BB5B57"/>
    <w:rsid w:val="14D14676"/>
    <w:rsid w:val="14D297E3"/>
    <w:rsid w:val="14DF79FA"/>
    <w:rsid w:val="14E022F8"/>
    <w:rsid w:val="14FCD4CE"/>
    <w:rsid w:val="15059C72"/>
    <w:rsid w:val="15154FE2"/>
    <w:rsid w:val="151E3A44"/>
    <w:rsid w:val="152D6CDE"/>
    <w:rsid w:val="1532344C"/>
    <w:rsid w:val="153D1CCB"/>
    <w:rsid w:val="154E9880"/>
    <w:rsid w:val="156A510A"/>
    <w:rsid w:val="156E6701"/>
    <w:rsid w:val="157F8D62"/>
    <w:rsid w:val="15801559"/>
    <w:rsid w:val="158C166A"/>
    <w:rsid w:val="158F8B0C"/>
    <w:rsid w:val="1599FF96"/>
    <w:rsid w:val="15A4197F"/>
    <w:rsid w:val="15AC0637"/>
    <w:rsid w:val="15AC2C9B"/>
    <w:rsid w:val="15B4A82B"/>
    <w:rsid w:val="15C7448F"/>
    <w:rsid w:val="15CA030B"/>
    <w:rsid w:val="15CD38B0"/>
    <w:rsid w:val="15CEF448"/>
    <w:rsid w:val="15EDE5C1"/>
    <w:rsid w:val="15FEF501"/>
    <w:rsid w:val="1613400C"/>
    <w:rsid w:val="1639CE63"/>
    <w:rsid w:val="16443154"/>
    <w:rsid w:val="16568796"/>
    <w:rsid w:val="16754412"/>
    <w:rsid w:val="16798AD6"/>
    <w:rsid w:val="167DE885"/>
    <w:rsid w:val="168F8432"/>
    <w:rsid w:val="169CBA84"/>
    <w:rsid w:val="16B1ECC9"/>
    <w:rsid w:val="16B7A7EB"/>
    <w:rsid w:val="16C4745D"/>
    <w:rsid w:val="16C832E2"/>
    <w:rsid w:val="16C8F1E4"/>
    <w:rsid w:val="16CA45F7"/>
    <w:rsid w:val="16CD8E7F"/>
    <w:rsid w:val="16CDD20A"/>
    <w:rsid w:val="16D98AF2"/>
    <w:rsid w:val="16E53015"/>
    <w:rsid w:val="16E93519"/>
    <w:rsid w:val="170A033E"/>
    <w:rsid w:val="1726CFC2"/>
    <w:rsid w:val="17390EF0"/>
    <w:rsid w:val="1739FC37"/>
    <w:rsid w:val="173C7F62"/>
    <w:rsid w:val="174459C4"/>
    <w:rsid w:val="175F0D82"/>
    <w:rsid w:val="177CEADD"/>
    <w:rsid w:val="1784A98E"/>
    <w:rsid w:val="178FFDB1"/>
    <w:rsid w:val="17921CB0"/>
    <w:rsid w:val="17970889"/>
    <w:rsid w:val="1797B653"/>
    <w:rsid w:val="17A7D82D"/>
    <w:rsid w:val="17B3C401"/>
    <w:rsid w:val="17B571DE"/>
    <w:rsid w:val="17B6EF56"/>
    <w:rsid w:val="17C4C56B"/>
    <w:rsid w:val="17C52E98"/>
    <w:rsid w:val="17D07F64"/>
    <w:rsid w:val="17E79009"/>
    <w:rsid w:val="17F3290F"/>
    <w:rsid w:val="17FD45BB"/>
    <w:rsid w:val="180BDB33"/>
    <w:rsid w:val="1810A20C"/>
    <w:rsid w:val="1814D2B8"/>
    <w:rsid w:val="182C7D87"/>
    <w:rsid w:val="183280CB"/>
    <w:rsid w:val="1832E543"/>
    <w:rsid w:val="183862EC"/>
    <w:rsid w:val="183F6C9A"/>
    <w:rsid w:val="18404A81"/>
    <w:rsid w:val="184674D8"/>
    <w:rsid w:val="184E0FD0"/>
    <w:rsid w:val="1856E5A1"/>
    <w:rsid w:val="185F0B61"/>
    <w:rsid w:val="186260DE"/>
    <w:rsid w:val="186D331C"/>
    <w:rsid w:val="1885E916"/>
    <w:rsid w:val="18976675"/>
    <w:rsid w:val="1897B930"/>
    <w:rsid w:val="189CE505"/>
    <w:rsid w:val="18A066CB"/>
    <w:rsid w:val="18A0B1B2"/>
    <w:rsid w:val="18AB4CCB"/>
    <w:rsid w:val="18AB97EA"/>
    <w:rsid w:val="18B39736"/>
    <w:rsid w:val="18CEDABE"/>
    <w:rsid w:val="18D50897"/>
    <w:rsid w:val="18DAA963"/>
    <w:rsid w:val="18ED980E"/>
    <w:rsid w:val="18F3D6C3"/>
    <w:rsid w:val="18F90CC0"/>
    <w:rsid w:val="1910AF42"/>
    <w:rsid w:val="19115763"/>
    <w:rsid w:val="193C9BC0"/>
    <w:rsid w:val="1941CB93"/>
    <w:rsid w:val="194F9462"/>
    <w:rsid w:val="19522B49"/>
    <w:rsid w:val="1952B05C"/>
    <w:rsid w:val="19530D0C"/>
    <w:rsid w:val="195C15A0"/>
    <w:rsid w:val="19615576"/>
    <w:rsid w:val="19704BD4"/>
    <w:rsid w:val="1986B72F"/>
    <w:rsid w:val="199123C2"/>
    <w:rsid w:val="1993A89B"/>
    <w:rsid w:val="1993FD22"/>
    <w:rsid w:val="19A29EFA"/>
    <w:rsid w:val="19B0C225"/>
    <w:rsid w:val="19B33551"/>
    <w:rsid w:val="19D08B9F"/>
    <w:rsid w:val="19D154C9"/>
    <w:rsid w:val="19E8EA45"/>
    <w:rsid w:val="19EB884D"/>
    <w:rsid w:val="19F184C9"/>
    <w:rsid w:val="19FBA915"/>
    <w:rsid w:val="1A185C71"/>
    <w:rsid w:val="1A1C706A"/>
    <w:rsid w:val="1A24C66D"/>
    <w:rsid w:val="1A327FA7"/>
    <w:rsid w:val="1A354476"/>
    <w:rsid w:val="1A472565"/>
    <w:rsid w:val="1A5F6CD0"/>
    <w:rsid w:val="1A6CAFA5"/>
    <w:rsid w:val="1A6E1E4B"/>
    <w:rsid w:val="1A8C7E4C"/>
    <w:rsid w:val="1A8CC6CE"/>
    <w:rsid w:val="1A8D9FE5"/>
    <w:rsid w:val="1A8DA0D7"/>
    <w:rsid w:val="1A9B5E25"/>
    <w:rsid w:val="1AA02595"/>
    <w:rsid w:val="1AA5787E"/>
    <w:rsid w:val="1AA7C7E2"/>
    <w:rsid w:val="1AAD2468"/>
    <w:rsid w:val="1AAEE32B"/>
    <w:rsid w:val="1AB02F08"/>
    <w:rsid w:val="1AB43D43"/>
    <w:rsid w:val="1ABFE037"/>
    <w:rsid w:val="1ACF9AED"/>
    <w:rsid w:val="1ACF9E4F"/>
    <w:rsid w:val="1AF86EB3"/>
    <w:rsid w:val="1B19B016"/>
    <w:rsid w:val="1B2F608E"/>
    <w:rsid w:val="1B340386"/>
    <w:rsid w:val="1B34AAEB"/>
    <w:rsid w:val="1B3E9DB6"/>
    <w:rsid w:val="1B42F0E9"/>
    <w:rsid w:val="1B5BECF9"/>
    <w:rsid w:val="1B84CC95"/>
    <w:rsid w:val="1B89FA25"/>
    <w:rsid w:val="1B926F2D"/>
    <w:rsid w:val="1B934247"/>
    <w:rsid w:val="1B9E3CDB"/>
    <w:rsid w:val="1B9F8E8E"/>
    <w:rsid w:val="1BA92823"/>
    <w:rsid w:val="1BAAECDC"/>
    <w:rsid w:val="1BB376B7"/>
    <w:rsid w:val="1BB712F1"/>
    <w:rsid w:val="1BBFF7FB"/>
    <w:rsid w:val="1BD0957C"/>
    <w:rsid w:val="1BD819EC"/>
    <w:rsid w:val="1C0D1FE1"/>
    <w:rsid w:val="1C25B09F"/>
    <w:rsid w:val="1C28AA8E"/>
    <w:rsid w:val="1C39812B"/>
    <w:rsid w:val="1C3F938F"/>
    <w:rsid w:val="1C421BE5"/>
    <w:rsid w:val="1C5B7E80"/>
    <w:rsid w:val="1C5BFEB1"/>
    <w:rsid w:val="1C618A85"/>
    <w:rsid w:val="1C700672"/>
    <w:rsid w:val="1C733584"/>
    <w:rsid w:val="1C84E39F"/>
    <w:rsid w:val="1C883A93"/>
    <w:rsid w:val="1C8E6868"/>
    <w:rsid w:val="1C9B8AED"/>
    <w:rsid w:val="1C9CB4AD"/>
    <w:rsid w:val="1C9F2FA3"/>
    <w:rsid w:val="1CA677DF"/>
    <w:rsid w:val="1CB1FF29"/>
    <w:rsid w:val="1CBCB56A"/>
    <w:rsid w:val="1CBEBF86"/>
    <w:rsid w:val="1CD3054F"/>
    <w:rsid w:val="1CDA3FBC"/>
    <w:rsid w:val="1CDCF23A"/>
    <w:rsid w:val="1CE032D3"/>
    <w:rsid w:val="1CE400CA"/>
    <w:rsid w:val="1CF14CE1"/>
    <w:rsid w:val="1CF32792"/>
    <w:rsid w:val="1CFD6347"/>
    <w:rsid w:val="1D0FD544"/>
    <w:rsid w:val="1D1871AA"/>
    <w:rsid w:val="1D1DB59D"/>
    <w:rsid w:val="1D22FF4D"/>
    <w:rsid w:val="1D23F707"/>
    <w:rsid w:val="1D283E7D"/>
    <w:rsid w:val="1D2AABA4"/>
    <w:rsid w:val="1D2CF2C3"/>
    <w:rsid w:val="1D31A273"/>
    <w:rsid w:val="1D3C87C4"/>
    <w:rsid w:val="1D3F21FC"/>
    <w:rsid w:val="1D4176A4"/>
    <w:rsid w:val="1D4227E2"/>
    <w:rsid w:val="1D4920DE"/>
    <w:rsid w:val="1D4F4A7D"/>
    <w:rsid w:val="1D5AC784"/>
    <w:rsid w:val="1D5E38F4"/>
    <w:rsid w:val="1D63147C"/>
    <w:rsid w:val="1D64B448"/>
    <w:rsid w:val="1D69D270"/>
    <w:rsid w:val="1D6C16BE"/>
    <w:rsid w:val="1D8274A2"/>
    <w:rsid w:val="1D8A3AB0"/>
    <w:rsid w:val="1D962020"/>
    <w:rsid w:val="1D9E6BDA"/>
    <w:rsid w:val="1D9E9F11"/>
    <w:rsid w:val="1DA24D69"/>
    <w:rsid w:val="1DBC1E9C"/>
    <w:rsid w:val="1DC55FEB"/>
    <w:rsid w:val="1DC67706"/>
    <w:rsid w:val="1DD950AD"/>
    <w:rsid w:val="1DE6CB84"/>
    <w:rsid w:val="1E34523A"/>
    <w:rsid w:val="1E372997"/>
    <w:rsid w:val="1E42D2CA"/>
    <w:rsid w:val="1E43CE80"/>
    <w:rsid w:val="1E455B6F"/>
    <w:rsid w:val="1E4B8BAC"/>
    <w:rsid w:val="1E5602A8"/>
    <w:rsid w:val="1E649E33"/>
    <w:rsid w:val="1E66C713"/>
    <w:rsid w:val="1E76101D"/>
    <w:rsid w:val="1E9A2479"/>
    <w:rsid w:val="1E9CA021"/>
    <w:rsid w:val="1E9E4F72"/>
    <w:rsid w:val="1EBB6514"/>
    <w:rsid w:val="1EBD02BE"/>
    <w:rsid w:val="1EC558A8"/>
    <w:rsid w:val="1EC63BC0"/>
    <w:rsid w:val="1EDD6BE4"/>
    <w:rsid w:val="1EDF6933"/>
    <w:rsid w:val="1EE1A066"/>
    <w:rsid w:val="1EE29F21"/>
    <w:rsid w:val="1EE55753"/>
    <w:rsid w:val="1EE5F9DB"/>
    <w:rsid w:val="1EFC3824"/>
    <w:rsid w:val="1F0CA717"/>
    <w:rsid w:val="1F137D6F"/>
    <w:rsid w:val="1F1C0909"/>
    <w:rsid w:val="1F2A2A80"/>
    <w:rsid w:val="1F32C530"/>
    <w:rsid w:val="1F3A4162"/>
    <w:rsid w:val="1F40ACA3"/>
    <w:rsid w:val="1F45D0E1"/>
    <w:rsid w:val="1F46B8C5"/>
    <w:rsid w:val="1F4EE5BD"/>
    <w:rsid w:val="1F5DF1A7"/>
    <w:rsid w:val="1F6E4FD9"/>
    <w:rsid w:val="1F88E5A0"/>
    <w:rsid w:val="1F99927D"/>
    <w:rsid w:val="1F9A38E9"/>
    <w:rsid w:val="1F9E96C1"/>
    <w:rsid w:val="1F9EC82F"/>
    <w:rsid w:val="1FA6BCB8"/>
    <w:rsid w:val="1FB39207"/>
    <w:rsid w:val="1FB6402D"/>
    <w:rsid w:val="1FD4F6B6"/>
    <w:rsid w:val="1FE2D2FE"/>
    <w:rsid w:val="1FECE83D"/>
    <w:rsid w:val="1FF3422C"/>
    <w:rsid w:val="1FF58D8C"/>
    <w:rsid w:val="1FFEF062"/>
    <w:rsid w:val="20081C0E"/>
    <w:rsid w:val="201000DE"/>
    <w:rsid w:val="2036BB9A"/>
    <w:rsid w:val="20532028"/>
    <w:rsid w:val="2056422C"/>
    <w:rsid w:val="20566792"/>
    <w:rsid w:val="205D0DC4"/>
    <w:rsid w:val="205D9FCB"/>
    <w:rsid w:val="20618E82"/>
    <w:rsid w:val="2066F926"/>
    <w:rsid w:val="2068603D"/>
    <w:rsid w:val="206B71B2"/>
    <w:rsid w:val="206FCB25"/>
    <w:rsid w:val="2077773E"/>
    <w:rsid w:val="20777EB4"/>
    <w:rsid w:val="207D2EEC"/>
    <w:rsid w:val="2097D1F8"/>
    <w:rsid w:val="209B5939"/>
    <w:rsid w:val="209D53A3"/>
    <w:rsid w:val="209DCDCB"/>
    <w:rsid w:val="209FC704"/>
    <w:rsid w:val="20A20927"/>
    <w:rsid w:val="20A279DB"/>
    <w:rsid w:val="20AA1449"/>
    <w:rsid w:val="20AB33BD"/>
    <w:rsid w:val="20D54235"/>
    <w:rsid w:val="20DFEB33"/>
    <w:rsid w:val="20E31CCD"/>
    <w:rsid w:val="20F9E583"/>
    <w:rsid w:val="20FB6C7B"/>
    <w:rsid w:val="210A21E3"/>
    <w:rsid w:val="211EDE82"/>
    <w:rsid w:val="212BD4F1"/>
    <w:rsid w:val="2139507D"/>
    <w:rsid w:val="213D080D"/>
    <w:rsid w:val="213DDB36"/>
    <w:rsid w:val="2143D27B"/>
    <w:rsid w:val="2154CF61"/>
    <w:rsid w:val="215F04FE"/>
    <w:rsid w:val="21651396"/>
    <w:rsid w:val="217B358D"/>
    <w:rsid w:val="2185DE7B"/>
    <w:rsid w:val="21909C55"/>
    <w:rsid w:val="21969F79"/>
    <w:rsid w:val="219802C7"/>
    <w:rsid w:val="21AB15F5"/>
    <w:rsid w:val="21B0BABF"/>
    <w:rsid w:val="21C7A63B"/>
    <w:rsid w:val="21CCF42B"/>
    <w:rsid w:val="21D04086"/>
    <w:rsid w:val="21DF6D02"/>
    <w:rsid w:val="21DFD1C2"/>
    <w:rsid w:val="21EB17CA"/>
    <w:rsid w:val="220078A5"/>
    <w:rsid w:val="22026EC8"/>
    <w:rsid w:val="2203B136"/>
    <w:rsid w:val="22072068"/>
    <w:rsid w:val="2211277E"/>
    <w:rsid w:val="221476C5"/>
    <w:rsid w:val="221B5CC6"/>
    <w:rsid w:val="221D4069"/>
    <w:rsid w:val="221E7CEC"/>
    <w:rsid w:val="221ED7B0"/>
    <w:rsid w:val="22222A34"/>
    <w:rsid w:val="2226344A"/>
    <w:rsid w:val="222749A3"/>
    <w:rsid w:val="222F2CF0"/>
    <w:rsid w:val="22349CAB"/>
    <w:rsid w:val="223B3389"/>
    <w:rsid w:val="2249B5A6"/>
    <w:rsid w:val="224DF1B5"/>
    <w:rsid w:val="2254951F"/>
    <w:rsid w:val="225E1B9C"/>
    <w:rsid w:val="22605E51"/>
    <w:rsid w:val="22618CD5"/>
    <w:rsid w:val="2275072F"/>
    <w:rsid w:val="2276547B"/>
    <w:rsid w:val="2280D41C"/>
    <w:rsid w:val="2286B58A"/>
    <w:rsid w:val="228A6F00"/>
    <w:rsid w:val="2294CACA"/>
    <w:rsid w:val="2297309C"/>
    <w:rsid w:val="22A3A612"/>
    <w:rsid w:val="22A6404C"/>
    <w:rsid w:val="22A68841"/>
    <w:rsid w:val="22A6FFA9"/>
    <w:rsid w:val="22B94684"/>
    <w:rsid w:val="22CC61C2"/>
    <w:rsid w:val="22CDA7F5"/>
    <w:rsid w:val="22D9013F"/>
    <w:rsid w:val="22DA7D7E"/>
    <w:rsid w:val="22DF2381"/>
    <w:rsid w:val="22EDA9D7"/>
    <w:rsid w:val="231C5367"/>
    <w:rsid w:val="23202094"/>
    <w:rsid w:val="2333A176"/>
    <w:rsid w:val="233D7899"/>
    <w:rsid w:val="233DA15C"/>
    <w:rsid w:val="234A2EE3"/>
    <w:rsid w:val="234E73EC"/>
    <w:rsid w:val="23505E9A"/>
    <w:rsid w:val="2365B730"/>
    <w:rsid w:val="2368C48C"/>
    <w:rsid w:val="237C8C4E"/>
    <w:rsid w:val="23828D47"/>
    <w:rsid w:val="23972DB5"/>
    <w:rsid w:val="239FBDF5"/>
    <w:rsid w:val="23A32C6C"/>
    <w:rsid w:val="23A92CEC"/>
    <w:rsid w:val="23B05E91"/>
    <w:rsid w:val="23B86613"/>
    <w:rsid w:val="23BEF1EE"/>
    <w:rsid w:val="23C3CF6B"/>
    <w:rsid w:val="23C8CDFE"/>
    <w:rsid w:val="23CEA49B"/>
    <w:rsid w:val="23D1B4D4"/>
    <w:rsid w:val="23FBCBE0"/>
    <w:rsid w:val="2400B7B5"/>
    <w:rsid w:val="24013DF9"/>
    <w:rsid w:val="241925C8"/>
    <w:rsid w:val="24244A49"/>
    <w:rsid w:val="244B3B3C"/>
    <w:rsid w:val="245796A5"/>
    <w:rsid w:val="2466BDCC"/>
    <w:rsid w:val="24671720"/>
    <w:rsid w:val="247B3381"/>
    <w:rsid w:val="247FAA31"/>
    <w:rsid w:val="24806986"/>
    <w:rsid w:val="2483E462"/>
    <w:rsid w:val="248F4783"/>
    <w:rsid w:val="24A41ECB"/>
    <w:rsid w:val="24C264D4"/>
    <w:rsid w:val="24D0BB13"/>
    <w:rsid w:val="24D2AD6F"/>
    <w:rsid w:val="24D8D3EB"/>
    <w:rsid w:val="24FCE6A3"/>
    <w:rsid w:val="251CB4C6"/>
    <w:rsid w:val="2531D6E6"/>
    <w:rsid w:val="25404CDC"/>
    <w:rsid w:val="2540CAE2"/>
    <w:rsid w:val="25413780"/>
    <w:rsid w:val="25490234"/>
    <w:rsid w:val="25AA6074"/>
    <w:rsid w:val="25B31FC1"/>
    <w:rsid w:val="25BC3BAF"/>
    <w:rsid w:val="25CFB02C"/>
    <w:rsid w:val="25E2DA81"/>
    <w:rsid w:val="25EA56B0"/>
    <w:rsid w:val="25F2889C"/>
    <w:rsid w:val="25F31DBA"/>
    <w:rsid w:val="25FF7CF2"/>
    <w:rsid w:val="2601B891"/>
    <w:rsid w:val="26025B6E"/>
    <w:rsid w:val="260FA0C0"/>
    <w:rsid w:val="26139873"/>
    <w:rsid w:val="2617DCE1"/>
    <w:rsid w:val="26240B0C"/>
    <w:rsid w:val="262A6E96"/>
    <w:rsid w:val="262B56F4"/>
    <w:rsid w:val="26360DD2"/>
    <w:rsid w:val="2636C4FF"/>
    <w:rsid w:val="263FC8B8"/>
    <w:rsid w:val="26576BFF"/>
    <w:rsid w:val="2665D972"/>
    <w:rsid w:val="266BD9B0"/>
    <w:rsid w:val="266F87F3"/>
    <w:rsid w:val="267A26F3"/>
    <w:rsid w:val="2680498C"/>
    <w:rsid w:val="268503F6"/>
    <w:rsid w:val="26914F95"/>
    <w:rsid w:val="269D39F2"/>
    <w:rsid w:val="26A4AC2C"/>
    <w:rsid w:val="26A5DA73"/>
    <w:rsid w:val="26AA0B55"/>
    <w:rsid w:val="26B3F9C9"/>
    <w:rsid w:val="26C24F75"/>
    <w:rsid w:val="26C4C832"/>
    <w:rsid w:val="26D389EE"/>
    <w:rsid w:val="26DA0326"/>
    <w:rsid w:val="26DC9AB8"/>
    <w:rsid w:val="26DD7A38"/>
    <w:rsid w:val="26FDAE64"/>
    <w:rsid w:val="271D49EA"/>
    <w:rsid w:val="271E775D"/>
    <w:rsid w:val="271FC24E"/>
    <w:rsid w:val="27285769"/>
    <w:rsid w:val="272DF9A1"/>
    <w:rsid w:val="2733CF74"/>
    <w:rsid w:val="27371DE0"/>
    <w:rsid w:val="27413EAF"/>
    <w:rsid w:val="27523B3E"/>
    <w:rsid w:val="275C1512"/>
    <w:rsid w:val="2764B9CA"/>
    <w:rsid w:val="27724A0B"/>
    <w:rsid w:val="2777A38C"/>
    <w:rsid w:val="2778AE9A"/>
    <w:rsid w:val="2780D423"/>
    <w:rsid w:val="279D063B"/>
    <w:rsid w:val="27A06A0C"/>
    <w:rsid w:val="27D2254A"/>
    <w:rsid w:val="27DDBA7D"/>
    <w:rsid w:val="27F2BE99"/>
    <w:rsid w:val="280362A9"/>
    <w:rsid w:val="280B9B08"/>
    <w:rsid w:val="280EAAB9"/>
    <w:rsid w:val="280F76A1"/>
    <w:rsid w:val="283A009F"/>
    <w:rsid w:val="28469FC7"/>
    <w:rsid w:val="28500AAD"/>
    <w:rsid w:val="2857CD1A"/>
    <w:rsid w:val="2859354B"/>
    <w:rsid w:val="285C6BFB"/>
    <w:rsid w:val="2862E5CC"/>
    <w:rsid w:val="286F19A2"/>
    <w:rsid w:val="28914BA1"/>
    <w:rsid w:val="28999909"/>
    <w:rsid w:val="28B00C37"/>
    <w:rsid w:val="28B4162D"/>
    <w:rsid w:val="28BD3FF3"/>
    <w:rsid w:val="28CA7B89"/>
    <w:rsid w:val="28D2EE41"/>
    <w:rsid w:val="28DB5E74"/>
    <w:rsid w:val="28DEB500"/>
    <w:rsid w:val="28F9251C"/>
    <w:rsid w:val="29015679"/>
    <w:rsid w:val="2912B4FB"/>
    <w:rsid w:val="2922FC3D"/>
    <w:rsid w:val="2930505B"/>
    <w:rsid w:val="294047A4"/>
    <w:rsid w:val="2943F840"/>
    <w:rsid w:val="294FC9C1"/>
    <w:rsid w:val="29505D1A"/>
    <w:rsid w:val="29574CD2"/>
    <w:rsid w:val="295B2FBC"/>
    <w:rsid w:val="295D046C"/>
    <w:rsid w:val="295D5F1A"/>
    <w:rsid w:val="295EC3D0"/>
    <w:rsid w:val="296F8C97"/>
    <w:rsid w:val="296FD854"/>
    <w:rsid w:val="2975920E"/>
    <w:rsid w:val="29828851"/>
    <w:rsid w:val="2985FA3A"/>
    <w:rsid w:val="29906939"/>
    <w:rsid w:val="2991B97A"/>
    <w:rsid w:val="2995D5F7"/>
    <w:rsid w:val="29968F6D"/>
    <w:rsid w:val="29B7FDE6"/>
    <w:rsid w:val="29BBBCAE"/>
    <w:rsid w:val="29C9CB29"/>
    <w:rsid w:val="29DC8B39"/>
    <w:rsid w:val="29E3AFD8"/>
    <w:rsid w:val="29F2C35F"/>
    <w:rsid w:val="29FB1901"/>
    <w:rsid w:val="29FCEC6A"/>
    <w:rsid w:val="2A2AA05F"/>
    <w:rsid w:val="2A523DCB"/>
    <w:rsid w:val="2A66F8D8"/>
    <w:rsid w:val="2A67E570"/>
    <w:rsid w:val="2A6CD182"/>
    <w:rsid w:val="2A72F995"/>
    <w:rsid w:val="2A7A329A"/>
    <w:rsid w:val="2AA6B626"/>
    <w:rsid w:val="2ABD3871"/>
    <w:rsid w:val="2AC550E9"/>
    <w:rsid w:val="2ACE3B0D"/>
    <w:rsid w:val="2AE2FD7C"/>
    <w:rsid w:val="2AE91366"/>
    <w:rsid w:val="2AF0804E"/>
    <w:rsid w:val="2AF3937A"/>
    <w:rsid w:val="2AF7DDAD"/>
    <w:rsid w:val="2AF92F7B"/>
    <w:rsid w:val="2AF93F3D"/>
    <w:rsid w:val="2AF9E68E"/>
    <w:rsid w:val="2B098DBE"/>
    <w:rsid w:val="2B0E1698"/>
    <w:rsid w:val="2B162082"/>
    <w:rsid w:val="2B1EC000"/>
    <w:rsid w:val="2B220ADD"/>
    <w:rsid w:val="2B278A0D"/>
    <w:rsid w:val="2B2F34FC"/>
    <w:rsid w:val="2B3BD2F1"/>
    <w:rsid w:val="2B481E4D"/>
    <w:rsid w:val="2B4F5C89"/>
    <w:rsid w:val="2B5A3F61"/>
    <w:rsid w:val="2B5D0B3D"/>
    <w:rsid w:val="2B6435EF"/>
    <w:rsid w:val="2B6B45DE"/>
    <w:rsid w:val="2B7F11B6"/>
    <w:rsid w:val="2B84355E"/>
    <w:rsid w:val="2B8BD318"/>
    <w:rsid w:val="2B923888"/>
    <w:rsid w:val="2B98E79D"/>
    <w:rsid w:val="2BA1E03E"/>
    <w:rsid w:val="2BBDF297"/>
    <w:rsid w:val="2BE803F5"/>
    <w:rsid w:val="2BE97C8A"/>
    <w:rsid w:val="2BEF33DF"/>
    <w:rsid w:val="2C06F2A0"/>
    <w:rsid w:val="2C082BA4"/>
    <w:rsid w:val="2C08700D"/>
    <w:rsid w:val="2C110565"/>
    <w:rsid w:val="2C1775C8"/>
    <w:rsid w:val="2C196A2E"/>
    <w:rsid w:val="2C246C6E"/>
    <w:rsid w:val="2C33EA84"/>
    <w:rsid w:val="2C397C83"/>
    <w:rsid w:val="2C4635EA"/>
    <w:rsid w:val="2C55DF00"/>
    <w:rsid w:val="2C68887C"/>
    <w:rsid w:val="2C76870F"/>
    <w:rsid w:val="2C7AF33C"/>
    <w:rsid w:val="2C8215D7"/>
    <w:rsid w:val="2C876A83"/>
    <w:rsid w:val="2C8A564D"/>
    <w:rsid w:val="2CAB0799"/>
    <w:rsid w:val="2CC18EA0"/>
    <w:rsid w:val="2CC444AB"/>
    <w:rsid w:val="2CC4DDC2"/>
    <w:rsid w:val="2CCEBA3F"/>
    <w:rsid w:val="2CCF2237"/>
    <w:rsid w:val="2CD16A05"/>
    <w:rsid w:val="2CD3D797"/>
    <w:rsid w:val="2CD811A4"/>
    <w:rsid w:val="2CDB420F"/>
    <w:rsid w:val="2CF10746"/>
    <w:rsid w:val="2D06AF41"/>
    <w:rsid w:val="2D110D05"/>
    <w:rsid w:val="2D1B0ECC"/>
    <w:rsid w:val="2D1DF79B"/>
    <w:rsid w:val="2D2BF91E"/>
    <w:rsid w:val="2D408B69"/>
    <w:rsid w:val="2D4E8516"/>
    <w:rsid w:val="2D52468E"/>
    <w:rsid w:val="2D5558AD"/>
    <w:rsid w:val="2D5E90D7"/>
    <w:rsid w:val="2D639F9D"/>
    <w:rsid w:val="2D65A920"/>
    <w:rsid w:val="2D65B956"/>
    <w:rsid w:val="2D6890D2"/>
    <w:rsid w:val="2D7E3B78"/>
    <w:rsid w:val="2D877E38"/>
    <w:rsid w:val="2D8DA9AF"/>
    <w:rsid w:val="2D99E19C"/>
    <w:rsid w:val="2D9B6C6E"/>
    <w:rsid w:val="2DAD7688"/>
    <w:rsid w:val="2DB0F833"/>
    <w:rsid w:val="2DC229A8"/>
    <w:rsid w:val="2DC52285"/>
    <w:rsid w:val="2DC9A2EA"/>
    <w:rsid w:val="2DD32CBE"/>
    <w:rsid w:val="2DD93BEE"/>
    <w:rsid w:val="2DDD5190"/>
    <w:rsid w:val="2DDF4F54"/>
    <w:rsid w:val="2DE9848F"/>
    <w:rsid w:val="2DF6B5A5"/>
    <w:rsid w:val="2DF84345"/>
    <w:rsid w:val="2E033BD3"/>
    <w:rsid w:val="2E117F34"/>
    <w:rsid w:val="2E1CBEA7"/>
    <w:rsid w:val="2E1F8D3D"/>
    <w:rsid w:val="2E2095A8"/>
    <w:rsid w:val="2E256182"/>
    <w:rsid w:val="2E4E19F7"/>
    <w:rsid w:val="2E6186CE"/>
    <w:rsid w:val="2E6705D4"/>
    <w:rsid w:val="2E68E3D6"/>
    <w:rsid w:val="2E6A490D"/>
    <w:rsid w:val="2E6A8AA0"/>
    <w:rsid w:val="2E6DE662"/>
    <w:rsid w:val="2E7704F5"/>
    <w:rsid w:val="2E8291FD"/>
    <w:rsid w:val="2E8BA3BC"/>
    <w:rsid w:val="2EA6A2EF"/>
    <w:rsid w:val="2EB103C2"/>
    <w:rsid w:val="2ECE8A24"/>
    <w:rsid w:val="2EDA7D8C"/>
    <w:rsid w:val="2EDAF917"/>
    <w:rsid w:val="2EE4D2C3"/>
    <w:rsid w:val="2EE8213F"/>
    <w:rsid w:val="2EFDECD7"/>
    <w:rsid w:val="2F168D9D"/>
    <w:rsid w:val="2F169227"/>
    <w:rsid w:val="2F34DFFE"/>
    <w:rsid w:val="2F39134A"/>
    <w:rsid w:val="2F436A5C"/>
    <w:rsid w:val="2F52899F"/>
    <w:rsid w:val="2F5B9F20"/>
    <w:rsid w:val="2F73B318"/>
    <w:rsid w:val="2F87FE06"/>
    <w:rsid w:val="2F91403A"/>
    <w:rsid w:val="2F92FCB9"/>
    <w:rsid w:val="2F9B4C6C"/>
    <w:rsid w:val="2FB003A0"/>
    <w:rsid w:val="2FB13B80"/>
    <w:rsid w:val="2FB197E9"/>
    <w:rsid w:val="2FB4F2F7"/>
    <w:rsid w:val="2FB855C9"/>
    <w:rsid w:val="2FBF0B45"/>
    <w:rsid w:val="2FBF2640"/>
    <w:rsid w:val="2FC42827"/>
    <w:rsid w:val="2FCC86EE"/>
    <w:rsid w:val="2FD3C759"/>
    <w:rsid w:val="2FE87462"/>
    <w:rsid w:val="2FF0ECED"/>
    <w:rsid w:val="2FF5A2E9"/>
    <w:rsid w:val="2FFC1901"/>
    <w:rsid w:val="30058B33"/>
    <w:rsid w:val="301D89F5"/>
    <w:rsid w:val="30257E51"/>
    <w:rsid w:val="30286CF0"/>
    <w:rsid w:val="302B218F"/>
    <w:rsid w:val="303AA680"/>
    <w:rsid w:val="3041242B"/>
    <w:rsid w:val="30434D50"/>
    <w:rsid w:val="30514942"/>
    <w:rsid w:val="3054900F"/>
    <w:rsid w:val="30562CE2"/>
    <w:rsid w:val="305AFD85"/>
    <w:rsid w:val="305C5769"/>
    <w:rsid w:val="30630774"/>
    <w:rsid w:val="30657364"/>
    <w:rsid w:val="3065A07A"/>
    <w:rsid w:val="30694A29"/>
    <w:rsid w:val="306AD0E1"/>
    <w:rsid w:val="30700F53"/>
    <w:rsid w:val="30796206"/>
    <w:rsid w:val="307D84BA"/>
    <w:rsid w:val="3085020D"/>
    <w:rsid w:val="308CE9AE"/>
    <w:rsid w:val="308E58B7"/>
    <w:rsid w:val="30907273"/>
    <w:rsid w:val="3092CAD7"/>
    <w:rsid w:val="30A3BADD"/>
    <w:rsid w:val="30A5D018"/>
    <w:rsid w:val="30A95BE6"/>
    <w:rsid w:val="30A9DE2C"/>
    <w:rsid w:val="30C84ADC"/>
    <w:rsid w:val="30CBF0BF"/>
    <w:rsid w:val="30E7A206"/>
    <w:rsid w:val="30E89753"/>
    <w:rsid w:val="30E8C142"/>
    <w:rsid w:val="30F8DA6E"/>
    <w:rsid w:val="3102609F"/>
    <w:rsid w:val="31093CC9"/>
    <w:rsid w:val="312E627E"/>
    <w:rsid w:val="312F2438"/>
    <w:rsid w:val="314987A6"/>
    <w:rsid w:val="314AD349"/>
    <w:rsid w:val="315FA76A"/>
    <w:rsid w:val="31619619"/>
    <w:rsid w:val="31630FCD"/>
    <w:rsid w:val="31647E5C"/>
    <w:rsid w:val="31677D0D"/>
    <w:rsid w:val="3169A25E"/>
    <w:rsid w:val="316A784E"/>
    <w:rsid w:val="31784CCC"/>
    <w:rsid w:val="317C01C0"/>
    <w:rsid w:val="317C4A9D"/>
    <w:rsid w:val="31A29A0D"/>
    <w:rsid w:val="31A40446"/>
    <w:rsid w:val="31C968E9"/>
    <w:rsid w:val="31CEC862"/>
    <w:rsid w:val="31EA3EF1"/>
    <w:rsid w:val="31F0DACC"/>
    <w:rsid w:val="31F56362"/>
    <w:rsid w:val="31F602B7"/>
    <w:rsid w:val="31F8855C"/>
    <w:rsid w:val="31FB547D"/>
    <w:rsid w:val="31FB5E09"/>
    <w:rsid w:val="31FCC51A"/>
    <w:rsid w:val="31FF6051"/>
    <w:rsid w:val="3220CD11"/>
    <w:rsid w:val="3223C70E"/>
    <w:rsid w:val="3225D93D"/>
    <w:rsid w:val="322ABC84"/>
    <w:rsid w:val="323D1AB2"/>
    <w:rsid w:val="323E37A4"/>
    <w:rsid w:val="324112B8"/>
    <w:rsid w:val="325A0494"/>
    <w:rsid w:val="326E61F9"/>
    <w:rsid w:val="3280D098"/>
    <w:rsid w:val="32908B40"/>
    <w:rsid w:val="329B6150"/>
    <w:rsid w:val="32BFA806"/>
    <w:rsid w:val="32CBA55F"/>
    <w:rsid w:val="32D30209"/>
    <w:rsid w:val="32F63CA8"/>
    <w:rsid w:val="32F96C04"/>
    <w:rsid w:val="3308CFBD"/>
    <w:rsid w:val="331130FE"/>
    <w:rsid w:val="331786A3"/>
    <w:rsid w:val="3337FF93"/>
    <w:rsid w:val="333AEF9D"/>
    <w:rsid w:val="3347BDE4"/>
    <w:rsid w:val="334A2038"/>
    <w:rsid w:val="334A41E9"/>
    <w:rsid w:val="335B0E1C"/>
    <w:rsid w:val="335C66EA"/>
    <w:rsid w:val="335CD65F"/>
    <w:rsid w:val="3361C115"/>
    <w:rsid w:val="33633116"/>
    <w:rsid w:val="3382295F"/>
    <w:rsid w:val="338A22DD"/>
    <w:rsid w:val="338B6868"/>
    <w:rsid w:val="33968F81"/>
    <w:rsid w:val="33978CFB"/>
    <w:rsid w:val="33A21C0C"/>
    <w:rsid w:val="33C2DB48"/>
    <w:rsid w:val="33DA68B9"/>
    <w:rsid w:val="33DE5383"/>
    <w:rsid w:val="33ED76F1"/>
    <w:rsid w:val="33F80453"/>
    <w:rsid w:val="33FA5B17"/>
    <w:rsid w:val="34069C50"/>
    <w:rsid w:val="341574E6"/>
    <w:rsid w:val="3416FE73"/>
    <w:rsid w:val="341FCC12"/>
    <w:rsid w:val="3425DF04"/>
    <w:rsid w:val="342BDD6E"/>
    <w:rsid w:val="34336873"/>
    <w:rsid w:val="343E190E"/>
    <w:rsid w:val="3454EB51"/>
    <w:rsid w:val="34563482"/>
    <w:rsid w:val="3456C557"/>
    <w:rsid w:val="34639334"/>
    <w:rsid w:val="3471FF85"/>
    <w:rsid w:val="34797D35"/>
    <w:rsid w:val="347D5C2B"/>
    <w:rsid w:val="34829F3A"/>
    <w:rsid w:val="3484F6E6"/>
    <w:rsid w:val="348651D5"/>
    <w:rsid w:val="348B69CC"/>
    <w:rsid w:val="348F90A5"/>
    <w:rsid w:val="34958538"/>
    <w:rsid w:val="34968161"/>
    <w:rsid w:val="34A0C6ED"/>
    <w:rsid w:val="34A5ADD9"/>
    <w:rsid w:val="34ABBF53"/>
    <w:rsid w:val="34B44EC1"/>
    <w:rsid w:val="34BA70F6"/>
    <w:rsid w:val="34D2B031"/>
    <w:rsid w:val="34D43883"/>
    <w:rsid w:val="34D854A1"/>
    <w:rsid w:val="34E3E36D"/>
    <w:rsid w:val="34F2EE01"/>
    <w:rsid w:val="34F84FDA"/>
    <w:rsid w:val="351DB59D"/>
    <w:rsid w:val="3537DB93"/>
    <w:rsid w:val="354B94E8"/>
    <w:rsid w:val="35555B18"/>
    <w:rsid w:val="355BE37B"/>
    <w:rsid w:val="35731675"/>
    <w:rsid w:val="3578FCC4"/>
    <w:rsid w:val="3590369D"/>
    <w:rsid w:val="35B5650E"/>
    <w:rsid w:val="35B841F9"/>
    <w:rsid w:val="35B97956"/>
    <w:rsid w:val="35BB9630"/>
    <w:rsid w:val="35BDB288"/>
    <w:rsid w:val="35C37778"/>
    <w:rsid w:val="35D53163"/>
    <w:rsid w:val="35DB9AEE"/>
    <w:rsid w:val="35ED5745"/>
    <w:rsid w:val="35FA8912"/>
    <w:rsid w:val="3600A190"/>
    <w:rsid w:val="3604BF67"/>
    <w:rsid w:val="3605D9F2"/>
    <w:rsid w:val="360B445B"/>
    <w:rsid w:val="36197375"/>
    <w:rsid w:val="36260CCD"/>
    <w:rsid w:val="3627233F"/>
    <w:rsid w:val="36294785"/>
    <w:rsid w:val="362A8BA8"/>
    <w:rsid w:val="36352A77"/>
    <w:rsid w:val="364929E3"/>
    <w:rsid w:val="365686D7"/>
    <w:rsid w:val="365ACB45"/>
    <w:rsid w:val="365EA06F"/>
    <w:rsid w:val="3667E717"/>
    <w:rsid w:val="3668881B"/>
    <w:rsid w:val="366B57E9"/>
    <w:rsid w:val="36785F08"/>
    <w:rsid w:val="367A02CA"/>
    <w:rsid w:val="367C26E7"/>
    <w:rsid w:val="3684AC1B"/>
    <w:rsid w:val="368CF332"/>
    <w:rsid w:val="368E07E4"/>
    <w:rsid w:val="369390BE"/>
    <w:rsid w:val="36A783F3"/>
    <w:rsid w:val="36FE0368"/>
    <w:rsid w:val="36FFB6FB"/>
    <w:rsid w:val="37049B4D"/>
    <w:rsid w:val="370775AD"/>
    <w:rsid w:val="3711939B"/>
    <w:rsid w:val="3724A8B2"/>
    <w:rsid w:val="373072B8"/>
    <w:rsid w:val="3742F102"/>
    <w:rsid w:val="374C0575"/>
    <w:rsid w:val="3764C180"/>
    <w:rsid w:val="3765E7E5"/>
    <w:rsid w:val="376E533E"/>
    <w:rsid w:val="3786E20B"/>
    <w:rsid w:val="378AE02C"/>
    <w:rsid w:val="37963514"/>
    <w:rsid w:val="379EFC60"/>
    <w:rsid w:val="37A7E2AC"/>
    <w:rsid w:val="37AAF4ED"/>
    <w:rsid w:val="37BA5653"/>
    <w:rsid w:val="37BC0A35"/>
    <w:rsid w:val="37DA766E"/>
    <w:rsid w:val="37DB9973"/>
    <w:rsid w:val="381C5AA4"/>
    <w:rsid w:val="382291B6"/>
    <w:rsid w:val="3832380B"/>
    <w:rsid w:val="383816DD"/>
    <w:rsid w:val="3841C8C9"/>
    <w:rsid w:val="384A0B2F"/>
    <w:rsid w:val="385322DC"/>
    <w:rsid w:val="3869074C"/>
    <w:rsid w:val="38772F91"/>
    <w:rsid w:val="3884E5EB"/>
    <w:rsid w:val="38AC032E"/>
    <w:rsid w:val="38B37822"/>
    <w:rsid w:val="38C2BEA2"/>
    <w:rsid w:val="38C7B62C"/>
    <w:rsid w:val="38DEE555"/>
    <w:rsid w:val="38ED15F7"/>
    <w:rsid w:val="38FA5A6A"/>
    <w:rsid w:val="3908B5BE"/>
    <w:rsid w:val="390934E1"/>
    <w:rsid w:val="3913A3DA"/>
    <w:rsid w:val="3913D014"/>
    <w:rsid w:val="39157562"/>
    <w:rsid w:val="39163AE2"/>
    <w:rsid w:val="391B2EE4"/>
    <w:rsid w:val="392824FF"/>
    <w:rsid w:val="393A35B2"/>
    <w:rsid w:val="393C8EBA"/>
    <w:rsid w:val="39510920"/>
    <w:rsid w:val="3959A64E"/>
    <w:rsid w:val="395A8E8E"/>
    <w:rsid w:val="39626EAC"/>
    <w:rsid w:val="397769D4"/>
    <w:rsid w:val="397CB31B"/>
    <w:rsid w:val="397D8470"/>
    <w:rsid w:val="397F328E"/>
    <w:rsid w:val="39863E91"/>
    <w:rsid w:val="398B62CA"/>
    <w:rsid w:val="3996B684"/>
    <w:rsid w:val="3998201A"/>
    <w:rsid w:val="399BC7FF"/>
    <w:rsid w:val="39AA93AF"/>
    <w:rsid w:val="39B3EDBA"/>
    <w:rsid w:val="39BF4D60"/>
    <w:rsid w:val="39C4C5EB"/>
    <w:rsid w:val="39C72D28"/>
    <w:rsid w:val="39C9314D"/>
    <w:rsid w:val="39CB6292"/>
    <w:rsid w:val="39D085CB"/>
    <w:rsid w:val="39D7650F"/>
    <w:rsid w:val="39D98692"/>
    <w:rsid w:val="39F05F88"/>
    <w:rsid w:val="3A122618"/>
    <w:rsid w:val="3A228826"/>
    <w:rsid w:val="3A3EC720"/>
    <w:rsid w:val="3A46F5A3"/>
    <w:rsid w:val="3A48A3F1"/>
    <w:rsid w:val="3A4EDDAC"/>
    <w:rsid w:val="3A5BDAEC"/>
    <w:rsid w:val="3A6148DC"/>
    <w:rsid w:val="3A640E62"/>
    <w:rsid w:val="3A725569"/>
    <w:rsid w:val="3A740637"/>
    <w:rsid w:val="3A8641C7"/>
    <w:rsid w:val="3A868B3B"/>
    <w:rsid w:val="3A87F5B5"/>
    <w:rsid w:val="3A88D78C"/>
    <w:rsid w:val="3A904324"/>
    <w:rsid w:val="3A94827E"/>
    <w:rsid w:val="3AB51102"/>
    <w:rsid w:val="3ABEDF48"/>
    <w:rsid w:val="3AC28F66"/>
    <w:rsid w:val="3AD3182E"/>
    <w:rsid w:val="3AE92D9E"/>
    <w:rsid w:val="3AFB5014"/>
    <w:rsid w:val="3AFCF626"/>
    <w:rsid w:val="3B02F8E7"/>
    <w:rsid w:val="3B05EF46"/>
    <w:rsid w:val="3B1CA19E"/>
    <w:rsid w:val="3B55DF87"/>
    <w:rsid w:val="3B5DD7DA"/>
    <w:rsid w:val="3B71C21A"/>
    <w:rsid w:val="3B73F0E0"/>
    <w:rsid w:val="3B7BF2CB"/>
    <w:rsid w:val="3B7CE697"/>
    <w:rsid w:val="3B7E9727"/>
    <w:rsid w:val="3B86D89B"/>
    <w:rsid w:val="3B9124D2"/>
    <w:rsid w:val="3B94C382"/>
    <w:rsid w:val="3B9B8007"/>
    <w:rsid w:val="3B9F39DD"/>
    <w:rsid w:val="3BAE4FE9"/>
    <w:rsid w:val="3BB36AD4"/>
    <w:rsid w:val="3BBA2768"/>
    <w:rsid w:val="3BBA31A1"/>
    <w:rsid w:val="3BBB5F20"/>
    <w:rsid w:val="3BBC1E20"/>
    <w:rsid w:val="3BBF336D"/>
    <w:rsid w:val="3BBFE8E8"/>
    <w:rsid w:val="3BC10E36"/>
    <w:rsid w:val="3BC6C86D"/>
    <w:rsid w:val="3BCFBB87"/>
    <w:rsid w:val="3BE7037C"/>
    <w:rsid w:val="3BF72C2B"/>
    <w:rsid w:val="3BFE2597"/>
    <w:rsid w:val="3C059B67"/>
    <w:rsid w:val="3C0FA649"/>
    <w:rsid w:val="3C236FE8"/>
    <w:rsid w:val="3C8A18AC"/>
    <w:rsid w:val="3C95FEC4"/>
    <w:rsid w:val="3C9890C2"/>
    <w:rsid w:val="3CB903EA"/>
    <w:rsid w:val="3CC3D42E"/>
    <w:rsid w:val="3CC9DE29"/>
    <w:rsid w:val="3CD00E95"/>
    <w:rsid w:val="3CDCAEE7"/>
    <w:rsid w:val="3CDEEDD4"/>
    <w:rsid w:val="3CE727D4"/>
    <w:rsid w:val="3CFFE005"/>
    <w:rsid w:val="3D067ED6"/>
    <w:rsid w:val="3D1F01A0"/>
    <w:rsid w:val="3D1FA394"/>
    <w:rsid w:val="3D257A64"/>
    <w:rsid w:val="3D3B34C9"/>
    <w:rsid w:val="3D3E1A94"/>
    <w:rsid w:val="3D41941B"/>
    <w:rsid w:val="3D438D52"/>
    <w:rsid w:val="3D4DF75A"/>
    <w:rsid w:val="3D55073C"/>
    <w:rsid w:val="3D572F81"/>
    <w:rsid w:val="3D62F864"/>
    <w:rsid w:val="3D638524"/>
    <w:rsid w:val="3D67B596"/>
    <w:rsid w:val="3D740C74"/>
    <w:rsid w:val="3D81503B"/>
    <w:rsid w:val="3D87E86B"/>
    <w:rsid w:val="3D97559D"/>
    <w:rsid w:val="3DA51856"/>
    <w:rsid w:val="3DAC99F6"/>
    <w:rsid w:val="3DD08A99"/>
    <w:rsid w:val="3DDA4EE4"/>
    <w:rsid w:val="3DDF2FDA"/>
    <w:rsid w:val="3DE00F8A"/>
    <w:rsid w:val="3DF50A31"/>
    <w:rsid w:val="3DF8C56D"/>
    <w:rsid w:val="3E0B863F"/>
    <w:rsid w:val="3E0CBF8E"/>
    <w:rsid w:val="3E15951D"/>
    <w:rsid w:val="3E1748BC"/>
    <w:rsid w:val="3E18E7AF"/>
    <w:rsid w:val="3E19F9D8"/>
    <w:rsid w:val="3E2E1234"/>
    <w:rsid w:val="3E302AED"/>
    <w:rsid w:val="3E338052"/>
    <w:rsid w:val="3E3389D2"/>
    <w:rsid w:val="3E43DED8"/>
    <w:rsid w:val="3E490503"/>
    <w:rsid w:val="3E4BEF3B"/>
    <w:rsid w:val="3E5DD043"/>
    <w:rsid w:val="3E688322"/>
    <w:rsid w:val="3E6D0340"/>
    <w:rsid w:val="3E73FB5B"/>
    <w:rsid w:val="3E7B2704"/>
    <w:rsid w:val="3E9E984D"/>
    <w:rsid w:val="3EB61473"/>
    <w:rsid w:val="3ECA96A6"/>
    <w:rsid w:val="3ECB015D"/>
    <w:rsid w:val="3ED1954E"/>
    <w:rsid w:val="3ED66681"/>
    <w:rsid w:val="3EDAB636"/>
    <w:rsid w:val="3EDF7093"/>
    <w:rsid w:val="3EE214EE"/>
    <w:rsid w:val="3EEC977D"/>
    <w:rsid w:val="3EF91913"/>
    <w:rsid w:val="3EFE4A76"/>
    <w:rsid w:val="3F0FCD0F"/>
    <w:rsid w:val="3F15932A"/>
    <w:rsid w:val="3F175E9E"/>
    <w:rsid w:val="3F2CDCA9"/>
    <w:rsid w:val="3F3319E4"/>
    <w:rsid w:val="3F344583"/>
    <w:rsid w:val="3F590ACA"/>
    <w:rsid w:val="3F5CF434"/>
    <w:rsid w:val="3F602644"/>
    <w:rsid w:val="3F617BAC"/>
    <w:rsid w:val="3F61BEF8"/>
    <w:rsid w:val="3F668BAA"/>
    <w:rsid w:val="3F69F2FE"/>
    <w:rsid w:val="3F876827"/>
    <w:rsid w:val="3F9C3593"/>
    <w:rsid w:val="3FA175A9"/>
    <w:rsid w:val="3FABAA83"/>
    <w:rsid w:val="3FC90A81"/>
    <w:rsid w:val="3FE85A24"/>
    <w:rsid w:val="3FE9AD16"/>
    <w:rsid w:val="3FE9FDE6"/>
    <w:rsid w:val="40009E07"/>
    <w:rsid w:val="40198A3F"/>
    <w:rsid w:val="40332E1C"/>
    <w:rsid w:val="4042578C"/>
    <w:rsid w:val="40456F8C"/>
    <w:rsid w:val="4049AB72"/>
    <w:rsid w:val="405D2CA5"/>
    <w:rsid w:val="407204A1"/>
    <w:rsid w:val="4075ACCC"/>
    <w:rsid w:val="407E3691"/>
    <w:rsid w:val="407F9350"/>
    <w:rsid w:val="40817672"/>
    <w:rsid w:val="409962DE"/>
    <w:rsid w:val="409F3BBB"/>
    <w:rsid w:val="40A9CC81"/>
    <w:rsid w:val="40C08A76"/>
    <w:rsid w:val="40CAD13E"/>
    <w:rsid w:val="40DC4E6F"/>
    <w:rsid w:val="40E423B0"/>
    <w:rsid w:val="40E6F64E"/>
    <w:rsid w:val="40E9F689"/>
    <w:rsid w:val="40EA2648"/>
    <w:rsid w:val="40F4C781"/>
    <w:rsid w:val="41044E07"/>
    <w:rsid w:val="4107D263"/>
    <w:rsid w:val="411F843F"/>
    <w:rsid w:val="4133E748"/>
    <w:rsid w:val="414320B3"/>
    <w:rsid w:val="414C8741"/>
    <w:rsid w:val="4152BA0B"/>
    <w:rsid w:val="41567760"/>
    <w:rsid w:val="4158D506"/>
    <w:rsid w:val="4159266F"/>
    <w:rsid w:val="416D823C"/>
    <w:rsid w:val="41881964"/>
    <w:rsid w:val="418DB187"/>
    <w:rsid w:val="419ABF93"/>
    <w:rsid w:val="41A3F946"/>
    <w:rsid w:val="41B2DDD2"/>
    <w:rsid w:val="41C2085E"/>
    <w:rsid w:val="41F5DACC"/>
    <w:rsid w:val="4207CD3D"/>
    <w:rsid w:val="42129708"/>
    <w:rsid w:val="42147C0D"/>
    <w:rsid w:val="4214E580"/>
    <w:rsid w:val="4219CC8F"/>
    <w:rsid w:val="4223D35C"/>
    <w:rsid w:val="4239004E"/>
    <w:rsid w:val="42431A08"/>
    <w:rsid w:val="424D7987"/>
    <w:rsid w:val="424FC499"/>
    <w:rsid w:val="42535E16"/>
    <w:rsid w:val="425740AC"/>
    <w:rsid w:val="4263B508"/>
    <w:rsid w:val="426CF9B2"/>
    <w:rsid w:val="426DB640"/>
    <w:rsid w:val="427AA88C"/>
    <w:rsid w:val="427D112A"/>
    <w:rsid w:val="4282C7E4"/>
    <w:rsid w:val="4286BF13"/>
    <w:rsid w:val="4291A5FA"/>
    <w:rsid w:val="42991C6E"/>
    <w:rsid w:val="42A96299"/>
    <w:rsid w:val="42AF9DF6"/>
    <w:rsid w:val="42BF76BB"/>
    <w:rsid w:val="42C367B6"/>
    <w:rsid w:val="42C6E9BE"/>
    <w:rsid w:val="42CEC570"/>
    <w:rsid w:val="42D5C00F"/>
    <w:rsid w:val="42E0B55B"/>
    <w:rsid w:val="42E46A9B"/>
    <w:rsid w:val="42EC3A47"/>
    <w:rsid w:val="42FC20EC"/>
    <w:rsid w:val="4306A6CF"/>
    <w:rsid w:val="4314BD57"/>
    <w:rsid w:val="432351A1"/>
    <w:rsid w:val="43295921"/>
    <w:rsid w:val="432981E8"/>
    <w:rsid w:val="434B65A0"/>
    <w:rsid w:val="43504C51"/>
    <w:rsid w:val="435AC98D"/>
    <w:rsid w:val="4362E7B8"/>
    <w:rsid w:val="43703B1E"/>
    <w:rsid w:val="437438AC"/>
    <w:rsid w:val="4377C813"/>
    <w:rsid w:val="437DDE3E"/>
    <w:rsid w:val="439E4967"/>
    <w:rsid w:val="43A7A643"/>
    <w:rsid w:val="43A91289"/>
    <w:rsid w:val="43C2B47A"/>
    <w:rsid w:val="43C4195D"/>
    <w:rsid w:val="43C854CB"/>
    <w:rsid w:val="43D2F237"/>
    <w:rsid w:val="43D72BA3"/>
    <w:rsid w:val="43D9D06D"/>
    <w:rsid w:val="43FAD3B3"/>
    <w:rsid w:val="440451DD"/>
    <w:rsid w:val="4406BBDA"/>
    <w:rsid w:val="441228D9"/>
    <w:rsid w:val="44176FEC"/>
    <w:rsid w:val="441F9781"/>
    <w:rsid w:val="443131F0"/>
    <w:rsid w:val="44561CA5"/>
    <w:rsid w:val="4469EF5D"/>
    <w:rsid w:val="446C1570"/>
    <w:rsid w:val="446FB4ED"/>
    <w:rsid w:val="447CF4F2"/>
    <w:rsid w:val="449E7E64"/>
    <w:rsid w:val="44A860EA"/>
    <w:rsid w:val="44ABCE78"/>
    <w:rsid w:val="44C02FF4"/>
    <w:rsid w:val="44D14CCF"/>
    <w:rsid w:val="44E02425"/>
    <w:rsid w:val="44EB617A"/>
    <w:rsid w:val="44ECF6BE"/>
    <w:rsid w:val="44EEE14A"/>
    <w:rsid w:val="44F64F46"/>
    <w:rsid w:val="44F69F01"/>
    <w:rsid w:val="45056983"/>
    <w:rsid w:val="4506C637"/>
    <w:rsid w:val="451B5163"/>
    <w:rsid w:val="451E86F4"/>
    <w:rsid w:val="452F1F70"/>
    <w:rsid w:val="453DA1C9"/>
    <w:rsid w:val="453F5124"/>
    <w:rsid w:val="45436E80"/>
    <w:rsid w:val="45443E8D"/>
    <w:rsid w:val="455099EA"/>
    <w:rsid w:val="4554681B"/>
    <w:rsid w:val="45594961"/>
    <w:rsid w:val="45649935"/>
    <w:rsid w:val="45701BF7"/>
    <w:rsid w:val="459CCFEE"/>
    <w:rsid w:val="45AEE851"/>
    <w:rsid w:val="45B13385"/>
    <w:rsid w:val="45B1AF8F"/>
    <w:rsid w:val="45B46D1C"/>
    <w:rsid w:val="45BC8494"/>
    <w:rsid w:val="45C43104"/>
    <w:rsid w:val="45C54BE8"/>
    <w:rsid w:val="45CF8DB7"/>
    <w:rsid w:val="45D44203"/>
    <w:rsid w:val="45D78180"/>
    <w:rsid w:val="45DED5B5"/>
    <w:rsid w:val="45E045AF"/>
    <w:rsid w:val="45E87C44"/>
    <w:rsid w:val="45FBD695"/>
    <w:rsid w:val="461284F9"/>
    <w:rsid w:val="4627A504"/>
    <w:rsid w:val="46364A13"/>
    <w:rsid w:val="464540CE"/>
    <w:rsid w:val="4648F87D"/>
    <w:rsid w:val="46502B7E"/>
    <w:rsid w:val="466CD3E1"/>
    <w:rsid w:val="466F588B"/>
    <w:rsid w:val="469F946E"/>
    <w:rsid w:val="46AA0BCE"/>
    <w:rsid w:val="46AE8574"/>
    <w:rsid w:val="46B8F474"/>
    <w:rsid w:val="46C5C7C4"/>
    <w:rsid w:val="46C8EED8"/>
    <w:rsid w:val="46D2E665"/>
    <w:rsid w:val="46D33780"/>
    <w:rsid w:val="46EBCAE3"/>
    <w:rsid w:val="46ECAACE"/>
    <w:rsid w:val="46EF36ED"/>
    <w:rsid w:val="4700A17D"/>
    <w:rsid w:val="4708A164"/>
    <w:rsid w:val="47090BDB"/>
    <w:rsid w:val="470B4172"/>
    <w:rsid w:val="470F2402"/>
    <w:rsid w:val="470F6C9F"/>
    <w:rsid w:val="47279AEA"/>
    <w:rsid w:val="47284188"/>
    <w:rsid w:val="472F9AF7"/>
    <w:rsid w:val="47324887"/>
    <w:rsid w:val="47385AA4"/>
    <w:rsid w:val="473A1B16"/>
    <w:rsid w:val="473C0854"/>
    <w:rsid w:val="473F701E"/>
    <w:rsid w:val="473FE45E"/>
    <w:rsid w:val="47430079"/>
    <w:rsid w:val="47503D7D"/>
    <w:rsid w:val="475D1355"/>
    <w:rsid w:val="477D4A82"/>
    <w:rsid w:val="478660E6"/>
    <w:rsid w:val="479939DA"/>
    <w:rsid w:val="479FB7C3"/>
    <w:rsid w:val="47A846A0"/>
    <w:rsid w:val="47CD5B16"/>
    <w:rsid w:val="47E20A7D"/>
    <w:rsid w:val="47F1A224"/>
    <w:rsid w:val="47F6A4ED"/>
    <w:rsid w:val="48020C4A"/>
    <w:rsid w:val="480E36CB"/>
    <w:rsid w:val="480E7AB3"/>
    <w:rsid w:val="480FAC81"/>
    <w:rsid w:val="48120378"/>
    <w:rsid w:val="48185C7E"/>
    <w:rsid w:val="482125D6"/>
    <w:rsid w:val="4827D5E1"/>
    <w:rsid w:val="482DAF33"/>
    <w:rsid w:val="4832EA50"/>
    <w:rsid w:val="48540BF1"/>
    <w:rsid w:val="48694421"/>
    <w:rsid w:val="486BAE3F"/>
    <w:rsid w:val="48804E89"/>
    <w:rsid w:val="4884500B"/>
    <w:rsid w:val="4895D99A"/>
    <w:rsid w:val="48963FDE"/>
    <w:rsid w:val="489EA583"/>
    <w:rsid w:val="489F66D3"/>
    <w:rsid w:val="48A2759E"/>
    <w:rsid w:val="48AF2489"/>
    <w:rsid w:val="48AF8476"/>
    <w:rsid w:val="48B11D78"/>
    <w:rsid w:val="48C9A242"/>
    <w:rsid w:val="48CB3045"/>
    <w:rsid w:val="48CE67AA"/>
    <w:rsid w:val="48D1B26E"/>
    <w:rsid w:val="48D1D94D"/>
    <w:rsid w:val="48DA2FDB"/>
    <w:rsid w:val="48F559AA"/>
    <w:rsid w:val="48FBE46C"/>
    <w:rsid w:val="4908535B"/>
    <w:rsid w:val="490B59D3"/>
    <w:rsid w:val="491D2EEA"/>
    <w:rsid w:val="4920BB12"/>
    <w:rsid w:val="4927563B"/>
    <w:rsid w:val="492BC213"/>
    <w:rsid w:val="4937284E"/>
    <w:rsid w:val="4939E265"/>
    <w:rsid w:val="4950C3FA"/>
    <w:rsid w:val="4956F1C7"/>
    <w:rsid w:val="496002C6"/>
    <w:rsid w:val="496B8881"/>
    <w:rsid w:val="49751787"/>
    <w:rsid w:val="499E1344"/>
    <w:rsid w:val="49A810B7"/>
    <w:rsid w:val="49B0EC0F"/>
    <w:rsid w:val="49C793C7"/>
    <w:rsid w:val="49D5B747"/>
    <w:rsid w:val="49E136F0"/>
    <w:rsid w:val="49EEA410"/>
    <w:rsid w:val="4A02611D"/>
    <w:rsid w:val="4A150463"/>
    <w:rsid w:val="4A1A21B4"/>
    <w:rsid w:val="4A1DA3C0"/>
    <w:rsid w:val="4A29DAAE"/>
    <w:rsid w:val="4A2DE043"/>
    <w:rsid w:val="4A2E85D4"/>
    <w:rsid w:val="4A3299A7"/>
    <w:rsid w:val="4A3E8C0A"/>
    <w:rsid w:val="4A490350"/>
    <w:rsid w:val="4A4F4473"/>
    <w:rsid w:val="4A5C81B4"/>
    <w:rsid w:val="4A683A18"/>
    <w:rsid w:val="4A75B220"/>
    <w:rsid w:val="4AB05C50"/>
    <w:rsid w:val="4AB11077"/>
    <w:rsid w:val="4ABE26E3"/>
    <w:rsid w:val="4AD0DA9C"/>
    <w:rsid w:val="4AD94CA2"/>
    <w:rsid w:val="4ADAAFBA"/>
    <w:rsid w:val="4ADFCAF0"/>
    <w:rsid w:val="4B00EB55"/>
    <w:rsid w:val="4B104D1F"/>
    <w:rsid w:val="4B11C1C6"/>
    <w:rsid w:val="4B123128"/>
    <w:rsid w:val="4B1F5538"/>
    <w:rsid w:val="4B207EAA"/>
    <w:rsid w:val="4B22CF38"/>
    <w:rsid w:val="4B276B86"/>
    <w:rsid w:val="4B277892"/>
    <w:rsid w:val="4B2C032B"/>
    <w:rsid w:val="4B336CD5"/>
    <w:rsid w:val="4B4F2A6D"/>
    <w:rsid w:val="4B580437"/>
    <w:rsid w:val="4B5A30A9"/>
    <w:rsid w:val="4B63727D"/>
    <w:rsid w:val="4B6AADD6"/>
    <w:rsid w:val="4B6D2C94"/>
    <w:rsid w:val="4B7A6143"/>
    <w:rsid w:val="4B8EA861"/>
    <w:rsid w:val="4BA17876"/>
    <w:rsid w:val="4BB45A0F"/>
    <w:rsid w:val="4BB48B9D"/>
    <w:rsid w:val="4BB6E995"/>
    <w:rsid w:val="4BC0CA45"/>
    <w:rsid w:val="4BCE4EC6"/>
    <w:rsid w:val="4BD4F24A"/>
    <w:rsid w:val="4BD791A2"/>
    <w:rsid w:val="4BDCFDB9"/>
    <w:rsid w:val="4C013165"/>
    <w:rsid w:val="4C02031E"/>
    <w:rsid w:val="4C02631C"/>
    <w:rsid w:val="4C02ADD7"/>
    <w:rsid w:val="4C06585E"/>
    <w:rsid w:val="4C0F1168"/>
    <w:rsid w:val="4C15994B"/>
    <w:rsid w:val="4C1B70A4"/>
    <w:rsid w:val="4C4557FF"/>
    <w:rsid w:val="4C4647D9"/>
    <w:rsid w:val="4C48F201"/>
    <w:rsid w:val="4C4C4E07"/>
    <w:rsid w:val="4C50C197"/>
    <w:rsid w:val="4C63C5ED"/>
    <w:rsid w:val="4C63CAC5"/>
    <w:rsid w:val="4C68821C"/>
    <w:rsid w:val="4C690C15"/>
    <w:rsid w:val="4C711CDA"/>
    <w:rsid w:val="4C74B5E0"/>
    <w:rsid w:val="4C8237BA"/>
    <w:rsid w:val="4C9AA75B"/>
    <w:rsid w:val="4CA331D9"/>
    <w:rsid w:val="4CA5F893"/>
    <w:rsid w:val="4CABAD9F"/>
    <w:rsid w:val="4CB58DF9"/>
    <w:rsid w:val="4CCC81D1"/>
    <w:rsid w:val="4CCD0F62"/>
    <w:rsid w:val="4CCED19A"/>
    <w:rsid w:val="4CD1D186"/>
    <w:rsid w:val="4CD41357"/>
    <w:rsid w:val="4CD807CC"/>
    <w:rsid w:val="4CD84187"/>
    <w:rsid w:val="4CD8D417"/>
    <w:rsid w:val="4CDC22FA"/>
    <w:rsid w:val="4CDCFC6F"/>
    <w:rsid w:val="4CDE2547"/>
    <w:rsid w:val="4CDFDAB8"/>
    <w:rsid w:val="4CE4D92E"/>
    <w:rsid w:val="4CEE84D9"/>
    <w:rsid w:val="4CF0157A"/>
    <w:rsid w:val="4CF8D90C"/>
    <w:rsid w:val="4D0E2636"/>
    <w:rsid w:val="4D1B7CB1"/>
    <w:rsid w:val="4D1DBC18"/>
    <w:rsid w:val="4D1E690B"/>
    <w:rsid w:val="4D257C81"/>
    <w:rsid w:val="4D27F62D"/>
    <w:rsid w:val="4D360710"/>
    <w:rsid w:val="4D3B18DD"/>
    <w:rsid w:val="4D5682BD"/>
    <w:rsid w:val="4D5B2286"/>
    <w:rsid w:val="4D661AA9"/>
    <w:rsid w:val="4D68E77B"/>
    <w:rsid w:val="4D6C5FE8"/>
    <w:rsid w:val="4D7B7A25"/>
    <w:rsid w:val="4D7BFE7D"/>
    <w:rsid w:val="4D8023A4"/>
    <w:rsid w:val="4D87DF7F"/>
    <w:rsid w:val="4DD4463C"/>
    <w:rsid w:val="4DE60AD9"/>
    <w:rsid w:val="4DE7D3BE"/>
    <w:rsid w:val="4DEB18F4"/>
    <w:rsid w:val="4DF3B54D"/>
    <w:rsid w:val="4DF96B3D"/>
    <w:rsid w:val="4E09A66B"/>
    <w:rsid w:val="4E0A52F8"/>
    <w:rsid w:val="4E0C0607"/>
    <w:rsid w:val="4E32E6DB"/>
    <w:rsid w:val="4E4DA9A5"/>
    <w:rsid w:val="4E55C723"/>
    <w:rsid w:val="4E655CA1"/>
    <w:rsid w:val="4E751FFB"/>
    <w:rsid w:val="4E7BFF88"/>
    <w:rsid w:val="4E80E57B"/>
    <w:rsid w:val="4E849024"/>
    <w:rsid w:val="4EB3C9D1"/>
    <w:rsid w:val="4EB93DD0"/>
    <w:rsid w:val="4EBDF106"/>
    <w:rsid w:val="4EC80D4F"/>
    <w:rsid w:val="4ED418B9"/>
    <w:rsid w:val="4EDB94C2"/>
    <w:rsid w:val="4EF5D45D"/>
    <w:rsid w:val="4EF7FA05"/>
    <w:rsid w:val="4F010CAF"/>
    <w:rsid w:val="4F04D997"/>
    <w:rsid w:val="4F0B3256"/>
    <w:rsid w:val="4F0D46AA"/>
    <w:rsid w:val="4F17137C"/>
    <w:rsid w:val="4F1F8278"/>
    <w:rsid w:val="4F2C4415"/>
    <w:rsid w:val="4F4445CE"/>
    <w:rsid w:val="4F47C2E7"/>
    <w:rsid w:val="4F526084"/>
    <w:rsid w:val="4F560F24"/>
    <w:rsid w:val="4F60ADBF"/>
    <w:rsid w:val="4F68F039"/>
    <w:rsid w:val="4F743CB6"/>
    <w:rsid w:val="4F93B4BA"/>
    <w:rsid w:val="4F94159E"/>
    <w:rsid w:val="4F9D62DD"/>
    <w:rsid w:val="4F9DFF25"/>
    <w:rsid w:val="4F9E05DD"/>
    <w:rsid w:val="4FA51D09"/>
    <w:rsid w:val="4FBE998F"/>
    <w:rsid w:val="4FCD71C1"/>
    <w:rsid w:val="4FD3654A"/>
    <w:rsid w:val="4FD3954C"/>
    <w:rsid w:val="4FD3E9E9"/>
    <w:rsid w:val="4FE4661D"/>
    <w:rsid w:val="4FF280AB"/>
    <w:rsid w:val="4FF3EFF3"/>
    <w:rsid w:val="4FFE24E9"/>
    <w:rsid w:val="500D4AC7"/>
    <w:rsid w:val="500DB075"/>
    <w:rsid w:val="500F1B17"/>
    <w:rsid w:val="500FCEF1"/>
    <w:rsid w:val="50305DB5"/>
    <w:rsid w:val="5034295C"/>
    <w:rsid w:val="503A89EA"/>
    <w:rsid w:val="50523A0C"/>
    <w:rsid w:val="505A8BB0"/>
    <w:rsid w:val="505CA670"/>
    <w:rsid w:val="5063316B"/>
    <w:rsid w:val="5071E576"/>
    <w:rsid w:val="50777CE9"/>
    <w:rsid w:val="507DB139"/>
    <w:rsid w:val="50850BF6"/>
    <w:rsid w:val="508E4DD6"/>
    <w:rsid w:val="5093EA10"/>
    <w:rsid w:val="509FC90E"/>
    <w:rsid w:val="50A69A0F"/>
    <w:rsid w:val="50ACD5B0"/>
    <w:rsid w:val="50BE449C"/>
    <w:rsid w:val="50BE54BE"/>
    <w:rsid w:val="50BEA332"/>
    <w:rsid w:val="50C15714"/>
    <w:rsid w:val="50CB0B19"/>
    <w:rsid w:val="50CDBCFD"/>
    <w:rsid w:val="50CE81D6"/>
    <w:rsid w:val="50D527B2"/>
    <w:rsid w:val="50E07D7F"/>
    <w:rsid w:val="50F6CF10"/>
    <w:rsid w:val="5110287E"/>
    <w:rsid w:val="51162728"/>
    <w:rsid w:val="511ABF08"/>
    <w:rsid w:val="5125E555"/>
    <w:rsid w:val="5127F2A6"/>
    <w:rsid w:val="513491C7"/>
    <w:rsid w:val="51398676"/>
    <w:rsid w:val="513E493B"/>
    <w:rsid w:val="5148A9C1"/>
    <w:rsid w:val="5156F368"/>
    <w:rsid w:val="5159EB61"/>
    <w:rsid w:val="515AC28C"/>
    <w:rsid w:val="517AC84B"/>
    <w:rsid w:val="517F8EA3"/>
    <w:rsid w:val="517FC972"/>
    <w:rsid w:val="51890758"/>
    <w:rsid w:val="518AC094"/>
    <w:rsid w:val="518AD9F7"/>
    <w:rsid w:val="518F185F"/>
    <w:rsid w:val="51904D3C"/>
    <w:rsid w:val="51A7EAF7"/>
    <w:rsid w:val="51AD82D4"/>
    <w:rsid w:val="51BA9E90"/>
    <w:rsid w:val="51C126AC"/>
    <w:rsid w:val="51C33A7D"/>
    <w:rsid w:val="51CA51A8"/>
    <w:rsid w:val="51CDF11B"/>
    <w:rsid w:val="51EEF8E0"/>
    <w:rsid w:val="51F82C65"/>
    <w:rsid w:val="51FD19CD"/>
    <w:rsid w:val="520AA1AE"/>
    <w:rsid w:val="523AECD8"/>
    <w:rsid w:val="52444056"/>
    <w:rsid w:val="524B01F4"/>
    <w:rsid w:val="524C8AF9"/>
    <w:rsid w:val="52722FFB"/>
    <w:rsid w:val="527E6FE7"/>
    <w:rsid w:val="52864E2A"/>
    <w:rsid w:val="52937C87"/>
    <w:rsid w:val="52A62434"/>
    <w:rsid w:val="52BA787A"/>
    <w:rsid w:val="52BDF770"/>
    <w:rsid w:val="52CABB3A"/>
    <w:rsid w:val="52D8D1DD"/>
    <w:rsid w:val="52E0CC81"/>
    <w:rsid w:val="52EA4633"/>
    <w:rsid w:val="52EB21B6"/>
    <w:rsid w:val="52F50096"/>
    <w:rsid w:val="52F85B56"/>
    <w:rsid w:val="5313717E"/>
    <w:rsid w:val="5317E70F"/>
    <w:rsid w:val="531A2724"/>
    <w:rsid w:val="53228A68"/>
    <w:rsid w:val="5330E7EE"/>
    <w:rsid w:val="533CF4BC"/>
    <w:rsid w:val="53649F8C"/>
    <w:rsid w:val="5369FA6E"/>
    <w:rsid w:val="536D2723"/>
    <w:rsid w:val="5371557C"/>
    <w:rsid w:val="53729A8C"/>
    <w:rsid w:val="5373469D"/>
    <w:rsid w:val="5375EB6F"/>
    <w:rsid w:val="538948DB"/>
    <w:rsid w:val="5393D1AA"/>
    <w:rsid w:val="53D3ACF6"/>
    <w:rsid w:val="53D647F2"/>
    <w:rsid w:val="53D71AD2"/>
    <w:rsid w:val="53DC9E04"/>
    <w:rsid w:val="53E62368"/>
    <w:rsid w:val="53F4D3AA"/>
    <w:rsid w:val="54053FEA"/>
    <w:rsid w:val="54176E5D"/>
    <w:rsid w:val="541BDEC7"/>
    <w:rsid w:val="542ED9E7"/>
    <w:rsid w:val="5445814E"/>
    <w:rsid w:val="5461A9F2"/>
    <w:rsid w:val="546349BD"/>
    <w:rsid w:val="5466D959"/>
    <w:rsid w:val="5468879E"/>
    <w:rsid w:val="546FF4CD"/>
    <w:rsid w:val="54718417"/>
    <w:rsid w:val="5489AE2F"/>
    <w:rsid w:val="54996FA3"/>
    <w:rsid w:val="54A377AE"/>
    <w:rsid w:val="54AAA5DB"/>
    <w:rsid w:val="54B10A1B"/>
    <w:rsid w:val="54BBA673"/>
    <w:rsid w:val="54C161C7"/>
    <w:rsid w:val="54D3AEF2"/>
    <w:rsid w:val="54DC39AF"/>
    <w:rsid w:val="54DDBA9E"/>
    <w:rsid w:val="54E2DDA3"/>
    <w:rsid w:val="54E53826"/>
    <w:rsid w:val="550B4375"/>
    <w:rsid w:val="554D8C50"/>
    <w:rsid w:val="55509B22"/>
    <w:rsid w:val="555201EE"/>
    <w:rsid w:val="555360EC"/>
    <w:rsid w:val="5561CC89"/>
    <w:rsid w:val="55681B9C"/>
    <w:rsid w:val="556C7E15"/>
    <w:rsid w:val="55828CAA"/>
    <w:rsid w:val="5583D686"/>
    <w:rsid w:val="5592FB06"/>
    <w:rsid w:val="5593A61E"/>
    <w:rsid w:val="559C4755"/>
    <w:rsid w:val="55A69444"/>
    <w:rsid w:val="55AB3633"/>
    <w:rsid w:val="55B75F60"/>
    <w:rsid w:val="55CCBDBA"/>
    <w:rsid w:val="55CF223F"/>
    <w:rsid w:val="55E15F77"/>
    <w:rsid w:val="55E4F99A"/>
    <w:rsid w:val="55E4FEE9"/>
    <w:rsid w:val="55F7418F"/>
    <w:rsid w:val="56071BB4"/>
    <w:rsid w:val="56088C07"/>
    <w:rsid w:val="560B2E73"/>
    <w:rsid w:val="560E8171"/>
    <w:rsid w:val="562B55D0"/>
    <w:rsid w:val="562EC693"/>
    <w:rsid w:val="563F29A5"/>
    <w:rsid w:val="5640A0EB"/>
    <w:rsid w:val="564FF63B"/>
    <w:rsid w:val="5655DBE7"/>
    <w:rsid w:val="565FEBCC"/>
    <w:rsid w:val="56735F5F"/>
    <w:rsid w:val="567577AF"/>
    <w:rsid w:val="56784583"/>
    <w:rsid w:val="56849309"/>
    <w:rsid w:val="569174E0"/>
    <w:rsid w:val="5695389B"/>
    <w:rsid w:val="569562F4"/>
    <w:rsid w:val="56AB9E92"/>
    <w:rsid w:val="56B3779A"/>
    <w:rsid w:val="56B3BC51"/>
    <w:rsid w:val="56BA29A5"/>
    <w:rsid w:val="56C591AF"/>
    <w:rsid w:val="56CBBC3F"/>
    <w:rsid w:val="56CBDA0B"/>
    <w:rsid w:val="56D19239"/>
    <w:rsid w:val="56D69D80"/>
    <w:rsid w:val="56E81DBC"/>
    <w:rsid w:val="56F364D3"/>
    <w:rsid w:val="56FAD2A4"/>
    <w:rsid w:val="56FB9B5A"/>
    <w:rsid w:val="56FE856B"/>
    <w:rsid w:val="57099D07"/>
    <w:rsid w:val="570F29CC"/>
    <w:rsid w:val="573E931B"/>
    <w:rsid w:val="573F0CBF"/>
    <w:rsid w:val="5743C6D5"/>
    <w:rsid w:val="574AF2B9"/>
    <w:rsid w:val="574ECB6C"/>
    <w:rsid w:val="574EE0F2"/>
    <w:rsid w:val="57543807"/>
    <w:rsid w:val="57562318"/>
    <w:rsid w:val="5760E055"/>
    <w:rsid w:val="578757F7"/>
    <w:rsid w:val="5788E220"/>
    <w:rsid w:val="578FE6CC"/>
    <w:rsid w:val="579396DA"/>
    <w:rsid w:val="57AB6086"/>
    <w:rsid w:val="57AD5C33"/>
    <w:rsid w:val="57B09354"/>
    <w:rsid w:val="57BFE201"/>
    <w:rsid w:val="58009002"/>
    <w:rsid w:val="58018BF9"/>
    <w:rsid w:val="5803C9A4"/>
    <w:rsid w:val="58083706"/>
    <w:rsid w:val="58097040"/>
    <w:rsid w:val="581D60EF"/>
    <w:rsid w:val="5822EB34"/>
    <w:rsid w:val="5825AABA"/>
    <w:rsid w:val="582BD4DE"/>
    <w:rsid w:val="5858BDA0"/>
    <w:rsid w:val="585E5359"/>
    <w:rsid w:val="5864577F"/>
    <w:rsid w:val="5865CFF5"/>
    <w:rsid w:val="5879E648"/>
    <w:rsid w:val="587AF131"/>
    <w:rsid w:val="587DF0A4"/>
    <w:rsid w:val="588A8585"/>
    <w:rsid w:val="58912C5C"/>
    <w:rsid w:val="589ED001"/>
    <w:rsid w:val="58A68B30"/>
    <w:rsid w:val="58A75431"/>
    <w:rsid w:val="58ACE253"/>
    <w:rsid w:val="58B0C6C3"/>
    <w:rsid w:val="58BB45AC"/>
    <w:rsid w:val="58D35F93"/>
    <w:rsid w:val="58DA27F8"/>
    <w:rsid w:val="58E9B075"/>
    <w:rsid w:val="58EC93E8"/>
    <w:rsid w:val="58EF4C8E"/>
    <w:rsid w:val="58F4B047"/>
    <w:rsid w:val="58F52AE5"/>
    <w:rsid w:val="591179FD"/>
    <w:rsid w:val="591D51BD"/>
    <w:rsid w:val="5926335A"/>
    <w:rsid w:val="593211EE"/>
    <w:rsid w:val="5935D95F"/>
    <w:rsid w:val="59455433"/>
    <w:rsid w:val="5946B563"/>
    <w:rsid w:val="595D5191"/>
    <w:rsid w:val="596166C2"/>
    <w:rsid w:val="59749F9D"/>
    <w:rsid w:val="5979A1F7"/>
    <w:rsid w:val="597BACD5"/>
    <w:rsid w:val="597EAC85"/>
    <w:rsid w:val="5984243B"/>
    <w:rsid w:val="599FB558"/>
    <w:rsid w:val="59B44D92"/>
    <w:rsid w:val="59B8D51E"/>
    <w:rsid w:val="59ECEEC5"/>
    <w:rsid w:val="5A158539"/>
    <w:rsid w:val="5A15B6A9"/>
    <w:rsid w:val="5A19C105"/>
    <w:rsid w:val="5A2B4E93"/>
    <w:rsid w:val="5A3F696F"/>
    <w:rsid w:val="5A4B6537"/>
    <w:rsid w:val="5A4C11AD"/>
    <w:rsid w:val="5A4C5AA1"/>
    <w:rsid w:val="5A4C9724"/>
    <w:rsid w:val="5A51975F"/>
    <w:rsid w:val="5A5AD282"/>
    <w:rsid w:val="5A64990E"/>
    <w:rsid w:val="5A78F81B"/>
    <w:rsid w:val="5A832FC2"/>
    <w:rsid w:val="5AC712E8"/>
    <w:rsid w:val="5ACA8EE5"/>
    <w:rsid w:val="5ACE43BB"/>
    <w:rsid w:val="5ACFB6D9"/>
    <w:rsid w:val="5AD26C08"/>
    <w:rsid w:val="5AD49A8B"/>
    <w:rsid w:val="5AD70629"/>
    <w:rsid w:val="5ADECE9D"/>
    <w:rsid w:val="5AEE01D6"/>
    <w:rsid w:val="5AF1C9C8"/>
    <w:rsid w:val="5AF5D7FD"/>
    <w:rsid w:val="5B086E10"/>
    <w:rsid w:val="5B0D488C"/>
    <w:rsid w:val="5B19ECBB"/>
    <w:rsid w:val="5B1D4A5C"/>
    <w:rsid w:val="5B200C7B"/>
    <w:rsid w:val="5B21756F"/>
    <w:rsid w:val="5B301E2A"/>
    <w:rsid w:val="5B3A1653"/>
    <w:rsid w:val="5B3EF15E"/>
    <w:rsid w:val="5B41A873"/>
    <w:rsid w:val="5B49E1DD"/>
    <w:rsid w:val="5B56CFAE"/>
    <w:rsid w:val="5B5B2D15"/>
    <w:rsid w:val="5B767EBD"/>
    <w:rsid w:val="5B97C18D"/>
    <w:rsid w:val="5BA41D3E"/>
    <w:rsid w:val="5BA66489"/>
    <w:rsid w:val="5BCF7B84"/>
    <w:rsid w:val="5BDAC159"/>
    <w:rsid w:val="5BEB2968"/>
    <w:rsid w:val="5BEE124D"/>
    <w:rsid w:val="5BF0C715"/>
    <w:rsid w:val="5BF9BF95"/>
    <w:rsid w:val="5C002A83"/>
    <w:rsid w:val="5C171E2F"/>
    <w:rsid w:val="5C19058F"/>
    <w:rsid w:val="5C22EBF5"/>
    <w:rsid w:val="5C25FD45"/>
    <w:rsid w:val="5C39B6F0"/>
    <w:rsid w:val="5C3ACE89"/>
    <w:rsid w:val="5C487145"/>
    <w:rsid w:val="5C4EFEB8"/>
    <w:rsid w:val="5C553E7F"/>
    <w:rsid w:val="5C5F297A"/>
    <w:rsid w:val="5C644A45"/>
    <w:rsid w:val="5C73DCA3"/>
    <w:rsid w:val="5C7AD4F0"/>
    <w:rsid w:val="5C7CF989"/>
    <w:rsid w:val="5C8150B6"/>
    <w:rsid w:val="5C8E04A2"/>
    <w:rsid w:val="5CB43637"/>
    <w:rsid w:val="5CBC5F96"/>
    <w:rsid w:val="5CCFF267"/>
    <w:rsid w:val="5CDF934A"/>
    <w:rsid w:val="5D03168F"/>
    <w:rsid w:val="5D062E14"/>
    <w:rsid w:val="5D0F53E6"/>
    <w:rsid w:val="5D1BCBAF"/>
    <w:rsid w:val="5D1DBB30"/>
    <w:rsid w:val="5D1EA830"/>
    <w:rsid w:val="5D288F11"/>
    <w:rsid w:val="5D2A8A68"/>
    <w:rsid w:val="5D30A63B"/>
    <w:rsid w:val="5D33E7D8"/>
    <w:rsid w:val="5D475220"/>
    <w:rsid w:val="5D5899E8"/>
    <w:rsid w:val="5D5967EF"/>
    <w:rsid w:val="5D6A4EB8"/>
    <w:rsid w:val="5D722930"/>
    <w:rsid w:val="5D82D704"/>
    <w:rsid w:val="5D8787B7"/>
    <w:rsid w:val="5D912AD8"/>
    <w:rsid w:val="5D9B6F73"/>
    <w:rsid w:val="5DAA5E5D"/>
    <w:rsid w:val="5DE07329"/>
    <w:rsid w:val="5E0E8558"/>
    <w:rsid w:val="5E105A48"/>
    <w:rsid w:val="5E119B91"/>
    <w:rsid w:val="5E159346"/>
    <w:rsid w:val="5E2659AA"/>
    <w:rsid w:val="5E606316"/>
    <w:rsid w:val="5E73BA41"/>
    <w:rsid w:val="5E7FAFE4"/>
    <w:rsid w:val="5E836B64"/>
    <w:rsid w:val="5E83F9F1"/>
    <w:rsid w:val="5E91E3DB"/>
    <w:rsid w:val="5E9D88AF"/>
    <w:rsid w:val="5EA4135E"/>
    <w:rsid w:val="5EA8F948"/>
    <w:rsid w:val="5EB75494"/>
    <w:rsid w:val="5EC6B8D3"/>
    <w:rsid w:val="5EDD6296"/>
    <w:rsid w:val="5EFED156"/>
    <w:rsid w:val="5F018315"/>
    <w:rsid w:val="5F070746"/>
    <w:rsid w:val="5F0C0F88"/>
    <w:rsid w:val="5F11BEF1"/>
    <w:rsid w:val="5F2498C6"/>
    <w:rsid w:val="5F2958A7"/>
    <w:rsid w:val="5F40076D"/>
    <w:rsid w:val="5F407ADA"/>
    <w:rsid w:val="5F465847"/>
    <w:rsid w:val="5F519336"/>
    <w:rsid w:val="5F52BC24"/>
    <w:rsid w:val="5F56A291"/>
    <w:rsid w:val="5F5E5017"/>
    <w:rsid w:val="5F6F5439"/>
    <w:rsid w:val="5F6F59D8"/>
    <w:rsid w:val="5F75019F"/>
    <w:rsid w:val="5F7ED571"/>
    <w:rsid w:val="5F8FA255"/>
    <w:rsid w:val="5F9245CA"/>
    <w:rsid w:val="5F9AFBDE"/>
    <w:rsid w:val="5FA3B3ED"/>
    <w:rsid w:val="5FA6CB46"/>
    <w:rsid w:val="5FAB107D"/>
    <w:rsid w:val="5FBEE8E1"/>
    <w:rsid w:val="5FC01239"/>
    <w:rsid w:val="5FCAD0EE"/>
    <w:rsid w:val="5FDA985F"/>
    <w:rsid w:val="5FDDA853"/>
    <w:rsid w:val="5FEDD541"/>
    <w:rsid w:val="5FFB2D80"/>
    <w:rsid w:val="5FFCB798"/>
    <w:rsid w:val="6004E21B"/>
    <w:rsid w:val="60065892"/>
    <w:rsid w:val="60097BF2"/>
    <w:rsid w:val="601E933D"/>
    <w:rsid w:val="601F6040"/>
    <w:rsid w:val="602F429F"/>
    <w:rsid w:val="60349191"/>
    <w:rsid w:val="60407245"/>
    <w:rsid w:val="604E115B"/>
    <w:rsid w:val="604E36E8"/>
    <w:rsid w:val="6069FBE3"/>
    <w:rsid w:val="607092BB"/>
    <w:rsid w:val="60713864"/>
    <w:rsid w:val="608230F5"/>
    <w:rsid w:val="6087C6A2"/>
    <w:rsid w:val="60956D45"/>
    <w:rsid w:val="60979236"/>
    <w:rsid w:val="60ACFD81"/>
    <w:rsid w:val="60BBD8A8"/>
    <w:rsid w:val="60D3D645"/>
    <w:rsid w:val="60D820A4"/>
    <w:rsid w:val="60F35E89"/>
    <w:rsid w:val="60F8605D"/>
    <w:rsid w:val="60FFF0E2"/>
    <w:rsid w:val="6103422E"/>
    <w:rsid w:val="6114A513"/>
    <w:rsid w:val="611C9BF5"/>
    <w:rsid w:val="61347D08"/>
    <w:rsid w:val="613CBE56"/>
    <w:rsid w:val="613D1E3D"/>
    <w:rsid w:val="615618C0"/>
    <w:rsid w:val="615F1A5A"/>
    <w:rsid w:val="6163A824"/>
    <w:rsid w:val="618483AE"/>
    <w:rsid w:val="618AF17C"/>
    <w:rsid w:val="618E85B8"/>
    <w:rsid w:val="619ACCC2"/>
    <w:rsid w:val="619C87BA"/>
    <w:rsid w:val="619D763E"/>
    <w:rsid w:val="61A754A0"/>
    <w:rsid w:val="61A88F10"/>
    <w:rsid w:val="61B9A86B"/>
    <w:rsid w:val="61C7C7E9"/>
    <w:rsid w:val="61D7C1B2"/>
    <w:rsid w:val="61DC0ABD"/>
    <w:rsid w:val="61DED84D"/>
    <w:rsid w:val="61FD7770"/>
    <w:rsid w:val="6200DF31"/>
    <w:rsid w:val="6201A402"/>
    <w:rsid w:val="6203C575"/>
    <w:rsid w:val="621B5679"/>
    <w:rsid w:val="621C513D"/>
    <w:rsid w:val="62219884"/>
    <w:rsid w:val="622BA24F"/>
    <w:rsid w:val="6235C1DD"/>
    <w:rsid w:val="623E6259"/>
    <w:rsid w:val="623F1D6A"/>
    <w:rsid w:val="624B01A6"/>
    <w:rsid w:val="624BBD72"/>
    <w:rsid w:val="6261FB0F"/>
    <w:rsid w:val="626AA257"/>
    <w:rsid w:val="6270F81E"/>
    <w:rsid w:val="6278D53C"/>
    <w:rsid w:val="6280C0A7"/>
    <w:rsid w:val="628BFABA"/>
    <w:rsid w:val="629B2191"/>
    <w:rsid w:val="629B7108"/>
    <w:rsid w:val="62ABD1C4"/>
    <w:rsid w:val="62B5DFF5"/>
    <w:rsid w:val="62B7A632"/>
    <w:rsid w:val="62B7CE27"/>
    <w:rsid w:val="62C6DC4D"/>
    <w:rsid w:val="62E7799F"/>
    <w:rsid w:val="62EC41C6"/>
    <w:rsid w:val="630E8118"/>
    <w:rsid w:val="6313CDD7"/>
    <w:rsid w:val="6322E852"/>
    <w:rsid w:val="632970AE"/>
    <w:rsid w:val="633B3132"/>
    <w:rsid w:val="633DFF2C"/>
    <w:rsid w:val="63432D47"/>
    <w:rsid w:val="634C21A6"/>
    <w:rsid w:val="634E8612"/>
    <w:rsid w:val="6358B949"/>
    <w:rsid w:val="636474F1"/>
    <w:rsid w:val="637B31B5"/>
    <w:rsid w:val="637D3019"/>
    <w:rsid w:val="637DBF7B"/>
    <w:rsid w:val="6384E705"/>
    <w:rsid w:val="6389EBA6"/>
    <w:rsid w:val="638A4135"/>
    <w:rsid w:val="6394D4D0"/>
    <w:rsid w:val="6396337B"/>
    <w:rsid w:val="63A63535"/>
    <w:rsid w:val="63B28D16"/>
    <w:rsid w:val="63B99E49"/>
    <w:rsid w:val="63BB1827"/>
    <w:rsid w:val="63BD87E4"/>
    <w:rsid w:val="63C73584"/>
    <w:rsid w:val="63EF10B2"/>
    <w:rsid w:val="63FE4EB2"/>
    <w:rsid w:val="640331BD"/>
    <w:rsid w:val="6404A94B"/>
    <w:rsid w:val="64078D8B"/>
    <w:rsid w:val="6417628B"/>
    <w:rsid w:val="641EDBB2"/>
    <w:rsid w:val="641FC51C"/>
    <w:rsid w:val="642E94EE"/>
    <w:rsid w:val="64315253"/>
    <w:rsid w:val="6432E17A"/>
    <w:rsid w:val="6437B462"/>
    <w:rsid w:val="6438DE10"/>
    <w:rsid w:val="6442D241"/>
    <w:rsid w:val="645258CC"/>
    <w:rsid w:val="6452D8C3"/>
    <w:rsid w:val="64587BFA"/>
    <w:rsid w:val="6469104E"/>
    <w:rsid w:val="646CD760"/>
    <w:rsid w:val="64764C88"/>
    <w:rsid w:val="647B6C97"/>
    <w:rsid w:val="64816D8A"/>
    <w:rsid w:val="64A5EE90"/>
    <w:rsid w:val="64B4BCE5"/>
    <w:rsid w:val="64BCAECC"/>
    <w:rsid w:val="64CEA399"/>
    <w:rsid w:val="64D3E33E"/>
    <w:rsid w:val="64E6E519"/>
    <w:rsid w:val="64F9B01E"/>
    <w:rsid w:val="650BBDB7"/>
    <w:rsid w:val="653289FA"/>
    <w:rsid w:val="653F372F"/>
    <w:rsid w:val="6540F498"/>
    <w:rsid w:val="65426623"/>
    <w:rsid w:val="65466BAE"/>
    <w:rsid w:val="654E5C81"/>
    <w:rsid w:val="6558EAFD"/>
    <w:rsid w:val="65720697"/>
    <w:rsid w:val="657F503F"/>
    <w:rsid w:val="6599A0B5"/>
    <w:rsid w:val="659A99DE"/>
    <w:rsid w:val="65AD0E3D"/>
    <w:rsid w:val="65BA0F83"/>
    <w:rsid w:val="65CCAD35"/>
    <w:rsid w:val="65D0A8C9"/>
    <w:rsid w:val="65DB55D6"/>
    <w:rsid w:val="65EE80E1"/>
    <w:rsid w:val="65F875CA"/>
    <w:rsid w:val="660B3CD9"/>
    <w:rsid w:val="66517887"/>
    <w:rsid w:val="66530AED"/>
    <w:rsid w:val="6666B64F"/>
    <w:rsid w:val="6666C732"/>
    <w:rsid w:val="666746D4"/>
    <w:rsid w:val="6671169E"/>
    <w:rsid w:val="667127FD"/>
    <w:rsid w:val="667E2BB3"/>
    <w:rsid w:val="6686720D"/>
    <w:rsid w:val="66A6721C"/>
    <w:rsid w:val="66A7661B"/>
    <w:rsid w:val="66ADEBE1"/>
    <w:rsid w:val="66C95844"/>
    <w:rsid w:val="66CEDC89"/>
    <w:rsid w:val="66D9F1A7"/>
    <w:rsid w:val="66E1B183"/>
    <w:rsid w:val="6703BF48"/>
    <w:rsid w:val="67042D55"/>
    <w:rsid w:val="671A94AC"/>
    <w:rsid w:val="672CCC5E"/>
    <w:rsid w:val="67483D5D"/>
    <w:rsid w:val="6748E440"/>
    <w:rsid w:val="674E2274"/>
    <w:rsid w:val="67703FED"/>
    <w:rsid w:val="67858223"/>
    <w:rsid w:val="679BF52E"/>
    <w:rsid w:val="679FBD54"/>
    <w:rsid w:val="67AF7C1F"/>
    <w:rsid w:val="67BA3A9D"/>
    <w:rsid w:val="67BC215D"/>
    <w:rsid w:val="67C7DA0D"/>
    <w:rsid w:val="67C928F6"/>
    <w:rsid w:val="67CE4BB2"/>
    <w:rsid w:val="67D1448C"/>
    <w:rsid w:val="67D6A935"/>
    <w:rsid w:val="67DCF0B8"/>
    <w:rsid w:val="67EA487B"/>
    <w:rsid w:val="67EFE6B6"/>
    <w:rsid w:val="67F1E81A"/>
    <w:rsid w:val="67FA1E84"/>
    <w:rsid w:val="680276E0"/>
    <w:rsid w:val="6813A652"/>
    <w:rsid w:val="68257350"/>
    <w:rsid w:val="682B4EB8"/>
    <w:rsid w:val="6840FD51"/>
    <w:rsid w:val="68474FB8"/>
    <w:rsid w:val="6847A0F3"/>
    <w:rsid w:val="684E19D1"/>
    <w:rsid w:val="684F8A86"/>
    <w:rsid w:val="68512628"/>
    <w:rsid w:val="685FBE97"/>
    <w:rsid w:val="68619073"/>
    <w:rsid w:val="68631CE0"/>
    <w:rsid w:val="686A5CD6"/>
    <w:rsid w:val="686E57C2"/>
    <w:rsid w:val="6871A3E7"/>
    <w:rsid w:val="687CA51B"/>
    <w:rsid w:val="68832AF9"/>
    <w:rsid w:val="68909C35"/>
    <w:rsid w:val="68935EBA"/>
    <w:rsid w:val="68A8C695"/>
    <w:rsid w:val="68AA25AA"/>
    <w:rsid w:val="68B2C61C"/>
    <w:rsid w:val="68C6B556"/>
    <w:rsid w:val="68DAE019"/>
    <w:rsid w:val="68E1617E"/>
    <w:rsid w:val="68E45C7A"/>
    <w:rsid w:val="68E55B6E"/>
    <w:rsid w:val="68ED2062"/>
    <w:rsid w:val="68F13A29"/>
    <w:rsid w:val="68FD2950"/>
    <w:rsid w:val="690E60B9"/>
    <w:rsid w:val="6927950E"/>
    <w:rsid w:val="692C7B4D"/>
    <w:rsid w:val="692E04D4"/>
    <w:rsid w:val="6931D83C"/>
    <w:rsid w:val="69351496"/>
    <w:rsid w:val="693A321B"/>
    <w:rsid w:val="694273EE"/>
    <w:rsid w:val="6956DBD2"/>
    <w:rsid w:val="695FD8FC"/>
    <w:rsid w:val="697DBB49"/>
    <w:rsid w:val="697E6536"/>
    <w:rsid w:val="6983B986"/>
    <w:rsid w:val="698E2541"/>
    <w:rsid w:val="69AD0CC5"/>
    <w:rsid w:val="69AF2331"/>
    <w:rsid w:val="69B10418"/>
    <w:rsid w:val="69B65FCC"/>
    <w:rsid w:val="69C1AC3D"/>
    <w:rsid w:val="69D18560"/>
    <w:rsid w:val="69EC08BB"/>
    <w:rsid w:val="69F843EE"/>
    <w:rsid w:val="69FC7D7D"/>
    <w:rsid w:val="6A00C0E7"/>
    <w:rsid w:val="6A0D12DB"/>
    <w:rsid w:val="6A0D5049"/>
    <w:rsid w:val="6A10EEDA"/>
    <w:rsid w:val="6A2F54B4"/>
    <w:rsid w:val="6A48BE87"/>
    <w:rsid w:val="6A520E4C"/>
    <w:rsid w:val="6A52CFFE"/>
    <w:rsid w:val="6A5EBF2B"/>
    <w:rsid w:val="6A62861B"/>
    <w:rsid w:val="6A648EDF"/>
    <w:rsid w:val="6A69E0FD"/>
    <w:rsid w:val="6A82DDB2"/>
    <w:rsid w:val="6A8331E3"/>
    <w:rsid w:val="6A8863BA"/>
    <w:rsid w:val="6A8A2DEE"/>
    <w:rsid w:val="6A8D7F5C"/>
    <w:rsid w:val="6A91A67A"/>
    <w:rsid w:val="6AA2B926"/>
    <w:rsid w:val="6AA5C142"/>
    <w:rsid w:val="6AA6981D"/>
    <w:rsid w:val="6AAA14C1"/>
    <w:rsid w:val="6ABE681F"/>
    <w:rsid w:val="6AD6129A"/>
    <w:rsid w:val="6ADFCE1A"/>
    <w:rsid w:val="6AE8F13F"/>
    <w:rsid w:val="6AF06E9D"/>
    <w:rsid w:val="6AFECAEC"/>
    <w:rsid w:val="6B067B3C"/>
    <w:rsid w:val="6B08A06A"/>
    <w:rsid w:val="6B0AE939"/>
    <w:rsid w:val="6B0FE45B"/>
    <w:rsid w:val="6B148DE6"/>
    <w:rsid w:val="6B1F8FAD"/>
    <w:rsid w:val="6B20E20E"/>
    <w:rsid w:val="6B2622F3"/>
    <w:rsid w:val="6B2F2734"/>
    <w:rsid w:val="6B3DE7E9"/>
    <w:rsid w:val="6B42C68D"/>
    <w:rsid w:val="6B484792"/>
    <w:rsid w:val="6B546AD9"/>
    <w:rsid w:val="6B58678F"/>
    <w:rsid w:val="6B677FD1"/>
    <w:rsid w:val="6B6BC0CB"/>
    <w:rsid w:val="6B6E5E87"/>
    <w:rsid w:val="6B81ABA4"/>
    <w:rsid w:val="6B8706B9"/>
    <w:rsid w:val="6B9D20FB"/>
    <w:rsid w:val="6BBF9A58"/>
    <w:rsid w:val="6BC1183A"/>
    <w:rsid w:val="6BC4B02E"/>
    <w:rsid w:val="6BD5E51C"/>
    <w:rsid w:val="6BD8C52B"/>
    <w:rsid w:val="6BDE66CA"/>
    <w:rsid w:val="6BE9AC66"/>
    <w:rsid w:val="6BEEA61D"/>
    <w:rsid w:val="6BF3DF79"/>
    <w:rsid w:val="6C01C42F"/>
    <w:rsid w:val="6C030E60"/>
    <w:rsid w:val="6C0AA5BF"/>
    <w:rsid w:val="6C11F9DA"/>
    <w:rsid w:val="6C1DFE6D"/>
    <w:rsid w:val="6C1F0F0D"/>
    <w:rsid w:val="6C29E71E"/>
    <w:rsid w:val="6C2EA02E"/>
    <w:rsid w:val="6C3B37F9"/>
    <w:rsid w:val="6C506532"/>
    <w:rsid w:val="6C5574E3"/>
    <w:rsid w:val="6C59F5E3"/>
    <w:rsid w:val="6C5C988F"/>
    <w:rsid w:val="6C692ED4"/>
    <w:rsid w:val="6C773900"/>
    <w:rsid w:val="6C812210"/>
    <w:rsid w:val="6C8468FC"/>
    <w:rsid w:val="6C867424"/>
    <w:rsid w:val="6C8DDE7F"/>
    <w:rsid w:val="6C98EA7D"/>
    <w:rsid w:val="6CA02323"/>
    <w:rsid w:val="6CB8B3E7"/>
    <w:rsid w:val="6CC165B8"/>
    <w:rsid w:val="6CC2D977"/>
    <w:rsid w:val="6CCFDC9D"/>
    <w:rsid w:val="6D0F099F"/>
    <w:rsid w:val="6D0F318A"/>
    <w:rsid w:val="6D19FE83"/>
    <w:rsid w:val="6D20A9FB"/>
    <w:rsid w:val="6D306A1E"/>
    <w:rsid w:val="6D32AB90"/>
    <w:rsid w:val="6D340F4A"/>
    <w:rsid w:val="6D47CBEA"/>
    <w:rsid w:val="6D4E81B8"/>
    <w:rsid w:val="6D4F144A"/>
    <w:rsid w:val="6D548BEF"/>
    <w:rsid w:val="6D5A9C7F"/>
    <w:rsid w:val="6D6418AD"/>
    <w:rsid w:val="6D6A010B"/>
    <w:rsid w:val="6D720203"/>
    <w:rsid w:val="6D93F613"/>
    <w:rsid w:val="6D99E402"/>
    <w:rsid w:val="6DB0B648"/>
    <w:rsid w:val="6DB0BFC7"/>
    <w:rsid w:val="6DC25819"/>
    <w:rsid w:val="6DCC803F"/>
    <w:rsid w:val="6DCE72E4"/>
    <w:rsid w:val="6DDCCA6C"/>
    <w:rsid w:val="6DDF33DE"/>
    <w:rsid w:val="6DE4E1FB"/>
    <w:rsid w:val="6DF4F0BB"/>
    <w:rsid w:val="6DF7635A"/>
    <w:rsid w:val="6DFCD258"/>
    <w:rsid w:val="6DFFB8BC"/>
    <w:rsid w:val="6E105919"/>
    <w:rsid w:val="6E31B563"/>
    <w:rsid w:val="6E36ED84"/>
    <w:rsid w:val="6E3E15CB"/>
    <w:rsid w:val="6E48E154"/>
    <w:rsid w:val="6E4F48C4"/>
    <w:rsid w:val="6E4F6FC4"/>
    <w:rsid w:val="6E8F43EA"/>
    <w:rsid w:val="6E933419"/>
    <w:rsid w:val="6E9D93E3"/>
    <w:rsid w:val="6EAAB1B6"/>
    <w:rsid w:val="6EAEFB18"/>
    <w:rsid w:val="6EB2F4CB"/>
    <w:rsid w:val="6EBFF748"/>
    <w:rsid w:val="6EC00889"/>
    <w:rsid w:val="6EC08DEE"/>
    <w:rsid w:val="6ECA0131"/>
    <w:rsid w:val="6ECB4D09"/>
    <w:rsid w:val="6ED6C514"/>
    <w:rsid w:val="6EDEB56A"/>
    <w:rsid w:val="6EF3ABB7"/>
    <w:rsid w:val="6EFA4F64"/>
    <w:rsid w:val="6F0D5868"/>
    <w:rsid w:val="6F109B52"/>
    <w:rsid w:val="6F1779B6"/>
    <w:rsid w:val="6F23FD84"/>
    <w:rsid w:val="6F2B8CC0"/>
    <w:rsid w:val="6F2DCD43"/>
    <w:rsid w:val="6F30D01E"/>
    <w:rsid w:val="6F3D9534"/>
    <w:rsid w:val="6F3F3191"/>
    <w:rsid w:val="6F3FAE51"/>
    <w:rsid w:val="6F4111AA"/>
    <w:rsid w:val="6F5004C5"/>
    <w:rsid w:val="6F587D4C"/>
    <w:rsid w:val="6F63A1D1"/>
    <w:rsid w:val="6F68569F"/>
    <w:rsid w:val="6F69B25B"/>
    <w:rsid w:val="6F73B922"/>
    <w:rsid w:val="6F744BED"/>
    <w:rsid w:val="6F82EB18"/>
    <w:rsid w:val="6F8E2B72"/>
    <w:rsid w:val="6F8EE760"/>
    <w:rsid w:val="6F91B48C"/>
    <w:rsid w:val="6FA9E292"/>
    <w:rsid w:val="6FB753C7"/>
    <w:rsid w:val="6FBE4041"/>
    <w:rsid w:val="6FCE52DF"/>
    <w:rsid w:val="6FDA2D97"/>
    <w:rsid w:val="6FE026F7"/>
    <w:rsid w:val="6FE893EF"/>
    <w:rsid w:val="6FEBFDB1"/>
    <w:rsid w:val="6FEF1ABF"/>
    <w:rsid w:val="70017942"/>
    <w:rsid w:val="700DC15B"/>
    <w:rsid w:val="700E972A"/>
    <w:rsid w:val="7011590C"/>
    <w:rsid w:val="702F5ADB"/>
    <w:rsid w:val="704297E4"/>
    <w:rsid w:val="705A4890"/>
    <w:rsid w:val="705EA911"/>
    <w:rsid w:val="70627017"/>
    <w:rsid w:val="706FEA21"/>
    <w:rsid w:val="7086227A"/>
    <w:rsid w:val="708BAF55"/>
    <w:rsid w:val="708EB07B"/>
    <w:rsid w:val="70A3097D"/>
    <w:rsid w:val="70B9671A"/>
    <w:rsid w:val="70BA7C86"/>
    <w:rsid w:val="70BAC4E0"/>
    <w:rsid w:val="70BD939E"/>
    <w:rsid w:val="70BF5C60"/>
    <w:rsid w:val="70C6D947"/>
    <w:rsid w:val="70E9AFCF"/>
    <w:rsid w:val="70EF0EE5"/>
    <w:rsid w:val="70F33FC3"/>
    <w:rsid w:val="71069537"/>
    <w:rsid w:val="71111758"/>
    <w:rsid w:val="71169C96"/>
    <w:rsid w:val="711F424A"/>
    <w:rsid w:val="713F06B4"/>
    <w:rsid w:val="717BF891"/>
    <w:rsid w:val="7193BF2B"/>
    <w:rsid w:val="719DB4AA"/>
    <w:rsid w:val="71AAF92C"/>
    <w:rsid w:val="71B02F4C"/>
    <w:rsid w:val="71B3FED8"/>
    <w:rsid w:val="71B7C3DD"/>
    <w:rsid w:val="71BE1578"/>
    <w:rsid w:val="71C4F7EC"/>
    <w:rsid w:val="71C70385"/>
    <w:rsid w:val="71C945DC"/>
    <w:rsid w:val="71D3F6B6"/>
    <w:rsid w:val="71D4BD1F"/>
    <w:rsid w:val="71D8F7FF"/>
    <w:rsid w:val="71E052CD"/>
    <w:rsid w:val="71F5A474"/>
    <w:rsid w:val="7208196B"/>
    <w:rsid w:val="72248DC5"/>
    <w:rsid w:val="7232AA28"/>
    <w:rsid w:val="724FF8BA"/>
    <w:rsid w:val="7258BCA2"/>
    <w:rsid w:val="726AD5CE"/>
    <w:rsid w:val="727296F2"/>
    <w:rsid w:val="72733080"/>
    <w:rsid w:val="727820C7"/>
    <w:rsid w:val="7284117D"/>
    <w:rsid w:val="7294747C"/>
    <w:rsid w:val="7298188A"/>
    <w:rsid w:val="72B0EE99"/>
    <w:rsid w:val="72B3BEF9"/>
    <w:rsid w:val="72B51FB2"/>
    <w:rsid w:val="72C2E5D4"/>
    <w:rsid w:val="72C66EE1"/>
    <w:rsid w:val="72CE1C17"/>
    <w:rsid w:val="72D265AA"/>
    <w:rsid w:val="72D79BF9"/>
    <w:rsid w:val="72EA886A"/>
    <w:rsid w:val="72EB770D"/>
    <w:rsid w:val="72EEA882"/>
    <w:rsid w:val="72F4D443"/>
    <w:rsid w:val="72F52293"/>
    <w:rsid w:val="72FC8BE8"/>
    <w:rsid w:val="730A9BC8"/>
    <w:rsid w:val="73135106"/>
    <w:rsid w:val="731DD5C6"/>
    <w:rsid w:val="7321C085"/>
    <w:rsid w:val="73255840"/>
    <w:rsid w:val="7332A461"/>
    <w:rsid w:val="733670A7"/>
    <w:rsid w:val="733F2835"/>
    <w:rsid w:val="73468D86"/>
    <w:rsid w:val="73577940"/>
    <w:rsid w:val="735DC318"/>
    <w:rsid w:val="735E4635"/>
    <w:rsid w:val="735E9751"/>
    <w:rsid w:val="73645D89"/>
    <w:rsid w:val="736522BA"/>
    <w:rsid w:val="736C3144"/>
    <w:rsid w:val="736D5891"/>
    <w:rsid w:val="73872A2D"/>
    <w:rsid w:val="73876C13"/>
    <w:rsid w:val="73880A00"/>
    <w:rsid w:val="738CD0BE"/>
    <w:rsid w:val="73B25496"/>
    <w:rsid w:val="73D51CB2"/>
    <w:rsid w:val="73F26737"/>
    <w:rsid w:val="73F3FE91"/>
    <w:rsid w:val="73F5E13C"/>
    <w:rsid w:val="73F6725D"/>
    <w:rsid w:val="73FAC644"/>
    <w:rsid w:val="740A918B"/>
    <w:rsid w:val="740C3866"/>
    <w:rsid w:val="741C38A6"/>
    <w:rsid w:val="7428629A"/>
    <w:rsid w:val="7443FA48"/>
    <w:rsid w:val="744F311B"/>
    <w:rsid w:val="74633676"/>
    <w:rsid w:val="7487610B"/>
    <w:rsid w:val="74908A13"/>
    <w:rsid w:val="7493407F"/>
    <w:rsid w:val="74A68894"/>
    <w:rsid w:val="74B89651"/>
    <w:rsid w:val="74C5F743"/>
    <w:rsid w:val="74CE7A05"/>
    <w:rsid w:val="74DECB53"/>
    <w:rsid w:val="74E7D2D3"/>
    <w:rsid w:val="75029BF8"/>
    <w:rsid w:val="7503F288"/>
    <w:rsid w:val="75047E68"/>
    <w:rsid w:val="7517D401"/>
    <w:rsid w:val="75250560"/>
    <w:rsid w:val="7526D31E"/>
    <w:rsid w:val="75389917"/>
    <w:rsid w:val="754A4C75"/>
    <w:rsid w:val="75563D21"/>
    <w:rsid w:val="755B5A05"/>
    <w:rsid w:val="7562293B"/>
    <w:rsid w:val="7562364C"/>
    <w:rsid w:val="7571D8F1"/>
    <w:rsid w:val="757FD518"/>
    <w:rsid w:val="758CAAFE"/>
    <w:rsid w:val="75907617"/>
    <w:rsid w:val="7592B0A3"/>
    <w:rsid w:val="75AC0949"/>
    <w:rsid w:val="75ACD6B8"/>
    <w:rsid w:val="75B04035"/>
    <w:rsid w:val="75B131C1"/>
    <w:rsid w:val="75BAB81A"/>
    <w:rsid w:val="75C081DE"/>
    <w:rsid w:val="75C2AD33"/>
    <w:rsid w:val="75C432FB"/>
    <w:rsid w:val="75C551F4"/>
    <w:rsid w:val="75D6362B"/>
    <w:rsid w:val="75DF3649"/>
    <w:rsid w:val="75E0E44A"/>
    <w:rsid w:val="75E0F13B"/>
    <w:rsid w:val="75F767F6"/>
    <w:rsid w:val="7603BEB7"/>
    <w:rsid w:val="76131CCE"/>
    <w:rsid w:val="7621BD15"/>
    <w:rsid w:val="762738EC"/>
    <w:rsid w:val="765EC3AB"/>
    <w:rsid w:val="767B0C4B"/>
    <w:rsid w:val="76806AD0"/>
    <w:rsid w:val="769D65A8"/>
    <w:rsid w:val="76A69F0B"/>
    <w:rsid w:val="76A809A8"/>
    <w:rsid w:val="76AD7694"/>
    <w:rsid w:val="76B5E5E7"/>
    <w:rsid w:val="76CA0376"/>
    <w:rsid w:val="76CC9494"/>
    <w:rsid w:val="76CEBCA2"/>
    <w:rsid w:val="76D6CC18"/>
    <w:rsid w:val="76D96096"/>
    <w:rsid w:val="76DEA8C9"/>
    <w:rsid w:val="76E1D5CB"/>
    <w:rsid w:val="76E9A55C"/>
    <w:rsid w:val="76EF117D"/>
    <w:rsid w:val="7702013B"/>
    <w:rsid w:val="7702B11A"/>
    <w:rsid w:val="7712540F"/>
    <w:rsid w:val="77173803"/>
    <w:rsid w:val="771F914A"/>
    <w:rsid w:val="774501BF"/>
    <w:rsid w:val="7748B0A5"/>
    <w:rsid w:val="774AC6AE"/>
    <w:rsid w:val="7758801B"/>
    <w:rsid w:val="775C0A89"/>
    <w:rsid w:val="775FFDD4"/>
    <w:rsid w:val="776182B3"/>
    <w:rsid w:val="77665876"/>
    <w:rsid w:val="7768D46E"/>
    <w:rsid w:val="776EF013"/>
    <w:rsid w:val="777A1A9A"/>
    <w:rsid w:val="777C8C0C"/>
    <w:rsid w:val="778023DD"/>
    <w:rsid w:val="778D1784"/>
    <w:rsid w:val="77A2677C"/>
    <w:rsid w:val="77A8A77F"/>
    <w:rsid w:val="77C72836"/>
    <w:rsid w:val="77C9E03E"/>
    <w:rsid w:val="77CE3DBE"/>
    <w:rsid w:val="77D27840"/>
    <w:rsid w:val="77E1588C"/>
    <w:rsid w:val="77EE5E7E"/>
    <w:rsid w:val="77F09928"/>
    <w:rsid w:val="77F0B96D"/>
    <w:rsid w:val="77FDB47A"/>
    <w:rsid w:val="7804523C"/>
    <w:rsid w:val="780F7B01"/>
    <w:rsid w:val="781200AA"/>
    <w:rsid w:val="7822C017"/>
    <w:rsid w:val="782443EB"/>
    <w:rsid w:val="7829BFDF"/>
    <w:rsid w:val="782EA038"/>
    <w:rsid w:val="784B4668"/>
    <w:rsid w:val="786C4E5D"/>
    <w:rsid w:val="787BD370"/>
    <w:rsid w:val="788CB879"/>
    <w:rsid w:val="78961E84"/>
    <w:rsid w:val="78AADE6A"/>
    <w:rsid w:val="78ABD742"/>
    <w:rsid w:val="78B0649D"/>
    <w:rsid w:val="78C453E5"/>
    <w:rsid w:val="78CA12BA"/>
    <w:rsid w:val="78D6207A"/>
    <w:rsid w:val="78E6AC34"/>
    <w:rsid w:val="78F13E96"/>
    <w:rsid w:val="78F171FA"/>
    <w:rsid w:val="78F2E9B8"/>
    <w:rsid w:val="79036274"/>
    <w:rsid w:val="7905CE56"/>
    <w:rsid w:val="7911B65E"/>
    <w:rsid w:val="7915BB17"/>
    <w:rsid w:val="79198274"/>
    <w:rsid w:val="791989C0"/>
    <w:rsid w:val="7921B483"/>
    <w:rsid w:val="7925C7E5"/>
    <w:rsid w:val="79295FE3"/>
    <w:rsid w:val="7931B3E7"/>
    <w:rsid w:val="7940A3D8"/>
    <w:rsid w:val="79412F53"/>
    <w:rsid w:val="794F0578"/>
    <w:rsid w:val="7953B28D"/>
    <w:rsid w:val="7958B5B3"/>
    <w:rsid w:val="795E610C"/>
    <w:rsid w:val="795FBFA3"/>
    <w:rsid w:val="79748469"/>
    <w:rsid w:val="7976EE9F"/>
    <w:rsid w:val="7976F0E6"/>
    <w:rsid w:val="798D47E2"/>
    <w:rsid w:val="798F10F4"/>
    <w:rsid w:val="799AFB36"/>
    <w:rsid w:val="79A244A6"/>
    <w:rsid w:val="79A37E97"/>
    <w:rsid w:val="79A3AB99"/>
    <w:rsid w:val="79AA21D8"/>
    <w:rsid w:val="79AAA75D"/>
    <w:rsid w:val="79B75E07"/>
    <w:rsid w:val="79BFFDE5"/>
    <w:rsid w:val="79C487A2"/>
    <w:rsid w:val="79DFCF04"/>
    <w:rsid w:val="79E60D5F"/>
    <w:rsid w:val="79F33B41"/>
    <w:rsid w:val="79F3B301"/>
    <w:rsid w:val="79F5717E"/>
    <w:rsid w:val="79F68D19"/>
    <w:rsid w:val="7A07E01F"/>
    <w:rsid w:val="7A10007D"/>
    <w:rsid w:val="7A1BA803"/>
    <w:rsid w:val="7A2380D8"/>
    <w:rsid w:val="7A24B916"/>
    <w:rsid w:val="7A2B46A1"/>
    <w:rsid w:val="7A362E56"/>
    <w:rsid w:val="7A40A80F"/>
    <w:rsid w:val="7A4759CC"/>
    <w:rsid w:val="7A4A683C"/>
    <w:rsid w:val="7A4C7EA4"/>
    <w:rsid w:val="7A4DDC86"/>
    <w:rsid w:val="7A50EC0C"/>
    <w:rsid w:val="7A58819D"/>
    <w:rsid w:val="7A5AE5FF"/>
    <w:rsid w:val="7A5F4195"/>
    <w:rsid w:val="7A6073B2"/>
    <w:rsid w:val="7A645195"/>
    <w:rsid w:val="7A6B7A34"/>
    <w:rsid w:val="7A779349"/>
    <w:rsid w:val="7A7C3BBE"/>
    <w:rsid w:val="7A7D5EF0"/>
    <w:rsid w:val="7A8F17A1"/>
    <w:rsid w:val="7A961854"/>
    <w:rsid w:val="7AA96CA9"/>
    <w:rsid w:val="7AABCE24"/>
    <w:rsid w:val="7ABCFD4D"/>
    <w:rsid w:val="7AC1B415"/>
    <w:rsid w:val="7AC40BDB"/>
    <w:rsid w:val="7AC8B606"/>
    <w:rsid w:val="7ACCD378"/>
    <w:rsid w:val="7AD6DCE5"/>
    <w:rsid w:val="7ADA90CC"/>
    <w:rsid w:val="7ADFC948"/>
    <w:rsid w:val="7AEB1928"/>
    <w:rsid w:val="7AECFBE7"/>
    <w:rsid w:val="7AF32DD3"/>
    <w:rsid w:val="7AF74DF0"/>
    <w:rsid w:val="7AF841A9"/>
    <w:rsid w:val="7B0CBFDB"/>
    <w:rsid w:val="7B124DC6"/>
    <w:rsid w:val="7B1512FA"/>
    <w:rsid w:val="7B185E14"/>
    <w:rsid w:val="7B2247F6"/>
    <w:rsid w:val="7B23F5AF"/>
    <w:rsid w:val="7B25E94F"/>
    <w:rsid w:val="7B285A2F"/>
    <w:rsid w:val="7B297F45"/>
    <w:rsid w:val="7B36A1B4"/>
    <w:rsid w:val="7B460318"/>
    <w:rsid w:val="7B482845"/>
    <w:rsid w:val="7B497FBA"/>
    <w:rsid w:val="7B52D1ED"/>
    <w:rsid w:val="7B583DA1"/>
    <w:rsid w:val="7B5D71E4"/>
    <w:rsid w:val="7B5E94B0"/>
    <w:rsid w:val="7B6836CB"/>
    <w:rsid w:val="7B7CFDA4"/>
    <w:rsid w:val="7B7EFBDD"/>
    <w:rsid w:val="7B84EAC4"/>
    <w:rsid w:val="7B97E448"/>
    <w:rsid w:val="7BB1979F"/>
    <w:rsid w:val="7BB945A1"/>
    <w:rsid w:val="7BC641C6"/>
    <w:rsid w:val="7BCD2FE5"/>
    <w:rsid w:val="7BD42378"/>
    <w:rsid w:val="7BDA54A0"/>
    <w:rsid w:val="7BE36E5A"/>
    <w:rsid w:val="7BE45C80"/>
    <w:rsid w:val="7BE98B14"/>
    <w:rsid w:val="7BFF5E83"/>
    <w:rsid w:val="7C02EFDF"/>
    <w:rsid w:val="7C085CEF"/>
    <w:rsid w:val="7C086966"/>
    <w:rsid w:val="7C0CF858"/>
    <w:rsid w:val="7C1496F4"/>
    <w:rsid w:val="7C1859E3"/>
    <w:rsid w:val="7C1DA800"/>
    <w:rsid w:val="7C1FA8DD"/>
    <w:rsid w:val="7C210B44"/>
    <w:rsid w:val="7C29B4FA"/>
    <w:rsid w:val="7C2E81E7"/>
    <w:rsid w:val="7C3A6111"/>
    <w:rsid w:val="7C5F1E62"/>
    <w:rsid w:val="7C6F0011"/>
    <w:rsid w:val="7C768FFA"/>
    <w:rsid w:val="7C78AD5A"/>
    <w:rsid w:val="7C8B7C49"/>
    <w:rsid w:val="7CA3C4F9"/>
    <w:rsid w:val="7CAAC278"/>
    <w:rsid w:val="7CB4DC28"/>
    <w:rsid w:val="7CBC0869"/>
    <w:rsid w:val="7D0B3FE7"/>
    <w:rsid w:val="7D1C8D70"/>
    <w:rsid w:val="7D231AEF"/>
    <w:rsid w:val="7D346F62"/>
    <w:rsid w:val="7D4494C1"/>
    <w:rsid w:val="7D4C638C"/>
    <w:rsid w:val="7D6009BD"/>
    <w:rsid w:val="7D600B2B"/>
    <w:rsid w:val="7D60E129"/>
    <w:rsid w:val="7D653E3B"/>
    <w:rsid w:val="7D6985C6"/>
    <w:rsid w:val="7D6CE3B1"/>
    <w:rsid w:val="7D78A453"/>
    <w:rsid w:val="7D87EA57"/>
    <w:rsid w:val="7D9B3101"/>
    <w:rsid w:val="7D9CF574"/>
    <w:rsid w:val="7DA135A3"/>
    <w:rsid w:val="7DB03683"/>
    <w:rsid w:val="7DB6BBC8"/>
    <w:rsid w:val="7DB7E89D"/>
    <w:rsid w:val="7DC82134"/>
    <w:rsid w:val="7DD13944"/>
    <w:rsid w:val="7DE0CDE1"/>
    <w:rsid w:val="7DFD1171"/>
    <w:rsid w:val="7DFEC838"/>
    <w:rsid w:val="7E02F9B4"/>
    <w:rsid w:val="7E1420AD"/>
    <w:rsid w:val="7E1FF965"/>
    <w:rsid w:val="7E296645"/>
    <w:rsid w:val="7E2D8025"/>
    <w:rsid w:val="7E2E031D"/>
    <w:rsid w:val="7E3100A8"/>
    <w:rsid w:val="7E33AA16"/>
    <w:rsid w:val="7E33AAE9"/>
    <w:rsid w:val="7E3A76E7"/>
    <w:rsid w:val="7E4304F3"/>
    <w:rsid w:val="7E48459F"/>
    <w:rsid w:val="7E629434"/>
    <w:rsid w:val="7E7AF203"/>
    <w:rsid w:val="7E7BE62A"/>
    <w:rsid w:val="7E7BFC7E"/>
    <w:rsid w:val="7E879D98"/>
    <w:rsid w:val="7E8C6F2F"/>
    <w:rsid w:val="7EADF098"/>
    <w:rsid w:val="7EBBBCF0"/>
    <w:rsid w:val="7EC8EE63"/>
    <w:rsid w:val="7EC98A67"/>
    <w:rsid w:val="7ECC5BE2"/>
    <w:rsid w:val="7ED1973D"/>
    <w:rsid w:val="7ED4BF15"/>
    <w:rsid w:val="7ED765C7"/>
    <w:rsid w:val="7ED7952D"/>
    <w:rsid w:val="7ED84BD2"/>
    <w:rsid w:val="7EEB56FE"/>
    <w:rsid w:val="7EF2706B"/>
    <w:rsid w:val="7EFDEEBE"/>
    <w:rsid w:val="7EFF86DF"/>
    <w:rsid w:val="7F145A8C"/>
    <w:rsid w:val="7F1B22F0"/>
    <w:rsid w:val="7F1B803E"/>
    <w:rsid w:val="7F2464B8"/>
    <w:rsid w:val="7F39B422"/>
    <w:rsid w:val="7F3D1932"/>
    <w:rsid w:val="7F417CF6"/>
    <w:rsid w:val="7F4DFDDE"/>
    <w:rsid w:val="7F5EFA0A"/>
    <w:rsid w:val="7F6D09A5"/>
    <w:rsid w:val="7F7D1BBF"/>
    <w:rsid w:val="7F9B4686"/>
    <w:rsid w:val="7F9DDE3D"/>
    <w:rsid w:val="7FC2CB99"/>
    <w:rsid w:val="7FC61250"/>
    <w:rsid w:val="7FC6A3DC"/>
    <w:rsid w:val="7FCDE9FD"/>
    <w:rsid w:val="7FCEEB44"/>
    <w:rsid w:val="7FE898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A9E918"/>
  <w15:chartTrackingRefBased/>
  <w15:docId w15:val="{ADCE8E15-612E-4F62-871E-E038D07C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294"/>
  </w:style>
  <w:style w:type="paragraph" w:styleId="Heading1">
    <w:name w:val="heading 1"/>
    <w:basedOn w:val="Normal"/>
    <w:next w:val="Normal"/>
    <w:link w:val="Heading1Char"/>
    <w:uiPriority w:val="9"/>
    <w:qFormat/>
    <w:rsid w:val="00811D7C"/>
    <w:pPr>
      <w:keepNext/>
      <w:keepLines/>
      <w:numPr>
        <w:numId w:val="13"/>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7633D"/>
    <w:pPr>
      <w:keepNext/>
      <w:keepLines/>
      <w:numPr>
        <w:ilvl w:val="1"/>
        <w:numId w:val="13"/>
      </w:numPr>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811D7C"/>
    <w:pPr>
      <w:keepNext/>
      <w:keepLines/>
      <w:numPr>
        <w:ilvl w:val="2"/>
        <w:numId w:val="13"/>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811D7C"/>
    <w:pPr>
      <w:keepNext/>
      <w:keepLines/>
      <w:numPr>
        <w:ilvl w:val="3"/>
        <w:numId w:val="13"/>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811D7C"/>
    <w:pPr>
      <w:keepNext/>
      <w:keepLines/>
      <w:numPr>
        <w:ilvl w:val="4"/>
        <w:numId w:val="1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F1224"/>
    <w:pPr>
      <w:keepNext/>
      <w:keepLines/>
      <w:numPr>
        <w:ilvl w:val="5"/>
        <w:numId w:val="1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F1224"/>
    <w:pPr>
      <w:keepNext/>
      <w:keepLines/>
      <w:numPr>
        <w:ilvl w:val="6"/>
        <w:numId w:val="1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F1224"/>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F1224"/>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D7C"/>
    <w:rPr>
      <w:rFonts w:asciiTheme="majorHAnsi" w:eastAsiaTheme="majorEastAsia" w:hAnsiTheme="majorHAnsi" w:cstheme="majorBidi"/>
      <w:color w:val="365F91" w:themeColor="accent1" w:themeShade="BF"/>
      <w:sz w:val="32"/>
      <w:szCs w:val="32"/>
      <w:lang w:val="fr-FR"/>
    </w:rPr>
  </w:style>
  <w:style w:type="character" w:customStyle="1" w:styleId="Heading2Char">
    <w:name w:val="Heading 2 Char"/>
    <w:basedOn w:val="DefaultParagraphFont"/>
    <w:link w:val="Heading2"/>
    <w:uiPriority w:val="9"/>
    <w:rsid w:val="00D7633D"/>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811D7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11D7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811D7C"/>
    <w:rPr>
      <w:rFonts w:asciiTheme="majorHAnsi" w:eastAsiaTheme="majorEastAsia" w:hAnsiTheme="majorHAnsi" w:cstheme="majorBidi"/>
      <w:color w:val="365F91" w:themeColor="accent1" w:themeShade="BF"/>
    </w:rPr>
  </w:style>
  <w:style w:type="character" w:customStyle="1" w:styleId="Marker">
    <w:name w:val="Marker"/>
    <w:basedOn w:val="DefaultParagraphFont"/>
    <w:rsid w:val="00811D7C"/>
    <w:rPr>
      <w:color w:val="0000FF"/>
      <w:shd w:val="clear" w:color="auto" w:fill="auto"/>
    </w:rPr>
  </w:style>
  <w:style w:type="paragraph" w:customStyle="1" w:styleId="Pagedecouverture">
    <w:name w:val="Page de couverture"/>
    <w:basedOn w:val="Normal"/>
    <w:next w:val="Normal"/>
    <w:rsid w:val="00811D7C"/>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811D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D7C"/>
  </w:style>
  <w:style w:type="paragraph" w:styleId="Footer">
    <w:name w:val="footer"/>
    <w:basedOn w:val="Normal"/>
    <w:link w:val="FooterChar"/>
    <w:uiPriority w:val="99"/>
    <w:unhideWhenUsed/>
    <w:rsid w:val="00811D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D7C"/>
  </w:style>
  <w:style w:type="paragraph" w:customStyle="1" w:styleId="FooterCoverPage">
    <w:name w:val="Footer Cover Page"/>
    <w:basedOn w:val="Normal"/>
    <w:link w:val="FooterCoverPageChar"/>
    <w:rsid w:val="00811D7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11D7C"/>
    <w:rPr>
      <w:rFonts w:ascii="Times New Roman" w:hAnsi="Times New Roman" w:cs="Times New Roman"/>
      <w:sz w:val="24"/>
    </w:rPr>
  </w:style>
  <w:style w:type="paragraph" w:customStyle="1" w:styleId="FooterSensitivity">
    <w:name w:val="Footer Sensitivity"/>
    <w:basedOn w:val="Normal"/>
    <w:link w:val="FooterSensitivityChar"/>
    <w:rsid w:val="00811D7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11D7C"/>
    <w:rPr>
      <w:rFonts w:ascii="Times New Roman" w:hAnsi="Times New Roman" w:cs="Times New Roman"/>
      <w:b/>
      <w:sz w:val="32"/>
    </w:rPr>
  </w:style>
  <w:style w:type="paragraph" w:customStyle="1" w:styleId="HeaderCoverPage">
    <w:name w:val="Header Cover Page"/>
    <w:basedOn w:val="Normal"/>
    <w:link w:val="HeaderCoverPageChar"/>
    <w:rsid w:val="00811D7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11D7C"/>
    <w:rPr>
      <w:rFonts w:ascii="Times New Roman" w:hAnsi="Times New Roman" w:cs="Times New Roman"/>
      <w:sz w:val="24"/>
    </w:rPr>
  </w:style>
  <w:style w:type="paragraph" w:customStyle="1" w:styleId="HeaderSensitivity">
    <w:name w:val="Header Sensitivity"/>
    <w:basedOn w:val="Normal"/>
    <w:link w:val="HeaderSensitivityChar"/>
    <w:rsid w:val="00811D7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11D7C"/>
    <w:rPr>
      <w:rFonts w:ascii="Times New Roman" w:hAnsi="Times New Roman" w:cs="Times New Roman"/>
      <w:b/>
      <w:sz w:val="32"/>
    </w:rPr>
  </w:style>
  <w:style w:type="paragraph" w:styleId="TOCHeading">
    <w:name w:val="TOC Heading"/>
    <w:basedOn w:val="Heading1"/>
    <w:next w:val="Normal"/>
    <w:uiPriority w:val="39"/>
    <w:unhideWhenUsed/>
    <w:qFormat/>
    <w:rsid w:val="00811D7C"/>
    <w:pPr>
      <w:spacing w:line="259" w:lineRule="auto"/>
      <w:outlineLvl w:val="9"/>
    </w:pPr>
  </w:style>
  <w:style w:type="paragraph" w:styleId="TOC2">
    <w:name w:val="toc 2"/>
    <w:basedOn w:val="Normal"/>
    <w:next w:val="Normal"/>
    <w:autoRedefine/>
    <w:uiPriority w:val="39"/>
    <w:unhideWhenUsed/>
    <w:rsid w:val="008E10CB"/>
    <w:pPr>
      <w:tabs>
        <w:tab w:val="left" w:pos="880"/>
        <w:tab w:val="right" w:leader="dot" w:pos="9062"/>
      </w:tabs>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F42B71"/>
    <w:pPr>
      <w:tabs>
        <w:tab w:val="left" w:pos="660"/>
        <w:tab w:val="right" w:leader="dot" w:pos="9062"/>
      </w:tabs>
      <w:spacing w:after="100" w:line="259" w:lineRule="auto"/>
    </w:pPr>
    <w:rPr>
      <w:rFonts w:ascii="Times New Roman" w:eastAsiaTheme="minorEastAsia" w:hAnsi="Times New Roman" w:cs="Times New Roman"/>
      <w:b/>
      <w:bCs/>
      <w:noProof/>
    </w:rPr>
  </w:style>
  <w:style w:type="paragraph" w:styleId="TOC3">
    <w:name w:val="toc 3"/>
    <w:basedOn w:val="Normal"/>
    <w:next w:val="Normal"/>
    <w:autoRedefine/>
    <w:uiPriority w:val="39"/>
    <w:unhideWhenUsed/>
    <w:rsid w:val="00811D7C"/>
    <w:pPr>
      <w:tabs>
        <w:tab w:val="left" w:pos="1320"/>
        <w:tab w:val="right" w:leader="dot" w:pos="9062"/>
      </w:tabs>
      <w:spacing w:after="100" w:line="259" w:lineRule="auto"/>
      <w:ind w:left="440"/>
    </w:pPr>
    <w:rPr>
      <w:rFonts w:ascii="Times New Roman" w:eastAsiaTheme="minorEastAsia" w:hAnsi="Times New Roman" w:cs="Times New Roman"/>
      <w:b/>
      <w:noProof/>
      <w:sz w:val="24"/>
      <w:szCs w:val="24"/>
    </w:rPr>
  </w:style>
  <w:style w:type="paragraph" w:styleId="ListParagraph">
    <w:name w:val="List Paragraph"/>
    <w:aliases w:val="Fiche List Paragraph,Dot pt,F5 List Paragraph,List Paragraph1,No Spacing1,List Paragraph Char Char Char,Indicator Text,Numbered Para 1,Bullet Points,MAIN CONTENT,List Paragraph12,Bullet 1,OBC Bullet,Colorful List - Accent 11,3,EC,No TOC,L"/>
    <w:basedOn w:val="Normal"/>
    <w:link w:val="ListParagraphChar"/>
    <w:uiPriority w:val="34"/>
    <w:qFormat/>
    <w:rsid w:val="00811D7C"/>
    <w:pPr>
      <w:ind w:left="720"/>
      <w:contextualSpacing/>
    </w:pPr>
  </w:style>
  <w:style w:type="paragraph" w:styleId="FootnoteText">
    <w:name w:val="footnote text"/>
    <w:aliases w:val="Footnote Text Char1,Footnote Text Char Char,DTE-Voetnoottekst Char1 Char,DTE-Voetnoottekst Char Char Char,fn Char Char,footnote text Char Char,Footnotes Char Char,Footnote ak Char Char,Footnote Text Char1 Char Char,DTE-Voetnoottekst,fn,ft"/>
    <w:basedOn w:val="Normal"/>
    <w:link w:val="FootnoteTextChar"/>
    <w:uiPriority w:val="99"/>
    <w:unhideWhenUsed/>
    <w:qFormat/>
    <w:rsid w:val="00811D7C"/>
    <w:pPr>
      <w:spacing w:after="0" w:line="240" w:lineRule="auto"/>
    </w:pPr>
    <w:rPr>
      <w:sz w:val="20"/>
      <w:szCs w:val="20"/>
    </w:rPr>
  </w:style>
  <w:style w:type="character" w:customStyle="1" w:styleId="FootnoteTextChar">
    <w:name w:val="Footnote Text Char"/>
    <w:aliases w:val="Footnote Text Char1 Char,Footnote Text Char Char Char,DTE-Voetnoottekst Char1 Char Char,DTE-Voetnoottekst Char Char Char Char,fn Char Char Char,footnote text Char Char Char,Footnotes Char Char Char,Footnote ak Char Char Char,fn Char"/>
    <w:basedOn w:val="DefaultParagraphFont"/>
    <w:link w:val="FootnoteText"/>
    <w:uiPriority w:val="99"/>
    <w:qFormat/>
    <w:rsid w:val="00811D7C"/>
    <w:rPr>
      <w:sz w:val="20"/>
      <w:szCs w:val="20"/>
    </w:rPr>
  </w:style>
  <w:style w:type="character" w:styleId="FootnoteReference">
    <w:name w:val="footnote reference"/>
    <w:aliases w:val="Ref,de nota al pie,Footnote number,SUPERS,(NECG) Footnote Reference,0 PIER Footnote Reference,Footnote Reference Superscript,Footnote symbol,Footnote Reference/,Footnote Reference text,Voetnootverwijzing,footnote ref,FR,Times 10 Point"/>
    <w:basedOn w:val="DefaultParagraphFont"/>
    <w:link w:val="16Point"/>
    <w:uiPriority w:val="99"/>
    <w:unhideWhenUsed/>
    <w:qFormat/>
    <w:rsid w:val="00811D7C"/>
    <w:rPr>
      <w:vertAlign w:val="superscript"/>
    </w:rPr>
  </w:style>
  <w:style w:type="character" w:styleId="Hyperlink">
    <w:name w:val="Hyperlink"/>
    <w:basedOn w:val="DefaultParagraphFont"/>
    <w:uiPriority w:val="99"/>
    <w:unhideWhenUsed/>
    <w:rsid w:val="00811D7C"/>
    <w:rPr>
      <w:color w:val="0000FF" w:themeColor="hyperlink"/>
      <w:u w:val="single"/>
    </w:rPr>
  </w:style>
  <w:style w:type="paragraph" w:styleId="BalloonText">
    <w:name w:val="Balloon Text"/>
    <w:basedOn w:val="Normal"/>
    <w:link w:val="BalloonTextChar"/>
    <w:uiPriority w:val="99"/>
    <w:semiHidden/>
    <w:unhideWhenUsed/>
    <w:rsid w:val="00811D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1D7C"/>
    <w:rPr>
      <w:rFonts w:ascii="Segoe UI" w:hAnsi="Segoe UI" w:cs="Segoe UI"/>
      <w:sz w:val="18"/>
      <w:szCs w:val="18"/>
    </w:rPr>
  </w:style>
  <w:style w:type="paragraph" w:styleId="NoSpacing">
    <w:name w:val="No Spacing"/>
    <w:uiPriority w:val="1"/>
    <w:qFormat/>
    <w:rsid w:val="00811D7C"/>
    <w:pPr>
      <w:spacing w:after="0" w:line="240" w:lineRule="auto"/>
    </w:pPr>
  </w:style>
  <w:style w:type="paragraph" w:customStyle="1" w:styleId="04aNumeration">
    <w:name w:val="04a_Numeration"/>
    <w:basedOn w:val="Normal"/>
    <w:link w:val="04aNumerationChar"/>
    <w:rsid w:val="00811D7C"/>
    <w:pPr>
      <w:numPr>
        <w:numId w:val="2"/>
      </w:numPr>
      <w:spacing w:after="250"/>
      <w:jc w:val="both"/>
    </w:pPr>
    <w:rPr>
      <w:rFonts w:ascii="Georgia" w:eastAsia="Times New Roman" w:hAnsi="Georgia" w:cs="Times New Roman"/>
      <w:sz w:val="20"/>
      <w:szCs w:val="24"/>
      <w:lang w:eastAsia="de-DE"/>
    </w:rPr>
  </w:style>
  <w:style w:type="character" w:customStyle="1" w:styleId="04aNumerationChar">
    <w:name w:val="04a_Numeration Char"/>
    <w:link w:val="04aNumeration"/>
    <w:locked/>
    <w:rsid w:val="00811D7C"/>
    <w:rPr>
      <w:rFonts w:ascii="Georgia" w:eastAsia="Times New Roman" w:hAnsi="Georgia" w:cs="Times New Roman"/>
      <w:sz w:val="20"/>
      <w:szCs w:val="24"/>
      <w:lang w:eastAsia="de-DE"/>
    </w:rPr>
  </w:style>
  <w:style w:type="character" w:styleId="CommentReference">
    <w:name w:val="annotation reference"/>
    <w:basedOn w:val="DefaultParagraphFont"/>
    <w:uiPriority w:val="99"/>
    <w:unhideWhenUsed/>
    <w:rsid w:val="00811D7C"/>
    <w:rPr>
      <w:sz w:val="16"/>
      <w:szCs w:val="16"/>
    </w:rPr>
  </w:style>
  <w:style w:type="paragraph" w:styleId="CommentText">
    <w:name w:val="annotation text"/>
    <w:basedOn w:val="Normal"/>
    <w:link w:val="CommentTextChar"/>
    <w:uiPriority w:val="99"/>
    <w:unhideWhenUsed/>
    <w:rsid w:val="00811D7C"/>
    <w:pPr>
      <w:spacing w:line="240" w:lineRule="auto"/>
    </w:pPr>
    <w:rPr>
      <w:sz w:val="20"/>
      <w:szCs w:val="20"/>
    </w:rPr>
  </w:style>
  <w:style w:type="character" w:customStyle="1" w:styleId="CommentTextChar">
    <w:name w:val="Comment Text Char"/>
    <w:basedOn w:val="DefaultParagraphFont"/>
    <w:link w:val="CommentText"/>
    <w:uiPriority w:val="99"/>
    <w:rsid w:val="00811D7C"/>
    <w:rPr>
      <w:sz w:val="20"/>
      <w:szCs w:val="20"/>
    </w:rPr>
  </w:style>
  <w:style w:type="paragraph" w:styleId="CommentSubject">
    <w:name w:val="annotation subject"/>
    <w:basedOn w:val="CommentText"/>
    <w:next w:val="CommentText"/>
    <w:link w:val="CommentSubjectChar"/>
    <w:uiPriority w:val="99"/>
    <w:semiHidden/>
    <w:unhideWhenUsed/>
    <w:rsid w:val="00811D7C"/>
    <w:rPr>
      <w:b/>
      <w:bCs/>
    </w:rPr>
  </w:style>
  <w:style w:type="character" w:customStyle="1" w:styleId="CommentSubjectChar">
    <w:name w:val="Comment Subject Char"/>
    <w:basedOn w:val="CommentTextChar"/>
    <w:link w:val="CommentSubject"/>
    <w:uiPriority w:val="99"/>
    <w:semiHidden/>
    <w:rsid w:val="00811D7C"/>
    <w:rPr>
      <w:b/>
      <w:bCs/>
      <w:sz w:val="20"/>
      <w:szCs w:val="20"/>
    </w:rPr>
  </w:style>
  <w:style w:type="paragraph" w:styleId="NormalWeb">
    <w:name w:val="Normal (Web)"/>
    <w:basedOn w:val="Normal"/>
    <w:uiPriority w:val="99"/>
    <w:unhideWhenUsed/>
    <w:rsid w:val="00811D7C"/>
    <w:pPr>
      <w:spacing w:after="0" w:line="240" w:lineRule="auto"/>
    </w:pPr>
    <w:rPr>
      <w:rFonts w:ascii="Times New Roman" w:hAnsi="Times New Roman" w:cs="Times New Roman"/>
      <w:sz w:val="24"/>
      <w:szCs w:val="24"/>
      <w:lang w:eastAsia="en-GB"/>
    </w:rPr>
  </w:style>
  <w:style w:type="paragraph" w:customStyle="1" w:styleId="0Bodytext">
    <w:name w:val="(0)Body text"/>
    <w:basedOn w:val="Normal"/>
    <w:link w:val="0BodytextZchn"/>
    <w:qFormat/>
    <w:rsid w:val="00811D7C"/>
    <w:pPr>
      <w:spacing w:before="60" w:after="120" w:line="240" w:lineRule="auto"/>
      <w:jc w:val="both"/>
    </w:pPr>
    <w:rPr>
      <w:rFonts w:ascii="Verdana" w:eastAsia="Calibri" w:hAnsi="Verdana" w:cs="Arial"/>
      <w:color w:val="333333"/>
      <w:sz w:val="20"/>
      <w:szCs w:val="20"/>
    </w:rPr>
  </w:style>
  <w:style w:type="character" w:customStyle="1" w:styleId="0BodytextZchn">
    <w:name w:val="(0)Body text Zchn"/>
    <w:link w:val="0Bodytext"/>
    <w:rsid w:val="00811D7C"/>
    <w:rPr>
      <w:rFonts w:ascii="Verdana" w:eastAsia="Calibri" w:hAnsi="Verdana" w:cs="Arial"/>
      <w:color w:val="333333"/>
      <w:sz w:val="20"/>
      <w:szCs w:val="20"/>
      <w:lang w:val="fr-FR"/>
    </w:rPr>
  </w:style>
  <w:style w:type="table" w:styleId="TableGrid">
    <w:name w:val="Table Grid"/>
    <w:aliases w:val="Table none"/>
    <w:basedOn w:val="TableNormal"/>
    <w:uiPriority w:val="39"/>
    <w:rsid w:val="00811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3">
    <w:name w:val="Text 3"/>
    <w:basedOn w:val="Normal"/>
    <w:qFormat/>
    <w:rsid w:val="00811D7C"/>
    <w:pPr>
      <w:spacing w:after="240" w:line="240" w:lineRule="auto"/>
      <w:ind w:left="1916"/>
      <w:jc w:val="both"/>
    </w:pPr>
    <w:rPr>
      <w:rFonts w:ascii="Times New Roman" w:eastAsia="Times New Roman" w:hAnsi="Times New Roman" w:cs="Times New Roman"/>
      <w:sz w:val="24"/>
      <w:szCs w:val="20"/>
      <w:lang w:eastAsia="en-GB"/>
    </w:rPr>
  </w:style>
  <w:style w:type="paragraph" w:customStyle="1" w:styleId="16Point">
    <w:name w:val="16 Point"/>
    <w:aliases w:val="Superscript 6 Point,Exposant 3 Point,Footnote reference number,Odwołanie przypisu,number,2001+ Fußnotenzeichen"/>
    <w:basedOn w:val="Normal"/>
    <w:link w:val="FootnoteReference"/>
    <w:uiPriority w:val="99"/>
    <w:qFormat/>
    <w:rsid w:val="00811D7C"/>
    <w:pPr>
      <w:spacing w:after="160" w:line="240" w:lineRule="exact"/>
    </w:pPr>
    <w:rPr>
      <w:vertAlign w:val="superscript"/>
    </w:rPr>
  </w:style>
  <w:style w:type="paragraph" w:customStyle="1" w:styleId="Text1">
    <w:name w:val="Text 1"/>
    <w:basedOn w:val="Normal"/>
    <w:qFormat/>
    <w:rsid w:val="00811D7C"/>
    <w:pPr>
      <w:spacing w:after="240" w:line="240" w:lineRule="auto"/>
      <w:ind w:left="482"/>
      <w:jc w:val="both"/>
    </w:pPr>
    <w:rPr>
      <w:rFonts w:ascii="Times New Roman" w:eastAsia="Times New Roman" w:hAnsi="Times New Roman" w:cs="Times New Roman"/>
      <w:sz w:val="24"/>
      <w:szCs w:val="20"/>
      <w:lang w:eastAsia="en-GB"/>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ListParagraph"/>
    <w:uiPriority w:val="34"/>
    <w:qFormat/>
    <w:locked/>
    <w:rsid w:val="00811D7C"/>
  </w:style>
  <w:style w:type="paragraph" w:customStyle="1" w:styleId="Default">
    <w:name w:val="Default"/>
    <w:rsid w:val="00811D7C"/>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SecurityMarking">
    <w:name w:val="SecurityMarking"/>
    <w:basedOn w:val="Normal"/>
    <w:rsid w:val="00811D7C"/>
    <w:pPr>
      <w:spacing w:after="0"/>
      <w:ind w:left="5103"/>
    </w:pPr>
    <w:rPr>
      <w:rFonts w:ascii="Times New Roman" w:hAnsi="Times New Roman" w:cs="Times New Roman"/>
      <w:sz w:val="28"/>
    </w:rPr>
  </w:style>
  <w:style w:type="paragraph" w:customStyle="1" w:styleId="DateMarking">
    <w:name w:val="DateMarking"/>
    <w:basedOn w:val="Normal"/>
    <w:rsid w:val="00811D7C"/>
    <w:pPr>
      <w:spacing w:after="0"/>
      <w:ind w:left="5103"/>
    </w:pPr>
    <w:rPr>
      <w:rFonts w:ascii="Times New Roman" w:hAnsi="Times New Roman" w:cs="Times New Roman"/>
      <w:i/>
      <w:sz w:val="28"/>
    </w:rPr>
  </w:style>
  <w:style w:type="paragraph" w:customStyle="1" w:styleId="ReleasableTo">
    <w:name w:val="ReleasableTo"/>
    <w:basedOn w:val="Normal"/>
    <w:rsid w:val="00811D7C"/>
    <w:pPr>
      <w:spacing w:after="0"/>
      <w:ind w:left="5103"/>
    </w:pPr>
    <w:rPr>
      <w:rFonts w:ascii="Times New Roman" w:hAnsi="Times New Roman" w:cs="Times New Roman"/>
      <w:i/>
      <w:sz w:val="28"/>
    </w:rPr>
  </w:style>
  <w:style w:type="paragraph" w:customStyle="1" w:styleId="HeaderSensitivityRight">
    <w:name w:val="Header Sensitivity Right"/>
    <w:basedOn w:val="Normal"/>
    <w:rsid w:val="00811D7C"/>
    <w:pPr>
      <w:spacing w:after="120" w:line="240" w:lineRule="auto"/>
      <w:jc w:val="right"/>
    </w:pPr>
    <w:rPr>
      <w:rFonts w:ascii="Times New Roman" w:hAnsi="Times New Roman" w:cs="Times New Roman"/>
      <w:sz w:val="28"/>
    </w:rPr>
  </w:style>
  <w:style w:type="paragraph" w:styleId="TOC9">
    <w:name w:val="toc 9"/>
    <w:basedOn w:val="Normal"/>
    <w:next w:val="Normal"/>
    <w:autoRedefine/>
    <w:uiPriority w:val="39"/>
    <w:semiHidden/>
    <w:unhideWhenUsed/>
    <w:rsid w:val="00811D7C"/>
    <w:pPr>
      <w:spacing w:after="100"/>
      <w:ind w:left="1760"/>
    </w:pPr>
  </w:style>
  <w:style w:type="paragraph" w:styleId="Revision">
    <w:name w:val="Revision"/>
    <w:hidden/>
    <w:uiPriority w:val="99"/>
    <w:semiHidden/>
    <w:rsid w:val="00811D7C"/>
    <w:pPr>
      <w:spacing w:after="0" w:line="240" w:lineRule="auto"/>
    </w:pPr>
  </w:style>
  <w:style w:type="character" w:styleId="FollowedHyperlink">
    <w:name w:val="FollowedHyperlink"/>
    <w:basedOn w:val="DefaultParagraphFont"/>
    <w:uiPriority w:val="99"/>
    <w:semiHidden/>
    <w:unhideWhenUsed/>
    <w:rsid w:val="00811D7C"/>
    <w:rPr>
      <w:color w:val="800080" w:themeColor="followedHyperlink"/>
      <w:u w:val="single"/>
    </w:rPr>
  </w:style>
  <w:style w:type="paragraph" w:customStyle="1" w:styleId="Briefingtext">
    <w:name w:val="Briefing text"/>
    <w:basedOn w:val="Normal"/>
    <w:link w:val="BriefingtextChar"/>
    <w:rsid w:val="00811D7C"/>
    <w:pPr>
      <w:spacing w:after="240" w:line="240" w:lineRule="auto"/>
      <w:jc w:val="both"/>
    </w:pPr>
    <w:rPr>
      <w:rFonts w:ascii="Arial" w:eastAsia="Times New Roman" w:hAnsi="Arial" w:cs="Arial"/>
      <w:szCs w:val="24"/>
    </w:rPr>
  </w:style>
  <w:style w:type="character" w:customStyle="1" w:styleId="BriefingtextChar">
    <w:name w:val="Briefing text Char"/>
    <w:link w:val="Briefingtext"/>
    <w:rsid w:val="00811D7C"/>
    <w:rPr>
      <w:rFonts w:ascii="Arial" w:eastAsia="Times New Roman" w:hAnsi="Arial" w:cs="Arial"/>
      <w:szCs w:val="24"/>
    </w:rPr>
  </w:style>
  <w:style w:type="character" w:customStyle="1" w:styleId="e24kjd">
    <w:name w:val="e24kjd"/>
    <w:basedOn w:val="DefaultParagraphFont"/>
    <w:rsid w:val="00811D7C"/>
  </w:style>
  <w:style w:type="character" w:styleId="Emphasis">
    <w:name w:val="Emphasis"/>
    <w:basedOn w:val="DefaultParagraphFont"/>
    <w:uiPriority w:val="20"/>
    <w:qFormat/>
    <w:rsid w:val="00811D7C"/>
    <w:rPr>
      <w:i/>
      <w:iCs/>
    </w:rPr>
  </w:style>
  <w:style w:type="paragraph" w:customStyle="1" w:styleId="Copies">
    <w:name w:val="Copies"/>
    <w:basedOn w:val="Normal"/>
    <w:uiPriority w:val="99"/>
    <w:rsid w:val="003A43C8"/>
    <w:pPr>
      <w:tabs>
        <w:tab w:val="left" w:pos="5669"/>
      </w:tabs>
      <w:spacing w:before="480" w:after="0" w:line="240" w:lineRule="auto"/>
      <w:ind w:left="1984" w:hanging="1984"/>
      <w:contextualSpacing/>
    </w:pPr>
    <w:rPr>
      <w:rFonts w:ascii="Times New Roman" w:eastAsia="Times New Roman" w:hAnsi="Times New Roman" w:cs="Times New Roman"/>
      <w:sz w:val="24"/>
      <w:szCs w:val="20"/>
      <w:lang w:eastAsia="en-GB"/>
    </w:rPr>
  </w:style>
  <w:style w:type="table" w:styleId="MediumList2-Accent1">
    <w:name w:val="Medium List 2 Accent 1"/>
    <w:basedOn w:val="TableNormal"/>
    <w:uiPriority w:val="66"/>
    <w:rsid w:val="00F34E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cimalAligned">
    <w:name w:val="Decimal Aligned"/>
    <w:basedOn w:val="Normal"/>
    <w:uiPriority w:val="40"/>
    <w:qFormat/>
    <w:rsid w:val="00F34E21"/>
    <w:pPr>
      <w:tabs>
        <w:tab w:val="decimal" w:pos="360"/>
      </w:tabs>
    </w:pPr>
    <w:rPr>
      <w:rFonts w:eastAsiaTheme="minorEastAsia" w:cs="Times New Roman"/>
    </w:rPr>
  </w:style>
  <w:style w:type="character" w:styleId="SubtleEmphasis">
    <w:name w:val="Subtle Emphasis"/>
    <w:basedOn w:val="DefaultParagraphFont"/>
    <w:uiPriority w:val="19"/>
    <w:qFormat/>
    <w:rsid w:val="00F34E21"/>
    <w:rPr>
      <w:i/>
      <w:iCs/>
    </w:rPr>
  </w:style>
  <w:style w:type="table" w:styleId="LightShading-Accent1">
    <w:name w:val="Light Shading Accent 1"/>
    <w:basedOn w:val="TableNormal"/>
    <w:uiPriority w:val="60"/>
    <w:rsid w:val="00F34E21"/>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UnresolvedMention1">
    <w:name w:val="Unresolved Mention1"/>
    <w:basedOn w:val="DefaultParagraphFont"/>
    <w:uiPriority w:val="99"/>
    <w:semiHidden/>
    <w:unhideWhenUsed/>
    <w:rsid w:val="002F3997"/>
    <w:rPr>
      <w:color w:val="605E5C"/>
      <w:shd w:val="clear" w:color="auto" w:fill="E1DFDD"/>
    </w:r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2">
    <w:name w:val="Unresolved Mention2"/>
    <w:basedOn w:val="DefaultParagraphFont"/>
    <w:uiPriority w:val="99"/>
    <w:unhideWhenUsed/>
    <w:rsid w:val="00EB28FA"/>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paragraph" w:customStyle="1" w:styleId="norm">
    <w:name w:val="norm"/>
    <w:basedOn w:val="Normal"/>
    <w:rsid w:val="00AE7C0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UnresolvedMention3">
    <w:name w:val="Unresolved Mention3"/>
    <w:basedOn w:val="DefaultParagraphFont"/>
    <w:uiPriority w:val="99"/>
    <w:semiHidden/>
    <w:unhideWhenUsed/>
    <w:rsid w:val="00201994"/>
    <w:rPr>
      <w:color w:val="605E5C"/>
      <w:shd w:val="clear" w:color="auto" w:fill="E1DFDD"/>
    </w:rPr>
  </w:style>
  <w:style w:type="paragraph" w:styleId="Caption">
    <w:name w:val="caption"/>
    <w:basedOn w:val="Normal"/>
    <w:next w:val="Normal"/>
    <w:uiPriority w:val="35"/>
    <w:unhideWhenUsed/>
    <w:qFormat/>
    <w:rsid w:val="00E22F25"/>
    <w:pPr>
      <w:spacing w:line="240" w:lineRule="auto"/>
    </w:pPr>
    <w:rPr>
      <w:i/>
      <w:iCs/>
      <w:color w:val="1F497D" w:themeColor="text2"/>
      <w:sz w:val="18"/>
      <w:szCs w:val="18"/>
    </w:rPr>
  </w:style>
  <w:style w:type="character" w:customStyle="1" w:styleId="normaltextrun">
    <w:name w:val="normaltextrun"/>
    <w:basedOn w:val="DefaultParagraphFont"/>
    <w:rsid w:val="00910B3F"/>
  </w:style>
  <w:style w:type="character" w:styleId="Strong">
    <w:name w:val="Strong"/>
    <w:basedOn w:val="DefaultParagraphFont"/>
    <w:uiPriority w:val="22"/>
    <w:qFormat/>
    <w:rsid w:val="00A9462D"/>
    <w:rPr>
      <w:b/>
      <w:bCs/>
    </w:rPr>
  </w:style>
  <w:style w:type="character" w:customStyle="1" w:styleId="Mention3">
    <w:name w:val="Mention3"/>
    <w:basedOn w:val="DefaultParagraphFont"/>
    <w:uiPriority w:val="99"/>
    <w:unhideWhenUsed/>
    <w:rsid w:val="004929AB"/>
    <w:rPr>
      <w:color w:val="2B579A"/>
      <w:shd w:val="clear" w:color="auto" w:fill="E1DFDD"/>
    </w:rPr>
  </w:style>
  <w:style w:type="character" w:customStyle="1" w:styleId="Heading6Char">
    <w:name w:val="Heading 6 Char"/>
    <w:basedOn w:val="DefaultParagraphFont"/>
    <w:link w:val="Heading6"/>
    <w:uiPriority w:val="9"/>
    <w:semiHidden/>
    <w:rsid w:val="00BF122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F122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F122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F1224"/>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902AA7"/>
    <w:rPr>
      <w:color w:val="666666"/>
    </w:rPr>
  </w:style>
  <w:style w:type="table" w:styleId="GridTable5Dark-Accent1">
    <w:name w:val="Grid Table 5 Dark Accent 1"/>
    <w:basedOn w:val="TableNormal"/>
    <w:uiPriority w:val="50"/>
    <w:rsid w:val="00061E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061E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Languesfaisantfoi">
    <w:name w:val="Langues faisant foi"/>
    <w:basedOn w:val="Normal"/>
    <w:next w:val="Normal"/>
    <w:rsid w:val="00844692"/>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844692"/>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844692"/>
    <w:pPr>
      <w:spacing w:after="0"/>
    </w:pPr>
  </w:style>
  <w:style w:type="paragraph" w:customStyle="1" w:styleId="IntrtEEEPagedecouverture">
    <w:name w:val="Intérêt EEE (Page de couverture)"/>
    <w:basedOn w:val="IntrtEEE"/>
    <w:next w:val="Normal"/>
    <w:rsid w:val="00844692"/>
  </w:style>
  <w:style w:type="paragraph" w:customStyle="1" w:styleId="paragraph">
    <w:name w:val="paragraph"/>
    <w:basedOn w:val="Normal"/>
    <w:rsid w:val="00CD2D2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CD2D2C"/>
  </w:style>
  <w:style w:type="character" w:customStyle="1" w:styleId="cf01">
    <w:name w:val="cf01"/>
    <w:basedOn w:val="DefaultParagraphFont"/>
    <w:rsid w:val="007C4C2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20617">
      <w:bodyDiv w:val="1"/>
      <w:marLeft w:val="0"/>
      <w:marRight w:val="0"/>
      <w:marTop w:val="0"/>
      <w:marBottom w:val="0"/>
      <w:divBdr>
        <w:top w:val="none" w:sz="0" w:space="0" w:color="auto"/>
        <w:left w:val="none" w:sz="0" w:space="0" w:color="auto"/>
        <w:bottom w:val="none" w:sz="0" w:space="0" w:color="auto"/>
        <w:right w:val="none" w:sz="0" w:space="0" w:color="auto"/>
      </w:divBdr>
    </w:div>
    <w:div w:id="150563447">
      <w:bodyDiv w:val="1"/>
      <w:marLeft w:val="0"/>
      <w:marRight w:val="0"/>
      <w:marTop w:val="0"/>
      <w:marBottom w:val="0"/>
      <w:divBdr>
        <w:top w:val="none" w:sz="0" w:space="0" w:color="auto"/>
        <w:left w:val="none" w:sz="0" w:space="0" w:color="auto"/>
        <w:bottom w:val="none" w:sz="0" w:space="0" w:color="auto"/>
        <w:right w:val="none" w:sz="0" w:space="0" w:color="auto"/>
      </w:divBdr>
      <w:divsChild>
        <w:div w:id="749735539">
          <w:marLeft w:val="600"/>
          <w:marRight w:val="0"/>
          <w:marTop w:val="0"/>
          <w:marBottom w:val="0"/>
          <w:divBdr>
            <w:top w:val="none" w:sz="0" w:space="0" w:color="auto"/>
            <w:left w:val="none" w:sz="0" w:space="0" w:color="auto"/>
            <w:bottom w:val="none" w:sz="0" w:space="0" w:color="auto"/>
            <w:right w:val="none" w:sz="0" w:space="0" w:color="auto"/>
          </w:divBdr>
        </w:div>
        <w:div w:id="1395547597">
          <w:marLeft w:val="600"/>
          <w:marRight w:val="0"/>
          <w:marTop w:val="0"/>
          <w:marBottom w:val="0"/>
          <w:divBdr>
            <w:top w:val="none" w:sz="0" w:space="0" w:color="auto"/>
            <w:left w:val="none" w:sz="0" w:space="0" w:color="auto"/>
            <w:bottom w:val="none" w:sz="0" w:space="0" w:color="auto"/>
            <w:right w:val="none" w:sz="0" w:space="0" w:color="auto"/>
          </w:divBdr>
        </w:div>
        <w:div w:id="1834637195">
          <w:marLeft w:val="720"/>
          <w:marRight w:val="0"/>
          <w:marTop w:val="0"/>
          <w:marBottom w:val="0"/>
          <w:divBdr>
            <w:top w:val="none" w:sz="0" w:space="0" w:color="auto"/>
            <w:left w:val="none" w:sz="0" w:space="0" w:color="auto"/>
            <w:bottom w:val="none" w:sz="0" w:space="0" w:color="auto"/>
            <w:right w:val="none" w:sz="0" w:space="0" w:color="auto"/>
          </w:divBdr>
        </w:div>
      </w:divsChild>
    </w:div>
    <w:div w:id="258609862">
      <w:bodyDiv w:val="1"/>
      <w:marLeft w:val="0"/>
      <w:marRight w:val="0"/>
      <w:marTop w:val="0"/>
      <w:marBottom w:val="0"/>
      <w:divBdr>
        <w:top w:val="none" w:sz="0" w:space="0" w:color="auto"/>
        <w:left w:val="none" w:sz="0" w:space="0" w:color="auto"/>
        <w:bottom w:val="none" w:sz="0" w:space="0" w:color="auto"/>
        <w:right w:val="none" w:sz="0" w:space="0" w:color="auto"/>
      </w:divBdr>
    </w:div>
    <w:div w:id="330254574">
      <w:bodyDiv w:val="1"/>
      <w:marLeft w:val="0"/>
      <w:marRight w:val="0"/>
      <w:marTop w:val="0"/>
      <w:marBottom w:val="0"/>
      <w:divBdr>
        <w:top w:val="none" w:sz="0" w:space="0" w:color="auto"/>
        <w:left w:val="none" w:sz="0" w:space="0" w:color="auto"/>
        <w:bottom w:val="none" w:sz="0" w:space="0" w:color="auto"/>
        <w:right w:val="none" w:sz="0" w:space="0" w:color="auto"/>
      </w:divBdr>
    </w:div>
    <w:div w:id="340666343">
      <w:bodyDiv w:val="1"/>
      <w:marLeft w:val="0"/>
      <w:marRight w:val="0"/>
      <w:marTop w:val="0"/>
      <w:marBottom w:val="0"/>
      <w:divBdr>
        <w:top w:val="none" w:sz="0" w:space="0" w:color="auto"/>
        <w:left w:val="none" w:sz="0" w:space="0" w:color="auto"/>
        <w:bottom w:val="none" w:sz="0" w:space="0" w:color="auto"/>
        <w:right w:val="none" w:sz="0" w:space="0" w:color="auto"/>
      </w:divBdr>
    </w:div>
    <w:div w:id="474107387">
      <w:bodyDiv w:val="1"/>
      <w:marLeft w:val="0"/>
      <w:marRight w:val="0"/>
      <w:marTop w:val="0"/>
      <w:marBottom w:val="0"/>
      <w:divBdr>
        <w:top w:val="none" w:sz="0" w:space="0" w:color="auto"/>
        <w:left w:val="none" w:sz="0" w:space="0" w:color="auto"/>
        <w:bottom w:val="none" w:sz="0" w:space="0" w:color="auto"/>
        <w:right w:val="none" w:sz="0" w:space="0" w:color="auto"/>
      </w:divBdr>
    </w:div>
    <w:div w:id="489562098">
      <w:bodyDiv w:val="1"/>
      <w:marLeft w:val="0"/>
      <w:marRight w:val="0"/>
      <w:marTop w:val="0"/>
      <w:marBottom w:val="0"/>
      <w:divBdr>
        <w:top w:val="none" w:sz="0" w:space="0" w:color="auto"/>
        <w:left w:val="none" w:sz="0" w:space="0" w:color="auto"/>
        <w:bottom w:val="none" w:sz="0" w:space="0" w:color="auto"/>
        <w:right w:val="none" w:sz="0" w:space="0" w:color="auto"/>
      </w:divBdr>
    </w:div>
    <w:div w:id="520969545">
      <w:bodyDiv w:val="1"/>
      <w:marLeft w:val="0"/>
      <w:marRight w:val="0"/>
      <w:marTop w:val="0"/>
      <w:marBottom w:val="0"/>
      <w:divBdr>
        <w:top w:val="none" w:sz="0" w:space="0" w:color="auto"/>
        <w:left w:val="none" w:sz="0" w:space="0" w:color="auto"/>
        <w:bottom w:val="none" w:sz="0" w:space="0" w:color="auto"/>
        <w:right w:val="none" w:sz="0" w:space="0" w:color="auto"/>
      </w:divBdr>
      <w:divsChild>
        <w:div w:id="1772780697">
          <w:marLeft w:val="1800"/>
          <w:marRight w:val="0"/>
          <w:marTop w:val="240"/>
          <w:marBottom w:val="0"/>
          <w:divBdr>
            <w:top w:val="none" w:sz="0" w:space="0" w:color="auto"/>
            <w:left w:val="none" w:sz="0" w:space="0" w:color="auto"/>
            <w:bottom w:val="none" w:sz="0" w:space="0" w:color="auto"/>
            <w:right w:val="none" w:sz="0" w:space="0" w:color="auto"/>
          </w:divBdr>
        </w:div>
      </w:divsChild>
    </w:div>
    <w:div w:id="542447879">
      <w:bodyDiv w:val="1"/>
      <w:marLeft w:val="0"/>
      <w:marRight w:val="0"/>
      <w:marTop w:val="0"/>
      <w:marBottom w:val="0"/>
      <w:divBdr>
        <w:top w:val="none" w:sz="0" w:space="0" w:color="auto"/>
        <w:left w:val="none" w:sz="0" w:space="0" w:color="auto"/>
        <w:bottom w:val="none" w:sz="0" w:space="0" w:color="auto"/>
        <w:right w:val="none" w:sz="0" w:space="0" w:color="auto"/>
      </w:divBdr>
    </w:div>
    <w:div w:id="581184648">
      <w:bodyDiv w:val="1"/>
      <w:marLeft w:val="0"/>
      <w:marRight w:val="0"/>
      <w:marTop w:val="0"/>
      <w:marBottom w:val="0"/>
      <w:divBdr>
        <w:top w:val="none" w:sz="0" w:space="0" w:color="auto"/>
        <w:left w:val="none" w:sz="0" w:space="0" w:color="auto"/>
        <w:bottom w:val="none" w:sz="0" w:space="0" w:color="auto"/>
        <w:right w:val="none" w:sz="0" w:space="0" w:color="auto"/>
      </w:divBdr>
    </w:div>
    <w:div w:id="696392728">
      <w:bodyDiv w:val="1"/>
      <w:marLeft w:val="0"/>
      <w:marRight w:val="0"/>
      <w:marTop w:val="0"/>
      <w:marBottom w:val="0"/>
      <w:divBdr>
        <w:top w:val="none" w:sz="0" w:space="0" w:color="auto"/>
        <w:left w:val="none" w:sz="0" w:space="0" w:color="auto"/>
        <w:bottom w:val="none" w:sz="0" w:space="0" w:color="auto"/>
        <w:right w:val="none" w:sz="0" w:space="0" w:color="auto"/>
      </w:divBdr>
    </w:div>
    <w:div w:id="770516053">
      <w:bodyDiv w:val="1"/>
      <w:marLeft w:val="0"/>
      <w:marRight w:val="0"/>
      <w:marTop w:val="0"/>
      <w:marBottom w:val="0"/>
      <w:divBdr>
        <w:top w:val="none" w:sz="0" w:space="0" w:color="auto"/>
        <w:left w:val="none" w:sz="0" w:space="0" w:color="auto"/>
        <w:bottom w:val="none" w:sz="0" w:space="0" w:color="auto"/>
        <w:right w:val="none" w:sz="0" w:space="0" w:color="auto"/>
      </w:divBdr>
    </w:div>
    <w:div w:id="778111322">
      <w:bodyDiv w:val="1"/>
      <w:marLeft w:val="0"/>
      <w:marRight w:val="0"/>
      <w:marTop w:val="0"/>
      <w:marBottom w:val="0"/>
      <w:divBdr>
        <w:top w:val="none" w:sz="0" w:space="0" w:color="auto"/>
        <w:left w:val="none" w:sz="0" w:space="0" w:color="auto"/>
        <w:bottom w:val="none" w:sz="0" w:space="0" w:color="auto"/>
        <w:right w:val="none" w:sz="0" w:space="0" w:color="auto"/>
      </w:divBdr>
    </w:div>
    <w:div w:id="788554213">
      <w:bodyDiv w:val="1"/>
      <w:marLeft w:val="0"/>
      <w:marRight w:val="0"/>
      <w:marTop w:val="0"/>
      <w:marBottom w:val="0"/>
      <w:divBdr>
        <w:top w:val="none" w:sz="0" w:space="0" w:color="auto"/>
        <w:left w:val="none" w:sz="0" w:space="0" w:color="auto"/>
        <w:bottom w:val="none" w:sz="0" w:space="0" w:color="auto"/>
        <w:right w:val="none" w:sz="0" w:space="0" w:color="auto"/>
      </w:divBdr>
    </w:div>
    <w:div w:id="810634911">
      <w:bodyDiv w:val="1"/>
      <w:marLeft w:val="0"/>
      <w:marRight w:val="0"/>
      <w:marTop w:val="0"/>
      <w:marBottom w:val="0"/>
      <w:divBdr>
        <w:top w:val="none" w:sz="0" w:space="0" w:color="auto"/>
        <w:left w:val="none" w:sz="0" w:space="0" w:color="auto"/>
        <w:bottom w:val="none" w:sz="0" w:space="0" w:color="auto"/>
        <w:right w:val="none" w:sz="0" w:space="0" w:color="auto"/>
      </w:divBdr>
    </w:div>
    <w:div w:id="887037510">
      <w:bodyDiv w:val="1"/>
      <w:marLeft w:val="0"/>
      <w:marRight w:val="0"/>
      <w:marTop w:val="0"/>
      <w:marBottom w:val="0"/>
      <w:divBdr>
        <w:top w:val="none" w:sz="0" w:space="0" w:color="auto"/>
        <w:left w:val="none" w:sz="0" w:space="0" w:color="auto"/>
        <w:bottom w:val="none" w:sz="0" w:space="0" w:color="auto"/>
        <w:right w:val="none" w:sz="0" w:space="0" w:color="auto"/>
      </w:divBdr>
    </w:div>
    <w:div w:id="952052650">
      <w:bodyDiv w:val="1"/>
      <w:marLeft w:val="0"/>
      <w:marRight w:val="0"/>
      <w:marTop w:val="0"/>
      <w:marBottom w:val="0"/>
      <w:divBdr>
        <w:top w:val="none" w:sz="0" w:space="0" w:color="auto"/>
        <w:left w:val="none" w:sz="0" w:space="0" w:color="auto"/>
        <w:bottom w:val="none" w:sz="0" w:space="0" w:color="auto"/>
        <w:right w:val="none" w:sz="0" w:space="0" w:color="auto"/>
      </w:divBdr>
    </w:div>
    <w:div w:id="1046682638">
      <w:bodyDiv w:val="1"/>
      <w:marLeft w:val="0"/>
      <w:marRight w:val="0"/>
      <w:marTop w:val="0"/>
      <w:marBottom w:val="0"/>
      <w:divBdr>
        <w:top w:val="none" w:sz="0" w:space="0" w:color="auto"/>
        <w:left w:val="none" w:sz="0" w:space="0" w:color="auto"/>
        <w:bottom w:val="none" w:sz="0" w:space="0" w:color="auto"/>
        <w:right w:val="none" w:sz="0" w:space="0" w:color="auto"/>
      </w:divBdr>
      <w:divsChild>
        <w:div w:id="1866096948">
          <w:marLeft w:val="0"/>
          <w:marRight w:val="0"/>
          <w:marTop w:val="0"/>
          <w:marBottom w:val="0"/>
          <w:divBdr>
            <w:top w:val="none" w:sz="0" w:space="0" w:color="auto"/>
            <w:left w:val="none" w:sz="0" w:space="0" w:color="auto"/>
            <w:bottom w:val="none" w:sz="0" w:space="0" w:color="auto"/>
            <w:right w:val="none" w:sz="0" w:space="0" w:color="auto"/>
          </w:divBdr>
          <w:divsChild>
            <w:div w:id="1190803639">
              <w:marLeft w:val="0"/>
              <w:marRight w:val="0"/>
              <w:marTop w:val="0"/>
              <w:marBottom w:val="0"/>
              <w:divBdr>
                <w:top w:val="none" w:sz="0" w:space="0" w:color="auto"/>
                <w:left w:val="none" w:sz="0" w:space="0" w:color="auto"/>
                <w:bottom w:val="none" w:sz="0" w:space="0" w:color="auto"/>
                <w:right w:val="none" w:sz="0" w:space="0" w:color="auto"/>
              </w:divBdr>
              <w:divsChild>
                <w:div w:id="1274901734">
                  <w:marLeft w:val="0"/>
                  <w:marRight w:val="0"/>
                  <w:marTop w:val="0"/>
                  <w:marBottom w:val="0"/>
                  <w:divBdr>
                    <w:top w:val="none" w:sz="0" w:space="0" w:color="auto"/>
                    <w:left w:val="none" w:sz="0" w:space="0" w:color="auto"/>
                    <w:bottom w:val="none" w:sz="0" w:space="0" w:color="auto"/>
                    <w:right w:val="none" w:sz="0" w:space="0" w:color="auto"/>
                  </w:divBdr>
                  <w:divsChild>
                    <w:div w:id="1246647477">
                      <w:marLeft w:val="0"/>
                      <w:marRight w:val="0"/>
                      <w:marTop w:val="0"/>
                      <w:marBottom w:val="0"/>
                      <w:divBdr>
                        <w:top w:val="none" w:sz="0" w:space="0" w:color="auto"/>
                        <w:left w:val="none" w:sz="0" w:space="0" w:color="auto"/>
                        <w:bottom w:val="none" w:sz="0" w:space="0" w:color="auto"/>
                        <w:right w:val="none" w:sz="0" w:space="0" w:color="auto"/>
                      </w:divBdr>
                      <w:divsChild>
                        <w:div w:id="1220437735">
                          <w:marLeft w:val="0"/>
                          <w:marRight w:val="0"/>
                          <w:marTop w:val="0"/>
                          <w:marBottom w:val="0"/>
                          <w:divBdr>
                            <w:top w:val="none" w:sz="0" w:space="0" w:color="auto"/>
                            <w:left w:val="none" w:sz="0" w:space="0" w:color="auto"/>
                            <w:bottom w:val="none" w:sz="0" w:space="0" w:color="auto"/>
                            <w:right w:val="none" w:sz="0" w:space="0" w:color="auto"/>
                          </w:divBdr>
                          <w:divsChild>
                            <w:div w:id="1673683550">
                              <w:marLeft w:val="0"/>
                              <w:marRight w:val="0"/>
                              <w:marTop w:val="0"/>
                              <w:marBottom w:val="0"/>
                              <w:divBdr>
                                <w:top w:val="none" w:sz="0" w:space="0" w:color="auto"/>
                                <w:left w:val="none" w:sz="0" w:space="0" w:color="auto"/>
                                <w:bottom w:val="none" w:sz="0" w:space="0" w:color="auto"/>
                                <w:right w:val="none" w:sz="0" w:space="0" w:color="auto"/>
                              </w:divBdr>
                              <w:divsChild>
                                <w:div w:id="31052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670630">
      <w:bodyDiv w:val="1"/>
      <w:marLeft w:val="0"/>
      <w:marRight w:val="0"/>
      <w:marTop w:val="0"/>
      <w:marBottom w:val="0"/>
      <w:divBdr>
        <w:top w:val="none" w:sz="0" w:space="0" w:color="auto"/>
        <w:left w:val="none" w:sz="0" w:space="0" w:color="auto"/>
        <w:bottom w:val="none" w:sz="0" w:space="0" w:color="auto"/>
        <w:right w:val="none" w:sz="0" w:space="0" w:color="auto"/>
      </w:divBdr>
    </w:div>
    <w:div w:id="1134257007">
      <w:bodyDiv w:val="1"/>
      <w:marLeft w:val="0"/>
      <w:marRight w:val="0"/>
      <w:marTop w:val="0"/>
      <w:marBottom w:val="0"/>
      <w:divBdr>
        <w:top w:val="none" w:sz="0" w:space="0" w:color="auto"/>
        <w:left w:val="none" w:sz="0" w:space="0" w:color="auto"/>
        <w:bottom w:val="none" w:sz="0" w:space="0" w:color="auto"/>
        <w:right w:val="none" w:sz="0" w:space="0" w:color="auto"/>
      </w:divBdr>
    </w:div>
    <w:div w:id="1137719877">
      <w:bodyDiv w:val="1"/>
      <w:marLeft w:val="0"/>
      <w:marRight w:val="0"/>
      <w:marTop w:val="0"/>
      <w:marBottom w:val="0"/>
      <w:divBdr>
        <w:top w:val="none" w:sz="0" w:space="0" w:color="auto"/>
        <w:left w:val="none" w:sz="0" w:space="0" w:color="auto"/>
        <w:bottom w:val="none" w:sz="0" w:space="0" w:color="auto"/>
        <w:right w:val="none" w:sz="0" w:space="0" w:color="auto"/>
      </w:divBdr>
    </w:div>
    <w:div w:id="1139299135">
      <w:bodyDiv w:val="1"/>
      <w:marLeft w:val="0"/>
      <w:marRight w:val="0"/>
      <w:marTop w:val="0"/>
      <w:marBottom w:val="0"/>
      <w:divBdr>
        <w:top w:val="none" w:sz="0" w:space="0" w:color="auto"/>
        <w:left w:val="none" w:sz="0" w:space="0" w:color="auto"/>
        <w:bottom w:val="none" w:sz="0" w:space="0" w:color="auto"/>
        <w:right w:val="none" w:sz="0" w:space="0" w:color="auto"/>
      </w:divBdr>
      <w:divsChild>
        <w:div w:id="798036001">
          <w:marLeft w:val="0"/>
          <w:marRight w:val="0"/>
          <w:marTop w:val="0"/>
          <w:marBottom w:val="0"/>
          <w:divBdr>
            <w:top w:val="none" w:sz="0" w:space="0" w:color="auto"/>
            <w:left w:val="none" w:sz="0" w:space="0" w:color="auto"/>
            <w:bottom w:val="none" w:sz="0" w:space="0" w:color="auto"/>
            <w:right w:val="none" w:sz="0" w:space="0" w:color="auto"/>
          </w:divBdr>
        </w:div>
      </w:divsChild>
    </w:div>
    <w:div w:id="1151140688">
      <w:bodyDiv w:val="1"/>
      <w:marLeft w:val="0"/>
      <w:marRight w:val="0"/>
      <w:marTop w:val="0"/>
      <w:marBottom w:val="0"/>
      <w:divBdr>
        <w:top w:val="none" w:sz="0" w:space="0" w:color="auto"/>
        <w:left w:val="none" w:sz="0" w:space="0" w:color="auto"/>
        <w:bottom w:val="none" w:sz="0" w:space="0" w:color="auto"/>
        <w:right w:val="none" w:sz="0" w:space="0" w:color="auto"/>
      </w:divBdr>
      <w:divsChild>
        <w:div w:id="190808003">
          <w:marLeft w:val="0"/>
          <w:marRight w:val="0"/>
          <w:marTop w:val="0"/>
          <w:marBottom w:val="0"/>
          <w:divBdr>
            <w:top w:val="none" w:sz="0" w:space="0" w:color="auto"/>
            <w:left w:val="none" w:sz="0" w:space="0" w:color="auto"/>
            <w:bottom w:val="none" w:sz="0" w:space="0" w:color="auto"/>
            <w:right w:val="none" w:sz="0" w:space="0" w:color="auto"/>
          </w:divBdr>
        </w:div>
        <w:div w:id="302077876">
          <w:marLeft w:val="0"/>
          <w:marRight w:val="0"/>
          <w:marTop w:val="0"/>
          <w:marBottom w:val="0"/>
          <w:divBdr>
            <w:top w:val="none" w:sz="0" w:space="0" w:color="auto"/>
            <w:left w:val="none" w:sz="0" w:space="0" w:color="auto"/>
            <w:bottom w:val="none" w:sz="0" w:space="0" w:color="auto"/>
            <w:right w:val="none" w:sz="0" w:space="0" w:color="auto"/>
          </w:divBdr>
        </w:div>
      </w:divsChild>
    </w:div>
    <w:div w:id="1162887814">
      <w:bodyDiv w:val="1"/>
      <w:marLeft w:val="0"/>
      <w:marRight w:val="0"/>
      <w:marTop w:val="0"/>
      <w:marBottom w:val="0"/>
      <w:divBdr>
        <w:top w:val="none" w:sz="0" w:space="0" w:color="auto"/>
        <w:left w:val="none" w:sz="0" w:space="0" w:color="auto"/>
        <w:bottom w:val="none" w:sz="0" w:space="0" w:color="auto"/>
        <w:right w:val="none" w:sz="0" w:space="0" w:color="auto"/>
      </w:divBdr>
    </w:div>
    <w:div w:id="1163356626">
      <w:bodyDiv w:val="1"/>
      <w:marLeft w:val="0"/>
      <w:marRight w:val="0"/>
      <w:marTop w:val="0"/>
      <w:marBottom w:val="0"/>
      <w:divBdr>
        <w:top w:val="none" w:sz="0" w:space="0" w:color="auto"/>
        <w:left w:val="none" w:sz="0" w:space="0" w:color="auto"/>
        <w:bottom w:val="none" w:sz="0" w:space="0" w:color="auto"/>
        <w:right w:val="none" w:sz="0" w:space="0" w:color="auto"/>
      </w:divBdr>
      <w:divsChild>
        <w:div w:id="1500386217">
          <w:marLeft w:val="0"/>
          <w:marRight w:val="0"/>
          <w:marTop w:val="0"/>
          <w:marBottom w:val="0"/>
          <w:divBdr>
            <w:top w:val="none" w:sz="0" w:space="0" w:color="auto"/>
            <w:left w:val="none" w:sz="0" w:space="0" w:color="auto"/>
            <w:bottom w:val="none" w:sz="0" w:space="0" w:color="auto"/>
            <w:right w:val="none" w:sz="0" w:space="0" w:color="auto"/>
          </w:divBdr>
        </w:div>
        <w:div w:id="2062902842">
          <w:marLeft w:val="0"/>
          <w:marRight w:val="0"/>
          <w:marTop w:val="0"/>
          <w:marBottom w:val="0"/>
          <w:divBdr>
            <w:top w:val="none" w:sz="0" w:space="0" w:color="auto"/>
            <w:left w:val="none" w:sz="0" w:space="0" w:color="auto"/>
            <w:bottom w:val="none" w:sz="0" w:space="0" w:color="auto"/>
            <w:right w:val="none" w:sz="0" w:space="0" w:color="auto"/>
          </w:divBdr>
        </w:div>
      </w:divsChild>
    </w:div>
    <w:div w:id="1214316918">
      <w:bodyDiv w:val="1"/>
      <w:marLeft w:val="0"/>
      <w:marRight w:val="0"/>
      <w:marTop w:val="0"/>
      <w:marBottom w:val="0"/>
      <w:divBdr>
        <w:top w:val="none" w:sz="0" w:space="0" w:color="auto"/>
        <w:left w:val="none" w:sz="0" w:space="0" w:color="auto"/>
        <w:bottom w:val="none" w:sz="0" w:space="0" w:color="auto"/>
        <w:right w:val="none" w:sz="0" w:space="0" w:color="auto"/>
      </w:divBdr>
    </w:div>
    <w:div w:id="1272132606">
      <w:bodyDiv w:val="1"/>
      <w:marLeft w:val="0"/>
      <w:marRight w:val="0"/>
      <w:marTop w:val="0"/>
      <w:marBottom w:val="0"/>
      <w:divBdr>
        <w:top w:val="none" w:sz="0" w:space="0" w:color="auto"/>
        <w:left w:val="none" w:sz="0" w:space="0" w:color="auto"/>
        <w:bottom w:val="none" w:sz="0" w:space="0" w:color="auto"/>
        <w:right w:val="none" w:sz="0" w:space="0" w:color="auto"/>
      </w:divBdr>
    </w:div>
    <w:div w:id="1285234187">
      <w:bodyDiv w:val="1"/>
      <w:marLeft w:val="0"/>
      <w:marRight w:val="0"/>
      <w:marTop w:val="0"/>
      <w:marBottom w:val="0"/>
      <w:divBdr>
        <w:top w:val="none" w:sz="0" w:space="0" w:color="auto"/>
        <w:left w:val="none" w:sz="0" w:space="0" w:color="auto"/>
        <w:bottom w:val="none" w:sz="0" w:space="0" w:color="auto"/>
        <w:right w:val="none" w:sz="0" w:space="0" w:color="auto"/>
      </w:divBdr>
    </w:div>
    <w:div w:id="1302423707">
      <w:bodyDiv w:val="1"/>
      <w:marLeft w:val="0"/>
      <w:marRight w:val="0"/>
      <w:marTop w:val="0"/>
      <w:marBottom w:val="0"/>
      <w:divBdr>
        <w:top w:val="none" w:sz="0" w:space="0" w:color="auto"/>
        <w:left w:val="none" w:sz="0" w:space="0" w:color="auto"/>
        <w:bottom w:val="none" w:sz="0" w:space="0" w:color="auto"/>
        <w:right w:val="none" w:sz="0" w:space="0" w:color="auto"/>
      </w:divBdr>
    </w:div>
    <w:div w:id="1391919990">
      <w:bodyDiv w:val="1"/>
      <w:marLeft w:val="0"/>
      <w:marRight w:val="0"/>
      <w:marTop w:val="0"/>
      <w:marBottom w:val="0"/>
      <w:divBdr>
        <w:top w:val="none" w:sz="0" w:space="0" w:color="auto"/>
        <w:left w:val="none" w:sz="0" w:space="0" w:color="auto"/>
        <w:bottom w:val="none" w:sz="0" w:space="0" w:color="auto"/>
        <w:right w:val="none" w:sz="0" w:space="0" w:color="auto"/>
      </w:divBdr>
    </w:div>
    <w:div w:id="1399982576">
      <w:bodyDiv w:val="1"/>
      <w:marLeft w:val="0"/>
      <w:marRight w:val="0"/>
      <w:marTop w:val="0"/>
      <w:marBottom w:val="0"/>
      <w:divBdr>
        <w:top w:val="none" w:sz="0" w:space="0" w:color="auto"/>
        <w:left w:val="none" w:sz="0" w:space="0" w:color="auto"/>
        <w:bottom w:val="none" w:sz="0" w:space="0" w:color="auto"/>
        <w:right w:val="none" w:sz="0" w:space="0" w:color="auto"/>
      </w:divBdr>
    </w:div>
    <w:div w:id="1493519759">
      <w:bodyDiv w:val="1"/>
      <w:marLeft w:val="0"/>
      <w:marRight w:val="0"/>
      <w:marTop w:val="0"/>
      <w:marBottom w:val="0"/>
      <w:divBdr>
        <w:top w:val="none" w:sz="0" w:space="0" w:color="auto"/>
        <w:left w:val="none" w:sz="0" w:space="0" w:color="auto"/>
        <w:bottom w:val="none" w:sz="0" w:space="0" w:color="auto"/>
        <w:right w:val="none" w:sz="0" w:space="0" w:color="auto"/>
      </w:divBdr>
    </w:div>
    <w:div w:id="1522161266">
      <w:bodyDiv w:val="1"/>
      <w:marLeft w:val="0"/>
      <w:marRight w:val="0"/>
      <w:marTop w:val="0"/>
      <w:marBottom w:val="0"/>
      <w:divBdr>
        <w:top w:val="none" w:sz="0" w:space="0" w:color="auto"/>
        <w:left w:val="none" w:sz="0" w:space="0" w:color="auto"/>
        <w:bottom w:val="none" w:sz="0" w:space="0" w:color="auto"/>
        <w:right w:val="none" w:sz="0" w:space="0" w:color="auto"/>
      </w:divBdr>
      <w:divsChild>
        <w:div w:id="414202579">
          <w:marLeft w:val="0"/>
          <w:marRight w:val="0"/>
          <w:marTop w:val="0"/>
          <w:marBottom w:val="0"/>
          <w:divBdr>
            <w:top w:val="none" w:sz="0" w:space="0" w:color="auto"/>
            <w:left w:val="none" w:sz="0" w:space="0" w:color="auto"/>
            <w:bottom w:val="none" w:sz="0" w:space="0" w:color="auto"/>
            <w:right w:val="none" w:sz="0" w:space="0" w:color="auto"/>
          </w:divBdr>
        </w:div>
        <w:div w:id="984822081">
          <w:marLeft w:val="0"/>
          <w:marRight w:val="0"/>
          <w:marTop w:val="0"/>
          <w:marBottom w:val="0"/>
          <w:divBdr>
            <w:top w:val="none" w:sz="0" w:space="0" w:color="auto"/>
            <w:left w:val="none" w:sz="0" w:space="0" w:color="auto"/>
            <w:bottom w:val="none" w:sz="0" w:space="0" w:color="auto"/>
            <w:right w:val="none" w:sz="0" w:space="0" w:color="auto"/>
          </w:divBdr>
        </w:div>
      </w:divsChild>
    </w:div>
    <w:div w:id="1552498848">
      <w:bodyDiv w:val="1"/>
      <w:marLeft w:val="0"/>
      <w:marRight w:val="0"/>
      <w:marTop w:val="0"/>
      <w:marBottom w:val="0"/>
      <w:divBdr>
        <w:top w:val="none" w:sz="0" w:space="0" w:color="auto"/>
        <w:left w:val="none" w:sz="0" w:space="0" w:color="auto"/>
        <w:bottom w:val="none" w:sz="0" w:space="0" w:color="auto"/>
        <w:right w:val="none" w:sz="0" w:space="0" w:color="auto"/>
      </w:divBdr>
    </w:div>
    <w:div w:id="1579947144">
      <w:bodyDiv w:val="1"/>
      <w:marLeft w:val="0"/>
      <w:marRight w:val="0"/>
      <w:marTop w:val="0"/>
      <w:marBottom w:val="0"/>
      <w:divBdr>
        <w:top w:val="none" w:sz="0" w:space="0" w:color="auto"/>
        <w:left w:val="none" w:sz="0" w:space="0" w:color="auto"/>
        <w:bottom w:val="none" w:sz="0" w:space="0" w:color="auto"/>
        <w:right w:val="none" w:sz="0" w:space="0" w:color="auto"/>
      </w:divBdr>
    </w:div>
    <w:div w:id="1594973168">
      <w:bodyDiv w:val="1"/>
      <w:marLeft w:val="0"/>
      <w:marRight w:val="0"/>
      <w:marTop w:val="0"/>
      <w:marBottom w:val="0"/>
      <w:divBdr>
        <w:top w:val="none" w:sz="0" w:space="0" w:color="auto"/>
        <w:left w:val="none" w:sz="0" w:space="0" w:color="auto"/>
        <w:bottom w:val="none" w:sz="0" w:space="0" w:color="auto"/>
        <w:right w:val="none" w:sz="0" w:space="0" w:color="auto"/>
      </w:divBdr>
    </w:div>
    <w:div w:id="1601375045">
      <w:bodyDiv w:val="1"/>
      <w:marLeft w:val="0"/>
      <w:marRight w:val="0"/>
      <w:marTop w:val="0"/>
      <w:marBottom w:val="0"/>
      <w:divBdr>
        <w:top w:val="none" w:sz="0" w:space="0" w:color="auto"/>
        <w:left w:val="none" w:sz="0" w:space="0" w:color="auto"/>
        <w:bottom w:val="none" w:sz="0" w:space="0" w:color="auto"/>
        <w:right w:val="none" w:sz="0" w:space="0" w:color="auto"/>
      </w:divBdr>
    </w:div>
    <w:div w:id="1605579052">
      <w:bodyDiv w:val="1"/>
      <w:marLeft w:val="0"/>
      <w:marRight w:val="0"/>
      <w:marTop w:val="0"/>
      <w:marBottom w:val="0"/>
      <w:divBdr>
        <w:top w:val="none" w:sz="0" w:space="0" w:color="auto"/>
        <w:left w:val="none" w:sz="0" w:space="0" w:color="auto"/>
        <w:bottom w:val="none" w:sz="0" w:space="0" w:color="auto"/>
        <w:right w:val="none" w:sz="0" w:space="0" w:color="auto"/>
      </w:divBdr>
    </w:div>
    <w:div w:id="1618413845">
      <w:bodyDiv w:val="1"/>
      <w:marLeft w:val="0"/>
      <w:marRight w:val="0"/>
      <w:marTop w:val="0"/>
      <w:marBottom w:val="0"/>
      <w:divBdr>
        <w:top w:val="none" w:sz="0" w:space="0" w:color="auto"/>
        <w:left w:val="none" w:sz="0" w:space="0" w:color="auto"/>
        <w:bottom w:val="none" w:sz="0" w:space="0" w:color="auto"/>
        <w:right w:val="none" w:sz="0" w:space="0" w:color="auto"/>
      </w:divBdr>
    </w:div>
    <w:div w:id="1638489426">
      <w:bodyDiv w:val="1"/>
      <w:marLeft w:val="0"/>
      <w:marRight w:val="0"/>
      <w:marTop w:val="0"/>
      <w:marBottom w:val="0"/>
      <w:divBdr>
        <w:top w:val="none" w:sz="0" w:space="0" w:color="auto"/>
        <w:left w:val="none" w:sz="0" w:space="0" w:color="auto"/>
        <w:bottom w:val="none" w:sz="0" w:space="0" w:color="auto"/>
        <w:right w:val="none" w:sz="0" w:space="0" w:color="auto"/>
      </w:divBdr>
    </w:div>
    <w:div w:id="1653558390">
      <w:bodyDiv w:val="1"/>
      <w:marLeft w:val="0"/>
      <w:marRight w:val="0"/>
      <w:marTop w:val="0"/>
      <w:marBottom w:val="0"/>
      <w:divBdr>
        <w:top w:val="none" w:sz="0" w:space="0" w:color="auto"/>
        <w:left w:val="none" w:sz="0" w:space="0" w:color="auto"/>
        <w:bottom w:val="none" w:sz="0" w:space="0" w:color="auto"/>
        <w:right w:val="none" w:sz="0" w:space="0" w:color="auto"/>
      </w:divBdr>
    </w:div>
    <w:div w:id="1676497834">
      <w:bodyDiv w:val="1"/>
      <w:marLeft w:val="0"/>
      <w:marRight w:val="0"/>
      <w:marTop w:val="0"/>
      <w:marBottom w:val="0"/>
      <w:divBdr>
        <w:top w:val="none" w:sz="0" w:space="0" w:color="auto"/>
        <w:left w:val="none" w:sz="0" w:space="0" w:color="auto"/>
        <w:bottom w:val="none" w:sz="0" w:space="0" w:color="auto"/>
        <w:right w:val="none" w:sz="0" w:space="0" w:color="auto"/>
      </w:divBdr>
    </w:div>
    <w:div w:id="1708875319">
      <w:bodyDiv w:val="1"/>
      <w:marLeft w:val="0"/>
      <w:marRight w:val="0"/>
      <w:marTop w:val="0"/>
      <w:marBottom w:val="0"/>
      <w:divBdr>
        <w:top w:val="none" w:sz="0" w:space="0" w:color="auto"/>
        <w:left w:val="none" w:sz="0" w:space="0" w:color="auto"/>
        <w:bottom w:val="none" w:sz="0" w:space="0" w:color="auto"/>
        <w:right w:val="none" w:sz="0" w:space="0" w:color="auto"/>
      </w:divBdr>
    </w:div>
    <w:div w:id="1797407507">
      <w:bodyDiv w:val="1"/>
      <w:marLeft w:val="0"/>
      <w:marRight w:val="0"/>
      <w:marTop w:val="0"/>
      <w:marBottom w:val="0"/>
      <w:divBdr>
        <w:top w:val="none" w:sz="0" w:space="0" w:color="auto"/>
        <w:left w:val="none" w:sz="0" w:space="0" w:color="auto"/>
        <w:bottom w:val="none" w:sz="0" w:space="0" w:color="auto"/>
        <w:right w:val="none" w:sz="0" w:space="0" w:color="auto"/>
      </w:divBdr>
    </w:div>
    <w:div w:id="1848979754">
      <w:bodyDiv w:val="1"/>
      <w:marLeft w:val="0"/>
      <w:marRight w:val="0"/>
      <w:marTop w:val="0"/>
      <w:marBottom w:val="0"/>
      <w:divBdr>
        <w:top w:val="none" w:sz="0" w:space="0" w:color="auto"/>
        <w:left w:val="none" w:sz="0" w:space="0" w:color="auto"/>
        <w:bottom w:val="none" w:sz="0" w:space="0" w:color="auto"/>
        <w:right w:val="none" w:sz="0" w:space="0" w:color="auto"/>
      </w:divBdr>
    </w:div>
    <w:div w:id="1887139575">
      <w:bodyDiv w:val="1"/>
      <w:marLeft w:val="0"/>
      <w:marRight w:val="0"/>
      <w:marTop w:val="0"/>
      <w:marBottom w:val="0"/>
      <w:divBdr>
        <w:top w:val="none" w:sz="0" w:space="0" w:color="auto"/>
        <w:left w:val="none" w:sz="0" w:space="0" w:color="auto"/>
        <w:bottom w:val="none" w:sz="0" w:space="0" w:color="auto"/>
        <w:right w:val="none" w:sz="0" w:space="0" w:color="auto"/>
      </w:divBdr>
    </w:div>
    <w:div w:id="1920560357">
      <w:bodyDiv w:val="1"/>
      <w:marLeft w:val="0"/>
      <w:marRight w:val="0"/>
      <w:marTop w:val="0"/>
      <w:marBottom w:val="0"/>
      <w:divBdr>
        <w:top w:val="none" w:sz="0" w:space="0" w:color="auto"/>
        <w:left w:val="none" w:sz="0" w:space="0" w:color="auto"/>
        <w:bottom w:val="none" w:sz="0" w:space="0" w:color="auto"/>
        <w:right w:val="none" w:sz="0" w:space="0" w:color="auto"/>
      </w:divBdr>
    </w:div>
    <w:div w:id="1938518998">
      <w:bodyDiv w:val="1"/>
      <w:marLeft w:val="0"/>
      <w:marRight w:val="0"/>
      <w:marTop w:val="0"/>
      <w:marBottom w:val="0"/>
      <w:divBdr>
        <w:top w:val="none" w:sz="0" w:space="0" w:color="auto"/>
        <w:left w:val="none" w:sz="0" w:space="0" w:color="auto"/>
        <w:bottom w:val="none" w:sz="0" w:space="0" w:color="auto"/>
        <w:right w:val="none" w:sz="0" w:space="0" w:color="auto"/>
      </w:divBdr>
    </w:div>
    <w:div w:id="2003315582">
      <w:bodyDiv w:val="1"/>
      <w:marLeft w:val="0"/>
      <w:marRight w:val="0"/>
      <w:marTop w:val="0"/>
      <w:marBottom w:val="0"/>
      <w:divBdr>
        <w:top w:val="none" w:sz="0" w:space="0" w:color="auto"/>
        <w:left w:val="none" w:sz="0" w:space="0" w:color="auto"/>
        <w:bottom w:val="none" w:sz="0" w:space="0" w:color="auto"/>
        <w:right w:val="none" w:sz="0" w:space="0" w:color="auto"/>
      </w:divBdr>
    </w:div>
    <w:div w:id="200523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diagramData" Target="diagrams/data1.xml"/><Relationship Id="rId26" Type="http://schemas.openxmlformats.org/officeDocument/2006/relationships/image" Target="media/image4.png"/><Relationship Id="rId39" Type="http://schemas.openxmlformats.org/officeDocument/2006/relationships/image" Target="media/image10.png"/><Relationship Id="rId21" Type="http://schemas.openxmlformats.org/officeDocument/2006/relationships/diagramColors" Target="diagrams/colors1.xml"/><Relationship Id="rId34" Type="http://schemas.openxmlformats.org/officeDocument/2006/relationships/diagramQuickStyle" Target="diagrams/quickStyle2.xml"/><Relationship Id="rId42" Type="http://schemas.openxmlformats.org/officeDocument/2006/relationships/image" Target="media/image13.png"/><Relationship Id="rId47" Type="http://schemas.openxmlformats.org/officeDocument/2006/relationships/image" Target="media/image17.png"/><Relationship Id="rId50" Type="http://schemas.openxmlformats.org/officeDocument/2006/relationships/header" Target="header5.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6.png"/><Relationship Id="rId11" Type="http://schemas.openxmlformats.org/officeDocument/2006/relationships/image" Target="media/image1.emf"/><Relationship Id="rId24" Type="http://schemas.openxmlformats.org/officeDocument/2006/relationships/image" Target="media/image3.png"/><Relationship Id="rId32" Type="http://schemas.openxmlformats.org/officeDocument/2006/relationships/diagramData" Target="diagrams/data2.xml"/><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image" Target="media/image16.png"/><Relationship Id="rId53" Type="http://schemas.openxmlformats.org/officeDocument/2006/relationships/header" Target="header6.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image" Target="media/image7.png"/><Relationship Id="rId44" Type="http://schemas.openxmlformats.org/officeDocument/2006/relationships/image" Target="media/image15.png"/><Relationship Id="rId52"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07/relationships/diagramDrawing" Target="diagrams/drawing1.xml"/><Relationship Id="rId27" Type="http://schemas.openxmlformats.org/officeDocument/2006/relationships/image" Target="media/image5.png"/><Relationship Id="rId30" Type="http://schemas.openxmlformats.org/officeDocument/2006/relationships/hyperlink" Target="https://www.esma.europa.eu/sites/default/files/trv_2021_1-vulnerabilities_in_money_market_funds.pdf" TargetMode="External"/><Relationship Id="rId35" Type="http://schemas.openxmlformats.org/officeDocument/2006/relationships/diagramColors" Target="diagrams/colors2.xml"/><Relationship Id="rId43" Type="http://schemas.openxmlformats.org/officeDocument/2006/relationships/image" Target="media/image14.png"/><Relationship Id="rId48" Type="http://schemas.openxmlformats.org/officeDocument/2006/relationships/image" Target="media/image18.png"/><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esrb.europa.eu/pub/pdf/reports/esrb.report.210701_Issues_note_on_systemic_vulnerabilities~db0345a618.en.pdf" TargetMode="External"/><Relationship Id="rId33" Type="http://schemas.openxmlformats.org/officeDocument/2006/relationships/diagramLayout" Target="diagrams/layout2.xml"/><Relationship Id="rId38" Type="http://schemas.openxmlformats.org/officeDocument/2006/relationships/image" Target="media/image9.png"/><Relationship Id="rId46" Type="http://schemas.openxmlformats.org/officeDocument/2006/relationships/hyperlink" Target="https://www.fsb.org/uploads/P111021-2.pdf" TargetMode="External"/><Relationship Id="rId20" Type="http://schemas.openxmlformats.org/officeDocument/2006/relationships/diagramQuickStyle" Target="diagrams/quickStyle1.xml"/><Relationship Id="rId41" Type="http://schemas.openxmlformats.org/officeDocument/2006/relationships/image" Target="media/image12.png"/><Relationship Id="rId54"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hyperlink" Target="https://www.efama.org/sites/default/files/files/20%2011%20European%20MMFs%20%20Covid-19%20-%20EFAMA%20Final%20Report%20%28November%202020%29_0.pdf" TargetMode="External"/><Relationship Id="rId36" Type="http://schemas.microsoft.com/office/2007/relationships/diagramDrawing" Target="diagrams/drawing2.xml"/><Relationship Id="rId49"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finance.ec.europa.eu/regulation-and-supervision/consultations/finance-2022-money-market-funds_en" TargetMode="External"/><Relationship Id="rId2" Type="http://schemas.openxmlformats.org/officeDocument/2006/relationships/hyperlink" Target="https://finance.ec.europa.eu/news/commission-adopts-report-functioning-money-market-funds-regulation-mmf-2023-07-20_en" TargetMode="External"/><Relationship Id="rId1" Type="http://schemas.openxmlformats.org/officeDocument/2006/relationships/hyperlink" Target="https://eur-lex.europa.eu/legal-content/FR/TXT/?uri=celex:52023DC0452" TargetMode="External"/><Relationship Id="rId5" Type="http://schemas.openxmlformats.org/officeDocument/2006/relationships/hyperlink" Target="https://www.esma.europa.eu/sites/default/files/library/ESMA50-165-2391_MMF_market_2023.pdf" TargetMode="External"/><Relationship Id="rId4" Type="http://schemas.openxmlformats.org/officeDocument/2006/relationships/hyperlink" Target="https://finance.ec.europa.eu/regulation-and-supervision/consultations-0/targeted-consultation-assessing-adequacy-macroprudential-policies-non-bank-financial-intermediation_en"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1EC94E-D1F7-4F32-9126-B1B1036B3535}" type="doc">
      <dgm:prSet loTypeId="urn:microsoft.com/office/officeart/2005/8/layout/list1" loCatId="list" qsTypeId="urn:microsoft.com/office/officeart/2005/8/quickstyle/simple1" qsCatId="simple" csTypeId="urn:microsoft.com/office/officeart/2005/8/colors/accent0_3" csCatId="mainScheme" phldr="1"/>
      <dgm:spPr/>
      <dgm:t>
        <a:bodyPr/>
        <a:lstStyle/>
        <a:p>
          <a:endParaRPr lang="en-IE"/>
        </a:p>
      </dgm:t>
    </dgm:pt>
    <dgm:pt modelId="{DD2D48AC-A348-4BC5-9890-EB747936F8E9}">
      <dgm:prSet phldrT="[Text]" custT="1"/>
      <dgm:spPr/>
      <dgm:t>
        <a:bodyPr/>
        <a:lstStyle/>
        <a:p>
          <a:pPr>
            <a:lnSpc>
              <a:spcPct val="100000"/>
            </a:lnSpc>
            <a:buFont typeface="Times New Roman" panose="02020603050405020304" pitchFamily="18" charset="0"/>
            <a:buChar char="-"/>
          </a:pPr>
          <a:r>
            <a:rPr lang="fr-FR" sz="1150">
              <a:latin typeface="Times New Roman" panose="02020603050405020304" pitchFamily="18" charset="0"/>
              <a:cs typeface="Times New Roman" panose="02020603050405020304" pitchFamily="18" charset="0"/>
            </a:rPr>
            <a:t>Libellés en EUR (~ 45 %), en USD (~ 32 %) et en GBP (~ 23 %).</a:t>
          </a:r>
        </a:p>
      </dgm:t>
    </dgm:pt>
    <dgm:pt modelId="{68208DF2-79A1-401D-AB41-7EF0D436F44A}" type="parTrans" cxnId="{D61E0E2B-E8EC-41B4-9800-5C704ED5FE92}">
      <dgm:prSet/>
      <dgm:spPr/>
      <dgm:t>
        <a:bodyPr/>
        <a:lstStyle/>
        <a:p>
          <a:endParaRPr lang="en-IE"/>
        </a:p>
      </dgm:t>
    </dgm:pt>
    <dgm:pt modelId="{994CBB54-7505-461E-BE2C-F8D39BE330FE}" type="sibTrans" cxnId="{D61E0E2B-E8EC-41B4-9800-5C704ED5FE92}">
      <dgm:prSet/>
      <dgm:spPr/>
      <dgm:t>
        <a:bodyPr/>
        <a:lstStyle/>
        <a:p>
          <a:endParaRPr lang="en-IE"/>
        </a:p>
      </dgm:t>
    </dgm:pt>
    <dgm:pt modelId="{25AB402B-E51B-4179-8943-64E440082363}">
      <dgm:prSet custT="1"/>
      <dgm:spPr/>
      <dgm:t>
        <a:bodyPr/>
        <a:lstStyle/>
        <a:p>
          <a:pPr>
            <a:lnSpc>
              <a:spcPct val="100000"/>
            </a:lnSpc>
            <a:buFont typeface="Times New Roman" panose="02020603050405020304" pitchFamily="18" charset="0"/>
            <a:buChar char="-"/>
          </a:pPr>
          <a:r>
            <a:rPr lang="fr-FR" sz="1150">
              <a:latin typeface="Times New Roman" panose="02020603050405020304" pitchFamily="18" charset="0"/>
              <a:cs typeface="Times New Roman" panose="02020603050405020304" pitchFamily="18" charset="0"/>
            </a:rPr>
            <a:t>Détenus par des investisseurs professionnels (90 %), y compris des investisseurs de pays tiers pour les fonds monétaires domiciliés en Irlande (77 %) et au Luxembourg (63 %). </a:t>
          </a:r>
        </a:p>
      </dgm:t>
    </dgm:pt>
    <dgm:pt modelId="{05CE7BB3-E5F3-48DD-944C-B38FF1561915}" type="sibTrans" cxnId="{963E0263-B7A1-4D8D-9ED0-287AB5A90236}">
      <dgm:prSet/>
      <dgm:spPr/>
      <dgm:t>
        <a:bodyPr/>
        <a:lstStyle/>
        <a:p>
          <a:endParaRPr lang="en-IE"/>
        </a:p>
      </dgm:t>
    </dgm:pt>
    <dgm:pt modelId="{07527FF2-10F6-4221-9DDF-9FE376C91FD4}" type="parTrans" cxnId="{963E0263-B7A1-4D8D-9ED0-287AB5A90236}">
      <dgm:prSet/>
      <dgm:spPr/>
      <dgm:t>
        <a:bodyPr/>
        <a:lstStyle/>
        <a:p>
          <a:endParaRPr lang="en-IE"/>
        </a:p>
      </dgm:t>
    </dgm:pt>
    <dgm:pt modelId="{A1DA3607-A5A2-4980-A28A-0329ABE689D0}">
      <dgm:prSet custT="1"/>
      <dgm:spPr/>
      <dgm:t>
        <a:bodyPr/>
        <a:lstStyle/>
        <a:p>
          <a:pPr>
            <a:lnSpc>
              <a:spcPct val="100000"/>
            </a:lnSpc>
            <a:buFont typeface="Times New Roman" panose="02020603050405020304" pitchFamily="18" charset="0"/>
            <a:buChar char="-"/>
          </a:pPr>
          <a:r>
            <a:rPr lang="fr-FR" sz="1150">
              <a:latin typeface="Times New Roman" panose="02020603050405020304" pitchFamily="18" charset="0"/>
              <a:cs typeface="Times New Roman" panose="02020603050405020304" pitchFamily="18" charset="0"/>
            </a:rPr>
            <a:t>VL à faible volatilité (~ 46 %), VLV (~ 43 %) et VLC (~ 11 % de la VL).</a:t>
          </a:r>
        </a:p>
      </dgm:t>
    </dgm:pt>
    <dgm:pt modelId="{C859744D-DA06-4458-B88F-DA59401216F5}" type="sibTrans" cxnId="{B157D564-3E86-4932-84CA-05F0A12A9CE2}">
      <dgm:prSet/>
      <dgm:spPr/>
      <dgm:t>
        <a:bodyPr/>
        <a:lstStyle/>
        <a:p>
          <a:endParaRPr lang="en-IE"/>
        </a:p>
      </dgm:t>
    </dgm:pt>
    <dgm:pt modelId="{2B397D99-2C04-4036-A231-5407DB50A7E1}" type="parTrans" cxnId="{B157D564-3E86-4932-84CA-05F0A12A9CE2}">
      <dgm:prSet/>
      <dgm:spPr/>
      <dgm:t>
        <a:bodyPr/>
        <a:lstStyle/>
        <a:p>
          <a:endParaRPr lang="en-IE"/>
        </a:p>
      </dgm:t>
    </dgm:pt>
    <dgm:pt modelId="{F4882897-933D-4AA7-92FE-A05C0942D942}">
      <dgm:prSet custT="1"/>
      <dgm:spPr/>
      <dgm:t>
        <a:bodyPr/>
        <a:lstStyle/>
        <a:p>
          <a:pPr>
            <a:lnSpc>
              <a:spcPct val="100000"/>
            </a:lnSpc>
            <a:buFont typeface="Times New Roman" panose="02020603050405020304" pitchFamily="18" charset="0"/>
            <a:buChar char="-"/>
          </a:pPr>
          <a:r>
            <a:rPr lang="fr-FR" sz="1150">
              <a:latin typeface="Times New Roman" panose="02020603050405020304" pitchFamily="18" charset="0"/>
              <a:cs typeface="Times New Roman" panose="02020603050405020304" pitchFamily="18" charset="0"/>
            </a:rPr>
            <a:t>Établis en Irlande (44 %), au Luxembourg (30 %) et en France (24 %).</a:t>
          </a:r>
        </a:p>
      </dgm:t>
    </dgm:pt>
    <dgm:pt modelId="{455087D5-BE75-436E-B064-261DF5458E58}" type="sibTrans" cxnId="{38947C4A-BD8F-4352-9B1A-477EA4B22354}">
      <dgm:prSet/>
      <dgm:spPr/>
      <dgm:t>
        <a:bodyPr/>
        <a:lstStyle/>
        <a:p>
          <a:endParaRPr lang="en-IE"/>
        </a:p>
      </dgm:t>
    </dgm:pt>
    <dgm:pt modelId="{4296D8F6-EC05-41B0-B0F1-8BBA161B411A}" type="parTrans" cxnId="{38947C4A-BD8F-4352-9B1A-477EA4B22354}">
      <dgm:prSet/>
      <dgm:spPr/>
      <dgm:t>
        <a:bodyPr/>
        <a:lstStyle/>
        <a:p>
          <a:endParaRPr lang="en-IE"/>
        </a:p>
      </dgm:t>
    </dgm:pt>
    <dgm:pt modelId="{BF623C8E-C1D6-4FFF-8DED-C7B938B712F4}">
      <dgm:prSet phldrT="[Text]" custT="1"/>
      <dgm:spPr/>
      <dgm:t>
        <a:bodyPr/>
        <a:lstStyle/>
        <a:p>
          <a:pPr>
            <a:buFont typeface="Times New Roman" panose="02020603050405020304" pitchFamily="18" charset="0"/>
            <a:buChar char="-"/>
          </a:pPr>
          <a:r>
            <a:rPr lang="fr-FR" sz="1200" b="1">
              <a:latin typeface="Times New Roman" panose="02020603050405020304" pitchFamily="18" charset="0"/>
              <a:cs typeface="Times New Roman" panose="02020603050405020304" pitchFamily="18" charset="0"/>
            </a:rPr>
            <a:t>Les fonds monétaires de l’UE en bref</a:t>
          </a:r>
        </a:p>
      </dgm:t>
    </dgm:pt>
    <dgm:pt modelId="{CEA96BF4-6A98-435B-9C22-2435AE6E234D}" type="parTrans" cxnId="{8A119DA1-9DEF-45D9-BBCE-564904E993EC}">
      <dgm:prSet/>
      <dgm:spPr/>
      <dgm:t>
        <a:bodyPr/>
        <a:lstStyle/>
        <a:p>
          <a:endParaRPr lang="en-IE"/>
        </a:p>
      </dgm:t>
    </dgm:pt>
    <dgm:pt modelId="{6D328950-7169-4186-BBCA-96D92A1A18E3}" type="sibTrans" cxnId="{8A119DA1-9DEF-45D9-BBCE-564904E993EC}">
      <dgm:prSet/>
      <dgm:spPr/>
      <dgm:t>
        <a:bodyPr/>
        <a:lstStyle/>
        <a:p>
          <a:endParaRPr lang="en-IE"/>
        </a:p>
      </dgm:t>
    </dgm:pt>
    <dgm:pt modelId="{0FF1D125-FB60-464E-AE35-50EA421D3F2C}" type="pres">
      <dgm:prSet presAssocID="{681EC94E-D1F7-4F32-9126-B1B1036B3535}" presName="linear" presStyleCnt="0">
        <dgm:presLayoutVars>
          <dgm:dir/>
          <dgm:animLvl val="lvl"/>
          <dgm:resizeHandles val="exact"/>
        </dgm:presLayoutVars>
      </dgm:prSet>
      <dgm:spPr/>
    </dgm:pt>
    <dgm:pt modelId="{C7048711-ECAD-4D10-8690-1BE9550A0C35}" type="pres">
      <dgm:prSet presAssocID="{BF623C8E-C1D6-4FFF-8DED-C7B938B712F4}" presName="parentLin" presStyleCnt="0"/>
      <dgm:spPr/>
    </dgm:pt>
    <dgm:pt modelId="{035F7633-D2FE-40A8-9420-E4CAF4D2B06B}" type="pres">
      <dgm:prSet presAssocID="{BF623C8E-C1D6-4FFF-8DED-C7B938B712F4}" presName="parentLeftMargin" presStyleLbl="node1" presStyleIdx="0" presStyleCnt="1"/>
      <dgm:spPr/>
    </dgm:pt>
    <dgm:pt modelId="{E571C68D-FDEF-43A5-A783-B7783695D340}" type="pres">
      <dgm:prSet presAssocID="{BF623C8E-C1D6-4FFF-8DED-C7B938B712F4}" presName="parentText" presStyleLbl="node1" presStyleIdx="0" presStyleCnt="1" custScaleY="70665">
        <dgm:presLayoutVars>
          <dgm:chMax val="0"/>
          <dgm:bulletEnabled val="1"/>
        </dgm:presLayoutVars>
      </dgm:prSet>
      <dgm:spPr/>
    </dgm:pt>
    <dgm:pt modelId="{1503AF89-B143-4259-8B03-C2BF00235681}" type="pres">
      <dgm:prSet presAssocID="{BF623C8E-C1D6-4FFF-8DED-C7B938B712F4}" presName="negativeSpace" presStyleCnt="0"/>
      <dgm:spPr/>
    </dgm:pt>
    <dgm:pt modelId="{E384D107-C8A6-42B8-AC13-FC123045469E}" type="pres">
      <dgm:prSet presAssocID="{BF623C8E-C1D6-4FFF-8DED-C7B938B712F4}" presName="childText" presStyleLbl="conFgAcc1" presStyleIdx="0" presStyleCnt="1">
        <dgm:presLayoutVars>
          <dgm:bulletEnabled val="1"/>
        </dgm:presLayoutVars>
      </dgm:prSet>
      <dgm:spPr/>
    </dgm:pt>
  </dgm:ptLst>
  <dgm:cxnLst>
    <dgm:cxn modelId="{D61E0E2B-E8EC-41B4-9800-5C704ED5FE92}" srcId="{BF623C8E-C1D6-4FFF-8DED-C7B938B712F4}" destId="{DD2D48AC-A348-4BC5-9890-EB747936F8E9}" srcOrd="0" destOrd="0" parTransId="{68208DF2-79A1-401D-AB41-7EF0D436F44A}" sibTransId="{994CBB54-7505-461E-BE2C-F8D39BE330FE}"/>
    <dgm:cxn modelId="{963E0263-B7A1-4D8D-9ED0-287AB5A90236}" srcId="{BF623C8E-C1D6-4FFF-8DED-C7B938B712F4}" destId="{25AB402B-E51B-4179-8943-64E440082363}" srcOrd="2" destOrd="0" parTransId="{07527FF2-10F6-4221-9DDF-9FE376C91FD4}" sibTransId="{05CE7BB3-E5F3-48DD-944C-B38FF1561915}"/>
    <dgm:cxn modelId="{B157D564-3E86-4932-84CA-05F0A12A9CE2}" srcId="{BF623C8E-C1D6-4FFF-8DED-C7B938B712F4}" destId="{A1DA3607-A5A2-4980-A28A-0329ABE689D0}" srcOrd="3" destOrd="0" parTransId="{2B397D99-2C04-4036-A231-5407DB50A7E1}" sibTransId="{C859744D-DA06-4458-B88F-DA59401216F5}"/>
    <dgm:cxn modelId="{38947C4A-BD8F-4352-9B1A-477EA4B22354}" srcId="{BF623C8E-C1D6-4FFF-8DED-C7B938B712F4}" destId="{F4882897-933D-4AA7-92FE-A05C0942D942}" srcOrd="1" destOrd="0" parTransId="{4296D8F6-EC05-41B0-B0F1-8BBA161B411A}" sibTransId="{455087D5-BE75-436E-B064-261DF5458E58}"/>
    <dgm:cxn modelId="{D3618693-0626-4B7C-87C8-112BD16F50A0}" type="presOf" srcId="{BF623C8E-C1D6-4FFF-8DED-C7B938B712F4}" destId="{E571C68D-FDEF-43A5-A783-B7783695D340}" srcOrd="1" destOrd="0" presId="urn:microsoft.com/office/officeart/2005/8/layout/list1"/>
    <dgm:cxn modelId="{8A119DA1-9DEF-45D9-BBCE-564904E993EC}" srcId="{681EC94E-D1F7-4F32-9126-B1B1036B3535}" destId="{BF623C8E-C1D6-4FFF-8DED-C7B938B712F4}" srcOrd="0" destOrd="0" parTransId="{CEA96BF4-6A98-435B-9C22-2435AE6E234D}" sibTransId="{6D328950-7169-4186-BBCA-96D92A1A18E3}"/>
    <dgm:cxn modelId="{0B7362B9-BFC9-49E6-AC5E-4CE06608346B}" type="presOf" srcId="{BF623C8E-C1D6-4FFF-8DED-C7B938B712F4}" destId="{035F7633-D2FE-40A8-9420-E4CAF4D2B06B}" srcOrd="0" destOrd="0" presId="urn:microsoft.com/office/officeart/2005/8/layout/list1"/>
    <dgm:cxn modelId="{4CC8E5C7-00B7-4793-8403-05060A6AE3BF}" type="presOf" srcId="{681EC94E-D1F7-4F32-9126-B1B1036B3535}" destId="{0FF1D125-FB60-464E-AE35-50EA421D3F2C}" srcOrd="0" destOrd="0" presId="urn:microsoft.com/office/officeart/2005/8/layout/list1"/>
    <dgm:cxn modelId="{EE40F9C7-8B80-4FD6-91B2-40DB444EEC12}" type="presOf" srcId="{DD2D48AC-A348-4BC5-9890-EB747936F8E9}" destId="{E384D107-C8A6-42B8-AC13-FC123045469E}" srcOrd="0" destOrd="0" presId="urn:microsoft.com/office/officeart/2005/8/layout/list1"/>
    <dgm:cxn modelId="{4A0138CB-64E1-4140-A893-9587AC066A36}" type="presOf" srcId="{25AB402B-E51B-4179-8943-64E440082363}" destId="{E384D107-C8A6-42B8-AC13-FC123045469E}" srcOrd="0" destOrd="2" presId="urn:microsoft.com/office/officeart/2005/8/layout/list1"/>
    <dgm:cxn modelId="{D46AEED4-453C-4F0E-AA3E-2FAA3E23C621}" type="presOf" srcId="{A1DA3607-A5A2-4980-A28A-0329ABE689D0}" destId="{E384D107-C8A6-42B8-AC13-FC123045469E}" srcOrd="0" destOrd="3" presId="urn:microsoft.com/office/officeart/2005/8/layout/list1"/>
    <dgm:cxn modelId="{F58924EB-93BB-4C16-8318-355006AFFE37}" type="presOf" srcId="{F4882897-933D-4AA7-92FE-A05C0942D942}" destId="{E384D107-C8A6-42B8-AC13-FC123045469E}" srcOrd="0" destOrd="1" presId="urn:microsoft.com/office/officeart/2005/8/layout/list1"/>
    <dgm:cxn modelId="{F18A5E3F-E340-4DB0-A1B0-5C35817AB8A3}" type="presParOf" srcId="{0FF1D125-FB60-464E-AE35-50EA421D3F2C}" destId="{C7048711-ECAD-4D10-8690-1BE9550A0C35}" srcOrd="0" destOrd="0" presId="urn:microsoft.com/office/officeart/2005/8/layout/list1"/>
    <dgm:cxn modelId="{EC6A1368-21A5-4385-8DE8-750BCC6CA67E}" type="presParOf" srcId="{C7048711-ECAD-4D10-8690-1BE9550A0C35}" destId="{035F7633-D2FE-40A8-9420-E4CAF4D2B06B}" srcOrd="0" destOrd="0" presId="urn:microsoft.com/office/officeart/2005/8/layout/list1"/>
    <dgm:cxn modelId="{09560B93-0BBC-47A0-8344-2B2FE56D0A3A}" type="presParOf" srcId="{C7048711-ECAD-4D10-8690-1BE9550A0C35}" destId="{E571C68D-FDEF-43A5-A783-B7783695D340}" srcOrd="1" destOrd="0" presId="urn:microsoft.com/office/officeart/2005/8/layout/list1"/>
    <dgm:cxn modelId="{2A5371A1-D022-4A44-9D2C-AEFB8E58D768}" type="presParOf" srcId="{0FF1D125-FB60-464E-AE35-50EA421D3F2C}" destId="{1503AF89-B143-4259-8B03-C2BF00235681}" srcOrd="1" destOrd="0" presId="urn:microsoft.com/office/officeart/2005/8/layout/list1"/>
    <dgm:cxn modelId="{DAEB9D4C-6AE2-4DC5-A3DC-D0893B7DDD43}" type="presParOf" srcId="{0FF1D125-FB60-464E-AE35-50EA421D3F2C}" destId="{E384D107-C8A6-42B8-AC13-FC123045469E}" srcOrd="2" destOrd="0" presId="urn:microsoft.com/office/officeart/2005/8/layout/lis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540777C-E02F-4BE8-B512-4C4643AE0508}" type="doc">
      <dgm:prSet loTypeId="urn:microsoft.com/office/officeart/2005/8/layout/process1" loCatId="process" qsTypeId="urn:microsoft.com/office/officeart/2005/8/quickstyle/simple3" qsCatId="simple" csTypeId="urn:microsoft.com/office/officeart/2005/8/colors/colorful4" csCatId="colorful" phldr="1"/>
      <dgm:spPr/>
      <dgm:t>
        <a:bodyPr/>
        <a:lstStyle/>
        <a:p>
          <a:endParaRPr lang="en-IE"/>
        </a:p>
      </dgm:t>
    </dgm:pt>
    <dgm:pt modelId="{A9298922-FACB-404B-9B26-5FD595748C65}">
      <dgm:prSet phldrT="[Text]" custT="1"/>
      <dgm:spPr/>
      <dgm:t>
        <a:bodyPr/>
        <a:lstStyle/>
        <a:p>
          <a:pPr>
            <a:buFont typeface="Arial" panose="020B0604020202020204" pitchFamily="34" charset="0"/>
            <a:buChar char="•"/>
          </a:pPr>
          <a:r>
            <a:rPr lang="fr-FR" sz="1100" b="1">
              <a:solidFill>
                <a:srgbClr val="0070C0"/>
              </a:solidFill>
            </a:rPr>
            <a:t>1) Calibrage des scénarios de rachats graves mais plausibles</a:t>
          </a:r>
        </a:p>
      </dgm:t>
    </dgm:pt>
    <dgm:pt modelId="{CDCE633A-9602-4596-9B22-3B8F23C8373E}" type="parTrans" cxnId="{088EBBBB-D44D-4E4E-A122-8EDD74D084A5}">
      <dgm:prSet/>
      <dgm:spPr/>
      <dgm:t>
        <a:bodyPr/>
        <a:lstStyle/>
        <a:p>
          <a:endParaRPr lang="en-IE" sz="1000"/>
        </a:p>
      </dgm:t>
    </dgm:pt>
    <dgm:pt modelId="{BFE8FC33-6598-49C6-B352-582BDFC2023F}" type="sibTrans" cxnId="{088EBBBB-D44D-4E4E-A122-8EDD74D084A5}">
      <dgm:prSet custT="1"/>
      <dgm:spPr/>
      <dgm:t>
        <a:bodyPr/>
        <a:lstStyle/>
        <a:p>
          <a:endParaRPr lang="en-IE" sz="1000"/>
        </a:p>
      </dgm:t>
    </dgm:pt>
    <dgm:pt modelId="{A830CE55-6DE6-4F2C-9D8D-5773A831BACA}">
      <dgm:prSet custT="1"/>
      <dgm:spPr/>
      <dgm:t>
        <a:bodyPr/>
        <a:lstStyle/>
        <a:p>
          <a:pPr>
            <a:buFont typeface="Arial" panose="020B0604020202020204" pitchFamily="34" charset="0"/>
            <a:buChar char="•"/>
          </a:pPr>
          <a:r>
            <a:rPr lang="fr-FR" sz="1000" b="0"/>
            <a:t>1</a:t>
          </a:r>
          <a:r>
            <a:rPr lang="fr-FR" sz="1000" b="0" baseline="30000"/>
            <a:t>er</a:t>
          </a:r>
          <a:r>
            <a:rPr lang="fr-FR" sz="1000" b="0"/>
            <a:t> centile des rendements, calibré sur les tensions sur les marchés liées à la COVID-19</a:t>
          </a:r>
        </a:p>
      </dgm:t>
    </dgm:pt>
    <dgm:pt modelId="{104E1C6B-8001-47A4-80DD-0AE5775DF896}" type="parTrans" cxnId="{28744F40-1A73-4BAA-8CED-B85EE06A2952}">
      <dgm:prSet/>
      <dgm:spPr/>
      <dgm:t>
        <a:bodyPr/>
        <a:lstStyle/>
        <a:p>
          <a:endParaRPr lang="en-IE" sz="1000"/>
        </a:p>
      </dgm:t>
    </dgm:pt>
    <dgm:pt modelId="{F1E7F009-3837-4EFF-AC67-5B115A6EE3A7}" type="sibTrans" cxnId="{28744F40-1A73-4BAA-8CED-B85EE06A2952}">
      <dgm:prSet/>
      <dgm:spPr/>
      <dgm:t>
        <a:bodyPr/>
        <a:lstStyle/>
        <a:p>
          <a:endParaRPr lang="en-IE" sz="1000"/>
        </a:p>
      </dgm:t>
    </dgm:pt>
    <dgm:pt modelId="{F6C150CE-638C-411F-BFA0-DBDDA3B23EAB}">
      <dgm:prSet custT="1"/>
      <dgm:spPr/>
      <dgm:t>
        <a:bodyPr/>
        <a:lstStyle/>
        <a:p>
          <a:pPr>
            <a:buFont typeface="Arial" panose="020B0604020202020204" pitchFamily="34" charset="0"/>
            <a:buChar char="•"/>
          </a:pPr>
          <a:r>
            <a:rPr lang="fr-FR" sz="1100" b="1">
              <a:solidFill>
                <a:srgbClr val="0070C0"/>
              </a:solidFill>
            </a:rPr>
            <a:t>2) </a:t>
          </a:r>
          <a:r>
            <a:rPr lang="fr-FR" sz="900" b="1">
              <a:solidFill>
                <a:srgbClr val="0070C0"/>
              </a:solidFill>
            </a:rPr>
            <a:t>Estimer, pour différents niveaux de WLA, le montant de rachats que les fonds monétaires peuvent absorber</a:t>
          </a:r>
        </a:p>
      </dgm:t>
    </dgm:pt>
    <dgm:pt modelId="{FA7E3233-027B-460E-99EE-1D770153D0AC}" type="parTrans" cxnId="{AB34A4DB-4495-4C6B-B553-C22640B8FF1D}">
      <dgm:prSet/>
      <dgm:spPr/>
      <dgm:t>
        <a:bodyPr/>
        <a:lstStyle/>
        <a:p>
          <a:endParaRPr lang="en-IE" sz="1000"/>
        </a:p>
      </dgm:t>
    </dgm:pt>
    <dgm:pt modelId="{F5CE7E47-2807-4A4E-98AC-CAE713C9919F}" type="sibTrans" cxnId="{AB34A4DB-4495-4C6B-B553-C22640B8FF1D}">
      <dgm:prSet custT="1"/>
      <dgm:spPr/>
      <dgm:t>
        <a:bodyPr/>
        <a:lstStyle/>
        <a:p>
          <a:endParaRPr lang="en-IE" sz="1000"/>
        </a:p>
      </dgm:t>
    </dgm:pt>
    <dgm:pt modelId="{DB9BB79C-27FE-42B6-A8FD-9403F99E99AB}">
      <dgm:prSet custT="1"/>
      <dgm:spPr/>
      <dgm:t>
        <a:bodyPr/>
        <a:lstStyle/>
        <a:p>
          <a:pPr>
            <a:buFont typeface="Arial" panose="020B0604020202020204" pitchFamily="34" charset="0"/>
            <a:buChar char="•"/>
          </a:pPr>
          <a:r>
            <a:rPr lang="fr-FR" sz="1100" b="1">
              <a:solidFill>
                <a:srgbClr val="0070C0"/>
              </a:solidFill>
            </a:rPr>
            <a:t>Calibrer les niveaux de WLA de résilience:  Niveau minimum de WLA (2) qui permet aux fonds monétaires de résister au choc de liquidité (1</a:t>
          </a:r>
          <a:r>
            <a:rPr lang="fr-FR" sz="1000" b="1">
              <a:solidFill>
                <a:srgbClr val="0070C0"/>
              </a:solidFill>
            </a:rPr>
            <a:t>)</a:t>
          </a:r>
        </a:p>
      </dgm:t>
    </dgm:pt>
    <dgm:pt modelId="{582C9FC7-C611-4450-A988-6F57E67FF34F}" type="parTrans" cxnId="{6EE40523-FA6B-4B69-A787-79161FB3365E}">
      <dgm:prSet/>
      <dgm:spPr/>
      <dgm:t>
        <a:bodyPr/>
        <a:lstStyle/>
        <a:p>
          <a:endParaRPr lang="en-IE" sz="1000"/>
        </a:p>
      </dgm:t>
    </dgm:pt>
    <dgm:pt modelId="{D75C0475-5BF9-411C-95E3-326FBF71D74C}" type="sibTrans" cxnId="{6EE40523-FA6B-4B69-A787-79161FB3365E}">
      <dgm:prSet/>
      <dgm:spPr/>
      <dgm:t>
        <a:bodyPr/>
        <a:lstStyle/>
        <a:p>
          <a:endParaRPr lang="en-IE" sz="1000"/>
        </a:p>
      </dgm:t>
    </dgm:pt>
    <dgm:pt modelId="{8D1F3B8A-825E-4998-B038-FDA47D18E68E}">
      <dgm:prSet custT="1"/>
      <dgm:spPr/>
      <dgm:t>
        <a:bodyPr/>
        <a:lstStyle/>
        <a:p>
          <a:pPr>
            <a:buFont typeface="Arial" panose="020B0604020202020204" pitchFamily="34" charset="0"/>
            <a:buChar char="•"/>
          </a:pPr>
          <a:r>
            <a:rPr lang="fr-FR" sz="900" b="0"/>
            <a:t>Sur la base d’hypothèses prudentes (par exemple, aucune vente d’actifs, le niveau des DLA reste supérieur à son seuil réglementaire)</a:t>
          </a:r>
        </a:p>
      </dgm:t>
    </dgm:pt>
    <dgm:pt modelId="{2774A6B3-18FD-4B75-8045-772871645521}" type="sibTrans" cxnId="{DF5486A5-91BB-451F-8D3E-7C1BAA0A638C}">
      <dgm:prSet/>
      <dgm:spPr/>
      <dgm:t>
        <a:bodyPr/>
        <a:lstStyle/>
        <a:p>
          <a:endParaRPr lang="en-IE" sz="1000"/>
        </a:p>
      </dgm:t>
    </dgm:pt>
    <dgm:pt modelId="{8229DF89-D5A9-47C3-8333-F1BCD6AF4D96}" type="parTrans" cxnId="{DF5486A5-91BB-451F-8D3E-7C1BAA0A638C}">
      <dgm:prSet/>
      <dgm:spPr/>
      <dgm:t>
        <a:bodyPr/>
        <a:lstStyle/>
        <a:p>
          <a:endParaRPr lang="en-IE" sz="1000"/>
        </a:p>
      </dgm:t>
    </dgm:pt>
    <dgm:pt modelId="{9DC668B8-8FB4-4AB5-BA69-D5FBF9A465BD}" type="pres">
      <dgm:prSet presAssocID="{0540777C-E02F-4BE8-B512-4C4643AE0508}" presName="Name0" presStyleCnt="0">
        <dgm:presLayoutVars>
          <dgm:dir/>
          <dgm:resizeHandles val="exact"/>
        </dgm:presLayoutVars>
      </dgm:prSet>
      <dgm:spPr/>
    </dgm:pt>
    <dgm:pt modelId="{99EB6E1F-E1E7-42DC-B5C5-1013D1FEE686}" type="pres">
      <dgm:prSet presAssocID="{A9298922-FACB-404B-9B26-5FD595748C65}" presName="node" presStyleLbl="node1" presStyleIdx="0" presStyleCnt="3">
        <dgm:presLayoutVars>
          <dgm:bulletEnabled val="1"/>
        </dgm:presLayoutVars>
      </dgm:prSet>
      <dgm:spPr/>
    </dgm:pt>
    <dgm:pt modelId="{EABC3C60-1892-48AB-82CD-7D42571C6703}" type="pres">
      <dgm:prSet presAssocID="{BFE8FC33-6598-49C6-B352-582BDFC2023F}" presName="sibTrans" presStyleLbl="sibTrans2D1" presStyleIdx="0" presStyleCnt="2"/>
      <dgm:spPr>
        <a:prstGeom prst="mathPlus">
          <a:avLst/>
        </a:prstGeom>
      </dgm:spPr>
    </dgm:pt>
    <dgm:pt modelId="{44A2D7EF-EEC3-45A1-9E87-F506A7262D83}" type="pres">
      <dgm:prSet presAssocID="{BFE8FC33-6598-49C6-B352-582BDFC2023F}" presName="connectorText" presStyleLbl="sibTrans2D1" presStyleIdx="0" presStyleCnt="2"/>
      <dgm:spPr/>
    </dgm:pt>
    <dgm:pt modelId="{9684DD24-6C98-41B2-9307-372EE34244D2}" type="pres">
      <dgm:prSet presAssocID="{F6C150CE-638C-411F-BFA0-DBDDA3B23EAB}" presName="node" presStyleLbl="node1" presStyleIdx="1" presStyleCnt="3">
        <dgm:presLayoutVars>
          <dgm:bulletEnabled val="1"/>
        </dgm:presLayoutVars>
      </dgm:prSet>
      <dgm:spPr/>
    </dgm:pt>
    <dgm:pt modelId="{F5E49C24-EFE2-4FD8-B3B9-C5882B0466AA}" type="pres">
      <dgm:prSet presAssocID="{F5CE7E47-2807-4A4E-98AC-CAE713C9919F}" presName="sibTrans" presStyleLbl="sibTrans2D1" presStyleIdx="1" presStyleCnt="2"/>
      <dgm:spPr/>
    </dgm:pt>
    <dgm:pt modelId="{FFE179F9-5E58-4D1A-953D-B15E5439F207}" type="pres">
      <dgm:prSet presAssocID="{F5CE7E47-2807-4A4E-98AC-CAE713C9919F}" presName="connectorText" presStyleLbl="sibTrans2D1" presStyleIdx="1" presStyleCnt="2"/>
      <dgm:spPr/>
    </dgm:pt>
    <dgm:pt modelId="{85DF50CD-79CA-437F-8F1B-8F5F5CC89F53}" type="pres">
      <dgm:prSet presAssocID="{DB9BB79C-27FE-42B6-A8FD-9403F99E99AB}" presName="node" presStyleLbl="node1" presStyleIdx="2" presStyleCnt="3">
        <dgm:presLayoutVars>
          <dgm:bulletEnabled val="1"/>
        </dgm:presLayoutVars>
      </dgm:prSet>
      <dgm:spPr/>
    </dgm:pt>
  </dgm:ptLst>
  <dgm:cxnLst>
    <dgm:cxn modelId="{79C8C904-F306-41F0-A85A-BDFBDB043632}" type="presOf" srcId="{8D1F3B8A-825E-4998-B038-FDA47D18E68E}" destId="{9684DD24-6C98-41B2-9307-372EE34244D2}" srcOrd="0" destOrd="1" presId="urn:microsoft.com/office/officeart/2005/8/layout/process1"/>
    <dgm:cxn modelId="{6EE40523-FA6B-4B69-A787-79161FB3365E}" srcId="{0540777C-E02F-4BE8-B512-4C4643AE0508}" destId="{DB9BB79C-27FE-42B6-A8FD-9403F99E99AB}" srcOrd="2" destOrd="0" parTransId="{582C9FC7-C611-4450-A988-6F57E67FF34F}" sibTransId="{D75C0475-5BF9-411C-95E3-326FBF71D74C}"/>
    <dgm:cxn modelId="{FEC48B3B-7404-41CE-BEA7-2A6D2D011E5B}" type="presOf" srcId="{BFE8FC33-6598-49C6-B352-582BDFC2023F}" destId="{EABC3C60-1892-48AB-82CD-7D42571C6703}" srcOrd="0" destOrd="0" presId="urn:microsoft.com/office/officeart/2005/8/layout/process1"/>
    <dgm:cxn modelId="{FBC2FE3F-2C67-47C4-A376-67110CFDBC1B}" type="presOf" srcId="{F5CE7E47-2807-4A4E-98AC-CAE713C9919F}" destId="{FFE179F9-5E58-4D1A-953D-B15E5439F207}" srcOrd="1" destOrd="0" presId="urn:microsoft.com/office/officeart/2005/8/layout/process1"/>
    <dgm:cxn modelId="{28744F40-1A73-4BAA-8CED-B85EE06A2952}" srcId="{A9298922-FACB-404B-9B26-5FD595748C65}" destId="{A830CE55-6DE6-4F2C-9D8D-5773A831BACA}" srcOrd="0" destOrd="0" parTransId="{104E1C6B-8001-47A4-80DD-0AE5775DF896}" sibTransId="{F1E7F009-3837-4EFF-AC67-5B115A6EE3A7}"/>
    <dgm:cxn modelId="{F27F4E62-1727-4819-AA15-47B17B687B8D}" type="presOf" srcId="{BFE8FC33-6598-49C6-B352-582BDFC2023F}" destId="{44A2D7EF-EEC3-45A1-9E87-F506A7262D83}" srcOrd="1" destOrd="0" presId="urn:microsoft.com/office/officeart/2005/8/layout/process1"/>
    <dgm:cxn modelId="{C1C4D783-126D-4380-87BF-2C99469D53DC}" type="presOf" srcId="{F5CE7E47-2807-4A4E-98AC-CAE713C9919F}" destId="{F5E49C24-EFE2-4FD8-B3B9-C5882B0466AA}" srcOrd="0" destOrd="0" presId="urn:microsoft.com/office/officeart/2005/8/layout/process1"/>
    <dgm:cxn modelId="{EF4CDE93-9CB5-42BC-A9C7-031D8A544DB5}" type="presOf" srcId="{DB9BB79C-27FE-42B6-A8FD-9403F99E99AB}" destId="{85DF50CD-79CA-437F-8F1B-8F5F5CC89F53}" srcOrd="0" destOrd="0" presId="urn:microsoft.com/office/officeart/2005/8/layout/process1"/>
    <dgm:cxn modelId="{F0C05A96-5D01-4D31-8946-853C19A14F2D}" type="presOf" srcId="{0540777C-E02F-4BE8-B512-4C4643AE0508}" destId="{9DC668B8-8FB4-4AB5-BA69-D5FBF9A465BD}" srcOrd="0" destOrd="0" presId="urn:microsoft.com/office/officeart/2005/8/layout/process1"/>
    <dgm:cxn modelId="{DF5486A5-91BB-451F-8D3E-7C1BAA0A638C}" srcId="{F6C150CE-638C-411F-BFA0-DBDDA3B23EAB}" destId="{8D1F3B8A-825E-4998-B038-FDA47D18E68E}" srcOrd="0" destOrd="0" parTransId="{8229DF89-D5A9-47C3-8333-F1BCD6AF4D96}" sibTransId="{2774A6B3-18FD-4B75-8045-772871645521}"/>
    <dgm:cxn modelId="{297236AC-1A48-41E7-B1EA-C2F5E05346CB}" type="presOf" srcId="{A9298922-FACB-404B-9B26-5FD595748C65}" destId="{99EB6E1F-E1E7-42DC-B5C5-1013D1FEE686}" srcOrd="0" destOrd="0" presId="urn:microsoft.com/office/officeart/2005/8/layout/process1"/>
    <dgm:cxn modelId="{088EBBBB-D44D-4E4E-A122-8EDD74D084A5}" srcId="{0540777C-E02F-4BE8-B512-4C4643AE0508}" destId="{A9298922-FACB-404B-9B26-5FD595748C65}" srcOrd="0" destOrd="0" parTransId="{CDCE633A-9602-4596-9B22-3B8F23C8373E}" sibTransId="{BFE8FC33-6598-49C6-B352-582BDFC2023F}"/>
    <dgm:cxn modelId="{27246FC1-DD4A-46AC-A4A3-1385D13A2D38}" type="presOf" srcId="{A830CE55-6DE6-4F2C-9D8D-5773A831BACA}" destId="{99EB6E1F-E1E7-42DC-B5C5-1013D1FEE686}" srcOrd="0" destOrd="1" presId="urn:microsoft.com/office/officeart/2005/8/layout/process1"/>
    <dgm:cxn modelId="{DE7DA1C3-1FF9-4F03-93F5-499E034C3886}" type="presOf" srcId="{F6C150CE-638C-411F-BFA0-DBDDA3B23EAB}" destId="{9684DD24-6C98-41B2-9307-372EE34244D2}" srcOrd="0" destOrd="0" presId="urn:microsoft.com/office/officeart/2005/8/layout/process1"/>
    <dgm:cxn modelId="{AB34A4DB-4495-4C6B-B553-C22640B8FF1D}" srcId="{0540777C-E02F-4BE8-B512-4C4643AE0508}" destId="{F6C150CE-638C-411F-BFA0-DBDDA3B23EAB}" srcOrd="1" destOrd="0" parTransId="{FA7E3233-027B-460E-99EE-1D770153D0AC}" sibTransId="{F5CE7E47-2807-4A4E-98AC-CAE713C9919F}"/>
    <dgm:cxn modelId="{A7C841AD-51C3-4E56-9C50-F30FAF334709}" type="presParOf" srcId="{9DC668B8-8FB4-4AB5-BA69-D5FBF9A465BD}" destId="{99EB6E1F-E1E7-42DC-B5C5-1013D1FEE686}" srcOrd="0" destOrd="0" presId="urn:microsoft.com/office/officeart/2005/8/layout/process1"/>
    <dgm:cxn modelId="{DF7356CE-73A8-4D12-BE2F-98086186B325}" type="presParOf" srcId="{9DC668B8-8FB4-4AB5-BA69-D5FBF9A465BD}" destId="{EABC3C60-1892-48AB-82CD-7D42571C6703}" srcOrd="1" destOrd="0" presId="urn:microsoft.com/office/officeart/2005/8/layout/process1"/>
    <dgm:cxn modelId="{0A57C874-728C-4A7B-BD25-720EF24DF958}" type="presParOf" srcId="{EABC3C60-1892-48AB-82CD-7D42571C6703}" destId="{44A2D7EF-EEC3-45A1-9E87-F506A7262D83}" srcOrd="0" destOrd="0" presId="urn:microsoft.com/office/officeart/2005/8/layout/process1"/>
    <dgm:cxn modelId="{1F3B37FF-F3E0-4E02-9319-97BEEC5959F4}" type="presParOf" srcId="{9DC668B8-8FB4-4AB5-BA69-D5FBF9A465BD}" destId="{9684DD24-6C98-41B2-9307-372EE34244D2}" srcOrd="2" destOrd="0" presId="urn:microsoft.com/office/officeart/2005/8/layout/process1"/>
    <dgm:cxn modelId="{0C1DEFF8-E728-4582-9CCF-C261B79EBA5A}" type="presParOf" srcId="{9DC668B8-8FB4-4AB5-BA69-D5FBF9A465BD}" destId="{F5E49C24-EFE2-4FD8-B3B9-C5882B0466AA}" srcOrd="3" destOrd="0" presId="urn:microsoft.com/office/officeart/2005/8/layout/process1"/>
    <dgm:cxn modelId="{3DBDA6CF-9E3A-4D3F-97AA-E51E61B302FF}" type="presParOf" srcId="{F5E49C24-EFE2-4FD8-B3B9-C5882B0466AA}" destId="{FFE179F9-5E58-4D1A-953D-B15E5439F207}" srcOrd="0" destOrd="0" presId="urn:microsoft.com/office/officeart/2005/8/layout/process1"/>
    <dgm:cxn modelId="{A67F6854-9391-42EC-B596-82B84B262AED}" type="presParOf" srcId="{9DC668B8-8FB4-4AB5-BA69-D5FBF9A465BD}" destId="{85DF50CD-79CA-437F-8F1B-8F5F5CC89F53}" srcOrd="4" destOrd="0" presId="urn:microsoft.com/office/officeart/2005/8/layout/process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84D107-C8A6-42B8-AC13-FC123045469E}">
      <dsp:nvSpPr>
        <dsp:cNvPr id="0" name=""/>
        <dsp:cNvSpPr/>
      </dsp:nvSpPr>
      <dsp:spPr>
        <a:xfrm>
          <a:off x="0" y="86152"/>
          <a:ext cx="5253487" cy="14364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07729" tIns="249936" rIns="407729" bIns="85344" numCol="1" spcCol="1270" anchor="t" anchorCtr="0">
          <a:noAutofit/>
        </a:bodyPr>
        <a:lstStyle/>
        <a:p>
          <a:pPr marL="57150" lvl="1" indent="-57150" algn="l" defTabSz="511175">
            <a:lnSpc>
              <a:spcPct val="100000"/>
            </a:lnSpc>
            <a:spcBef>
              <a:spcPct val="0"/>
            </a:spcBef>
            <a:spcAft>
              <a:spcPct val="15000"/>
            </a:spcAft>
            <a:buFont typeface="Times New Roman" panose="02020603050405020304" pitchFamily="18" charset="0"/>
            <a:buChar char="-"/>
          </a:pPr>
          <a:r>
            <a:rPr lang="fr-FR" sz="1150" kern="1200">
              <a:latin typeface="Times New Roman" panose="02020603050405020304" pitchFamily="18" charset="0"/>
              <a:cs typeface="Times New Roman" panose="02020603050405020304" pitchFamily="18" charset="0"/>
            </a:rPr>
            <a:t>Libellés en EUR (~ 45 %), en USD (~ 32 %) et en GBP (~ 23 %).</a:t>
          </a:r>
        </a:p>
        <a:p>
          <a:pPr marL="57150" lvl="1" indent="-57150" algn="l" defTabSz="511175">
            <a:lnSpc>
              <a:spcPct val="100000"/>
            </a:lnSpc>
            <a:spcBef>
              <a:spcPct val="0"/>
            </a:spcBef>
            <a:spcAft>
              <a:spcPct val="15000"/>
            </a:spcAft>
            <a:buFont typeface="Times New Roman" panose="02020603050405020304" pitchFamily="18" charset="0"/>
            <a:buChar char="-"/>
          </a:pPr>
          <a:r>
            <a:rPr lang="fr-FR" sz="1150" kern="1200">
              <a:latin typeface="Times New Roman" panose="02020603050405020304" pitchFamily="18" charset="0"/>
              <a:cs typeface="Times New Roman" panose="02020603050405020304" pitchFamily="18" charset="0"/>
            </a:rPr>
            <a:t>Établis en Irlande (44 %), au Luxembourg (30 %) et en France (24 %).</a:t>
          </a:r>
        </a:p>
        <a:p>
          <a:pPr marL="57150" lvl="1" indent="-57150" algn="l" defTabSz="511175">
            <a:lnSpc>
              <a:spcPct val="100000"/>
            </a:lnSpc>
            <a:spcBef>
              <a:spcPct val="0"/>
            </a:spcBef>
            <a:spcAft>
              <a:spcPct val="15000"/>
            </a:spcAft>
            <a:buFont typeface="Times New Roman" panose="02020603050405020304" pitchFamily="18" charset="0"/>
            <a:buChar char="-"/>
          </a:pPr>
          <a:r>
            <a:rPr lang="fr-FR" sz="1150" kern="1200">
              <a:latin typeface="Times New Roman" panose="02020603050405020304" pitchFamily="18" charset="0"/>
              <a:cs typeface="Times New Roman" panose="02020603050405020304" pitchFamily="18" charset="0"/>
            </a:rPr>
            <a:t>Détenus par des investisseurs professionnels (90 %), y compris des investisseurs de pays tiers pour les fonds monétaires domiciliés en Irlande (77 %) et au Luxembourg (63 %). </a:t>
          </a:r>
        </a:p>
        <a:p>
          <a:pPr marL="57150" lvl="1" indent="-57150" algn="l" defTabSz="511175">
            <a:lnSpc>
              <a:spcPct val="100000"/>
            </a:lnSpc>
            <a:spcBef>
              <a:spcPct val="0"/>
            </a:spcBef>
            <a:spcAft>
              <a:spcPct val="15000"/>
            </a:spcAft>
            <a:buFont typeface="Times New Roman" panose="02020603050405020304" pitchFamily="18" charset="0"/>
            <a:buChar char="-"/>
          </a:pPr>
          <a:r>
            <a:rPr lang="fr-FR" sz="1150" kern="1200">
              <a:latin typeface="Times New Roman" panose="02020603050405020304" pitchFamily="18" charset="0"/>
              <a:cs typeface="Times New Roman" panose="02020603050405020304" pitchFamily="18" charset="0"/>
            </a:rPr>
            <a:t>VL à faible volatilité (~ 46 %), VLV (~ 43 %) et VLC (~ 11 % de la VL).</a:t>
          </a:r>
        </a:p>
      </dsp:txBody>
      <dsp:txXfrm>
        <a:off x="0" y="86152"/>
        <a:ext cx="5253487" cy="1436400"/>
      </dsp:txXfrm>
    </dsp:sp>
    <dsp:sp modelId="{E571C68D-FDEF-43A5-A783-B7783695D340}">
      <dsp:nvSpPr>
        <dsp:cNvPr id="0" name=""/>
        <dsp:cNvSpPr/>
      </dsp:nvSpPr>
      <dsp:spPr>
        <a:xfrm>
          <a:off x="262674" y="12949"/>
          <a:ext cx="3677440" cy="250323"/>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8999" tIns="0" rIns="138999" bIns="0" numCol="1" spcCol="1270" anchor="ctr" anchorCtr="0">
          <a:noAutofit/>
        </a:bodyPr>
        <a:lstStyle/>
        <a:p>
          <a:pPr marL="0" lvl="0" indent="0" algn="l" defTabSz="533400">
            <a:lnSpc>
              <a:spcPct val="90000"/>
            </a:lnSpc>
            <a:spcBef>
              <a:spcPct val="0"/>
            </a:spcBef>
            <a:spcAft>
              <a:spcPct val="35000"/>
            </a:spcAft>
            <a:buFont typeface="Times New Roman" panose="02020603050405020304" pitchFamily="18" charset="0"/>
            <a:buNone/>
          </a:pPr>
          <a:r>
            <a:rPr lang="fr-FR" sz="1200" b="1" kern="1200">
              <a:latin typeface="Times New Roman" panose="02020603050405020304" pitchFamily="18" charset="0"/>
              <a:cs typeface="Times New Roman" panose="02020603050405020304" pitchFamily="18" charset="0"/>
            </a:rPr>
            <a:t>Les fonds monétaires de l’UE en bref</a:t>
          </a:r>
        </a:p>
      </dsp:txBody>
      <dsp:txXfrm>
        <a:off x="274894" y="25169"/>
        <a:ext cx="3653000" cy="2258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EB6E1F-E1E7-42DC-B5C5-1013D1FEE686}">
      <dsp:nvSpPr>
        <dsp:cNvPr id="0" name=""/>
        <dsp:cNvSpPr/>
      </dsp:nvSpPr>
      <dsp:spPr>
        <a:xfrm>
          <a:off x="4930" y="0"/>
          <a:ext cx="1473779" cy="1638300"/>
        </a:xfrm>
        <a:prstGeom prst="roundRect">
          <a:avLst>
            <a:gd name="adj" fmla="val 10000"/>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Font typeface="Arial" panose="020B0604020202020204" pitchFamily="34" charset="0"/>
            <a:buNone/>
          </a:pPr>
          <a:r>
            <a:rPr lang="fr-FR" sz="1100" b="1" kern="1200">
              <a:solidFill>
                <a:srgbClr val="0070C0"/>
              </a:solidFill>
            </a:rPr>
            <a:t>1) Calibrage des scénarios de rachats graves mais plausibles</a:t>
          </a:r>
        </a:p>
        <a:p>
          <a:pPr marL="57150" lvl="1" indent="-57150" algn="l" defTabSz="444500">
            <a:lnSpc>
              <a:spcPct val="90000"/>
            </a:lnSpc>
            <a:spcBef>
              <a:spcPct val="0"/>
            </a:spcBef>
            <a:spcAft>
              <a:spcPct val="15000"/>
            </a:spcAft>
            <a:buFont typeface="Arial" panose="020B0604020202020204" pitchFamily="34" charset="0"/>
            <a:buChar char="•"/>
          </a:pPr>
          <a:r>
            <a:rPr lang="fr-FR" sz="1000" b="0" kern="1200"/>
            <a:t>1</a:t>
          </a:r>
          <a:r>
            <a:rPr lang="fr-FR" sz="1000" b="0" kern="1200" baseline="30000"/>
            <a:t>er</a:t>
          </a:r>
          <a:r>
            <a:rPr lang="fr-FR" sz="1000" b="0" kern="1200"/>
            <a:t> centile des rendements, calibré sur les tensions sur les marchés liées à la COVID-19</a:t>
          </a:r>
        </a:p>
      </dsp:txBody>
      <dsp:txXfrm>
        <a:off x="48096" y="43166"/>
        <a:ext cx="1387447" cy="1551968"/>
      </dsp:txXfrm>
    </dsp:sp>
    <dsp:sp modelId="{EABC3C60-1892-48AB-82CD-7D42571C6703}">
      <dsp:nvSpPr>
        <dsp:cNvPr id="0" name=""/>
        <dsp:cNvSpPr/>
      </dsp:nvSpPr>
      <dsp:spPr>
        <a:xfrm>
          <a:off x="1626088" y="636401"/>
          <a:ext cx="312441" cy="365497"/>
        </a:xfrm>
        <a:prstGeom prst="mathPlus">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IE" sz="1000" kern="1200"/>
        </a:p>
      </dsp:txBody>
      <dsp:txXfrm>
        <a:off x="1626088" y="709500"/>
        <a:ext cx="218709" cy="219299"/>
      </dsp:txXfrm>
    </dsp:sp>
    <dsp:sp modelId="{9684DD24-6C98-41B2-9307-372EE34244D2}">
      <dsp:nvSpPr>
        <dsp:cNvPr id="0" name=""/>
        <dsp:cNvSpPr/>
      </dsp:nvSpPr>
      <dsp:spPr>
        <a:xfrm>
          <a:off x="2068222" y="0"/>
          <a:ext cx="1473779" cy="1638300"/>
        </a:xfrm>
        <a:prstGeom prst="roundRect">
          <a:avLst>
            <a:gd name="adj" fmla="val 10000"/>
          </a:avLst>
        </a:prstGeom>
        <a:gradFill rotWithShape="0">
          <a:gsLst>
            <a:gs pos="0">
              <a:schemeClr val="accent4">
                <a:hueOff val="-2232385"/>
                <a:satOff val="13449"/>
                <a:lumOff val="1078"/>
                <a:alphaOff val="0"/>
                <a:tint val="50000"/>
                <a:satMod val="300000"/>
              </a:schemeClr>
            </a:gs>
            <a:gs pos="35000">
              <a:schemeClr val="accent4">
                <a:hueOff val="-2232385"/>
                <a:satOff val="13449"/>
                <a:lumOff val="1078"/>
                <a:alphaOff val="0"/>
                <a:tint val="37000"/>
                <a:satMod val="300000"/>
              </a:schemeClr>
            </a:gs>
            <a:gs pos="100000">
              <a:schemeClr val="accent4">
                <a:hueOff val="-2232385"/>
                <a:satOff val="13449"/>
                <a:lumOff val="107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Font typeface="Arial" panose="020B0604020202020204" pitchFamily="34" charset="0"/>
            <a:buNone/>
          </a:pPr>
          <a:r>
            <a:rPr lang="fr-FR" sz="1100" b="1" kern="1200">
              <a:solidFill>
                <a:srgbClr val="0070C0"/>
              </a:solidFill>
            </a:rPr>
            <a:t>2) </a:t>
          </a:r>
          <a:r>
            <a:rPr lang="fr-FR" sz="900" b="1" kern="1200">
              <a:solidFill>
                <a:srgbClr val="0070C0"/>
              </a:solidFill>
            </a:rPr>
            <a:t>Estimer, pour différents niveaux de WLA, le montant de rachats que les fonds monétaires peuvent absorber</a:t>
          </a:r>
        </a:p>
        <a:p>
          <a:pPr marL="57150" lvl="1" indent="-57150" algn="l" defTabSz="400050">
            <a:lnSpc>
              <a:spcPct val="90000"/>
            </a:lnSpc>
            <a:spcBef>
              <a:spcPct val="0"/>
            </a:spcBef>
            <a:spcAft>
              <a:spcPct val="15000"/>
            </a:spcAft>
            <a:buFont typeface="Arial" panose="020B0604020202020204" pitchFamily="34" charset="0"/>
            <a:buChar char="•"/>
          </a:pPr>
          <a:r>
            <a:rPr lang="fr-FR" sz="900" b="0" kern="1200"/>
            <a:t>Sur la base d’hypothèses prudentes (par exemple, aucune vente d’actifs, le niveau des DLA reste supérieur à son seuil réglementaire)</a:t>
          </a:r>
        </a:p>
      </dsp:txBody>
      <dsp:txXfrm>
        <a:off x="2111388" y="43166"/>
        <a:ext cx="1387447" cy="1551968"/>
      </dsp:txXfrm>
    </dsp:sp>
    <dsp:sp modelId="{F5E49C24-EFE2-4FD8-B3B9-C5882B0466AA}">
      <dsp:nvSpPr>
        <dsp:cNvPr id="0" name=""/>
        <dsp:cNvSpPr/>
      </dsp:nvSpPr>
      <dsp:spPr>
        <a:xfrm>
          <a:off x="3689380" y="636401"/>
          <a:ext cx="312441" cy="365497"/>
        </a:xfrm>
        <a:prstGeom prst="rightArrow">
          <a:avLst>
            <a:gd name="adj1" fmla="val 60000"/>
            <a:gd name="adj2" fmla="val 50000"/>
          </a:avLst>
        </a:prstGeom>
        <a:gradFill rotWithShape="0">
          <a:gsLst>
            <a:gs pos="0">
              <a:schemeClr val="accent4">
                <a:hueOff val="-4464770"/>
                <a:satOff val="26899"/>
                <a:lumOff val="2156"/>
                <a:alphaOff val="0"/>
                <a:tint val="50000"/>
                <a:satMod val="300000"/>
              </a:schemeClr>
            </a:gs>
            <a:gs pos="35000">
              <a:schemeClr val="accent4">
                <a:hueOff val="-4464770"/>
                <a:satOff val="26899"/>
                <a:lumOff val="2156"/>
                <a:alphaOff val="0"/>
                <a:tint val="37000"/>
                <a:satMod val="300000"/>
              </a:schemeClr>
            </a:gs>
            <a:gs pos="100000">
              <a:schemeClr val="accent4">
                <a:hueOff val="-4464770"/>
                <a:satOff val="26899"/>
                <a:lumOff val="2156"/>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IE" sz="1000" kern="1200"/>
        </a:p>
      </dsp:txBody>
      <dsp:txXfrm>
        <a:off x="3689380" y="709500"/>
        <a:ext cx="218709" cy="219299"/>
      </dsp:txXfrm>
    </dsp:sp>
    <dsp:sp modelId="{85DF50CD-79CA-437F-8F1B-8F5F5CC89F53}">
      <dsp:nvSpPr>
        <dsp:cNvPr id="0" name=""/>
        <dsp:cNvSpPr/>
      </dsp:nvSpPr>
      <dsp:spPr>
        <a:xfrm>
          <a:off x="4131514" y="0"/>
          <a:ext cx="1473779" cy="1638300"/>
        </a:xfrm>
        <a:prstGeom prst="roundRect">
          <a:avLst>
            <a:gd name="adj" fmla="val 10000"/>
          </a:avLst>
        </a:prstGeom>
        <a:gradFill rotWithShape="0">
          <a:gsLst>
            <a:gs pos="0">
              <a:schemeClr val="accent4">
                <a:hueOff val="-4464770"/>
                <a:satOff val="26899"/>
                <a:lumOff val="2156"/>
                <a:alphaOff val="0"/>
                <a:tint val="50000"/>
                <a:satMod val="300000"/>
              </a:schemeClr>
            </a:gs>
            <a:gs pos="35000">
              <a:schemeClr val="accent4">
                <a:hueOff val="-4464770"/>
                <a:satOff val="26899"/>
                <a:lumOff val="2156"/>
                <a:alphaOff val="0"/>
                <a:tint val="37000"/>
                <a:satMod val="300000"/>
              </a:schemeClr>
            </a:gs>
            <a:gs pos="100000">
              <a:schemeClr val="accent4">
                <a:hueOff val="-4464770"/>
                <a:satOff val="26899"/>
                <a:lumOff val="215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Font typeface="Arial" panose="020B0604020202020204" pitchFamily="34" charset="0"/>
            <a:buNone/>
          </a:pPr>
          <a:r>
            <a:rPr lang="fr-FR" sz="1100" b="1" kern="1200">
              <a:solidFill>
                <a:srgbClr val="0070C0"/>
              </a:solidFill>
            </a:rPr>
            <a:t>Calibrer les niveaux de WLA de résilience:  Niveau minimum de WLA (2) qui permet aux fonds monétaires de résister au choc de liquidité (1</a:t>
          </a:r>
          <a:r>
            <a:rPr lang="fr-FR" sz="1000" b="1" kern="1200">
              <a:solidFill>
                <a:srgbClr val="0070C0"/>
              </a:solidFill>
            </a:rPr>
            <a:t>)</a:t>
          </a:r>
        </a:p>
      </dsp:txBody>
      <dsp:txXfrm>
        <a:off x="4174680" y="43166"/>
        <a:ext cx="1387447" cy="1551968"/>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4DCC0AC9070440AC8F58F2A787C016" ma:contentTypeVersion="20" ma:contentTypeDescription="Create a new document." ma:contentTypeScope="" ma:versionID="7ffe3a98adf5fa445a7db4fb58975b48">
  <xsd:schema xmlns:xsd="http://www.w3.org/2001/XMLSchema" xmlns:xs="http://www.w3.org/2001/XMLSchema" xmlns:p="http://schemas.microsoft.com/office/2006/metadata/properties" xmlns:ns1="http://schemas.microsoft.com/sharepoint/v3" xmlns:ns2="a1ae7e3d-ea02-4f8b-a6ae-4ba92f54bfa6" xmlns:ns3="39579b5d-f307-4cba-adf0-92bbc0d34603" xmlns:ns4="http://schemas.microsoft.com/sharepoint/v4" targetNamespace="http://schemas.microsoft.com/office/2006/metadata/properties" ma:root="true" ma:fieldsID="d186cc494854d37a2383a1cc70b0ae5d" ns1:_="" ns2:_="" ns3:_="" ns4:_="">
    <xsd:import namespace="http://schemas.microsoft.com/sharepoint/v3"/>
    <xsd:import namespace="a1ae7e3d-ea02-4f8b-a6ae-4ba92f54bfa6"/>
    <xsd:import namespace="39579b5d-f307-4cba-adf0-92bbc0d34603"/>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_Flow_SignoffStatu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9" nillable="true" ma:displayName="Declared Record" ma:hidden="true" ma:internalName="_vti_ItemDeclaredRecord" ma:readOnly="true">
      <xsd:simpleType>
        <xsd:restriction base="dms:DateTime"/>
      </xsd:simpleType>
    </xsd:element>
    <xsd:element name="_vti_ItemHoldRecordStatus" ma:index="2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ae7e3d-ea02-4f8b-a6ae-4ba92f54b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Flow_SignoffStatus" ma:index="14" nillable="true" ma:displayName="Sign-off status" ma:internalName="_x0024_Resources_x003a_core_x002c_Signoff_Status">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579b5d-f307-4cba-adf0-92bbc0d3460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element name="TaxCatchAll" ma:index="24" nillable="true" ma:displayName="Taxonomy Catch All Column" ma:hidden="true" ma:list="{4fa3737e-8740-4758-ae8b-cfd8fbec2c93}" ma:internalName="TaxCatchAll" ma:showField="CatchAllData" ma:web="39579b5d-f307-4cba-adf0-92bbc0d3460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ARES_TRANSFERRED_BY xmlns="39579b5d-f307-4cba-adf0-92bbc0d34603" xsi:nil="true"/>
    <lcf76f155ced4ddcb4097134ff3c332f xmlns="a1ae7e3d-ea02-4f8b-a6ae-4ba92f54bfa6">
      <Terms xmlns="http://schemas.microsoft.com/office/infopath/2007/PartnerControls"/>
    </lcf76f155ced4ddcb4097134ff3c332f>
    <_Flow_SignoffStatus xmlns="a1ae7e3d-ea02-4f8b-a6ae-4ba92f54bfa6" xsi:nil="true"/>
    <IconOverlay xmlns="http://schemas.microsoft.com/sharepoint/v4" xsi:nil="true"/>
    <EC_ARES_DATE_TRANSFERRED xmlns="39579b5d-f307-4cba-adf0-92bbc0d34603" xsi:nil="true"/>
    <TaxCatchAll xmlns="39579b5d-f307-4cba-adf0-92bbc0d34603" xsi:nil="true"/>
    <EC_ARES_NUMBER xmlns="39579b5d-f307-4cba-adf0-92bbc0d34603">
      <Url xsi:nil="true"/>
      <Description xsi:nil="true"/>
    </EC_ARES_NUMB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05CE1-803F-498B-9EEE-8570F75F89A6}">
  <ds:schemaRefs>
    <ds:schemaRef ds:uri="http://schemas.microsoft.com/sharepoint/v3/contenttype/forms"/>
  </ds:schemaRefs>
</ds:datastoreItem>
</file>

<file path=customXml/itemProps2.xml><?xml version="1.0" encoding="utf-8"?>
<ds:datastoreItem xmlns:ds="http://schemas.openxmlformats.org/officeDocument/2006/customXml" ds:itemID="{199E4956-D070-4498-BFFE-7C2FA172F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1ae7e3d-ea02-4f8b-a6ae-4ba92f54bfa6"/>
    <ds:schemaRef ds:uri="39579b5d-f307-4cba-adf0-92bbc0d3460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824950-C16D-4C52-B831-4348091D80E9}">
  <ds:schemaRefs>
    <ds:schemaRef ds:uri="http://schemas.microsoft.com/sharepoint/v3"/>
    <ds:schemaRef ds:uri="http://schemas.openxmlformats.org/package/2006/metadata/core-properties"/>
    <ds:schemaRef ds:uri="http://www.w3.org/XML/1998/namespace"/>
    <ds:schemaRef ds:uri="http://purl.org/dc/terms/"/>
    <ds:schemaRef ds:uri="http://schemas.microsoft.com/sharepoint/v4"/>
    <ds:schemaRef ds:uri="a1ae7e3d-ea02-4f8b-a6ae-4ba92f54bfa6"/>
    <ds:schemaRef ds:uri="http://schemas.microsoft.com/office/2006/metadata/properties"/>
    <ds:schemaRef ds:uri="http://purl.org/dc/dcmitype/"/>
    <ds:schemaRef ds:uri="http://schemas.microsoft.com/office/2006/documentManagement/types"/>
    <ds:schemaRef ds:uri="http://purl.org/dc/elements/1.1/"/>
    <ds:schemaRef ds:uri="http://schemas.microsoft.com/office/infopath/2007/PartnerControls"/>
    <ds:schemaRef ds:uri="39579b5d-f307-4cba-adf0-92bbc0d34603"/>
  </ds:schemaRefs>
</ds:datastoreItem>
</file>

<file path=customXml/itemProps4.xml><?xml version="1.0" encoding="utf-8"?>
<ds:datastoreItem xmlns:ds="http://schemas.openxmlformats.org/officeDocument/2006/customXml" ds:itemID="{E4A09C99-95DE-4CF8-8991-614C63464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7972</Words>
  <Characters>41538</Characters>
  <Application>Microsoft Office Word</Application>
  <DocSecurity>0</DocSecurity>
  <Lines>783</Lines>
  <Paragraphs>351</Paragraphs>
  <ScaleCrop>false</ScaleCrop>
  <Manager/>
  <Company/>
  <LinksUpToDate>false</LinksUpToDate>
  <CharactersWithSpaces>49159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STASZAK Anna (SG)</dc:creator>
  <cp:keywords/>
  <dc:description/>
  <cp:lastModifiedBy>STASZAK Anna (SG)</cp:lastModifiedBy>
  <cp:revision>4</cp:revision>
  <dcterms:created xsi:type="dcterms:W3CDTF">2026-05-10T22:50:00Z</dcterms:created>
  <dcterms:modified xsi:type="dcterms:W3CDTF">2026-05-11T06:22:00Z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2026-03-10T14:20:11Z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5c699067-1d9d-4ee2-b41a-465a4ff3c9a0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ocStatus">
    <vt:lpwstr>Green</vt:lpwstr>
  </property>
  <property fmtid="{D5CDD505-2E9C-101B-9397-08002B2CF9AE}" pid="11" name="Last edited using">
    <vt:lpwstr>LW 9.2, Build 20250828</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y fmtid="{D5CDD505-2E9C-101B-9397-08002B2CF9AE}" pid="16" name="ContentTypeId">
    <vt:lpwstr>0x0101008B4DCC0AC9070440AC8F58F2A787C016</vt:lpwstr>
  </property>
  <property fmtid="{D5CDD505-2E9C-101B-9397-08002B2CF9AE}" pid="17" name="MediaServiceImageTags">
    <vt:lpwstr/>
  </property>
</Properties>
</file>