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EBD28" w14:textId="26A5E292" w:rsidR="00BC3D86" w:rsidRPr="00C82DFF" w:rsidRDefault="00FB657F" w:rsidP="00FB657F">
      <w:pPr>
        <w:pStyle w:val="Pagedecouverture"/>
        <w:rPr>
          <w:noProof/>
        </w:rPr>
      </w:pPr>
      <w:bookmarkStart w:id="0" w:name="_Toc878023"/>
      <w:bookmarkStart w:id="1" w:name="_Toc17730531"/>
      <w:bookmarkStart w:id="2" w:name="_Toc106119388"/>
      <w:bookmarkStart w:id="3" w:name="_Toc107311245"/>
      <w:bookmarkStart w:id="4" w:name="_Toc4058292"/>
      <w:bookmarkStart w:id="5" w:name="_Toc10474382"/>
      <w:bookmarkStart w:id="6" w:name="LW_BM_COVERPAGE"/>
      <w:r>
        <w:rPr>
          <w:noProof/>
        </w:rPr>
        <w:pict w14:anchorId="32807B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438068A-211D-47BC-B751-E08D650F6A3F" style="width:455.25pt;height:313.5pt">
            <v:imagedata r:id="rId11" o:title=""/>
          </v:shape>
        </w:pict>
      </w:r>
    </w:p>
    <w:bookmarkEnd w:id="6"/>
    <w:p w14:paraId="32ED289C" w14:textId="77777777" w:rsidR="00494980" w:rsidRPr="00C82DFF" w:rsidRDefault="00494980" w:rsidP="001B1826">
      <w:pPr>
        <w:rPr>
          <w:noProof/>
        </w:rPr>
        <w:sectPr w:rsidR="00494980" w:rsidRPr="00C82DFF" w:rsidSect="00FB657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96E24CB" w14:textId="27971095" w:rsidR="00D277A2" w:rsidRPr="00D255B3" w:rsidRDefault="00A05E3A" w:rsidP="002E1D5E">
      <w:pPr>
        <w:pStyle w:val="Heading1"/>
        <w:numPr>
          <w:ilvl w:val="0"/>
          <w:numId w:val="0"/>
        </w:numPr>
        <w:spacing w:after="240"/>
        <w:rPr>
          <w:rFonts w:ascii="Times New Roman" w:hAnsi="Times New Roman" w:cs="Times New Roman"/>
          <w:b/>
          <w:bCs/>
          <w:noProof/>
          <w:color w:val="auto"/>
          <w:sz w:val="22"/>
          <w:szCs w:val="22"/>
        </w:rPr>
      </w:pPr>
      <w:bookmarkStart w:id="7" w:name="_Toc227935543"/>
      <w:bookmarkStart w:id="8" w:name="_GoBack"/>
      <w:bookmarkEnd w:id="8"/>
      <w:r>
        <w:rPr>
          <w:rFonts w:ascii="Times New Roman" w:hAnsi="Times New Roman"/>
          <w:b/>
          <w:noProof/>
          <w:color w:val="auto"/>
          <w:sz w:val="22"/>
        </w:rPr>
        <w:lastRenderedPageBreak/>
        <w:t>REZUMAT</w:t>
      </w:r>
      <w:bookmarkEnd w:id="7"/>
    </w:p>
    <w:p w14:paraId="7C539C84" w14:textId="75E6CED8" w:rsidR="000E5CE2" w:rsidRPr="00C82DFF" w:rsidRDefault="00D97EC3" w:rsidP="00D04526">
      <w:pPr>
        <w:spacing w:beforeLines="100" w:before="240" w:after="0" w:line="280" w:lineRule="atLeast"/>
        <w:jc w:val="both"/>
        <w:rPr>
          <w:rFonts w:ascii="Times New Roman" w:eastAsia="Times New Roman" w:hAnsi="Times New Roman" w:cs="Times New Roman"/>
          <w:noProof/>
        </w:rPr>
      </w:pPr>
      <w:r>
        <w:rPr>
          <w:rFonts w:ascii="Times New Roman" w:hAnsi="Times New Roman"/>
          <w:noProof/>
        </w:rPr>
        <w:t xml:space="preserve">Regulamentul privind fondurile de piață monetară (Regulamentul privind FPM) a intrat în vigoare în </w:t>
      </w:r>
      <w:r w:rsidRPr="004F4310">
        <w:rPr>
          <w:rFonts w:ascii="Times New Roman" w:hAnsi="Times New Roman"/>
          <w:noProof/>
        </w:rPr>
        <w:t>2018</w:t>
      </w:r>
      <w:r>
        <w:rPr>
          <w:rFonts w:ascii="Times New Roman" w:hAnsi="Times New Roman"/>
          <w:noProof/>
        </w:rPr>
        <w:t xml:space="preserve"> și a instituit un cadru cuprinzător pentru fondurile de piață monetară (FPM) din UE. Regulamentul recunoaște importanța deosebită a acestora în finanțarea economiei, în special în ceea ce privește finanțarea pe termen scurt acordată autorităților publice și întreprinderilor, precum și în satisfacerea nevoilor investitorilor. FPM din UE oferă un instrument de investiții lichid și bine reglementat, care contribuie la realizarea obiectivelor uniunii economiilor și a investițiilor. </w:t>
      </w:r>
    </w:p>
    <w:p w14:paraId="1BA2D398" w14:textId="7B4602BF" w:rsidR="00520B81" w:rsidRPr="00C82DFF" w:rsidRDefault="4C50C197" w:rsidP="00D04526">
      <w:pPr>
        <w:spacing w:beforeLines="100" w:before="240" w:after="0" w:line="280" w:lineRule="atLeast"/>
        <w:jc w:val="both"/>
        <w:rPr>
          <w:rFonts w:ascii="Times New Roman" w:eastAsia="Times New Roman" w:hAnsi="Times New Roman" w:cs="Times New Roman"/>
          <w:noProof/>
        </w:rPr>
      </w:pPr>
      <w:r>
        <w:rPr>
          <w:rFonts w:ascii="Times New Roman" w:hAnsi="Times New Roman"/>
          <w:noProof/>
        </w:rPr>
        <w:t xml:space="preserve">Regulamentul privind FPM include garanții menite să consolideze reziliența FPM, care este esențială pentru menținerea încrederii investitorilor în acest produs. Raportul Comisiei din </w:t>
      </w:r>
      <w:r w:rsidRPr="004F4310">
        <w:rPr>
          <w:rFonts w:ascii="Times New Roman" w:hAnsi="Times New Roman"/>
          <w:noProof/>
        </w:rPr>
        <w:t>2023</w:t>
      </w:r>
      <w:r>
        <w:rPr>
          <w:rFonts w:ascii="Times New Roman" w:hAnsi="Times New Roman"/>
          <w:noProof/>
        </w:rPr>
        <w:t xml:space="preserve"> privind FPM</w:t>
      </w:r>
      <w:r>
        <w:rPr>
          <w:rStyle w:val="FootnoteReference"/>
          <w:rFonts w:ascii="Times New Roman" w:eastAsia="Times New Roman" w:hAnsi="Times New Roman" w:cs="Times New Roman"/>
          <w:noProof/>
          <w:lang w:eastAsia="en-IE"/>
        </w:rPr>
        <w:footnoteReference w:id="2"/>
      </w:r>
      <w:r>
        <w:rPr>
          <w:rFonts w:ascii="Times New Roman" w:hAnsi="Times New Roman"/>
          <w:noProof/>
        </w:rPr>
        <w:t xml:space="preserve"> a constatat că acest cadru este, în linii mari, eficace în reducerea riscurilor de lichiditate și a identificat anumite aspecte ale acestor riscuri care necesită o evaluare suplimentară. Prezentul raport prezintă rezultatele activității analitice complementare desfășurate cu privire la riscurile de lichiditate, precum și concluziile cu privire la o mai bună reziliență a FPM.</w:t>
      </w:r>
    </w:p>
    <w:p w14:paraId="4E532A8A" w14:textId="6A201387" w:rsidR="00481FE4" w:rsidRPr="00481FE4" w:rsidRDefault="00481FE4" w:rsidP="00D04526">
      <w:pPr>
        <w:spacing w:beforeLines="100" w:before="240" w:after="0" w:line="280" w:lineRule="atLeast"/>
        <w:jc w:val="both"/>
        <w:rPr>
          <w:rFonts w:ascii="Times New Roman" w:hAnsi="Times New Roman" w:cs="Times New Roman"/>
          <w:noProof/>
        </w:rPr>
      </w:pPr>
      <w:r>
        <w:rPr>
          <w:rFonts w:ascii="Times New Roman" w:hAnsi="Times New Roman"/>
          <w:noProof/>
        </w:rPr>
        <w:t>FPM sunt diverse și se confruntă cu niveluri diferite ale șocurilor de lichiditate în funcție de tipul lor (cu valoarea activului net variabilă, cu volatilitate scăzută sau constantă – FPM cu VAN variabilă, FPM cu VAN cu volatilitate scăzută și, respectiv, FPM cu VAN constantă), de monedă, de investitori și de utilizări. Din cauza acestor diferențe, FPM mențin rezerve de lichiditate peste nivelurile minime impuse, având în vedere caracteristicile specifice ale fiecărui fond și rezultatele simulărilor situațiilor de criză. Această abordare prudentă a administratorilor FPM poate fi explicată prin monitorizarea exercitată de investitori (facilitată de normele în materie de transparență prevăzute în Regulamentul privind FPM), prin supravegherea de reglementare și prin preocupările legate de riscurile reputaționale.</w:t>
      </w:r>
    </w:p>
    <w:p w14:paraId="6793D762" w14:textId="77777777" w:rsidR="00481FE4" w:rsidRPr="00481FE4" w:rsidRDefault="00481FE4" w:rsidP="00D04526">
      <w:pPr>
        <w:spacing w:beforeLines="100" w:before="240" w:after="0" w:line="280" w:lineRule="atLeast"/>
        <w:jc w:val="both"/>
        <w:rPr>
          <w:rFonts w:ascii="Times New Roman" w:hAnsi="Times New Roman" w:cs="Times New Roman"/>
          <w:noProof/>
        </w:rPr>
      </w:pPr>
      <w:r>
        <w:rPr>
          <w:rFonts w:ascii="Times New Roman" w:hAnsi="Times New Roman"/>
          <w:noProof/>
        </w:rPr>
        <w:t>FPM și-au demonstrat capacitatea de a reconstitui rezervele de lichiditate chiar și în perioade de criză a pieței, ceea ce reflectă o gestionare activă a riscului de lichiditate și o supraveghere prudențială eficace. Aceasta sugerează că diferitele mecanisme prevăzute în Regulamentul privind FPM au fost puse în aplicare în mod consecvent, sub coordonarea Autorității Europene pentru Valori Mobiliare și Piețe (ESMA).</w:t>
      </w:r>
    </w:p>
    <w:p w14:paraId="5B9411D3" w14:textId="77777777" w:rsidR="00481FE4" w:rsidRDefault="00481FE4" w:rsidP="00D04526">
      <w:pPr>
        <w:spacing w:before="100" w:beforeAutospacing="1" w:after="100" w:afterAutospacing="1" w:line="280" w:lineRule="atLeast"/>
        <w:jc w:val="both"/>
        <w:rPr>
          <w:rFonts w:ascii="Times New Roman" w:hAnsi="Times New Roman" w:cs="Times New Roman"/>
          <w:noProof/>
        </w:rPr>
      </w:pPr>
      <w:r>
        <w:rPr>
          <w:rFonts w:ascii="Times New Roman" w:hAnsi="Times New Roman"/>
          <w:noProof/>
        </w:rPr>
        <w:t xml:space="preserve">Prezentul raport a evaluat reziliența activelor lichide cu scadență săptămânală (WLA), acestea constituind un criteriu de referință util pentru gestionarea și supravegherea riscului de lichiditate. Pe baza unei analize ample a datelor, prezentul raport concluzionează că nivelurile de referință adecvate ale WLA („nivelurile de reziliență a pieței”) sunt de </w:t>
      </w:r>
      <w:r w:rsidRPr="004F4310">
        <w:rPr>
          <w:rFonts w:ascii="Times New Roman" w:hAnsi="Times New Roman"/>
          <w:noProof/>
        </w:rPr>
        <w:t>20</w:t>
      </w:r>
      <w:r>
        <w:rPr>
          <w:rFonts w:ascii="Times New Roman" w:hAnsi="Times New Roman"/>
          <w:noProof/>
        </w:rPr>
        <w:t xml:space="preserve"> % pentru FPM cu VAN variabilă și de </w:t>
      </w:r>
      <w:r w:rsidRPr="004F4310">
        <w:rPr>
          <w:rFonts w:ascii="Times New Roman" w:hAnsi="Times New Roman"/>
          <w:noProof/>
        </w:rPr>
        <w:t>40</w:t>
      </w:r>
      <w:r>
        <w:rPr>
          <w:rFonts w:ascii="Times New Roman" w:hAnsi="Times New Roman"/>
          <w:noProof/>
        </w:rPr>
        <w:t xml:space="preserve"> % pentru FPM cu VAN constantă și cu VAN cu volatilitate scăzută. </w:t>
      </w:r>
    </w:p>
    <w:p w14:paraId="0003DF30" w14:textId="3BBE2AE9" w:rsidR="00BF0C48" w:rsidRDefault="00CB12B1" w:rsidP="00D04526">
      <w:pPr>
        <w:spacing w:beforeLines="100" w:before="240" w:after="0" w:line="280" w:lineRule="atLeast"/>
        <w:jc w:val="both"/>
        <w:rPr>
          <w:rFonts w:ascii="Times New Roman" w:hAnsi="Times New Roman" w:cs="Times New Roman"/>
          <w:noProof/>
        </w:rPr>
      </w:pPr>
      <w:r>
        <w:rPr>
          <w:rFonts w:ascii="Times New Roman" w:hAnsi="Times New Roman"/>
          <w:noProof/>
        </w:rPr>
        <w:t>Prin urmare, Comisia consideră că aceste niveluri de reziliență a pieței pot servi drept criterii de referință pentru administratorii FPM, în special în exercitarea atribuțiilor lor de gestionare a riscurilor, precum și pentru autoritățile naționale competente, pentru a contribui la identificarea situațiilor care pot justifica o monitorizare mai atentă și o intensificare a activităților de supraveghere.</w:t>
      </w:r>
      <w:r w:rsidR="00801851">
        <w:rPr>
          <w:rFonts w:ascii="Times New Roman" w:hAnsi="Times New Roman"/>
          <w:noProof/>
        </w:rPr>
        <w:t xml:space="preserve"> </w:t>
      </w:r>
    </w:p>
    <w:p w14:paraId="2D55FD21" w14:textId="37EC519E" w:rsidR="003C7387" w:rsidRPr="00C82DFF" w:rsidRDefault="003C7387" w:rsidP="00D04526">
      <w:pPr>
        <w:spacing w:beforeLines="100" w:before="240" w:after="0" w:line="280" w:lineRule="atLeast"/>
        <w:jc w:val="both"/>
        <w:rPr>
          <w:rFonts w:ascii="Times New Roman" w:hAnsi="Times New Roman" w:cs="Times New Roman"/>
          <w:noProof/>
        </w:rPr>
      </w:pPr>
      <w:r>
        <w:rPr>
          <w:noProof/>
        </w:rPr>
        <w:br w:type="page"/>
      </w:r>
    </w:p>
    <w:bookmarkStart w:id="9" w:name="_Toc10474381" w:displacedByCustomXml="next"/>
    <w:sdt>
      <w:sdtPr>
        <w:rPr>
          <w:rFonts w:asciiTheme="minorHAnsi" w:eastAsiaTheme="minorEastAsia" w:hAnsiTheme="minorHAnsi" w:cs="Times New Roman"/>
          <w:noProof/>
          <w:color w:val="auto"/>
          <w:sz w:val="22"/>
          <w:szCs w:val="22"/>
        </w:rPr>
        <w:id w:val="606063663"/>
        <w:docPartObj>
          <w:docPartGallery w:val="Table of Contents"/>
          <w:docPartUnique/>
        </w:docPartObj>
      </w:sdtPr>
      <w:sdtEndPr/>
      <w:sdtContent>
        <w:p w14:paraId="3287A434" w14:textId="170D4F19" w:rsidR="00836507" w:rsidRPr="005B2BDE" w:rsidRDefault="00836507" w:rsidP="0CF9C8C5">
          <w:pPr>
            <w:pStyle w:val="TOCHeading"/>
            <w:numPr>
              <w:ilvl w:val="0"/>
              <w:numId w:val="0"/>
            </w:numPr>
            <w:rPr>
              <w:rFonts w:ascii="Times New Roman" w:hAnsi="Times New Roman" w:cs="Times New Roman"/>
              <w:b/>
              <w:bCs/>
              <w:noProof/>
              <w:sz w:val="22"/>
              <w:szCs w:val="22"/>
            </w:rPr>
          </w:pPr>
          <w:r>
            <w:rPr>
              <w:rFonts w:ascii="Times New Roman" w:hAnsi="Times New Roman"/>
              <w:b/>
              <w:noProof/>
              <w:sz w:val="22"/>
            </w:rPr>
            <w:t>Cuprins</w:t>
          </w:r>
        </w:p>
        <w:p w14:paraId="3D38BBAD" w14:textId="77777777" w:rsidR="007A23A5" w:rsidRPr="00634628" w:rsidRDefault="007A23A5" w:rsidP="00B80A7C">
          <w:pPr>
            <w:rPr>
              <w:rFonts w:ascii="Times New Roman" w:eastAsia="Times New Roman" w:hAnsi="Times New Roman" w:cs="Times New Roman"/>
              <w:noProof/>
            </w:rPr>
          </w:pPr>
        </w:p>
        <w:p w14:paraId="4FAD1EA4" w14:textId="298A82EE" w:rsidR="0072150C" w:rsidRDefault="0E018B52">
          <w:pPr>
            <w:pStyle w:val="TOC1"/>
            <w:rPr>
              <w:rFonts w:asciiTheme="minorHAnsi" w:hAnsiTheme="minorHAnsi" w:cstheme="minorBidi"/>
              <w:b w:val="0"/>
              <w:bCs w:val="0"/>
              <w:kern w:val="2"/>
              <w:sz w:val="24"/>
              <w:szCs w:val="24"/>
              <w:lang w:val="en-IE" w:eastAsia="en-IE"/>
              <w14:ligatures w14:val="standardContextual"/>
            </w:rPr>
          </w:pPr>
          <w:r>
            <w:fldChar w:fldCharType="begin"/>
          </w:r>
          <w:r w:rsidR="00EB7D99">
            <w:instrText>TOC \o "1-3" \z \u \h</w:instrText>
          </w:r>
          <w:r>
            <w:fldChar w:fldCharType="separate"/>
          </w:r>
          <w:hyperlink w:anchor="_Toc227935543" w:history="1">
            <w:r w:rsidR="0072150C" w:rsidRPr="00327E20">
              <w:rPr>
                <w:rStyle w:val="Hyperlink"/>
              </w:rPr>
              <w:t>REZUMAT</w:t>
            </w:r>
            <w:r w:rsidR="0072150C">
              <w:rPr>
                <w:webHidden/>
              </w:rPr>
              <w:tab/>
            </w:r>
            <w:r w:rsidR="0072150C">
              <w:rPr>
                <w:webHidden/>
              </w:rPr>
              <w:fldChar w:fldCharType="begin"/>
            </w:r>
            <w:r w:rsidR="0072150C">
              <w:rPr>
                <w:webHidden/>
              </w:rPr>
              <w:instrText xml:space="preserve"> PAGEREF _Toc227935543 \h </w:instrText>
            </w:r>
            <w:r w:rsidR="0072150C">
              <w:rPr>
                <w:webHidden/>
              </w:rPr>
            </w:r>
            <w:r w:rsidR="0072150C">
              <w:rPr>
                <w:webHidden/>
              </w:rPr>
              <w:fldChar w:fldCharType="separate"/>
            </w:r>
            <w:r w:rsidR="004F4310">
              <w:rPr>
                <w:webHidden/>
              </w:rPr>
              <w:t>1</w:t>
            </w:r>
            <w:r w:rsidR="0072150C">
              <w:rPr>
                <w:webHidden/>
              </w:rPr>
              <w:fldChar w:fldCharType="end"/>
            </w:r>
          </w:hyperlink>
        </w:p>
        <w:p w14:paraId="3F7D573D" w14:textId="33314A09"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44" w:history="1">
            <w:r w:rsidR="0072150C" w:rsidRPr="00327E20">
              <w:rPr>
                <w:rStyle w:val="Hyperlink"/>
              </w:rPr>
              <w:t>ABREVIERI</w:t>
            </w:r>
            <w:r w:rsidR="0072150C">
              <w:rPr>
                <w:webHidden/>
              </w:rPr>
              <w:tab/>
            </w:r>
            <w:r w:rsidR="0072150C">
              <w:rPr>
                <w:webHidden/>
              </w:rPr>
              <w:fldChar w:fldCharType="begin"/>
            </w:r>
            <w:r w:rsidR="0072150C">
              <w:rPr>
                <w:webHidden/>
              </w:rPr>
              <w:instrText xml:space="preserve"> PAGEREF _Toc227935544 \h </w:instrText>
            </w:r>
            <w:r w:rsidR="0072150C">
              <w:rPr>
                <w:webHidden/>
              </w:rPr>
            </w:r>
            <w:r w:rsidR="0072150C">
              <w:rPr>
                <w:webHidden/>
              </w:rPr>
              <w:fldChar w:fldCharType="separate"/>
            </w:r>
            <w:r w:rsidR="004F4310">
              <w:rPr>
                <w:webHidden/>
              </w:rPr>
              <w:t>3</w:t>
            </w:r>
            <w:r w:rsidR="0072150C">
              <w:rPr>
                <w:webHidden/>
              </w:rPr>
              <w:fldChar w:fldCharType="end"/>
            </w:r>
          </w:hyperlink>
        </w:p>
        <w:p w14:paraId="46889AF2" w14:textId="44391555"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45" w:history="1">
            <w:r w:rsidR="0072150C" w:rsidRPr="004F4310">
              <w:rPr>
                <w:rStyle w:val="Hyperlink"/>
              </w:rPr>
              <w:t>1</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INTRODUCERE</w:t>
            </w:r>
            <w:r w:rsidR="0072150C">
              <w:rPr>
                <w:webHidden/>
              </w:rPr>
              <w:tab/>
            </w:r>
            <w:r w:rsidR="0072150C">
              <w:rPr>
                <w:webHidden/>
              </w:rPr>
              <w:fldChar w:fldCharType="begin"/>
            </w:r>
            <w:r w:rsidR="0072150C">
              <w:rPr>
                <w:webHidden/>
              </w:rPr>
              <w:instrText xml:space="preserve"> PAGEREF _Toc227935545 \h </w:instrText>
            </w:r>
            <w:r w:rsidR="0072150C">
              <w:rPr>
                <w:webHidden/>
              </w:rPr>
            </w:r>
            <w:r w:rsidR="0072150C">
              <w:rPr>
                <w:webHidden/>
              </w:rPr>
              <w:fldChar w:fldCharType="separate"/>
            </w:r>
            <w:r w:rsidR="004F4310">
              <w:rPr>
                <w:webHidden/>
              </w:rPr>
              <w:t>5</w:t>
            </w:r>
            <w:r w:rsidR="0072150C">
              <w:rPr>
                <w:webHidden/>
              </w:rPr>
              <w:fldChar w:fldCharType="end"/>
            </w:r>
          </w:hyperlink>
        </w:p>
        <w:p w14:paraId="01AD2350" w14:textId="2188DCB4"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46" w:history="1">
            <w:r w:rsidR="0072150C" w:rsidRPr="004F4310">
              <w:rPr>
                <w:rStyle w:val="Hyperlink"/>
              </w:rPr>
              <w:t>2</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EVALUAREA GESTIONĂRII LICHIDITĂȚII FPM</w:t>
            </w:r>
            <w:r w:rsidR="0072150C">
              <w:rPr>
                <w:webHidden/>
              </w:rPr>
              <w:tab/>
            </w:r>
            <w:r w:rsidR="0072150C">
              <w:rPr>
                <w:webHidden/>
              </w:rPr>
              <w:fldChar w:fldCharType="begin"/>
            </w:r>
            <w:r w:rsidR="0072150C">
              <w:rPr>
                <w:webHidden/>
              </w:rPr>
              <w:instrText xml:space="preserve"> PAGEREF _Toc227935546 \h </w:instrText>
            </w:r>
            <w:r w:rsidR="0072150C">
              <w:rPr>
                <w:webHidden/>
              </w:rPr>
            </w:r>
            <w:r w:rsidR="0072150C">
              <w:rPr>
                <w:webHidden/>
              </w:rPr>
              <w:fldChar w:fldCharType="separate"/>
            </w:r>
            <w:r w:rsidR="004F4310">
              <w:rPr>
                <w:webHidden/>
              </w:rPr>
              <w:t>7</w:t>
            </w:r>
            <w:r w:rsidR="0072150C">
              <w:rPr>
                <w:webHidden/>
              </w:rPr>
              <w:fldChar w:fldCharType="end"/>
            </w:r>
          </w:hyperlink>
        </w:p>
        <w:p w14:paraId="6A306F07" w14:textId="16ACEDA7" w:rsidR="0072150C" w:rsidRDefault="00FB657F">
          <w:pPr>
            <w:pStyle w:val="TOC2"/>
            <w:rPr>
              <w:rFonts w:cstheme="minorBidi"/>
              <w:noProof/>
              <w:kern w:val="2"/>
              <w:sz w:val="24"/>
              <w:szCs w:val="24"/>
              <w:lang w:val="en-IE" w:eastAsia="en-IE"/>
              <w14:ligatures w14:val="standardContextual"/>
            </w:rPr>
          </w:pPr>
          <w:hyperlink w:anchor="_Toc227935547" w:history="1">
            <w:r w:rsidR="0072150C" w:rsidRPr="004F4310">
              <w:rPr>
                <w:rStyle w:val="Hyperlink"/>
                <w:noProof/>
              </w:rPr>
              <w:t>2</w:t>
            </w:r>
            <w:r w:rsidR="0072150C" w:rsidRPr="00327E20">
              <w:rPr>
                <w:rStyle w:val="Hyperlink"/>
                <w:noProof/>
              </w:rPr>
              <w:t>.</w:t>
            </w:r>
            <w:r w:rsidR="0072150C" w:rsidRPr="004F4310">
              <w:rPr>
                <w:rStyle w:val="Hyperlink"/>
                <w:noProof/>
              </w:rPr>
              <w:t>1</w:t>
            </w:r>
            <w:r w:rsidR="0072150C">
              <w:rPr>
                <w:rFonts w:cstheme="minorBidi"/>
                <w:noProof/>
                <w:kern w:val="2"/>
                <w:sz w:val="24"/>
                <w:szCs w:val="24"/>
                <w:lang w:val="en-IE" w:eastAsia="en-IE"/>
                <w14:ligatures w14:val="standardContextual"/>
              </w:rPr>
              <w:tab/>
            </w:r>
            <w:r w:rsidR="0072150C" w:rsidRPr="00327E20">
              <w:rPr>
                <w:rStyle w:val="Hyperlink"/>
                <w:noProof/>
              </w:rPr>
              <w:t>Nivelurile rezervelor de lichiditate</w:t>
            </w:r>
            <w:r w:rsidR="0072150C">
              <w:rPr>
                <w:noProof/>
                <w:webHidden/>
              </w:rPr>
              <w:tab/>
            </w:r>
            <w:r w:rsidR="0072150C">
              <w:rPr>
                <w:noProof/>
                <w:webHidden/>
              </w:rPr>
              <w:fldChar w:fldCharType="begin"/>
            </w:r>
            <w:r w:rsidR="0072150C">
              <w:rPr>
                <w:noProof/>
                <w:webHidden/>
              </w:rPr>
              <w:instrText xml:space="preserve"> PAGEREF _Toc227935547 \h </w:instrText>
            </w:r>
            <w:r w:rsidR="0072150C">
              <w:rPr>
                <w:noProof/>
                <w:webHidden/>
              </w:rPr>
            </w:r>
            <w:r w:rsidR="0072150C">
              <w:rPr>
                <w:noProof/>
                <w:webHidden/>
              </w:rPr>
              <w:fldChar w:fldCharType="separate"/>
            </w:r>
            <w:r w:rsidR="004F4310">
              <w:rPr>
                <w:noProof/>
                <w:webHidden/>
              </w:rPr>
              <w:t>7</w:t>
            </w:r>
            <w:r w:rsidR="0072150C">
              <w:rPr>
                <w:noProof/>
                <w:webHidden/>
              </w:rPr>
              <w:fldChar w:fldCharType="end"/>
            </w:r>
          </w:hyperlink>
        </w:p>
        <w:p w14:paraId="5F205DDF" w14:textId="659FF451" w:rsidR="0072150C" w:rsidRDefault="00FB657F">
          <w:pPr>
            <w:pStyle w:val="TOC2"/>
            <w:rPr>
              <w:rFonts w:cstheme="minorBidi"/>
              <w:noProof/>
              <w:kern w:val="2"/>
              <w:sz w:val="24"/>
              <w:szCs w:val="24"/>
              <w:lang w:val="en-IE" w:eastAsia="en-IE"/>
              <w14:ligatures w14:val="standardContextual"/>
            </w:rPr>
          </w:pPr>
          <w:hyperlink w:anchor="_Toc227935548" w:history="1">
            <w:r w:rsidR="0072150C" w:rsidRPr="004F4310">
              <w:rPr>
                <w:rStyle w:val="Hyperlink"/>
                <w:noProof/>
              </w:rPr>
              <w:t>2</w:t>
            </w:r>
            <w:r w:rsidR="0072150C" w:rsidRPr="00327E20">
              <w:rPr>
                <w:rStyle w:val="Hyperlink"/>
                <w:noProof/>
              </w:rPr>
              <w:t>.</w:t>
            </w:r>
            <w:r w:rsidR="0072150C" w:rsidRPr="004F4310">
              <w:rPr>
                <w:rStyle w:val="Hyperlink"/>
                <w:noProof/>
              </w:rPr>
              <w:t>2</w:t>
            </w:r>
            <w:r w:rsidR="0072150C">
              <w:rPr>
                <w:rFonts w:cstheme="minorBidi"/>
                <w:noProof/>
                <w:kern w:val="2"/>
                <w:sz w:val="24"/>
                <w:szCs w:val="24"/>
                <w:lang w:val="en-IE" w:eastAsia="en-IE"/>
                <w14:ligatures w14:val="standardContextual"/>
              </w:rPr>
              <w:tab/>
            </w:r>
            <w:r w:rsidR="0072150C" w:rsidRPr="00327E20">
              <w:rPr>
                <w:rStyle w:val="Hyperlink"/>
                <w:noProof/>
              </w:rPr>
              <w:t>Modul în care FPM onorează cererile de răscumpărare</w:t>
            </w:r>
            <w:r w:rsidR="0072150C">
              <w:rPr>
                <w:noProof/>
                <w:webHidden/>
              </w:rPr>
              <w:tab/>
            </w:r>
            <w:r w:rsidR="0072150C">
              <w:rPr>
                <w:noProof/>
                <w:webHidden/>
              </w:rPr>
              <w:fldChar w:fldCharType="begin"/>
            </w:r>
            <w:r w:rsidR="0072150C">
              <w:rPr>
                <w:noProof/>
                <w:webHidden/>
              </w:rPr>
              <w:instrText xml:space="preserve"> PAGEREF _Toc227935548 \h </w:instrText>
            </w:r>
            <w:r w:rsidR="0072150C">
              <w:rPr>
                <w:noProof/>
                <w:webHidden/>
              </w:rPr>
            </w:r>
            <w:r w:rsidR="0072150C">
              <w:rPr>
                <w:noProof/>
                <w:webHidden/>
              </w:rPr>
              <w:fldChar w:fldCharType="separate"/>
            </w:r>
            <w:r w:rsidR="004F4310">
              <w:rPr>
                <w:noProof/>
                <w:webHidden/>
              </w:rPr>
              <w:t>10</w:t>
            </w:r>
            <w:r w:rsidR="0072150C">
              <w:rPr>
                <w:noProof/>
                <w:webHidden/>
              </w:rPr>
              <w:fldChar w:fldCharType="end"/>
            </w:r>
          </w:hyperlink>
        </w:p>
        <w:p w14:paraId="77BE2E4B" w14:textId="161860BC"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49" w:history="1">
            <w:r w:rsidR="0072150C" w:rsidRPr="004F4310">
              <w:rPr>
                <w:rStyle w:val="Hyperlink"/>
              </w:rPr>
              <w:t>3</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EVALUAREA NIVELURILOR ADECVATE DE REZILIENȚĂ A PIEȚEI FPM</w:t>
            </w:r>
            <w:r w:rsidR="0072150C">
              <w:rPr>
                <w:webHidden/>
              </w:rPr>
              <w:tab/>
            </w:r>
            <w:r w:rsidR="0072150C">
              <w:rPr>
                <w:webHidden/>
              </w:rPr>
              <w:fldChar w:fldCharType="begin"/>
            </w:r>
            <w:r w:rsidR="0072150C">
              <w:rPr>
                <w:webHidden/>
              </w:rPr>
              <w:instrText xml:space="preserve"> PAGEREF _Toc227935549 \h </w:instrText>
            </w:r>
            <w:r w:rsidR="0072150C">
              <w:rPr>
                <w:webHidden/>
              </w:rPr>
            </w:r>
            <w:r w:rsidR="0072150C">
              <w:rPr>
                <w:webHidden/>
              </w:rPr>
              <w:fldChar w:fldCharType="separate"/>
            </w:r>
            <w:r w:rsidR="004F4310">
              <w:rPr>
                <w:webHidden/>
              </w:rPr>
              <w:t>12</w:t>
            </w:r>
            <w:r w:rsidR="0072150C">
              <w:rPr>
                <w:webHidden/>
              </w:rPr>
              <w:fldChar w:fldCharType="end"/>
            </w:r>
          </w:hyperlink>
        </w:p>
        <w:p w14:paraId="5602DDDE" w14:textId="6A15B35F"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50" w:history="1">
            <w:r w:rsidR="0072150C" w:rsidRPr="004F4310">
              <w:rPr>
                <w:rStyle w:val="Hyperlink"/>
              </w:rPr>
              <w:t>4</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CONCLUZIE</w:t>
            </w:r>
            <w:r w:rsidR="0072150C">
              <w:rPr>
                <w:webHidden/>
              </w:rPr>
              <w:tab/>
            </w:r>
            <w:r w:rsidR="0072150C">
              <w:rPr>
                <w:webHidden/>
              </w:rPr>
              <w:fldChar w:fldCharType="begin"/>
            </w:r>
            <w:r w:rsidR="0072150C">
              <w:rPr>
                <w:webHidden/>
              </w:rPr>
              <w:instrText xml:space="preserve"> PAGEREF _Toc227935550 \h </w:instrText>
            </w:r>
            <w:r w:rsidR="0072150C">
              <w:rPr>
                <w:webHidden/>
              </w:rPr>
            </w:r>
            <w:r w:rsidR="0072150C">
              <w:rPr>
                <w:webHidden/>
              </w:rPr>
              <w:fldChar w:fldCharType="separate"/>
            </w:r>
            <w:r w:rsidR="004F4310">
              <w:rPr>
                <w:webHidden/>
              </w:rPr>
              <w:t>13</w:t>
            </w:r>
            <w:r w:rsidR="0072150C">
              <w:rPr>
                <w:webHidden/>
              </w:rPr>
              <w:fldChar w:fldCharType="end"/>
            </w:r>
          </w:hyperlink>
        </w:p>
        <w:p w14:paraId="470679C5" w14:textId="520C8C97"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51" w:history="1">
            <w:r w:rsidR="0072150C" w:rsidRPr="004F4310">
              <w:rPr>
                <w:rStyle w:val="Hyperlink"/>
              </w:rPr>
              <w:t>5</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ANEXA I: NIVELURILE REZERVELOR DE LICHIDITATE</w:t>
            </w:r>
            <w:r w:rsidR="0072150C">
              <w:rPr>
                <w:webHidden/>
              </w:rPr>
              <w:tab/>
            </w:r>
            <w:r w:rsidR="0072150C">
              <w:rPr>
                <w:webHidden/>
              </w:rPr>
              <w:fldChar w:fldCharType="begin"/>
            </w:r>
            <w:r w:rsidR="0072150C">
              <w:rPr>
                <w:webHidden/>
              </w:rPr>
              <w:instrText xml:space="preserve"> PAGEREF _Toc227935551 \h </w:instrText>
            </w:r>
            <w:r w:rsidR="0072150C">
              <w:rPr>
                <w:webHidden/>
              </w:rPr>
            </w:r>
            <w:r w:rsidR="0072150C">
              <w:rPr>
                <w:webHidden/>
              </w:rPr>
              <w:fldChar w:fldCharType="separate"/>
            </w:r>
            <w:r w:rsidR="004F4310">
              <w:rPr>
                <w:webHidden/>
              </w:rPr>
              <w:t>14</w:t>
            </w:r>
            <w:r w:rsidR="0072150C">
              <w:rPr>
                <w:webHidden/>
              </w:rPr>
              <w:fldChar w:fldCharType="end"/>
            </w:r>
          </w:hyperlink>
        </w:p>
        <w:p w14:paraId="5E7A5886" w14:textId="21B25E42" w:rsidR="0072150C" w:rsidRDefault="00FB657F">
          <w:pPr>
            <w:pStyle w:val="TOC2"/>
            <w:rPr>
              <w:rFonts w:cstheme="minorBidi"/>
              <w:noProof/>
              <w:kern w:val="2"/>
              <w:sz w:val="24"/>
              <w:szCs w:val="24"/>
              <w:lang w:val="en-IE" w:eastAsia="en-IE"/>
              <w14:ligatures w14:val="standardContextual"/>
            </w:rPr>
          </w:pPr>
          <w:hyperlink w:anchor="_Toc227935552" w:history="1">
            <w:r w:rsidR="0072150C" w:rsidRPr="004F4310">
              <w:rPr>
                <w:rStyle w:val="Hyperlink"/>
                <w:noProof/>
              </w:rPr>
              <w:t>5</w:t>
            </w:r>
            <w:r w:rsidR="0072150C" w:rsidRPr="00327E20">
              <w:rPr>
                <w:rStyle w:val="Hyperlink"/>
                <w:noProof/>
              </w:rPr>
              <w:t>.</w:t>
            </w:r>
            <w:r w:rsidR="0072150C" w:rsidRPr="004F4310">
              <w:rPr>
                <w:rStyle w:val="Hyperlink"/>
                <w:noProof/>
              </w:rPr>
              <w:t>1</w:t>
            </w:r>
            <w:r w:rsidR="0072150C">
              <w:rPr>
                <w:rFonts w:cstheme="minorBidi"/>
                <w:noProof/>
                <w:kern w:val="2"/>
                <w:sz w:val="24"/>
                <w:szCs w:val="24"/>
                <w:lang w:val="en-IE" w:eastAsia="en-IE"/>
                <w14:ligatures w14:val="standardContextual"/>
              </w:rPr>
              <w:tab/>
            </w:r>
            <w:r w:rsidR="0072150C" w:rsidRPr="00327E20">
              <w:rPr>
                <w:rStyle w:val="Hyperlink"/>
                <w:noProof/>
              </w:rPr>
              <w:t>Statistici privind nivelurile rezervelor de lichiditate</w:t>
            </w:r>
            <w:r w:rsidR="0072150C">
              <w:rPr>
                <w:noProof/>
                <w:webHidden/>
              </w:rPr>
              <w:tab/>
            </w:r>
            <w:r w:rsidR="0072150C">
              <w:rPr>
                <w:noProof/>
                <w:webHidden/>
              </w:rPr>
              <w:fldChar w:fldCharType="begin"/>
            </w:r>
            <w:r w:rsidR="0072150C">
              <w:rPr>
                <w:noProof/>
                <w:webHidden/>
              </w:rPr>
              <w:instrText xml:space="preserve"> PAGEREF _Toc227935552 \h </w:instrText>
            </w:r>
            <w:r w:rsidR="0072150C">
              <w:rPr>
                <w:noProof/>
                <w:webHidden/>
              </w:rPr>
            </w:r>
            <w:r w:rsidR="0072150C">
              <w:rPr>
                <w:noProof/>
                <w:webHidden/>
              </w:rPr>
              <w:fldChar w:fldCharType="separate"/>
            </w:r>
            <w:r w:rsidR="004F4310">
              <w:rPr>
                <w:noProof/>
                <w:webHidden/>
              </w:rPr>
              <w:t>14</w:t>
            </w:r>
            <w:r w:rsidR="0072150C">
              <w:rPr>
                <w:noProof/>
                <w:webHidden/>
              </w:rPr>
              <w:fldChar w:fldCharType="end"/>
            </w:r>
          </w:hyperlink>
        </w:p>
        <w:p w14:paraId="16A30458" w14:textId="2C6B8BB2" w:rsidR="0072150C" w:rsidRDefault="00FB657F">
          <w:pPr>
            <w:pStyle w:val="TOC2"/>
            <w:rPr>
              <w:rFonts w:cstheme="minorBidi"/>
              <w:noProof/>
              <w:kern w:val="2"/>
              <w:sz w:val="24"/>
              <w:szCs w:val="24"/>
              <w:lang w:val="en-IE" w:eastAsia="en-IE"/>
              <w14:ligatures w14:val="standardContextual"/>
            </w:rPr>
          </w:pPr>
          <w:hyperlink w:anchor="_Toc227935553" w:history="1">
            <w:r w:rsidR="0072150C" w:rsidRPr="004F4310">
              <w:rPr>
                <w:rStyle w:val="Hyperlink"/>
                <w:noProof/>
              </w:rPr>
              <w:t>5</w:t>
            </w:r>
            <w:r w:rsidR="0072150C" w:rsidRPr="00327E20">
              <w:rPr>
                <w:rStyle w:val="Hyperlink"/>
                <w:noProof/>
              </w:rPr>
              <w:t>.</w:t>
            </w:r>
            <w:r w:rsidR="0072150C" w:rsidRPr="004F4310">
              <w:rPr>
                <w:rStyle w:val="Hyperlink"/>
                <w:noProof/>
              </w:rPr>
              <w:t>2</w:t>
            </w:r>
            <w:r w:rsidR="0072150C">
              <w:rPr>
                <w:rFonts w:cstheme="minorBidi"/>
                <w:noProof/>
                <w:kern w:val="2"/>
                <w:sz w:val="24"/>
                <w:szCs w:val="24"/>
                <w:lang w:val="en-IE" w:eastAsia="en-IE"/>
                <w14:ligatures w14:val="standardContextual"/>
              </w:rPr>
              <w:tab/>
            </w:r>
            <w:r w:rsidR="0072150C" w:rsidRPr="00327E20">
              <w:rPr>
                <w:rStyle w:val="Hyperlink"/>
                <w:noProof/>
              </w:rPr>
              <w:t>Exemple de FPM care se confruntă cu șocuri ridicate de răscumpărare</w:t>
            </w:r>
            <w:r w:rsidR="0072150C">
              <w:rPr>
                <w:noProof/>
                <w:webHidden/>
              </w:rPr>
              <w:tab/>
            </w:r>
            <w:r w:rsidR="0072150C">
              <w:rPr>
                <w:noProof/>
                <w:webHidden/>
              </w:rPr>
              <w:fldChar w:fldCharType="begin"/>
            </w:r>
            <w:r w:rsidR="0072150C">
              <w:rPr>
                <w:noProof/>
                <w:webHidden/>
              </w:rPr>
              <w:instrText xml:space="preserve"> PAGEREF _Toc227935553 \h </w:instrText>
            </w:r>
            <w:r w:rsidR="0072150C">
              <w:rPr>
                <w:noProof/>
                <w:webHidden/>
              </w:rPr>
            </w:r>
            <w:r w:rsidR="0072150C">
              <w:rPr>
                <w:noProof/>
                <w:webHidden/>
              </w:rPr>
              <w:fldChar w:fldCharType="separate"/>
            </w:r>
            <w:r w:rsidR="004F4310">
              <w:rPr>
                <w:noProof/>
                <w:webHidden/>
              </w:rPr>
              <w:t>14</w:t>
            </w:r>
            <w:r w:rsidR="0072150C">
              <w:rPr>
                <w:noProof/>
                <w:webHidden/>
              </w:rPr>
              <w:fldChar w:fldCharType="end"/>
            </w:r>
          </w:hyperlink>
        </w:p>
        <w:p w14:paraId="06EA5A85" w14:textId="2E6328DB"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54" w:history="1">
            <w:r w:rsidR="0072150C" w:rsidRPr="004F4310">
              <w:rPr>
                <w:rStyle w:val="Hyperlink"/>
              </w:rPr>
              <w:t>6</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ANEXA II: COMPORTAMENTUL RĂSCUMPĂRĂRILOR ÎN CONDIȚII DE CRIZĂ A PIEȚEI</w:t>
            </w:r>
            <w:r w:rsidR="0072150C">
              <w:rPr>
                <w:webHidden/>
              </w:rPr>
              <w:tab/>
            </w:r>
            <w:r w:rsidR="0072150C">
              <w:rPr>
                <w:webHidden/>
              </w:rPr>
              <w:fldChar w:fldCharType="begin"/>
            </w:r>
            <w:r w:rsidR="0072150C">
              <w:rPr>
                <w:webHidden/>
              </w:rPr>
              <w:instrText xml:space="preserve"> PAGEREF _Toc227935554 \h </w:instrText>
            </w:r>
            <w:r w:rsidR="0072150C">
              <w:rPr>
                <w:webHidden/>
              </w:rPr>
            </w:r>
            <w:r w:rsidR="0072150C">
              <w:rPr>
                <w:webHidden/>
              </w:rPr>
              <w:fldChar w:fldCharType="separate"/>
            </w:r>
            <w:r w:rsidR="004F4310">
              <w:rPr>
                <w:webHidden/>
              </w:rPr>
              <w:t>16</w:t>
            </w:r>
            <w:r w:rsidR="0072150C">
              <w:rPr>
                <w:webHidden/>
              </w:rPr>
              <w:fldChar w:fldCharType="end"/>
            </w:r>
          </w:hyperlink>
        </w:p>
        <w:p w14:paraId="679F5CC8" w14:textId="430ADC4C" w:rsidR="0072150C" w:rsidRDefault="00FB657F">
          <w:pPr>
            <w:pStyle w:val="TOC2"/>
            <w:rPr>
              <w:rFonts w:cstheme="minorBidi"/>
              <w:noProof/>
              <w:kern w:val="2"/>
              <w:sz w:val="24"/>
              <w:szCs w:val="24"/>
              <w:lang w:val="en-IE" w:eastAsia="en-IE"/>
              <w14:ligatures w14:val="standardContextual"/>
            </w:rPr>
          </w:pPr>
          <w:hyperlink w:anchor="_Toc227935555" w:history="1">
            <w:r w:rsidR="0072150C" w:rsidRPr="004F4310">
              <w:rPr>
                <w:rStyle w:val="Hyperlink"/>
                <w:noProof/>
              </w:rPr>
              <w:t>6</w:t>
            </w:r>
            <w:r w:rsidR="0072150C" w:rsidRPr="00327E20">
              <w:rPr>
                <w:rStyle w:val="Hyperlink"/>
                <w:noProof/>
              </w:rPr>
              <w:t>.</w:t>
            </w:r>
            <w:r w:rsidR="0072150C" w:rsidRPr="004F4310">
              <w:rPr>
                <w:rStyle w:val="Hyperlink"/>
                <w:noProof/>
              </w:rPr>
              <w:t>1</w:t>
            </w:r>
            <w:r w:rsidR="0072150C">
              <w:rPr>
                <w:rFonts w:cstheme="minorBidi"/>
                <w:noProof/>
                <w:kern w:val="2"/>
                <w:sz w:val="24"/>
                <w:szCs w:val="24"/>
                <w:lang w:val="en-IE" w:eastAsia="en-IE"/>
                <w14:ligatures w14:val="standardContextual"/>
              </w:rPr>
              <w:tab/>
            </w:r>
            <w:r w:rsidR="0072150C" w:rsidRPr="00327E20">
              <w:rPr>
                <w:rStyle w:val="Hyperlink"/>
                <w:noProof/>
              </w:rPr>
              <w:t>Stresul pieței la începutul pandemiei de COVID-</w:t>
            </w:r>
            <w:r w:rsidR="0072150C" w:rsidRPr="004F4310">
              <w:rPr>
                <w:rStyle w:val="Hyperlink"/>
                <w:noProof/>
              </w:rPr>
              <w:t>19</w:t>
            </w:r>
            <w:r w:rsidR="0072150C">
              <w:rPr>
                <w:noProof/>
                <w:webHidden/>
              </w:rPr>
              <w:tab/>
            </w:r>
            <w:r w:rsidR="0072150C">
              <w:rPr>
                <w:noProof/>
                <w:webHidden/>
              </w:rPr>
              <w:fldChar w:fldCharType="begin"/>
            </w:r>
            <w:r w:rsidR="0072150C">
              <w:rPr>
                <w:noProof/>
                <w:webHidden/>
              </w:rPr>
              <w:instrText xml:space="preserve"> PAGEREF _Toc227935555 \h </w:instrText>
            </w:r>
            <w:r w:rsidR="0072150C">
              <w:rPr>
                <w:noProof/>
                <w:webHidden/>
              </w:rPr>
            </w:r>
            <w:r w:rsidR="0072150C">
              <w:rPr>
                <w:noProof/>
                <w:webHidden/>
              </w:rPr>
              <w:fldChar w:fldCharType="separate"/>
            </w:r>
            <w:r w:rsidR="004F4310">
              <w:rPr>
                <w:noProof/>
                <w:webHidden/>
              </w:rPr>
              <w:t>16</w:t>
            </w:r>
            <w:r w:rsidR="0072150C">
              <w:rPr>
                <w:noProof/>
                <w:webHidden/>
              </w:rPr>
              <w:fldChar w:fldCharType="end"/>
            </w:r>
          </w:hyperlink>
        </w:p>
        <w:p w14:paraId="67B754E6" w14:textId="57706139" w:rsidR="0072150C" w:rsidRDefault="00FB657F">
          <w:pPr>
            <w:pStyle w:val="TOC3"/>
            <w:rPr>
              <w:rFonts w:asciiTheme="minorHAnsi" w:hAnsiTheme="minorHAnsi" w:cstheme="minorBidi"/>
              <w:b w:val="0"/>
              <w:kern w:val="2"/>
              <w:lang w:val="en-IE" w:eastAsia="en-IE"/>
              <w14:ligatures w14:val="standardContextual"/>
            </w:rPr>
          </w:pPr>
          <w:hyperlink w:anchor="_Toc227935556" w:history="1">
            <w:r w:rsidR="0072150C" w:rsidRPr="004F4310">
              <w:rPr>
                <w:rStyle w:val="Hyperlink"/>
                <w:bCs/>
              </w:rPr>
              <w:t>6</w:t>
            </w:r>
            <w:r w:rsidR="0072150C" w:rsidRPr="00327E20">
              <w:rPr>
                <w:rStyle w:val="Hyperlink"/>
                <w:bCs/>
              </w:rPr>
              <w:t>.</w:t>
            </w:r>
            <w:r w:rsidR="0072150C" w:rsidRPr="004F4310">
              <w:rPr>
                <w:rStyle w:val="Hyperlink"/>
                <w:bCs/>
              </w:rPr>
              <w:t>1</w:t>
            </w:r>
            <w:r w:rsidR="0072150C" w:rsidRPr="00327E20">
              <w:rPr>
                <w:rStyle w:val="Hyperlink"/>
                <w:bCs/>
              </w:rPr>
              <w:t>.</w:t>
            </w:r>
            <w:r w:rsidR="0072150C" w:rsidRPr="004F4310">
              <w:rPr>
                <w:rStyle w:val="Hyperlink"/>
                <w:bCs/>
              </w:rPr>
              <w:t>1</w:t>
            </w:r>
            <w:r w:rsidR="0072150C">
              <w:rPr>
                <w:rFonts w:asciiTheme="minorHAnsi" w:hAnsiTheme="minorHAnsi" w:cstheme="minorBidi"/>
                <w:b w:val="0"/>
                <w:kern w:val="2"/>
                <w:lang w:val="en-IE" w:eastAsia="en-IE"/>
                <w14:ligatures w14:val="standardContextual"/>
              </w:rPr>
              <w:tab/>
            </w:r>
            <w:r w:rsidR="0072150C" w:rsidRPr="00327E20">
              <w:rPr>
                <w:rStyle w:val="Hyperlink"/>
              </w:rPr>
              <w:t>Impactul asupra pieței în ansamblu</w:t>
            </w:r>
            <w:r w:rsidR="0072150C">
              <w:rPr>
                <w:webHidden/>
              </w:rPr>
              <w:tab/>
            </w:r>
            <w:r w:rsidR="0072150C">
              <w:rPr>
                <w:webHidden/>
              </w:rPr>
              <w:fldChar w:fldCharType="begin"/>
            </w:r>
            <w:r w:rsidR="0072150C">
              <w:rPr>
                <w:webHidden/>
              </w:rPr>
              <w:instrText xml:space="preserve"> PAGEREF _Toc227935556 \h </w:instrText>
            </w:r>
            <w:r w:rsidR="0072150C">
              <w:rPr>
                <w:webHidden/>
              </w:rPr>
            </w:r>
            <w:r w:rsidR="0072150C">
              <w:rPr>
                <w:webHidden/>
              </w:rPr>
              <w:fldChar w:fldCharType="separate"/>
            </w:r>
            <w:r w:rsidR="004F4310">
              <w:rPr>
                <w:webHidden/>
              </w:rPr>
              <w:t>16</w:t>
            </w:r>
            <w:r w:rsidR="0072150C">
              <w:rPr>
                <w:webHidden/>
              </w:rPr>
              <w:fldChar w:fldCharType="end"/>
            </w:r>
          </w:hyperlink>
        </w:p>
        <w:p w14:paraId="7F40D923" w14:textId="295AA975" w:rsidR="0072150C" w:rsidRDefault="00FB657F">
          <w:pPr>
            <w:pStyle w:val="TOC3"/>
            <w:rPr>
              <w:rFonts w:asciiTheme="minorHAnsi" w:hAnsiTheme="minorHAnsi" w:cstheme="minorBidi"/>
              <w:b w:val="0"/>
              <w:kern w:val="2"/>
              <w:lang w:val="en-IE" w:eastAsia="en-IE"/>
              <w14:ligatures w14:val="standardContextual"/>
            </w:rPr>
          </w:pPr>
          <w:hyperlink w:anchor="_Toc227935557" w:history="1">
            <w:r w:rsidR="0072150C" w:rsidRPr="004F4310">
              <w:rPr>
                <w:rStyle w:val="Hyperlink"/>
                <w:bCs/>
              </w:rPr>
              <w:t>6</w:t>
            </w:r>
            <w:r w:rsidR="0072150C" w:rsidRPr="00327E20">
              <w:rPr>
                <w:rStyle w:val="Hyperlink"/>
                <w:bCs/>
              </w:rPr>
              <w:t>.</w:t>
            </w:r>
            <w:r w:rsidR="0072150C" w:rsidRPr="004F4310">
              <w:rPr>
                <w:rStyle w:val="Hyperlink"/>
                <w:bCs/>
              </w:rPr>
              <w:t>1</w:t>
            </w:r>
            <w:r w:rsidR="0072150C" w:rsidRPr="00327E20">
              <w:rPr>
                <w:rStyle w:val="Hyperlink"/>
                <w:bCs/>
              </w:rPr>
              <w:t>.</w:t>
            </w:r>
            <w:r w:rsidR="0072150C" w:rsidRPr="004F4310">
              <w:rPr>
                <w:rStyle w:val="Hyperlink"/>
                <w:bCs/>
              </w:rPr>
              <w:t>2</w:t>
            </w:r>
            <w:r w:rsidR="0072150C">
              <w:rPr>
                <w:rFonts w:asciiTheme="minorHAnsi" w:hAnsiTheme="minorHAnsi" w:cstheme="minorBidi"/>
                <w:b w:val="0"/>
                <w:kern w:val="2"/>
                <w:lang w:val="en-IE" w:eastAsia="en-IE"/>
                <w14:ligatures w14:val="standardContextual"/>
              </w:rPr>
              <w:tab/>
            </w:r>
            <w:r w:rsidR="0072150C" w:rsidRPr="00327E20">
              <w:rPr>
                <w:rStyle w:val="Hyperlink"/>
              </w:rPr>
              <w:t>Efecte și reacții inegale între FPM</w:t>
            </w:r>
            <w:r w:rsidR="0072150C">
              <w:rPr>
                <w:webHidden/>
              </w:rPr>
              <w:tab/>
            </w:r>
            <w:r w:rsidR="0072150C">
              <w:rPr>
                <w:webHidden/>
              </w:rPr>
              <w:fldChar w:fldCharType="begin"/>
            </w:r>
            <w:r w:rsidR="0072150C">
              <w:rPr>
                <w:webHidden/>
              </w:rPr>
              <w:instrText xml:space="preserve"> PAGEREF _Toc227935557 \h </w:instrText>
            </w:r>
            <w:r w:rsidR="0072150C">
              <w:rPr>
                <w:webHidden/>
              </w:rPr>
            </w:r>
            <w:r w:rsidR="0072150C">
              <w:rPr>
                <w:webHidden/>
              </w:rPr>
              <w:fldChar w:fldCharType="separate"/>
            </w:r>
            <w:r w:rsidR="004F4310">
              <w:rPr>
                <w:webHidden/>
              </w:rPr>
              <w:t>16</w:t>
            </w:r>
            <w:r w:rsidR="0072150C">
              <w:rPr>
                <w:webHidden/>
              </w:rPr>
              <w:fldChar w:fldCharType="end"/>
            </w:r>
          </w:hyperlink>
        </w:p>
        <w:p w14:paraId="75D70EE5" w14:textId="06C09F83" w:rsidR="0072150C" w:rsidRDefault="00FB657F">
          <w:pPr>
            <w:pStyle w:val="TOC2"/>
            <w:rPr>
              <w:rFonts w:cstheme="minorBidi"/>
              <w:noProof/>
              <w:kern w:val="2"/>
              <w:sz w:val="24"/>
              <w:szCs w:val="24"/>
              <w:lang w:val="en-IE" w:eastAsia="en-IE"/>
              <w14:ligatures w14:val="standardContextual"/>
            </w:rPr>
          </w:pPr>
          <w:hyperlink w:anchor="_Toc227935558" w:history="1">
            <w:r w:rsidR="0072150C" w:rsidRPr="004F4310">
              <w:rPr>
                <w:rStyle w:val="Hyperlink"/>
                <w:noProof/>
              </w:rPr>
              <w:t>6</w:t>
            </w:r>
            <w:r w:rsidR="0072150C" w:rsidRPr="00327E20">
              <w:rPr>
                <w:rStyle w:val="Hyperlink"/>
                <w:noProof/>
              </w:rPr>
              <w:t>.</w:t>
            </w:r>
            <w:r w:rsidR="0072150C" w:rsidRPr="004F4310">
              <w:rPr>
                <w:rStyle w:val="Hyperlink"/>
                <w:noProof/>
              </w:rPr>
              <w:t>2</w:t>
            </w:r>
            <w:r w:rsidR="0072150C">
              <w:rPr>
                <w:rFonts w:cstheme="minorBidi"/>
                <w:noProof/>
                <w:kern w:val="2"/>
                <w:sz w:val="24"/>
                <w:szCs w:val="24"/>
                <w:lang w:val="en-IE" w:eastAsia="en-IE"/>
                <w14:ligatures w14:val="standardContextual"/>
              </w:rPr>
              <w:tab/>
            </w:r>
            <w:r w:rsidR="0072150C" w:rsidRPr="00327E20">
              <w:rPr>
                <w:rStyle w:val="Hyperlink"/>
                <w:noProof/>
              </w:rPr>
              <w:t>Evenimentul de piață legat de strategiile de investiții bazate pe pasive</w:t>
            </w:r>
            <w:r w:rsidR="0072150C">
              <w:rPr>
                <w:noProof/>
                <w:webHidden/>
              </w:rPr>
              <w:tab/>
            </w:r>
            <w:r w:rsidR="0072150C">
              <w:rPr>
                <w:noProof/>
                <w:webHidden/>
              </w:rPr>
              <w:fldChar w:fldCharType="begin"/>
            </w:r>
            <w:r w:rsidR="0072150C">
              <w:rPr>
                <w:noProof/>
                <w:webHidden/>
              </w:rPr>
              <w:instrText xml:space="preserve"> PAGEREF _Toc227935558 \h </w:instrText>
            </w:r>
            <w:r w:rsidR="0072150C">
              <w:rPr>
                <w:noProof/>
                <w:webHidden/>
              </w:rPr>
            </w:r>
            <w:r w:rsidR="0072150C">
              <w:rPr>
                <w:noProof/>
                <w:webHidden/>
              </w:rPr>
              <w:fldChar w:fldCharType="separate"/>
            </w:r>
            <w:r w:rsidR="004F4310">
              <w:rPr>
                <w:noProof/>
                <w:webHidden/>
              </w:rPr>
              <w:t>17</w:t>
            </w:r>
            <w:r w:rsidR="0072150C">
              <w:rPr>
                <w:noProof/>
                <w:webHidden/>
              </w:rPr>
              <w:fldChar w:fldCharType="end"/>
            </w:r>
          </w:hyperlink>
        </w:p>
        <w:p w14:paraId="566358B5" w14:textId="2C6C5F9A" w:rsidR="0072150C" w:rsidRDefault="00FB657F">
          <w:pPr>
            <w:pStyle w:val="TOC1"/>
            <w:rPr>
              <w:rFonts w:asciiTheme="minorHAnsi" w:hAnsiTheme="minorHAnsi" w:cstheme="minorBidi"/>
              <w:b w:val="0"/>
              <w:bCs w:val="0"/>
              <w:kern w:val="2"/>
              <w:sz w:val="24"/>
              <w:szCs w:val="24"/>
              <w:lang w:val="en-IE" w:eastAsia="en-IE"/>
              <w14:ligatures w14:val="standardContextual"/>
            </w:rPr>
          </w:pPr>
          <w:hyperlink w:anchor="_Toc227935559" w:history="1">
            <w:r w:rsidR="0072150C" w:rsidRPr="004F4310">
              <w:rPr>
                <w:rStyle w:val="Hyperlink"/>
              </w:rPr>
              <w:t>7</w:t>
            </w:r>
            <w:r w:rsidR="0072150C">
              <w:rPr>
                <w:rFonts w:asciiTheme="minorHAnsi" w:hAnsiTheme="minorHAnsi" w:cstheme="minorBidi"/>
                <w:b w:val="0"/>
                <w:bCs w:val="0"/>
                <w:kern w:val="2"/>
                <w:sz w:val="24"/>
                <w:szCs w:val="24"/>
                <w:lang w:val="en-IE" w:eastAsia="en-IE"/>
                <w14:ligatures w14:val="standardContextual"/>
              </w:rPr>
              <w:tab/>
            </w:r>
            <w:r w:rsidR="0072150C" w:rsidRPr="00327E20">
              <w:rPr>
                <w:rStyle w:val="Hyperlink"/>
              </w:rPr>
              <w:t>ANEXA III: NIVELURILE DE REZILIENȚĂ A PIEȚEI</w:t>
            </w:r>
            <w:r w:rsidR="0072150C">
              <w:rPr>
                <w:webHidden/>
              </w:rPr>
              <w:tab/>
            </w:r>
            <w:r w:rsidR="0072150C">
              <w:rPr>
                <w:webHidden/>
              </w:rPr>
              <w:fldChar w:fldCharType="begin"/>
            </w:r>
            <w:r w:rsidR="0072150C">
              <w:rPr>
                <w:webHidden/>
              </w:rPr>
              <w:instrText xml:space="preserve"> PAGEREF _Toc227935559 \h </w:instrText>
            </w:r>
            <w:r w:rsidR="0072150C">
              <w:rPr>
                <w:webHidden/>
              </w:rPr>
            </w:r>
            <w:r w:rsidR="0072150C">
              <w:rPr>
                <w:webHidden/>
              </w:rPr>
              <w:fldChar w:fldCharType="separate"/>
            </w:r>
            <w:r w:rsidR="004F4310">
              <w:rPr>
                <w:webHidden/>
              </w:rPr>
              <w:t>20</w:t>
            </w:r>
            <w:r w:rsidR="0072150C">
              <w:rPr>
                <w:webHidden/>
              </w:rPr>
              <w:fldChar w:fldCharType="end"/>
            </w:r>
          </w:hyperlink>
        </w:p>
        <w:p w14:paraId="3C4EF8C9" w14:textId="4C93EB57" w:rsidR="0072150C" w:rsidRDefault="00FB657F">
          <w:pPr>
            <w:pStyle w:val="TOC2"/>
            <w:rPr>
              <w:rFonts w:cstheme="minorBidi"/>
              <w:noProof/>
              <w:kern w:val="2"/>
              <w:sz w:val="24"/>
              <w:szCs w:val="24"/>
              <w:lang w:val="en-IE" w:eastAsia="en-IE"/>
              <w14:ligatures w14:val="standardContextual"/>
            </w:rPr>
          </w:pPr>
          <w:hyperlink w:anchor="_Toc227935560" w:history="1">
            <w:r w:rsidR="0072150C" w:rsidRPr="004F4310">
              <w:rPr>
                <w:rStyle w:val="Hyperlink"/>
                <w:noProof/>
              </w:rPr>
              <w:t>7</w:t>
            </w:r>
            <w:r w:rsidR="0072150C" w:rsidRPr="00327E20">
              <w:rPr>
                <w:rStyle w:val="Hyperlink"/>
                <w:noProof/>
              </w:rPr>
              <w:t>.</w:t>
            </w:r>
            <w:r w:rsidR="0072150C" w:rsidRPr="004F4310">
              <w:rPr>
                <w:rStyle w:val="Hyperlink"/>
                <w:noProof/>
              </w:rPr>
              <w:t>1</w:t>
            </w:r>
            <w:r w:rsidR="0072150C">
              <w:rPr>
                <w:rFonts w:cstheme="minorBidi"/>
                <w:noProof/>
                <w:kern w:val="2"/>
                <w:sz w:val="24"/>
                <w:szCs w:val="24"/>
                <w:lang w:val="en-IE" w:eastAsia="en-IE"/>
                <w14:ligatures w14:val="standardContextual"/>
              </w:rPr>
              <w:tab/>
            </w:r>
            <w:r w:rsidR="0072150C" w:rsidRPr="00327E20">
              <w:rPr>
                <w:rStyle w:val="Hyperlink"/>
                <w:noProof/>
              </w:rPr>
              <w:t>Calibrarea șocurilor de răscumpărare</w:t>
            </w:r>
            <w:r w:rsidR="0072150C">
              <w:rPr>
                <w:noProof/>
                <w:webHidden/>
              </w:rPr>
              <w:tab/>
            </w:r>
            <w:r w:rsidR="0072150C">
              <w:rPr>
                <w:noProof/>
                <w:webHidden/>
              </w:rPr>
              <w:fldChar w:fldCharType="begin"/>
            </w:r>
            <w:r w:rsidR="0072150C">
              <w:rPr>
                <w:noProof/>
                <w:webHidden/>
              </w:rPr>
              <w:instrText xml:space="preserve"> PAGEREF _Toc227935560 \h </w:instrText>
            </w:r>
            <w:r w:rsidR="0072150C">
              <w:rPr>
                <w:noProof/>
                <w:webHidden/>
              </w:rPr>
            </w:r>
            <w:r w:rsidR="0072150C">
              <w:rPr>
                <w:noProof/>
                <w:webHidden/>
              </w:rPr>
              <w:fldChar w:fldCharType="separate"/>
            </w:r>
            <w:r w:rsidR="004F4310">
              <w:rPr>
                <w:noProof/>
                <w:webHidden/>
              </w:rPr>
              <w:t>20</w:t>
            </w:r>
            <w:r w:rsidR="0072150C">
              <w:rPr>
                <w:noProof/>
                <w:webHidden/>
              </w:rPr>
              <w:fldChar w:fldCharType="end"/>
            </w:r>
          </w:hyperlink>
        </w:p>
        <w:p w14:paraId="3CAB197A" w14:textId="68DCE0DC" w:rsidR="0072150C" w:rsidRDefault="00FB657F">
          <w:pPr>
            <w:pStyle w:val="TOC2"/>
            <w:rPr>
              <w:rFonts w:cstheme="minorBidi"/>
              <w:noProof/>
              <w:kern w:val="2"/>
              <w:sz w:val="24"/>
              <w:szCs w:val="24"/>
              <w:lang w:val="en-IE" w:eastAsia="en-IE"/>
              <w14:ligatures w14:val="standardContextual"/>
            </w:rPr>
          </w:pPr>
          <w:hyperlink w:anchor="_Toc227935561" w:history="1">
            <w:r w:rsidR="0072150C" w:rsidRPr="004F4310">
              <w:rPr>
                <w:rStyle w:val="Hyperlink"/>
                <w:noProof/>
              </w:rPr>
              <w:t>7</w:t>
            </w:r>
            <w:r w:rsidR="0072150C" w:rsidRPr="00327E20">
              <w:rPr>
                <w:rStyle w:val="Hyperlink"/>
                <w:noProof/>
              </w:rPr>
              <w:t>.</w:t>
            </w:r>
            <w:r w:rsidR="0072150C" w:rsidRPr="004F4310">
              <w:rPr>
                <w:rStyle w:val="Hyperlink"/>
                <w:noProof/>
              </w:rPr>
              <w:t>2</w:t>
            </w:r>
            <w:r w:rsidR="0072150C">
              <w:rPr>
                <w:rFonts w:cstheme="minorBidi"/>
                <w:noProof/>
                <w:kern w:val="2"/>
                <w:sz w:val="24"/>
                <w:szCs w:val="24"/>
                <w:lang w:val="en-IE" w:eastAsia="en-IE"/>
                <w14:ligatures w14:val="standardContextual"/>
              </w:rPr>
              <w:tab/>
            </w:r>
            <w:r w:rsidR="0072150C" w:rsidRPr="00327E20">
              <w:rPr>
                <w:rStyle w:val="Hyperlink"/>
                <w:noProof/>
              </w:rPr>
              <w:t>Calibrarea „pragurilor de reziliență a pieței”</w:t>
            </w:r>
            <w:r w:rsidR="0072150C">
              <w:rPr>
                <w:noProof/>
                <w:webHidden/>
              </w:rPr>
              <w:tab/>
            </w:r>
            <w:r w:rsidR="0072150C">
              <w:rPr>
                <w:noProof/>
                <w:webHidden/>
              </w:rPr>
              <w:fldChar w:fldCharType="begin"/>
            </w:r>
            <w:r w:rsidR="0072150C">
              <w:rPr>
                <w:noProof/>
                <w:webHidden/>
              </w:rPr>
              <w:instrText xml:space="preserve"> PAGEREF _Toc227935561 \h </w:instrText>
            </w:r>
            <w:r w:rsidR="0072150C">
              <w:rPr>
                <w:noProof/>
                <w:webHidden/>
              </w:rPr>
            </w:r>
            <w:r w:rsidR="0072150C">
              <w:rPr>
                <w:noProof/>
                <w:webHidden/>
              </w:rPr>
              <w:fldChar w:fldCharType="separate"/>
            </w:r>
            <w:r w:rsidR="004F4310">
              <w:rPr>
                <w:noProof/>
                <w:webHidden/>
              </w:rPr>
              <w:t>20</w:t>
            </w:r>
            <w:r w:rsidR="0072150C">
              <w:rPr>
                <w:noProof/>
                <w:webHidden/>
              </w:rPr>
              <w:fldChar w:fldCharType="end"/>
            </w:r>
          </w:hyperlink>
        </w:p>
        <w:p w14:paraId="7CF3428C" w14:textId="0AFD2ABA" w:rsidR="00EB7D99" w:rsidRDefault="0E018B52" w:rsidP="00634628">
          <w:pPr>
            <w:pStyle w:val="TOC2"/>
            <w:tabs>
              <w:tab w:val="left" w:pos="660"/>
            </w:tabs>
            <w:rPr>
              <w:rStyle w:val="Hyperlink"/>
              <w:noProof/>
            </w:rPr>
          </w:pPr>
          <w:r>
            <w:rPr>
              <w:noProof/>
            </w:rPr>
            <w:fldChar w:fldCharType="end"/>
          </w:r>
        </w:p>
      </w:sdtContent>
    </w:sdt>
    <w:p w14:paraId="524EFE00" w14:textId="1B4CF849" w:rsidR="0CF9C8C5" w:rsidRPr="00C82DFF" w:rsidRDefault="0CF9C8C5" w:rsidP="0CF9C8C5">
      <w:pPr>
        <w:pStyle w:val="TOC2"/>
        <w:tabs>
          <w:tab w:val="clear" w:pos="9062"/>
          <w:tab w:val="left" w:pos="660"/>
          <w:tab w:val="right" w:leader="dot" w:pos="9060"/>
        </w:tabs>
        <w:rPr>
          <w:rStyle w:val="Hyperlink"/>
          <w:rFonts w:ascii="Times New Roman" w:hAnsi="Times New Roman"/>
          <w:b/>
          <w:bCs/>
          <w:noProof/>
        </w:rPr>
      </w:pPr>
    </w:p>
    <w:p w14:paraId="18B31C8F" w14:textId="4391BDA6" w:rsidR="00836507" w:rsidRPr="00C82DFF" w:rsidRDefault="00836507">
      <w:pPr>
        <w:rPr>
          <w:noProof/>
        </w:rPr>
      </w:pPr>
    </w:p>
    <w:p w14:paraId="21553EB4" w14:textId="0EA4D519" w:rsidR="003C7387" w:rsidRPr="00D255B3" w:rsidRDefault="003C7387" w:rsidP="00D255B3">
      <w:pPr>
        <w:pStyle w:val="Heading1"/>
        <w:numPr>
          <w:ilvl w:val="0"/>
          <w:numId w:val="0"/>
        </w:numPr>
        <w:spacing w:before="360" w:after="360"/>
        <w:rPr>
          <w:rFonts w:ascii="Times New Roman" w:hAnsi="Times New Roman" w:cs="Times New Roman"/>
          <w:b/>
          <w:bCs/>
          <w:noProof/>
          <w:color w:val="auto"/>
          <w:sz w:val="22"/>
          <w:szCs w:val="22"/>
        </w:rPr>
      </w:pPr>
      <w:r>
        <w:rPr>
          <w:noProof/>
        </w:rPr>
        <w:br w:type="page"/>
      </w:r>
      <w:bookmarkStart w:id="10" w:name="_Toc17730530"/>
      <w:bookmarkStart w:id="11" w:name="_Toc227935544"/>
      <w:r>
        <w:rPr>
          <w:rFonts w:ascii="Times New Roman" w:hAnsi="Times New Roman"/>
          <w:b/>
          <w:noProof/>
          <w:color w:val="auto"/>
          <w:sz w:val="22"/>
        </w:rPr>
        <w:t>ABREVIERI</w:t>
      </w:r>
      <w:bookmarkEnd w:id="10"/>
      <w:bookmarkEnd w:id="11"/>
      <w:bookmarkEnd w:id="9"/>
      <w:r>
        <w:rPr>
          <w:rFonts w:ascii="Times New Roman" w:hAnsi="Times New Roman"/>
          <w:b/>
          <w:noProof/>
          <w:color w:val="auto"/>
          <w:sz w:val="22"/>
        </w:rPr>
        <w:t xml:space="preserve"> </w:t>
      </w:r>
    </w:p>
    <w:p w14:paraId="3916CD48" w14:textId="77777777" w:rsidR="003C7387" w:rsidRPr="00C82DFF" w:rsidRDefault="003C7387" w:rsidP="003C7387">
      <w:pPr>
        <w:spacing w:after="0" w:line="240" w:lineRule="auto"/>
        <w:jc w:val="both"/>
        <w:rPr>
          <w:rFonts w:ascii="Times New Roman" w:eastAsiaTheme="majorEastAsia" w:hAnsi="Times New Roman" w:cs="Times New Roman"/>
          <w:noProof/>
        </w:rPr>
      </w:pPr>
    </w:p>
    <w:p w14:paraId="3ACE1B93" w14:textId="5B513E08" w:rsidR="003C7387" w:rsidRPr="00C82DFF" w:rsidRDefault="00A05D45"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DAFIA </w:t>
      </w:r>
      <w:r>
        <w:rPr>
          <w:noProof/>
        </w:rPr>
        <w:tab/>
      </w:r>
      <w:r>
        <w:rPr>
          <w:rFonts w:ascii="Times New Roman" w:hAnsi="Times New Roman"/>
          <w:noProof/>
        </w:rPr>
        <w:t>Directiva privind administratorii fondurilor de investiții alternative</w:t>
      </w:r>
    </w:p>
    <w:p w14:paraId="100496C5" w14:textId="55C88C53" w:rsidR="003C7387" w:rsidRPr="00C82DFF" w:rsidRDefault="003C7387" w:rsidP="002E1D5E">
      <w:pPr>
        <w:tabs>
          <w:tab w:val="left" w:pos="1985"/>
        </w:tabs>
        <w:spacing w:after="120" w:line="240" w:lineRule="auto"/>
        <w:ind w:left="1985" w:hanging="1985"/>
        <w:jc w:val="both"/>
        <w:rPr>
          <w:rFonts w:ascii="Times New Roman" w:eastAsia="Times New Roman" w:hAnsi="Times New Roman" w:cs="Times New Roman"/>
          <w:noProof/>
        </w:rPr>
      </w:pPr>
      <w:r>
        <w:rPr>
          <w:rFonts w:ascii="Times New Roman" w:hAnsi="Times New Roman"/>
          <w:noProof/>
        </w:rPr>
        <w:t>FPM cu VAN constantă</w:t>
      </w:r>
      <w:r>
        <w:rPr>
          <w:noProof/>
        </w:rPr>
        <w:tab/>
      </w:r>
      <w:r>
        <w:rPr>
          <w:rFonts w:ascii="Times New Roman" w:hAnsi="Times New Roman"/>
          <w:noProof/>
        </w:rPr>
        <w:t>FPM cu valoare constantă a activului net pentru datoria publică, astfel cum este definit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11</w:t>
      </w:r>
      <w:r>
        <w:rPr>
          <w:rFonts w:ascii="Times New Roman" w:hAnsi="Times New Roman"/>
          <w:noProof/>
        </w:rPr>
        <w:t>) din Regulamentul privind FPM</w:t>
      </w:r>
    </w:p>
    <w:p w14:paraId="11D7BA0F" w14:textId="304810B8" w:rsidR="009B758B" w:rsidRPr="00C82DFF" w:rsidRDefault="009B758B"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DLA</w:t>
      </w:r>
      <w:r>
        <w:rPr>
          <w:noProof/>
        </w:rPr>
        <w:tab/>
      </w:r>
      <w:r>
        <w:rPr>
          <w:rFonts w:ascii="Times New Roman" w:hAnsi="Times New Roman"/>
          <w:noProof/>
        </w:rPr>
        <w:t>Active lichide cu scadență zilnică, în conformitate cu cerințele prevăzute la articolul </w:t>
      </w:r>
      <w:r w:rsidRPr="004F4310">
        <w:rPr>
          <w:rFonts w:ascii="Times New Roman" w:hAnsi="Times New Roman"/>
          <w:noProof/>
        </w:rPr>
        <w:t>24</w:t>
      </w:r>
      <w:r>
        <w:rPr>
          <w:rFonts w:ascii="Times New Roman" w:hAnsi="Times New Roman"/>
          <w:noProof/>
        </w:rPr>
        <w:t xml:space="preserve"> alineatul (</w:t>
      </w:r>
      <w:r w:rsidRPr="004F4310">
        <w:rPr>
          <w:rFonts w:ascii="Times New Roman" w:hAnsi="Times New Roman"/>
          <w:noProof/>
        </w:rPr>
        <w:t>1</w:t>
      </w:r>
      <w:r>
        <w:rPr>
          <w:rFonts w:ascii="Times New Roman" w:hAnsi="Times New Roman"/>
          <w:noProof/>
        </w:rPr>
        <w:t>) literele (c) și (d) și la articolul </w:t>
      </w:r>
      <w:r w:rsidRPr="004F4310">
        <w:rPr>
          <w:rFonts w:ascii="Times New Roman" w:hAnsi="Times New Roman"/>
          <w:noProof/>
        </w:rPr>
        <w:t>25</w:t>
      </w:r>
      <w:r>
        <w:rPr>
          <w:rFonts w:ascii="Times New Roman" w:hAnsi="Times New Roman"/>
          <w:noProof/>
        </w:rPr>
        <w:t xml:space="preserve"> alineatul (</w:t>
      </w:r>
      <w:r w:rsidRPr="004F4310">
        <w:rPr>
          <w:rFonts w:ascii="Times New Roman" w:hAnsi="Times New Roman"/>
          <w:noProof/>
        </w:rPr>
        <w:t>1</w:t>
      </w:r>
      <w:r>
        <w:rPr>
          <w:rFonts w:ascii="Times New Roman" w:hAnsi="Times New Roman"/>
          <w:noProof/>
        </w:rPr>
        <w:t xml:space="preserve">) litera (c) din Regulamentul privind FPM </w:t>
      </w:r>
    </w:p>
    <w:p w14:paraId="1B18B82B" w14:textId="0F97E19F"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BCE </w:t>
      </w:r>
      <w:r>
        <w:rPr>
          <w:noProof/>
        </w:rPr>
        <w:tab/>
      </w:r>
      <w:r>
        <w:rPr>
          <w:rFonts w:ascii="Times New Roman" w:hAnsi="Times New Roman"/>
          <w:noProof/>
        </w:rPr>
        <w:t>Banca Centrală Europeană</w:t>
      </w:r>
    </w:p>
    <w:p w14:paraId="1E5E10BB" w14:textId="4C98CB7A" w:rsidR="003C7387" w:rsidRPr="00C82DFF" w:rsidRDefault="00A05D45"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ESMA</w:t>
      </w:r>
      <w:r>
        <w:rPr>
          <w:noProof/>
        </w:rPr>
        <w:tab/>
      </w:r>
      <w:r>
        <w:rPr>
          <w:rFonts w:ascii="Times New Roman" w:hAnsi="Times New Roman"/>
          <w:noProof/>
        </w:rPr>
        <w:t>Autoritatea Europeană pentru Valori Mobiliare și Piețe</w:t>
      </w:r>
    </w:p>
    <w:p w14:paraId="19B497E0" w14:textId="6D903E2A"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CERS</w:t>
      </w:r>
      <w:r>
        <w:rPr>
          <w:noProof/>
        </w:rPr>
        <w:tab/>
      </w:r>
      <w:r>
        <w:rPr>
          <w:rFonts w:ascii="Times New Roman" w:hAnsi="Times New Roman"/>
          <w:noProof/>
        </w:rPr>
        <w:t>Comitetul european pentru risc sistemic</w:t>
      </w:r>
    </w:p>
    <w:p w14:paraId="403319DB" w14:textId="641ACCEA"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EUR</w:t>
      </w:r>
      <w:r>
        <w:rPr>
          <w:noProof/>
        </w:rPr>
        <w:tab/>
      </w:r>
      <w:r>
        <w:rPr>
          <w:rFonts w:ascii="Times New Roman" w:hAnsi="Times New Roman"/>
          <w:noProof/>
        </w:rPr>
        <w:t>Euro</w:t>
      </w:r>
    </w:p>
    <w:p w14:paraId="0373CA38" w14:textId="3307EA2E"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CSF</w:t>
      </w:r>
      <w:r>
        <w:rPr>
          <w:noProof/>
        </w:rPr>
        <w:tab/>
      </w:r>
      <w:r>
        <w:rPr>
          <w:rFonts w:ascii="Times New Roman" w:hAnsi="Times New Roman"/>
          <w:noProof/>
        </w:rPr>
        <w:t>Consiliul pentru Stabilitate Financiară</w:t>
      </w:r>
    </w:p>
    <w:p w14:paraId="0C2169CA" w14:textId="32C63DD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GBP</w:t>
      </w:r>
      <w:r>
        <w:rPr>
          <w:noProof/>
        </w:rPr>
        <w:tab/>
      </w:r>
      <w:r>
        <w:rPr>
          <w:rFonts w:ascii="Times New Roman" w:hAnsi="Times New Roman"/>
          <w:noProof/>
        </w:rPr>
        <w:t>Liră sterlină</w:t>
      </w:r>
    </w:p>
    <w:p w14:paraId="16C523C0" w14:textId="626236E3" w:rsidR="009A782A" w:rsidRPr="00C82DFF" w:rsidRDefault="009A782A"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LMT</w:t>
      </w:r>
      <w:r>
        <w:rPr>
          <w:noProof/>
        </w:rPr>
        <w:tab/>
      </w:r>
      <w:r>
        <w:rPr>
          <w:rFonts w:ascii="Times New Roman" w:hAnsi="Times New Roman"/>
          <w:noProof/>
        </w:rPr>
        <w:t>Instrument de gestionare a lichidităților</w:t>
      </w:r>
    </w:p>
    <w:p w14:paraId="78E41AA2" w14:textId="053B86F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FPM cu VAN cu volatilitate scăzută</w:t>
      </w:r>
      <w:r>
        <w:rPr>
          <w:noProof/>
        </w:rPr>
        <w:tab/>
      </w:r>
      <w:r>
        <w:rPr>
          <w:rFonts w:ascii="Times New Roman" w:hAnsi="Times New Roman"/>
          <w:noProof/>
        </w:rPr>
        <w:t>FPM cu valoarea activului net cu volatilitate scăzută, astfel cum sunt definite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12</w:t>
      </w:r>
      <w:r>
        <w:rPr>
          <w:rFonts w:ascii="Times New Roman" w:hAnsi="Times New Roman"/>
          <w:noProof/>
        </w:rPr>
        <w:t>) din Regulamentul privind FPM</w:t>
      </w:r>
    </w:p>
    <w:p w14:paraId="044E01BC" w14:textId="57B61523" w:rsidR="00823E6D" w:rsidRPr="00C82DFF" w:rsidRDefault="00823E6D"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LRM</w:t>
      </w:r>
      <w:r>
        <w:rPr>
          <w:noProof/>
        </w:rPr>
        <w:tab/>
      </w:r>
      <w:r>
        <w:rPr>
          <w:rFonts w:ascii="Times New Roman" w:hAnsi="Times New Roman"/>
          <w:noProof/>
        </w:rPr>
        <w:t>Gestionarea riscului de lichiditate</w:t>
      </w:r>
    </w:p>
    <w:p w14:paraId="61DEB827" w14:textId="5F6AC16F" w:rsidR="003C7387" w:rsidRPr="00C82DFF" w:rsidRDefault="7B5E94B0"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FPM</w:t>
      </w:r>
      <w:r>
        <w:rPr>
          <w:noProof/>
        </w:rPr>
        <w:tab/>
      </w:r>
      <w:r>
        <w:rPr>
          <w:rFonts w:ascii="Times New Roman" w:hAnsi="Times New Roman"/>
          <w:noProof/>
        </w:rPr>
        <w:t>Fond de piață monetară.</w:t>
      </w:r>
      <w:r>
        <w:rPr>
          <w:noProof/>
        </w:rPr>
        <w:t xml:space="preserve"> </w:t>
      </w:r>
      <w:r>
        <w:rPr>
          <w:rFonts w:ascii="Times New Roman" w:hAnsi="Times New Roman"/>
          <w:noProof/>
        </w:rPr>
        <w:t>FPM se referă la fonduri cu sediul în UE, cu excepția cazului în care se prevede altfel (de exemplu, FPM din SUA).</w:t>
      </w:r>
    </w:p>
    <w:p w14:paraId="0E52F496" w14:textId="09BC210D" w:rsidR="001E233E" w:rsidRPr="00C82DFF" w:rsidRDefault="001E233E"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Administrator al unui FPM</w:t>
      </w:r>
      <w:r>
        <w:rPr>
          <w:noProof/>
        </w:rPr>
        <w:tab/>
      </w:r>
      <w:r>
        <w:rPr>
          <w:rFonts w:ascii="Times New Roman" w:hAnsi="Times New Roman"/>
          <w:noProof/>
        </w:rPr>
        <w:t>Administratorul unui FPM, astfel cum este definit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23</w:t>
      </w:r>
      <w:r>
        <w:rPr>
          <w:rFonts w:ascii="Times New Roman" w:hAnsi="Times New Roman"/>
          <w:noProof/>
        </w:rPr>
        <w:t>) din Regulamentul privind FPM</w:t>
      </w:r>
    </w:p>
    <w:p w14:paraId="384BA163" w14:textId="03E2D97F"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Regulamentul privind FPM</w:t>
      </w:r>
      <w:r>
        <w:rPr>
          <w:noProof/>
        </w:rPr>
        <w:tab/>
      </w:r>
      <w:r>
        <w:rPr>
          <w:rFonts w:ascii="Times New Roman" w:hAnsi="Times New Roman"/>
          <w:noProof/>
        </w:rPr>
        <w:t xml:space="preserve">Regulamentul (UE) </w:t>
      </w:r>
      <w:r w:rsidRPr="004F4310">
        <w:rPr>
          <w:rFonts w:ascii="Times New Roman" w:hAnsi="Times New Roman"/>
          <w:noProof/>
        </w:rPr>
        <w:t>2017</w:t>
      </w:r>
      <w:r>
        <w:rPr>
          <w:rFonts w:ascii="Times New Roman" w:hAnsi="Times New Roman"/>
          <w:noProof/>
        </w:rPr>
        <w:t>/</w:t>
      </w:r>
      <w:r w:rsidRPr="004F4310">
        <w:rPr>
          <w:rFonts w:ascii="Times New Roman" w:hAnsi="Times New Roman"/>
          <w:noProof/>
        </w:rPr>
        <w:t>1131</w:t>
      </w:r>
      <w:r>
        <w:rPr>
          <w:rFonts w:ascii="Times New Roman" w:hAnsi="Times New Roman"/>
          <w:noProof/>
        </w:rPr>
        <w:t xml:space="preserve"> privind fondurile de piață monetară </w:t>
      </w:r>
    </w:p>
    <w:p w14:paraId="487B180C" w14:textId="42F59A85"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VAN</w:t>
      </w:r>
      <w:r>
        <w:rPr>
          <w:noProof/>
        </w:rPr>
        <w:tab/>
      </w:r>
      <w:r>
        <w:rPr>
          <w:rFonts w:ascii="Times New Roman" w:hAnsi="Times New Roman"/>
          <w:noProof/>
        </w:rPr>
        <w:t>Valoarea activului net</w:t>
      </w:r>
    </w:p>
    <w:p w14:paraId="35567055" w14:textId="7F6837C0"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ANC</w:t>
      </w:r>
      <w:r>
        <w:rPr>
          <w:noProof/>
        </w:rPr>
        <w:tab/>
      </w:r>
      <w:r>
        <w:rPr>
          <w:rFonts w:ascii="Times New Roman" w:hAnsi="Times New Roman"/>
          <w:noProof/>
        </w:rPr>
        <w:t>Autoritățile naționale competente, în calitate de autoritate competentă a FPM, astfel cum este definită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17</w:t>
      </w:r>
      <w:r>
        <w:rPr>
          <w:rFonts w:ascii="Times New Roman" w:hAnsi="Times New Roman"/>
          <w:noProof/>
        </w:rPr>
        <w:t>) din Regulamentul privind FPM</w:t>
      </w:r>
    </w:p>
    <w:p w14:paraId="08EA10A4" w14:textId="6ACDE510" w:rsidR="00D727EB" w:rsidRPr="00C82DFF" w:rsidRDefault="00D727EB"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UEI</w:t>
      </w:r>
      <w:r>
        <w:rPr>
          <w:noProof/>
        </w:rPr>
        <w:tab/>
      </w:r>
      <w:r>
        <w:rPr>
          <w:rFonts w:ascii="Times New Roman" w:hAnsi="Times New Roman"/>
          <w:noProof/>
        </w:rPr>
        <w:t>Uniunea economiilor și a investițiilor, o inițiativă a Comisiei Europene menită să creeze oportunități financiare mai bune pentru cetățenii UE, consolidând în același timp capacitatea sistemului financiar de a conecta economiile cu investițiile productive</w:t>
      </w:r>
    </w:p>
    <w:p w14:paraId="50203CE7" w14:textId="1F80FEB7"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USD </w:t>
      </w:r>
      <w:r>
        <w:rPr>
          <w:noProof/>
        </w:rPr>
        <w:tab/>
      </w:r>
      <w:r>
        <w:rPr>
          <w:rFonts w:ascii="Times New Roman" w:hAnsi="Times New Roman"/>
          <w:noProof/>
        </w:rPr>
        <w:t>Dolar SUA</w:t>
      </w:r>
    </w:p>
    <w:p w14:paraId="7FCD4374" w14:textId="5FE1A8C6"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OPCVM</w:t>
      </w:r>
      <w:r>
        <w:rPr>
          <w:noProof/>
        </w:rPr>
        <w:tab/>
      </w:r>
      <w:r>
        <w:rPr>
          <w:rFonts w:ascii="Times New Roman" w:hAnsi="Times New Roman"/>
          <w:noProof/>
        </w:rPr>
        <w:t>Organisme de plasament colectiv în valori mobiliare</w:t>
      </w:r>
    </w:p>
    <w:p w14:paraId="00A1BBAB" w14:textId="6A1DA41C"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FPM CU VAN VARIABILĂ</w:t>
      </w:r>
      <w:r>
        <w:rPr>
          <w:noProof/>
        </w:rPr>
        <w:tab/>
      </w:r>
      <w:r>
        <w:rPr>
          <w:rFonts w:ascii="Times New Roman" w:hAnsi="Times New Roman"/>
          <w:noProof/>
        </w:rPr>
        <w:t>FPM cu valoarea activului net variabilă, astfel cum este definit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13</w:t>
      </w:r>
      <w:r>
        <w:rPr>
          <w:rFonts w:ascii="Times New Roman" w:hAnsi="Times New Roman"/>
          <w:noProof/>
        </w:rPr>
        <w:t>) din Regulamentul privind FPM</w:t>
      </w:r>
    </w:p>
    <w:p w14:paraId="4A5D86A7" w14:textId="77191FA7" w:rsidR="00FA6F87" w:rsidRPr="00C82DFF" w:rsidRDefault="00FA6F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WAL</w:t>
      </w:r>
      <w:r>
        <w:rPr>
          <w:noProof/>
        </w:rPr>
        <w:tab/>
      </w:r>
      <w:r>
        <w:rPr>
          <w:rFonts w:ascii="Times New Roman" w:hAnsi="Times New Roman"/>
          <w:noProof/>
        </w:rPr>
        <w:t>Durata de viață medie ponderată, astfel cum este definită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20</w:t>
      </w:r>
      <w:r>
        <w:rPr>
          <w:rFonts w:ascii="Times New Roman" w:hAnsi="Times New Roman"/>
          <w:noProof/>
        </w:rPr>
        <w:t xml:space="preserve">) din Regulamentul privind FPM </w:t>
      </w:r>
    </w:p>
    <w:p w14:paraId="09300A3C" w14:textId="19E04800" w:rsidR="00FA6F87" w:rsidRPr="00C82DFF" w:rsidRDefault="00FA6F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WAM</w:t>
      </w:r>
      <w:r>
        <w:rPr>
          <w:noProof/>
        </w:rPr>
        <w:tab/>
      </w:r>
      <w:r>
        <w:rPr>
          <w:rFonts w:ascii="Times New Roman" w:hAnsi="Times New Roman"/>
          <w:noProof/>
        </w:rPr>
        <w:t>Scadența medie ponderată, astfel cum este definită la articolul </w:t>
      </w:r>
      <w:r w:rsidRPr="004F4310">
        <w:rPr>
          <w:rFonts w:ascii="Times New Roman" w:hAnsi="Times New Roman"/>
          <w:noProof/>
        </w:rPr>
        <w:t>2</w:t>
      </w:r>
      <w:r>
        <w:rPr>
          <w:rFonts w:ascii="Times New Roman" w:hAnsi="Times New Roman"/>
          <w:noProof/>
        </w:rPr>
        <w:t xml:space="preserve"> alineatul (</w:t>
      </w:r>
      <w:r w:rsidRPr="004F4310">
        <w:rPr>
          <w:rFonts w:ascii="Times New Roman" w:hAnsi="Times New Roman"/>
          <w:noProof/>
        </w:rPr>
        <w:t>19</w:t>
      </w:r>
      <w:r>
        <w:rPr>
          <w:rFonts w:ascii="Times New Roman" w:hAnsi="Times New Roman"/>
          <w:noProof/>
        </w:rPr>
        <w:t xml:space="preserve">) din Regulamentul privind FPM </w:t>
      </w:r>
    </w:p>
    <w:p w14:paraId="23C19F43" w14:textId="57B63C02" w:rsidR="00E778C2" w:rsidRPr="00C82DFF" w:rsidRDefault="00E778C2"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WLA</w:t>
      </w:r>
      <w:r>
        <w:rPr>
          <w:noProof/>
        </w:rPr>
        <w:tab/>
      </w:r>
      <w:r>
        <w:rPr>
          <w:rFonts w:ascii="Times New Roman" w:hAnsi="Times New Roman"/>
          <w:noProof/>
        </w:rPr>
        <w:t>Active lichide cu scadență săptămânală, în conformitate cu cerințele prevăzute la articolul </w:t>
      </w:r>
      <w:r w:rsidRPr="004F4310">
        <w:rPr>
          <w:rFonts w:ascii="Times New Roman" w:hAnsi="Times New Roman"/>
          <w:noProof/>
        </w:rPr>
        <w:t>24</w:t>
      </w:r>
      <w:r>
        <w:rPr>
          <w:rFonts w:ascii="Times New Roman" w:hAnsi="Times New Roman"/>
          <w:noProof/>
        </w:rPr>
        <w:t xml:space="preserve"> alineatul (</w:t>
      </w:r>
      <w:r w:rsidRPr="004F4310">
        <w:rPr>
          <w:rFonts w:ascii="Times New Roman" w:hAnsi="Times New Roman"/>
          <w:noProof/>
        </w:rPr>
        <w:t>1</w:t>
      </w:r>
      <w:r>
        <w:rPr>
          <w:rFonts w:ascii="Times New Roman" w:hAnsi="Times New Roman"/>
          <w:noProof/>
        </w:rPr>
        <w:t>) literele (e) și (f) și la articolul </w:t>
      </w:r>
      <w:r w:rsidRPr="004F4310">
        <w:rPr>
          <w:rFonts w:ascii="Times New Roman" w:hAnsi="Times New Roman"/>
          <w:noProof/>
        </w:rPr>
        <w:t>25</w:t>
      </w:r>
      <w:r>
        <w:rPr>
          <w:rFonts w:ascii="Times New Roman" w:hAnsi="Times New Roman"/>
          <w:noProof/>
        </w:rPr>
        <w:t xml:space="preserve"> alineatul (</w:t>
      </w:r>
      <w:r w:rsidRPr="004F4310">
        <w:rPr>
          <w:rFonts w:ascii="Times New Roman" w:hAnsi="Times New Roman"/>
          <w:noProof/>
        </w:rPr>
        <w:t>1</w:t>
      </w:r>
      <w:r>
        <w:rPr>
          <w:rFonts w:ascii="Times New Roman" w:hAnsi="Times New Roman"/>
          <w:noProof/>
        </w:rPr>
        <w:t>) litera (d) din Regulamentul privind FPM</w:t>
      </w:r>
    </w:p>
    <w:p w14:paraId="15D99D53" w14:textId="18D89591" w:rsidR="003C7387" w:rsidRPr="00C82DFF" w:rsidRDefault="003C7387" w:rsidP="002E1D5E">
      <w:pPr>
        <w:tabs>
          <w:tab w:val="left" w:pos="1985"/>
        </w:tabs>
        <w:spacing w:after="120" w:line="240" w:lineRule="auto"/>
        <w:ind w:left="1985" w:hanging="1985"/>
        <w:jc w:val="both"/>
        <w:rPr>
          <w:rFonts w:ascii="Times New Roman" w:eastAsiaTheme="majorEastAsia" w:hAnsi="Times New Roman" w:cs="Times New Roman"/>
          <w:noProof/>
        </w:rPr>
      </w:pPr>
      <w:r>
        <w:rPr>
          <w:rFonts w:ascii="Times New Roman" w:hAnsi="Times New Roman"/>
          <w:noProof/>
        </w:rPr>
        <w:t xml:space="preserve">Raportul din </w:t>
      </w:r>
      <w:r w:rsidRPr="004F4310">
        <w:rPr>
          <w:rFonts w:ascii="Times New Roman" w:hAnsi="Times New Roman"/>
          <w:noProof/>
        </w:rPr>
        <w:t>2023</w:t>
      </w:r>
      <w:r>
        <w:rPr>
          <w:rFonts w:ascii="Times New Roman" w:hAnsi="Times New Roman"/>
          <w:noProof/>
        </w:rPr>
        <w:t xml:space="preserve"> privind FPM</w:t>
      </w:r>
      <w:r>
        <w:rPr>
          <w:noProof/>
        </w:rPr>
        <w:tab/>
      </w:r>
      <w:r>
        <w:rPr>
          <w:rFonts w:ascii="Times New Roman" w:hAnsi="Times New Roman"/>
          <w:noProof/>
        </w:rPr>
        <w:t xml:space="preserve">Raport al Comisiei către Parlamentul European și Consiliu privind caracterul adecvat al Regulamentului (UE) </w:t>
      </w:r>
      <w:r w:rsidRPr="004F4310">
        <w:rPr>
          <w:rFonts w:ascii="Times New Roman" w:hAnsi="Times New Roman"/>
          <w:noProof/>
        </w:rPr>
        <w:t>2017</w:t>
      </w:r>
      <w:r>
        <w:rPr>
          <w:rFonts w:ascii="Times New Roman" w:hAnsi="Times New Roman"/>
          <w:noProof/>
        </w:rPr>
        <w:t>/</w:t>
      </w:r>
      <w:r w:rsidRPr="004F4310">
        <w:rPr>
          <w:rFonts w:ascii="Times New Roman" w:hAnsi="Times New Roman"/>
          <w:noProof/>
        </w:rPr>
        <w:t>1131</w:t>
      </w:r>
      <w:r>
        <w:rPr>
          <w:rFonts w:ascii="Times New Roman" w:hAnsi="Times New Roman"/>
          <w:noProof/>
        </w:rPr>
        <w:t xml:space="preserve"> al Parlamentului European și al Consiliului privind fondurile de piață monetară dintr-o perspectivă prudențială și economică [COM(</w:t>
      </w:r>
      <w:r w:rsidRPr="004F4310">
        <w:rPr>
          <w:rFonts w:ascii="Times New Roman" w:hAnsi="Times New Roman"/>
          <w:noProof/>
        </w:rPr>
        <w:t>2023</w:t>
      </w:r>
      <w:r>
        <w:rPr>
          <w:rFonts w:ascii="Times New Roman" w:hAnsi="Times New Roman"/>
          <w:noProof/>
        </w:rPr>
        <w:t xml:space="preserve">) </w:t>
      </w:r>
      <w:r w:rsidRPr="004F4310">
        <w:rPr>
          <w:rFonts w:ascii="Times New Roman" w:hAnsi="Times New Roman"/>
          <w:noProof/>
        </w:rPr>
        <w:t>452</w:t>
      </w:r>
      <w:r>
        <w:rPr>
          <w:rFonts w:ascii="Times New Roman" w:hAnsi="Times New Roman"/>
          <w:noProof/>
        </w:rPr>
        <w:t>]</w:t>
      </w:r>
    </w:p>
    <w:p w14:paraId="22B9889A" w14:textId="77777777" w:rsidR="003C7387" w:rsidRPr="00C82DFF" w:rsidRDefault="003C7387" w:rsidP="003C7387">
      <w:pPr>
        <w:jc w:val="both"/>
        <w:rPr>
          <w:rFonts w:ascii="Times New Roman" w:eastAsiaTheme="majorEastAsia" w:hAnsi="Times New Roman" w:cs="Times New Roman"/>
          <w:noProof/>
        </w:rPr>
      </w:pPr>
    </w:p>
    <w:p w14:paraId="42BA3D95" w14:textId="77777777" w:rsidR="003C7387" w:rsidRPr="00C82DFF" w:rsidRDefault="003C7387" w:rsidP="003C7387">
      <w:pPr>
        <w:rPr>
          <w:rFonts w:ascii="Times New Roman" w:eastAsiaTheme="majorEastAsia" w:hAnsi="Times New Roman" w:cs="Times New Roman"/>
          <w:noProof/>
        </w:rPr>
      </w:pPr>
      <w:r>
        <w:rPr>
          <w:noProof/>
        </w:rPr>
        <w:br w:type="page"/>
      </w:r>
    </w:p>
    <w:p w14:paraId="4C82D5AE" w14:textId="48F66186" w:rsidR="00811D7C" w:rsidRPr="00694C8B" w:rsidRDefault="00A05E3A" w:rsidP="002E1D5E">
      <w:pPr>
        <w:pStyle w:val="Heading1"/>
        <w:spacing w:after="240"/>
        <w:ind w:left="431" w:hanging="431"/>
        <w:rPr>
          <w:rFonts w:ascii="Times New Roman" w:hAnsi="Times New Roman" w:cs="Times New Roman"/>
          <w:b/>
          <w:bCs/>
          <w:noProof/>
          <w:color w:val="auto"/>
          <w:sz w:val="22"/>
          <w:szCs w:val="22"/>
        </w:rPr>
      </w:pPr>
      <w:bookmarkStart w:id="12" w:name="_Toc227935545"/>
      <w:r>
        <w:rPr>
          <w:rFonts w:ascii="Times New Roman" w:hAnsi="Times New Roman"/>
          <w:b/>
          <w:noProof/>
          <w:color w:val="auto"/>
          <w:sz w:val="22"/>
        </w:rPr>
        <w:t>INTRODUCERE</w:t>
      </w:r>
      <w:bookmarkEnd w:id="0"/>
      <w:bookmarkEnd w:id="1"/>
      <w:bookmarkEnd w:id="2"/>
      <w:bookmarkEnd w:id="3"/>
      <w:bookmarkEnd w:id="12"/>
      <w:r>
        <w:rPr>
          <w:rFonts w:ascii="Times New Roman" w:hAnsi="Times New Roman"/>
          <w:b/>
          <w:noProof/>
          <w:color w:val="auto"/>
          <w:sz w:val="22"/>
        </w:rPr>
        <w:t xml:space="preserve"> </w:t>
      </w:r>
      <w:bookmarkEnd w:id="4"/>
      <w:bookmarkEnd w:id="5"/>
    </w:p>
    <w:p w14:paraId="1A0DB5EF" w14:textId="1C4BEB8A" w:rsidR="00322388" w:rsidRPr="00C82DFF" w:rsidRDefault="23972DB5" w:rsidP="77FDB47A">
      <w:pPr>
        <w:spacing w:after="240" w:line="280" w:lineRule="atLeast"/>
        <w:jc w:val="both"/>
        <w:rPr>
          <w:rFonts w:ascii="Times New Roman" w:hAnsi="Times New Roman" w:cs="Times New Roman"/>
          <w:noProof/>
        </w:rPr>
      </w:pPr>
      <w:r>
        <w:rPr>
          <w:rFonts w:ascii="Times New Roman" w:hAnsi="Times New Roman"/>
          <w:noProof/>
        </w:rPr>
        <w:t>FPM joacă un rol esențial în sistemul financiar, ca instrumente de gestionare a numerarului pentru întreprinderi și ca oportunitate pentru investitorii care caută investiții cu volatilitate scăzută și cu randamente mai ridicate decât depozitele bancare. Creșterea activelor FPM din UE în ultimii cinci ani (+</w:t>
      </w:r>
      <w:r w:rsidRPr="004F4310">
        <w:rPr>
          <w:rFonts w:ascii="Times New Roman" w:hAnsi="Times New Roman"/>
          <w:noProof/>
        </w:rPr>
        <w:t>45</w:t>
      </w:r>
      <w:r>
        <w:rPr>
          <w:rFonts w:ascii="Times New Roman" w:hAnsi="Times New Roman"/>
          <w:noProof/>
        </w:rPr>
        <w:t xml:space="preserve"> % din </w:t>
      </w:r>
      <w:r w:rsidRPr="004F4310">
        <w:rPr>
          <w:rFonts w:ascii="Times New Roman" w:hAnsi="Times New Roman"/>
          <w:noProof/>
        </w:rPr>
        <w:t>2019</w:t>
      </w:r>
      <w:r>
        <w:rPr>
          <w:rFonts w:ascii="Times New Roman" w:hAnsi="Times New Roman"/>
          <w:noProof/>
        </w:rPr>
        <w:t xml:space="preserve"> până în </w:t>
      </w:r>
      <w:r w:rsidRPr="004F4310">
        <w:rPr>
          <w:rFonts w:ascii="Times New Roman" w:hAnsi="Times New Roman"/>
          <w:noProof/>
        </w:rPr>
        <w:t>2024</w:t>
      </w:r>
      <w:r>
        <w:rPr>
          <w:rFonts w:ascii="Times New Roman" w:hAnsi="Times New Roman"/>
          <w:noProof/>
        </w:rPr>
        <w:t xml:space="preserve">) demonstrează succesul cadrului. În UE, </w:t>
      </w:r>
      <w:r w:rsidRPr="004F4310">
        <w:rPr>
          <w:rFonts w:ascii="Times New Roman" w:hAnsi="Times New Roman"/>
          <w:noProof/>
        </w:rPr>
        <w:t>455</w:t>
      </w:r>
      <w:r>
        <w:rPr>
          <w:rFonts w:ascii="Times New Roman" w:hAnsi="Times New Roman"/>
          <w:noProof/>
        </w:rPr>
        <w:t xml:space="preserve"> de FPM dețineau active totale în valoare de aproximativ </w:t>
      </w:r>
      <w:r w:rsidRPr="004F4310">
        <w:rPr>
          <w:rFonts w:ascii="Times New Roman" w:hAnsi="Times New Roman"/>
          <w:noProof/>
        </w:rPr>
        <w:t>1</w:t>
      </w:r>
      <w:r>
        <w:rPr>
          <w:rFonts w:ascii="Times New Roman" w:hAnsi="Times New Roman"/>
          <w:noProof/>
        </w:rPr>
        <w:t>,</w:t>
      </w:r>
      <w:r w:rsidRPr="004F4310">
        <w:rPr>
          <w:rFonts w:ascii="Times New Roman" w:hAnsi="Times New Roman"/>
          <w:noProof/>
        </w:rPr>
        <w:t>95</w:t>
      </w:r>
      <w:r>
        <w:rPr>
          <w:rFonts w:ascii="Times New Roman" w:hAnsi="Times New Roman"/>
          <w:noProof/>
        </w:rPr>
        <w:t xml:space="preserve"> mii de miliarde EUR la sfârșitul anului </w:t>
      </w:r>
      <w:r w:rsidRPr="004F4310">
        <w:rPr>
          <w:rFonts w:ascii="Times New Roman" w:hAnsi="Times New Roman"/>
          <w:noProof/>
        </w:rPr>
        <w:t>2024</w:t>
      </w:r>
      <w:r>
        <w:rPr>
          <w:rFonts w:ascii="Times New Roman" w:hAnsi="Times New Roman"/>
          <w:noProof/>
        </w:rPr>
        <w:t xml:space="preserve">. FPM din UE sunt stabilite în principal în Irlanda, Luxemburg și Franța. Prin urmare, FPM din UE oferă un instrument de investiții reglementat care contribuie la diversificarea oportunităților de investiții și la gestionarea riscurilor, în conformitate cu obiectivele uniunii economiilor și investițiilor (UEI). Acestea oferă, de asemenea, opțiuni suplimentare de finanțare pentru întreprinderile din UE, permițându-le să se dezvolte, să inoveze și să creeze locuri de muncă. </w:t>
      </w:r>
    </w:p>
    <w:p w14:paraId="46880D7B" w14:textId="4E796807" w:rsidR="003B1A44" w:rsidRPr="00C82DFF" w:rsidRDefault="003B1A44" w:rsidP="00EB31F9">
      <w:pPr>
        <w:spacing w:after="0" w:line="240" w:lineRule="auto"/>
        <w:jc w:val="both"/>
        <w:rPr>
          <w:rFonts w:ascii="Times New Roman" w:hAnsi="Times New Roman" w:cs="Times New Roman"/>
          <w:noProof/>
          <w:highlight w:val="yellow"/>
        </w:rPr>
      </w:pPr>
      <w:r>
        <w:rPr>
          <w:rFonts w:ascii="Times New Roman" w:hAnsi="Times New Roman"/>
          <w:noProof/>
          <w:lang w:val="en-GB" w:eastAsia="en-GB"/>
        </w:rPr>
        <w:drawing>
          <wp:inline distT="0" distB="0" distL="0" distR="0" wp14:anchorId="2401A902" wp14:editId="3180C8CA">
            <wp:extent cx="5253487" cy="1535502"/>
            <wp:effectExtent l="0" t="0" r="23495" b="7620"/>
            <wp:docPr id="182337344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9B58279" w14:textId="7E1E5F15" w:rsidR="00EB31F9" w:rsidRPr="00C82DFF" w:rsidRDefault="003B1A44" w:rsidP="0045634D">
      <w:pPr>
        <w:spacing w:after="0" w:line="240" w:lineRule="auto"/>
        <w:jc w:val="both"/>
        <w:rPr>
          <w:rFonts w:ascii="Times New Roman" w:hAnsi="Times New Roman" w:cs="Times New Roman"/>
          <w:noProof/>
        </w:rPr>
      </w:pPr>
      <w:r>
        <w:rPr>
          <w:rFonts w:ascii="Times New Roman" w:hAnsi="Times New Roman"/>
          <w:noProof/>
          <w:sz w:val="20"/>
        </w:rPr>
        <w:t xml:space="preserve">Sursă: ESMA, piața FPM din UE în </w:t>
      </w:r>
      <w:r w:rsidRPr="004F4310">
        <w:rPr>
          <w:rFonts w:ascii="Times New Roman" w:hAnsi="Times New Roman"/>
          <w:noProof/>
          <w:sz w:val="20"/>
        </w:rPr>
        <w:t>2023</w:t>
      </w:r>
      <w:r>
        <w:rPr>
          <w:rFonts w:ascii="Times New Roman" w:hAnsi="Times New Roman"/>
          <w:noProof/>
          <w:sz w:val="20"/>
        </w:rPr>
        <w:t xml:space="preserve"> și datele din T</w:t>
      </w:r>
      <w:r w:rsidRPr="004F4310">
        <w:rPr>
          <w:rFonts w:ascii="Times New Roman" w:hAnsi="Times New Roman"/>
          <w:noProof/>
          <w:sz w:val="20"/>
        </w:rPr>
        <w:t>4</w:t>
      </w:r>
      <w:r>
        <w:rPr>
          <w:rFonts w:ascii="Times New Roman" w:hAnsi="Times New Roman"/>
          <w:noProof/>
          <w:sz w:val="20"/>
        </w:rPr>
        <w:t xml:space="preserve"> </w:t>
      </w:r>
      <w:r w:rsidRPr="004F4310">
        <w:rPr>
          <w:rFonts w:ascii="Times New Roman" w:hAnsi="Times New Roman"/>
          <w:noProof/>
          <w:sz w:val="20"/>
        </w:rPr>
        <w:t>2024</w:t>
      </w:r>
    </w:p>
    <w:p w14:paraId="2CB416A2" w14:textId="77777777" w:rsidR="0045634D" w:rsidRPr="00C82DFF" w:rsidRDefault="0045634D" w:rsidP="0045634D">
      <w:pPr>
        <w:spacing w:after="0" w:line="240" w:lineRule="auto"/>
        <w:jc w:val="both"/>
        <w:rPr>
          <w:rFonts w:ascii="Times New Roman" w:hAnsi="Times New Roman" w:cs="Times New Roman"/>
          <w:noProof/>
        </w:rPr>
      </w:pPr>
    </w:p>
    <w:p w14:paraId="0D6D584F" w14:textId="77777777" w:rsidR="00D372AD" w:rsidRDefault="00F161B2" w:rsidP="00D04526">
      <w:pPr>
        <w:spacing w:after="240" w:line="280" w:lineRule="atLeast"/>
        <w:jc w:val="both"/>
        <w:rPr>
          <w:rFonts w:ascii="Times New Roman" w:eastAsia="Times New Roman" w:hAnsi="Times New Roman" w:cs="Times New Roman"/>
          <w:noProof/>
        </w:rPr>
      </w:pPr>
      <w:r>
        <w:rPr>
          <w:rFonts w:ascii="Times New Roman" w:hAnsi="Times New Roman"/>
          <w:noProof/>
        </w:rPr>
        <w:t xml:space="preserve">În </w:t>
      </w:r>
      <w:r w:rsidRPr="004F4310">
        <w:rPr>
          <w:rFonts w:ascii="Times New Roman" w:hAnsi="Times New Roman"/>
          <w:noProof/>
        </w:rPr>
        <w:t>2018</w:t>
      </w:r>
      <w:r>
        <w:rPr>
          <w:rFonts w:ascii="Times New Roman" w:hAnsi="Times New Roman"/>
          <w:noProof/>
        </w:rPr>
        <w:t>, Regulamentul privind FPM a intrat în vigoare și a stabilit un cadru cuprinzător de reglementare și supraveghere pentru FPM din UE care „</w:t>
      </w:r>
      <w:r>
        <w:rPr>
          <w:rFonts w:ascii="Times New Roman" w:hAnsi="Times New Roman"/>
          <w:i/>
          <w:noProof/>
        </w:rPr>
        <w:t>oferă finanțare pe termen scurt instituțiilor financiare, corporațiilor și guvernelor [și] contribuie la finanțarea economiei Uniunii</w:t>
      </w:r>
      <w:r>
        <w:rPr>
          <w:rFonts w:ascii="Times New Roman" w:hAnsi="Times New Roman"/>
          <w:noProof/>
        </w:rPr>
        <w:t xml:space="preserve">” (considerentul </w:t>
      </w:r>
      <w:r w:rsidRPr="004F4310">
        <w:rPr>
          <w:rFonts w:ascii="Times New Roman" w:hAnsi="Times New Roman"/>
          <w:noProof/>
        </w:rPr>
        <w:t>1</w:t>
      </w:r>
      <w:r>
        <w:rPr>
          <w:rFonts w:ascii="Times New Roman" w:hAnsi="Times New Roman"/>
          <w:noProof/>
        </w:rPr>
        <w:t xml:space="preserve"> din Regulamentul privind FPM). </w:t>
      </w:r>
    </w:p>
    <w:p w14:paraId="15D61718" w14:textId="663C02B5" w:rsidR="00D372AD" w:rsidRDefault="6ECB4D09" w:rsidP="00D04526">
      <w:pPr>
        <w:spacing w:after="240" w:line="280" w:lineRule="atLeast"/>
        <w:jc w:val="both"/>
        <w:rPr>
          <w:rFonts w:ascii="Times New Roman" w:eastAsia="Times New Roman" w:hAnsi="Times New Roman" w:cs="Times New Roman"/>
          <w:noProof/>
        </w:rPr>
      </w:pPr>
      <w:r>
        <w:rPr>
          <w:rFonts w:ascii="Times New Roman" w:hAnsi="Times New Roman"/>
          <w:noProof/>
        </w:rPr>
        <w:t xml:space="preserve">Directiva privind administratorii fondurilor de investiții alternative (DAFIA) și Directiva privind organismele de plasament colectiv în valori mobiliare (OPCVM) au fost revizuite pentru a introduce un cadru consolidat și mai armonizat pentru gestionarea riscului de lichiditate, în special prin cerința ca administratorii să selecteze și să pună în aplicare cel puțin un instrument de gestionare a lichidităților dintr-o listă prevăzută. Aplicabil de la </w:t>
      </w:r>
      <w:r w:rsidRPr="004F4310">
        <w:rPr>
          <w:rFonts w:ascii="Times New Roman" w:hAnsi="Times New Roman"/>
          <w:noProof/>
        </w:rPr>
        <w:t>16</w:t>
      </w:r>
      <w:r>
        <w:rPr>
          <w:rFonts w:ascii="Times New Roman" w:hAnsi="Times New Roman"/>
          <w:noProof/>
        </w:rPr>
        <w:t xml:space="preserve"> aprilie </w:t>
      </w:r>
      <w:r w:rsidRPr="004F4310">
        <w:rPr>
          <w:rFonts w:ascii="Times New Roman" w:hAnsi="Times New Roman"/>
          <w:noProof/>
        </w:rPr>
        <w:t>2026</w:t>
      </w:r>
      <w:r>
        <w:rPr>
          <w:rFonts w:ascii="Times New Roman" w:hAnsi="Times New Roman"/>
          <w:noProof/>
        </w:rPr>
        <w:t>, acest cadru sporește coerența la nivelul fondurilor și consolidează stabilitatea financiară globală.</w:t>
      </w:r>
    </w:p>
    <w:p w14:paraId="6B498800" w14:textId="625FA561" w:rsidR="002E1D5E" w:rsidRDefault="222749A3" w:rsidP="00D04526">
      <w:pPr>
        <w:spacing w:after="240" w:line="280" w:lineRule="atLeast"/>
        <w:jc w:val="both"/>
        <w:rPr>
          <w:rFonts w:ascii="Times New Roman" w:eastAsia="Times New Roman" w:hAnsi="Times New Roman" w:cs="Times New Roman"/>
          <w:noProof/>
        </w:rPr>
      </w:pPr>
      <w:r>
        <w:rPr>
          <w:rFonts w:ascii="Times New Roman" w:hAnsi="Times New Roman"/>
          <w:noProof/>
        </w:rPr>
        <w:t>Regulamentul privind FPM oferă un cadru armonizat pentru consolidarea rezilienței sectorului și atenuarea riscului sistemic, cu dispoziții care reglementează, printre altele, activele eligibile, structura portofoliului, evaluarea, gestionarea riscurilor, interzicerea efectului de levier, transparența și raportarea. Cerințele privind structura portofoliului reprezintă un pilon central al Regulamentului privind FPM. Acestea includ dispoziții menite să asigure lichiditatea FPM, precum dispoziții privind rezervele de lichiditate și dispoziții care descriu rolul și obligațiile administratorului FPM (cum ar fi limitele de scadență și calitatea creditului</w:t>
      </w:r>
      <w:r>
        <w:rPr>
          <w:rStyle w:val="FootnoteReference"/>
          <w:rFonts w:ascii="Times New Roman" w:hAnsi="Times New Roman" w:cs="Times New Roman"/>
          <w:noProof/>
        </w:rPr>
        <w:footnoteReference w:id="3"/>
      </w:r>
      <w:r>
        <w:rPr>
          <w:rFonts w:ascii="Times New Roman" w:hAnsi="Times New Roman"/>
          <w:noProof/>
        </w:rPr>
        <w:t xml:space="preserve">, a se vedea mai jos). Diferitele tipuri de FPM din UE, precum și principalele caracteristici și cerințe de reglementare ale acestora, sunt prezentate în tabelul </w:t>
      </w:r>
      <w:r w:rsidRPr="004F4310">
        <w:rPr>
          <w:rFonts w:ascii="Times New Roman" w:hAnsi="Times New Roman"/>
          <w:noProof/>
        </w:rPr>
        <w:t>1</w:t>
      </w:r>
      <w:r>
        <w:rPr>
          <w:rFonts w:ascii="Times New Roman" w:hAnsi="Times New Roman"/>
          <w:noProof/>
        </w:rPr>
        <w:t xml:space="preserve">. Acesta indică pragurile minime de reglementare pentru activele lichide cu scadență zilnică și săptămânală (DLA și WLA) pe care FPM trebuie să le dețină. Pragurile minime prevăzute în Regulamentul privind FPM sunt menite să asigure, împreună cu alte garanții, că FPM pot face față în timp răscumpărărilor investitorilor. </w:t>
      </w:r>
    </w:p>
    <w:p w14:paraId="1C97D210" w14:textId="7C61751F" w:rsidR="00F609C8" w:rsidRPr="002E1D5E" w:rsidRDefault="002E1D5E" w:rsidP="002E1D5E">
      <w:pPr>
        <w:rPr>
          <w:rFonts w:ascii="Times New Roman" w:eastAsia="Times New Roman" w:hAnsi="Times New Roman" w:cs="Times New Roman"/>
          <w:noProof/>
        </w:rPr>
      </w:pPr>
      <w:r>
        <w:rPr>
          <w:noProof/>
        </w:rPr>
        <w:br w:type="page"/>
      </w:r>
    </w:p>
    <w:p w14:paraId="74FA7938" w14:textId="464467C9" w:rsidR="00A51D78" w:rsidRPr="000530BA" w:rsidRDefault="00A51D78" w:rsidP="00A51D78">
      <w:pPr>
        <w:spacing w:after="240" w:line="240" w:lineRule="auto"/>
        <w:jc w:val="both"/>
        <w:rPr>
          <w:rFonts w:ascii="Times New Roman" w:hAnsi="Times New Roman" w:cs="Times New Roman"/>
          <w:b/>
          <w:noProof/>
        </w:rPr>
      </w:pPr>
      <w:r>
        <w:rPr>
          <w:rFonts w:ascii="Times New Roman" w:hAnsi="Times New Roman"/>
          <w:b/>
          <w:noProof/>
        </w:rPr>
        <w:t xml:space="preserve">Tabelul </w:t>
      </w:r>
      <w:r w:rsidRPr="004F4310">
        <w:rPr>
          <w:rFonts w:ascii="Times New Roman" w:hAnsi="Times New Roman"/>
          <w:b/>
          <w:noProof/>
        </w:rPr>
        <w:t>1</w:t>
      </w:r>
      <w:r>
        <w:rPr>
          <w:rFonts w:ascii="Times New Roman" w:hAnsi="Times New Roman"/>
          <w:b/>
          <w:noProof/>
        </w:rPr>
        <w:t xml:space="preserve">: Principalele cerințe și caracteristici ale FPM din UE </w:t>
      </w:r>
    </w:p>
    <w:tbl>
      <w:tblPr>
        <w:tblStyle w:val="TableGrid"/>
        <w:tblW w:w="93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594"/>
        <w:gridCol w:w="1204"/>
        <w:gridCol w:w="2012"/>
        <w:gridCol w:w="1391"/>
        <w:gridCol w:w="3107"/>
      </w:tblGrid>
      <w:tr w:rsidR="00A51D78" w:rsidRPr="00A51D78" w14:paraId="35548AE7" w14:textId="77777777" w:rsidTr="005B2BDE">
        <w:trPr>
          <w:trHeight w:val="453"/>
        </w:trPr>
        <w:tc>
          <w:tcPr>
            <w:tcW w:w="1594" w:type="dxa"/>
            <w:shd w:val="clear" w:color="auto" w:fill="FFFFFF" w:themeFill="background1"/>
            <w:vAlign w:val="center"/>
          </w:tcPr>
          <w:p w14:paraId="48095BA5" w14:textId="77777777" w:rsidR="00A51D78" w:rsidRPr="005B2BDE" w:rsidRDefault="00A51D78">
            <w:pPr>
              <w:jc w:val="center"/>
              <w:rPr>
                <w:rFonts w:ascii="Times New Roman" w:hAnsi="Times New Roman" w:cs="Times New Roman"/>
                <w:b/>
                <w:bCs/>
                <w:noProof/>
              </w:rPr>
            </w:pPr>
          </w:p>
        </w:tc>
        <w:tc>
          <w:tcPr>
            <w:tcW w:w="4607" w:type="dxa"/>
            <w:gridSpan w:val="3"/>
            <w:shd w:val="clear" w:color="auto" w:fill="365F91" w:themeFill="accent1" w:themeFillShade="BF"/>
            <w:vAlign w:val="center"/>
          </w:tcPr>
          <w:p w14:paraId="2A0D9DFD" w14:textId="77777777" w:rsidR="00A51D78" w:rsidRPr="005B2BDE" w:rsidRDefault="00A51D78">
            <w:pPr>
              <w:jc w:val="center"/>
              <w:rPr>
                <w:rFonts w:ascii="Times New Roman" w:hAnsi="Times New Roman" w:cs="Times New Roman"/>
                <w:b/>
                <w:bCs/>
                <w:noProof/>
                <w:color w:val="FFFFFF" w:themeColor="background1"/>
              </w:rPr>
            </w:pPr>
            <w:r>
              <w:rPr>
                <w:rFonts w:ascii="Times New Roman" w:hAnsi="Times New Roman"/>
                <w:b/>
                <w:noProof/>
                <w:color w:val="FFFFFF" w:themeColor="background1"/>
              </w:rPr>
              <w:t>FPM pe termen scurt</w:t>
            </w:r>
          </w:p>
        </w:tc>
        <w:tc>
          <w:tcPr>
            <w:tcW w:w="3107" w:type="dxa"/>
            <w:shd w:val="clear" w:color="auto" w:fill="7030A0"/>
            <w:vAlign w:val="center"/>
          </w:tcPr>
          <w:p w14:paraId="6772AC9A" w14:textId="77777777" w:rsidR="00A51D78" w:rsidRPr="005B2BDE" w:rsidRDefault="00A51D78">
            <w:pPr>
              <w:jc w:val="center"/>
              <w:rPr>
                <w:rFonts w:ascii="Times New Roman" w:hAnsi="Times New Roman" w:cs="Times New Roman"/>
                <w:b/>
                <w:bCs/>
                <w:noProof/>
                <w:color w:val="FFFFFF" w:themeColor="background1"/>
              </w:rPr>
            </w:pPr>
            <w:r>
              <w:rPr>
                <w:rFonts w:ascii="Times New Roman" w:hAnsi="Times New Roman"/>
                <w:b/>
                <w:noProof/>
                <w:color w:val="FFFFFF" w:themeColor="background1"/>
              </w:rPr>
              <w:t>FPM standard</w:t>
            </w:r>
          </w:p>
        </w:tc>
      </w:tr>
      <w:tr w:rsidR="00A51D78" w:rsidRPr="00A51D78" w14:paraId="082263E5" w14:textId="77777777" w:rsidTr="00B24626">
        <w:trPr>
          <w:trHeight w:val="429"/>
        </w:trPr>
        <w:tc>
          <w:tcPr>
            <w:tcW w:w="1594" w:type="dxa"/>
            <w:shd w:val="clear" w:color="auto" w:fill="FFFFFF" w:themeFill="background1"/>
            <w:vAlign w:val="center"/>
          </w:tcPr>
          <w:p w14:paraId="07619C88" w14:textId="77777777" w:rsidR="00A51D78" w:rsidRPr="005B2BDE" w:rsidRDefault="00A51D78">
            <w:pPr>
              <w:jc w:val="center"/>
              <w:rPr>
                <w:rFonts w:ascii="Times New Roman" w:hAnsi="Times New Roman" w:cs="Times New Roman"/>
                <w:b/>
                <w:noProof/>
              </w:rPr>
            </w:pPr>
          </w:p>
        </w:tc>
        <w:tc>
          <w:tcPr>
            <w:tcW w:w="3216" w:type="dxa"/>
            <w:gridSpan w:val="2"/>
            <w:shd w:val="clear" w:color="auto" w:fill="95B3D7" w:themeFill="accent1" w:themeFillTint="99"/>
            <w:vAlign w:val="center"/>
          </w:tcPr>
          <w:p w14:paraId="46BED45D" w14:textId="77777777" w:rsidR="00A51D78" w:rsidRPr="005B2BDE" w:rsidRDefault="00A51D78">
            <w:pPr>
              <w:jc w:val="center"/>
              <w:rPr>
                <w:rFonts w:ascii="Times New Roman" w:hAnsi="Times New Roman" w:cs="Times New Roman"/>
                <w:b/>
                <w:noProof/>
              </w:rPr>
            </w:pPr>
            <w:r>
              <w:rPr>
                <w:rFonts w:ascii="Times New Roman" w:hAnsi="Times New Roman"/>
                <w:b/>
                <w:noProof/>
              </w:rPr>
              <w:t>VAN constantă</w:t>
            </w:r>
          </w:p>
        </w:tc>
        <w:tc>
          <w:tcPr>
            <w:tcW w:w="4498" w:type="dxa"/>
            <w:gridSpan w:val="2"/>
            <w:shd w:val="clear" w:color="auto" w:fill="C59CE6"/>
            <w:vAlign w:val="center"/>
          </w:tcPr>
          <w:p w14:paraId="21E5CE27" w14:textId="77777777" w:rsidR="00A51D78" w:rsidRPr="005B2BDE" w:rsidRDefault="00A51D78">
            <w:pPr>
              <w:jc w:val="center"/>
              <w:rPr>
                <w:rFonts w:ascii="Times New Roman" w:hAnsi="Times New Roman" w:cs="Times New Roman"/>
                <w:b/>
                <w:noProof/>
              </w:rPr>
            </w:pPr>
            <w:r>
              <w:rPr>
                <w:rFonts w:ascii="Times New Roman" w:hAnsi="Times New Roman"/>
                <w:b/>
                <w:noProof/>
              </w:rPr>
              <w:t>Valoarea activului net variabilă (VAN variabilă)</w:t>
            </w:r>
          </w:p>
        </w:tc>
      </w:tr>
      <w:tr w:rsidR="00A51D78" w:rsidRPr="00A51D78" w14:paraId="09AF05DE" w14:textId="77777777" w:rsidTr="00B24626">
        <w:trPr>
          <w:trHeight w:val="549"/>
        </w:trPr>
        <w:tc>
          <w:tcPr>
            <w:tcW w:w="1594" w:type="dxa"/>
            <w:shd w:val="clear" w:color="auto" w:fill="BFBFBF" w:themeFill="background1" w:themeFillShade="BF"/>
            <w:vAlign w:val="center"/>
          </w:tcPr>
          <w:p w14:paraId="2A5F04BC" w14:textId="77777777" w:rsidR="00A51D78" w:rsidRPr="005B2BDE" w:rsidRDefault="00A51D78">
            <w:pPr>
              <w:jc w:val="center"/>
              <w:rPr>
                <w:rFonts w:ascii="Times New Roman" w:hAnsi="Times New Roman" w:cs="Times New Roman"/>
                <w:b/>
                <w:noProof/>
              </w:rPr>
            </w:pPr>
            <w:r>
              <w:rPr>
                <w:rFonts w:ascii="Times New Roman" w:hAnsi="Times New Roman"/>
                <w:b/>
                <w:noProof/>
              </w:rPr>
              <w:t>Cerințe</w:t>
            </w:r>
          </w:p>
        </w:tc>
        <w:tc>
          <w:tcPr>
            <w:tcW w:w="1204" w:type="dxa"/>
            <w:shd w:val="clear" w:color="auto" w:fill="BFBFBF" w:themeFill="background1" w:themeFillShade="BF"/>
            <w:vAlign w:val="center"/>
          </w:tcPr>
          <w:p w14:paraId="1A457126" w14:textId="77777777" w:rsidR="00A51D78" w:rsidRPr="005B2BDE" w:rsidRDefault="00A51D78">
            <w:pPr>
              <w:jc w:val="center"/>
              <w:rPr>
                <w:rFonts w:ascii="Times New Roman" w:hAnsi="Times New Roman" w:cs="Times New Roman"/>
                <w:b/>
                <w:noProof/>
              </w:rPr>
            </w:pPr>
            <w:r>
              <w:rPr>
                <w:rFonts w:ascii="Times New Roman" w:hAnsi="Times New Roman"/>
                <w:b/>
                <w:noProof/>
              </w:rPr>
              <w:t>FPM cu VAN constantă</w:t>
            </w:r>
          </w:p>
        </w:tc>
        <w:tc>
          <w:tcPr>
            <w:tcW w:w="2012" w:type="dxa"/>
            <w:shd w:val="clear" w:color="auto" w:fill="BFBFBF" w:themeFill="background1" w:themeFillShade="BF"/>
            <w:vAlign w:val="center"/>
          </w:tcPr>
          <w:p w14:paraId="751271E7" w14:textId="77777777" w:rsidR="00A51D78" w:rsidRPr="005B2BDE" w:rsidRDefault="00A51D78">
            <w:pPr>
              <w:jc w:val="center"/>
              <w:rPr>
                <w:rFonts w:ascii="Times New Roman" w:hAnsi="Times New Roman" w:cs="Times New Roman"/>
                <w:b/>
                <w:noProof/>
              </w:rPr>
            </w:pPr>
            <w:r>
              <w:rPr>
                <w:rFonts w:ascii="Times New Roman" w:hAnsi="Times New Roman"/>
                <w:b/>
                <w:noProof/>
              </w:rPr>
              <w:t>FPM cu VAN cu volatilitate scăzută</w:t>
            </w:r>
          </w:p>
        </w:tc>
        <w:tc>
          <w:tcPr>
            <w:tcW w:w="1391" w:type="dxa"/>
            <w:shd w:val="clear" w:color="auto" w:fill="BFBFBF" w:themeFill="background1" w:themeFillShade="BF"/>
            <w:vAlign w:val="center"/>
          </w:tcPr>
          <w:p w14:paraId="5FA8A679" w14:textId="77777777" w:rsidR="00A51D78" w:rsidRPr="005B2BDE" w:rsidRDefault="00A51D78">
            <w:pPr>
              <w:jc w:val="center"/>
              <w:rPr>
                <w:rFonts w:ascii="Times New Roman" w:hAnsi="Times New Roman" w:cs="Times New Roman"/>
                <w:b/>
                <w:noProof/>
              </w:rPr>
            </w:pPr>
            <w:r>
              <w:rPr>
                <w:rFonts w:ascii="Times New Roman" w:hAnsi="Times New Roman"/>
                <w:b/>
                <w:noProof/>
              </w:rPr>
              <w:t>FPM pe termen scurt cu VAN variabilă</w:t>
            </w:r>
          </w:p>
        </w:tc>
        <w:tc>
          <w:tcPr>
            <w:tcW w:w="3107" w:type="dxa"/>
            <w:shd w:val="clear" w:color="auto" w:fill="BFBFBF" w:themeFill="background1" w:themeFillShade="BF"/>
            <w:vAlign w:val="center"/>
          </w:tcPr>
          <w:p w14:paraId="64075E06" w14:textId="77777777" w:rsidR="00A51D78" w:rsidRPr="005B2BDE" w:rsidRDefault="00A51D78">
            <w:pPr>
              <w:jc w:val="center"/>
              <w:rPr>
                <w:rFonts w:ascii="Times New Roman" w:hAnsi="Times New Roman" w:cs="Times New Roman"/>
                <w:b/>
                <w:noProof/>
              </w:rPr>
            </w:pPr>
            <w:r>
              <w:rPr>
                <w:rFonts w:ascii="Times New Roman" w:hAnsi="Times New Roman"/>
                <w:b/>
                <w:noProof/>
              </w:rPr>
              <w:t>FPM standard cu VAN variabilă</w:t>
            </w:r>
          </w:p>
        </w:tc>
      </w:tr>
      <w:tr w:rsidR="00A51D78" w:rsidRPr="00A51D78" w14:paraId="22CFA79B" w14:textId="77777777" w:rsidTr="005B2BDE">
        <w:trPr>
          <w:trHeight w:val="445"/>
        </w:trPr>
        <w:tc>
          <w:tcPr>
            <w:tcW w:w="1594" w:type="dxa"/>
            <w:shd w:val="clear" w:color="auto" w:fill="D9D9D9" w:themeFill="background1" w:themeFillShade="D9"/>
            <w:vAlign w:val="center"/>
          </w:tcPr>
          <w:p w14:paraId="1A80C887" w14:textId="77777777" w:rsidR="00A51D78" w:rsidRPr="005B2BDE" w:rsidRDefault="00A51D78">
            <w:pPr>
              <w:jc w:val="center"/>
              <w:rPr>
                <w:rFonts w:ascii="Times New Roman" w:hAnsi="Times New Roman" w:cs="Times New Roman"/>
                <w:b/>
                <w:bCs/>
                <w:noProof/>
              </w:rPr>
            </w:pPr>
            <w:r>
              <w:rPr>
                <w:rFonts w:ascii="Times New Roman" w:hAnsi="Times New Roman"/>
                <w:b/>
                <w:noProof/>
              </w:rPr>
              <w:t>WAM</w:t>
            </w:r>
          </w:p>
        </w:tc>
        <w:tc>
          <w:tcPr>
            <w:tcW w:w="4607" w:type="dxa"/>
            <w:gridSpan w:val="3"/>
            <w:shd w:val="clear" w:color="auto" w:fill="D9D9D9" w:themeFill="background1" w:themeFillShade="D9"/>
            <w:vAlign w:val="center"/>
          </w:tcPr>
          <w:p w14:paraId="5999A355"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60</w:t>
            </w:r>
            <w:r>
              <w:rPr>
                <w:rFonts w:ascii="Times New Roman" w:hAnsi="Times New Roman"/>
                <w:noProof/>
              </w:rPr>
              <w:t xml:space="preserve"> de zile</w:t>
            </w:r>
          </w:p>
        </w:tc>
        <w:tc>
          <w:tcPr>
            <w:tcW w:w="3107" w:type="dxa"/>
            <w:shd w:val="clear" w:color="auto" w:fill="D9D9D9" w:themeFill="background1" w:themeFillShade="D9"/>
            <w:vAlign w:val="center"/>
          </w:tcPr>
          <w:p w14:paraId="761BC7DF"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6</w:t>
            </w:r>
            <w:r>
              <w:rPr>
                <w:rFonts w:ascii="Times New Roman" w:hAnsi="Times New Roman"/>
                <w:noProof/>
              </w:rPr>
              <w:t xml:space="preserve"> luni</w:t>
            </w:r>
          </w:p>
        </w:tc>
      </w:tr>
      <w:tr w:rsidR="00A51D78" w:rsidRPr="00A51D78" w14:paraId="1C1425A6" w14:textId="77777777" w:rsidTr="005B2BDE">
        <w:trPr>
          <w:trHeight w:val="445"/>
        </w:trPr>
        <w:tc>
          <w:tcPr>
            <w:tcW w:w="1594" w:type="dxa"/>
            <w:shd w:val="clear" w:color="auto" w:fill="D9D9D9" w:themeFill="background1" w:themeFillShade="D9"/>
            <w:vAlign w:val="center"/>
          </w:tcPr>
          <w:p w14:paraId="135DA6E0" w14:textId="77777777" w:rsidR="00A51D78" w:rsidRPr="005B2BDE" w:rsidRDefault="00A51D78">
            <w:pPr>
              <w:jc w:val="center"/>
              <w:rPr>
                <w:rFonts w:ascii="Times New Roman" w:hAnsi="Times New Roman" w:cs="Times New Roman"/>
                <w:b/>
                <w:bCs/>
                <w:noProof/>
              </w:rPr>
            </w:pPr>
            <w:r>
              <w:rPr>
                <w:rFonts w:ascii="Times New Roman" w:hAnsi="Times New Roman"/>
                <w:b/>
                <w:noProof/>
              </w:rPr>
              <w:t xml:space="preserve">WAL </w:t>
            </w:r>
          </w:p>
        </w:tc>
        <w:tc>
          <w:tcPr>
            <w:tcW w:w="4607" w:type="dxa"/>
            <w:gridSpan w:val="3"/>
            <w:shd w:val="clear" w:color="auto" w:fill="D9D9D9" w:themeFill="background1" w:themeFillShade="D9"/>
            <w:vAlign w:val="center"/>
          </w:tcPr>
          <w:p w14:paraId="0AD79062"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120</w:t>
            </w:r>
            <w:r>
              <w:rPr>
                <w:rFonts w:ascii="Times New Roman" w:hAnsi="Times New Roman"/>
                <w:noProof/>
              </w:rPr>
              <w:t xml:space="preserve"> de zile</w:t>
            </w:r>
          </w:p>
        </w:tc>
        <w:tc>
          <w:tcPr>
            <w:tcW w:w="3107" w:type="dxa"/>
            <w:shd w:val="clear" w:color="auto" w:fill="D9D9D9" w:themeFill="background1" w:themeFillShade="D9"/>
            <w:vAlign w:val="center"/>
          </w:tcPr>
          <w:p w14:paraId="0ACAAB23"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12</w:t>
            </w:r>
            <w:r>
              <w:rPr>
                <w:rFonts w:ascii="Times New Roman" w:hAnsi="Times New Roman"/>
                <w:noProof/>
              </w:rPr>
              <w:t xml:space="preserve"> luni</w:t>
            </w:r>
          </w:p>
        </w:tc>
      </w:tr>
      <w:tr w:rsidR="00A51D78" w:rsidRPr="00A51D78" w14:paraId="07C6BA71" w14:textId="77777777" w:rsidTr="005B2BDE">
        <w:trPr>
          <w:trHeight w:val="501"/>
        </w:trPr>
        <w:tc>
          <w:tcPr>
            <w:tcW w:w="1594" w:type="dxa"/>
            <w:shd w:val="clear" w:color="auto" w:fill="D9D9D9" w:themeFill="background1" w:themeFillShade="D9"/>
            <w:vAlign w:val="center"/>
          </w:tcPr>
          <w:p w14:paraId="4BF5132B" w14:textId="77777777" w:rsidR="00A51D78" w:rsidRPr="005B2BDE" w:rsidRDefault="00A51D78">
            <w:pPr>
              <w:jc w:val="center"/>
              <w:rPr>
                <w:rFonts w:ascii="Times New Roman" w:hAnsi="Times New Roman" w:cs="Times New Roman"/>
                <w:b/>
                <w:bCs/>
                <w:noProof/>
              </w:rPr>
            </w:pPr>
            <w:r>
              <w:rPr>
                <w:rFonts w:ascii="Times New Roman" w:hAnsi="Times New Roman"/>
                <w:b/>
                <w:noProof/>
              </w:rPr>
              <w:t>Scadența activelor</w:t>
            </w:r>
          </w:p>
        </w:tc>
        <w:tc>
          <w:tcPr>
            <w:tcW w:w="4607" w:type="dxa"/>
            <w:gridSpan w:val="3"/>
            <w:shd w:val="clear" w:color="auto" w:fill="D9D9D9" w:themeFill="background1" w:themeFillShade="D9"/>
            <w:vAlign w:val="center"/>
          </w:tcPr>
          <w:p w14:paraId="13ED2580"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397</w:t>
            </w:r>
            <w:r>
              <w:rPr>
                <w:rFonts w:ascii="Times New Roman" w:hAnsi="Times New Roman"/>
                <w:noProof/>
              </w:rPr>
              <w:t xml:space="preserve"> de zile </w:t>
            </w:r>
          </w:p>
        </w:tc>
        <w:tc>
          <w:tcPr>
            <w:tcW w:w="3107" w:type="dxa"/>
            <w:shd w:val="clear" w:color="auto" w:fill="D9D9D9" w:themeFill="background1" w:themeFillShade="D9"/>
            <w:vAlign w:val="center"/>
          </w:tcPr>
          <w:p w14:paraId="0BC460EA"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Max. </w:t>
            </w:r>
            <w:r w:rsidRPr="004F4310">
              <w:rPr>
                <w:rFonts w:ascii="Times New Roman" w:hAnsi="Times New Roman"/>
                <w:noProof/>
              </w:rPr>
              <w:t>2</w:t>
            </w:r>
            <w:r>
              <w:rPr>
                <w:rFonts w:ascii="Times New Roman" w:hAnsi="Times New Roman"/>
                <w:noProof/>
              </w:rPr>
              <w:t xml:space="preserve"> ani cu o revizuire la </w:t>
            </w:r>
            <w:r w:rsidRPr="004F4310">
              <w:rPr>
                <w:rFonts w:ascii="Times New Roman" w:hAnsi="Times New Roman"/>
                <w:noProof/>
              </w:rPr>
              <w:t>397</w:t>
            </w:r>
            <w:r>
              <w:rPr>
                <w:rFonts w:ascii="Times New Roman" w:hAnsi="Times New Roman"/>
                <w:noProof/>
              </w:rPr>
              <w:t xml:space="preserve"> de zile</w:t>
            </w:r>
          </w:p>
        </w:tc>
      </w:tr>
      <w:tr w:rsidR="00A51D78" w:rsidRPr="00A51D78" w14:paraId="694ABADD" w14:textId="77777777" w:rsidTr="0027218E">
        <w:trPr>
          <w:trHeight w:val="505"/>
        </w:trPr>
        <w:tc>
          <w:tcPr>
            <w:tcW w:w="1594" w:type="dxa"/>
            <w:shd w:val="clear" w:color="auto" w:fill="D9D9D9" w:themeFill="background1" w:themeFillShade="D9"/>
            <w:vAlign w:val="center"/>
          </w:tcPr>
          <w:p w14:paraId="6DEB34D3" w14:textId="77777777" w:rsidR="00A51D78" w:rsidRPr="005B2BDE" w:rsidRDefault="00A51D78">
            <w:pPr>
              <w:jc w:val="center"/>
              <w:rPr>
                <w:rFonts w:ascii="Times New Roman" w:hAnsi="Times New Roman" w:cs="Times New Roman"/>
                <w:b/>
                <w:bCs/>
                <w:noProof/>
              </w:rPr>
            </w:pPr>
            <w:r>
              <w:rPr>
                <w:rFonts w:ascii="Times New Roman" w:hAnsi="Times New Roman"/>
                <w:b/>
                <w:noProof/>
              </w:rPr>
              <w:t>DLA</w:t>
            </w:r>
          </w:p>
        </w:tc>
        <w:tc>
          <w:tcPr>
            <w:tcW w:w="3216" w:type="dxa"/>
            <w:gridSpan w:val="2"/>
            <w:shd w:val="clear" w:color="auto" w:fill="D9D9D9" w:themeFill="background1" w:themeFillShade="D9"/>
            <w:vAlign w:val="center"/>
          </w:tcPr>
          <w:p w14:paraId="73567032"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Min. </w:t>
            </w:r>
            <w:r w:rsidRPr="004F4310">
              <w:rPr>
                <w:rFonts w:ascii="Times New Roman" w:hAnsi="Times New Roman"/>
                <w:noProof/>
              </w:rPr>
              <w:t>10</w:t>
            </w:r>
            <w:r>
              <w:rPr>
                <w:rFonts w:ascii="Times New Roman" w:hAnsi="Times New Roman"/>
                <w:noProof/>
              </w:rPr>
              <w:t> %</w:t>
            </w:r>
          </w:p>
        </w:tc>
        <w:tc>
          <w:tcPr>
            <w:tcW w:w="4498" w:type="dxa"/>
            <w:gridSpan w:val="2"/>
            <w:shd w:val="clear" w:color="auto" w:fill="D9D9D9" w:themeFill="background1" w:themeFillShade="D9"/>
            <w:vAlign w:val="center"/>
          </w:tcPr>
          <w:p w14:paraId="561B1D95"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Min.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5</w:t>
            </w:r>
            <w:r>
              <w:rPr>
                <w:rFonts w:ascii="Times New Roman" w:hAnsi="Times New Roman"/>
                <w:noProof/>
              </w:rPr>
              <w:t> %</w:t>
            </w:r>
          </w:p>
        </w:tc>
      </w:tr>
      <w:tr w:rsidR="00A51D78" w:rsidRPr="00A51D78" w14:paraId="2D84597F" w14:textId="77777777" w:rsidTr="00B24626">
        <w:trPr>
          <w:trHeight w:val="445"/>
        </w:trPr>
        <w:tc>
          <w:tcPr>
            <w:tcW w:w="1594" w:type="dxa"/>
            <w:shd w:val="clear" w:color="auto" w:fill="D9D9D9" w:themeFill="background1" w:themeFillShade="D9"/>
            <w:vAlign w:val="center"/>
          </w:tcPr>
          <w:p w14:paraId="72EF930A" w14:textId="77777777" w:rsidR="00A51D78" w:rsidRPr="005B2BDE" w:rsidRDefault="00A51D78">
            <w:pPr>
              <w:jc w:val="center"/>
              <w:rPr>
                <w:rFonts w:ascii="Times New Roman" w:hAnsi="Times New Roman" w:cs="Times New Roman"/>
                <w:b/>
                <w:bCs/>
                <w:noProof/>
              </w:rPr>
            </w:pPr>
            <w:r>
              <w:rPr>
                <w:rFonts w:ascii="Times New Roman" w:hAnsi="Times New Roman"/>
                <w:b/>
                <w:noProof/>
              </w:rPr>
              <w:t>WLA</w:t>
            </w:r>
          </w:p>
        </w:tc>
        <w:tc>
          <w:tcPr>
            <w:tcW w:w="3216" w:type="dxa"/>
            <w:gridSpan w:val="2"/>
            <w:shd w:val="clear" w:color="auto" w:fill="D9D9D9" w:themeFill="background1" w:themeFillShade="D9"/>
            <w:vAlign w:val="center"/>
          </w:tcPr>
          <w:p w14:paraId="6BE8CFE8"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Min. </w:t>
            </w:r>
            <w:r w:rsidRPr="004F4310">
              <w:rPr>
                <w:rFonts w:ascii="Times New Roman" w:hAnsi="Times New Roman"/>
                <w:noProof/>
              </w:rPr>
              <w:t>30</w:t>
            </w:r>
            <w:r>
              <w:rPr>
                <w:rFonts w:ascii="Times New Roman" w:hAnsi="Times New Roman"/>
                <w:noProof/>
              </w:rPr>
              <w:t xml:space="preserve"> % </w:t>
            </w:r>
          </w:p>
          <w:p w14:paraId="5D7CD910" w14:textId="40876159" w:rsidR="00A51D78" w:rsidRPr="005B2BDE" w:rsidRDefault="008F4770">
            <w:pPr>
              <w:jc w:val="center"/>
              <w:rPr>
                <w:rFonts w:ascii="Times New Roman" w:hAnsi="Times New Roman" w:cs="Times New Roman"/>
                <w:noProof/>
              </w:rPr>
            </w:pPr>
            <w:r>
              <w:rPr>
                <w:rFonts w:ascii="Times New Roman" w:hAnsi="Times New Roman"/>
                <w:noProof/>
              </w:rPr>
              <w:t xml:space="preserve">(inclusiv până la </w:t>
            </w:r>
            <w:r w:rsidRPr="004F4310">
              <w:rPr>
                <w:rFonts w:ascii="Times New Roman" w:hAnsi="Times New Roman"/>
                <w:noProof/>
              </w:rPr>
              <w:t>17</w:t>
            </w:r>
            <w:r>
              <w:rPr>
                <w:rFonts w:ascii="Times New Roman" w:hAnsi="Times New Roman"/>
                <w:noProof/>
              </w:rPr>
              <w:t>,</w:t>
            </w:r>
            <w:r w:rsidRPr="004F4310">
              <w:rPr>
                <w:rFonts w:ascii="Times New Roman" w:hAnsi="Times New Roman"/>
                <w:noProof/>
              </w:rPr>
              <w:t>5</w:t>
            </w:r>
            <w:r>
              <w:rPr>
                <w:rFonts w:ascii="Times New Roman" w:hAnsi="Times New Roman"/>
                <w:noProof/>
              </w:rPr>
              <w:t xml:space="preserve"> % în datorie publică având o scadență de până la </w:t>
            </w:r>
            <w:r w:rsidRPr="004F4310">
              <w:rPr>
                <w:rFonts w:ascii="Times New Roman" w:hAnsi="Times New Roman"/>
                <w:noProof/>
              </w:rPr>
              <w:t>190</w:t>
            </w:r>
            <w:r>
              <w:rPr>
                <w:rFonts w:ascii="Times New Roman" w:hAnsi="Times New Roman"/>
                <w:noProof/>
              </w:rPr>
              <w:t xml:space="preserve"> de zile)</w:t>
            </w:r>
          </w:p>
        </w:tc>
        <w:tc>
          <w:tcPr>
            <w:tcW w:w="4498" w:type="dxa"/>
            <w:gridSpan w:val="2"/>
            <w:shd w:val="clear" w:color="auto" w:fill="D9D9D9" w:themeFill="background1" w:themeFillShade="D9"/>
            <w:vAlign w:val="center"/>
          </w:tcPr>
          <w:p w14:paraId="19A0164D" w14:textId="77777777" w:rsidR="00A51D78" w:rsidRPr="005B2BDE" w:rsidRDefault="00A51D78">
            <w:pPr>
              <w:jc w:val="center"/>
              <w:rPr>
                <w:rFonts w:ascii="Times New Roman" w:hAnsi="Times New Roman" w:cs="Times New Roman"/>
                <w:noProof/>
              </w:rPr>
            </w:pPr>
            <w:r>
              <w:rPr>
                <w:rFonts w:ascii="Times New Roman" w:hAnsi="Times New Roman"/>
                <w:noProof/>
              </w:rPr>
              <w:t xml:space="preserve">Min. </w:t>
            </w:r>
            <w:r w:rsidRPr="004F4310">
              <w:rPr>
                <w:rFonts w:ascii="Times New Roman" w:hAnsi="Times New Roman"/>
                <w:noProof/>
              </w:rPr>
              <w:t>15</w:t>
            </w:r>
            <w:r>
              <w:rPr>
                <w:rFonts w:ascii="Times New Roman" w:hAnsi="Times New Roman"/>
                <w:noProof/>
              </w:rPr>
              <w:t> %</w:t>
            </w:r>
          </w:p>
        </w:tc>
      </w:tr>
      <w:tr w:rsidR="00A51D78" w:rsidRPr="00A51D78" w14:paraId="1686DE29" w14:textId="77777777" w:rsidTr="005B2BDE">
        <w:trPr>
          <w:trHeight w:val="697"/>
        </w:trPr>
        <w:tc>
          <w:tcPr>
            <w:tcW w:w="1594" w:type="dxa"/>
            <w:shd w:val="clear" w:color="auto" w:fill="D9D9D9" w:themeFill="background1" w:themeFillShade="D9"/>
            <w:vAlign w:val="center"/>
          </w:tcPr>
          <w:p w14:paraId="496A2897" w14:textId="77777777" w:rsidR="00A51D78" w:rsidRPr="005B2BDE" w:rsidRDefault="00A51D78">
            <w:pPr>
              <w:jc w:val="center"/>
              <w:rPr>
                <w:rFonts w:ascii="Times New Roman" w:hAnsi="Times New Roman" w:cs="Times New Roman"/>
                <w:b/>
                <w:bCs/>
                <w:noProof/>
              </w:rPr>
            </w:pPr>
            <w:r>
              <w:rPr>
                <w:rFonts w:ascii="Times New Roman" w:hAnsi="Times New Roman"/>
                <w:b/>
                <w:noProof/>
              </w:rPr>
              <w:t xml:space="preserve">Altele </w:t>
            </w:r>
          </w:p>
        </w:tc>
        <w:tc>
          <w:tcPr>
            <w:tcW w:w="7714" w:type="dxa"/>
            <w:gridSpan w:val="4"/>
            <w:shd w:val="clear" w:color="auto" w:fill="D9D9D9" w:themeFill="background1" w:themeFillShade="D9"/>
            <w:vAlign w:val="center"/>
          </w:tcPr>
          <w:p w14:paraId="08A3FF54" w14:textId="77777777" w:rsidR="00A51D78" w:rsidRPr="005B2BDE" w:rsidRDefault="00A51D78">
            <w:pPr>
              <w:jc w:val="center"/>
              <w:rPr>
                <w:rFonts w:ascii="Times New Roman" w:hAnsi="Times New Roman" w:cs="Times New Roman"/>
                <w:noProof/>
              </w:rPr>
            </w:pPr>
            <w:r>
              <w:rPr>
                <w:rFonts w:ascii="Times New Roman" w:hAnsi="Times New Roman"/>
                <w:noProof/>
              </w:rPr>
              <w:t>Lipsa efectului de levier, cerințe privind diversificarea, calitatea creditului, transparența și raportarea</w:t>
            </w:r>
          </w:p>
        </w:tc>
      </w:tr>
    </w:tbl>
    <w:p w14:paraId="72AD33EF" w14:textId="77777777" w:rsidR="000530BA" w:rsidRDefault="000530BA" w:rsidP="00991243">
      <w:pPr>
        <w:spacing w:after="240" w:line="280" w:lineRule="atLeast"/>
        <w:jc w:val="both"/>
        <w:rPr>
          <w:rFonts w:ascii="Times New Roman" w:hAnsi="Times New Roman" w:cs="Times New Roman"/>
          <w:bCs/>
          <w:noProof/>
        </w:rPr>
      </w:pPr>
    </w:p>
    <w:p w14:paraId="327D1E8B" w14:textId="345026D3" w:rsidR="00147F43" w:rsidRPr="00C82DFF" w:rsidRDefault="46364A13" w:rsidP="00D04526">
      <w:pPr>
        <w:spacing w:after="240" w:line="280" w:lineRule="atLeast"/>
        <w:jc w:val="both"/>
        <w:rPr>
          <w:rFonts w:ascii="Times New Roman" w:hAnsi="Times New Roman" w:cs="Times New Roman"/>
          <w:noProof/>
        </w:rPr>
      </w:pPr>
      <w:r>
        <w:rPr>
          <w:rFonts w:ascii="Times New Roman" w:hAnsi="Times New Roman"/>
          <w:noProof/>
        </w:rPr>
        <w:t xml:space="preserve">În </w:t>
      </w:r>
      <w:r w:rsidRPr="004F4310">
        <w:rPr>
          <w:rFonts w:ascii="Times New Roman" w:hAnsi="Times New Roman"/>
          <w:noProof/>
        </w:rPr>
        <w:t>2023</w:t>
      </w:r>
      <w:r>
        <w:rPr>
          <w:rFonts w:ascii="Times New Roman" w:hAnsi="Times New Roman"/>
          <w:noProof/>
        </w:rPr>
        <w:t>, Comisia a publicat un raport</w:t>
      </w:r>
      <w:r>
        <w:rPr>
          <w:rStyle w:val="FootnoteReference"/>
          <w:rFonts w:ascii="Times New Roman" w:hAnsi="Times New Roman" w:cs="Times New Roman"/>
          <w:noProof/>
        </w:rPr>
        <w:footnoteReference w:id="4"/>
      </w:r>
      <w:r>
        <w:rPr>
          <w:rFonts w:ascii="Times New Roman" w:hAnsi="Times New Roman"/>
          <w:noProof/>
        </w:rPr>
        <w:t xml:space="preserve"> (Raportul din </w:t>
      </w:r>
      <w:r w:rsidRPr="004F4310">
        <w:rPr>
          <w:rFonts w:ascii="Times New Roman" w:hAnsi="Times New Roman"/>
          <w:noProof/>
        </w:rPr>
        <w:t>2023</w:t>
      </w:r>
      <w:r>
        <w:rPr>
          <w:rFonts w:ascii="Times New Roman" w:hAnsi="Times New Roman"/>
          <w:noProof/>
        </w:rPr>
        <w:t xml:space="preserve"> privind FPM) care arată că „</w:t>
      </w:r>
      <w:r>
        <w:rPr>
          <w:rFonts w:ascii="Times New Roman" w:hAnsi="Times New Roman"/>
          <w:i/>
          <w:noProof/>
        </w:rPr>
        <w:t>Regulamentul privind FPM a trecut cu succes simularea de criză de lichidități cu care s-au confruntat FPM-urile în timpul turbulențelor de pe piață legate de pandemia de COVID-</w:t>
      </w:r>
      <w:r w:rsidRPr="004F4310">
        <w:rPr>
          <w:rFonts w:ascii="Times New Roman" w:hAnsi="Times New Roman"/>
          <w:i/>
          <w:noProof/>
        </w:rPr>
        <w:t>19</w:t>
      </w:r>
      <w:r>
        <w:rPr>
          <w:rFonts w:ascii="Times New Roman" w:hAnsi="Times New Roman"/>
          <w:i/>
          <w:noProof/>
        </w:rPr>
        <w:t xml:space="preserve"> din martie </w:t>
      </w:r>
      <w:r w:rsidRPr="004F4310">
        <w:rPr>
          <w:rFonts w:ascii="Times New Roman" w:hAnsi="Times New Roman"/>
          <w:i/>
          <w:noProof/>
        </w:rPr>
        <w:t>2020</w:t>
      </w:r>
      <w:r>
        <w:rPr>
          <w:rFonts w:ascii="Times New Roman" w:hAnsi="Times New Roman"/>
          <w:i/>
          <w:noProof/>
        </w:rPr>
        <w:t>, al recentelor creșteri ale ratelor dobânzilor și al revizuirii prețurilor activelor financiare aferente</w:t>
      </w:r>
      <w:r>
        <w:rPr>
          <w:rFonts w:ascii="Times New Roman" w:hAnsi="Times New Roman"/>
          <w:noProof/>
        </w:rPr>
        <w:t>”</w:t>
      </w:r>
      <w:r>
        <w:rPr>
          <w:rStyle w:val="FootnoteReference"/>
          <w:rFonts w:ascii="Times New Roman" w:hAnsi="Times New Roman" w:cs="Times New Roman"/>
          <w:noProof/>
        </w:rPr>
        <w:footnoteReference w:id="5"/>
      </w:r>
      <w:r>
        <w:rPr>
          <w:noProof/>
        </w:rPr>
        <w:t>.</w:t>
      </w:r>
      <w:r>
        <w:rPr>
          <w:rFonts w:ascii="Times New Roman" w:hAnsi="Times New Roman"/>
          <w:noProof/>
        </w:rPr>
        <w:t xml:space="preserve"> Deși raportul a concluzionat că, în linii mari, cadrul a fost în măsură să asigure reziliența sectorului, acesta a evidențiat anumite aspecte ale gestionării riscului de lichiditate care necesitau o evaluare suplimentară pentru a garanta reziliența FPM.</w:t>
      </w:r>
      <w:r w:rsidR="00801851">
        <w:rPr>
          <w:rFonts w:ascii="Times New Roman" w:hAnsi="Times New Roman"/>
          <w:noProof/>
        </w:rPr>
        <w:t xml:space="preserve"> </w:t>
      </w:r>
    </w:p>
    <w:p w14:paraId="04FC9510" w14:textId="7BA45FAE" w:rsidR="0015116F" w:rsidRPr="00C82DFF" w:rsidRDefault="355BE37B" w:rsidP="00D04526">
      <w:pPr>
        <w:spacing w:after="240" w:line="280" w:lineRule="atLeast"/>
        <w:jc w:val="both"/>
        <w:rPr>
          <w:rFonts w:ascii="Times New Roman" w:hAnsi="Times New Roman" w:cs="Times New Roman"/>
          <w:noProof/>
        </w:rPr>
      </w:pPr>
      <w:r>
        <w:rPr>
          <w:rFonts w:ascii="Times New Roman" w:hAnsi="Times New Roman"/>
          <w:noProof/>
        </w:rPr>
        <w:t xml:space="preserve">În continuarea Raportului din </w:t>
      </w:r>
      <w:r w:rsidRPr="004F4310">
        <w:rPr>
          <w:rFonts w:ascii="Times New Roman" w:hAnsi="Times New Roman"/>
          <w:noProof/>
        </w:rPr>
        <w:t>2023</w:t>
      </w:r>
      <w:r>
        <w:rPr>
          <w:rFonts w:ascii="Times New Roman" w:hAnsi="Times New Roman"/>
          <w:noProof/>
        </w:rPr>
        <w:t xml:space="preserve"> privind FPM, prezentul raport evaluează funcționarea FPM pe baza unor activități analitice ample și se bazează pe mai multe surse de date</w:t>
      </w:r>
      <w:r>
        <w:rPr>
          <w:rStyle w:val="FootnoteReference"/>
          <w:rFonts w:ascii="Times New Roman" w:hAnsi="Times New Roman" w:cs="Times New Roman"/>
          <w:noProof/>
        </w:rPr>
        <w:footnoteReference w:id="6"/>
      </w:r>
      <w:r>
        <w:rPr>
          <w:rFonts w:ascii="Times New Roman" w:hAnsi="Times New Roman"/>
          <w:noProof/>
        </w:rPr>
        <w:t xml:space="preserve"> și consultări</w:t>
      </w:r>
      <w:r>
        <w:rPr>
          <w:rStyle w:val="FootnoteReference"/>
          <w:rFonts w:ascii="Times New Roman" w:hAnsi="Times New Roman" w:cs="Times New Roman"/>
          <w:noProof/>
        </w:rPr>
        <w:footnoteReference w:id="7"/>
      </w:r>
      <w:r>
        <w:rPr>
          <w:rFonts w:ascii="Times New Roman" w:hAnsi="Times New Roman"/>
          <w:noProof/>
        </w:rPr>
        <w:t xml:space="preserve"> pentru a examina modul în care sunt gestionate riscurile de lichiditate. Acesta evaluează modul în care FPM reacționează la șocurile de lichiditate și modul în care administratorii atenuează riscul de lichiditate, în special prin intermediul rezervelor de lichiditate.</w:t>
      </w:r>
    </w:p>
    <w:p w14:paraId="20FF555C" w14:textId="2EDA9FD0" w:rsidR="00426FB4" w:rsidRPr="00C82DFF" w:rsidRDefault="23C3CF6B" w:rsidP="00D04526">
      <w:pPr>
        <w:spacing w:after="240" w:line="280" w:lineRule="atLeast"/>
        <w:jc w:val="both"/>
        <w:rPr>
          <w:rFonts w:ascii="Times New Roman" w:hAnsi="Times New Roman" w:cs="Times New Roman"/>
          <w:noProof/>
        </w:rPr>
      </w:pPr>
      <w:r>
        <w:rPr>
          <w:rFonts w:ascii="Times New Roman" w:hAnsi="Times New Roman"/>
          <w:noProof/>
        </w:rPr>
        <w:t>Prezentul raport prezintă principalele constatări privind evaluarea gestionării lichidității FPM (secțiunea</w:t>
      </w:r>
      <w:r w:rsidR="00D71050">
        <w:rPr>
          <w:rFonts w:ascii="Times New Roman" w:hAnsi="Times New Roman"/>
          <w:noProof/>
        </w:rPr>
        <w:t> </w:t>
      </w:r>
      <w:r w:rsidRPr="004F4310">
        <w:rPr>
          <w:rFonts w:ascii="Times New Roman" w:hAnsi="Times New Roman"/>
          <w:noProof/>
        </w:rPr>
        <w:t>2</w:t>
      </w:r>
      <w:r>
        <w:rPr>
          <w:rFonts w:ascii="Times New Roman" w:hAnsi="Times New Roman"/>
          <w:noProof/>
        </w:rPr>
        <w:t xml:space="preserve">) și o analiză a nivelurilor adecvate de reziliență a pieței (secțiunea </w:t>
      </w:r>
      <w:r w:rsidRPr="004F4310">
        <w:rPr>
          <w:rFonts w:ascii="Times New Roman" w:hAnsi="Times New Roman"/>
          <w:noProof/>
        </w:rPr>
        <w:t>3</w:t>
      </w:r>
      <w:r>
        <w:rPr>
          <w:rFonts w:ascii="Times New Roman" w:hAnsi="Times New Roman"/>
          <w:noProof/>
        </w:rPr>
        <w:t xml:space="preserve">). Anexele oferă o analiză tehnică mai aprofundată a acestor subiecte. </w:t>
      </w:r>
    </w:p>
    <w:p w14:paraId="751FD1EC" w14:textId="60CABA83" w:rsidR="00811D7C" w:rsidRPr="00694C8B" w:rsidRDefault="001A59AA" w:rsidP="00A05E3A">
      <w:pPr>
        <w:pStyle w:val="Heading1"/>
        <w:spacing w:before="360" w:after="360"/>
        <w:ind w:left="431" w:hanging="431"/>
        <w:rPr>
          <w:rFonts w:ascii="Times New Roman" w:hAnsi="Times New Roman" w:cs="Times New Roman"/>
          <w:b/>
          <w:bCs/>
          <w:noProof/>
          <w:color w:val="auto"/>
          <w:sz w:val="22"/>
          <w:szCs w:val="22"/>
        </w:rPr>
      </w:pPr>
      <w:bookmarkStart w:id="13" w:name="_Toc227935546"/>
      <w:bookmarkStart w:id="14" w:name="_Toc106119399"/>
      <w:bookmarkStart w:id="15" w:name="_Toc107311257"/>
      <w:bookmarkStart w:id="16" w:name="_Toc878026"/>
      <w:bookmarkStart w:id="17" w:name="_Toc4058295"/>
      <w:bookmarkStart w:id="18" w:name="_Toc10474385"/>
      <w:bookmarkStart w:id="19" w:name="_Toc17730534"/>
      <w:r>
        <w:rPr>
          <w:rFonts w:ascii="Times New Roman" w:hAnsi="Times New Roman"/>
          <w:b/>
          <w:noProof/>
          <w:color w:val="auto"/>
          <w:sz w:val="22"/>
        </w:rPr>
        <w:t>EVALUAREA GESTIONĂRII LICHIDITĂȚII FPM</w:t>
      </w:r>
      <w:bookmarkEnd w:id="13"/>
      <w:r>
        <w:rPr>
          <w:rFonts w:ascii="Times New Roman" w:hAnsi="Times New Roman"/>
          <w:b/>
          <w:noProof/>
          <w:color w:val="auto"/>
          <w:sz w:val="22"/>
        </w:rPr>
        <w:t xml:space="preserve"> </w:t>
      </w:r>
      <w:bookmarkEnd w:id="14"/>
      <w:bookmarkEnd w:id="15"/>
      <w:bookmarkEnd w:id="16"/>
      <w:bookmarkEnd w:id="17"/>
      <w:bookmarkEnd w:id="18"/>
      <w:bookmarkEnd w:id="19"/>
    </w:p>
    <w:p w14:paraId="63C5E15F" w14:textId="67EF3214" w:rsidR="00000CBD" w:rsidRPr="00C82DFF" w:rsidRDefault="0018602B" w:rsidP="00B80A7C">
      <w:pPr>
        <w:pStyle w:val="Heading2"/>
        <w:spacing w:before="360" w:after="240"/>
        <w:ind w:left="578" w:hanging="578"/>
        <w:rPr>
          <w:noProof/>
          <w:sz w:val="22"/>
          <w:szCs w:val="22"/>
        </w:rPr>
      </w:pPr>
      <w:bookmarkStart w:id="20" w:name="_Toc221179442"/>
      <w:bookmarkStart w:id="21" w:name="_Toc227935547"/>
      <w:bookmarkEnd w:id="20"/>
      <w:r>
        <w:rPr>
          <w:noProof/>
          <w:sz w:val="22"/>
        </w:rPr>
        <w:t>Nivelurile rezervelor de lichiditate</w:t>
      </w:r>
      <w:bookmarkEnd w:id="21"/>
    </w:p>
    <w:p w14:paraId="23A69ECD" w14:textId="5671AD26" w:rsidR="00AC3066" w:rsidRDefault="54C161C7" w:rsidP="00D04526">
      <w:pPr>
        <w:spacing w:after="240" w:line="280" w:lineRule="atLeast"/>
        <w:jc w:val="both"/>
        <w:rPr>
          <w:rFonts w:ascii="Times New Roman" w:hAnsi="Times New Roman" w:cs="Times New Roman"/>
          <w:noProof/>
        </w:rPr>
      </w:pPr>
      <w:r>
        <w:rPr>
          <w:rFonts w:ascii="Times New Roman" w:hAnsi="Times New Roman"/>
          <w:noProof/>
        </w:rPr>
        <w:t>Comisia a efectuat o analiză a rezervelor de lichiditate la nivelul întregului sector (analiză macro) și la nivelul FPM individuale (nivel micro), pentru a înțelege modul în care sunt stabilite aceste niveluri și dacă piața prezintă un comportament consecvent.</w:t>
      </w:r>
    </w:p>
    <w:p w14:paraId="0BAAD0B0" w14:textId="2127D651" w:rsidR="00621045" w:rsidRPr="00C82DFF" w:rsidRDefault="00621045" w:rsidP="00D04526">
      <w:pPr>
        <w:shd w:val="clear" w:color="auto" w:fill="DBE5F1" w:themeFill="accent1" w:themeFillTint="33"/>
        <w:spacing w:after="240" w:line="240" w:lineRule="auto"/>
        <w:jc w:val="both"/>
        <w:rPr>
          <w:rFonts w:ascii="Times New Roman" w:hAnsi="Times New Roman" w:cs="Times New Roman"/>
          <w:b/>
          <w:bCs/>
          <w:noProof/>
        </w:rPr>
      </w:pPr>
      <w:r>
        <w:rPr>
          <w:rFonts w:ascii="Times New Roman" w:hAnsi="Times New Roman"/>
          <w:b/>
          <w:noProof/>
        </w:rPr>
        <w:t xml:space="preserve">Constatarea principală </w:t>
      </w:r>
      <w:r w:rsidRPr="004F4310">
        <w:rPr>
          <w:rFonts w:ascii="Times New Roman" w:hAnsi="Times New Roman"/>
          <w:b/>
          <w:noProof/>
        </w:rPr>
        <w:t>1</w:t>
      </w:r>
      <w:r>
        <w:rPr>
          <w:rFonts w:ascii="Times New Roman" w:hAnsi="Times New Roman"/>
          <w:b/>
          <w:noProof/>
        </w:rPr>
        <w:t>: Majoritatea FPM din UE dețin rezerve de lichiditate cu mult peste cerințele minime prevăzute în Regulamentul privind FPM</w:t>
      </w:r>
    </w:p>
    <w:p w14:paraId="207671D6" w14:textId="29351154" w:rsidR="005F2282" w:rsidRPr="00C82DFF" w:rsidRDefault="73F6725D" w:rsidP="00D04526">
      <w:pPr>
        <w:spacing w:after="240" w:line="280" w:lineRule="atLeast"/>
        <w:jc w:val="both"/>
        <w:rPr>
          <w:rFonts w:ascii="Times New Roman" w:hAnsi="Times New Roman" w:cs="Times New Roman"/>
          <w:noProof/>
        </w:rPr>
      </w:pPr>
      <w:r>
        <w:rPr>
          <w:rFonts w:ascii="Times New Roman" w:hAnsi="Times New Roman"/>
          <w:noProof/>
        </w:rPr>
        <w:t>FPM adoptă o gamă largă de niveluri ale rezervelor de lichiditate, corelate cu situația lor specifică, în special cu tendința lor de a face obiectul unor cereri de răscumpărare de dimensiuni variabile, în funcție de baza lor de investitori. Între T</w:t>
      </w:r>
      <w:r w:rsidRPr="004F4310">
        <w:rPr>
          <w:rFonts w:ascii="Times New Roman" w:hAnsi="Times New Roman"/>
          <w:noProof/>
        </w:rPr>
        <w:t>1</w:t>
      </w:r>
      <w:r>
        <w:rPr>
          <w:rFonts w:ascii="Times New Roman" w:hAnsi="Times New Roman"/>
          <w:noProof/>
        </w:rPr>
        <w:t xml:space="preserve"> </w:t>
      </w:r>
      <w:r w:rsidRPr="004F4310">
        <w:rPr>
          <w:rFonts w:ascii="Times New Roman" w:hAnsi="Times New Roman"/>
          <w:noProof/>
        </w:rPr>
        <w:t>2020</w:t>
      </w:r>
      <w:r>
        <w:rPr>
          <w:rFonts w:ascii="Times New Roman" w:hAnsi="Times New Roman"/>
          <w:noProof/>
        </w:rPr>
        <w:t xml:space="preserve"> și T</w:t>
      </w:r>
      <w:r w:rsidRPr="004F4310">
        <w:rPr>
          <w:rFonts w:ascii="Times New Roman" w:hAnsi="Times New Roman"/>
          <w:noProof/>
        </w:rPr>
        <w:t>4</w:t>
      </w:r>
      <w:r>
        <w:rPr>
          <w:rFonts w:ascii="Times New Roman" w:hAnsi="Times New Roman"/>
          <w:noProof/>
        </w:rPr>
        <w:t xml:space="preserve"> </w:t>
      </w:r>
      <w:r w:rsidRPr="004F4310">
        <w:rPr>
          <w:rFonts w:ascii="Times New Roman" w:hAnsi="Times New Roman"/>
          <w:noProof/>
        </w:rPr>
        <w:t>2025</w:t>
      </w:r>
      <w:r>
        <w:rPr>
          <w:rFonts w:ascii="Times New Roman" w:hAnsi="Times New Roman"/>
          <w:noProof/>
        </w:rPr>
        <w:t xml:space="preserve">, FPM cu VAN variabilă dețin în medie cel puțin </w:t>
      </w:r>
      <w:r w:rsidRPr="004F4310">
        <w:rPr>
          <w:rFonts w:ascii="Times New Roman" w:hAnsi="Times New Roman"/>
          <w:noProof/>
        </w:rPr>
        <w:t>19</w:t>
      </w:r>
      <w:r>
        <w:rPr>
          <w:rFonts w:ascii="Times New Roman" w:hAnsi="Times New Roman"/>
          <w:noProof/>
        </w:rPr>
        <w:t xml:space="preserve"> % din DLA și </w:t>
      </w:r>
      <w:r w:rsidRPr="004F4310">
        <w:rPr>
          <w:rFonts w:ascii="Times New Roman" w:hAnsi="Times New Roman"/>
          <w:noProof/>
        </w:rPr>
        <w:t>29</w:t>
      </w:r>
      <w:r>
        <w:rPr>
          <w:rFonts w:ascii="Times New Roman" w:hAnsi="Times New Roman"/>
          <w:noProof/>
        </w:rPr>
        <w:t xml:space="preserve"> % din WLA, comparativ cu nivelurile minime de reglementare de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5</w:t>
      </w:r>
      <w:r>
        <w:rPr>
          <w:rFonts w:ascii="Times New Roman" w:hAnsi="Times New Roman"/>
          <w:noProof/>
        </w:rPr>
        <w:t xml:space="preserve"> % și, respectiv, </w:t>
      </w:r>
      <w:r w:rsidRPr="004F4310">
        <w:rPr>
          <w:rFonts w:ascii="Times New Roman" w:hAnsi="Times New Roman"/>
          <w:noProof/>
        </w:rPr>
        <w:t>15</w:t>
      </w:r>
      <w:r>
        <w:rPr>
          <w:rFonts w:ascii="Times New Roman" w:hAnsi="Times New Roman"/>
          <w:noProof/>
        </w:rPr>
        <w:t xml:space="preserve"> %, în timp ce FPM cu VAN constantă și FPM cu VAN cu volatilitate scăzută mențin rezerve și mai ridicate, cu o medie de </w:t>
      </w:r>
      <w:r w:rsidRPr="004F4310">
        <w:rPr>
          <w:rFonts w:ascii="Times New Roman" w:hAnsi="Times New Roman"/>
          <w:noProof/>
        </w:rPr>
        <w:t>36</w:t>
      </w:r>
      <w:r>
        <w:rPr>
          <w:rFonts w:ascii="Times New Roman" w:hAnsi="Times New Roman"/>
          <w:noProof/>
        </w:rPr>
        <w:t xml:space="preserve"> % din DLA și </w:t>
      </w:r>
      <w:r w:rsidRPr="004F4310">
        <w:rPr>
          <w:rFonts w:ascii="Times New Roman" w:hAnsi="Times New Roman"/>
          <w:noProof/>
        </w:rPr>
        <w:t>54</w:t>
      </w:r>
      <w:r>
        <w:rPr>
          <w:rFonts w:ascii="Times New Roman" w:hAnsi="Times New Roman"/>
          <w:noProof/>
        </w:rPr>
        <w:t xml:space="preserve"> % din WLA, comparativ cu pragurile minime de reglementare de </w:t>
      </w:r>
      <w:r w:rsidRPr="004F4310">
        <w:rPr>
          <w:rFonts w:ascii="Times New Roman" w:hAnsi="Times New Roman"/>
          <w:noProof/>
        </w:rPr>
        <w:t>10</w:t>
      </w:r>
      <w:r>
        <w:rPr>
          <w:rFonts w:ascii="Times New Roman" w:hAnsi="Times New Roman"/>
          <w:noProof/>
        </w:rPr>
        <w:t xml:space="preserve"> % și, respectiv, </w:t>
      </w:r>
      <w:r w:rsidRPr="004F4310">
        <w:rPr>
          <w:rFonts w:ascii="Times New Roman" w:hAnsi="Times New Roman"/>
          <w:noProof/>
        </w:rPr>
        <w:t>30</w:t>
      </w:r>
      <w:r>
        <w:rPr>
          <w:rFonts w:ascii="Times New Roman" w:hAnsi="Times New Roman"/>
          <w:noProof/>
        </w:rPr>
        <w:t> %.</w:t>
      </w:r>
    </w:p>
    <w:p w14:paraId="397163F7" w14:textId="59D0B646" w:rsidR="007C78FB" w:rsidRPr="00C82DFF" w:rsidRDefault="241925C8" w:rsidP="00D04526">
      <w:pPr>
        <w:spacing w:after="240" w:line="280" w:lineRule="atLeast"/>
        <w:jc w:val="both"/>
        <w:rPr>
          <w:rFonts w:ascii="Times New Roman" w:hAnsi="Times New Roman" w:cs="Times New Roman"/>
          <w:noProof/>
        </w:rPr>
      </w:pPr>
      <w:r w:rsidRPr="00D71050">
        <w:rPr>
          <w:rFonts w:ascii="Times New Roman" w:hAnsi="Times New Roman"/>
          <w:noProof/>
          <w:spacing w:val="-4"/>
        </w:rPr>
        <w:t xml:space="preserve">Tabelul </w:t>
      </w:r>
      <w:r w:rsidRPr="004F4310">
        <w:rPr>
          <w:rFonts w:ascii="Times New Roman" w:hAnsi="Times New Roman"/>
          <w:noProof/>
          <w:spacing w:val="-4"/>
        </w:rPr>
        <w:t>2</w:t>
      </w:r>
      <w:r w:rsidRPr="00D71050">
        <w:rPr>
          <w:rFonts w:ascii="Times New Roman" w:hAnsi="Times New Roman"/>
          <w:noProof/>
          <w:spacing w:val="-4"/>
        </w:rPr>
        <w:t xml:space="preserve"> prezintă distribuția DLA și a WLA în funcție de tipul de FPM pe o perioadă de șase ani. De exemplu, în ceea ce privește distribuția WLA pentru FPM cu VAN cu volatilitate scăzută, rezerva medie a fost de </w:t>
      </w:r>
      <w:r w:rsidRPr="004F4310">
        <w:rPr>
          <w:rFonts w:ascii="Times New Roman" w:hAnsi="Times New Roman"/>
          <w:noProof/>
          <w:spacing w:val="-4"/>
        </w:rPr>
        <w:t>50</w:t>
      </w:r>
      <w:r w:rsidRPr="00D71050">
        <w:rPr>
          <w:rFonts w:ascii="Times New Roman" w:hAnsi="Times New Roman"/>
          <w:noProof/>
          <w:spacing w:val="-4"/>
        </w:rPr>
        <w:t xml:space="preserve"> %, în timp ce, pentru percentila </w:t>
      </w:r>
      <w:r w:rsidRPr="004F4310">
        <w:rPr>
          <w:rFonts w:ascii="Times New Roman" w:hAnsi="Times New Roman"/>
          <w:noProof/>
          <w:spacing w:val="-4"/>
        </w:rPr>
        <w:t>25</w:t>
      </w:r>
      <w:r w:rsidRPr="00D71050">
        <w:rPr>
          <w:rFonts w:ascii="Times New Roman" w:hAnsi="Times New Roman"/>
          <w:noProof/>
          <w:spacing w:val="-4"/>
        </w:rPr>
        <w:t xml:space="preserve">, FPM cu VAN cu volatilitate scăzută au avut o rezervă medie sub </w:t>
      </w:r>
      <w:r w:rsidRPr="004F4310">
        <w:rPr>
          <w:rFonts w:ascii="Times New Roman" w:hAnsi="Times New Roman"/>
          <w:noProof/>
          <w:spacing w:val="-4"/>
        </w:rPr>
        <w:t>43</w:t>
      </w:r>
      <w:r w:rsidRPr="00D71050">
        <w:rPr>
          <w:rFonts w:ascii="Times New Roman" w:hAnsi="Times New Roman"/>
          <w:noProof/>
          <w:spacing w:val="-4"/>
        </w:rPr>
        <w:t xml:space="preserve"> %, iar pentru percentila </w:t>
      </w:r>
      <w:r w:rsidRPr="004F4310">
        <w:rPr>
          <w:rFonts w:ascii="Times New Roman" w:hAnsi="Times New Roman"/>
          <w:noProof/>
          <w:spacing w:val="-4"/>
        </w:rPr>
        <w:t>75</w:t>
      </w:r>
      <w:r w:rsidRPr="00D71050">
        <w:rPr>
          <w:rFonts w:ascii="Times New Roman" w:hAnsi="Times New Roman"/>
          <w:noProof/>
          <w:spacing w:val="-4"/>
        </w:rPr>
        <w:t xml:space="preserve"> au avut o rezervă medie de </w:t>
      </w:r>
      <w:r w:rsidRPr="004F4310">
        <w:rPr>
          <w:rFonts w:ascii="Times New Roman" w:hAnsi="Times New Roman"/>
          <w:noProof/>
          <w:spacing w:val="-4"/>
        </w:rPr>
        <w:t>54</w:t>
      </w:r>
      <w:r w:rsidRPr="00D71050">
        <w:rPr>
          <w:rFonts w:ascii="Times New Roman" w:hAnsi="Times New Roman"/>
          <w:noProof/>
          <w:spacing w:val="-4"/>
        </w:rPr>
        <w:t> %. Aceste date arată că marea majoritate a FPM cu VAN cu volatilitate scăzută (</w:t>
      </w:r>
      <w:r w:rsidRPr="004F4310">
        <w:rPr>
          <w:rFonts w:ascii="Times New Roman" w:hAnsi="Times New Roman"/>
          <w:noProof/>
          <w:spacing w:val="-4"/>
        </w:rPr>
        <w:t>75</w:t>
      </w:r>
      <w:r w:rsidRPr="00D71050">
        <w:rPr>
          <w:rFonts w:ascii="Times New Roman" w:hAnsi="Times New Roman"/>
          <w:noProof/>
          <w:spacing w:val="-4"/>
        </w:rPr>
        <w:t xml:space="preserve"> %) au avut un nivel mediu al WLA de peste </w:t>
      </w:r>
      <w:r w:rsidRPr="004F4310">
        <w:rPr>
          <w:rFonts w:ascii="Times New Roman" w:hAnsi="Times New Roman"/>
          <w:noProof/>
          <w:spacing w:val="-4"/>
        </w:rPr>
        <w:t>43</w:t>
      </w:r>
      <w:r w:rsidRPr="00D71050">
        <w:rPr>
          <w:rFonts w:ascii="Times New Roman" w:hAnsi="Times New Roman"/>
          <w:noProof/>
          <w:spacing w:val="-4"/>
        </w:rPr>
        <w:t> %. Constatări similare pot fi observate pentru celelalte categorii de FPM și pentru DLA corespunzătoare acestora</w:t>
      </w:r>
      <w:r>
        <w:rPr>
          <w:rFonts w:ascii="Times New Roman" w:hAnsi="Times New Roman"/>
          <w:noProof/>
        </w:rPr>
        <w:t>.</w:t>
      </w:r>
      <w:r w:rsidR="00801851">
        <w:rPr>
          <w:rFonts w:ascii="Times New Roman" w:hAnsi="Times New Roman"/>
          <w:noProof/>
        </w:rPr>
        <w:t xml:space="preserve"> </w:t>
      </w:r>
    </w:p>
    <w:p w14:paraId="25D2B85C" w14:textId="19241FAA" w:rsidR="00D137FA" w:rsidRPr="009936D9" w:rsidRDefault="00D137FA" w:rsidP="00DE3346">
      <w:pPr>
        <w:spacing w:before="240" w:after="240"/>
        <w:rPr>
          <w:rFonts w:ascii="Times New Roman" w:eastAsia="Times New Roman" w:hAnsi="Times New Roman" w:cs="Times New Roman"/>
          <w:b/>
          <w:noProof/>
          <w:sz w:val="21"/>
          <w:szCs w:val="21"/>
        </w:rPr>
      </w:pPr>
      <w:r>
        <w:rPr>
          <w:rFonts w:ascii="Times New Roman" w:hAnsi="Times New Roman"/>
          <w:b/>
          <w:noProof/>
          <w:sz w:val="21"/>
        </w:rPr>
        <w:t xml:space="preserve">Tabelul </w:t>
      </w:r>
      <w:r w:rsidRPr="004F4310">
        <w:rPr>
          <w:rFonts w:ascii="Times New Roman" w:hAnsi="Times New Roman"/>
          <w:b/>
          <w:noProof/>
          <w:sz w:val="21"/>
        </w:rPr>
        <w:t>2</w:t>
      </w:r>
      <w:r>
        <w:rPr>
          <w:rFonts w:ascii="Times New Roman" w:hAnsi="Times New Roman"/>
          <w:b/>
          <w:noProof/>
          <w:sz w:val="21"/>
        </w:rPr>
        <w:t>: Distribuția DLA și a WLA în funcție de tipul de FPM pe o perioadă de șase ani (în % din VAN a FPM)</w:t>
      </w:r>
    </w:p>
    <w:tbl>
      <w:tblPr>
        <w:tblStyle w:val="TableGrid"/>
        <w:tblW w:w="8814" w:type="dxa"/>
        <w:jc w:val="center"/>
        <w:tblLook w:val="04A0" w:firstRow="1" w:lastRow="0" w:firstColumn="1" w:lastColumn="0" w:noHBand="0" w:noVBand="1"/>
      </w:tblPr>
      <w:tblGrid>
        <w:gridCol w:w="1138"/>
        <w:gridCol w:w="1718"/>
        <w:gridCol w:w="1351"/>
        <w:gridCol w:w="1310"/>
        <w:gridCol w:w="1735"/>
        <w:gridCol w:w="1562"/>
      </w:tblGrid>
      <w:tr w:rsidR="004F39E1" w:rsidRPr="00CA2046" w14:paraId="51A5DCCC" w14:textId="77777777" w:rsidTr="00DE3346">
        <w:trPr>
          <w:trHeight w:val="356"/>
          <w:jc w:val="center"/>
        </w:trPr>
        <w:tc>
          <w:tcPr>
            <w:tcW w:w="2856" w:type="dxa"/>
            <w:gridSpan w:val="2"/>
            <w:vMerge w:val="restart"/>
            <w:vAlign w:val="center"/>
          </w:tcPr>
          <w:p w14:paraId="6ABE5AB1"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5958" w:type="dxa"/>
            <w:gridSpan w:val="4"/>
            <w:shd w:val="clear" w:color="auto" w:fill="BFBFBF" w:themeFill="background1" w:themeFillShade="BF"/>
            <w:vAlign w:val="center"/>
          </w:tcPr>
          <w:p w14:paraId="23AA26F9"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Tip de FPM</w:t>
            </w:r>
          </w:p>
        </w:tc>
      </w:tr>
      <w:tr w:rsidR="00F43053" w:rsidRPr="00CA2046" w14:paraId="1B828EFC" w14:textId="77777777" w:rsidTr="00DE3346">
        <w:trPr>
          <w:trHeight w:val="453"/>
          <w:jc w:val="center"/>
        </w:trPr>
        <w:tc>
          <w:tcPr>
            <w:tcW w:w="2856" w:type="dxa"/>
            <w:gridSpan w:val="2"/>
            <w:vMerge/>
            <w:vAlign w:val="center"/>
          </w:tcPr>
          <w:p w14:paraId="63145CBE"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351" w:type="dxa"/>
            <w:shd w:val="clear" w:color="auto" w:fill="D9D9D9" w:themeFill="background1" w:themeFillShade="D9"/>
            <w:vAlign w:val="center"/>
          </w:tcPr>
          <w:p w14:paraId="1F36CEAD"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FPM cu VAN constantă</w:t>
            </w:r>
          </w:p>
        </w:tc>
        <w:tc>
          <w:tcPr>
            <w:tcW w:w="1310" w:type="dxa"/>
            <w:shd w:val="clear" w:color="auto" w:fill="D9D9D9" w:themeFill="background1" w:themeFillShade="D9"/>
            <w:vAlign w:val="center"/>
          </w:tcPr>
          <w:p w14:paraId="14A37AAC"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FPM cu VAN cu volatilitate scăzută</w:t>
            </w:r>
          </w:p>
        </w:tc>
        <w:tc>
          <w:tcPr>
            <w:tcW w:w="1735" w:type="dxa"/>
            <w:shd w:val="clear" w:color="auto" w:fill="D9D9D9" w:themeFill="background1" w:themeFillShade="D9"/>
            <w:vAlign w:val="center"/>
          </w:tcPr>
          <w:p w14:paraId="5EA5D852"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FPM pe termen scurt cu VAN variabilă</w:t>
            </w:r>
          </w:p>
        </w:tc>
        <w:tc>
          <w:tcPr>
            <w:tcW w:w="1562" w:type="dxa"/>
            <w:shd w:val="clear" w:color="auto" w:fill="D9D9D9" w:themeFill="background1" w:themeFillShade="D9"/>
            <w:vAlign w:val="center"/>
          </w:tcPr>
          <w:p w14:paraId="1B68B8B4" w14:textId="77777777" w:rsidR="00210461" w:rsidRPr="00F43053" w:rsidRDefault="00210461" w:rsidP="00A63B3C">
            <w:pPr>
              <w:spacing w:before="60" w:after="60" w:line="240" w:lineRule="atLeast"/>
              <w:jc w:val="center"/>
              <w:rPr>
                <w:rFonts w:ascii="Times New Roman" w:hAnsi="Times New Roman" w:cs="Times New Roman"/>
                <w:b/>
                <w:bCs/>
                <w:noProof/>
                <w:sz w:val="18"/>
                <w:szCs w:val="18"/>
              </w:rPr>
            </w:pPr>
            <w:r>
              <w:rPr>
                <w:rFonts w:ascii="Times New Roman" w:hAnsi="Times New Roman"/>
                <w:b/>
                <w:noProof/>
                <w:sz w:val="18"/>
              </w:rPr>
              <w:t>FPM standard cu VAN variabilă</w:t>
            </w:r>
          </w:p>
        </w:tc>
      </w:tr>
      <w:tr w:rsidR="00254822" w:rsidRPr="00CA2046" w14:paraId="517979E3" w14:textId="77777777" w:rsidTr="00DE3346">
        <w:trPr>
          <w:trHeight w:val="314"/>
          <w:jc w:val="center"/>
        </w:trPr>
        <w:tc>
          <w:tcPr>
            <w:tcW w:w="1138" w:type="dxa"/>
            <w:vMerge w:val="restart"/>
            <w:shd w:val="clear" w:color="auto" w:fill="709FDB"/>
            <w:vAlign w:val="center"/>
          </w:tcPr>
          <w:p w14:paraId="7AB418DC" w14:textId="77777777" w:rsidR="00210461" w:rsidRPr="00F43053" w:rsidRDefault="00210461" w:rsidP="00A63B3C">
            <w:pPr>
              <w:spacing w:line="480" w:lineRule="auto"/>
              <w:jc w:val="center"/>
              <w:rPr>
                <w:rFonts w:ascii="Times New Roman" w:hAnsi="Times New Roman" w:cs="Times New Roman"/>
                <w:b/>
                <w:bCs/>
                <w:noProof/>
                <w:sz w:val="18"/>
                <w:szCs w:val="18"/>
              </w:rPr>
            </w:pPr>
            <w:r>
              <w:rPr>
                <w:rFonts w:ascii="Times New Roman" w:hAnsi="Times New Roman"/>
                <w:b/>
                <w:noProof/>
                <w:sz w:val="18"/>
              </w:rPr>
              <w:t>DLA</w:t>
            </w:r>
          </w:p>
        </w:tc>
        <w:tc>
          <w:tcPr>
            <w:tcW w:w="1717" w:type="dxa"/>
            <w:shd w:val="clear" w:color="auto" w:fill="B7CFED"/>
            <w:vAlign w:val="center"/>
          </w:tcPr>
          <w:p w14:paraId="6A2A9C6A"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 xml:space="preserve">Percentila </w:t>
            </w:r>
            <w:r w:rsidRPr="004F4310">
              <w:rPr>
                <w:rFonts w:ascii="Times New Roman" w:hAnsi="Times New Roman"/>
                <w:b/>
                <w:noProof/>
                <w:color w:val="000000"/>
                <w:sz w:val="18"/>
              </w:rPr>
              <w:t>25</w:t>
            </w:r>
          </w:p>
        </w:tc>
        <w:tc>
          <w:tcPr>
            <w:tcW w:w="1351" w:type="dxa"/>
            <w:vAlign w:val="center"/>
          </w:tcPr>
          <w:p w14:paraId="7FBF8F4E"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24</w:t>
            </w:r>
            <w:r>
              <w:rPr>
                <w:rFonts w:ascii="Times New Roman" w:hAnsi="Times New Roman"/>
                <w:noProof/>
                <w:sz w:val="18"/>
              </w:rPr>
              <w:t> %</w:t>
            </w:r>
          </w:p>
        </w:tc>
        <w:tc>
          <w:tcPr>
            <w:tcW w:w="1310" w:type="dxa"/>
            <w:vAlign w:val="center"/>
          </w:tcPr>
          <w:p w14:paraId="72E9AC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25</w:t>
            </w:r>
            <w:r>
              <w:rPr>
                <w:rFonts w:ascii="Times New Roman" w:hAnsi="Times New Roman"/>
                <w:noProof/>
                <w:sz w:val="18"/>
              </w:rPr>
              <w:t> %</w:t>
            </w:r>
          </w:p>
        </w:tc>
        <w:tc>
          <w:tcPr>
            <w:tcW w:w="1735" w:type="dxa"/>
            <w:vAlign w:val="center"/>
          </w:tcPr>
          <w:p w14:paraId="0995470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11</w:t>
            </w:r>
            <w:r>
              <w:rPr>
                <w:rFonts w:ascii="Times New Roman" w:hAnsi="Times New Roman"/>
                <w:noProof/>
                <w:sz w:val="18"/>
              </w:rPr>
              <w:t> %</w:t>
            </w:r>
          </w:p>
        </w:tc>
        <w:tc>
          <w:tcPr>
            <w:tcW w:w="1562" w:type="dxa"/>
            <w:vAlign w:val="center"/>
          </w:tcPr>
          <w:p w14:paraId="3ED37698"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8</w:t>
            </w:r>
            <w:r>
              <w:rPr>
                <w:rFonts w:ascii="Times New Roman" w:hAnsi="Times New Roman"/>
                <w:noProof/>
                <w:sz w:val="18"/>
              </w:rPr>
              <w:t> %</w:t>
            </w:r>
          </w:p>
        </w:tc>
      </w:tr>
      <w:tr w:rsidR="00254822" w:rsidRPr="00CA2046" w14:paraId="3A639EF1" w14:textId="77777777" w:rsidTr="00DE3346">
        <w:trPr>
          <w:trHeight w:val="453"/>
          <w:jc w:val="center"/>
        </w:trPr>
        <w:tc>
          <w:tcPr>
            <w:tcW w:w="1138" w:type="dxa"/>
            <w:vMerge/>
            <w:vAlign w:val="center"/>
          </w:tcPr>
          <w:p w14:paraId="3C45DD0C" w14:textId="77777777" w:rsidR="00210461" w:rsidRPr="00F43053" w:rsidRDefault="00210461" w:rsidP="00A63B3C">
            <w:pPr>
              <w:spacing w:line="480" w:lineRule="auto"/>
              <w:jc w:val="center"/>
              <w:rPr>
                <w:rFonts w:ascii="Times New Roman" w:hAnsi="Times New Roman" w:cs="Times New Roman"/>
                <w:b/>
                <w:bCs/>
                <w:noProof/>
                <w:sz w:val="18"/>
                <w:szCs w:val="18"/>
              </w:rPr>
            </w:pPr>
          </w:p>
        </w:tc>
        <w:tc>
          <w:tcPr>
            <w:tcW w:w="1717" w:type="dxa"/>
            <w:shd w:val="clear" w:color="auto" w:fill="B7CFED"/>
            <w:vAlign w:val="center"/>
          </w:tcPr>
          <w:p w14:paraId="5F3DD832"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Medie</w:t>
            </w:r>
          </w:p>
        </w:tc>
        <w:tc>
          <w:tcPr>
            <w:tcW w:w="1351" w:type="dxa"/>
            <w:vAlign w:val="center"/>
          </w:tcPr>
          <w:p w14:paraId="629BD0E7"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40</w:t>
            </w:r>
            <w:r>
              <w:rPr>
                <w:rFonts w:ascii="Times New Roman" w:hAnsi="Times New Roman"/>
                <w:noProof/>
                <w:sz w:val="18"/>
              </w:rPr>
              <w:t> %</w:t>
            </w:r>
          </w:p>
        </w:tc>
        <w:tc>
          <w:tcPr>
            <w:tcW w:w="1310" w:type="dxa"/>
            <w:vAlign w:val="center"/>
          </w:tcPr>
          <w:p w14:paraId="0EAA067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33</w:t>
            </w:r>
            <w:r>
              <w:rPr>
                <w:rFonts w:ascii="Times New Roman" w:hAnsi="Times New Roman"/>
                <w:noProof/>
                <w:sz w:val="18"/>
              </w:rPr>
              <w:t> %</w:t>
            </w:r>
          </w:p>
        </w:tc>
        <w:tc>
          <w:tcPr>
            <w:tcW w:w="1735" w:type="dxa"/>
            <w:vAlign w:val="center"/>
          </w:tcPr>
          <w:p w14:paraId="2BC79159"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22</w:t>
            </w:r>
            <w:r>
              <w:rPr>
                <w:rFonts w:ascii="Times New Roman" w:hAnsi="Times New Roman"/>
                <w:noProof/>
                <w:sz w:val="18"/>
              </w:rPr>
              <w:t> %</w:t>
            </w:r>
          </w:p>
        </w:tc>
        <w:tc>
          <w:tcPr>
            <w:tcW w:w="1562" w:type="dxa"/>
            <w:vAlign w:val="center"/>
          </w:tcPr>
          <w:p w14:paraId="221FD60E"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15</w:t>
            </w:r>
            <w:r>
              <w:rPr>
                <w:rFonts w:ascii="Times New Roman" w:hAnsi="Times New Roman"/>
                <w:noProof/>
                <w:sz w:val="18"/>
              </w:rPr>
              <w:t> %</w:t>
            </w:r>
          </w:p>
        </w:tc>
      </w:tr>
      <w:tr w:rsidR="00254822" w:rsidRPr="00CA2046" w14:paraId="748A760A" w14:textId="77777777" w:rsidTr="00DE3346">
        <w:trPr>
          <w:trHeight w:val="453"/>
          <w:jc w:val="center"/>
        </w:trPr>
        <w:tc>
          <w:tcPr>
            <w:tcW w:w="1138" w:type="dxa"/>
            <w:vMerge/>
            <w:vAlign w:val="center"/>
          </w:tcPr>
          <w:p w14:paraId="1AD564CF" w14:textId="77777777" w:rsidR="00210461" w:rsidRPr="00F43053" w:rsidRDefault="00210461" w:rsidP="00A63B3C">
            <w:pPr>
              <w:spacing w:line="480" w:lineRule="auto"/>
              <w:jc w:val="center"/>
              <w:rPr>
                <w:rFonts w:ascii="Times New Roman" w:hAnsi="Times New Roman" w:cs="Times New Roman"/>
                <w:b/>
                <w:bCs/>
                <w:noProof/>
                <w:sz w:val="18"/>
                <w:szCs w:val="18"/>
              </w:rPr>
            </w:pPr>
          </w:p>
        </w:tc>
        <w:tc>
          <w:tcPr>
            <w:tcW w:w="1717" w:type="dxa"/>
            <w:shd w:val="clear" w:color="auto" w:fill="B7CFED"/>
            <w:vAlign w:val="center"/>
          </w:tcPr>
          <w:p w14:paraId="07892A3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 xml:space="preserve">Percentila </w:t>
            </w:r>
            <w:r w:rsidRPr="004F4310">
              <w:rPr>
                <w:rFonts w:ascii="Times New Roman" w:hAnsi="Times New Roman"/>
                <w:b/>
                <w:noProof/>
                <w:color w:val="000000"/>
                <w:sz w:val="18"/>
              </w:rPr>
              <w:t>75</w:t>
            </w:r>
          </w:p>
        </w:tc>
        <w:tc>
          <w:tcPr>
            <w:tcW w:w="1351" w:type="dxa"/>
            <w:vAlign w:val="center"/>
          </w:tcPr>
          <w:p w14:paraId="3424A791"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53</w:t>
            </w:r>
            <w:r>
              <w:rPr>
                <w:rFonts w:ascii="Times New Roman" w:hAnsi="Times New Roman"/>
                <w:noProof/>
                <w:sz w:val="18"/>
              </w:rPr>
              <w:t> %</w:t>
            </w:r>
          </w:p>
        </w:tc>
        <w:tc>
          <w:tcPr>
            <w:tcW w:w="1310" w:type="dxa"/>
            <w:vAlign w:val="center"/>
          </w:tcPr>
          <w:p w14:paraId="7D3D32A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38</w:t>
            </w:r>
            <w:r>
              <w:rPr>
                <w:rFonts w:ascii="Times New Roman" w:hAnsi="Times New Roman"/>
                <w:noProof/>
                <w:sz w:val="18"/>
              </w:rPr>
              <w:t> %</w:t>
            </w:r>
          </w:p>
        </w:tc>
        <w:tc>
          <w:tcPr>
            <w:tcW w:w="1735" w:type="dxa"/>
            <w:vAlign w:val="center"/>
          </w:tcPr>
          <w:p w14:paraId="2FCC12DF"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28</w:t>
            </w:r>
            <w:r>
              <w:rPr>
                <w:rFonts w:ascii="Times New Roman" w:hAnsi="Times New Roman"/>
                <w:noProof/>
                <w:sz w:val="18"/>
              </w:rPr>
              <w:t> %</w:t>
            </w:r>
          </w:p>
        </w:tc>
        <w:tc>
          <w:tcPr>
            <w:tcW w:w="1562" w:type="dxa"/>
            <w:vAlign w:val="center"/>
          </w:tcPr>
          <w:p w14:paraId="42FCBA78"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18</w:t>
            </w:r>
            <w:r>
              <w:rPr>
                <w:rFonts w:ascii="Times New Roman" w:hAnsi="Times New Roman"/>
                <w:noProof/>
                <w:sz w:val="18"/>
              </w:rPr>
              <w:t> %</w:t>
            </w:r>
          </w:p>
        </w:tc>
      </w:tr>
      <w:tr w:rsidR="00254822" w:rsidRPr="00CA2046" w14:paraId="19B09CBD" w14:textId="77777777" w:rsidTr="00DE3346">
        <w:trPr>
          <w:trHeight w:val="533"/>
          <w:jc w:val="center"/>
        </w:trPr>
        <w:tc>
          <w:tcPr>
            <w:tcW w:w="1138" w:type="dxa"/>
            <w:vMerge w:val="restart"/>
            <w:shd w:val="clear" w:color="auto" w:fill="709FDB"/>
            <w:vAlign w:val="center"/>
          </w:tcPr>
          <w:p w14:paraId="7EDF65C6" w14:textId="77777777" w:rsidR="00210461" w:rsidRPr="00F43053" w:rsidRDefault="00210461" w:rsidP="00A63B3C">
            <w:pPr>
              <w:spacing w:line="480" w:lineRule="auto"/>
              <w:jc w:val="center"/>
              <w:rPr>
                <w:rFonts w:ascii="Times New Roman" w:hAnsi="Times New Roman" w:cs="Times New Roman"/>
                <w:b/>
                <w:bCs/>
                <w:noProof/>
                <w:sz w:val="18"/>
                <w:szCs w:val="18"/>
              </w:rPr>
            </w:pPr>
            <w:r>
              <w:rPr>
                <w:rFonts w:ascii="Times New Roman" w:hAnsi="Times New Roman"/>
                <w:b/>
                <w:noProof/>
                <w:sz w:val="18"/>
              </w:rPr>
              <w:t>WLA</w:t>
            </w:r>
          </w:p>
        </w:tc>
        <w:tc>
          <w:tcPr>
            <w:tcW w:w="1717" w:type="dxa"/>
            <w:shd w:val="clear" w:color="auto" w:fill="B7CFED"/>
            <w:vAlign w:val="center"/>
          </w:tcPr>
          <w:p w14:paraId="5B505EC7"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 xml:space="preserve">Percentila </w:t>
            </w:r>
            <w:r w:rsidRPr="004F4310">
              <w:rPr>
                <w:rFonts w:ascii="Times New Roman" w:hAnsi="Times New Roman"/>
                <w:b/>
                <w:noProof/>
                <w:color w:val="000000"/>
                <w:sz w:val="18"/>
              </w:rPr>
              <w:t>25</w:t>
            </w:r>
          </w:p>
        </w:tc>
        <w:tc>
          <w:tcPr>
            <w:tcW w:w="1351" w:type="dxa"/>
            <w:vAlign w:val="center"/>
          </w:tcPr>
          <w:p w14:paraId="3550F041"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41</w:t>
            </w:r>
            <w:r>
              <w:rPr>
                <w:rFonts w:ascii="Times New Roman" w:hAnsi="Times New Roman"/>
                <w:noProof/>
                <w:sz w:val="18"/>
              </w:rPr>
              <w:t> %</w:t>
            </w:r>
          </w:p>
        </w:tc>
        <w:tc>
          <w:tcPr>
            <w:tcW w:w="1310" w:type="dxa"/>
            <w:vAlign w:val="center"/>
          </w:tcPr>
          <w:p w14:paraId="7D1DC008" w14:textId="3554B138" w:rsidR="00210461" w:rsidRPr="00F43053" w:rsidRDefault="003A3F8D"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3" behindDoc="0" locked="0" layoutInCell="1" allowOverlap="1" wp14:anchorId="79F73284" wp14:editId="27A8D333">
                      <wp:simplePos x="0" y="0"/>
                      <wp:positionH relativeFrom="column">
                        <wp:posOffset>45085</wp:posOffset>
                      </wp:positionH>
                      <wp:positionV relativeFrom="paragraph">
                        <wp:posOffset>17780</wp:posOffset>
                      </wp:positionV>
                      <wp:extent cx="496570" cy="198120"/>
                      <wp:effectExtent l="0" t="0" r="17780" b="11430"/>
                      <wp:wrapNone/>
                      <wp:docPr id="947417186" name="Oval 1"/>
                      <wp:cNvGraphicFramePr/>
                      <a:graphic xmlns:a="http://schemas.openxmlformats.org/drawingml/2006/main">
                        <a:graphicData uri="http://schemas.microsoft.com/office/word/2010/wordprocessingShape">
                          <wps:wsp>
                            <wps:cNvSpPr/>
                            <wps:spPr>
                              <a:xfrm>
                                <a:off x="0" y="0"/>
                                <a:ext cx="496570" cy="198120"/>
                              </a:xfrm>
                              <a:prstGeom prst="ellipse">
                                <a:avLst/>
                              </a:prstGeom>
                              <a:noFill/>
                              <a:ln>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oval id="Oval 1" style="position:absolute;margin-left:3.55pt;margin-top:1.4pt;width:39.1pt;height:15.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b05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" w14:anchorId="1A580446"/>
                  </w:pict>
                </mc:Fallback>
              </mc:AlternateContent>
            </w:r>
            <w:r w:rsidRPr="004F4310">
              <w:rPr>
                <w:rFonts w:ascii="Times New Roman" w:hAnsi="Times New Roman"/>
                <w:noProof/>
                <w:sz w:val="18"/>
              </w:rPr>
              <w:t>43</w:t>
            </w:r>
            <w:r>
              <w:rPr>
                <w:rFonts w:ascii="Times New Roman" w:hAnsi="Times New Roman"/>
                <w:noProof/>
                <w:sz w:val="18"/>
              </w:rPr>
              <w:t> %</w:t>
            </w:r>
          </w:p>
        </w:tc>
        <w:tc>
          <w:tcPr>
            <w:tcW w:w="1735" w:type="dxa"/>
            <w:vAlign w:val="center"/>
          </w:tcPr>
          <w:p w14:paraId="795CEB9D" w14:textId="27B06663"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22</w:t>
            </w:r>
            <w:r>
              <w:rPr>
                <w:rFonts w:ascii="Times New Roman" w:hAnsi="Times New Roman"/>
                <w:noProof/>
                <w:sz w:val="18"/>
              </w:rPr>
              <w:t> %</w:t>
            </w:r>
          </w:p>
        </w:tc>
        <w:tc>
          <w:tcPr>
            <w:tcW w:w="1562" w:type="dxa"/>
            <w:vAlign w:val="center"/>
          </w:tcPr>
          <w:p w14:paraId="7CC7D7D9"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16</w:t>
            </w:r>
            <w:r>
              <w:rPr>
                <w:rFonts w:ascii="Times New Roman" w:hAnsi="Times New Roman"/>
                <w:noProof/>
                <w:sz w:val="18"/>
              </w:rPr>
              <w:t> %</w:t>
            </w:r>
          </w:p>
        </w:tc>
      </w:tr>
      <w:tr w:rsidR="00254822" w:rsidRPr="00CA2046" w14:paraId="00B31CD6" w14:textId="77777777" w:rsidTr="00DE3346">
        <w:trPr>
          <w:trHeight w:val="453"/>
          <w:jc w:val="center"/>
        </w:trPr>
        <w:tc>
          <w:tcPr>
            <w:tcW w:w="1138" w:type="dxa"/>
            <w:vMerge/>
            <w:vAlign w:val="center"/>
          </w:tcPr>
          <w:p w14:paraId="2779D0B5"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717" w:type="dxa"/>
            <w:shd w:val="clear" w:color="auto" w:fill="B7CFED"/>
            <w:vAlign w:val="center"/>
          </w:tcPr>
          <w:p w14:paraId="074885A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Medie</w:t>
            </w:r>
          </w:p>
        </w:tc>
        <w:tc>
          <w:tcPr>
            <w:tcW w:w="1351" w:type="dxa"/>
            <w:vAlign w:val="center"/>
          </w:tcPr>
          <w:p w14:paraId="043B04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59</w:t>
            </w:r>
            <w:r>
              <w:rPr>
                <w:rFonts w:ascii="Times New Roman" w:hAnsi="Times New Roman"/>
                <w:noProof/>
                <w:sz w:val="18"/>
              </w:rPr>
              <w:t> %</w:t>
            </w:r>
          </w:p>
        </w:tc>
        <w:tc>
          <w:tcPr>
            <w:tcW w:w="1310" w:type="dxa"/>
            <w:vAlign w:val="center"/>
          </w:tcPr>
          <w:p w14:paraId="6731E10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4" behindDoc="0" locked="0" layoutInCell="1" allowOverlap="1" wp14:anchorId="62C8D001" wp14:editId="29E60202">
                      <wp:simplePos x="0" y="0"/>
                      <wp:positionH relativeFrom="column">
                        <wp:posOffset>59055</wp:posOffset>
                      </wp:positionH>
                      <wp:positionV relativeFrom="paragraph">
                        <wp:posOffset>17780</wp:posOffset>
                      </wp:positionV>
                      <wp:extent cx="525780" cy="177800"/>
                      <wp:effectExtent l="0" t="0" r="26670" b="12700"/>
                      <wp:wrapNone/>
                      <wp:docPr id="1245052219" name="Oval 1"/>
                      <wp:cNvGraphicFramePr/>
                      <a:graphic xmlns:a="http://schemas.openxmlformats.org/drawingml/2006/main">
                        <a:graphicData uri="http://schemas.microsoft.com/office/word/2010/wordprocessingShape">
                          <wps:wsp>
                            <wps:cNvSpPr/>
                            <wps:spPr>
                              <a:xfrm>
                                <a:off x="0" y="0"/>
                                <a:ext cx="525780" cy="177800"/>
                              </a:xfrm>
                              <a:prstGeom prst="ellipse">
                                <a:avLst/>
                              </a:prstGeom>
                              <a:noFill/>
                              <a:ln>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oval id="Oval 1" style="position:absolute;margin-left:4.65pt;margin-top:1.4pt;width:41.4pt;height:1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36c0a [2409]"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" w14:anchorId="501AB324"/>
                  </w:pict>
                </mc:Fallback>
              </mc:AlternateContent>
            </w:r>
            <w:r w:rsidRPr="004F4310">
              <w:rPr>
                <w:rFonts w:ascii="Times New Roman" w:hAnsi="Times New Roman"/>
                <w:noProof/>
                <w:sz w:val="18"/>
              </w:rPr>
              <w:t>50</w:t>
            </w:r>
            <w:r>
              <w:rPr>
                <w:rFonts w:ascii="Times New Roman" w:hAnsi="Times New Roman"/>
                <w:noProof/>
                <w:sz w:val="18"/>
              </w:rPr>
              <w:t> %</w:t>
            </w:r>
          </w:p>
        </w:tc>
        <w:tc>
          <w:tcPr>
            <w:tcW w:w="1735" w:type="dxa"/>
            <w:vAlign w:val="center"/>
          </w:tcPr>
          <w:p w14:paraId="7F9210D2"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35</w:t>
            </w:r>
            <w:r>
              <w:rPr>
                <w:rFonts w:ascii="Times New Roman" w:hAnsi="Times New Roman"/>
                <w:noProof/>
                <w:sz w:val="18"/>
              </w:rPr>
              <w:t> %</w:t>
            </w:r>
          </w:p>
        </w:tc>
        <w:tc>
          <w:tcPr>
            <w:tcW w:w="1562" w:type="dxa"/>
            <w:vAlign w:val="center"/>
          </w:tcPr>
          <w:p w14:paraId="219C353D"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24</w:t>
            </w:r>
            <w:r>
              <w:rPr>
                <w:rFonts w:ascii="Times New Roman" w:hAnsi="Times New Roman"/>
                <w:noProof/>
                <w:sz w:val="18"/>
              </w:rPr>
              <w:t> %</w:t>
            </w:r>
          </w:p>
        </w:tc>
      </w:tr>
      <w:tr w:rsidR="00254822" w:rsidRPr="00CA2046" w14:paraId="65188D72" w14:textId="77777777" w:rsidTr="00DE3346">
        <w:trPr>
          <w:trHeight w:val="453"/>
          <w:jc w:val="center"/>
        </w:trPr>
        <w:tc>
          <w:tcPr>
            <w:tcW w:w="1138" w:type="dxa"/>
            <w:vMerge/>
            <w:vAlign w:val="center"/>
          </w:tcPr>
          <w:p w14:paraId="7265EFA4" w14:textId="77777777" w:rsidR="00210461" w:rsidRPr="00F43053" w:rsidRDefault="00210461" w:rsidP="00A63B3C">
            <w:pPr>
              <w:spacing w:line="480" w:lineRule="auto"/>
              <w:jc w:val="center"/>
              <w:rPr>
                <w:rFonts w:ascii="Times New Roman" w:hAnsi="Times New Roman" w:cs="Times New Roman"/>
                <w:noProof/>
                <w:sz w:val="18"/>
                <w:szCs w:val="18"/>
              </w:rPr>
            </w:pPr>
          </w:p>
        </w:tc>
        <w:tc>
          <w:tcPr>
            <w:tcW w:w="1717" w:type="dxa"/>
            <w:shd w:val="clear" w:color="auto" w:fill="B7CFED"/>
            <w:vAlign w:val="center"/>
          </w:tcPr>
          <w:p w14:paraId="4BA765BB"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b/>
                <w:noProof/>
                <w:color w:val="000000"/>
                <w:sz w:val="18"/>
              </w:rPr>
              <w:t xml:space="preserve">Percentila </w:t>
            </w:r>
            <w:r w:rsidRPr="004F4310">
              <w:rPr>
                <w:rFonts w:ascii="Times New Roman" w:hAnsi="Times New Roman"/>
                <w:b/>
                <w:noProof/>
                <w:color w:val="000000"/>
                <w:sz w:val="18"/>
              </w:rPr>
              <w:t>75</w:t>
            </w:r>
          </w:p>
        </w:tc>
        <w:tc>
          <w:tcPr>
            <w:tcW w:w="1351" w:type="dxa"/>
            <w:vAlign w:val="center"/>
          </w:tcPr>
          <w:p w14:paraId="6FF6A5C0"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76</w:t>
            </w:r>
            <w:r>
              <w:rPr>
                <w:rFonts w:ascii="Times New Roman" w:hAnsi="Times New Roman"/>
                <w:noProof/>
                <w:sz w:val="18"/>
              </w:rPr>
              <w:t> %</w:t>
            </w:r>
          </w:p>
        </w:tc>
        <w:tc>
          <w:tcPr>
            <w:tcW w:w="1310" w:type="dxa"/>
            <w:vAlign w:val="center"/>
          </w:tcPr>
          <w:p w14:paraId="6441A963"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Pr>
                <w:rFonts w:ascii="Times New Roman" w:hAnsi="Times New Roman"/>
                <w:noProof/>
                <w:sz w:val="18"/>
                <w:lang w:val="en-GB" w:eastAsia="en-GB"/>
              </w:rPr>
              <mc:AlternateContent>
                <mc:Choice Requires="wps">
                  <w:drawing>
                    <wp:anchor distT="0" distB="0" distL="114300" distR="114300" simplePos="0" relativeHeight="251658245" behindDoc="0" locked="0" layoutInCell="1" allowOverlap="1" wp14:anchorId="5F47FE35" wp14:editId="444F0D62">
                      <wp:simplePos x="0" y="0"/>
                      <wp:positionH relativeFrom="column">
                        <wp:posOffset>38100</wp:posOffset>
                      </wp:positionH>
                      <wp:positionV relativeFrom="paragraph">
                        <wp:posOffset>28575</wp:posOffset>
                      </wp:positionV>
                      <wp:extent cx="539750" cy="171450"/>
                      <wp:effectExtent l="0" t="0" r="12700" b="19050"/>
                      <wp:wrapNone/>
                      <wp:docPr id="242359181" name="Oval 1"/>
                      <wp:cNvGraphicFramePr/>
                      <a:graphic xmlns:a="http://schemas.openxmlformats.org/drawingml/2006/main">
                        <a:graphicData uri="http://schemas.microsoft.com/office/word/2010/wordprocessingShape">
                          <wps:wsp>
                            <wps:cNvSpPr/>
                            <wps:spPr>
                              <a:xfrm>
                                <a:off x="0" y="0"/>
                                <a:ext cx="539750" cy="171450"/>
                              </a:xfrm>
                              <a:prstGeom prst="ellipse">
                                <a:avLst/>
                              </a:prstGeom>
                              <a:noFill/>
                              <a:ln>
                                <a:solidFill>
                                  <a:srgbClr val="00B0F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oval id="Oval 1" style="position:absolute;margin-left:3pt;margin-top:2.25pt;width:42.5pt;height: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b0f0"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" w14:anchorId="2694690B"/>
                  </w:pict>
                </mc:Fallback>
              </mc:AlternateContent>
            </w:r>
            <w:r w:rsidRPr="004F4310">
              <w:rPr>
                <w:rFonts w:ascii="Times New Roman" w:hAnsi="Times New Roman"/>
                <w:noProof/>
                <w:sz w:val="18"/>
              </w:rPr>
              <w:t>54</w:t>
            </w:r>
            <w:r>
              <w:rPr>
                <w:rFonts w:ascii="Times New Roman" w:hAnsi="Times New Roman"/>
                <w:noProof/>
                <w:sz w:val="18"/>
              </w:rPr>
              <w:t> %</w:t>
            </w:r>
          </w:p>
        </w:tc>
        <w:tc>
          <w:tcPr>
            <w:tcW w:w="1735" w:type="dxa"/>
            <w:vAlign w:val="center"/>
          </w:tcPr>
          <w:p w14:paraId="460C37DF"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43</w:t>
            </w:r>
            <w:r>
              <w:rPr>
                <w:rFonts w:ascii="Times New Roman" w:hAnsi="Times New Roman"/>
                <w:noProof/>
                <w:sz w:val="18"/>
              </w:rPr>
              <w:t> %</w:t>
            </w:r>
          </w:p>
        </w:tc>
        <w:tc>
          <w:tcPr>
            <w:tcW w:w="1562" w:type="dxa"/>
            <w:vAlign w:val="center"/>
          </w:tcPr>
          <w:p w14:paraId="5DC837FB" w14:textId="77777777" w:rsidR="00210461" w:rsidRPr="00F43053" w:rsidRDefault="00210461" w:rsidP="00A63B3C">
            <w:pPr>
              <w:spacing w:before="60" w:after="60" w:line="240" w:lineRule="atLeast"/>
              <w:jc w:val="center"/>
              <w:rPr>
                <w:rFonts w:ascii="Times New Roman" w:hAnsi="Times New Roman" w:cs="Times New Roman"/>
                <w:noProof/>
                <w:sz w:val="18"/>
                <w:szCs w:val="18"/>
              </w:rPr>
            </w:pPr>
            <w:r w:rsidRPr="004F4310">
              <w:rPr>
                <w:rFonts w:ascii="Times New Roman" w:hAnsi="Times New Roman"/>
                <w:noProof/>
                <w:sz w:val="18"/>
              </w:rPr>
              <w:t>28</w:t>
            </w:r>
            <w:r>
              <w:rPr>
                <w:rFonts w:ascii="Times New Roman" w:hAnsi="Times New Roman"/>
                <w:noProof/>
                <w:sz w:val="18"/>
              </w:rPr>
              <w:t> %</w:t>
            </w:r>
          </w:p>
        </w:tc>
      </w:tr>
    </w:tbl>
    <w:p w14:paraId="483FB1C2" w14:textId="794C91AF" w:rsidR="00E803BB" w:rsidRPr="001D4252" w:rsidRDefault="00E803BB" w:rsidP="00A63B3C">
      <w:pPr>
        <w:spacing w:after="0"/>
        <w:ind w:left="142" w:firstLine="578"/>
        <w:rPr>
          <w:rFonts w:ascii="Times New Roman" w:eastAsia="Times New Roman" w:hAnsi="Times New Roman" w:cs="Times New Roman"/>
          <w:noProof/>
          <w:sz w:val="18"/>
          <w:szCs w:val="18"/>
        </w:rPr>
      </w:pPr>
      <w:r>
        <w:rPr>
          <w:rFonts w:ascii="Times New Roman" w:hAnsi="Times New Roman"/>
          <w:noProof/>
          <w:sz w:val="18"/>
        </w:rPr>
        <w:t>Surse: Comisia Europeană, pe baza datelor ESMA din T</w:t>
      </w:r>
      <w:r w:rsidRPr="004F4310">
        <w:rPr>
          <w:rFonts w:ascii="Times New Roman" w:hAnsi="Times New Roman"/>
          <w:noProof/>
          <w:sz w:val="18"/>
        </w:rPr>
        <w:t>1</w:t>
      </w:r>
      <w:r>
        <w:rPr>
          <w:rFonts w:ascii="Times New Roman" w:hAnsi="Times New Roman"/>
          <w:noProof/>
          <w:sz w:val="18"/>
        </w:rPr>
        <w:t> </w:t>
      </w:r>
      <w:r w:rsidRPr="004F4310">
        <w:rPr>
          <w:rFonts w:ascii="Times New Roman" w:hAnsi="Times New Roman"/>
          <w:noProof/>
          <w:sz w:val="18"/>
        </w:rPr>
        <w:t>2020</w:t>
      </w:r>
      <w:r>
        <w:rPr>
          <w:rFonts w:ascii="Times New Roman" w:hAnsi="Times New Roman"/>
          <w:noProof/>
          <w:sz w:val="18"/>
        </w:rPr>
        <w:t xml:space="preserve"> până în T</w:t>
      </w:r>
      <w:r w:rsidRPr="004F4310">
        <w:rPr>
          <w:rFonts w:ascii="Times New Roman" w:hAnsi="Times New Roman"/>
          <w:noProof/>
          <w:sz w:val="18"/>
        </w:rPr>
        <w:t>4</w:t>
      </w:r>
      <w:r>
        <w:rPr>
          <w:rFonts w:ascii="Times New Roman" w:hAnsi="Times New Roman"/>
          <w:noProof/>
          <w:sz w:val="18"/>
        </w:rPr>
        <w:t> </w:t>
      </w:r>
      <w:r w:rsidRPr="004F4310">
        <w:rPr>
          <w:rFonts w:ascii="Times New Roman" w:hAnsi="Times New Roman"/>
          <w:noProof/>
          <w:sz w:val="18"/>
        </w:rPr>
        <w:t>2025</w:t>
      </w:r>
    </w:p>
    <w:p w14:paraId="032B7908" w14:textId="77777777" w:rsidR="00B33547" w:rsidRDefault="00B33547" w:rsidP="002E1D5E">
      <w:pPr>
        <w:spacing w:after="0" w:line="280" w:lineRule="atLeast"/>
        <w:jc w:val="both"/>
        <w:rPr>
          <w:rFonts w:ascii="Times New Roman" w:hAnsi="Times New Roman" w:cs="Times New Roman"/>
          <w:noProof/>
        </w:rPr>
      </w:pPr>
    </w:p>
    <w:p w14:paraId="5D8A5BC8" w14:textId="2F62170A" w:rsidR="00480352" w:rsidRDefault="130D8D58" w:rsidP="00D04526">
      <w:pPr>
        <w:spacing w:after="0" w:line="280" w:lineRule="atLeast"/>
        <w:jc w:val="both"/>
        <w:rPr>
          <w:rFonts w:ascii="Times New Roman" w:hAnsi="Times New Roman" w:cs="Times New Roman"/>
          <w:noProof/>
        </w:rPr>
      </w:pPr>
      <w:r>
        <w:rPr>
          <w:rFonts w:ascii="Times New Roman" w:hAnsi="Times New Roman"/>
          <w:noProof/>
        </w:rPr>
        <w:t xml:space="preserve">Faptul că majoritatea FPM din UE dețin rezerve de lichiditate cu mult peste cerințele minime prevăzute în Regulamentul privind FPM se explică prin abordarea în general prudentă adoptată de FPM din UE, determinată de o supraveghere strictă, de monitorizarea exercitată de investitori (facilitată de cerințele de transparență prevăzute în Regulamentul privind FPM) și de o sensibilitate sporită la riscurile reputaționale. Acest comportament rămâne relativ stabil în timp, cu unele variații (a se vedea graficul </w:t>
      </w:r>
      <w:r w:rsidRPr="004F4310">
        <w:rPr>
          <w:rFonts w:ascii="Times New Roman" w:hAnsi="Times New Roman"/>
          <w:noProof/>
        </w:rPr>
        <w:t>1</w:t>
      </w:r>
      <w:r>
        <w:rPr>
          <w:rFonts w:ascii="Times New Roman" w:hAnsi="Times New Roman"/>
          <w:noProof/>
        </w:rPr>
        <w:t xml:space="preserve"> privind FPM cu VAN cu volatilitate scăzută și anexa I). Graficul </w:t>
      </w:r>
      <w:r w:rsidRPr="004F4310">
        <w:rPr>
          <w:rFonts w:ascii="Times New Roman" w:hAnsi="Times New Roman"/>
          <w:noProof/>
        </w:rPr>
        <w:t>1</w:t>
      </w:r>
      <w:r>
        <w:rPr>
          <w:rFonts w:ascii="Times New Roman" w:hAnsi="Times New Roman"/>
          <w:noProof/>
        </w:rPr>
        <w:t xml:space="preserve"> arată că cel mai scăzut nivel observat între </w:t>
      </w:r>
      <w:r w:rsidRPr="004F4310">
        <w:rPr>
          <w:rFonts w:ascii="Times New Roman" w:hAnsi="Times New Roman"/>
          <w:noProof/>
        </w:rPr>
        <w:t>2020</w:t>
      </w:r>
      <w:r>
        <w:rPr>
          <w:rFonts w:ascii="Times New Roman" w:hAnsi="Times New Roman"/>
          <w:noProof/>
        </w:rPr>
        <w:t xml:space="preserve"> și </w:t>
      </w:r>
      <w:r w:rsidRPr="004F4310">
        <w:rPr>
          <w:rFonts w:ascii="Times New Roman" w:hAnsi="Times New Roman"/>
          <w:noProof/>
        </w:rPr>
        <w:t>2025</w:t>
      </w:r>
      <w:r>
        <w:rPr>
          <w:rFonts w:ascii="Times New Roman" w:hAnsi="Times New Roman"/>
          <w:noProof/>
        </w:rPr>
        <w:t xml:space="preserve"> a fost o rezervă medie de lichiditate de </w:t>
      </w:r>
      <w:r w:rsidRPr="004F4310">
        <w:rPr>
          <w:rFonts w:ascii="Times New Roman" w:hAnsi="Times New Roman"/>
          <w:noProof/>
        </w:rPr>
        <w:t>45</w:t>
      </w:r>
      <w:r>
        <w:rPr>
          <w:rFonts w:ascii="Times New Roman" w:hAnsi="Times New Roman"/>
          <w:noProof/>
        </w:rPr>
        <w:t> %, percentila </w:t>
      </w:r>
      <w:r w:rsidRPr="004F4310">
        <w:rPr>
          <w:rFonts w:ascii="Times New Roman" w:hAnsi="Times New Roman"/>
          <w:noProof/>
        </w:rPr>
        <w:t>25</w:t>
      </w:r>
      <w:r>
        <w:rPr>
          <w:rFonts w:ascii="Times New Roman" w:hAnsi="Times New Roman"/>
          <w:noProof/>
        </w:rPr>
        <w:t xml:space="preserve"> nescăzând niciodată sub o medie de </w:t>
      </w:r>
      <w:r w:rsidRPr="004F4310">
        <w:rPr>
          <w:rFonts w:ascii="Times New Roman" w:hAnsi="Times New Roman"/>
          <w:noProof/>
        </w:rPr>
        <w:t>40</w:t>
      </w:r>
      <w:r>
        <w:rPr>
          <w:rFonts w:ascii="Times New Roman" w:hAnsi="Times New Roman"/>
          <w:noProof/>
        </w:rPr>
        <w:t> % (T</w:t>
      </w:r>
      <w:r w:rsidRPr="004F4310">
        <w:rPr>
          <w:rFonts w:ascii="Times New Roman" w:hAnsi="Times New Roman"/>
          <w:noProof/>
        </w:rPr>
        <w:t>2</w:t>
      </w:r>
      <w:r>
        <w:rPr>
          <w:rFonts w:ascii="Times New Roman" w:hAnsi="Times New Roman"/>
          <w:noProof/>
        </w:rPr>
        <w:t> </w:t>
      </w:r>
      <w:r w:rsidRPr="004F4310">
        <w:rPr>
          <w:rFonts w:ascii="Times New Roman" w:hAnsi="Times New Roman"/>
          <w:noProof/>
        </w:rPr>
        <w:t>2025</w:t>
      </w:r>
      <w:r>
        <w:rPr>
          <w:rFonts w:ascii="Times New Roman" w:hAnsi="Times New Roman"/>
          <w:noProof/>
        </w:rPr>
        <w:t xml:space="preserve">). </w:t>
      </w:r>
    </w:p>
    <w:p w14:paraId="7FAE7E96" w14:textId="1431B346" w:rsidR="009936D9" w:rsidRDefault="009936D9" w:rsidP="00480352">
      <w:pPr>
        <w:rPr>
          <w:rFonts w:ascii="Times New Roman" w:hAnsi="Times New Roman" w:cs="Times New Roman"/>
          <w:noProof/>
        </w:rPr>
      </w:pPr>
    </w:p>
    <w:p w14:paraId="1FEFE698" w14:textId="324EF632" w:rsidR="007C78FB" w:rsidRPr="005B2BDE" w:rsidRDefault="008F2294" w:rsidP="002E1D5E">
      <w:pPr>
        <w:spacing w:after="120"/>
        <w:rPr>
          <w:rFonts w:ascii="Times New Roman" w:eastAsia="Times New Roman" w:hAnsi="Times New Roman" w:cs="Times New Roman"/>
          <w:b/>
          <w:noProof/>
        </w:rPr>
      </w:pPr>
      <w:r>
        <w:rPr>
          <w:rFonts w:ascii="Times New Roman" w:hAnsi="Times New Roman"/>
          <w:b/>
          <w:noProof/>
        </w:rPr>
        <w:t>Graficul </w:t>
      </w:r>
      <w:r w:rsidRPr="004F4310">
        <w:rPr>
          <w:rFonts w:ascii="Times New Roman" w:hAnsi="Times New Roman"/>
          <w:b/>
          <w:noProof/>
        </w:rPr>
        <w:t>1</w:t>
      </w:r>
      <w:r>
        <w:rPr>
          <w:rFonts w:ascii="Times New Roman" w:hAnsi="Times New Roman"/>
          <w:b/>
          <w:noProof/>
        </w:rPr>
        <w:t>: Tendințe în distribuția WLA pentru FPM cu VAN cu volatilitate scăzută</w:t>
      </w:r>
    </w:p>
    <w:p w14:paraId="516E0E03" w14:textId="74F58184" w:rsidR="007C78FB" w:rsidRPr="00C82DFF" w:rsidRDefault="00FF1024" w:rsidP="00FF1024">
      <w:pPr>
        <w:spacing w:after="0" w:line="240" w:lineRule="auto"/>
        <w:ind w:left="720"/>
        <w:rPr>
          <w:rFonts w:ascii="Times New Roman" w:hAnsi="Times New Roman" w:cs="Times New Roman"/>
          <w:noProof/>
        </w:rPr>
      </w:pPr>
      <w:r>
        <w:rPr>
          <w:rFonts w:ascii="Times New Roman" w:hAnsi="Times New Roman"/>
          <w:noProof/>
          <w:lang w:val="en-GB" w:eastAsia="en-GB"/>
        </w:rPr>
        <w:drawing>
          <wp:inline distT="0" distB="0" distL="0" distR="0" wp14:anchorId="0976A4EF" wp14:editId="44D9A3E6">
            <wp:extent cx="3562184" cy="2073045"/>
            <wp:effectExtent l="0" t="0" r="635" b="3810"/>
            <wp:docPr id="2132115097" name="Picture 1" descr="Un grafic cu cifre și lin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115097" name="Picture 1" descr="A graph with numbers and lines&#10;&#10;AI-generated content may be incorrect."/>
                    <pic:cNvPicPr/>
                  </pic:nvPicPr>
                  <pic:blipFill>
                    <a:blip r:embed="rId23"/>
                    <a:stretch>
                      <a:fillRect/>
                    </a:stretch>
                  </pic:blipFill>
                  <pic:spPr>
                    <a:xfrm>
                      <a:off x="0" y="0"/>
                      <a:ext cx="3606094" cy="2098599"/>
                    </a:xfrm>
                    <a:prstGeom prst="rect">
                      <a:avLst/>
                    </a:prstGeom>
                  </pic:spPr>
                </pic:pic>
              </a:graphicData>
            </a:graphic>
          </wp:inline>
        </w:drawing>
      </w:r>
    </w:p>
    <w:p w14:paraId="368BB2C8" w14:textId="77777777" w:rsidR="003229F6" w:rsidRDefault="003229F6" w:rsidP="00FF1024">
      <w:pPr>
        <w:spacing w:after="0" w:line="240" w:lineRule="auto"/>
        <w:ind w:firstLine="720"/>
        <w:rPr>
          <w:rFonts w:ascii="Times New Roman" w:eastAsia="Times New Roman" w:hAnsi="Times New Roman" w:cs="Times New Roman"/>
          <w:noProof/>
          <w:sz w:val="18"/>
          <w:szCs w:val="18"/>
        </w:rPr>
      </w:pPr>
    </w:p>
    <w:p w14:paraId="061C7D28" w14:textId="761E851E" w:rsidR="007C78FB" w:rsidRPr="00FF1024" w:rsidRDefault="007C78FB" w:rsidP="00FF1024">
      <w:pPr>
        <w:spacing w:after="0" w:line="240" w:lineRule="auto"/>
        <w:ind w:firstLine="720"/>
        <w:rPr>
          <w:rFonts w:ascii="Times New Roman" w:eastAsia="Times New Roman" w:hAnsi="Times New Roman" w:cs="Times New Roman"/>
          <w:noProof/>
          <w:sz w:val="18"/>
          <w:szCs w:val="18"/>
        </w:rPr>
      </w:pPr>
      <w:r>
        <w:rPr>
          <w:rFonts w:ascii="Times New Roman" w:hAnsi="Times New Roman"/>
          <w:noProof/>
          <w:sz w:val="18"/>
        </w:rPr>
        <w:t>Sursă: Comisia Europeană, pe baza datelor ESMA din T</w:t>
      </w:r>
      <w:r w:rsidRPr="004F4310">
        <w:rPr>
          <w:rFonts w:ascii="Times New Roman" w:hAnsi="Times New Roman"/>
          <w:noProof/>
          <w:sz w:val="18"/>
        </w:rPr>
        <w:t>1</w:t>
      </w:r>
      <w:r>
        <w:rPr>
          <w:rFonts w:ascii="Times New Roman" w:hAnsi="Times New Roman"/>
          <w:noProof/>
          <w:sz w:val="18"/>
        </w:rPr>
        <w:t> </w:t>
      </w:r>
      <w:r w:rsidRPr="004F4310">
        <w:rPr>
          <w:rFonts w:ascii="Times New Roman" w:hAnsi="Times New Roman"/>
          <w:noProof/>
          <w:sz w:val="18"/>
        </w:rPr>
        <w:t>2020</w:t>
      </w:r>
      <w:r>
        <w:rPr>
          <w:rFonts w:ascii="Times New Roman" w:hAnsi="Times New Roman"/>
          <w:noProof/>
          <w:sz w:val="18"/>
        </w:rPr>
        <w:t xml:space="preserve"> până în T</w:t>
      </w:r>
      <w:r w:rsidRPr="004F4310">
        <w:rPr>
          <w:rFonts w:ascii="Times New Roman" w:hAnsi="Times New Roman"/>
          <w:noProof/>
          <w:sz w:val="18"/>
        </w:rPr>
        <w:t>4</w:t>
      </w:r>
      <w:r>
        <w:rPr>
          <w:rFonts w:ascii="Times New Roman" w:hAnsi="Times New Roman"/>
          <w:noProof/>
          <w:sz w:val="18"/>
        </w:rPr>
        <w:t> </w:t>
      </w:r>
      <w:r w:rsidRPr="004F4310">
        <w:rPr>
          <w:rFonts w:ascii="Times New Roman" w:hAnsi="Times New Roman"/>
          <w:noProof/>
          <w:sz w:val="18"/>
        </w:rPr>
        <w:t>2025</w:t>
      </w:r>
    </w:p>
    <w:p w14:paraId="393AF7C7" w14:textId="47EF0112" w:rsidR="008F2294" w:rsidRPr="00FF1024" w:rsidRDefault="00AE19F9" w:rsidP="00FF1024">
      <w:pPr>
        <w:spacing w:after="240" w:line="240" w:lineRule="auto"/>
        <w:ind w:left="720"/>
        <w:rPr>
          <w:rFonts w:ascii="Times New Roman" w:hAnsi="Times New Roman" w:cs="Times New Roman"/>
          <w:noProof/>
          <w:sz w:val="18"/>
          <w:szCs w:val="18"/>
        </w:rPr>
      </w:pPr>
      <w:r>
        <w:rPr>
          <w:rFonts w:ascii="Times New Roman" w:hAnsi="Times New Roman"/>
          <w:noProof/>
          <w:sz w:val="18"/>
        </w:rPr>
        <w:t xml:space="preserve">Notă: Tendințe ale valorilor medii ale WLA, precum și ale percentilelor </w:t>
      </w:r>
      <w:r w:rsidRPr="004F4310">
        <w:rPr>
          <w:rFonts w:ascii="Times New Roman" w:hAnsi="Times New Roman"/>
          <w:noProof/>
          <w:sz w:val="18"/>
        </w:rPr>
        <w:t>25</w:t>
      </w:r>
      <w:r>
        <w:rPr>
          <w:rFonts w:ascii="Times New Roman" w:hAnsi="Times New Roman"/>
          <w:noProof/>
          <w:sz w:val="18"/>
        </w:rPr>
        <w:t xml:space="preserve"> și </w:t>
      </w:r>
      <w:r w:rsidRPr="004F4310">
        <w:rPr>
          <w:rFonts w:ascii="Times New Roman" w:hAnsi="Times New Roman"/>
          <w:noProof/>
          <w:sz w:val="18"/>
        </w:rPr>
        <w:t>75</w:t>
      </w:r>
      <w:r>
        <w:rPr>
          <w:rFonts w:ascii="Times New Roman" w:hAnsi="Times New Roman"/>
          <w:noProof/>
          <w:sz w:val="18"/>
        </w:rPr>
        <w:t xml:space="preserve"> ale WLA (ca procent din VAN), pentru FPM cu VAN cu volatilitate scăzută.</w:t>
      </w:r>
    </w:p>
    <w:p w14:paraId="3057F3BA" w14:textId="224FD565" w:rsidR="00251F5E" w:rsidRDefault="60407245" w:rsidP="00D04526">
      <w:pPr>
        <w:spacing w:before="240" w:after="240" w:line="280" w:lineRule="atLeast"/>
        <w:jc w:val="both"/>
        <w:rPr>
          <w:rFonts w:ascii="Times New Roman" w:hAnsi="Times New Roman" w:cs="Times New Roman"/>
          <w:noProof/>
        </w:rPr>
      </w:pPr>
      <w:r>
        <w:rPr>
          <w:rFonts w:ascii="Times New Roman" w:hAnsi="Times New Roman"/>
          <w:noProof/>
        </w:rPr>
        <w:t xml:space="preserve">Modele similare sunt observate și pentru alte cerințe cantitative prevăzute în Regulamentul privind FPM, ceea ce indică o abordare prudentă la nivelul întregului sector al FPM. De exemplu, nivelurile WAL au rămas cu mult sub nivelurile maxime de reglementare aplicabile. Pentru FPM cu VAN constantă, FPM cu VAN cu volatilitate scăzută și FPM pe termen scurt cu VAN variabilă, nivelurile medii și mediane ale WAL au variat, în general, între </w:t>
      </w:r>
      <w:r w:rsidRPr="004F4310">
        <w:rPr>
          <w:rFonts w:ascii="Times New Roman" w:hAnsi="Times New Roman"/>
          <w:noProof/>
        </w:rPr>
        <w:t>40</w:t>
      </w:r>
      <w:r>
        <w:rPr>
          <w:rFonts w:ascii="Times New Roman" w:hAnsi="Times New Roman"/>
          <w:noProof/>
        </w:rPr>
        <w:t xml:space="preserve"> și </w:t>
      </w:r>
      <w:r w:rsidRPr="004F4310">
        <w:rPr>
          <w:rFonts w:ascii="Times New Roman" w:hAnsi="Times New Roman"/>
          <w:noProof/>
        </w:rPr>
        <w:t>65</w:t>
      </w:r>
      <w:r>
        <w:rPr>
          <w:rFonts w:ascii="Times New Roman" w:hAnsi="Times New Roman"/>
          <w:noProof/>
        </w:rPr>
        <w:t xml:space="preserve"> de zile, comparativ cu un nivel maxim de reglementare de </w:t>
      </w:r>
      <w:r w:rsidRPr="004F4310">
        <w:rPr>
          <w:rFonts w:ascii="Times New Roman" w:hAnsi="Times New Roman"/>
          <w:noProof/>
        </w:rPr>
        <w:t>120</w:t>
      </w:r>
      <w:r>
        <w:rPr>
          <w:rFonts w:ascii="Times New Roman" w:hAnsi="Times New Roman"/>
          <w:noProof/>
        </w:rPr>
        <w:t xml:space="preserve"> de zile. Aceasta indică faptul că scadențele activelor sunt, în medie, mai scurte decât limita de reglementare cu un factor de doi până la trei, </w:t>
      </w:r>
      <w:r>
        <w:rPr>
          <w:rFonts w:ascii="Times New Roman" w:hAnsi="Times New Roman"/>
          <w:b/>
          <w:noProof/>
        </w:rPr>
        <w:t>permițând o rambursare mai rapidă și contribuind la reconstituirea rezervelor de lichiditate.</w:t>
      </w:r>
      <w:r>
        <w:rPr>
          <w:rFonts w:ascii="Times New Roman" w:hAnsi="Times New Roman"/>
          <w:noProof/>
        </w:rPr>
        <w:t xml:space="preserve"> FPM standard cu VAN variabilă au prezentat niveluri ale WAL mai ridicate, cu niveluri medii și mediane de aproximativ </w:t>
      </w:r>
      <w:r w:rsidRPr="004F4310">
        <w:rPr>
          <w:rFonts w:ascii="Times New Roman" w:hAnsi="Times New Roman"/>
          <w:noProof/>
        </w:rPr>
        <w:t>110</w:t>
      </w:r>
      <w:r>
        <w:rPr>
          <w:rFonts w:ascii="Times New Roman" w:hAnsi="Times New Roman"/>
          <w:noProof/>
        </w:rPr>
        <w:t>-</w:t>
      </w:r>
      <w:r w:rsidRPr="004F4310">
        <w:rPr>
          <w:rFonts w:ascii="Times New Roman" w:hAnsi="Times New Roman"/>
          <w:noProof/>
        </w:rPr>
        <w:t>125</w:t>
      </w:r>
      <w:r>
        <w:rPr>
          <w:rFonts w:ascii="Times New Roman" w:hAnsi="Times New Roman"/>
          <w:noProof/>
        </w:rPr>
        <w:t xml:space="preserve"> de zile, cu mult sub plafonul de reglementare de </w:t>
      </w:r>
      <w:r w:rsidRPr="004F4310">
        <w:rPr>
          <w:rFonts w:ascii="Times New Roman" w:hAnsi="Times New Roman"/>
          <w:noProof/>
        </w:rPr>
        <w:t>360</w:t>
      </w:r>
      <w:r>
        <w:rPr>
          <w:rFonts w:ascii="Times New Roman" w:hAnsi="Times New Roman"/>
          <w:noProof/>
        </w:rPr>
        <w:t xml:space="preserve"> de zile</w:t>
      </w:r>
      <w:r>
        <w:rPr>
          <w:rStyle w:val="FootnoteReference"/>
          <w:rFonts w:ascii="Times New Roman" w:hAnsi="Times New Roman" w:cs="Times New Roman"/>
          <w:noProof/>
        </w:rPr>
        <w:footnoteReference w:id="8"/>
      </w:r>
      <w:r>
        <w:rPr>
          <w:noProof/>
        </w:rPr>
        <w:t>.</w:t>
      </w:r>
    </w:p>
    <w:p w14:paraId="6EF9094B" w14:textId="77777777" w:rsidR="009936D9" w:rsidRDefault="009936D9" w:rsidP="00D04526">
      <w:pPr>
        <w:spacing w:after="0" w:line="240" w:lineRule="auto"/>
        <w:jc w:val="both"/>
        <w:rPr>
          <w:rFonts w:ascii="Times New Roman" w:hAnsi="Times New Roman" w:cs="Times New Roman"/>
          <w:noProof/>
        </w:rPr>
      </w:pPr>
    </w:p>
    <w:p w14:paraId="17B5EFCF" w14:textId="27D9A869" w:rsidR="00D10012" w:rsidRPr="00C82DFF" w:rsidRDefault="34968161" w:rsidP="00F864A5">
      <w:pPr>
        <w:shd w:val="clear" w:color="auto" w:fill="DBE5F1" w:themeFill="accent1" w:themeFillTint="33"/>
        <w:spacing w:after="240" w:line="240" w:lineRule="auto"/>
        <w:jc w:val="both"/>
        <w:rPr>
          <w:rFonts w:ascii="Times New Roman" w:hAnsi="Times New Roman" w:cs="Times New Roman"/>
          <w:b/>
          <w:bCs/>
          <w:noProof/>
        </w:rPr>
      </w:pPr>
      <w:r>
        <w:rPr>
          <w:rFonts w:ascii="Times New Roman" w:hAnsi="Times New Roman"/>
          <w:b/>
          <w:noProof/>
        </w:rPr>
        <w:t xml:space="preserve">Constatarea principală </w:t>
      </w:r>
      <w:r w:rsidRPr="004F4310">
        <w:rPr>
          <w:rFonts w:ascii="Times New Roman" w:hAnsi="Times New Roman"/>
          <w:b/>
          <w:noProof/>
        </w:rPr>
        <w:t>2</w:t>
      </w:r>
      <w:r>
        <w:rPr>
          <w:rFonts w:ascii="Times New Roman" w:hAnsi="Times New Roman"/>
          <w:b/>
          <w:noProof/>
        </w:rPr>
        <w:t xml:space="preserve">: FPM dețin niveluri diferite ale rezervelor de lichiditate, ca urmare a caracteristicilor lor diferite și a gradelor variabile ale potențialelor șocuri de lichiditate </w:t>
      </w:r>
    </w:p>
    <w:p w14:paraId="5AEB429C" w14:textId="0BF6391E" w:rsidR="00006D85" w:rsidRPr="00C82DFF" w:rsidRDefault="08459332" w:rsidP="004929D6">
      <w:pPr>
        <w:spacing w:before="240" w:after="240"/>
        <w:jc w:val="both"/>
        <w:rPr>
          <w:rFonts w:ascii="Times New Roman" w:hAnsi="Times New Roman" w:cs="Times New Roman"/>
          <w:noProof/>
        </w:rPr>
      </w:pPr>
      <w:r>
        <w:rPr>
          <w:rFonts w:ascii="Times New Roman" w:hAnsi="Times New Roman"/>
          <w:noProof/>
        </w:rPr>
        <w:t xml:space="preserve">FPM funcționează, în general, cu rezerve care depășesc nivelurile minime de reglementare, deși acestea pot varia. Acest lucru se datorează faptului că FPM au caracteristici diferite, inclusiv categoria lor (cu VAN variabilă, cu VAN cu volatilitate scăzută sau cu VAN constantă), moneda în care sunt denominate, structura bazei de investitori și utilizările acestora (a se vedea anexa II). Prin urmare, acestea sunt supuse unor grade variabile de șocuri potențiale de lichiditate. Nici măcar FPM de același tip și denominate în aceeași monedă nu prezintă același grad de vulnerabilitate la șocurile de lichiditate. </w:t>
      </w:r>
    </w:p>
    <w:p w14:paraId="717C3E74" w14:textId="5DB1A5FD" w:rsidR="00480352" w:rsidRDefault="00006D85" w:rsidP="00A25E72">
      <w:pPr>
        <w:spacing w:after="240"/>
        <w:jc w:val="both"/>
        <w:rPr>
          <w:rFonts w:ascii="Times New Roman" w:eastAsia="Times New Roman" w:hAnsi="Times New Roman" w:cs="Times New Roman"/>
          <w:noProof/>
        </w:rPr>
      </w:pPr>
      <w:r>
        <w:rPr>
          <w:rFonts w:ascii="Times New Roman" w:hAnsi="Times New Roman"/>
          <w:noProof/>
        </w:rPr>
        <w:t>În acest sens, în medie, FPM au înregistrat șocuri de răscumpărare în timpul evenimentului de piață provocat de pandemia de COVID-</w:t>
      </w:r>
      <w:r w:rsidRPr="004F4310">
        <w:rPr>
          <w:rFonts w:ascii="Times New Roman" w:hAnsi="Times New Roman"/>
          <w:noProof/>
        </w:rPr>
        <w:t>19</w:t>
      </w:r>
      <w:r>
        <w:rPr>
          <w:rFonts w:ascii="Times New Roman" w:hAnsi="Times New Roman"/>
          <w:noProof/>
        </w:rPr>
        <w:t xml:space="preserve"> (a se vedea graficul </w:t>
      </w:r>
      <w:r w:rsidRPr="004F4310">
        <w:rPr>
          <w:rFonts w:ascii="Times New Roman" w:hAnsi="Times New Roman"/>
          <w:noProof/>
        </w:rPr>
        <w:t>2</w:t>
      </w:r>
      <w:r>
        <w:rPr>
          <w:rFonts w:ascii="Times New Roman" w:hAnsi="Times New Roman"/>
          <w:noProof/>
        </w:rPr>
        <w:t xml:space="preserve">), </w:t>
      </w:r>
      <w:r>
        <w:rPr>
          <w:rFonts w:ascii="Times New Roman" w:hAnsi="Times New Roman"/>
          <w:b/>
          <w:noProof/>
        </w:rPr>
        <w:t>care au putut fi absorbite prin rezervele lor de lichiditate.</w:t>
      </w:r>
      <w:r>
        <w:rPr>
          <w:rFonts w:ascii="Times New Roman" w:hAnsi="Times New Roman"/>
          <w:noProof/>
        </w:rPr>
        <w:t xml:space="preserve"> Graficul </w:t>
      </w:r>
      <w:r w:rsidRPr="004F4310">
        <w:rPr>
          <w:rFonts w:ascii="Times New Roman" w:hAnsi="Times New Roman"/>
          <w:noProof/>
        </w:rPr>
        <w:t>2</w:t>
      </w:r>
      <w:r>
        <w:rPr>
          <w:rFonts w:ascii="Times New Roman" w:hAnsi="Times New Roman"/>
          <w:noProof/>
        </w:rPr>
        <w:t xml:space="preserve"> arată că, pe parcursul unei luni, FPM cu VAN variabilă au înregistrat retrageri de aproximativ </w:t>
      </w:r>
      <w:r w:rsidRPr="004F4310">
        <w:rPr>
          <w:rFonts w:ascii="Times New Roman" w:hAnsi="Times New Roman"/>
          <w:noProof/>
        </w:rPr>
        <w:t>13</w:t>
      </w:r>
      <w:r>
        <w:rPr>
          <w:rFonts w:ascii="Times New Roman" w:hAnsi="Times New Roman"/>
          <w:noProof/>
        </w:rPr>
        <w:t xml:space="preserve"> %, comparativ cu o rezervă minimă de lichiditate săptămânală de </w:t>
      </w:r>
      <w:r w:rsidRPr="004F4310">
        <w:rPr>
          <w:rFonts w:ascii="Times New Roman" w:hAnsi="Times New Roman"/>
          <w:noProof/>
        </w:rPr>
        <w:t>15</w:t>
      </w:r>
      <w:r>
        <w:rPr>
          <w:rFonts w:ascii="Times New Roman" w:hAnsi="Times New Roman"/>
          <w:noProof/>
        </w:rPr>
        <w:t xml:space="preserve"> %. FPM cu VAN cu volatilitate scăzută au înregistrat ieșiri de aproximativ </w:t>
      </w:r>
      <w:r w:rsidRPr="004F4310">
        <w:rPr>
          <w:rFonts w:ascii="Times New Roman" w:hAnsi="Times New Roman"/>
          <w:noProof/>
        </w:rPr>
        <w:t>12</w:t>
      </w:r>
      <w:r>
        <w:rPr>
          <w:rFonts w:ascii="Times New Roman" w:hAnsi="Times New Roman"/>
          <w:noProof/>
        </w:rPr>
        <w:t xml:space="preserve"> %, ajungând la </w:t>
      </w:r>
      <w:r w:rsidRPr="004F4310">
        <w:rPr>
          <w:rFonts w:ascii="Times New Roman" w:hAnsi="Times New Roman"/>
          <w:noProof/>
        </w:rPr>
        <w:t>27</w:t>
      </w:r>
      <w:r>
        <w:rPr>
          <w:rFonts w:ascii="Times New Roman" w:hAnsi="Times New Roman"/>
          <w:noProof/>
        </w:rPr>
        <w:t xml:space="preserve"> % pentru fondurile denominate în USD, față de o rezervă de lichiditate săptămânală de </w:t>
      </w:r>
      <w:r w:rsidRPr="004F4310">
        <w:rPr>
          <w:rFonts w:ascii="Times New Roman" w:hAnsi="Times New Roman"/>
          <w:noProof/>
        </w:rPr>
        <w:t>30</w:t>
      </w:r>
      <w:r>
        <w:rPr>
          <w:rFonts w:ascii="Times New Roman" w:hAnsi="Times New Roman"/>
          <w:noProof/>
        </w:rPr>
        <w:t> %. În schimb, FPM cu VAN constantă au consemnat intrări semnificative în faza inițială a pandemiei de COVID-</w:t>
      </w:r>
      <w:r w:rsidRPr="004F4310">
        <w:rPr>
          <w:rFonts w:ascii="Times New Roman" w:hAnsi="Times New Roman"/>
          <w:noProof/>
        </w:rPr>
        <w:t>19</w:t>
      </w:r>
      <w:r>
        <w:rPr>
          <w:rFonts w:ascii="Times New Roman" w:hAnsi="Times New Roman"/>
          <w:noProof/>
        </w:rPr>
        <w:t>.</w:t>
      </w:r>
    </w:p>
    <w:p w14:paraId="155C5243" w14:textId="51B74D8F" w:rsidR="009936D9" w:rsidRPr="00480352" w:rsidRDefault="009936D9" w:rsidP="00480352">
      <w:pPr>
        <w:rPr>
          <w:rFonts w:ascii="Times New Roman" w:eastAsia="Times New Roman" w:hAnsi="Times New Roman" w:cs="Times New Roman"/>
          <w:noProof/>
        </w:rPr>
      </w:pPr>
    </w:p>
    <w:p w14:paraId="69E0B72E" w14:textId="4AA0C96E" w:rsidR="00BC55DF" w:rsidRPr="00CE6D65" w:rsidRDefault="00127D5D" w:rsidP="00DB7263">
      <w:pPr>
        <w:spacing w:before="240" w:after="240"/>
        <w:rPr>
          <w:rFonts w:ascii="Times New Roman" w:eastAsia="Times New Roman" w:hAnsi="Times New Roman" w:cs="Times New Roman"/>
          <w:b/>
          <w:noProof/>
        </w:rPr>
      </w:pPr>
      <w:r>
        <w:rPr>
          <w:rFonts w:ascii="Times New Roman" w:hAnsi="Times New Roman"/>
          <w:b/>
          <w:noProof/>
        </w:rPr>
        <w:t>Graficul </w:t>
      </w:r>
      <w:r w:rsidRPr="004F4310">
        <w:rPr>
          <w:rFonts w:ascii="Times New Roman" w:hAnsi="Times New Roman"/>
          <w:b/>
          <w:noProof/>
        </w:rPr>
        <w:t>2</w:t>
      </w:r>
      <w:r>
        <w:rPr>
          <w:rFonts w:ascii="Times New Roman" w:hAnsi="Times New Roman"/>
          <w:b/>
          <w:noProof/>
        </w:rPr>
        <w:t>: Fluxurile nete cumulate în FPM la debutul evenimentului de piață provocat de pandemia de COVID-</w:t>
      </w:r>
      <w:r w:rsidRPr="004F4310">
        <w:rPr>
          <w:rFonts w:ascii="Times New Roman" w:hAnsi="Times New Roman"/>
          <w:b/>
          <w:noProof/>
        </w:rPr>
        <w:t>19</w:t>
      </w:r>
    </w:p>
    <w:p w14:paraId="5A9601CB" w14:textId="136D7611" w:rsidR="00457A39" w:rsidRPr="00893A14" w:rsidRDefault="00EB5B98" w:rsidP="00457A39">
      <w:pPr>
        <w:spacing w:before="240" w:after="240"/>
        <w:jc w:val="center"/>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D935738" wp14:editId="546711C4">
            <wp:extent cx="5760720" cy="2472055"/>
            <wp:effectExtent l="0" t="0" r="0" b="4445"/>
            <wp:docPr id="805081643" name="Picture 1" descr="Un grafic cu linii de culori diferit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81643" name="Picture 1" descr="A graph of different colored lines&#10;&#10;AI-generated content may be incorrect."/>
                    <pic:cNvPicPr/>
                  </pic:nvPicPr>
                  <pic:blipFill>
                    <a:blip r:embed="rId24"/>
                    <a:stretch>
                      <a:fillRect/>
                    </a:stretch>
                  </pic:blipFill>
                  <pic:spPr>
                    <a:xfrm>
                      <a:off x="0" y="0"/>
                      <a:ext cx="5760720" cy="2472055"/>
                    </a:xfrm>
                    <a:prstGeom prst="rect">
                      <a:avLst/>
                    </a:prstGeom>
                  </pic:spPr>
                </pic:pic>
              </a:graphicData>
            </a:graphic>
          </wp:inline>
        </w:drawing>
      </w:r>
      <w:r>
        <w:rPr>
          <w:rFonts w:ascii="Times New Roman" w:hAnsi="Times New Roman"/>
          <w:noProof/>
        </w:rPr>
        <w:t xml:space="preserve"> </w:t>
      </w:r>
    </w:p>
    <w:p w14:paraId="47CFBC49" w14:textId="751A9C02" w:rsidR="00457A39" w:rsidRPr="00FB0392" w:rsidRDefault="00457A39" w:rsidP="00F43053">
      <w:p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Surse:</w:t>
      </w:r>
      <w:r w:rsidR="00801851">
        <w:rPr>
          <w:rFonts w:ascii="Times New Roman" w:hAnsi="Times New Roman"/>
          <w:noProof/>
          <w:sz w:val="18"/>
        </w:rPr>
        <w:t xml:space="preserve"> </w:t>
      </w:r>
      <w:r>
        <w:rPr>
          <w:rFonts w:ascii="Times New Roman" w:hAnsi="Times New Roman"/>
          <w:noProof/>
          <w:sz w:val="18"/>
        </w:rPr>
        <w:t xml:space="preserve">Raportul CERS, iulie </w:t>
      </w:r>
      <w:r w:rsidRPr="004F4310">
        <w:rPr>
          <w:rFonts w:ascii="Times New Roman" w:hAnsi="Times New Roman"/>
          <w:noProof/>
          <w:sz w:val="18"/>
        </w:rPr>
        <w:t>2021</w:t>
      </w:r>
      <w:r>
        <w:rPr>
          <w:rFonts w:ascii="Times New Roman" w:hAnsi="Times New Roman"/>
          <w:noProof/>
          <w:sz w:val="18"/>
        </w:rPr>
        <w:t xml:space="preserve">, </w:t>
      </w:r>
      <w:hyperlink r:id="rId25" w:history="1">
        <w:r>
          <w:rPr>
            <w:rStyle w:val="Hyperlink"/>
            <w:rFonts w:ascii="Times New Roman" w:hAnsi="Times New Roman"/>
            <w:noProof/>
            <w:sz w:val="18"/>
          </w:rPr>
          <w:t>Issues note on systemic vulnerabilities of and preliminary policy considerations to reform money market funds</w:t>
        </w:r>
      </w:hyperlink>
      <w:r>
        <w:rPr>
          <w:rFonts w:ascii="Times New Roman" w:hAnsi="Times New Roman"/>
          <w:noProof/>
          <w:sz w:val="18"/>
        </w:rPr>
        <w:t xml:space="preserve"> (Notă tematică privind vulnerabilitățile sistemice ale fondurilor de piață monetară și considerațiile preliminare de politică pentru reformarea acestora)</w:t>
      </w:r>
    </w:p>
    <w:p w14:paraId="77F84245" w14:textId="2D689535" w:rsidR="0018041B" w:rsidRPr="006F305A" w:rsidRDefault="00D06CD6" w:rsidP="00F43053">
      <w:p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Notă: Fluxuri zilnice nete cumulate, defalcate pe tip de FPM și exprimate în miliarde de euro (axa y). Valorile pozitive indică subscrieri nete, iar valorile negative indică răscumpărări nete. Procentele indică fluxurile de fonduri raportate la valoarea activului net a fiecărui tip de fond.</w:t>
      </w:r>
    </w:p>
    <w:p w14:paraId="0E33767D" w14:textId="7E8B446E" w:rsidR="004C5A39" w:rsidRPr="00C82DFF" w:rsidRDefault="1A185C71" w:rsidP="00D04526">
      <w:pPr>
        <w:spacing w:after="240" w:line="280" w:lineRule="atLeast"/>
        <w:jc w:val="both"/>
        <w:rPr>
          <w:rFonts w:ascii="Times New Roman" w:eastAsia="Times New Roman" w:hAnsi="Times New Roman" w:cs="Times New Roman"/>
          <w:noProof/>
        </w:rPr>
      </w:pPr>
      <w:r>
        <w:rPr>
          <w:rFonts w:ascii="Times New Roman" w:hAnsi="Times New Roman"/>
          <w:noProof/>
        </w:rPr>
        <w:t>În ceea ce privește FPM cu VAN cu volatilitate scăzută denominate în USD, acestea s-au confruntat cu un șoc de răscumpărare semnificativ în timpul evenimentului de piață provocat de pandemia de COVID</w:t>
      </w:r>
      <w:r w:rsidR="00D71050">
        <w:rPr>
          <w:rFonts w:ascii="Times New Roman" w:hAnsi="Times New Roman" w:cs="Times New Roman"/>
          <w:noProof/>
        </w:rPr>
        <w:t>­</w:t>
      </w:r>
      <w:r w:rsidRPr="004F4310">
        <w:rPr>
          <w:rFonts w:ascii="Times New Roman" w:hAnsi="Times New Roman"/>
          <w:noProof/>
        </w:rPr>
        <w:t>19</w:t>
      </w:r>
      <w:r>
        <w:rPr>
          <w:rFonts w:ascii="Times New Roman" w:hAnsi="Times New Roman"/>
          <w:noProof/>
        </w:rPr>
        <w:t xml:space="preserve">. Cu toate acestea, impactul a fost extrem de inegal în cadrul cohortei respective de FPM, </w:t>
      </w:r>
      <w:r w:rsidRPr="004F4310">
        <w:rPr>
          <w:rFonts w:ascii="Times New Roman" w:hAnsi="Times New Roman"/>
          <w:noProof/>
        </w:rPr>
        <w:t>6</w:t>
      </w:r>
      <w:r>
        <w:rPr>
          <w:rFonts w:ascii="Times New Roman" w:hAnsi="Times New Roman"/>
          <w:noProof/>
        </w:rPr>
        <w:t xml:space="preserve"> % înregistrând ieșiri nete cumulate de peste </w:t>
      </w:r>
      <w:r w:rsidRPr="004F4310">
        <w:rPr>
          <w:rFonts w:ascii="Times New Roman" w:hAnsi="Times New Roman"/>
          <w:noProof/>
        </w:rPr>
        <w:t>30</w:t>
      </w:r>
      <w:r>
        <w:rPr>
          <w:rFonts w:ascii="Times New Roman" w:hAnsi="Times New Roman"/>
          <w:noProof/>
        </w:rPr>
        <w:t xml:space="preserve"> %, în timp ce </w:t>
      </w:r>
      <w:r w:rsidRPr="004F4310">
        <w:rPr>
          <w:rFonts w:ascii="Times New Roman" w:hAnsi="Times New Roman"/>
          <w:noProof/>
        </w:rPr>
        <w:t>10</w:t>
      </w:r>
      <w:r>
        <w:rPr>
          <w:rFonts w:ascii="Times New Roman" w:hAnsi="Times New Roman"/>
          <w:noProof/>
        </w:rPr>
        <w:t xml:space="preserve"> % nu au înregistrat nicio răscumpărare. Între aceste două extreme, s-au observat diferite niveluri intermediare ale intrărilor sau ieșirilor, după cum se arată în graficul </w:t>
      </w:r>
      <w:r w:rsidRPr="004F4310">
        <w:rPr>
          <w:rFonts w:ascii="Times New Roman" w:hAnsi="Times New Roman"/>
          <w:noProof/>
        </w:rPr>
        <w:t>3</w:t>
      </w:r>
      <w:r>
        <w:rPr>
          <w:rFonts w:ascii="Times New Roman" w:hAnsi="Times New Roman"/>
          <w:noProof/>
        </w:rPr>
        <w:t>. Liniile reprezintă fluxurile nete cumulate ale FPM individuale cu VAN cu volatilitate scăzută denominate în USD pe parcursul a aproximativ cinci săptămâni ale evenimentului de piață provocat de pandemia de COVID-</w:t>
      </w:r>
      <w:r w:rsidRPr="004F4310">
        <w:rPr>
          <w:rFonts w:ascii="Times New Roman" w:hAnsi="Times New Roman"/>
          <w:noProof/>
        </w:rPr>
        <w:t>19</w:t>
      </w:r>
      <w:r>
        <w:rPr>
          <w:rFonts w:ascii="Times New Roman" w:hAnsi="Times New Roman"/>
          <w:noProof/>
        </w:rPr>
        <w:t>.</w:t>
      </w:r>
    </w:p>
    <w:p w14:paraId="6F3F5A8F" w14:textId="600CC05F" w:rsidR="00853795" w:rsidRPr="00042897" w:rsidRDefault="007C3AFE" w:rsidP="00CE6D65">
      <w:pPr>
        <w:spacing w:before="240" w:after="240"/>
        <w:rPr>
          <w:rFonts w:ascii="Times New Roman" w:eastAsia="Times New Roman" w:hAnsi="Times New Roman" w:cs="Times New Roman"/>
          <w:b/>
          <w:noProof/>
          <w:sz w:val="21"/>
          <w:szCs w:val="21"/>
        </w:rPr>
      </w:pPr>
      <w:r>
        <w:rPr>
          <w:rFonts w:ascii="Times New Roman" w:hAnsi="Times New Roman"/>
          <w:b/>
          <w:noProof/>
          <w:sz w:val="21"/>
        </w:rPr>
        <w:t>Graficul </w:t>
      </w:r>
      <w:r w:rsidRPr="004F4310">
        <w:rPr>
          <w:rFonts w:ascii="Times New Roman" w:hAnsi="Times New Roman"/>
          <w:b/>
          <w:noProof/>
          <w:sz w:val="21"/>
        </w:rPr>
        <w:t>3</w:t>
      </w:r>
      <w:r>
        <w:rPr>
          <w:rFonts w:ascii="Times New Roman" w:hAnsi="Times New Roman"/>
          <w:b/>
          <w:noProof/>
          <w:sz w:val="21"/>
        </w:rPr>
        <w:t>: Fluxurile cumulate ale FPM individuale cu VAN cu volatilitate scăzută denominate în USD în timpul evenimentului de piață provocat de pandemia de COVID-</w:t>
      </w:r>
      <w:r w:rsidRPr="004F4310">
        <w:rPr>
          <w:rFonts w:ascii="Times New Roman" w:hAnsi="Times New Roman"/>
          <w:b/>
          <w:noProof/>
          <w:sz w:val="21"/>
        </w:rPr>
        <w:t>19</w:t>
      </w:r>
    </w:p>
    <w:p w14:paraId="1F22BF4F" w14:textId="1AFCE357" w:rsidR="0033187F" w:rsidRPr="00C82DFF" w:rsidRDefault="00250A84" w:rsidP="00254822">
      <w:pPr>
        <w:spacing w:before="240" w:after="0"/>
        <w:ind w:left="720"/>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2AA2DC9" wp14:editId="09F4E288">
            <wp:extent cx="3411110" cy="2350238"/>
            <wp:effectExtent l="0" t="0" r="0" b="0"/>
            <wp:docPr id="1426066247" name="Picture 1" descr="Un grafic cu linii de culori diferit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6247" name="Picture 1" descr="A graph of different colored lines&#10;&#10;AI-generated content may be incorrect."/>
                    <pic:cNvPicPr/>
                  </pic:nvPicPr>
                  <pic:blipFill>
                    <a:blip r:embed="rId26"/>
                    <a:stretch>
                      <a:fillRect/>
                    </a:stretch>
                  </pic:blipFill>
                  <pic:spPr>
                    <a:xfrm>
                      <a:off x="0" y="0"/>
                      <a:ext cx="3426424" cy="2360790"/>
                    </a:xfrm>
                    <a:prstGeom prst="rect">
                      <a:avLst/>
                    </a:prstGeom>
                  </pic:spPr>
                </pic:pic>
              </a:graphicData>
            </a:graphic>
          </wp:inline>
        </w:drawing>
      </w:r>
    </w:p>
    <w:p w14:paraId="03B2F040" w14:textId="5717CBE5" w:rsidR="00CD2D2C" w:rsidRPr="00B206C5" w:rsidRDefault="00CD2D2C" w:rsidP="008D7C20">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Surse: Crane Data și autoritățile naționale competente (ANC).</w:t>
      </w:r>
    </w:p>
    <w:p w14:paraId="02B7896A" w14:textId="0ED0C207" w:rsidR="00480352" w:rsidRDefault="00D72F78" w:rsidP="008D7C20">
      <w:pPr>
        <w:pStyle w:val="paragraph"/>
        <w:spacing w:before="0" w:beforeAutospacing="0" w:after="0" w:afterAutospacing="0"/>
        <w:jc w:val="both"/>
        <w:textAlignment w:val="baseline"/>
        <w:rPr>
          <w:rStyle w:val="normaltextrun"/>
          <w:rFonts w:eastAsiaTheme="majorEastAsia"/>
          <w:noProof/>
          <w:sz w:val="18"/>
          <w:szCs w:val="18"/>
        </w:rPr>
      </w:pPr>
      <w:r>
        <w:rPr>
          <w:rStyle w:val="normaltextrun"/>
          <w:noProof/>
          <w:sz w:val="18"/>
        </w:rPr>
        <w:t xml:space="preserve">Notă: Fiecare linie reprezintă fluxurile nete cumulate, exprimate ca procent din VAN (axa y), ale unui FPM cu VAN cu volatilitate scăzută denominat în USD, cu o VAN mai mare de </w:t>
      </w:r>
      <w:r w:rsidRPr="004F4310">
        <w:rPr>
          <w:rStyle w:val="normaltextrun"/>
          <w:noProof/>
          <w:sz w:val="18"/>
        </w:rPr>
        <w:t>1</w:t>
      </w:r>
      <w:r>
        <w:rPr>
          <w:rStyle w:val="normaltextrun"/>
          <w:noProof/>
          <w:sz w:val="18"/>
        </w:rPr>
        <w:t> miliard EUR. Valorile pozitive indică subscrieri nete, iar valorile negative indică răscumpărări nete. Aceste exemple arată că, deși FPM cu VAN cu volatilitate scăzută denominate în USD s-au confruntat cu răscumpărări semnificative în timpul evenimentului de piață provocat de pandemia de COVID-</w:t>
      </w:r>
      <w:r w:rsidRPr="004F4310">
        <w:rPr>
          <w:rStyle w:val="normaltextrun"/>
          <w:noProof/>
          <w:sz w:val="18"/>
        </w:rPr>
        <w:t>19</w:t>
      </w:r>
      <w:r>
        <w:rPr>
          <w:rStyle w:val="normaltextrun"/>
          <w:noProof/>
          <w:sz w:val="18"/>
        </w:rPr>
        <w:t>, impactul asupra acestora a fost inegal la nivelul acestui tip de FPM.</w:t>
      </w:r>
    </w:p>
    <w:p w14:paraId="41E47E8B" w14:textId="77777777" w:rsidR="00480352" w:rsidRDefault="00480352">
      <w:pPr>
        <w:rPr>
          <w:rStyle w:val="normaltextrun"/>
          <w:rFonts w:ascii="Times New Roman" w:eastAsiaTheme="majorEastAsia" w:hAnsi="Times New Roman" w:cs="Times New Roman"/>
          <w:noProof/>
          <w:sz w:val="18"/>
          <w:szCs w:val="18"/>
        </w:rPr>
      </w:pPr>
      <w:r>
        <w:rPr>
          <w:noProof/>
        </w:rPr>
        <w:br w:type="page"/>
      </w:r>
    </w:p>
    <w:p w14:paraId="7BBC1758" w14:textId="0C2F1CFC" w:rsidR="004637D8" w:rsidRPr="00C82DFF" w:rsidRDefault="4D360710" w:rsidP="00A05E3A">
      <w:pPr>
        <w:pStyle w:val="Heading2"/>
        <w:spacing w:before="240" w:after="240"/>
        <w:ind w:left="578" w:hanging="578"/>
        <w:rPr>
          <w:rFonts w:cs="Times New Roman"/>
          <w:noProof/>
          <w:sz w:val="22"/>
          <w:szCs w:val="22"/>
        </w:rPr>
      </w:pPr>
      <w:bookmarkStart w:id="22" w:name="_Toc227935548"/>
      <w:r>
        <w:rPr>
          <w:noProof/>
          <w:sz w:val="22"/>
        </w:rPr>
        <w:t>Modul în care FPM onorează cererile de răscumpărare</w:t>
      </w:r>
      <w:bookmarkEnd w:id="22"/>
    </w:p>
    <w:p w14:paraId="27485294" w14:textId="72D17C95" w:rsidR="005B2BDE" w:rsidRDefault="00AF21CD" w:rsidP="00D04526">
      <w:pPr>
        <w:spacing w:after="240" w:line="280" w:lineRule="atLeast"/>
        <w:jc w:val="both"/>
        <w:rPr>
          <w:rFonts w:ascii="Times New Roman" w:eastAsia="Times New Roman" w:hAnsi="Times New Roman" w:cs="Times New Roman"/>
          <w:noProof/>
        </w:rPr>
      </w:pPr>
      <w:r>
        <w:rPr>
          <w:rFonts w:ascii="Times New Roman" w:hAnsi="Times New Roman"/>
          <w:noProof/>
        </w:rPr>
        <w:t>Condițiile de criză a pieței, de exemplu în timpul pandemiei de COVID-</w:t>
      </w:r>
      <w:r w:rsidRPr="004F4310">
        <w:rPr>
          <w:rFonts w:ascii="Times New Roman" w:hAnsi="Times New Roman"/>
          <w:noProof/>
        </w:rPr>
        <w:t>19</w:t>
      </w:r>
      <w:r>
        <w:rPr>
          <w:rFonts w:ascii="Times New Roman" w:hAnsi="Times New Roman"/>
          <w:noProof/>
        </w:rPr>
        <w:t xml:space="preserve"> și al evenimentelor de piață legate de fondurile bazate pe pasive, oferă informații valoroase privind dinamica gestionării lichidității în astfel de condiții. Comisia a analizat capacitatea FPM de a reconstitui rezervele de lichiditate, inclusiv în condiții de criză a pieței. Pornind de la seturi ample de date, această analiză s-a axat pe două niveluri: (</w:t>
      </w:r>
      <w:r w:rsidRPr="004F4310">
        <w:rPr>
          <w:rFonts w:ascii="Times New Roman" w:hAnsi="Times New Roman"/>
          <w:noProof/>
        </w:rPr>
        <w:t>1</w:t>
      </w:r>
      <w:r>
        <w:rPr>
          <w:rFonts w:ascii="Times New Roman" w:hAnsi="Times New Roman"/>
          <w:noProof/>
        </w:rPr>
        <w:t>) piața în ansamblu; și (</w:t>
      </w:r>
      <w:r w:rsidRPr="004F4310">
        <w:rPr>
          <w:rFonts w:ascii="Times New Roman" w:hAnsi="Times New Roman"/>
          <w:noProof/>
        </w:rPr>
        <w:t>2</w:t>
      </w:r>
      <w:r>
        <w:rPr>
          <w:rFonts w:ascii="Times New Roman" w:hAnsi="Times New Roman"/>
          <w:noProof/>
        </w:rPr>
        <w:t xml:space="preserve">) o analiză mai detaliată a FPM care s-au confruntat cu cele mai severe șocuri de lichiditate. </w:t>
      </w:r>
    </w:p>
    <w:p w14:paraId="31C3AB3B" w14:textId="7280DED8" w:rsidR="00EE59BE" w:rsidRPr="00C82DFF" w:rsidRDefault="00EE59BE" w:rsidP="0006081F">
      <w:pPr>
        <w:shd w:val="clear" w:color="auto" w:fill="DBE5F1" w:themeFill="accent1" w:themeFillTint="33"/>
        <w:spacing w:before="240" w:after="240" w:line="280" w:lineRule="atLeast"/>
        <w:jc w:val="both"/>
        <w:rPr>
          <w:rFonts w:ascii="Times New Roman" w:hAnsi="Times New Roman" w:cs="Times New Roman"/>
          <w:b/>
          <w:bCs/>
          <w:noProof/>
        </w:rPr>
      </w:pPr>
      <w:r>
        <w:rPr>
          <w:rFonts w:ascii="Times New Roman" w:hAnsi="Times New Roman"/>
          <w:b/>
          <w:noProof/>
        </w:rPr>
        <w:t xml:space="preserve">Constatarea principală </w:t>
      </w:r>
      <w:r w:rsidRPr="004F4310">
        <w:rPr>
          <w:rFonts w:ascii="Times New Roman" w:hAnsi="Times New Roman"/>
          <w:b/>
          <w:noProof/>
        </w:rPr>
        <w:t>3</w:t>
      </w:r>
      <w:r>
        <w:rPr>
          <w:rFonts w:ascii="Times New Roman" w:hAnsi="Times New Roman"/>
          <w:b/>
          <w:noProof/>
        </w:rPr>
        <w:t>: FPM sunt în măsură să își reconstituie rezervele de lichiditate în condiții de presiune ridicată din partea răscumpărărilor, inclusiv în condiții de criză a pieței</w:t>
      </w:r>
    </w:p>
    <w:p w14:paraId="4C2EB7C4" w14:textId="70944938" w:rsidR="00FA2D0C" w:rsidRPr="00C82DFF" w:rsidRDefault="6E105919" w:rsidP="00D04526">
      <w:pPr>
        <w:spacing w:after="240" w:line="280" w:lineRule="atLeast"/>
        <w:jc w:val="both"/>
        <w:rPr>
          <w:rFonts w:ascii="Times New Roman" w:eastAsia="Times New Roman" w:hAnsi="Times New Roman" w:cs="Times New Roman"/>
          <w:noProof/>
        </w:rPr>
      </w:pPr>
      <w:r>
        <w:rPr>
          <w:rStyle w:val="Strong"/>
          <w:rFonts w:ascii="Times New Roman" w:hAnsi="Times New Roman"/>
          <w:noProof/>
        </w:rPr>
        <w:t>În condiții normale de piață, FPM își mențin și își reconstituie, de regulă, rezervele de lichiditate prin „operațiuni mecanice”.</w:t>
      </w:r>
      <w:r>
        <w:rPr>
          <w:rFonts w:ascii="Times New Roman" w:hAnsi="Times New Roman"/>
          <w:noProof/>
        </w:rPr>
        <w:t xml:space="preserve"> Acest lucru se realizează nu numai prin cicluri de ajungere la scadență ale activelor pe termen scurt de înaltă calitate (efecte de comerț/certificate de depozit/bonuri de trezorerie</w:t>
      </w:r>
      <w:r>
        <w:rPr>
          <w:rStyle w:val="FootnoteReference"/>
          <w:rFonts w:ascii="Times New Roman" w:hAnsi="Times New Roman" w:cs="Times New Roman"/>
          <w:noProof/>
        </w:rPr>
        <w:footnoteReference w:id="9"/>
      </w:r>
      <w:r>
        <w:rPr>
          <w:rFonts w:ascii="Times New Roman" w:hAnsi="Times New Roman"/>
          <w:noProof/>
        </w:rPr>
        <w:t xml:space="preserve">), prin reinvestirea numerarului în noi active cu scadență pe termen scurt, ci și prin tranzacții pe piața secundară și prin utilizarea finanțării garantate overnight (de exemplu, reverse repo), care poate fi ajustată zilnic. Acest proces este reglementat și supravegheat pe baza unor cerințe stricte în materie de scadență prevăzute în Regulamentul privind FPM, în special WAL, care limitează scadența medie a activelor FPM la nivel agregat, precum și scadența fiecărui activ în parte (a se vedea tabelul </w:t>
      </w:r>
      <w:r w:rsidRPr="004F4310">
        <w:rPr>
          <w:rFonts w:ascii="Times New Roman" w:hAnsi="Times New Roman"/>
          <w:noProof/>
        </w:rPr>
        <w:t>1</w:t>
      </w:r>
      <w:r>
        <w:rPr>
          <w:rFonts w:ascii="Times New Roman" w:hAnsi="Times New Roman"/>
          <w:noProof/>
        </w:rPr>
        <w:t xml:space="preserve">). </w:t>
      </w:r>
    </w:p>
    <w:p w14:paraId="4BC31E32" w14:textId="62639676" w:rsidR="00B5082E" w:rsidRDefault="3102609F" w:rsidP="00D04526">
      <w:pPr>
        <w:spacing w:after="120" w:line="280" w:lineRule="atLeast"/>
        <w:jc w:val="both"/>
        <w:rPr>
          <w:rFonts w:ascii="Times New Roman" w:hAnsi="Times New Roman" w:cs="Times New Roman"/>
          <w:noProof/>
        </w:rPr>
      </w:pPr>
      <w:r>
        <w:rPr>
          <w:rFonts w:ascii="Times New Roman" w:hAnsi="Times New Roman"/>
          <w:b/>
          <w:noProof/>
        </w:rPr>
        <w:t>În condiții de criză a pieței, „reconstituirea” rezervelor de lichiditate de către FPM trece de la „operațiuni mecanice” la „operațiuni defensive”</w:t>
      </w:r>
      <w:r>
        <w:rPr>
          <w:rFonts w:ascii="Times New Roman" w:hAnsi="Times New Roman"/>
          <w:noProof/>
        </w:rPr>
        <w:t xml:space="preserve">. Pe măsură ce răscumpărările se accelerează, iar lichiditatea pieței secundare se deteriorează, administratorii FPM accelerează în mod activ generarea de numerar prin lichidarea deținerilor și își reduc expunerea la prețurile pieței (a se vedea graficul </w:t>
      </w:r>
      <w:r w:rsidRPr="004F4310">
        <w:rPr>
          <w:rFonts w:ascii="Times New Roman" w:hAnsi="Times New Roman"/>
          <w:noProof/>
        </w:rPr>
        <w:t>4</w:t>
      </w:r>
      <w:r>
        <w:rPr>
          <w:rFonts w:ascii="Times New Roman" w:hAnsi="Times New Roman"/>
          <w:noProof/>
        </w:rPr>
        <w:t>). În acest scop, aceștia ajustează structura portofoliului pentru a reduce WAM (sensibilitatea la prețul pieței) și WAL (scadența medie)</w:t>
      </w:r>
      <w:r>
        <w:rPr>
          <w:rStyle w:val="FootnoteReference"/>
          <w:rFonts w:ascii="Times New Roman" w:eastAsia="Times New Roman" w:hAnsi="Times New Roman" w:cs="Times New Roman"/>
          <w:noProof/>
          <w:lang w:eastAsia="en-IE"/>
        </w:rPr>
        <w:footnoteReference w:id="10"/>
      </w:r>
      <w:r>
        <w:rPr>
          <w:rFonts w:ascii="Times New Roman" w:hAnsi="Times New Roman"/>
          <w:noProof/>
        </w:rPr>
        <w:t xml:space="preserve">, concentrând reinvestițiile în cele mai lichide obligațiuni, cu cea mai scurtă durată. Aceasta permite FPM să accelereze ritmul de refacere a rezervelor de lichiditate. Graficul </w:t>
      </w:r>
      <w:r w:rsidRPr="004F4310">
        <w:rPr>
          <w:rFonts w:ascii="Times New Roman" w:hAnsi="Times New Roman"/>
          <w:noProof/>
        </w:rPr>
        <w:t>3</w:t>
      </w:r>
      <w:r>
        <w:rPr>
          <w:rFonts w:ascii="Times New Roman" w:hAnsi="Times New Roman"/>
          <w:noProof/>
        </w:rPr>
        <w:t xml:space="preserve"> prezintă evoluția portofoliilor de obligațiuni ale FPM înainte și la începutul pandemiei de COVID-</w:t>
      </w:r>
      <w:r w:rsidRPr="004F4310">
        <w:rPr>
          <w:rFonts w:ascii="Times New Roman" w:hAnsi="Times New Roman"/>
          <w:noProof/>
        </w:rPr>
        <w:t>19</w:t>
      </w:r>
      <w:r>
        <w:rPr>
          <w:rFonts w:ascii="Times New Roman" w:hAnsi="Times New Roman"/>
          <w:noProof/>
        </w:rPr>
        <w:t>. Acesta arată că, la nivelul întregului sector, proporția obligațiunilor cu scadență mai scurtă (</w:t>
      </w:r>
      <w:r w:rsidRPr="004F4310">
        <w:rPr>
          <w:rFonts w:ascii="Times New Roman" w:hAnsi="Times New Roman"/>
          <w:noProof/>
        </w:rPr>
        <w:t>3</w:t>
      </w:r>
      <w:r>
        <w:rPr>
          <w:rFonts w:ascii="Times New Roman" w:hAnsi="Times New Roman"/>
          <w:noProof/>
        </w:rPr>
        <w:t>-</w:t>
      </w:r>
      <w:r w:rsidRPr="004F4310">
        <w:rPr>
          <w:rFonts w:ascii="Times New Roman" w:hAnsi="Times New Roman"/>
          <w:noProof/>
        </w:rPr>
        <w:t>6</w:t>
      </w:r>
      <w:r>
        <w:rPr>
          <w:rFonts w:ascii="Times New Roman" w:hAnsi="Times New Roman"/>
          <w:noProof/>
        </w:rPr>
        <w:t xml:space="preserve"> luni) din portofoliu aproape s-a dublat în perioada decembrie </w:t>
      </w:r>
      <w:r w:rsidRPr="004F4310">
        <w:rPr>
          <w:rFonts w:ascii="Times New Roman" w:hAnsi="Times New Roman"/>
          <w:noProof/>
        </w:rPr>
        <w:t>2019</w:t>
      </w:r>
      <w:r>
        <w:rPr>
          <w:rFonts w:ascii="Times New Roman" w:hAnsi="Times New Roman"/>
          <w:noProof/>
        </w:rPr>
        <w:t xml:space="preserve"> - iunie </w:t>
      </w:r>
      <w:r w:rsidRPr="004F4310">
        <w:rPr>
          <w:rFonts w:ascii="Times New Roman" w:hAnsi="Times New Roman"/>
          <w:noProof/>
        </w:rPr>
        <w:t>2020</w:t>
      </w:r>
      <w:r>
        <w:rPr>
          <w:rFonts w:ascii="Times New Roman" w:hAnsi="Times New Roman"/>
          <w:noProof/>
        </w:rPr>
        <w:t>.</w:t>
      </w:r>
      <w:r w:rsidR="00801851">
        <w:rPr>
          <w:rFonts w:ascii="Times New Roman" w:hAnsi="Times New Roman"/>
          <w:noProof/>
        </w:rPr>
        <w:t xml:space="preserve"> </w:t>
      </w:r>
    </w:p>
    <w:p w14:paraId="1E7354FA" w14:textId="77777777" w:rsidR="00866624" w:rsidRDefault="00866624" w:rsidP="00365E2F">
      <w:pPr>
        <w:spacing w:before="120" w:after="0" w:line="240" w:lineRule="atLeast"/>
        <w:jc w:val="both"/>
        <w:rPr>
          <w:rFonts w:ascii="Times New Roman" w:hAnsi="Times New Roman"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222"/>
        <w:gridCol w:w="4058"/>
      </w:tblGrid>
      <w:tr w:rsidR="00262651" w14:paraId="52181AB5" w14:textId="77777777" w:rsidTr="00AB0E4A">
        <w:tc>
          <w:tcPr>
            <w:tcW w:w="4386" w:type="dxa"/>
          </w:tcPr>
          <w:p w14:paraId="4101A1E6" w14:textId="2EF92CEF" w:rsidR="00262651" w:rsidRPr="006E5ECF" w:rsidRDefault="00262651" w:rsidP="00BE6CD4">
            <w:pPr>
              <w:spacing w:after="120"/>
              <w:rPr>
                <w:rFonts w:ascii="Times New Roman" w:hAnsi="Times New Roman" w:cs="Times New Roman"/>
                <w:b/>
                <w:noProof/>
                <w:sz w:val="20"/>
                <w:szCs w:val="20"/>
              </w:rPr>
            </w:pPr>
            <w:r>
              <w:rPr>
                <w:rFonts w:ascii="Times New Roman" w:hAnsi="Times New Roman"/>
                <w:b/>
                <w:noProof/>
                <w:sz w:val="20"/>
              </w:rPr>
              <w:t>Graficul </w:t>
            </w:r>
            <w:r w:rsidRPr="004F4310">
              <w:rPr>
                <w:rFonts w:ascii="Times New Roman" w:hAnsi="Times New Roman"/>
                <w:b/>
                <w:noProof/>
                <w:sz w:val="20"/>
              </w:rPr>
              <w:t>4</w:t>
            </w:r>
            <w:r>
              <w:rPr>
                <w:rFonts w:ascii="Times New Roman" w:hAnsi="Times New Roman"/>
                <w:b/>
                <w:noProof/>
                <w:sz w:val="20"/>
              </w:rPr>
              <w:t>: Evoluția structurii datoriei FPM</w:t>
            </w:r>
            <w:r w:rsidR="00801851">
              <w:rPr>
                <w:rFonts w:ascii="Times New Roman" w:hAnsi="Times New Roman"/>
                <w:b/>
                <w:noProof/>
                <w:sz w:val="20"/>
              </w:rPr>
              <w:t xml:space="preserve"> </w:t>
            </w:r>
          </w:p>
          <w:p w14:paraId="76ACD848" w14:textId="0CF1276B" w:rsidR="00262651" w:rsidRPr="00C82DFF" w:rsidRDefault="006A70E9" w:rsidP="00BF0F91">
            <w:pPr>
              <w:rPr>
                <w:rFonts w:ascii="Times New Roman" w:hAnsi="Times New Roman" w:cs="Times New Roman"/>
                <w:noProof/>
              </w:rPr>
            </w:pPr>
            <w:r>
              <w:rPr>
                <w:rFonts w:ascii="Times New Roman" w:hAnsi="Times New Roman"/>
                <w:noProof/>
                <w:lang w:val="en-GB" w:eastAsia="en-GB"/>
              </w:rPr>
              <w:drawing>
                <wp:inline distT="0" distB="0" distL="0" distR="0" wp14:anchorId="1A81EB52" wp14:editId="6C45DBBE">
                  <wp:extent cx="2931373" cy="2390465"/>
                  <wp:effectExtent l="0" t="0" r="2540" b="0"/>
                  <wp:docPr id="199739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99038" name=""/>
                          <pic:cNvPicPr/>
                        </pic:nvPicPr>
                        <pic:blipFill>
                          <a:blip r:embed="rId27"/>
                          <a:stretch>
                            <a:fillRect/>
                          </a:stretch>
                        </pic:blipFill>
                        <pic:spPr>
                          <a:xfrm>
                            <a:off x="0" y="0"/>
                            <a:ext cx="2940609" cy="2397997"/>
                          </a:xfrm>
                          <a:prstGeom prst="rect">
                            <a:avLst/>
                          </a:prstGeom>
                        </pic:spPr>
                      </pic:pic>
                    </a:graphicData>
                  </a:graphic>
                </wp:inline>
              </w:drawing>
            </w:r>
          </w:p>
          <w:p w14:paraId="36A25DA4" w14:textId="77777777" w:rsidR="00262651" w:rsidRDefault="00262651" w:rsidP="00BE6CD4">
            <w:pPr>
              <w:jc w:val="both"/>
              <w:rPr>
                <w:rFonts w:ascii="Times New Roman" w:hAnsi="Times New Roman" w:cs="Times New Roman"/>
                <w:noProof/>
                <w:sz w:val="18"/>
                <w:szCs w:val="18"/>
              </w:rPr>
            </w:pPr>
          </w:p>
          <w:p w14:paraId="5FF2394A" w14:textId="5FAD4269" w:rsidR="00262651" w:rsidRPr="00BF0436" w:rsidRDefault="00262651" w:rsidP="00BE6CD4">
            <w:pPr>
              <w:jc w:val="both"/>
              <w:rPr>
                <w:rFonts w:ascii="Times New Roman" w:hAnsi="Times New Roman" w:cs="Times New Roman"/>
                <w:noProof/>
                <w:sz w:val="18"/>
                <w:szCs w:val="18"/>
              </w:rPr>
            </w:pPr>
            <w:r>
              <w:rPr>
                <w:rFonts w:ascii="Times New Roman" w:hAnsi="Times New Roman"/>
                <w:noProof/>
                <w:sz w:val="18"/>
              </w:rPr>
              <w:t>Sursă: EFAMA</w:t>
            </w:r>
            <w:r>
              <w:rPr>
                <w:rFonts w:ascii="Times New Roman" w:hAnsi="Times New Roman"/>
                <w:i/>
                <w:noProof/>
                <w:sz w:val="18"/>
              </w:rPr>
              <w:t xml:space="preserve">, </w:t>
            </w:r>
            <w:hyperlink r:id="rId28" w:history="1">
              <w:r>
                <w:rPr>
                  <w:rStyle w:val="Hyperlink"/>
                  <w:rFonts w:ascii="Times New Roman" w:hAnsi="Times New Roman"/>
                  <w:noProof/>
                  <w:sz w:val="18"/>
                </w:rPr>
                <w:t>European MMFs in the COVID-</w:t>
              </w:r>
              <w:r w:rsidRPr="004F4310">
                <w:rPr>
                  <w:rStyle w:val="Hyperlink"/>
                  <w:rFonts w:ascii="Times New Roman" w:hAnsi="Times New Roman"/>
                  <w:noProof/>
                  <w:sz w:val="18"/>
                </w:rPr>
                <w:t>19</w:t>
              </w:r>
              <w:r>
                <w:rPr>
                  <w:rStyle w:val="Hyperlink"/>
                  <w:rFonts w:ascii="Times New Roman" w:hAnsi="Times New Roman"/>
                  <w:noProof/>
                  <w:sz w:val="18"/>
                </w:rPr>
                <w:t xml:space="preserve"> market turmoil</w:t>
              </w:r>
            </w:hyperlink>
            <w:r>
              <w:rPr>
                <w:rFonts w:ascii="Times New Roman" w:hAnsi="Times New Roman"/>
                <w:noProof/>
                <w:sz w:val="18"/>
              </w:rPr>
              <w:t xml:space="preserve"> (FPM europene în contextul turbulențelor de pe piață generate de pandemia de COVID-</w:t>
            </w:r>
            <w:r w:rsidRPr="004F4310">
              <w:rPr>
                <w:rFonts w:ascii="Times New Roman" w:hAnsi="Times New Roman"/>
                <w:noProof/>
                <w:sz w:val="18"/>
              </w:rPr>
              <w:t>19</w:t>
            </w:r>
            <w:r>
              <w:rPr>
                <w:rFonts w:ascii="Times New Roman" w:hAnsi="Times New Roman"/>
                <w:noProof/>
                <w:sz w:val="18"/>
              </w:rPr>
              <w:t>)</w:t>
            </w:r>
            <w:r>
              <w:rPr>
                <w:rFonts w:ascii="Times New Roman" w:hAnsi="Times New Roman"/>
                <w:i/>
                <w:noProof/>
                <w:sz w:val="18"/>
              </w:rPr>
              <w:t>,</w:t>
            </w:r>
            <w:r>
              <w:rPr>
                <w:rFonts w:ascii="Times New Roman" w:hAnsi="Times New Roman"/>
                <w:noProof/>
                <w:sz w:val="18"/>
              </w:rPr>
              <w:t xml:space="preserve"> noiembrie </w:t>
            </w:r>
            <w:r w:rsidRPr="004F4310">
              <w:rPr>
                <w:rFonts w:ascii="Times New Roman" w:hAnsi="Times New Roman"/>
                <w:noProof/>
                <w:sz w:val="18"/>
              </w:rPr>
              <w:t>2020</w:t>
            </w:r>
          </w:p>
          <w:p w14:paraId="117A5C24" w14:textId="6BE5B2ED" w:rsidR="00262651" w:rsidRDefault="00262651" w:rsidP="00E82777">
            <w:pPr>
              <w:jc w:val="both"/>
              <w:rPr>
                <w:rFonts w:ascii="Times New Roman" w:hAnsi="Times New Roman" w:cs="Times New Roman"/>
                <w:noProof/>
              </w:rPr>
            </w:pPr>
            <w:r>
              <w:rPr>
                <w:rFonts w:ascii="Times New Roman" w:hAnsi="Times New Roman"/>
                <w:noProof/>
                <w:sz w:val="18"/>
              </w:rPr>
              <w:t>Notă</w:t>
            </w:r>
            <w:r>
              <w:rPr>
                <w:noProof/>
              </w:rPr>
              <w:t>:</w:t>
            </w:r>
            <w:r>
              <w:rPr>
                <w:rFonts w:ascii="Times New Roman" w:hAnsi="Times New Roman"/>
                <w:noProof/>
                <w:sz w:val="18"/>
              </w:rPr>
              <w:t xml:space="preserve"> Defalcarea în funcție de scadență a instrumentelor de datorie din portofoliul FPM, exprimată ca procent din totalul activelor FPM</w:t>
            </w:r>
          </w:p>
        </w:tc>
        <w:tc>
          <w:tcPr>
            <w:tcW w:w="236" w:type="dxa"/>
          </w:tcPr>
          <w:p w14:paraId="04F71285" w14:textId="77777777" w:rsidR="00262651" w:rsidRPr="00494867" w:rsidRDefault="00262651" w:rsidP="00494867">
            <w:pPr>
              <w:spacing w:after="120"/>
              <w:rPr>
                <w:rFonts w:ascii="Times New Roman" w:hAnsi="Times New Roman" w:cs="Times New Roman"/>
                <w:b/>
                <w:noProof/>
                <w:sz w:val="20"/>
                <w:szCs w:val="20"/>
              </w:rPr>
            </w:pPr>
          </w:p>
        </w:tc>
        <w:tc>
          <w:tcPr>
            <w:tcW w:w="4330" w:type="dxa"/>
          </w:tcPr>
          <w:p w14:paraId="2E00D5EF" w14:textId="4C0A30FD" w:rsidR="00262651" w:rsidRPr="00494867" w:rsidRDefault="00262651" w:rsidP="00494867">
            <w:pPr>
              <w:spacing w:after="120"/>
              <w:rPr>
                <w:rFonts w:ascii="Times New Roman" w:hAnsi="Times New Roman" w:cs="Times New Roman"/>
                <w:b/>
                <w:noProof/>
                <w:sz w:val="20"/>
                <w:szCs w:val="20"/>
              </w:rPr>
            </w:pPr>
            <w:r>
              <w:rPr>
                <w:rFonts w:ascii="Times New Roman" w:hAnsi="Times New Roman"/>
                <w:b/>
                <w:noProof/>
                <w:sz w:val="20"/>
              </w:rPr>
              <w:t>Graficul </w:t>
            </w:r>
            <w:r w:rsidRPr="004F4310">
              <w:rPr>
                <w:rFonts w:ascii="Times New Roman" w:hAnsi="Times New Roman"/>
                <w:b/>
                <w:noProof/>
                <w:sz w:val="20"/>
              </w:rPr>
              <w:t>5</w:t>
            </w:r>
            <w:r>
              <w:rPr>
                <w:rFonts w:ascii="Times New Roman" w:hAnsi="Times New Roman"/>
                <w:b/>
                <w:noProof/>
                <w:sz w:val="20"/>
              </w:rPr>
              <w:t>: Relația de tip compromis între WLA și deviația VAN</w:t>
            </w:r>
          </w:p>
          <w:p w14:paraId="60800788" w14:textId="71756DAD" w:rsidR="00262651" w:rsidRDefault="00262651" w:rsidP="00365E2F">
            <w:pPr>
              <w:spacing w:before="120" w:line="240" w:lineRule="atLeast"/>
              <w:jc w:val="both"/>
              <w:rPr>
                <w:rFonts w:ascii="Times New Roman" w:hAnsi="Times New Roman" w:cs="Times New Roman"/>
                <w:noProof/>
              </w:rPr>
            </w:pPr>
            <w:r>
              <w:rPr>
                <w:rFonts w:ascii="Times New Roman" w:hAnsi="Times New Roman"/>
                <w:noProof/>
                <w:lang w:val="en-GB" w:eastAsia="en-GB"/>
              </w:rPr>
              <w:drawing>
                <wp:inline distT="0" distB="0" distL="0" distR="0" wp14:anchorId="40FD7A5D" wp14:editId="358C06F6">
                  <wp:extent cx="2464058" cy="1932167"/>
                  <wp:effectExtent l="0" t="0" r="0" b="0"/>
                  <wp:docPr id="582779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79306" name=""/>
                          <pic:cNvPicPr/>
                        </pic:nvPicPr>
                        <pic:blipFill>
                          <a:blip r:embed="rId29"/>
                          <a:stretch>
                            <a:fillRect/>
                          </a:stretch>
                        </pic:blipFill>
                        <pic:spPr>
                          <a:xfrm>
                            <a:off x="0" y="0"/>
                            <a:ext cx="2480295" cy="1944899"/>
                          </a:xfrm>
                          <a:prstGeom prst="rect">
                            <a:avLst/>
                          </a:prstGeom>
                        </pic:spPr>
                      </pic:pic>
                    </a:graphicData>
                  </a:graphic>
                </wp:inline>
              </w:drawing>
            </w:r>
          </w:p>
          <w:p w14:paraId="26FF4732" w14:textId="77777777" w:rsidR="00262651" w:rsidRDefault="00262651" w:rsidP="003C0A2C">
            <w:pPr>
              <w:spacing w:line="240" w:lineRule="atLeast"/>
              <w:jc w:val="both"/>
              <w:rPr>
                <w:rFonts w:ascii="Times New Roman" w:hAnsi="Times New Roman" w:cs="Times New Roman"/>
                <w:noProof/>
                <w:sz w:val="18"/>
                <w:szCs w:val="18"/>
              </w:rPr>
            </w:pPr>
          </w:p>
          <w:p w14:paraId="0C58F512" w14:textId="02B4B26B" w:rsidR="00262651" w:rsidRDefault="00262651" w:rsidP="003C0A2C">
            <w:pPr>
              <w:spacing w:line="240" w:lineRule="atLeast"/>
              <w:jc w:val="both"/>
              <w:rPr>
                <w:rFonts w:ascii="Times New Roman" w:hAnsi="Times New Roman" w:cs="Times New Roman"/>
                <w:noProof/>
                <w:sz w:val="18"/>
                <w:szCs w:val="18"/>
              </w:rPr>
            </w:pPr>
            <w:r>
              <w:rPr>
                <w:rFonts w:ascii="Times New Roman" w:hAnsi="Times New Roman"/>
                <w:noProof/>
                <w:sz w:val="18"/>
              </w:rPr>
              <w:t xml:space="preserve">Sursă: Raportul ESMA, </w:t>
            </w:r>
            <w:hyperlink r:id="rId30" w:history="1">
              <w:r>
                <w:rPr>
                  <w:rStyle w:val="Hyperlink"/>
                  <w:rFonts w:ascii="Times New Roman" w:hAnsi="Times New Roman"/>
                  <w:noProof/>
                  <w:sz w:val="18"/>
                </w:rPr>
                <w:t>Vulnerabilities in money market funds</w:t>
              </w:r>
            </w:hyperlink>
            <w:r>
              <w:rPr>
                <w:rFonts w:ascii="Times New Roman" w:hAnsi="Times New Roman"/>
                <w:noProof/>
                <w:sz w:val="18"/>
              </w:rPr>
              <w:t xml:space="preserve"> (Vulnerabilitățile fondurilor de piață monetară), </w:t>
            </w:r>
            <w:r w:rsidRPr="004F4310">
              <w:rPr>
                <w:rFonts w:ascii="Times New Roman" w:hAnsi="Times New Roman"/>
                <w:noProof/>
                <w:sz w:val="18"/>
              </w:rPr>
              <w:t>2021</w:t>
            </w:r>
          </w:p>
          <w:p w14:paraId="1E2D7CC4" w14:textId="6309B3DB" w:rsidR="00262651" w:rsidRDefault="00262651" w:rsidP="003C0A2C">
            <w:pPr>
              <w:spacing w:line="240" w:lineRule="atLeast"/>
              <w:jc w:val="both"/>
              <w:rPr>
                <w:rFonts w:ascii="Times New Roman" w:hAnsi="Times New Roman" w:cs="Times New Roman"/>
                <w:noProof/>
              </w:rPr>
            </w:pPr>
            <w:r>
              <w:rPr>
                <w:rFonts w:ascii="Times New Roman" w:hAnsi="Times New Roman"/>
                <w:noProof/>
                <w:sz w:val="18"/>
              </w:rPr>
              <w:t xml:space="preserve">Notă: Fluxuri nete pe </w:t>
            </w:r>
            <w:r w:rsidRPr="004F4310">
              <w:rPr>
                <w:rFonts w:ascii="Times New Roman" w:hAnsi="Times New Roman"/>
                <w:noProof/>
                <w:sz w:val="18"/>
              </w:rPr>
              <w:t>7</w:t>
            </w:r>
            <w:r>
              <w:rPr>
                <w:rFonts w:ascii="Times New Roman" w:hAnsi="Times New Roman"/>
                <w:noProof/>
                <w:sz w:val="18"/>
              </w:rPr>
              <w:t xml:space="preserve"> zile, WLA ca procent din VAN și deviația VAN (în puncte de bază), la </w:t>
            </w:r>
            <w:r w:rsidRPr="004F4310">
              <w:rPr>
                <w:rFonts w:ascii="Times New Roman" w:hAnsi="Times New Roman"/>
                <w:noProof/>
                <w:sz w:val="18"/>
              </w:rPr>
              <w:t>25</w:t>
            </w:r>
            <w:r w:rsidR="004F4310">
              <w:rPr>
                <w:rFonts w:ascii="Times New Roman" w:hAnsi="Times New Roman"/>
                <w:noProof/>
                <w:sz w:val="18"/>
              </w:rPr>
              <w:t> </w:t>
            </w:r>
            <w:r>
              <w:rPr>
                <w:rFonts w:ascii="Times New Roman" w:hAnsi="Times New Roman"/>
                <w:noProof/>
                <w:sz w:val="18"/>
              </w:rPr>
              <w:t xml:space="preserve">martie </w:t>
            </w:r>
            <w:r w:rsidRPr="004F4310">
              <w:rPr>
                <w:rFonts w:ascii="Times New Roman" w:hAnsi="Times New Roman"/>
                <w:noProof/>
                <w:sz w:val="18"/>
              </w:rPr>
              <w:t>2020</w:t>
            </w:r>
          </w:p>
        </w:tc>
      </w:tr>
    </w:tbl>
    <w:p w14:paraId="5F6B1B6D" w14:textId="3D85E5F3" w:rsidR="0033715A" w:rsidRDefault="76D6CC18" w:rsidP="00D04526">
      <w:pPr>
        <w:spacing w:before="120" w:after="240" w:line="280" w:lineRule="atLeast"/>
        <w:jc w:val="both"/>
        <w:rPr>
          <w:rFonts w:ascii="Times New Roman" w:hAnsi="Times New Roman" w:cs="Times New Roman"/>
          <w:noProof/>
        </w:rPr>
      </w:pPr>
      <w:r>
        <w:rPr>
          <w:rFonts w:ascii="Times New Roman" w:hAnsi="Times New Roman"/>
          <w:noProof/>
        </w:rPr>
        <w:t>La nivelul FPM individuale, o analiză a fondurilor care au făcut obiectul unor cereri mari de răscumpărare a evidențiat un tipar similar: aceste fonduri au acordat prioritate menținerii lichidității și, după utilizarea rezervelor lor de lichiditate, au fost în măsură să le reconstituie rapid (a se vedea graficul</w:t>
      </w:r>
      <w:r w:rsidR="004F4310">
        <w:rPr>
          <w:rFonts w:ascii="Times New Roman" w:hAnsi="Times New Roman"/>
          <w:noProof/>
        </w:rPr>
        <w:t> </w:t>
      </w:r>
      <w:r w:rsidRPr="004F4310">
        <w:rPr>
          <w:rFonts w:ascii="Times New Roman" w:hAnsi="Times New Roman"/>
          <w:noProof/>
        </w:rPr>
        <w:t>6</w:t>
      </w:r>
      <w:r>
        <w:rPr>
          <w:rFonts w:ascii="Times New Roman" w:hAnsi="Times New Roman"/>
          <w:noProof/>
        </w:rPr>
        <w:t xml:space="preserve">, cu titlu ilustrativ, precum și anexa I). În ansamblu, șocurile de răscumpărare suferite de FPM individuale au fost mai mici decât volumul rezervelor de lichiditate menținute, ceea ce a permis fondurilor să onoreze rapid cererile de răscumpărare. Graficul </w:t>
      </w:r>
      <w:r w:rsidRPr="004F4310">
        <w:rPr>
          <w:rFonts w:ascii="Times New Roman" w:hAnsi="Times New Roman"/>
          <w:noProof/>
        </w:rPr>
        <w:t>6</w:t>
      </w:r>
      <w:r>
        <w:rPr>
          <w:rFonts w:ascii="Times New Roman" w:hAnsi="Times New Roman"/>
          <w:noProof/>
        </w:rPr>
        <w:t xml:space="preserve"> prezintă exemplul unui FPM cu VAN cu volatilitate scăzută care s-a confruntat cu un scenariu extrem de răscumpărare și modul în care a menținut rezerve de lichiditate săptămânale peste nivelurile minime de reglementare pe parcursul perioadei de referință. În pofida unei ieșiri de </w:t>
      </w:r>
      <w:r w:rsidRPr="004F4310">
        <w:rPr>
          <w:rFonts w:ascii="Times New Roman" w:hAnsi="Times New Roman"/>
          <w:noProof/>
        </w:rPr>
        <w:t>45</w:t>
      </w:r>
      <w:r>
        <w:rPr>
          <w:rFonts w:ascii="Times New Roman" w:hAnsi="Times New Roman"/>
          <w:noProof/>
        </w:rPr>
        <w:t xml:space="preserve"> % în cursul perioadei, WLA nu a scăzut sub </w:t>
      </w:r>
      <w:r w:rsidRPr="004F4310">
        <w:rPr>
          <w:rFonts w:ascii="Times New Roman" w:hAnsi="Times New Roman"/>
          <w:noProof/>
        </w:rPr>
        <w:t>30</w:t>
      </w:r>
      <w:r>
        <w:rPr>
          <w:rFonts w:ascii="Times New Roman" w:hAnsi="Times New Roman"/>
          <w:noProof/>
        </w:rPr>
        <w:t> %</w:t>
      </w:r>
      <w:r>
        <w:rPr>
          <w:rStyle w:val="FootnoteReference"/>
          <w:rFonts w:ascii="Times New Roman" w:hAnsi="Times New Roman" w:cs="Times New Roman"/>
          <w:noProof/>
        </w:rPr>
        <w:footnoteReference w:id="11"/>
      </w:r>
      <w:r>
        <w:rPr>
          <w:noProof/>
        </w:rPr>
        <w:t>.</w:t>
      </w:r>
      <w:r>
        <w:rPr>
          <w:rFonts w:ascii="Times New Roman" w:hAnsi="Times New Roman"/>
          <w:noProof/>
        </w:rPr>
        <w:t xml:space="preserve"> </w:t>
      </w:r>
    </w:p>
    <w:p w14:paraId="6981263A" w14:textId="2F39365E" w:rsidR="00CA2046" w:rsidRDefault="17B571DE" w:rsidP="00D04526">
      <w:pPr>
        <w:spacing w:after="240" w:line="280" w:lineRule="atLeast"/>
        <w:jc w:val="both"/>
        <w:rPr>
          <w:rFonts w:ascii="Times New Roman" w:hAnsi="Times New Roman" w:cs="Times New Roman"/>
          <w:noProof/>
        </w:rPr>
      </w:pPr>
      <w:r>
        <w:rPr>
          <w:rFonts w:ascii="Times New Roman" w:hAnsi="Times New Roman"/>
          <w:noProof/>
        </w:rPr>
        <w:t xml:space="preserve">Trebuie remarcat, de asemenea, că FPM cu VAN cu volatilitate scăzută și-au menținut rezervele de lichiditate săptămânale fie prin amortizarea portofoliului, fie prin vânzarea de active, în contextul lărgirii marjelor de licitație. Este posibil ca acest lucru să fi generat deviații ale VAN, în special în cazul în care au fost vândute active mai puțin lichide, precum efecte de comerț și certificate de depozit. Aceste deviații ale VAN sunt ilustrate în graficul </w:t>
      </w:r>
      <w:r w:rsidRPr="004F4310">
        <w:rPr>
          <w:rFonts w:ascii="Times New Roman" w:hAnsi="Times New Roman"/>
          <w:noProof/>
        </w:rPr>
        <w:t>5</w:t>
      </w:r>
      <w:r>
        <w:rPr>
          <w:rFonts w:ascii="Times New Roman" w:hAnsi="Times New Roman"/>
          <w:noProof/>
        </w:rPr>
        <w:t>. Prin urmare, menținerea rezervelor WLA ar fi putut necesita vânzarea unor active mai puțin lichide, contribuind la deviațiile VAN.</w:t>
      </w:r>
    </w:p>
    <w:p w14:paraId="658834B8" w14:textId="77777777" w:rsidR="004C5A39" w:rsidRPr="00C82DFF" w:rsidRDefault="004C5A39" w:rsidP="0033715A">
      <w:pPr>
        <w:spacing w:before="120" w:after="0" w:line="240" w:lineRule="atLeast"/>
        <w:jc w:val="both"/>
        <w:rPr>
          <w:rFonts w:ascii="Times New Roman" w:hAnsi="Times New Roman" w:cs="Times New Roman"/>
          <w:noProof/>
        </w:rPr>
      </w:pPr>
    </w:p>
    <w:p w14:paraId="03BD670A" w14:textId="72AE0545" w:rsidR="007860C6" w:rsidRPr="00254822" w:rsidRDefault="007D08C3" w:rsidP="007860C6">
      <w:pPr>
        <w:spacing w:after="120"/>
        <w:jc w:val="both"/>
        <w:rPr>
          <w:rFonts w:ascii="Times New Roman" w:hAnsi="Times New Roman" w:cs="Times New Roman"/>
          <w:b/>
          <w:noProof/>
          <w:sz w:val="20"/>
          <w:szCs w:val="20"/>
        </w:rPr>
      </w:pPr>
      <w:r>
        <w:rPr>
          <w:rFonts w:ascii="Times New Roman" w:hAnsi="Times New Roman"/>
          <w:b/>
          <w:noProof/>
          <w:sz w:val="20"/>
        </w:rPr>
        <w:t>Graficul </w:t>
      </w:r>
      <w:r w:rsidRPr="004F4310">
        <w:rPr>
          <w:rFonts w:ascii="Times New Roman" w:hAnsi="Times New Roman"/>
          <w:b/>
          <w:noProof/>
          <w:sz w:val="20"/>
        </w:rPr>
        <w:t>6</w:t>
      </w:r>
      <w:r>
        <w:rPr>
          <w:rFonts w:ascii="Times New Roman" w:hAnsi="Times New Roman"/>
          <w:b/>
          <w:noProof/>
          <w:sz w:val="20"/>
        </w:rPr>
        <w:t>: Exemplu de scenariu cel mai pesimist pentru un FPM cu VAN cu volatilitate scăzută în condițiile unui șoc puternic de lichiditate</w:t>
      </w:r>
    </w:p>
    <w:p w14:paraId="08054C48" w14:textId="0F3B59E2" w:rsidR="00A77BCD" w:rsidRPr="00C82DFF" w:rsidRDefault="00592C3C" w:rsidP="00A63B3C">
      <w:pPr>
        <w:spacing w:after="120"/>
        <w:ind w:left="720"/>
        <w:rPr>
          <w:rFonts w:ascii="Times New Roman" w:hAnsi="Times New Roman" w:cs="Times New Roman"/>
          <w:b/>
          <w:noProof/>
        </w:rPr>
      </w:pPr>
      <w:r>
        <w:rPr>
          <w:rFonts w:ascii="Times New Roman" w:hAnsi="Times New Roman"/>
          <w:b/>
          <w:noProof/>
          <w:lang w:val="en-GB" w:eastAsia="en-GB"/>
        </w:rPr>
        <mc:AlternateContent>
          <mc:Choice Requires="wps">
            <w:drawing>
              <wp:anchor distT="0" distB="0" distL="114300" distR="114300" simplePos="0" relativeHeight="251658242" behindDoc="0" locked="0" layoutInCell="1" allowOverlap="1" wp14:anchorId="4BD14283" wp14:editId="1D55BEFF">
                <wp:simplePos x="0" y="0"/>
                <wp:positionH relativeFrom="column">
                  <wp:posOffset>2590165</wp:posOffset>
                </wp:positionH>
                <wp:positionV relativeFrom="paragraph">
                  <wp:posOffset>6985</wp:posOffset>
                </wp:positionV>
                <wp:extent cx="22860" cy="1264920"/>
                <wp:effectExtent l="0" t="0" r="34290" b="30480"/>
                <wp:wrapNone/>
                <wp:docPr id="1096610161" name="Straight Connector 3"/>
                <wp:cNvGraphicFramePr/>
                <a:graphic xmlns:a="http://schemas.openxmlformats.org/drawingml/2006/main">
                  <a:graphicData uri="http://schemas.microsoft.com/office/word/2010/wordprocessingShape">
                    <wps:wsp>
                      <wps:cNvCnPr/>
                      <wps:spPr>
                        <a:xfrm>
                          <a:off x="0" y="0"/>
                          <a:ext cx="22860" cy="1264920"/>
                        </a:xfrm>
                        <a:prstGeom prst="line">
                          <a:avLst/>
                        </a:prstGeom>
                        <a:ln w="19050" cap="flat" cmpd="sng" algn="ctr">
                          <a:solidFill>
                            <a:schemeClr val="accent3"/>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line id="Straight Connector 3"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9bbb59 [3206]"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" from="203.95pt,.55pt" to="205.75pt,100.15pt" w14:anchorId="47771E6E">
                <v:stroke dashstyle="dash"/>
              </v:line>
            </w:pict>
          </mc:Fallback>
        </mc:AlternateContent>
      </w:r>
      <w:r>
        <w:rPr>
          <w:rFonts w:ascii="Times New Roman" w:hAnsi="Times New Roman"/>
          <w:b/>
          <w:noProof/>
          <w:lang w:val="en-GB" w:eastAsia="en-GB"/>
        </w:rPr>
        <mc:AlternateContent>
          <mc:Choice Requires="wps">
            <w:drawing>
              <wp:anchor distT="0" distB="0" distL="114300" distR="114300" simplePos="0" relativeHeight="251658241" behindDoc="0" locked="0" layoutInCell="1" allowOverlap="1" wp14:anchorId="34AA67A4" wp14:editId="1528E7AD">
                <wp:simplePos x="0" y="0"/>
                <wp:positionH relativeFrom="column">
                  <wp:posOffset>3298825</wp:posOffset>
                </wp:positionH>
                <wp:positionV relativeFrom="paragraph">
                  <wp:posOffset>570865</wp:posOffset>
                </wp:positionV>
                <wp:extent cx="1127760" cy="213360"/>
                <wp:effectExtent l="0" t="0" r="15240" b="15240"/>
                <wp:wrapNone/>
                <wp:docPr id="172124182" name="Text Box 2"/>
                <wp:cNvGraphicFramePr/>
                <a:graphic xmlns:a="http://schemas.openxmlformats.org/drawingml/2006/main">
                  <a:graphicData uri="http://schemas.microsoft.com/office/word/2010/wordprocessingShape">
                    <wps:wsp>
                      <wps:cNvSpPr txBox="1"/>
                      <wps:spPr>
                        <a:xfrm>
                          <a:off x="0" y="0"/>
                          <a:ext cx="1127760" cy="213360"/>
                        </a:xfrm>
                        <a:prstGeom prst="rect">
                          <a:avLst/>
                        </a:prstGeom>
                        <a:solidFill>
                          <a:schemeClr val="accent6">
                            <a:lumMod val="75000"/>
                          </a:schemeClr>
                        </a:solidFill>
                        <a:ln w="6350">
                          <a:solidFill>
                            <a:prstClr val="black"/>
                          </a:solidFill>
                        </a:ln>
                      </wps:spPr>
                      <wps:txbx>
                        <w:txbxContent>
                          <w:p w14:paraId="06C7B1E6" w14:textId="10734D63" w:rsidR="00592C3C" w:rsidRPr="00A63B3C" w:rsidRDefault="00592C3C">
                            <w:pPr>
                              <w:rPr>
                                <w:sz w:val="18"/>
                                <w:szCs w:val="18"/>
                              </w:rPr>
                            </w:pPr>
                            <w:r>
                              <w:rPr>
                                <w:sz w:val="18"/>
                              </w:rPr>
                              <w:t>Nivelul minim al WLA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AA67A4" id="_x0000_t202" coordsize="21600,21600" o:spt="202" path="m,l,21600r21600,l21600,xe">
                <v:stroke joinstyle="miter"/>
                <v:path gradientshapeok="t" o:connecttype="rect"/>
              </v:shapetype>
              <v:shape id="Text Box 2" o:spid="_x0000_s1026" type="#_x0000_t202" style="position:absolute;left:0;text-align:left;margin-left:259.75pt;margin-top:44.95pt;width:88.8pt;height:16.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" fillcolor="#e36c0a [2409]" strokeweight=".5pt">
                <v:textbox>
                  <w:txbxContent>
                    <w:p w14:paraId="06C7B1E6" w14:textId="10734D63" w:rsidR="00592C3C" w:rsidRPr="00A63B3C" w:rsidRDefault="00592C3C">
                      <w:pPr>
                        <w:rPr>
                          <w:sz w:val="18"/>
                          <w:szCs w:val="18"/>
                        </w:rPr>
                      </w:pPr>
                      <w:r>
                        <w:rPr>
                          <w:sz w:val="18"/>
                        </w:rPr>
                        <w:t>Nivelul minim al WLA</w:t>
                      </w:r>
                    </w:p>
                  </w:txbxContent>
                </v:textbox>
              </v:shape>
            </w:pict>
          </mc:Fallback>
        </mc:AlternateContent>
      </w:r>
      <w:r>
        <w:rPr>
          <w:rFonts w:ascii="Times New Roman" w:hAnsi="Times New Roman"/>
          <w:b/>
          <w:noProof/>
          <w:lang w:val="en-GB" w:eastAsia="en-GB"/>
        </w:rPr>
        <mc:AlternateContent>
          <mc:Choice Requires="wps">
            <w:drawing>
              <wp:anchor distT="0" distB="0" distL="114300" distR="114300" simplePos="0" relativeHeight="251658240" behindDoc="0" locked="0" layoutInCell="1" allowOverlap="1" wp14:anchorId="3BAFD305" wp14:editId="0FE1A1DA">
                <wp:simplePos x="0" y="0"/>
                <wp:positionH relativeFrom="column">
                  <wp:posOffset>784225</wp:posOffset>
                </wp:positionH>
                <wp:positionV relativeFrom="paragraph">
                  <wp:posOffset>532765</wp:posOffset>
                </wp:positionV>
                <wp:extent cx="3954780" cy="38100"/>
                <wp:effectExtent l="0" t="0" r="0" b="0"/>
                <wp:wrapNone/>
                <wp:docPr id="1930170827" name="Straight Connector 1"/>
                <wp:cNvGraphicFramePr/>
                <a:graphic xmlns:a="http://schemas.openxmlformats.org/drawingml/2006/main">
                  <a:graphicData uri="http://schemas.microsoft.com/office/word/2010/wordprocessingShape">
                    <wps:wsp>
                      <wps:cNvCnPr/>
                      <wps:spPr>
                        <a:xfrm flipV="1">
                          <a:off x="0" y="0"/>
                          <a:ext cx="3954780" cy="38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line id="Straight Connector 1"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c4542 [3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" from="61.75pt,41.95pt" to="373.15pt,44.95pt" w14:anchorId="32599CAE"/>
            </w:pict>
          </mc:Fallback>
        </mc:AlternateContent>
      </w:r>
      <w:r>
        <w:rPr>
          <w:noProof/>
        </w:rPr>
        <w:t xml:space="preserve"> </w:t>
      </w:r>
      <w:r>
        <w:rPr>
          <w:noProof/>
          <w:lang w:val="en-GB" w:eastAsia="en-GB"/>
        </w:rPr>
        <w:drawing>
          <wp:inline distT="0" distB="0" distL="0" distR="0" wp14:anchorId="49DDF409" wp14:editId="5D23926E">
            <wp:extent cx="4300493" cy="2758440"/>
            <wp:effectExtent l="0" t="0" r="0" b="8890"/>
            <wp:docPr id="1506496607" name="Picture 1" descr="Un grafic cu cifre și o linie roși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96607" name="Picture 1" descr="A graph with numbers and a red line&#10;&#10;AI-generated content may be incorrect."/>
                    <pic:cNvPicPr/>
                  </pic:nvPicPr>
                  <pic:blipFill>
                    <a:blip r:embed="rId31"/>
                    <a:stretch>
                      <a:fillRect/>
                    </a:stretch>
                  </pic:blipFill>
                  <pic:spPr>
                    <a:xfrm>
                      <a:off x="0" y="0"/>
                      <a:ext cx="4300493" cy="2758440"/>
                    </a:xfrm>
                    <a:prstGeom prst="rect">
                      <a:avLst/>
                    </a:prstGeom>
                  </pic:spPr>
                </pic:pic>
              </a:graphicData>
            </a:graphic>
          </wp:inline>
        </w:drawing>
      </w:r>
    </w:p>
    <w:p w14:paraId="23D3E496" w14:textId="77777777" w:rsidR="00196203" w:rsidRPr="00715D73" w:rsidRDefault="00196203" w:rsidP="00A63B3C">
      <w:pPr>
        <w:pStyle w:val="paragraph"/>
        <w:spacing w:before="0" w:beforeAutospacing="0" w:after="0" w:afterAutospacing="0"/>
        <w:ind w:firstLine="990"/>
        <w:textAlignment w:val="baseline"/>
        <w:rPr>
          <w:rFonts w:ascii="Segoe UI" w:hAnsi="Segoe UI" w:cs="Segoe UI"/>
          <w:noProof/>
          <w:sz w:val="16"/>
          <w:szCs w:val="16"/>
        </w:rPr>
      </w:pPr>
      <w:r>
        <w:rPr>
          <w:rStyle w:val="normaltextrun"/>
          <w:noProof/>
          <w:sz w:val="16"/>
        </w:rPr>
        <w:t>Surse: Crane Data și autoritățile naționale competente (ANC).</w:t>
      </w:r>
      <w:r>
        <w:rPr>
          <w:rStyle w:val="eop"/>
          <w:noProof/>
          <w:sz w:val="16"/>
          <w:bdr w:val="none" w:sz="0" w:space="0" w:color="auto" w:frame="1"/>
          <w:shd w:val="clear" w:color="auto" w:fill="C6C6C6"/>
        </w:rPr>
        <w:t xml:space="preserve"> </w:t>
      </w:r>
    </w:p>
    <w:p w14:paraId="3A8BE17F" w14:textId="0D3EDA2E" w:rsidR="009E21DE" w:rsidRPr="00715D73" w:rsidRDefault="00A0654C" w:rsidP="00A63B3C">
      <w:pPr>
        <w:spacing w:after="0" w:line="240" w:lineRule="atLeast"/>
        <w:ind w:left="990"/>
        <w:jc w:val="both"/>
        <w:rPr>
          <w:rFonts w:ascii="Times New Roman" w:hAnsi="Times New Roman" w:cs="Times New Roman"/>
          <w:noProof/>
          <w:sz w:val="16"/>
          <w:szCs w:val="16"/>
        </w:rPr>
      </w:pPr>
      <w:r>
        <w:rPr>
          <w:rStyle w:val="normaltextrun"/>
          <w:rFonts w:ascii="Times New Roman" w:hAnsi="Times New Roman"/>
          <w:noProof/>
          <w:sz w:val="16"/>
        </w:rPr>
        <w:t>Notă: Exemplu de FPM cu VAN cu volatilitate scăzută care înregistrează ieșiri deosebit de semnificative, ilustrând impactul asupra WLA și reconstituirea ulterioară a lichidității. A se vedea alte exemple în anexa I.</w:t>
      </w:r>
    </w:p>
    <w:p w14:paraId="6A74508A" w14:textId="4EF0BD4A" w:rsidR="00B60CA9" w:rsidRDefault="00B60CA9">
      <w:pPr>
        <w:rPr>
          <w:rFonts w:ascii="Times New Roman" w:eastAsia="Times New Roman" w:hAnsi="Times New Roman" w:cs="Times New Roman"/>
          <w:noProof/>
        </w:rPr>
      </w:pPr>
      <w:r>
        <w:rPr>
          <w:noProof/>
        </w:rPr>
        <w:br w:type="page"/>
      </w:r>
    </w:p>
    <w:p w14:paraId="6CABB5B7" w14:textId="37294EBC" w:rsidR="00EB400F" w:rsidRPr="00C82DFF" w:rsidRDefault="00E515C9" w:rsidP="00F43D5E">
      <w:pPr>
        <w:pStyle w:val="Heading1"/>
        <w:spacing w:before="360" w:after="360"/>
        <w:ind w:left="431" w:hanging="431"/>
        <w:jc w:val="both"/>
        <w:rPr>
          <w:rFonts w:ascii="Times New Roman" w:hAnsi="Times New Roman" w:cs="Times New Roman"/>
          <w:b/>
          <w:bCs/>
          <w:noProof/>
          <w:sz w:val="22"/>
          <w:szCs w:val="22"/>
        </w:rPr>
      </w:pPr>
      <w:bookmarkStart w:id="23" w:name="_Toc227935549"/>
      <w:r>
        <w:rPr>
          <w:rFonts w:ascii="Times New Roman" w:hAnsi="Times New Roman"/>
          <w:b/>
          <w:noProof/>
          <w:sz w:val="22"/>
        </w:rPr>
        <w:t>EVALUAREA NIVELURILOR ADECVATE DE REZILIENȚĂ A PIEȚEI FPM</w:t>
      </w:r>
      <w:bookmarkEnd w:id="23"/>
    </w:p>
    <w:p w14:paraId="632A3258" w14:textId="16490205" w:rsidR="00140C6E" w:rsidRPr="00C82DFF" w:rsidRDefault="06F1B78D" w:rsidP="00D04526">
      <w:pPr>
        <w:spacing w:after="240" w:line="280" w:lineRule="atLeast"/>
        <w:jc w:val="both"/>
        <w:rPr>
          <w:rFonts w:ascii="Times New Roman" w:hAnsi="Times New Roman" w:cs="Times New Roman"/>
          <w:noProof/>
        </w:rPr>
      </w:pPr>
      <w:r>
        <w:rPr>
          <w:rFonts w:ascii="Times New Roman" w:hAnsi="Times New Roman"/>
          <w:noProof/>
        </w:rPr>
        <w:t xml:space="preserve">Această secțiune examinează reziliența sectorului FPM din UE în fața unor creșteri semnificative ale cererilor de răscumpărare. Astfel cum s-a arătat în secțiunile anterioare, rezervele de lichiditate joacă un rol esențial în onorarea cererilor de răscumpărare, în special în perioadele în care piețele pe termen scurt pot fi nelichide. Pentru a efectua această analiză, Comisia a calculat nivelul minim al WLA („nivelul de reziliență al WLA”) care, dacă ar fi menținut de FPM, le-ar permite să onoreze un volum mare de cereri de răscumpărare, menținând în același timp DLA peste nivelul minim de reglementare. </w:t>
      </w:r>
    </w:p>
    <w:p w14:paraId="31EED1DE" w14:textId="101A0135" w:rsidR="00CD5B0B" w:rsidRDefault="00166FCB" w:rsidP="00D04526">
      <w:pPr>
        <w:spacing w:after="240" w:line="280" w:lineRule="atLeast"/>
        <w:jc w:val="both"/>
        <w:rPr>
          <w:rFonts w:ascii="Times New Roman" w:hAnsi="Times New Roman" w:cs="Times New Roman"/>
          <w:bCs/>
          <w:noProof/>
        </w:rPr>
      </w:pPr>
      <w:r>
        <w:rPr>
          <w:rFonts w:ascii="Times New Roman" w:hAnsi="Times New Roman"/>
          <w:noProof/>
        </w:rPr>
        <w:t>Metodologia este sintetizată mai jos, iar datele corespunzătoare sunt prezentate în anexa III.</w:t>
      </w:r>
    </w:p>
    <w:p w14:paraId="08A29AEB" w14:textId="4079B5BC" w:rsidR="00B767A5" w:rsidRPr="00931DC7" w:rsidRDefault="00FC05C9" w:rsidP="00D04526">
      <w:pPr>
        <w:spacing w:after="240" w:line="280" w:lineRule="atLeast"/>
        <w:jc w:val="both"/>
        <w:rPr>
          <w:rFonts w:ascii="Times New Roman" w:hAnsi="Times New Roman" w:cs="Times New Roman"/>
          <w:b/>
          <w:noProof/>
        </w:rPr>
      </w:pPr>
      <w:r>
        <w:rPr>
          <w:rFonts w:ascii="Times New Roman" w:hAnsi="Times New Roman"/>
          <w:b/>
          <w:noProof/>
        </w:rPr>
        <w:t>Principalele etape ale metodologiei utilizate pentru calibrarea nivelului de reziliență al WLA</w:t>
      </w:r>
    </w:p>
    <w:p w14:paraId="18F71EEB" w14:textId="7CF34B38" w:rsidR="000E0B7F" w:rsidRDefault="00F14178" w:rsidP="001E656F">
      <w:pPr>
        <w:jc w:val="both"/>
        <w:rPr>
          <w:rFonts w:ascii="Times New Roman" w:hAnsi="Times New Roman" w:cs="Times New Roman"/>
          <w:noProof/>
        </w:rPr>
      </w:pPr>
      <w:r>
        <w:rPr>
          <w:rFonts w:ascii="Times New Roman" w:hAnsi="Times New Roman"/>
          <w:noProof/>
          <w:lang w:val="en-GB" w:eastAsia="en-GB"/>
        </w:rPr>
        <w:drawing>
          <wp:inline distT="0" distB="0" distL="0" distR="0" wp14:anchorId="42209EC4" wp14:editId="0D6E8196">
            <wp:extent cx="5610225" cy="1879821"/>
            <wp:effectExtent l="95250" t="57150" r="66675" b="101600"/>
            <wp:docPr id="118892081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00DBA15C" w14:textId="77777777" w:rsidR="00B34AF0" w:rsidRPr="00C82DFF" w:rsidRDefault="00B34AF0" w:rsidP="001E656F">
      <w:pPr>
        <w:jc w:val="both"/>
        <w:rPr>
          <w:rFonts w:ascii="Times New Roman" w:hAnsi="Times New Roman" w:cs="Times New Roman"/>
          <w:noProof/>
        </w:rPr>
      </w:pPr>
    </w:p>
    <w:p w14:paraId="03EF0FB5" w14:textId="6F2BA961" w:rsidR="00473C51" w:rsidRPr="00C82DFF" w:rsidRDefault="00473C51" w:rsidP="00473C51">
      <w:pPr>
        <w:shd w:val="clear" w:color="auto" w:fill="DBE5F1" w:themeFill="accent1" w:themeFillTint="33"/>
        <w:spacing w:before="120" w:after="0" w:line="240" w:lineRule="atLeast"/>
        <w:jc w:val="both"/>
        <w:rPr>
          <w:rFonts w:ascii="Times New Roman" w:hAnsi="Times New Roman" w:cs="Times New Roman"/>
          <w:noProof/>
        </w:rPr>
      </w:pPr>
      <w:r>
        <w:rPr>
          <w:rFonts w:ascii="Times New Roman" w:hAnsi="Times New Roman"/>
          <w:b/>
          <w:noProof/>
        </w:rPr>
        <w:t xml:space="preserve">Constatarea principală </w:t>
      </w:r>
      <w:r w:rsidRPr="004F4310">
        <w:rPr>
          <w:rFonts w:ascii="Times New Roman" w:hAnsi="Times New Roman"/>
          <w:b/>
          <w:noProof/>
        </w:rPr>
        <w:t>4</w:t>
      </w:r>
      <w:r>
        <w:rPr>
          <w:rFonts w:ascii="Times New Roman" w:hAnsi="Times New Roman"/>
          <w:b/>
          <w:noProof/>
        </w:rPr>
        <w:t xml:space="preserve">: Pentru a face față condițiilor de criză a pieței, niveluri de reziliență ale WLA de </w:t>
      </w:r>
      <w:r w:rsidRPr="004F4310">
        <w:rPr>
          <w:rFonts w:ascii="Times New Roman" w:hAnsi="Times New Roman"/>
          <w:b/>
          <w:noProof/>
        </w:rPr>
        <w:t>40</w:t>
      </w:r>
      <w:r>
        <w:rPr>
          <w:rFonts w:ascii="Times New Roman" w:hAnsi="Times New Roman"/>
          <w:b/>
          <w:noProof/>
        </w:rPr>
        <w:t xml:space="preserve"> % pentru FPM cu VAN constantă și de </w:t>
      </w:r>
      <w:r w:rsidRPr="004F4310">
        <w:rPr>
          <w:rFonts w:ascii="Times New Roman" w:hAnsi="Times New Roman"/>
          <w:b/>
          <w:noProof/>
        </w:rPr>
        <w:t>20</w:t>
      </w:r>
      <w:r>
        <w:rPr>
          <w:rFonts w:ascii="Times New Roman" w:hAnsi="Times New Roman"/>
          <w:b/>
          <w:noProof/>
        </w:rPr>
        <w:t> % pentru FPM cu VAN variabilă sunt, în general, suficiente.</w:t>
      </w:r>
    </w:p>
    <w:p w14:paraId="18739A2D" w14:textId="728A02BF" w:rsidR="00D7036E" w:rsidRPr="00C82DFF" w:rsidRDefault="700DC15B" w:rsidP="0034552B">
      <w:pPr>
        <w:spacing w:before="240" w:after="240" w:line="280" w:lineRule="atLeast"/>
        <w:jc w:val="both"/>
        <w:rPr>
          <w:rFonts w:ascii="Times New Roman" w:hAnsi="Times New Roman" w:cs="Times New Roman"/>
          <w:b/>
          <w:bCs/>
          <w:noProof/>
        </w:rPr>
      </w:pPr>
      <w:r>
        <w:rPr>
          <w:rFonts w:ascii="Times New Roman" w:hAnsi="Times New Roman"/>
          <w:b/>
          <w:noProof/>
        </w:rPr>
        <w:t xml:space="preserve">Această analiză arată că niveluri de reziliență ale WLA de </w:t>
      </w:r>
      <w:r w:rsidRPr="004F4310">
        <w:rPr>
          <w:rFonts w:ascii="Times New Roman" w:hAnsi="Times New Roman"/>
          <w:b/>
          <w:noProof/>
        </w:rPr>
        <w:t>40</w:t>
      </w:r>
      <w:r>
        <w:rPr>
          <w:rFonts w:ascii="Times New Roman" w:hAnsi="Times New Roman"/>
          <w:b/>
          <w:noProof/>
        </w:rPr>
        <w:t xml:space="preserve"> % pentru FPM cu VAN constantă și de </w:t>
      </w:r>
      <w:r w:rsidRPr="004F4310">
        <w:rPr>
          <w:rFonts w:ascii="Times New Roman" w:hAnsi="Times New Roman"/>
          <w:b/>
          <w:noProof/>
        </w:rPr>
        <w:t>20</w:t>
      </w:r>
      <w:r>
        <w:rPr>
          <w:rFonts w:ascii="Times New Roman" w:hAnsi="Times New Roman"/>
          <w:b/>
          <w:noProof/>
        </w:rPr>
        <w:t xml:space="preserve"> % pentru FPM cu VAN variabilă sunt, în general, suficiente pentru a face față condițiilor de criză a pieței (a se vedea, de asemenea, anexa III). </w:t>
      </w:r>
      <w:r>
        <w:rPr>
          <w:rFonts w:ascii="Times New Roman" w:hAnsi="Times New Roman"/>
          <w:noProof/>
        </w:rPr>
        <w:t>Mai precis, menținerea WLA la aceste niveluri de reziliență sau peste acestea ar permite FPM din UE să reziste la șocuri severe de răscumpărare fără a recurge la vânzări de active în regim de urgență, menținând totodată DLA peste nivelurile minime de reglementare. Menținerea DLA peste nivelul minim contribuie la asigurarea lichidității imediate pentru răscumpărări, în special în perioadele de criză în care FPM se pot confrunta cu răscumpărări pe parcursul mai multor zile consecutive.</w:t>
      </w:r>
    </w:p>
    <w:p w14:paraId="04B429BA" w14:textId="5E0A9221" w:rsidR="00DC1FBB" w:rsidRPr="00C82DFF" w:rsidRDefault="263FC8B8" w:rsidP="0034552B">
      <w:pPr>
        <w:spacing w:before="240" w:after="240" w:line="280" w:lineRule="atLeast"/>
        <w:jc w:val="both"/>
        <w:rPr>
          <w:rFonts w:ascii="Times New Roman" w:hAnsi="Times New Roman" w:cs="Times New Roman"/>
          <w:noProof/>
        </w:rPr>
      </w:pPr>
      <w:r>
        <w:rPr>
          <w:rFonts w:ascii="Times New Roman" w:hAnsi="Times New Roman"/>
          <w:noProof/>
        </w:rPr>
        <w:t xml:space="preserve">Aceasta înseamnă că, </w:t>
      </w:r>
      <w:r>
        <w:rPr>
          <w:rFonts w:ascii="Times New Roman" w:hAnsi="Times New Roman"/>
          <w:b/>
          <w:noProof/>
        </w:rPr>
        <w:t>din perspectiva întregii piețe</w:t>
      </w:r>
      <w:r>
        <w:rPr>
          <w:rFonts w:ascii="Times New Roman" w:hAnsi="Times New Roman"/>
          <w:noProof/>
        </w:rPr>
        <w:t>, aplicarea uniformă a acestor niveluri de reziliență va consolida capacitatea FPM din UE de a face față condițiilor de criză a pieței și de a atenua propagarea șocurilor către restul sistemului financiar și economie.</w:t>
      </w:r>
      <w:r w:rsidR="00801851">
        <w:rPr>
          <w:rFonts w:ascii="Times New Roman" w:hAnsi="Times New Roman"/>
          <w:noProof/>
        </w:rPr>
        <w:t xml:space="preserve"> </w:t>
      </w:r>
    </w:p>
    <w:p w14:paraId="55D649AE" w14:textId="40DA3B39" w:rsidR="004E1411" w:rsidRPr="00C82DFF" w:rsidRDefault="00E278B6" w:rsidP="0034552B">
      <w:pPr>
        <w:spacing w:before="240" w:after="240" w:line="280" w:lineRule="atLeast"/>
        <w:jc w:val="both"/>
        <w:rPr>
          <w:rFonts w:ascii="Times New Roman" w:hAnsi="Times New Roman" w:cs="Times New Roman"/>
          <w:noProof/>
        </w:rPr>
      </w:pPr>
      <w:r>
        <w:rPr>
          <w:rFonts w:ascii="Times New Roman" w:hAnsi="Times New Roman"/>
          <w:noProof/>
        </w:rPr>
        <w:t>Prin urmare, Comisia consideră că aceste niveluri de reziliență ale WLA ar putea servi drept puncte de referință practice pentru gestionarea riscului de lichiditate. Din perspectiva supravegherii, acestea ar putea funcționa, de asemenea, ca indicatori de avertizare timpurie, determinând o monitorizare mai atentă sau o implicare sporită în materie de supraveghere din partea ANC, atunci când FPM operează în mod constant sub nivelurile de reziliență identificate. Prin urmare, aceste</w:t>
      </w:r>
      <w:r>
        <w:rPr>
          <w:rFonts w:ascii="Times New Roman" w:hAnsi="Times New Roman"/>
          <w:b/>
          <w:noProof/>
        </w:rPr>
        <w:t xml:space="preserve"> niveluri de reziliență ale WLA ar putea fi utilizate pentru a identifica situațiile care necesită o atenție suplimentară din partea administratorilor de FPM, în special a echipelor lor de gestionare a riscurilor, precum și o implicare sporită în materie de supraveghere din partea ANC relevante în raport cu administratorii de FPM.</w:t>
      </w:r>
      <w:r>
        <w:rPr>
          <w:rFonts w:ascii="Times New Roman" w:hAnsi="Times New Roman"/>
          <w:noProof/>
        </w:rPr>
        <w:t xml:space="preserve"> </w:t>
      </w:r>
    </w:p>
    <w:p w14:paraId="25F6C418" w14:textId="2364F9E0" w:rsidR="000B0C03" w:rsidRDefault="00D95EDA"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 xml:space="preserve">Ar trebui subliniat faptul că este puțin probabil ca multe FPM să se confrunte cu șocuri de răscumpărare de amploarea utilizată pentru a calibra nivelurile de reziliență ale WLA. După cum arată prezentul raport, FPM nu sunt omogene; tendința lor de a se confrunta cu șocuri de lichiditate depinde de caracteristicile lor specifice și de baza lor de investitori. În plus, calibrarea nivelurilor de reziliență ale WLA se bazează pe ipoteze prudente, în special pe ipoteza că DLA nu este utilizat odată ce atinge nivelul minim de reglementare. </w:t>
      </w:r>
    </w:p>
    <w:p w14:paraId="18448D26" w14:textId="212F257F" w:rsidR="00586836" w:rsidRPr="00C82DFF" w:rsidRDefault="00203380"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 xml:space="preserve">Prin urmare, </w:t>
      </w:r>
      <w:r>
        <w:rPr>
          <w:rFonts w:ascii="Times New Roman" w:hAnsi="Times New Roman"/>
          <w:b/>
          <w:noProof/>
        </w:rPr>
        <w:t xml:space="preserve">stabilirea nivelurilor de reziliență ale WLA identificate ca noi niveluri minime de reglementare obligatorii nu este proporțională, având în vedere eterogenitatea sectorului FPM și a tipurilor de fonduri (constatarea principală </w:t>
      </w:r>
      <w:r w:rsidRPr="004F4310">
        <w:rPr>
          <w:rFonts w:ascii="Times New Roman" w:hAnsi="Times New Roman"/>
          <w:b/>
          <w:noProof/>
        </w:rPr>
        <w:t>2</w:t>
      </w:r>
      <w:r>
        <w:rPr>
          <w:rFonts w:ascii="Times New Roman" w:hAnsi="Times New Roman"/>
          <w:b/>
          <w:noProof/>
        </w:rPr>
        <w:t>).</w:t>
      </w:r>
      <w:r>
        <w:rPr>
          <w:rFonts w:ascii="Times New Roman" w:hAnsi="Times New Roman"/>
          <w:noProof/>
        </w:rPr>
        <w:t xml:space="preserve"> În schimb, Comisia consideră că aceste niveluri de reziliență ale WLA pot servi drept criterii de referință în materie de supraveghere și de gestionare a riscurilor, sprijinind administratorii FPM, precum și ANC să identifice situațiile care ar putea necesita o monitorizare mai atentă și o implicare sporită în materie de supraveghere. </w:t>
      </w:r>
    </w:p>
    <w:p w14:paraId="4B50237E" w14:textId="283726A9" w:rsidR="001927CF" w:rsidRPr="00C82DFF" w:rsidRDefault="001927CF" w:rsidP="001927CF">
      <w:pPr>
        <w:pStyle w:val="Heading1"/>
        <w:spacing w:before="360" w:after="360"/>
        <w:ind w:left="431" w:hanging="431"/>
        <w:jc w:val="both"/>
        <w:rPr>
          <w:rFonts w:ascii="Times New Roman" w:hAnsi="Times New Roman" w:cs="Times New Roman"/>
          <w:b/>
          <w:noProof/>
          <w:sz w:val="22"/>
          <w:szCs w:val="22"/>
        </w:rPr>
      </w:pPr>
      <w:bookmarkStart w:id="24" w:name="_Toc227935550"/>
      <w:r>
        <w:rPr>
          <w:rFonts w:ascii="Times New Roman" w:hAnsi="Times New Roman"/>
          <w:b/>
          <w:noProof/>
          <w:sz w:val="22"/>
        </w:rPr>
        <w:t>CONCLUZIE</w:t>
      </w:r>
      <w:bookmarkEnd w:id="24"/>
    </w:p>
    <w:p w14:paraId="05DC8DCE" w14:textId="11230CB3" w:rsidR="001F16BE" w:rsidRDefault="45436E80" w:rsidP="0034552B">
      <w:pPr>
        <w:spacing w:before="100" w:beforeAutospacing="1" w:after="240" w:line="280" w:lineRule="atLeast"/>
        <w:jc w:val="both"/>
        <w:rPr>
          <w:rFonts w:ascii="Times New Roman" w:eastAsia="Times New Roman" w:hAnsi="Times New Roman" w:cs="Times New Roman"/>
          <w:noProof/>
        </w:rPr>
      </w:pPr>
      <w:r>
        <w:rPr>
          <w:rFonts w:ascii="Times New Roman" w:hAnsi="Times New Roman"/>
          <w:noProof/>
        </w:rPr>
        <w:t>Constatările prezentului raport sunt menite să servească drept bază pentru îmbunătățirea gestionării lichidității de către administratorii FPM și a supravegherii FPM de către ANC. Constatările din secțiunea</w:t>
      </w:r>
      <w:r w:rsidR="004F4310">
        <w:rPr>
          <w:rFonts w:ascii="Times New Roman" w:hAnsi="Times New Roman"/>
          <w:noProof/>
        </w:rPr>
        <w:t> </w:t>
      </w:r>
      <w:r w:rsidRPr="004F4310">
        <w:rPr>
          <w:rFonts w:ascii="Times New Roman" w:hAnsi="Times New Roman"/>
          <w:noProof/>
        </w:rPr>
        <w:t>2</w:t>
      </w:r>
      <w:r>
        <w:rPr>
          <w:rFonts w:ascii="Times New Roman" w:hAnsi="Times New Roman"/>
          <w:noProof/>
        </w:rPr>
        <w:t xml:space="preserve"> arată că nivelurile de lichiditate la nivelul sectorului sunt diverse, deși, în general, se situează cu mult peste nivelurile minime de reglementare prevăzute în Regulamentul privind FPM. În plus, sectorul FPM, în ansamblu, a gestionat riscurile de lichiditate într-o manieră responsabilă, atât în mod curent, cât și în perioade de criză a pieței. </w:t>
      </w:r>
    </w:p>
    <w:p w14:paraId="3065E735" w14:textId="265C4E65" w:rsidR="00421225" w:rsidRPr="00C82DFF" w:rsidRDefault="569174E0" w:rsidP="0034552B">
      <w:pPr>
        <w:spacing w:before="100" w:beforeAutospacing="1" w:after="240" w:line="280" w:lineRule="atLeast"/>
        <w:jc w:val="both"/>
        <w:rPr>
          <w:rFonts w:ascii="Times New Roman" w:hAnsi="Times New Roman" w:cs="Times New Roman"/>
          <w:noProof/>
        </w:rPr>
      </w:pPr>
      <w:r>
        <w:rPr>
          <w:rFonts w:ascii="Times New Roman" w:hAnsi="Times New Roman"/>
          <w:noProof/>
        </w:rPr>
        <w:t xml:space="preserve">Constatările din secțiunea </w:t>
      </w:r>
      <w:r w:rsidRPr="004F4310">
        <w:rPr>
          <w:rFonts w:ascii="Times New Roman" w:hAnsi="Times New Roman"/>
          <w:noProof/>
        </w:rPr>
        <w:t>3</w:t>
      </w:r>
      <w:r>
        <w:rPr>
          <w:rFonts w:ascii="Times New Roman" w:hAnsi="Times New Roman"/>
          <w:noProof/>
        </w:rPr>
        <w:t xml:space="preserve"> indică faptul că nivelurile identificate de reziliență ale WLA pot servi drept criterii de referință în materie de supraveghere și de gestionare a riscului de lichiditate, sub care intensitatea monitorizării în cadrul funcțiilor de gestionare a riscurilor ale FPM și ale administratorilor acestora ar trebui să fie sporită în mod adecvat, iar monitorizarea și implicarea în materie de supraveghere din partea ANC ar trebui consolidate, pentru a asigura reziliența la nivelul întregii piețe.</w:t>
      </w:r>
    </w:p>
    <w:p w14:paraId="43393929" w14:textId="32814480" w:rsidR="00E670C5" w:rsidRPr="00C82DFF" w:rsidRDefault="00E670C5">
      <w:pPr>
        <w:rPr>
          <w:rFonts w:ascii="Times New Roman" w:hAnsi="Times New Roman" w:cs="Times New Roman"/>
          <w:noProof/>
        </w:rPr>
      </w:pPr>
      <w:r>
        <w:rPr>
          <w:noProof/>
        </w:rPr>
        <w:br w:type="page"/>
      </w:r>
    </w:p>
    <w:p w14:paraId="3A6BC427" w14:textId="1C92B999" w:rsidR="007E136A" w:rsidRPr="00C82DFF" w:rsidRDefault="00C234AB" w:rsidP="00CA7C9E">
      <w:pPr>
        <w:pStyle w:val="Heading1"/>
        <w:spacing w:before="360" w:after="360"/>
        <w:ind w:left="431" w:hanging="431"/>
        <w:jc w:val="both"/>
        <w:rPr>
          <w:rFonts w:ascii="Times New Roman" w:hAnsi="Times New Roman" w:cs="Times New Roman"/>
          <w:b/>
          <w:noProof/>
          <w:sz w:val="22"/>
          <w:szCs w:val="22"/>
        </w:rPr>
      </w:pPr>
      <w:bookmarkStart w:id="25" w:name="_Toc227935551"/>
      <w:r>
        <w:rPr>
          <w:rFonts w:ascii="Times New Roman" w:hAnsi="Times New Roman"/>
          <w:b/>
          <w:noProof/>
          <w:sz w:val="22"/>
        </w:rPr>
        <w:t>ANEXA I: NIVELURILE REZERVELOR DE LICHIDITATE</w:t>
      </w:r>
      <w:bookmarkEnd w:id="25"/>
    </w:p>
    <w:p w14:paraId="5350E209" w14:textId="6C27C55B" w:rsidR="007E136A" w:rsidRPr="00C82DFF" w:rsidRDefault="00555C6A" w:rsidP="007E136A">
      <w:pPr>
        <w:pStyle w:val="Heading2"/>
        <w:spacing w:before="240" w:after="240"/>
        <w:ind w:left="578" w:hanging="578"/>
        <w:rPr>
          <w:rFonts w:cs="Times New Roman"/>
          <w:noProof/>
          <w:sz w:val="22"/>
          <w:szCs w:val="22"/>
        </w:rPr>
      </w:pPr>
      <w:bookmarkStart w:id="26" w:name="_Toc227935552"/>
      <w:r>
        <w:rPr>
          <w:noProof/>
          <w:sz w:val="22"/>
        </w:rPr>
        <w:t>Statistici privind nivelurile rezervelor de lichiditate</w:t>
      </w:r>
      <w:bookmarkEnd w:id="26"/>
    </w:p>
    <w:p w14:paraId="38F5C20C" w14:textId="77777777" w:rsidR="00CC2B07" w:rsidRPr="00AB43E2" w:rsidRDefault="00CC2B07" w:rsidP="0034552B">
      <w:pPr>
        <w:spacing w:before="240" w:after="240" w:line="280" w:lineRule="atLeast"/>
        <w:jc w:val="both"/>
        <w:rPr>
          <w:rFonts w:ascii="Times New Roman" w:hAnsi="Times New Roman" w:cs="Times New Roman"/>
          <w:noProof/>
        </w:rPr>
      </w:pPr>
      <w:r>
        <w:rPr>
          <w:rFonts w:ascii="Times New Roman" w:hAnsi="Times New Roman"/>
          <w:noProof/>
        </w:rPr>
        <w:t>Graficul I.</w:t>
      </w:r>
      <w:r w:rsidRPr="004F4310">
        <w:rPr>
          <w:rFonts w:ascii="Times New Roman" w:hAnsi="Times New Roman"/>
          <w:noProof/>
        </w:rPr>
        <w:t>1</w:t>
      </w:r>
      <w:r>
        <w:rPr>
          <w:rFonts w:ascii="Times New Roman" w:hAnsi="Times New Roman"/>
          <w:noProof/>
        </w:rPr>
        <w:t xml:space="preserve"> prezintă statistici privind nivelurile rezervelor de lichiditate, ilustrând faptul că FPM mențin lichiditatea peste nivelurile minime de reglementare și modul în care aceste niveluri evoluează în timp. </w:t>
      </w:r>
    </w:p>
    <w:p w14:paraId="47221FF9" w14:textId="77777777" w:rsidR="00CC2B07" w:rsidRPr="00AB43E2" w:rsidRDefault="00CC2B07" w:rsidP="00CC2B07">
      <w:pPr>
        <w:rPr>
          <w:rFonts w:ascii="Times New Roman" w:hAnsi="Times New Roman" w:cs="Times New Roman"/>
          <w:b/>
          <w:noProof/>
        </w:rPr>
      </w:pPr>
      <w:r>
        <w:rPr>
          <w:rFonts w:ascii="Times New Roman" w:hAnsi="Times New Roman"/>
          <w:b/>
          <w:noProof/>
        </w:rPr>
        <w:t>Graficul I.</w:t>
      </w:r>
      <w:r w:rsidRPr="004F4310">
        <w:rPr>
          <w:rFonts w:ascii="Times New Roman" w:hAnsi="Times New Roman"/>
          <w:b/>
          <w:noProof/>
        </w:rPr>
        <w:t>1</w:t>
      </w:r>
      <w:r>
        <w:rPr>
          <w:rFonts w:ascii="Times New Roman" w:hAnsi="Times New Roman"/>
          <w:b/>
          <w:noProof/>
        </w:rPr>
        <w:t>: Nivelurile WLA și DLA</w:t>
      </w:r>
    </w:p>
    <w:tbl>
      <w:tblPr>
        <w:tblStyle w:val="TableGrid"/>
        <w:tblW w:w="12115" w:type="dxa"/>
        <w:tblInd w:w="-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56"/>
        <w:gridCol w:w="6859"/>
      </w:tblGrid>
      <w:tr w:rsidR="007E136A" w:rsidRPr="00C82DFF" w14:paraId="425A82D1" w14:textId="77777777">
        <w:tc>
          <w:tcPr>
            <w:tcW w:w="5256" w:type="dxa"/>
          </w:tcPr>
          <w:p w14:paraId="274CAEE5" w14:textId="77777777" w:rsidR="007E136A" w:rsidRPr="00C82DFF" w:rsidRDefault="007E136A">
            <w:pPr>
              <w:rPr>
                <w:noProof/>
              </w:rPr>
            </w:pPr>
            <w:r>
              <w:rPr>
                <w:rFonts w:ascii="Times New Roman" w:hAnsi="Times New Roman"/>
                <w:noProof/>
                <w:lang w:val="en-GB" w:eastAsia="en-GB"/>
              </w:rPr>
              <w:drawing>
                <wp:inline distT="0" distB="0" distL="0" distR="0" wp14:anchorId="5DD0474B" wp14:editId="1A4BFA84">
                  <wp:extent cx="3220299" cy="2169160"/>
                  <wp:effectExtent l="19050" t="19050" r="18415" b="21590"/>
                  <wp:docPr id="356991016" name="Picture 1" descr="Un grafic cu cifre și lin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11475" name="Picture 1" descr="A graph of a number of people&#10;&#10;AI-generated content may be incorrect."/>
                          <pic:cNvPicPr/>
                        </pic:nvPicPr>
                        <pic:blipFill>
                          <a:blip r:embed="rId37"/>
                          <a:stretch>
                            <a:fillRect/>
                          </a:stretch>
                        </pic:blipFill>
                        <pic:spPr>
                          <a:xfrm>
                            <a:off x="0" y="0"/>
                            <a:ext cx="3220299" cy="2169160"/>
                          </a:xfrm>
                          <a:prstGeom prst="rect">
                            <a:avLst/>
                          </a:prstGeom>
                          <a:ln>
                            <a:solidFill>
                              <a:schemeClr val="tx1"/>
                            </a:solidFill>
                          </a:ln>
                        </pic:spPr>
                      </pic:pic>
                    </a:graphicData>
                  </a:graphic>
                </wp:inline>
              </w:drawing>
            </w:r>
          </w:p>
        </w:tc>
        <w:tc>
          <w:tcPr>
            <w:tcW w:w="6859" w:type="dxa"/>
          </w:tcPr>
          <w:p w14:paraId="43DE4DC6" w14:textId="77777777" w:rsidR="007E136A" w:rsidRPr="00C82DFF" w:rsidRDefault="007E136A">
            <w:pPr>
              <w:rPr>
                <w:noProof/>
              </w:rPr>
            </w:pPr>
            <w:r>
              <w:rPr>
                <w:rFonts w:ascii="Times New Roman" w:hAnsi="Times New Roman"/>
                <w:noProof/>
                <w:lang w:val="en-GB" w:eastAsia="en-GB"/>
              </w:rPr>
              <w:drawing>
                <wp:inline distT="0" distB="0" distL="0" distR="0" wp14:anchorId="6FD64D80" wp14:editId="0B682682">
                  <wp:extent cx="3153641" cy="2217773"/>
                  <wp:effectExtent l="19050" t="19050" r="27940" b="11430"/>
                  <wp:docPr id="1165085369" name="Picture 1" descr="Un grafic cu cifre și lin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87640" name="Picture 1" descr="A graph of numbers and lines&#10;&#10;AI-generated content may be incorrect."/>
                          <pic:cNvPicPr/>
                        </pic:nvPicPr>
                        <pic:blipFill>
                          <a:blip r:embed="rId38"/>
                          <a:stretch>
                            <a:fillRect/>
                          </a:stretch>
                        </pic:blipFill>
                        <pic:spPr>
                          <a:xfrm>
                            <a:off x="0" y="0"/>
                            <a:ext cx="3166505" cy="2226819"/>
                          </a:xfrm>
                          <a:prstGeom prst="rect">
                            <a:avLst/>
                          </a:prstGeom>
                          <a:ln>
                            <a:solidFill>
                              <a:schemeClr val="tx1"/>
                            </a:solidFill>
                          </a:ln>
                        </pic:spPr>
                      </pic:pic>
                    </a:graphicData>
                  </a:graphic>
                </wp:inline>
              </w:drawing>
            </w:r>
          </w:p>
        </w:tc>
      </w:tr>
      <w:tr w:rsidR="007E136A" w:rsidRPr="00C82DFF" w14:paraId="3F738866" w14:textId="77777777">
        <w:tc>
          <w:tcPr>
            <w:tcW w:w="5256" w:type="dxa"/>
          </w:tcPr>
          <w:p w14:paraId="25595642" w14:textId="77777777" w:rsidR="007E136A" w:rsidRPr="00C82DFF" w:rsidRDefault="007E136A">
            <w:pPr>
              <w:rPr>
                <w:noProof/>
              </w:rPr>
            </w:pPr>
            <w:r>
              <w:rPr>
                <w:rFonts w:ascii="Times New Roman" w:hAnsi="Times New Roman"/>
                <w:noProof/>
                <w:lang w:val="en-GB" w:eastAsia="en-GB"/>
              </w:rPr>
              <w:drawing>
                <wp:inline distT="0" distB="0" distL="0" distR="0" wp14:anchorId="3599F835" wp14:editId="6ED3DED2">
                  <wp:extent cx="3220085" cy="2320290"/>
                  <wp:effectExtent l="19050" t="19050" r="18415" b="22860"/>
                  <wp:docPr id="1482092275" name="Picture 1" descr="Un grafic cu cifre și lin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67850" name="Picture 1" descr="A graph of numbers and lines&#10;&#10;AI-generated content may be incorrect."/>
                          <pic:cNvPicPr/>
                        </pic:nvPicPr>
                        <pic:blipFill>
                          <a:blip r:embed="rId39"/>
                          <a:stretch>
                            <a:fillRect/>
                          </a:stretch>
                        </pic:blipFill>
                        <pic:spPr>
                          <a:xfrm>
                            <a:off x="0" y="0"/>
                            <a:ext cx="3269722" cy="2356057"/>
                          </a:xfrm>
                          <a:prstGeom prst="rect">
                            <a:avLst/>
                          </a:prstGeom>
                          <a:ln>
                            <a:solidFill>
                              <a:schemeClr val="tx1"/>
                            </a:solidFill>
                          </a:ln>
                        </pic:spPr>
                      </pic:pic>
                    </a:graphicData>
                  </a:graphic>
                </wp:inline>
              </w:drawing>
            </w:r>
          </w:p>
        </w:tc>
        <w:tc>
          <w:tcPr>
            <w:tcW w:w="6859" w:type="dxa"/>
          </w:tcPr>
          <w:p w14:paraId="6F4EDCA5" w14:textId="77777777" w:rsidR="007E136A" w:rsidRPr="00C82DFF" w:rsidRDefault="007E136A">
            <w:pPr>
              <w:rPr>
                <w:noProof/>
              </w:rPr>
            </w:pPr>
            <w:r>
              <w:rPr>
                <w:rFonts w:ascii="Times New Roman" w:hAnsi="Times New Roman"/>
                <w:noProof/>
                <w:lang w:val="en-GB" w:eastAsia="en-GB"/>
              </w:rPr>
              <w:drawing>
                <wp:inline distT="0" distB="0" distL="0" distR="0" wp14:anchorId="511808C3" wp14:editId="2214FF07">
                  <wp:extent cx="3167496" cy="2307920"/>
                  <wp:effectExtent l="19050" t="19050" r="13970" b="16510"/>
                  <wp:docPr id="128922111" name="Picture 1" descr="Un grafic cu cifre și lin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66898" name="Picture 1" descr="A graph of numbers and lines&#10;&#10;AI-generated content may be incorrect."/>
                          <pic:cNvPicPr/>
                        </pic:nvPicPr>
                        <pic:blipFill>
                          <a:blip r:embed="rId40"/>
                          <a:stretch>
                            <a:fillRect/>
                          </a:stretch>
                        </pic:blipFill>
                        <pic:spPr>
                          <a:xfrm>
                            <a:off x="0" y="0"/>
                            <a:ext cx="3195996" cy="2328686"/>
                          </a:xfrm>
                          <a:prstGeom prst="rect">
                            <a:avLst/>
                          </a:prstGeom>
                          <a:ln>
                            <a:solidFill>
                              <a:schemeClr val="tx1"/>
                            </a:solidFill>
                          </a:ln>
                        </pic:spPr>
                      </pic:pic>
                    </a:graphicData>
                  </a:graphic>
                </wp:inline>
              </w:drawing>
            </w:r>
          </w:p>
        </w:tc>
      </w:tr>
    </w:tbl>
    <w:p w14:paraId="1D535A03" w14:textId="77777777" w:rsidR="000530BA" w:rsidRDefault="000530BA" w:rsidP="00AA1C7B">
      <w:pPr>
        <w:pStyle w:val="paragraph"/>
        <w:spacing w:before="0" w:beforeAutospacing="0" w:after="0" w:afterAutospacing="0"/>
        <w:textAlignment w:val="baseline"/>
        <w:rPr>
          <w:rStyle w:val="normaltextrun"/>
          <w:rFonts w:eastAsiaTheme="majorEastAsia"/>
          <w:noProof/>
          <w:sz w:val="18"/>
          <w:szCs w:val="18"/>
        </w:rPr>
      </w:pPr>
    </w:p>
    <w:p w14:paraId="749CF4C0" w14:textId="77777777" w:rsidR="004B3B28" w:rsidRPr="00AB43E2" w:rsidRDefault="004B3B28" w:rsidP="004B3B28">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Sursă: Comisia Europeană, pe baza datelor ESMA din T</w:t>
      </w:r>
      <w:r w:rsidRPr="004F4310">
        <w:rPr>
          <w:rStyle w:val="normaltextrun"/>
          <w:noProof/>
          <w:sz w:val="18"/>
        </w:rPr>
        <w:t>1</w:t>
      </w:r>
      <w:r>
        <w:rPr>
          <w:rStyle w:val="normaltextrun"/>
          <w:noProof/>
          <w:sz w:val="18"/>
        </w:rPr>
        <w:t> </w:t>
      </w:r>
      <w:r w:rsidRPr="004F4310">
        <w:rPr>
          <w:rStyle w:val="normaltextrun"/>
          <w:noProof/>
          <w:sz w:val="18"/>
        </w:rPr>
        <w:t>2020</w:t>
      </w:r>
      <w:r>
        <w:rPr>
          <w:rStyle w:val="normaltextrun"/>
          <w:noProof/>
          <w:sz w:val="18"/>
        </w:rPr>
        <w:t xml:space="preserve"> până în T</w:t>
      </w:r>
      <w:r w:rsidRPr="004F4310">
        <w:rPr>
          <w:rStyle w:val="normaltextrun"/>
          <w:noProof/>
          <w:sz w:val="18"/>
        </w:rPr>
        <w:t>4</w:t>
      </w:r>
      <w:r>
        <w:rPr>
          <w:rStyle w:val="normaltextrun"/>
          <w:noProof/>
          <w:sz w:val="18"/>
        </w:rPr>
        <w:t> </w:t>
      </w:r>
      <w:r w:rsidRPr="004F4310">
        <w:rPr>
          <w:rStyle w:val="normaltextrun"/>
          <w:noProof/>
          <w:sz w:val="18"/>
        </w:rPr>
        <w:t>2025</w:t>
      </w:r>
      <w:r>
        <w:rPr>
          <w:rStyle w:val="eop"/>
          <w:noProof/>
          <w:sz w:val="18"/>
        </w:rPr>
        <w:t xml:space="preserve"> </w:t>
      </w:r>
    </w:p>
    <w:p w14:paraId="5F5B23E4" w14:textId="09DB5721" w:rsidR="004B3B28" w:rsidRPr="000530BA" w:rsidRDefault="004B3B28" w:rsidP="000530BA">
      <w:pPr>
        <w:pStyle w:val="paragraph"/>
        <w:spacing w:before="0" w:beforeAutospacing="0" w:after="0" w:afterAutospacing="0"/>
        <w:textAlignment w:val="baseline"/>
        <w:rPr>
          <w:rFonts w:ascii="Segoe UI" w:hAnsi="Segoe UI" w:cs="Segoe UI"/>
          <w:noProof/>
          <w:sz w:val="18"/>
          <w:szCs w:val="18"/>
        </w:rPr>
      </w:pPr>
      <w:r>
        <w:rPr>
          <w:rStyle w:val="normaltextrun"/>
          <w:noProof/>
          <w:sz w:val="18"/>
        </w:rPr>
        <w:t xml:space="preserve">Notă: Tendințe ale valorilor medii ale WLA, precum și ale percentilelor </w:t>
      </w:r>
      <w:r w:rsidRPr="004F4310">
        <w:rPr>
          <w:rStyle w:val="normaltextrun"/>
          <w:noProof/>
          <w:sz w:val="18"/>
        </w:rPr>
        <w:t>25</w:t>
      </w:r>
      <w:r>
        <w:rPr>
          <w:rStyle w:val="normaltextrun"/>
          <w:noProof/>
          <w:sz w:val="18"/>
        </w:rPr>
        <w:t xml:space="preserve"> și </w:t>
      </w:r>
      <w:r w:rsidRPr="004F4310">
        <w:rPr>
          <w:rStyle w:val="normaltextrun"/>
          <w:noProof/>
          <w:sz w:val="18"/>
        </w:rPr>
        <w:t>75</w:t>
      </w:r>
      <w:r>
        <w:rPr>
          <w:rStyle w:val="normaltextrun"/>
          <w:noProof/>
          <w:sz w:val="18"/>
        </w:rPr>
        <w:t xml:space="preserve"> ale WLA (ca procent din VAN), pentru FPM cu VAN cu volatilitate scăzută.</w:t>
      </w:r>
      <w:r>
        <w:rPr>
          <w:rStyle w:val="eop"/>
          <w:noProof/>
          <w:sz w:val="18"/>
        </w:rPr>
        <w:t xml:space="preserve"> </w:t>
      </w:r>
    </w:p>
    <w:p w14:paraId="58EFD59B" w14:textId="2F46064D" w:rsidR="007E136A" w:rsidRPr="00C82DFF" w:rsidRDefault="007E136A" w:rsidP="007E136A">
      <w:pPr>
        <w:pStyle w:val="Heading2"/>
        <w:spacing w:before="240" w:after="240"/>
        <w:ind w:left="578" w:hanging="578"/>
        <w:rPr>
          <w:rFonts w:cs="Times New Roman"/>
          <w:noProof/>
          <w:sz w:val="22"/>
          <w:szCs w:val="22"/>
        </w:rPr>
      </w:pPr>
      <w:bookmarkStart w:id="27" w:name="_Toc227935553"/>
      <w:r>
        <w:rPr>
          <w:noProof/>
          <w:sz w:val="22"/>
        </w:rPr>
        <w:t>Exemple de FPM care se confruntă cu șocuri ridicate de răscumpărare</w:t>
      </w:r>
      <w:bookmarkEnd w:id="27"/>
    </w:p>
    <w:p w14:paraId="03E278D3" w14:textId="3BA04EAE" w:rsidR="00480352" w:rsidRDefault="007E136A" w:rsidP="0034552B">
      <w:pPr>
        <w:spacing w:before="240" w:after="240" w:line="280" w:lineRule="atLeast"/>
        <w:jc w:val="both"/>
        <w:rPr>
          <w:rFonts w:ascii="Times New Roman" w:hAnsi="Times New Roman" w:cs="Times New Roman"/>
          <w:noProof/>
        </w:rPr>
      </w:pPr>
      <w:r>
        <w:rPr>
          <w:rFonts w:ascii="Times New Roman" w:hAnsi="Times New Roman"/>
          <w:noProof/>
        </w:rPr>
        <w:t xml:space="preserve">Reconstituirea rezervelor de lichiditate a fost analizată prin axarea pe cele </w:t>
      </w:r>
      <w:r w:rsidRPr="004F4310">
        <w:rPr>
          <w:rFonts w:ascii="Times New Roman" w:hAnsi="Times New Roman"/>
          <w:noProof/>
        </w:rPr>
        <w:t>10</w:t>
      </w:r>
      <w:r>
        <w:rPr>
          <w:rFonts w:ascii="Times New Roman" w:hAnsi="Times New Roman"/>
          <w:noProof/>
        </w:rPr>
        <w:t> % din fonduri care au înregistrat cele mai mari ieșiri. Analiza s-a bazat pe date de supraveghere furnizate de ANC, pe alte surse de date, pe comunicările fondurilor privind gestionarea lichidității în condiții de criză a pieței și pe modificările structurii portofoliului. A rezultat un tipar consecvent: chiar și în rândul celor mai afectate fonduri, FPM au fost în măsură să își reconstituie rezervele de lichiditate într-o perioadă relativ scurtă după episodul de criză.</w:t>
      </w:r>
    </w:p>
    <w:p w14:paraId="088F3FAC" w14:textId="432834CA" w:rsidR="005B2BDE" w:rsidRPr="00480352" w:rsidRDefault="00480352" w:rsidP="00480352">
      <w:pPr>
        <w:rPr>
          <w:rFonts w:ascii="Times New Roman" w:hAnsi="Times New Roman" w:cs="Times New Roman"/>
          <w:noProof/>
        </w:rPr>
      </w:pPr>
      <w:r>
        <w:rPr>
          <w:noProof/>
        </w:rPr>
        <w:br w:type="page"/>
      </w:r>
    </w:p>
    <w:p w14:paraId="53F3DA5A" w14:textId="6751F3D0" w:rsidR="007E136A" w:rsidRDefault="009A7177" w:rsidP="007E136A">
      <w:pPr>
        <w:spacing w:before="240" w:after="240"/>
        <w:rPr>
          <w:rFonts w:ascii="Times New Roman" w:eastAsia="Times New Roman" w:hAnsi="Times New Roman" w:cs="Times New Roman"/>
          <w:b/>
          <w:noProof/>
        </w:rPr>
      </w:pPr>
      <w:r>
        <w:rPr>
          <w:rFonts w:ascii="Times New Roman" w:hAnsi="Times New Roman"/>
          <w:b/>
          <w:noProof/>
        </w:rPr>
        <w:t>Graficul I.</w:t>
      </w:r>
      <w:r w:rsidRPr="004F4310">
        <w:rPr>
          <w:rFonts w:ascii="Times New Roman" w:hAnsi="Times New Roman"/>
          <w:b/>
          <w:noProof/>
        </w:rPr>
        <w:t>2</w:t>
      </w:r>
      <w:r>
        <w:rPr>
          <w:rFonts w:ascii="Times New Roman" w:hAnsi="Times New Roman"/>
          <w:b/>
          <w:noProof/>
        </w:rPr>
        <w:t>: Exemple de reconstituire a rezervelor de lichiditate ale două FPM cu VAN variabilă în condițiile unui volum mare de cereri de răscumpărare</w:t>
      </w:r>
    </w:p>
    <w:tbl>
      <w:tblPr>
        <w:tblStyle w:val="TableGrid"/>
        <w:tblW w:w="10422" w:type="dxa"/>
        <w:jc w:val="center"/>
        <w:tblLook w:val="04A0" w:firstRow="1" w:lastRow="0" w:firstColumn="1" w:lastColumn="0" w:noHBand="0" w:noVBand="1"/>
      </w:tblPr>
      <w:tblGrid>
        <w:gridCol w:w="5136"/>
        <w:gridCol w:w="5286"/>
      </w:tblGrid>
      <w:tr w:rsidR="0065406B" w14:paraId="126457CF" w14:textId="77777777" w:rsidTr="0034552B">
        <w:trPr>
          <w:jc w:val="center"/>
        </w:trPr>
        <w:tc>
          <w:tcPr>
            <w:tcW w:w="5136" w:type="dxa"/>
          </w:tcPr>
          <w:p w14:paraId="686E25D6" w14:textId="1657D411" w:rsidR="0065406B" w:rsidRDefault="0065406B" w:rsidP="0034552B">
            <w:pPr>
              <w:spacing w:before="240" w:after="240"/>
              <w:jc w:val="center"/>
              <w:rPr>
                <w:rFonts w:ascii="Times New Roman" w:eastAsia="Times New Roman" w:hAnsi="Times New Roman" w:cs="Times New Roman"/>
                <w:b/>
                <w:noProof/>
              </w:rPr>
            </w:pPr>
            <w:r>
              <w:rPr>
                <w:noProof/>
                <w:lang w:val="en-GB" w:eastAsia="en-GB"/>
              </w:rPr>
              <w:drawing>
                <wp:inline distT="0" distB="0" distL="0" distR="0" wp14:anchorId="426F40E1" wp14:editId="1C40F525">
                  <wp:extent cx="3077833" cy="2113592"/>
                  <wp:effectExtent l="19050" t="19050" r="27940" b="20320"/>
                  <wp:docPr id="73382107" name="Picture 1" descr="Un grafic cu linii albastre și portocal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60270" name="Picture 1" descr="A graph with blue and orange lines&#10;&#10;AI-generated content may be incorrect."/>
                          <pic:cNvPicPr/>
                        </pic:nvPicPr>
                        <pic:blipFill>
                          <a:blip r:embed="rId41"/>
                          <a:stretch>
                            <a:fillRect/>
                          </a:stretch>
                        </pic:blipFill>
                        <pic:spPr>
                          <a:xfrm>
                            <a:off x="0" y="0"/>
                            <a:ext cx="3105016" cy="2132259"/>
                          </a:xfrm>
                          <a:prstGeom prst="rect">
                            <a:avLst/>
                          </a:prstGeom>
                          <a:ln>
                            <a:solidFill>
                              <a:schemeClr val="tx1"/>
                            </a:solidFill>
                          </a:ln>
                        </pic:spPr>
                      </pic:pic>
                    </a:graphicData>
                  </a:graphic>
                </wp:inline>
              </w:drawing>
            </w:r>
          </w:p>
        </w:tc>
        <w:tc>
          <w:tcPr>
            <w:tcW w:w="5286" w:type="dxa"/>
          </w:tcPr>
          <w:p w14:paraId="64AE6BA4" w14:textId="5EAD184C" w:rsidR="0065406B" w:rsidRDefault="0065406B" w:rsidP="007E136A">
            <w:pPr>
              <w:spacing w:before="240" w:after="240"/>
              <w:rPr>
                <w:rFonts w:ascii="Times New Roman" w:eastAsia="Times New Roman" w:hAnsi="Times New Roman" w:cs="Times New Roman"/>
                <w:b/>
                <w:noProof/>
              </w:rPr>
            </w:pPr>
            <w:r>
              <w:rPr>
                <w:noProof/>
                <w:lang w:val="en-GB" w:eastAsia="en-GB"/>
              </w:rPr>
              <w:drawing>
                <wp:inline distT="0" distB="0" distL="0" distR="0" wp14:anchorId="3189F899" wp14:editId="2F28FDC5">
                  <wp:extent cx="3181350" cy="2218055"/>
                  <wp:effectExtent l="19050" t="19050" r="19050" b="10795"/>
                  <wp:docPr id="40316323" name="Picture 1" descr="Un grafic cu linii albastre și portocalii&#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01330" name="Picture 1" descr="A graph with blue and orange lines&#10;&#10;AI-generated content may be incorrect."/>
                          <pic:cNvPicPr/>
                        </pic:nvPicPr>
                        <pic:blipFill>
                          <a:blip r:embed="rId42"/>
                          <a:stretch>
                            <a:fillRect/>
                          </a:stretch>
                        </pic:blipFill>
                        <pic:spPr>
                          <a:xfrm>
                            <a:off x="0" y="0"/>
                            <a:ext cx="3182207" cy="2218653"/>
                          </a:xfrm>
                          <a:prstGeom prst="rect">
                            <a:avLst/>
                          </a:prstGeom>
                          <a:ln>
                            <a:solidFill>
                              <a:schemeClr val="tx1"/>
                            </a:solidFill>
                          </a:ln>
                        </pic:spPr>
                      </pic:pic>
                    </a:graphicData>
                  </a:graphic>
                </wp:inline>
              </w:drawing>
            </w:r>
          </w:p>
        </w:tc>
      </w:tr>
    </w:tbl>
    <w:p w14:paraId="4D0C8F47" w14:textId="76E0BBE9" w:rsidR="007E136A" w:rsidRPr="00C82DFF" w:rsidRDefault="007E136A" w:rsidP="007E136A">
      <w:pPr>
        <w:spacing w:after="0" w:line="240" w:lineRule="auto"/>
        <w:jc w:val="center"/>
        <w:rPr>
          <w:rFonts w:ascii="Times New Roman" w:hAnsi="Times New Roman" w:cs="Times New Roman"/>
          <w:noProof/>
        </w:rPr>
      </w:pPr>
    </w:p>
    <w:p w14:paraId="36F9BFDE" w14:textId="29C47632" w:rsidR="00531B77" w:rsidRPr="003C4867" w:rsidRDefault="00531B77" w:rsidP="0065406B">
      <w:pPr>
        <w:pStyle w:val="paragraph"/>
        <w:spacing w:before="0" w:beforeAutospacing="0" w:after="0" w:afterAutospacing="0"/>
        <w:textAlignment w:val="baseline"/>
        <w:rPr>
          <w:rFonts w:ascii="Segoe UI" w:hAnsi="Segoe UI" w:cs="Segoe UI"/>
          <w:noProof/>
          <w:sz w:val="18"/>
          <w:szCs w:val="18"/>
        </w:rPr>
      </w:pPr>
      <w:r>
        <w:rPr>
          <w:rStyle w:val="normaltextrun"/>
          <w:noProof/>
          <w:sz w:val="16"/>
        </w:rPr>
        <w:t>Surse: Crane Data și autoritățile naționale competente (ANC).</w:t>
      </w:r>
      <w:r w:rsidR="00801851">
        <w:rPr>
          <w:rStyle w:val="normaltextrun"/>
          <w:noProof/>
          <w:sz w:val="16"/>
          <w:shd w:val="clear" w:color="auto" w:fill="C6C6C6"/>
        </w:rPr>
        <w:t xml:space="preserve"> </w:t>
      </w:r>
    </w:p>
    <w:p w14:paraId="264276ED" w14:textId="6A425D90" w:rsidR="00531B77" w:rsidRPr="003C4867" w:rsidRDefault="00CF1EC6" w:rsidP="0065406B">
      <w:pPr>
        <w:pStyle w:val="paragraph"/>
        <w:spacing w:before="0" w:beforeAutospacing="0" w:after="0" w:afterAutospacing="0"/>
        <w:jc w:val="both"/>
        <w:textAlignment w:val="baseline"/>
        <w:rPr>
          <w:rFonts w:ascii="Segoe UI" w:hAnsi="Segoe UI" w:cs="Segoe UI"/>
          <w:noProof/>
          <w:sz w:val="18"/>
          <w:szCs w:val="18"/>
        </w:rPr>
      </w:pPr>
      <w:r>
        <w:rPr>
          <w:rStyle w:val="normaltextrun"/>
          <w:noProof/>
          <w:sz w:val="16"/>
        </w:rPr>
        <w:t xml:space="preserve">Notă: Exemplu de două FPM cu VAN variabilă care înregistrează ieșiri semnificative, ilustrând impactul asupra WLA și reconstituirea ulterioară a rezervelor de lichiditate. Nivelul minim de </w:t>
      </w:r>
      <w:r w:rsidRPr="004F4310">
        <w:rPr>
          <w:rStyle w:val="normaltextrun"/>
          <w:noProof/>
          <w:sz w:val="16"/>
        </w:rPr>
        <w:t>15</w:t>
      </w:r>
      <w:r>
        <w:rPr>
          <w:rStyle w:val="normaltextrun"/>
          <w:noProof/>
          <w:sz w:val="16"/>
        </w:rPr>
        <w:t> % este indicat printr-o linie punctată. .</w:t>
      </w:r>
      <w:r>
        <w:rPr>
          <w:rStyle w:val="eop"/>
          <w:noProof/>
          <w:sz w:val="16"/>
        </w:rPr>
        <w:t xml:space="preserve"> </w:t>
      </w:r>
    </w:p>
    <w:p w14:paraId="08077988" w14:textId="77777777" w:rsidR="0065406B" w:rsidRDefault="0065406B" w:rsidP="007E136A">
      <w:pPr>
        <w:spacing w:before="240" w:after="240"/>
        <w:rPr>
          <w:rFonts w:ascii="Times New Roman" w:eastAsia="Times New Roman" w:hAnsi="Times New Roman" w:cs="Times New Roman"/>
          <w:b/>
          <w:noProof/>
        </w:rPr>
      </w:pPr>
    </w:p>
    <w:p w14:paraId="14AD7CA1" w14:textId="4C09865A" w:rsidR="007E136A" w:rsidRPr="00C82DFF" w:rsidRDefault="009A7177" w:rsidP="00BE4513">
      <w:pPr>
        <w:spacing w:before="240" w:after="240"/>
        <w:rPr>
          <w:rFonts w:ascii="Times New Roman" w:eastAsia="Times New Roman" w:hAnsi="Times New Roman" w:cs="Times New Roman"/>
          <w:noProof/>
        </w:rPr>
      </w:pPr>
      <w:r>
        <w:rPr>
          <w:rFonts w:ascii="Times New Roman" w:hAnsi="Times New Roman"/>
          <w:b/>
          <w:noProof/>
        </w:rPr>
        <w:t>Graficul I.</w:t>
      </w:r>
      <w:r w:rsidRPr="004F4310">
        <w:rPr>
          <w:rFonts w:ascii="Times New Roman" w:hAnsi="Times New Roman"/>
          <w:b/>
          <w:noProof/>
        </w:rPr>
        <w:t>3</w:t>
      </w:r>
      <w:r>
        <w:rPr>
          <w:rFonts w:ascii="Times New Roman" w:hAnsi="Times New Roman"/>
          <w:b/>
          <w:noProof/>
        </w:rPr>
        <w:t>: Reconstituirea rezervelor de lichiditate în condițiile unui volum mare de cereri de răscumpărare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gridCol w:w="4428"/>
      </w:tblGrid>
      <w:tr w:rsidR="00AC7FAE" w14:paraId="03F74083" w14:textId="77777777" w:rsidTr="0034552B">
        <w:trPr>
          <w:jc w:val="center"/>
        </w:trPr>
        <w:tc>
          <w:tcPr>
            <w:tcW w:w="5051" w:type="dxa"/>
          </w:tcPr>
          <w:p w14:paraId="753A48C3" w14:textId="4D9C4C89" w:rsidR="007E210B" w:rsidRDefault="00B207F5">
            <w:pPr>
              <w:rPr>
                <w:rFonts w:ascii="Times New Roman" w:eastAsia="Times New Roman" w:hAnsi="Times New Roman" w:cs="Times New Roman"/>
                <w:noProof/>
              </w:rPr>
            </w:pPr>
            <w:r>
              <w:rPr>
                <w:rFonts w:ascii="Times New Roman" w:hAnsi="Times New Roman"/>
                <w:noProof/>
                <w:lang w:val="en-GB" w:eastAsia="en-GB"/>
              </w:rPr>
              <mc:AlternateContent>
                <mc:Choice Requires="wps">
                  <w:drawing>
                    <wp:anchor distT="0" distB="0" distL="114300" distR="114300" simplePos="0" relativeHeight="251658246" behindDoc="0" locked="0" layoutInCell="1" allowOverlap="1" wp14:anchorId="48BD3E45" wp14:editId="2548B5AC">
                      <wp:simplePos x="0" y="0"/>
                      <wp:positionH relativeFrom="column">
                        <wp:posOffset>266113</wp:posOffset>
                      </wp:positionH>
                      <wp:positionV relativeFrom="paragraph">
                        <wp:posOffset>460818</wp:posOffset>
                      </wp:positionV>
                      <wp:extent cx="2656936" cy="8627"/>
                      <wp:effectExtent l="0" t="0" r="10160" b="29845"/>
                      <wp:wrapNone/>
                      <wp:docPr id="1241976883" name="Straight Connector 2"/>
                      <wp:cNvGraphicFramePr/>
                      <a:graphic xmlns:a="http://schemas.openxmlformats.org/drawingml/2006/main">
                        <a:graphicData uri="http://schemas.microsoft.com/office/word/2010/wordprocessingShape">
                          <wps:wsp>
                            <wps:cNvCnPr/>
                            <wps:spPr>
                              <a:xfrm flipV="1">
                                <a:off x="0" y="0"/>
                                <a:ext cx="2656936" cy="8627"/>
                              </a:xfrm>
                              <a:prstGeom prst="line">
                                <a:avLst/>
                              </a:prstGeom>
                              <a:ln w="1905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line id="Straight Connector 2" style="position:absolute;flip:y;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f79646 [3209]"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" from="20.95pt,36.3pt" to="230.15pt,37pt" w14:anchorId="293A4BA2">
                      <v:stroke dashstyle="dash"/>
                    </v:line>
                  </w:pict>
                </mc:Fallback>
              </mc:AlternateContent>
            </w:r>
            <w:r>
              <w:rPr>
                <w:rFonts w:ascii="Times New Roman" w:hAnsi="Times New Roman"/>
                <w:noProof/>
                <w:lang w:val="en-GB" w:eastAsia="en-GB"/>
              </w:rPr>
              <w:drawing>
                <wp:inline distT="0" distB="0" distL="0" distR="0" wp14:anchorId="2122308F" wp14:editId="7D98E391">
                  <wp:extent cx="3135630" cy="2208363"/>
                  <wp:effectExtent l="0" t="0" r="7620" b="1905"/>
                  <wp:docPr id="202000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0654" name=""/>
                          <pic:cNvPicPr/>
                        </pic:nvPicPr>
                        <pic:blipFill>
                          <a:blip r:embed="rId43"/>
                          <a:stretch>
                            <a:fillRect/>
                          </a:stretch>
                        </pic:blipFill>
                        <pic:spPr>
                          <a:xfrm>
                            <a:off x="0" y="0"/>
                            <a:ext cx="3154432" cy="2221605"/>
                          </a:xfrm>
                          <a:prstGeom prst="rect">
                            <a:avLst/>
                          </a:prstGeom>
                        </pic:spPr>
                      </pic:pic>
                    </a:graphicData>
                  </a:graphic>
                </wp:inline>
              </w:drawing>
            </w:r>
          </w:p>
        </w:tc>
        <w:tc>
          <w:tcPr>
            <w:tcW w:w="4583" w:type="dxa"/>
          </w:tcPr>
          <w:p w14:paraId="580647A4" w14:textId="43323706" w:rsidR="007E210B" w:rsidRDefault="00CD0AD1">
            <w:pPr>
              <w:rPr>
                <w:rFonts w:ascii="Times New Roman" w:eastAsia="Times New Roman" w:hAnsi="Times New Roman" w:cs="Times New Roman"/>
                <w:noProof/>
              </w:rPr>
            </w:pPr>
            <w:r>
              <w:rPr>
                <w:rFonts w:ascii="Times New Roman" w:hAnsi="Times New Roman"/>
                <w:noProof/>
                <w:lang w:val="en-GB" w:eastAsia="en-GB"/>
              </w:rPr>
              <mc:AlternateContent>
                <mc:Choice Requires="wps">
                  <w:drawing>
                    <wp:anchor distT="0" distB="0" distL="114300" distR="114300" simplePos="0" relativeHeight="251658247" behindDoc="0" locked="0" layoutInCell="1" allowOverlap="1" wp14:anchorId="2550BBB7" wp14:editId="6E42B8A0">
                      <wp:simplePos x="0" y="0"/>
                      <wp:positionH relativeFrom="column">
                        <wp:posOffset>185504</wp:posOffset>
                      </wp:positionH>
                      <wp:positionV relativeFrom="paragraph">
                        <wp:posOffset>417314</wp:posOffset>
                      </wp:positionV>
                      <wp:extent cx="2700068" cy="0"/>
                      <wp:effectExtent l="0" t="0" r="0" b="0"/>
                      <wp:wrapNone/>
                      <wp:docPr id="970144434" name="Straight Connector 2"/>
                      <wp:cNvGraphicFramePr/>
                      <a:graphic xmlns:a="http://schemas.openxmlformats.org/drawingml/2006/main">
                        <a:graphicData uri="http://schemas.microsoft.com/office/word/2010/wordprocessingShape">
                          <wps:wsp>
                            <wps:cNvCnPr/>
                            <wps:spPr>
                              <a:xfrm flipV="1">
                                <a:off x="0" y="0"/>
                                <a:ext cx="2700068" cy="0"/>
                              </a:xfrm>
                              <a:prstGeom prst="line">
                                <a:avLst/>
                              </a:prstGeom>
                              <a:ln w="19050" cap="flat" cmpd="sng" algn="ctr">
                                <a:solidFill>
                                  <a:schemeClr val="accent6"/>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dgm="http://schemas.openxmlformats.org/drawingml/2006/diagram" xmlns:a="http://schemas.openxmlformats.org/drawingml/2006/main">
                  <w:pict>
                    <v:line id="Straight Connector 2"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79646 [3209]"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" from="14.6pt,32.85pt" to="227.2pt,32.85pt" w14:anchorId="4514B8C5">
                      <v:stroke dashstyle="dash"/>
                    </v:line>
                  </w:pict>
                </mc:Fallback>
              </mc:AlternateContent>
            </w:r>
            <w:r>
              <w:rPr>
                <w:noProof/>
                <w:lang w:val="en-GB" w:eastAsia="en-GB"/>
              </w:rPr>
              <w:drawing>
                <wp:inline distT="0" distB="0" distL="0" distR="0" wp14:anchorId="171110EF" wp14:editId="6D53E401">
                  <wp:extent cx="2984393" cy="2096219"/>
                  <wp:effectExtent l="0" t="0" r="6985" b="0"/>
                  <wp:docPr id="1549604522" name="Picture 3" descr="Un grafic cu cifre și o linie roși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with numbers and a red line&#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03382" cy="2109557"/>
                          </a:xfrm>
                          <a:prstGeom prst="rect">
                            <a:avLst/>
                          </a:prstGeom>
                          <a:noFill/>
                          <a:ln>
                            <a:noFill/>
                          </a:ln>
                        </pic:spPr>
                      </pic:pic>
                    </a:graphicData>
                  </a:graphic>
                </wp:inline>
              </w:drawing>
            </w:r>
          </w:p>
        </w:tc>
      </w:tr>
    </w:tbl>
    <w:p w14:paraId="7C749AFB" w14:textId="77777777" w:rsidR="00BE4513" w:rsidRDefault="00BE4513" w:rsidP="00CD0AD1">
      <w:pPr>
        <w:pStyle w:val="paragraph"/>
        <w:spacing w:before="0" w:beforeAutospacing="0" w:after="0" w:afterAutospacing="0"/>
        <w:textAlignment w:val="baseline"/>
        <w:rPr>
          <w:rStyle w:val="normaltextrun"/>
          <w:rFonts w:eastAsiaTheme="majorEastAsia"/>
          <w:noProof/>
          <w:sz w:val="16"/>
          <w:szCs w:val="16"/>
        </w:rPr>
      </w:pPr>
    </w:p>
    <w:p w14:paraId="40D90D1F" w14:textId="52142D42" w:rsidR="00CD0AD1" w:rsidRPr="00226739" w:rsidRDefault="00CD0AD1" w:rsidP="00CD0AD1">
      <w:pPr>
        <w:pStyle w:val="paragraph"/>
        <w:spacing w:before="0" w:beforeAutospacing="0" w:after="0" w:afterAutospacing="0"/>
        <w:textAlignment w:val="baseline"/>
        <w:rPr>
          <w:rFonts w:ascii="Segoe UI" w:hAnsi="Segoe UI" w:cs="Segoe UI"/>
          <w:noProof/>
          <w:sz w:val="18"/>
          <w:szCs w:val="18"/>
        </w:rPr>
      </w:pPr>
      <w:r>
        <w:rPr>
          <w:rStyle w:val="normaltextrun"/>
          <w:noProof/>
          <w:sz w:val="16"/>
        </w:rPr>
        <w:t>Surse: Crane Data și autoritățile naționale competente (ANC).</w:t>
      </w:r>
      <w:r w:rsidR="00801851">
        <w:rPr>
          <w:rStyle w:val="normaltextrun"/>
          <w:noProof/>
          <w:sz w:val="16"/>
          <w:shd w:val="clear" w:color="auto" w:fill="C6C6C6"/>
        </w:rPr>
        <w:t xml:space="preserve"> </w:t>
      </w:r>
    </w:p>
    <w:p w14:paraId="61D936FA" w14:textId="6E41653D" w:rsidR="00CD0AD1" w:rsidRPr="00226739" w:rsidRDefault="00CD0AD1" w:rsidP="00CD0AD1">
      <w:pPr>
        <w:pStyle w:val="paragraph"/>
        <w:spacing w:before="0" w:beforeAutospacing="0" w:after="0" w:afterAutospacing="0"/>
        <w:jc w:val="both"/>
        <w:textAlignment w:val="baseline"/>
        <w:rPr>
          <w:rFonts w:ascii="Segoe UI" w:hAnsi="Segoe UI" w:cs="Segoe UI"/>
          <w:noProof/>
          <w:sz w:val="18"/>
          <w:szCs w:val="18"/>
        </w:rPr>
      </w:pPr>
      <w:r>
        <w:rPr>
          <w:rStyle w:val="normaltextrun"/>
          <w:noProof/>
          <w:sz w:val="16"/>
        </w:rPr>
        <w:t xml:space="preserve">Notă: Exemplu de două FPM cu VAN cu volatilitate scăzută care înregistrează ieșiri semnificative, ilustrând impactul asupra WLA și reconstituirea ulterioară a rezervelor de lichiditate. Nivelul minim de </w:t>
      </w:r>
      <w:r w:rsidRPr="004F4310">
        <w:rPr>
          <w:rStyle w:val="normaltextrun"/>
          <w:noProof/>
          <w:sz w:val="16"/>
        </w:rPr>
        <w:t>30</w:t>
      </w:r>
      <w:r>
        <w:rPr>
          <w:rStyle w:val="normaltextrun"/>
          <w:noProof/>
          <w:sz w:val="16"/>
        </w:rPr>
        <w:t> % este indicat printr-o linie punctată.</w:t>
      </w:r>
    </w:p>
    <w:p w14:paraId="64BBBC8B" w14:textId="77777777" w:rsidR="0065406B" w:rsidRPr="00226739" w:rsidRDefault="0065406B">
      <w:pPr>
        <w:rPr>
          <w:rFonts w:ascii="Times New Roman" w:eastAsia="Times New Roman" w:hAnsi="Times New Roman" w:cs="Times New Roman"/>
          <w:noProof/>
        </w:rPr>
      </w:pPr>
    </w:p>
    <w:p w14:paraId="1CA11677" w14:textId="63123BD6" w:rsidR="006F14E0" w:rsidRPr="00C82DFF" w:rsidRDefault="006F14E0">
      <w:pPr>
        <w:rPr>
          <w:rFonts w:ascii="Times New Roman" w:eastAsia="Times New Roman" w:hAnsi="Times New Roman" w:cs="Times New Roman"/>
          <w:noProof/>
        </w:rPr>
      </w:pPr>
      <w:r>
        <w:rPr>
          <w:noProof/>
        </w:rPr>
        <w:br w:type="page"/>
      </w:r>
    </w:p>
    <w:p w14:paraId="6DF0440D" w14:textId="78956BE5" w:rsidR="009B6C59" w:rsidRPr="00C82DFF" w:rsidRDefault="00C234AB" w:rsidP="00906449">
      <w:pPr>
        <w:pStyle w:val="Heading1"/>
        <w:spacing w:before="360" w:after="360"/>
        <w:ind w:left="431" w:hanging="431"/>
        <w:jc w:val="both"/>
        <w:rPr>
          <w:rFonts w:ascii="Times New Roman" w:hAnsi="Times New Roman" w:cs="Times New Roman"/>
          <w:b/>
          <w:bCs/>
          <w:noProof/>
          <w:sz w:val="22"/>
          <w:szCs w:val="22"/>
        </w:rPr>
      </w:pPr>
      <w:bookmarkStart w:id="28" w:name="_Toc227935554"/>
      <w:r>
        <w:rPr>
          <w:rFonts w:ascii="Times New Roman" w:hAnsi="Times New Roman"/>
          <w:b/>
          <w:noProof/>
          <w:sz w:val="22"/>
        </w:rPr>
        <w:t>ANEXA II: COMPORTAMENTUL RĂSCUMPĂRĂRILOR ÎN CONDIȚII DE CRIZĂ A PIEȚEI</w:t>
      </w:r>
      <w:bookmarkEnd w:id="28"/>
    </w:p>
    <w:p w14:paraId="33FE2D43" w14:textId="16F91FB8" w:rsidR="00727B19" w:rsidRPr="00C82DFF" w:rsidRDefault="00727B19" w:rsidP="00906449">
      <w:pPr>
        <w:pStyle w:val="Heading2"/>
        <w:spacing w:before="240" w:after="240"/>
        <w:ind w:left="578" w:hanging="578"/>
        <w:rPr>
          <w:rFonts w:cs="Times New Roman"/>
          <w:noProof/>
          <w:sz w:val="22"/>
          <w:szCs w:val="22"/>
        </w:rPr>
      </w:pPr>
      <w:bookmarkStart w:id="29" w:name="_Toc220346316"/>
      <w:bookmarkStart w:id="30" w:name="_Toc227935555"/>
      <w:r>
        <w:rPr>
          <w:noProof/>
          <w:sz w:val="22"/>
        </w:rPr>
        <w:t>Stresul pieței la începutul pandemiei de COVID-</w:t>
      </w:r>
      <w:r w:rsidRPr="004F4310">
        <w:rPr>
          <w:noProof/>
          <w:sz w:val="22"/>
        </w:rPr>
        <w:t>19</w:t>
      </w:r>
      <w:bookmarkEnd w:id="29"/>
      <w:bookmarkEnd w:id="30"/>
    </w:p>
    <w:p w14:paraId="51EF4AA6" w14:textId="52C7DBB1" w:rsidR="00727B19" w:rsidRPr="00C82DFF" w:rsidRDefault="00727B19" w:rsidP="001E656F">
      <w:pPr>
        <w:pStyle w:val="Heading3"/>
        <w:ind w:left="1276"/>
        <w:rPr>
          <w:rFonts w:ascii="Times New Roman" w:hAnsi="Times New Roman" w:cs="Times New Roman"/>
          <w:b/>
          <w:noProof/>
          <w:color w:val="auto"/>
          <w:sz w:val="22"/>
          <w:szCs w:val="22"/>
        </w:rPr>
      </w:pPr>
      <w:bookmarkStart w:id="31" w:name="_Toc227935556"/>
      <w:r>
        <w:rPr>
          <w:rFonts w:ascii="Times New Roman" w:hAnsi="Times New Roman"/>
          <w:b/>
          <w:noProof/>
          <w:color w:val="auto"/>
          <w:sz w:val="22"/>
        </w:rPr>
        <w:t>Impactul asupra pieței în ansamblu</w:t>
      </w:r>
      <w:bookmarkEnd w:id="31"/>
      <w:r>
        <w:rPr>
          <w:rFonts w:ascii="Times New Roman" w:hAnsi="Times New Roman"/>
          <w:b/>
          <w:noProof/>
          <w:color w:val="auto"/>
          <w:sz w:val="22"/>
        </w:rPr>
        <w:t xml:space="preserve"> </w:t>
      </w:r>
    </w:p>
    <w:p w14:paraId="1BD8FD81" w14:textId="77777777" w:rsidR="00B02FDC" w:rsidRPr="00AB43E2"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Evenimentele de piață generate de pandemia de COVID-</w:t>
      </w:r>
      <w:r w:rsidRPr="004F4310">
        <w:rPr>
          <w:rFonts w:ascii="Times New Roman" w:hAnsi="Times New Roman"/>
          <w:noProof/>
        </w:rPr>
        <w:t>19</w:t>
      </w:r>
      <w:r>
        <w:rPr>
          <w:rFonts w:ascii="Times New Roman" w:hAnsi="Times New Roman"/>
          <w:noProof/>
        </w:rPr>
        <w:t xml:space="preserve"> au început să se manifeste în februarie </w:t>
      </w:r>
      <w:r w:rsidRPr="004F4310">
        <w:rPr>
          <w:rFonts w:ascii="Times New Roman" w:hAnsi="Times New Roman"/>
          <w:noProof/>
        </w:rPr>
        <w:t>2020</w:t>
      </w:r>
      <w:r>
        <w:rPr>
          <w:rFonts w:ascii="Times New Roman" w:hAnsi="Times New Roman"/>
          <w:noProof/>
        </w:rPr>
        <w:t xml:space="preserve">, pe măsură ce preocupările legate de răspândirea globală a virusului s-au intensificat, iar piețele financiare au început să reevalueze riscurile. Cu toate acestea, impactul asupra FPM s-a materializat în principal la jumătatea lunii martie </w:t>
      </w:r>
      <w:r w:rsidRPr="004F4310">
        <w:rPr>
          <w:rFonts w:ascii="Times New Roman" w:hAnsi="Times New Roman"/>
          <w:noProof/>
        </w:rPr>
        <w:t>2020</w:t>
      </w:r>
      <w:r>
        <w:rPr>
          <w:rFonts w:ascii="Times New Roman" w:hAnsi="Times New Roman"/>
          <w:noProof/>
        </w:rPr>
        <w:t xml:space="preserve"> și a continuat până în iunie </w:t>
      </w:r>
      <w:r w:rsidRPr="004F4310">
        <w:rPr>
          <w:rFonts w:ascii="Times New Roman" w:hAnsi="Times New Roman"/>
          <w:noProof/>
        </w:rPr>
        <w:t>2020</w:t>
      </w:r>
      <w:r>
        <w:rPr>
          <w:rFonts w:ascii="Times New Roman" w:hAnsi="Times New Roman"/>
          <w:noProof/>
        </w:rPr>
        <w:t xml:space="preserve">, perioadă în care au fost observate condiții de criză a pieței. </w:t>
      </w:r>
    </w:p>
    <w:p w14:paraId="6E81FFDF" w14:textId="125162CD" w:rsidR="00B02FDC" w:rsidRPr="00AB43E2"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În cursul unei perioade de </w:t>
      </w:r>
      <w:r w:rsidRPr="004F4310">
        <w:rPr>
          <w:rFonts w:ascii="Times New Roman" w:hAnsi="Times New Roman"/>
          <w:noProof/>
        </w:rPr>
        <w:t>15</w:t>
      </w:r>
      <w:r>
        <w:rPr>
          <w:rFonts w:ascii="Times New Roman" w:hAnsi="Times New Roman"/>
          <w:noProof/>
        </w:rPr>
        <w:t xml:space="preserve"> zile începând de la jumătatea lunii martie, investitorii în unele FPM și-au sporit cererea de lichiditate, în special din FPM cu VAN cu volatilitate scăzută denominate în USD, care s-au confruntat cu presiuni semnificative de răscumpărare (aproximativ </w:t>
      </w:r>
      <w:r w:rsidRPr="004F4310">
        <w:rPr>
          <w:rFonts w:ascii="Times New Roman" w:hAnsi="Times New Roman"/>
          <w:noProof/>
        </w:rPr>
        <w:t>18</w:t>
      </w:r>
      <w:r>
        <w:rPr>
          <w:rFonts w:ascii="Times New Roman" w:hAnsi="Times New Roman"/>
          <w:noProof/>
        </w:rPr>
        <w:t xml:space="preserve"> % și </w:t>
      </w:r>
      <w:r w:rsidRPr="004F4310">
        <w:rPr>
          <w:rFonts w:ascii="Times New Roman" w:hAnsi="Times New Roman"/>
          <w:noProof/>
        </w:rPr>
        <w:t>30</w:t>
      </w:r>
      <w:r>
        <w:rPr>
          <w:rFonts w:ascii="Times New Roman" w:hAnsi="Times New Roman"/>
          <w:noProof/>
        </w:rPr>
        <w:t xml:space="preserve"> % din aceste segmente de piață). </w:t>
      </w:r>
    </w:p>
    <w:p w14:paraId="61DE942F" w14:textId="400C446A" w:rsidR="00727B19" w:rsidRDefault="00B02FDC"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FPM cu VAN cu volatilitate scăzută denominate în USD au înregistrat cele mai mari și mai prelungite ieșiri dintre toate FPM europene pe termen scurt în primele săptămâni ale lunii martie </w:t>
      </w:r>
      <w:r w:rsidRPr="004F4310">
        <w:rPr>
          <w:rFonts w:ascii="Times New Roman" w:hAnsi="Times New Roman"/>
          <w:noProof/>
        </w:rPr>
        <w:t>2020</w:t>
      </w:r>
      <w:r>
        <w:rPr>
          <w:rFonts w:ascii="Times New Roman" w:hAnsi="Times New Roman"/>
          <w:noProof/>
        </w:rPr>
        <w:t>. Aceasta s-a datorat faptului că, pe lângă răscumpărările legate de necesarul de numerar, investitorii s-au orientat către FPM cu VAN constantă pentru datoria publică din UE.</w:t>
      </w:r>
    </w:p>
    <w:p w14:paraId="001B2FCA" w14:textId="2037132B" w:rsidR="003A4A78" w:rsidRPr="003A4A78" w:rsidRDefault="003A4A78" w:rsidP="003A4A78">
      <w:pPr>
        <w:spacing w:before="240" w:after="240"/>
        <w:rPr>
          <w:rFonts w:ascii="Times New Roman" w:eastAsia="Times New Roman" w:hAnsi="Times New Roman" w:cs="Times New Roman"/>
          <w:noProof/>
        </w:rPr>
      </w:pPr>
      <w:r>
        <w:rPr>
          <w:rFonts w:ascii="Times New Roman" w:hAnsi="Times New Roman"/>
          <w:b/>
          <w:noProof/>
        </w:rPr>
        <w:t>Graficul II.</w:t>
      </w:r>
      <w:r w:rsidRPr="004F4310">
        <w:rPr>
          <w:rFonts w:ascii="Times New Roman" w:hAnsi="Times New Roman"/>
          <w:b/>
          <w:noProof/>
        </w:rPr>
        <w:t>1</w:t>
      </w:r>
      <w:r>
        <w:rPr>
          <w:rFonts w:ascii="Times New Roman" w:hAnsi="Times New Roman"/>
          <w:b/>
          <w:noProof/>
        </w:rPr>
        <w:t xml:space="preserve">: Fluxuri cumulate ale FPM în </w:t>
      </w:r>
      <w:r w:rsidRPr="004F4310">
        <w:rPr>
          <w:rFonts w:ascii="Times New Roman" w:hAnsi="Times New Roman"/>
          <w:b/>
          <w:noProof/>
        </w:rPr>
        <w:t>2020</w:t>
      </w:r>
    </w:p>
    <w:p w14:paraId="06DA2230" w14:textId="3B7EFDF2" w:rsidR="007E3A12" w:rsidRDefault="007E3A12" w:rsidP="0034552B">
      <w:pPr>
        <w:spacing w:before="240" w:after="240"/>
        <w:jc w:val="center"/>
        <w:rPr>
          <w:rFonts w:ascii="Times New Roman" w:eastAsia="Times New Roman" w:hAnsi="Times New Roman" w:cs="Times New Roman"/>
          <w:noProof/>
        </w:rPr>
      </w:pPr>
      <w:r>
        <w:rPr>
          <w:rFonts w:ascii="Times New Roman" w:hAnsi="Times New Roman"/>
          <w:noProof/>
          <w:lang w:val="en-GB" w:eastAsia="en-GB"/>
        </w:rPr>
        <w:drawing>
          <wp:inline distT="0" distB="0" distL="0" distR="0" wp14:anchorId="79B709FE" wp14:editId="727C6E77">
            <wp:extent cx="5760720" cy="2740025"/>
            <wp:effectExtent l="0" t="0" r="0" b="3175"/>
            <wp:docPr id="1682485043" name="Picture 1" descr="Un grafic cu linii de culori diferit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85043" name="Picture 1" descr="A graph of the us government&#10;&#10;AI-generated content may be incorrect."/>
                    <pic:cNvPicPr/>
                  </pic:nvPicPr>
                  <pic:blipFill>
                    <a:blip r:embed="rId45"/>
                    <a:stretch>
                      <a:fillRect/>
                    </a:stretch>
                  </pic:blipFill>
                  <pic:spPr>
                    <a:xfrm>
                      <a:off x="0" y="0"/>
                      <a:ext cx="5760720" cy="2740025"/>
                    </a:xfrm>
                    <a:prstGeom prst="rect">
                      <a:avLst/>
                    </a:prstGeom>
                  </pic:spPr>
                </pic:pic>
              </a:graphicData>
            </a:graphic>
          </wp:inline>
        </w:drawing>
      </w:r>
    </w:p>
    <w:p w14:paraId="67B55B75" w14:textId="1DA68D36" w:rsidR="00646715" w:rsidRPr="00254822" w:rsidRDefault="008F5EC0" w:rsidP="00727B19">
      <w:pPr>
        <w:spacing w:before="240" w:after="240"/>
        <w:jc w:val="both"/>
        <w:rPr>
          <w:rFonts w:ascii="Times New Roman" w:eastAsia="Times New Roman" w:hAnsi="Times New Roman" w:cs="Times New Roman"/>
          <w:noProof/>
          <w:sz w:val="18"/>
          <w:szCs w:val="18"/>
        </w:rPr>
      </w:pPr>
      <w:r>
        <w:rPr>
          <w:rFonts w:ascii="Times New Roman" w:hAnsi="Times New Roman"/>
          <w:noProof/>
          <w:sz w:val="18"/>
        </w:rPr>
        <w:t xml:space="preserve">Sursă: CSF, </w:t>
      </w:r>
      <w:hyperlink r:id="rId46" w:history="1">
        <w:r>
          <w:rPr>
            <w:rStyle w:val="Hyperlink"/>
            <w:rFonts w:ascii="Times New Roman" w:hAnsi="Times New Roman"/>
            <w:noProof/>
            <w:sz w:val="18"/>
          </w:rPr>
          <w:t>Policy proposals to enhance MMF resilience</w:t>
        </w:r>
      </w:hyperlink>
      <w:r>
        <w:rPr>
          <w:rFonts w:ascii="Times New Roman" w:hAnsi="Times New Roman"/>
          <w:noProof/>
          <w:sz w:val="18"/>
          <w:u w:val="single"/>
        </w:rPr>
        <w:t xml:space="preserve"> </w:t>
      </w:r>
      <w:r>
        <w:rPr>
          <w:rFonts w:ascii="Times New Roman" w:hAnsi="Times New Roman"/>
          <w:noProof/>
          <w:sz w:val="18"/>
        </w:rPr>
        <w:t>(Propuneri de politici pentru consolidarea rezilienței FPM), octombrie</w:t>
      </w:r>
      <w:r w:rsidR="004F4310">
        <w:rPr>
          <w:rFonts w:ascii="Times New Roman" w:hAnsi="Times New Roman"/>
          <w:noProof/>
          <w:sz w:val="18"/>
        </w:rPr>
        <w:t> </w:t>
      </w:r>
      <w:r w:rsidRPr="004F4310">
        <w:rPr>
          <w:rFonts w:ascii="Times New Roman" w:hAnsi="Times New Roman"/>
          <w:noProof/>
          <w:sz w:val="18"/>
        </w:rPr>
        <w:t>2021</w:t>
      </w:r>
    </w:p>
    <w:p w14:paraId="369B78CF" w14:textId="77777777" w:rsidR="00646715" w:rsidRPr="00C82DFF" w:rsidRDefault="00646715" w:rsidP="0034552B">
      <w:pPr>
        <w:spacing w:after="0" w:line="240" w:lineRule="auto"/>
        <w:jc w:val="both"/>
        <w:rPr>
          <w:rFonts w:ascii="Times New Roman" w:eastAsia="Times New Roman" w:hAnsi="Times New Roman" w:cs="Times New Roman"/>
          <w:noProof/>
        </w:rPr>
      </w:pPr>
    </w:p>
    <w:p w14:paraId="38A30263" w14:textId="1F071F8A" w:rsidR="00727B19" w:rsidRPr="00C82DFF" w:rsidRDefault="00727B19" w:rsidP="001E656F">
      <w:pPr>
        <w:pStyle w:val="Heading3"/>
        <w:ind w:left="1276"/>
        <w:rPr>
          <w:rFonts w:ascii="Times New Roman" w:hAnsi="Times New Roman" w:cs="Times New Roman"/>
          <w:b/>
          <w:noProof/>
          <w:color w:val="auto"/>
          <w:sz w:val="22"/>
          <w:szCs w:val="22"/>
        </w:rPr>
      </w:pPr>
      <w:bookmarkStart w:id="32" w:name="_Toc227935557"/>
      <w:r>
        <w:rPr>
          <w:rFonts w:ascii="Times New Roman" w:hAnsi="Times New Roman"/>
          <w:b/>
          <w:noProof/>
          <w:color w:val="auto"/>
          <w:sz w:val="22"/>
        </w:rPr>
        <w:t>Efecte și reacții inegale între FPM</w:t>
      </w:r>
      <w:bookmarkEnd w:id="32"/>
    </w:p>
    <w:p w14:paraId="5912CC6F" w14:textId="77777777" w:rsidR="001F41EA" w:rsidRPr="00AB43E2" w:rsidRDefault="001F41EA"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Dimensiunea cererilor de răscumpărare și comportamentul investitorilor în condiții normale și de criză variază semnificativ între FPM. Reacțiile și comportamentele sunt determinate de diferiți factori, în principal de baza de investitori, de structura acesteia, de modul de utilizare a investițiilor (a se vedea mai jos), de dimensiunea investitorilor principali și de mixul de investitori. Alți factori determinanți sunt tipul de FPM (cu VAN variabilă, cu VAN cu volatilitate scăzută, cu VAN constantă). </w:t>
      </w:r>
    </w:p>
    <w:p w14:paraId="4139983D" w14:textId="50739028" w:rsidR="001F41EA" w:rsidRPr="00AB43E2" w:rsidRDefault="001F41EA" w:rsidP="0034552B">
      <w:pPr>
        <w:spacing w:after="240" w:line="280" w:lineRule="atLeast"/>
        <w:jc w:val="both"/>
        <w:rPr>
          <w:rFonts w:ascii="Times New Roman" w:eastAsia="Times New Roman" w:hAnsi="Times New Roman" w:cs="Times New Roman"/>
          <w:noProof/>
        </w:rPr>
      </w:pPr>
      <w:r>
        <w:rPr>
          <w:rFonts w:ascii="Times New Roman" w:hAnsi="Times New Roman"/>
          <w:noProof/>
        </w:rPr>
        <w:t>Deși clasificarea fondurilor și moneda sunt, în mod evident, factori determinanți majori, chiar și categorii foarte similare s-au confruntat cu șocuri foarte diferite în timpul și după perioada crizei provocate de pandemia de COVID-</w:t>
      </w:r>
      <w:r w:rsidRPr="004F4310">
        <w:rPr>
          <w:rFonts w:ascii="Times New Roman" w:hAnsi="Times New Roman"/>
          <w:noProof/>
        </w:rPr>
        <w:t>19</w:t>
      </w:r>
      <w:r>
        <w:rPr>
          <w:rFonts w:ascii="Times New Roman" w:hAnsi="Times New Roman"/>
          <w:noProof/>
        </w:rPr>
        <w:t xml:space="preserve">. Aceste diferențe sunt ilustrate în graficul </w:t>
      </w:r>
      <w:r w:rsidRPr="004F4310">
        <w:rPr>
          <w:rFonts w:ascii="Times New Roman" w:hAnsi="Times New Roman"/>
          <w:noProof/>
        </w:rPr>
        <w:t>3</w:t>
      </w:r>
      <w:r>
        <w:rPr>
          <w:rFonts w:ascii="Times New Roman" w:hAnsi="Times New Roman"/>
          <w:noProof/>
        </w:rPr>
        <w:t>.</w:t>
      </w:r>
    </w:p>
    <w:p w14:paraId="6B6D12E5" w14:textId="77777777" w:rsidR="0034552B" w:rsidRDefault="11070FE3"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Graficele </w:t>
      </w:r>
      <w:r w:rsidRPr="004F4310">
        <w:rPr>
          <w:rFonts w:ascii="Times New Roman" w:hAnsi="Times New Roman"/>
          <w:noProof/>
        </w:rPr>
        <w:t>2</w:t>
      </w:r>
      <w:r>
        <w:rPr>
          <w:rFonts w:ascii="Times New Roman" w:hAnsi="Times New Roman"/>
          <w:noProof/>
        </w:rPr>
        <w:t xml:space="preserve"> și </w:t>
      </w:r>
      <w:r w:rsidRPr="004F4310">
        <w:rPr>
          <w:rFonts w:ascii="Times New Roman" w:hAnsi="Times New Roman"/>
          <w:noProof/>
        </w:rPr>
        <w:t>3</w:t>
      </w:r>
      <w:r>
        <w:rPr>
          <w:rFonts w:ascii="Times New Roman" w:hAnsi="Times New Roman"/>
          <w:noProof/>
        </w:rPr>
        <w:t xml:space="preserve"> arată că, în ansamblu, FPM cu VAN cu volatilitate scăzută denominate în USD s-au confruntat cu un șoc de răscumpărare semnificativ la începutul pandemiei de COVID-</w:t>
      </w:r>
      <w:r w:rsidRPr="004F4310">
        <w:rPr>
          <w:rFonts w:ascii="Times New Roman" w:hAnsi="Times New Roman"/>
          <w:noProof/>
        </w:rPr>
        <w:t>19</w:t>
      </w:r>
      <w:r>
        <w:rPr>
          <w:rFonts w:ascii="Times New Roman" w:hAnsi="Times New Roman"/>
          <w:noProof/>
        </w:rPr>
        <w:t xml:space="preserve">. Cu toate acestea, impactul a fost foarte inegal între fonduri. Mai puțin de </w:t>
      </w:r>
      <w:r w:rsidRPr="004F4310">
        <w:rPr>
          <w:rFonts w:ascii="Times New Roman" w:hAnsi="Times New Roman"/>
          <w:noProof/>
        </w:rPr>
        <w:t>6</w:t>
      </w:r>
      <w:r>
        <w:rPr>
          <w:rFonts w:ascii="Times New Roman" w:hAnsi="Times New Roman"/>
          <w:noProof/>
        </w:rPr>
        <w:t xml:space="preserve"> % din FPM cu VAN cu volatilitate scăzută au înregistrat ieșiri cumulate care depășesc </w:t>
      </w:r>
      <w:r w:rsidRPr="004F4310">
        <w:rPr>
          <w:rFonts w:ascii="Times New Roman" w:hAnsi="Times New Roman"/>
          <w:noProof/>
        </w:rPr>
        <w:t>30</w:t>
      </w:r>
      <w:r>
        <w:rPr>
          <w:rFonts w:ascii="Times New Roman" w:hAnsi="Times New Roman"/>
          <w:noProof/>
        </w:rPr>
        <w:t> % din VAN.</w:t>
      </w:r>
    </w:p>
    <w:p w14:paraId="423B6F68" w14:textId="1F1C1EDC" w:rsidR="00727B19" w:rsidRPr="00C82DFF" w:rsidRDefault="00727B19" w:rsidP="0034552B">
      <w:pPr>
        <w:spacing w:after="240" w:line="280" w:lineRule="atLeast"/>
        <w:jc w:val="both"/>
        <w:rPr>
          <w:rFonts w:ascii="Times New Roman" w:eastAsia="Times New Roman" w:hAnsi="Times New Roman" w:cs="Times New Roman"/>
          <w:noProof/>
        </w:rPr>
      </w:pPr>
      <w:r>
        <w:rPr>
          <w:rFonts w:ascii="Times New Roman" w:hAnsi="Times New Roman"/>
          <w:noProof/>
        </w:rPr>
        <w:t>Unul dintre motivele acestei eterogenități este reprezentat de modul de utilizare a investițiilor de către investitori</w:t>
      </w:r>
      <w:r>
        <w:rPr>
          <w:rFonts w:ascii="Times New Roman" w:hAnsi="Times New Roman"/>
          <w:b/>
          <w:noProof/>
        </w:rPr>
        <w:t>.</w:t>
      </w:r>
      <w:r>
        <w:rPr>
          <w:rFonts w:ascii="Times New Roman" w:hAnsi="Times New Roman"/>
          <w:noProof/>
        </w:rPr>
        <w:t xml:space="preserve"> Trei exemple „extreme” stilizate ilustrează modul în care același FPM poate înregistra modele de răscumpărare foarte diferite, în funcție de baza de investitori și de comportamentul acestora în diferite situații de piață.</w:t>
      </w:r>
    </w:p>
    <w:p w14:paraId="7D2DB355" w14:textId="266A1CFA" w:rsidR="00727B19" w:rsidRPr="00C82DFF" w:rsidRDefault="6D19FE83"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Utilizarea FPM ca vehicul de gestionare a numerarului / „plăți” (ciclu previzibil):</w:t>
      </w:r>
      <w:r>
        <w:rPr>
          <w:rFonts w:ascii="Times New Roman" w:hAnsi="Times New Roman"/>
          <w:noProof/>
        </w:rPr>
        <w:t xml:space="preserve"> Unii investitori instituționali utilizează FPM cu VAN variabilă ca </w:t>
      </w:r>
      <w:r>
        <w:rPr>
          <w:rFonts w:ascii="Times New Roman" w:hAnsi="Times New Roman"/>
          <w:b/>
          <w:noProof/>
        </w:rPr>
        <w:t>rezerve de numerar pentru operațiuni curente</w:t>
      </w:r>
      <w:r>
        <w:rPr>
          <w:rFonts w:ascii="Times New Roman" w:hAnsi="Times New Roman"/>
          <w:noProof/>
        </w:rPr>
        <w:t xml:space="preserve">; de exemplu, numerarul este investit pe măsură ce contribuțiile/primele sunt colectate și apoi este retras într-un </w:t>
      </w:r>
      <w:r>
        <w:rPr>
          <w:rFonts w:ascii="Times New Roman" w:hAnsi="Times New Roman"/>
          <w:b/>
          <w:noProof/>
        </w:rPr>
        <w:t>ritm previzibil</w:t>
      </w:r>
      <w:r>
        <w:rPr>
          <w:rFonts w:ascii="Times New Roman" w:hAnsi="Times New Roman"/>
          <w:noProof/>
        </w:rPr>
        <w:t xml:space="preserve"> (de exemplu, în jurul ciclurilor de plată a pensiilor). În această situație, ieșirile sunt adesea </w:t>
      </w:r>
      <w:r>
        <w:rPr>
          <w:rFonts w:ascii="Times New Roman" w:hAnsi="Times New Roman"/>
          <w:b/>
          <w:noProof/>
        </w:rPr>
        <w:t>programate și pot fi previzionate</w:t>
      </w:r>
      <w:r>
        <w:rPr>
          <w:rFonts w:ascii="Times New Roman" w:hAnsi="Times New Roman"/>
          <w:noProof/>
        </w:rPr>
        <w:t xml:space="preserve">, astfel încât orice scădere a lichidității reprezintă mai degrabă o fluctuație planificată decât un episod de retrageri masive. Exemple similare sunt sistemele de pensii care au intrări regulate (contribuții) și ieșiri periodice (plăți de beneficii), care generează modele previzibile ale fluxurilor de numerar. </w:t>
      </w:r>
    </w:p>
    <w:p w14:paraId="5D45B9D1" w14:textId="7974A34D" w:rsidR="00727B19" w:rsidRPr="00C82DFF" w:rsidRDefault="6D19FE83"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Utilizarea FPM ca vehicul de lichiditate pentru garanții / marje (model cu caracter potențial abrupt):</w:t>
      </w:r>
      <w:r>
        <w:rPr>
          <w:rFonts w:ascii="Times New Roman" w:hAnsi="Times New Roman"/>
          <w:noProof/>
        </w:rPr>
        <w:t xml:space="preserve"> Atunci când FPM sunt utilizate ca </w:t>
      </w:r>
      <w:r>
        <w:rPr>
          <w:rFonts w:ascii="Times New Roman" w:hAnsi="Times New Roman"/>
          <w:b/>
          <w:noProof/>
        </w:rPr>
        <w:t>rezerve de lichiditate pentru constituirea de garanții</w:t>
      </w:r>
      <w:r>
        <w:rPr>
          <w:rFonts w:ascii="Times New Roman" w:hAnsi="Times New Roman"/>
          <w:noProof/>
        </w:rPr>
        <w:t xml:space="preserve"> (direct sau indirect) în cazul instrumentelor financiare derivate, al tranzacțiilor repo sau al nevoilor de marjă aferente strategiilor de investiții bazate pe pasive, factorul declanșator al răscumpărărilor poate fi reprezentat de </w:t>
      </w:r>
      <w:r>
        <w:rPr>
          <w:rFonts w:ascii="Times New Roman" w:hAnsi="Times New Roman"/>
          <w:b/>
          <w:noProof/>
        </w:rPr>
        <w:t>evoluțiile pieței și de apelurile în marjă aferente</w:t>
      </w:r>
      <w:r>
        <w:rPr>
          <w:rFonts w:ascii="Times New Roman" w:hAnsi="Times New Roman"/>
          <w:noProof/>
        </w:rPr>
        <w:t xml:space="preserve">. În cazul fondurilor cu efect de levier care utilizează strategii de investiții bazate pe pasive, necesarul de garanții poate crește rapid atunci când randamentele cresc (reflectând pierderile evaluate la prețul pieței), declanșând o cerere simultană de numerar din partea numeroșilor participanți la piață. În aceste condiții, investitorii pot răscumpăra acțiuni/unități de FPM pentru a face față apelurilor în marjă sau pot utiliza deținerile de FPM în cadrul mecanismelor de gestionare a garanțiilor, generând </w:t>
      </w:r>
      <w:r>
        <w:rPr>
          <w:rFonts w:ascii="Times New Roman" w:hAnsi="Times New Roman"/>
          <w:b/>
          <w:noProof/>
        </w:rPr>
        <w:t>o cerere de lichiditate mai prociclică și mai corelată</w:t>
      </w:r>
      <w:r>
        <w:rPr>
          <w:rFonts w:ascii="Times New Roman" w:hAnsi="Times New Roman"/>
          <w:noProof/>
        </w:rPr>
        <w:t xml:space="preserve"> decât în cazul utilizării acestora exclusiv pentru gestionarea numerarului. </w:t>
      </w:r>
    </w:p>
    <w:p w14:paraId="74B2A4A6" w14:textId="5E232A88" w:rsidR="00445B2C" w:rsidRPr="0034552B" w:rsidRDefault="47A846A0" w:rsidP="0034552B">
      <w:pPr>
        <w:pStyle w:val="ListParagraph"/>
        <w:numPr>
          <w:ilvl w:val="0"/>
          <w:numId w:val="59"/>
        </w:numPr>
        <w:spacing w:before="240" w:after="240" w:line="280" w:lineRule="atLeast"/>
        <w:ind w:left="714" w:hanging="357"/>
        <w:jc w:val="both"/>
        <w:rPr>
          <w:rFonts w:ascii="Times New Roman" w:eastAsia="Times New Roman" w:hAnsi="Times New Roman" w:cs="Times New Roman"/>
          <w:noProof/>
        </w:rPr>
      </w:pPr>
      <w:r>
        <w:rPr>
          <w:rFonts w:ascii="Times New Roman" w:hAnsi="Times New Roman"/>
          <w:b/>
          <w:noProof/>
        </w:rPr>
        <w:t>Utilizarea FPM pentru punerea în comun a numerarului altor fonduri gestionate de același administrator de active al FPM. În acest caz, administratorul are vizibilitate asupra fluxurilor de răscumpărare</w:t>
      </w:r>
      <w:r>
        <w:rPr>
          <w:rFonts w:ascii="Times New Roman" w:hAnsi="Times New Roman"/>
          <w:noProof/>
        </w:rPr>
        <w:t>.</w:t>
      </w:r>
    </w:p>
    <w:p w14:paraId="56F65D2B" w14:textId="76429AC2" w:rsidR="00727B19" w:rsidRPr="00C82DFF" w:rsidRDefault="00727B19" w:rsidP="00906449">
      <w:pPr>
        <w:pStyle w:val="Heading2"/>
        <w:spacing w:before="240" w:after="240"/>
        <w:ind w:left="578" w:hanging="578"/>
        <w:rPr>
          <w:rFonts w:cs="Times New Roman"/>
          <w:noProof/>
          <w:sz w:val="22"/>
          <w:szCs w:val="22"/>
        </w:rPr>
      </w:pPr>
      <w:bookmarkStart w:id="33" w:name="_Toc220346317"/>
      <w:bookmarkStart w:id="34" w:name="_Toc227935558"/>
      <w:r>
        <w:rPr>
          <w:noProof/>
          <w:sz w:val="22"/>
        </w:rPr>
        <w:t xml:space="preserve">Evenimentul de piață legat de </w:t>
      </w:r>
      <w:bookmarkEnd w:id="33"/>
      <w:r>
        <w:rPr>
          <w:noProof/>
          <w:sz w:val="22"/>
        </w:rPr>
        <w:t>strategiile de investiții bazate pe pasive</w:t>
      </w:r>
      <w:bookmarkEnd w:id="34"/>
    </w:p>
    <w:p w14:paraId="5BBF6003" w14:textId="11AAFB46" w:rsidR="00480352" w:rsidRDefault="00D938EE"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 xml:space="preserve">La sfârșitul lunii septembrie </w:t>
      </w:r>
      <w:r w:rsidRPr="004F4310">
        <w:rPr>
          <w:rFonts w:ascii="Times New Roman" w:hAnsi="Times New Roman"/>
          <w:noProof/>
        </w:rPr>
        <w:t>2022</w:t>
      </w:r>
      <w:r>
        <w:rPr>
          <w:rFonts w:ascii="Times New Roman" w:hAnsi="Times New Roman"/>
          <w:noProof/>
        </w:rPr>
        <w:t xml:space="preserve">, s-a observat o creștere puternică a randamentelor obligațiunilor de stat britanice și un nivel ridicat de stres în strategiile de investiții bazate pe pasive utilizate de fondurile de pensii. Aceasta a generat pierderi semnificative evaluate la prețul pieței pentru fondurile care utilizează strategii de investiții bazate pe pasive, care, la rândul lor, au determinat apeluri în marjă de variație. Aceste apeluri în marjă au generat o cerere bruscă și semnificativă de numerar, care s-a propagat către FPM denominate în GBP, chiar dacă FPM nu au fost sursa cererii extreme bruște de lichiditate. Unele FPM au înregistrat ieșiri rapide, în special din partea investitorilor instituționali și au reacționat prin creșterea rezervelor de lichiditate și scurtarea scadențelor portofoliilor. </w:t>
      </w:r>
    </w:p>
    <w:p w14:paraId="22DBB81C" w14:textId="462717FA" w:rsidR="00597A82" w:rsidRPr="00480352" w:rsidRDefault="00480352" w:rsidP="00480352">
      <w:pPr>
        <w:rPr>
          <w:rFonts w:ascii="Times New Roman" w:eastAsia="Times New Roman" w:hAnsi="Times New Roman" w:cs="Times New Roman"/>
          <w:noProof/>
        </w:rPr>
      </w:pPr>
      <w:r>
        <w:rPr>
          <w:noProof/>
        </w:rPr>
        <w:br w:type="page"/>
      </w:r>
    </w:p>
    <w:p w14:paraId="57D335B2" w14:textId="1FD3FE9E" w:rsidR="003F4B66" w:rsidRDefault="007B0281" w:rsidP="003F4B66">
      <w:pPr>
        <w:spacing w:before="240" w:after="240"/>
        <w:rPr>
          <w:rFonts w:ascii="Times New Roman" w:eastAsia="Times New Roman" w:hAnsi="Times New Roman" w:cs="Times New Roman"/>
          <w:b/>
          <w:noProof/>
        </w:rPr>
      </w:pPr>
      <w:r>
        <w:rPr>
          <w:rFonts w:ascii="Times New Roman" w:hAnsi="Times New Roman"/>
          <w:b/>
          <w:noProof/>
        </w:rPr>
        <w:t>Graficul II.</w:t>
      </w:r>
      <w:r w:rsidRPr="004F4310">
        <w:rPr>
          <w:rFonts w:ascii="Times New Roman" w:hAnsi="Times New Roman"/>
          <w:b/>
          <w:noProof/>
        </w:rPr>
        <w:t>2</w:t>
      </w:r>
      <w:r>
        <w:rPr>
          <w:rFonts w:ascii="Times New Roman" w:hAnsi="Times New Roman"/>
          <w:b/>
          <w:noProof/>
        </w:rPr>
        <w:t>: Impactul crizei legate de strategiile de investiții bazate pe pasive asupra fluxurilor FPM</w:t>
      </w:r>
    </w:p>
    <w:p w14:paraId="5CBFC900" w14:textId="1FBF7E0A" w:rsidR="00727B19" w:rsidRPr="00C82DFF" w:rsidRDefault="00A37C3C" w:rsidP="0034552B">
      <w:pPr>
        <w:spacing w:before="240" w:after="240"/>
        <w:jc w:val="center"/>
        <w:rPr>
          <w:rFonts w:ascii="Times New Roman" w:eastAsia="Times New Roman" w:hAnsi="Times New Roman" w:cs="Times New Roman"/>
          <w:noProof/>
        </w:rPr>
      </w:pPr>
      <w:r>
        <w:rPr>
          <w:noProof/>
          <w:lang w:val="en-GB" w:eastAsia="en-GB"/>
        </w:rPr>
        <w:drawing>
          <wp:inline distT="0" distB="0" distL="0" distR="0" wp14:anchorId="4C751F9C" wp14:editId="0AD9EB20">
            <wp:extent cx="5774827" cy="3752491"/>
            <wp:effectExtent l="0" t="0" r="0" b="635"/>
            <wp:docPr id="1774966910" name="Picture 1" descr="Un grafic cu linii de culori diferit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66910" name="Picture 1" descr="A graph of different colored lines&#10;&#10;AI-generated content may be incorrect."/>
                    <pic:cNvPicPr/>
                  </pic:nvPicPr>
                  <pic:blipFill>
                    <a:blip r:embed="rId47"/>
                    <a:stretch>
                      <a:fillRect/>
                    </a:stretch>
                  </pic:blipFill>
                  <pic:spPr>
                    <a:xfrm>
                      <a:off x="0" y="0"/>
                      <a:ext cx="5825105" cy="3785161"/>
                    </a:xfrm>
                    <a:prstGeom prst="rect">
                      <a:avLst/>
                    </a:prstGeom>
                  </pic:spPr>
                </pic:pic>
              </a:graphicData>
            </a:graphic>
          </wp:inline>
        </w:drawing>
      </w:r>
    </w:p>
    <w:p w14:paraId="448EEEF3" w14:textId="4121290E" w:rsidR="00727B19" w:rsidRPr="00254822" w:rsidRDefault="00727B19" w:rsidP="00A63B3C">
      <w:pPr>
        <w:spacing w:after="0" w:line="240" w:lineRule="auto"/>
        <w:ind w:left="720" w:firstLine="992"/>
        <w:rPr>
          <w:rFonts w:ascii="Times New Roman" w:eastAsia="Times New Roman" w:hAnsi="Times New Roman" w:cs="Times New Roman"/>
          <w:noProof/>
          <w:sz w:val="20"/>
          <w:szCs w:val="20"/>
        </w:rPr>
      </w:pPr>
      <w:r>
        <w:rPr>
          <w:rFonts w:ascii="Times New Roman" w:hAnsi="Times New Roman"/>
          <w:noProof/>
          <w:sz w:val="20"/>
        </w:rPr>
        <w:t xml:space="preserve">Surse: Crane Data și autoritățile naționale competente (ANC), FPM cu VAN mai mare de </w:t>
      </w:r>
      <w:r w:rsidRPr="004F4310">
        <w:rPr>
          <w:rFonts w:ascii="Times New Roman" w:hAnsi="Times New Roman"/>
          <w:noProof/>
          <w:sz w:val="20"/>
        </w:rPr>
        <w:t>100</w:t>
      </w:r>
      <w:r>
        <w:rPr>
          <w:rFonts w:ascii="Times New Roman" w:hAnsi="Times New Roman"/>
          <w:noProof/>
          <w:sz w:val="20"/>
        </w:rPr>
        <w:t xml:space="preserve"> de milioane EUR</w:t>
      </w:r>
    </w:p>
    <w:p w14:paraId="20425F20" w14:textId="794B3C3C" w:rsidR="007B0281" w:rsidRPr="00254822" w:rsidRDefault="004061B8" w:rsidP="00A63B3C">
      <w:pPr>
        <w:spacing w:after="0" w:line="240" w:lineRule="auto"/>
        <w:ind w:left="720" w:firstLine="992"/>
        <w:rPr>
          <w:rFonts w:ascii="Times New Roman" w:eastAsia="Times New Roman" w:hAnsi="Times New Roman" w:cs="Times New Roman"/>
          <w:noProof/>
          <w:sz w:val="20"/>
          <w:szCs w:val="20"/>
        </w:rPr>
      </w:pPr>
      <w:r>
        <w:rPr>
          <w:rFonts w:ascii="Times New Roman" w:hAnsi="Times New Roman"/>
          <w:noProof/>
          <w:sz w:val="20"/>
        </w:rPr>
        <w:t>Notă: Fluxuri nete cumulate pe tip de FPM, exprimate ca procent din VAN</w:t>
      </w:r>
    </w:p>
    <w:p w14:paraId="5467F616" w14:textId="77777777" w:rsidR="005768ED" w:rsidRDefault="005768ED"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Răspunsurile FPM la cererea bruscă de lichiditate a investitorilor în cadrul acestui eveniment de piață legat de strategiile de investiții bazate pe pasive au fost și mai pronunțate decât în timpul pandemiei de COVID-</w:t>
      </w:r>
      <w:r w:rsidRPr="004F4310">
        <w:rPr>
          <w:rFonts w:ascii="Times New Roman" w:hAnsi="Times New Roman"/>
          <w:noProof/>
        </w:rPr>
        <w:t>19</w:t>
      </w:r>
      <w:r>
        <w:rPr>
          <w:rFonts w:ascii="Times New Roman" w:hAnsi="Times New Roman"/>
          <w:noProof/>
        </w:rPr>
        <w:t>. În timp ce unele FPM au înregistrat intrări, altele s-au confruntat, în anumite momente, cu presiuni semnificative de răscumpărare.</w:t>
      </w:r>
      <w:r>
        <w:rPr>
          <w:noProof/>
        </w:rPr>
        <w:t xml:space="preserve"> </w:t>
      </w:r>
      <w:r>
        <w:rPr>
          <w:rFonts w:ascii="Times New Roman" w:hAnsi="Times New Roman"/>
          <w:noProof/>
        </w:rPr>
        <w:t xml:space="preserve">Evenimentul de piață legat de strategiile de investiții bazate pe pasive a avut un impact foarte divers asupra FPM cu VAN cu volatilitate scăzută denominate în GBP, afectând doar un număr redus de fonduri, nu întregul sector. </w:t>
      </w:r>
    </w:p>
    <w:p w14:paraId="04063A01" w14:textId="03C57A34" w:rsidR="00480352" w:rsidRDefault="005768ED" w:rsidP="0034552B">
      <w:pPr>
        <w:spacing w:before="240" w:after="240" w:line="280" w:lineRule="atLeast"/>
        <w:jc w:val="both"/>
        <w:rPr>
          <w:rFonts w:ascii="Times New Roman" w:eastAsia="Times New Roman" w:hAnsi="Times New Roman" w:cs="Times New Roman"/>
          <w:noProof/>
        </w:rPr>
      </w:pPr>
      <w:r>
        <w:rPr>
          <w:rFonts w:ascii="Times New Roman" w:hAnsi="Times New Roman"/>
          <w:noProof/>
        </w:rPr>
        <w:t>Acest impact inegal se reflectă în distribuția ieșirilor: deși fondul median a înregistrat o ieșire săptămânală de –</w:t>
      </w:r>
      <w:r w:rsidRPr="004F4310">
        <w:rPr>
          <w:rFonts w:ascii="Times New Roman" w:hAnsi="Times New Roman"/>
          <w:noProof/>
        </w:rPr>
        <w:t>9</w:t>
      </w:r>
      <w:r>
        <w:rPr>
          <w:rFonts w:ascii="Times New Roman" w:hAnsi="Times New Roman"/>
          <w:noProof/>
        </w:rPr>
        <w:t> % (–</w:t>
      </w:r>
      <w:r w:rsidRPr="004F4310">
        <w:rPr>
          <w:rFonts w:ascii="Times New Roman" w:hAnsi="Times New Roman"/>
          <w:noProof/>
        </w:rPr>
        <w:t>10</w:t>
      </w:r>
      <w:r>
        <w:rPr>
          <w:rFonts w:ascii="Times New Roman" w:hAnsi="Times New Roman"/>
          <w:noProof/>
        </w:rPr>
        <w:t xml:space="preserve"> % cumulativ), coada inferioară a distribuției s-a confruntat cu un nivel mai ridicat de stres, percentila </w:t>
      </w:r>
      <w:r w:rsidRPr="004F4310">
        <w:rPr>
          <w:rFonts w:ascii="Times New Roman" w:hAnsi="Times New Roman"/>
          <w:noProof/>
        </w:rPr>
        <w:t>10</w:t>
      </w:r>
      <w:r>
        <w:rPr>
          <w:rFonts w:ascii="Times New Roman" w:hAnsi="Times New Roman"/>
          <w:noProof/>
        </w:rPr>
        <w:t xml:space="preserve"> înregistrând ieșiri săptămânale de –</w:t>
      </w:r>
      <w:r w:rsidRPr="004F4310">
        <w:rPr>
          <w:rFonts w:ascii="Times New Roman" w:hAnsi="Times New Roman"/>
          <w:noProof/>
        </w:rPr>
        <w:t>21</w:t>
      </w:r>
      <w:r>
        <w:rPr>
          <w:rFonts w:ascii="Times New Roman" w:hAnsi="Times New Roman"/>
          <w:noProof/>
        </w:rPr>
        <w:t xml:space="preserve"> %, iar cele mai afectate </w:t>
      </w:r>
      <w:r w:rsidRPr="004F4310">
        <w:rPr>
          <w:rFonts w:ascii="Times New Roman" w:hAnsi="Times New Roman"/>
          <w:noProof/>
        </w:rPr>
        <w:t>1</w:t>
      </w:r>
      <w:r>
        <w:rPr>
          <w:rFonts w:ascii="Times New Roman" w:hAnsi="Times New Roman"/>
          <w:noProof/>
        </w:rPr>
        <w:t> % din fonduri pierzând aproape –</w:t>
      </w:r>
      <w:r w:rsidRPr="004F4310">
        <w:rPr>
          <w:rFonts w:ascii="Times New Roman" w:hAnsi="Times New Roman"/>
          <w:noProof/>
        </w:rPr>
        <w:t>37</w:t>
      </w:r>
      <w:r>
        <w:rPr>
          <w:rFonts w:ascii="Times New Roman" w:hAnsi="Times New Roman"/>
          <w:noProof/>
        </w:rPr>
        <w:t> % într-o singură săptămână (–</w:t>
      </w:r>
      <w:r w:rsidRPr="004F4310">
        <w:rPr>
          <w:rFonts w:ascii="Times New Roman" w:hAnsi="Times New Roman"/>
          <w:noProof/>
        </w:rPr>
        <w:t>42</w:t>
      </w:r>
      <w:r>
        <w:rPr>
          <w:rFonts w:ascii="Times New Roman" w:hAnsi="Times New Roman"/>
          <w:noProof/>
        </w:rPr>
        <w:t> % cumulativ). Această asimetrie pronunțată indică faptul că stresul s-a concentrat în fondurile utilizate intens de strategiile de investiții bazate pe pasive drept rezerve de lichiditate pentru a face față apelurilor în marjă și constituirii de garanții. În schimb, FPM cu VAN cu volatilitate scăzută denominate în GBP care au servit scopuri mai largi de gestionare a numerarului, având baze de investitori mai diversificate și o legătură mai puțin directă cu transformarea garanțiilor sau cu activitatea repo pe titluri de stat britanice, au înregistrat intrări în aceeași perioadă.</w:t>
      </w:r>
    </w:p>
    <w:p w14:paraId="23CAFD55" w14:textId="41824D4A" w:rsidR="003F4B66" w:rsidRPr="00480352" w:rsidRDefault="00480352" w:rsidP="00480352">
      <w:pPr>
        <w:rPr>
          <w:rFonts w:ascii="Times New Roman" w:eastAsia="Times New Roman" w:hAnsi="Times New Roman" w:cs="Times New Roman"/>
          <w:noProof/>
        </w:rPr>
      </w:pPr>
      <w:r>
        <w:rPr>
          <w:noProof/>
        </w:rPr>
        <w:br w:type="page"/>
      </w:r>
    </w:p>
    <w:p w14:paraId="37122D2D" w14:textId="06A85D0C" w:rsidR="00727B19" w:rsidRDefault="00237C9C" w:rsidP="00EE4572">
      <w:pPr>
        <w:spacing w:before="240" w:after="240"/>
        <w:rPr>
          <w:rFonts w:ascii="Times New Roman" w:eastAsia="Times New Roman" w:hAnsi="Times New Roman" w:cs="Times New Roman"/>
          <w:b/>
          <w:noProof/>
        </w:rPr>
      </w:pPr>
      <w:r>
        <w:rPr>
          <w:rFonts w:ascii="Times New Roman" w:hAnsi="Times New Roman"/>
          <w:b/>
          <w:noProof/>
        </w:rPr>
        <w:t>Graficul II.</w:t>
      </w:r>
      <w:r w:rsidRPr="004F4310">
        <w:rPr>
          <w:rFonts w:ascii="Times New Roman" w:hAnsi="Times New Roman"/>
          <w:b/>
          <w:noProof/>
        </w:rPr>
        <w:t>3</w:t>
      </w:r>
      <w:r>
        <w:rPr>
          <w:rFonts w:ascii="Times New Roman" w:hAnsi="Times New Roman"/>
          <w:b/>
          <w:noProof/>
        </w:rPr>
        <w:t>: Tendințe ale VAN pentru FPM cu VAN cu volatilitate scăzută denominate în GBP în timpul evenimentului de piață legat de strategiile de investiții bazate pe pasive</w:t>
      </w:r>
    </w:p>
    <w:p w14:paraId="752A3DD4" w14:textId="77777777" w:rsidR="003F4B66" w:rsidRPr="00C82DFF" w:rsidRDefault="003F4B66" w:rsidP="00EE4572">
      <w:pPr>
        <w:spacing w:before="240" w:after="240"/>
        <w:rPr>
          <w:rFonts w:ascii="Times New Roman" w:eastAsia="Times New Roman" w:hAnsi="Times New Roman" w:cs="Times New Roman"/>
          <w:noProof/>
        </w:rPr>
      </w:pPr>
    </w:p>
    <w:p w14:paraId="4F5BE965" w14:textId="222F1A67" w:rsidR="00727B19" w:rsidRPr="00C82DFF" w:rsidRDefault="000300E7" w:rsidP="00727B19">
      <w:pPr>
        <w:spacing w:before="240" w:after="240"/>
        <w:jc w:val="center"/>
        <w:rPr>
          <w:rFonts w:ascii="Times New Roman" w:eastAsia="Times New Roman" w:hAnsi="Times New Roman" w:cs="Times New Roman"/>
          <w:b/>
          <w:noProof/>
        </w:rPr>
      </w:pPr>
      <w:r>
        <w:rPr>
          <w:rFonts w:ascii="Times New Roman" w:hAnsi="Times New Roman"/>
          <w:b/>
          <w:noProof/>
          <w:lang w:val="en-GB" w:eastAsia="en-GB"/>
        </w:rPr>
        <w:drawing>
          <wp:inline distT="0" distB="0" distL="0" distR="0" wp14:anchorId="0414B69E" wp14:editId="344DC49B">
            <wp:extent cx="4589333" cy="2967487"/>
            <wp:effectExtent l="0" t="0" r="1905" b="4445"/>
            <wp:docPr id="267443302" name="Picture 1" descr="Un grafic cu linii de culori diferite&#10;&#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43302" name="Picture 1" descr="A graph of different colored lines&#10;&#10;AI-generated content may be incorrect."/>
                    <pic:cNvPicPr/>
                  </pic:nvPicPr>
                  <pic:blipFill>
                    <a:blip r:embed="rId48"/>
                    <a:stretch>
                      <a:fillRect/>
                    </a:stretch>
                  </pic:blipFill>
                  <pic:spPr>
                    <a:xfrm>
                      <a:off x="0" y="0"/>
                      <a:ext cx="4636372" cy="2997902"/>
                    </a:xfrm>
                    <a:prstGeom prst="rect">
                      <a:avLst/>
                    </a:prstGeom>
                  </pic:spPr>
                </pic:pic>
              </a:graphicData>
            </a:graphic>
          </wp:inline>
        </w:drawing>
      </w:r>
    </w:p>
    <w:p w14:paraId="58F2D772" w14:textId="77777777" w:rsidR="003B3500" w:rsidRPr="003B3500" w:rsidRDefault="003B3500" w:rsidP="00C82F95">
      <w:pPr>
        <w:spacing w:after="0" w:line="240" w:lineRule="auto"/>
        <w:ind w:left="720"/>
        <w:jc w:val="both"/>
        <w:rPr>
          <w:rFonts w:ascii="Times New Roman" w:eastAsia="Times New Roman" w:hAnsi="Times New Roman" w:cs="Times New Roman"/>
          <w:noProof/>
          <w:sz w:val="18"/>
          <w:szCs w:val="18"/>
        </w:rPr>
      </w:pPr>
      <w:r>
        <w:rPr>
          <w:rFonts w:ascii="Times New Roman" w:hAnsi="Times New Roman"/>
          <w:noProof/>
          <w:sz w:val="18"/>
        </w:rPr>
        <w:t>Surse: Crane Data și autoritățile naționale competente (ANC).</w:t>
      </w:r>
    </w:p>
    <w:p w14:paraId="39341536" w14:textId="2BD60810" w:rsidR="006636B3" w:rsidRDefault="006636B3" w:rsidP="00C82F95">
      <w:pPr>
        <w:spacing w:after="0"/>
        <w:ind w:left="720"/>
        <w:jc w:val="both"/>
        <w:rPr>
          <w:rFonts w:ascii="Times New Roman" w:eastAsia="Times New Roman" w:hAnsi="Times New Roman" w:cs="Times New Roman"/>
          <w:noProof/>
          <w:sz w:val="18"/>
          <w:szCs w:val="18"/>
        </w:rPr>
      </w:pPr>
      <w:r>
        <w:rPr>
          <w:rFonts w:ascii="Times New Roman" w:hAnsi="Times New Roman"/>
          <w:noProof/>
          <w:sz w:val="18"/>
        </w:rPr>
        <w:t xml:space="preserve">Notă: Fiecare linie reprezintă fluxurile nete cumulate, exprimate ca procent din VAN (axa y), ale unui FPM cu VAN cu volatilitate scăzută denominat în GBP, cu o VAN mai mare de </w:t>
      </w:r>
      <w:r w:rsidRPr="004F4310">
        <w:rPr>
          <w:rFonts w:ascii="Times New Roman" w:hAnsi="Times New Roman"/>
          <w:noProof/>
          <w:sz w:val="18"/>
        </w:rPr>
        <w:t>1</w:t>
      </w:r>
      <w:r>
        <w:rPr>
          <w:rFonts w:ascii="Times New Roman" w:hAnsi="Times New Roman"/>
          <w:noProof/>
          <w:sz w:val="18"/>
        </w:rPr>
        <w:t> miliard EUR. Valorile pozitive indică subscrieri nete, iar valorile negative indică răscumpărări nete. Aceste exemple arată că, deși FPM cu VAN cu volatilitate scăzută denominate în GBP au înregistrat răscumpărări semnificative în perioada evenimentului de piață legat de criza strategiilor de investiții bazate pe pasive, impactul a fost inegal în cadrul acestui tip de FPM.</w:t>
      </w:r>
    </w:p>
    <w:p w14:paraId="77401916" w14:textId="2E892658" w:rsidR="003B3500" w:rsidRPr="003B3500" w:rsidRDefault="003B3500" w:rsidP="000300E7">
      <w:pPr>
        <w:spacing w:after="0"/>
        <w:ind w:left="992"/>
        <w:rPr>
          <w:rFonts w:ascii="Times New Roman" w:eastAsia="Times New Roman" w:hAnsi="Times New Roman" w:cs="Times New Roman"/>
          <w:noProof/>
          <w:sz w:val="18"/>
          <w:szCs w:val="18"/>
        </w:rPr>
      </w:pPr>
    </w:p>
    <w:p w14:paraId="72A8DA89" w14:textId="77777777" w:rsidR="00E52F99" w:rsidRPr="00C82DFF" w:rsidRDefault="00E52F99" w:rsidP="00E52F99">
      <w:pPr>
        <w:spacing w:after="240" w:line="240" w:lineRule="auto"/>
        <w:jc w:val="both"/>
        <w:rPr>
          <w:rFonts w:ascii="Times New Roman" w:hAnsi="Times New Roman" w:cs="Times New Roman"/>
          <w:noProof/>
        </w:rPr>
      </w:pPr>
    </w:p>
    <w:p w14:paraId="078BB08B" w14:textId="1703FC3B" w:rsidR="00D26E63" w:rsidRPr="00C82DFF" w:rsidRDefault="00D26E63">
      <w:pPr>
        <w:rPr>
          <w:rFonts w:ascii="Times New Roman" w:hAnsi="Times New Roman" w:cs="Times New Roman"/>
          <w:noProof/>
        </w:rPr>
      </w:pPr>
      <w:r>
        <w:rPr>
          <w:noProof/>
        </w:rPr>
        <w:br w:type="page"/>
      </w:r>
    </w:p>
    <w:p w14:paraId="206CE1C9" w14:textId="3870924D" w:rsidR="00805C07" w:rsidRPr="00C82DFF" w:rsidRDefault="0026483F" w:rsidP="00906449">
      <w:pPr>
        <w:pStyle w:val="Heading1"/>
        <w:spacing w:before="360" w:after="360"/>
        <w:ind w:left="431" w:hanging="431"/>
        <w:jc w:val="both"/>
        <w:rPr>
          <w:rFonts w:ascii="Times New Roman" w:hAnsi="Times New Roman" w:cs="Times New Roman"/>
          <w:b/>
          <w:bCs/>
          <w:noProof/>
          <w:sz w:val="22"/>
          <w:szCs w:val="22"/>
        </w:rPr>
      </w:pPr>
      <w:bookmarkStart w:id="35" w:name="_Toc227935559"/>
      <w:r>
        <w:rPr>
          <w:rFonts w:ascii="Times New Roman" w:hAnsi="Times New Roman"/>
          <w:b/>
          <w:noProof/>
          <w:sz w:val="22"/>
        </w:rPr>
        <w:t>ANEXA III: NIVELURILE DE REZILIENȚĂ A PIEȚEI</w:t>
      </w:r>
      <w:bookmarkEnd w:id="35"/>
    </w:p>
    <w:p w14:paraId="25E1B391" w14:textId="7526CCB7" w:rsidR="002856B5" w:rsidRPr="00C82DFF" w:rsidRDefault="002856B5" w:rsidP="00906449">
      <w:pPr>
        <w:pStyle w:val="Heading2"/>
        <w:spacing w:before="240" w:after="240"/>
        <w:ind w:left="578" w:hanging="578"/>
        <w:rPr>
          <w:rFonts w:cs="Times New Roman"/>
          <w:noProof/>
          <w:sz w:val="22"/>
          <w:szCs w:val="22"/>
        </w:rPr>
      </w:pPr>
      <w:bookmarkStart w:id="36" w:name="_Toc220346321"/>
      <w:bookmarkStart w:id="37" w:name="_Toc227935560"/>
      <w:r>
        <w:rPr>
          <w:noProof/>
          <w:sz w:val="22"/>
        </w:rPr>
        <w:t>Calibrarea șocurilor de răscumpărare</w:t>
      </w:r>
      <w:bookmarkEnd w:id="36"/>
      <w:bookmarkEnd w:id="37"/>
    </w:p>
    <w:p w14:paraId="5EB28AE1" w14:textId="77777777"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La evaluarea șocurilor de răscumpărare, au fost testate mai multe modele utilizând diferite surse de date (Crane Data, ANC, Morningstar) și abordări metodologice, cu un accent deosebit pe soluționarea problemelor legate de calitatea datelor și pe asigurarea robusteții. </w:t>
      </w:r>
    </w:p>
    <w:p w14:paraId="0286C557" w14:textId="1506F417"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 xml:space="preserve">Prima percentilă a răscumpărărilor (în % din VAN) a fost selectată în cele din urmă, întrucât surprinde condiții de criză severe, dar plauzibile, limitând în același timp influența potențialelor erori de date sau a valorilor aberante. </w:t>
      </w:r>
    </w:p>
    <w:p w14:paraId="074D47CB" w14:textId="5A6AD5AE" w:rsidR="002856B5" w:rsidRPr="00C82DFF" w:rsidRDefault="002856B5" w:rsidP="0034552B">
      <w:pPr>
        <w:spacing w:after="240" w:line="280" w:lineRule="atLeast"/>
        <w:jc w:val="both"/>
        <w:rPr>
          <w:rFonts w:ascii="Times New Roman" w:eastAsia="Times New Roman" w:hAnsi="Times New Roman" w:cs="Times New Roman"/>
          <w:noProof/>
        </w:rPr>
      </w:pPr>
      <w:r>
        <w:rPr>
          <w:rFonts w:ascii="Times New Roman" w:hAnsi="Times New Roman"/>
          <w:noProof/>
        </w:rPr>
        <w:t>Această percentilă este calibrată pe baza evenimentului de piață legat de pandemia de COVID-</w:t>
      </w:r>
      <w:r w:rsidRPr="004F4310">
        <w:rPr>
          <w:rFonts w:ascii="Times New Roman" w:hAnsi="Times New Roman"/>
          <w:noProof/>
        </w:rPr>
        <w:t>19</w:t>
      </w:r>
      <w:r>
        <w:rPr>
          <w:rFonts w:ascii="Times New Roman" w:hAnsi="Times New Roman"/>
          <w:noProof/>
        </w:rPr>
        <w:t xml:space="preserve"> și reflectă, prin urmare, un scenariu extrem de nefavorabil. Trebuie remarcat faptul că astfel de scenarii pot să nu fie realiste pentru multe FPM care beneficiază de o bază previzibilă de investitori. Totuși, această abordare conservatoare este considerată adecvată în contextul potențialelor riscuri de contagiune, în special de contagiune reputațională.</w:t>
      </w:r>
    </w:p>
    <w:p w14:paraId="3AC7D82B" w14:textId="3CA1F1F8" w:rsidR="002856B5" w:rsidRPr="00C82DFF" w:rsidRDefault="002856B5" w:rsidP="0034552B">
      <w:pPr>
        <w:spacing w:after="240" w:line="280" w:lineRule="atLeast"/>
        <w:jc w:val="both"/>
        <w:rPr>
          <w:rFonts w:ascii="Times New Roman" w:hAnsi="Times New Roman" w:cs="Times New Roman"/>
          <w:noProof/>
        </w:rPr>
      </w:pPr>
      <w:r>
        <w:rPr>
          <w:rFonts w:ascii="Times New Roman" w:hAnsi="Times New Roman"/>
          <w:noProof/>
        </w:rPr>
        <w:t>Relevanța contagiunii poate fi evaluată, de asemenea, în contextul practicilor de cunoaștere a clientelei și al faptului că FPM fac obiectul unor cerințe de reglementare privind prezentarea periodică de informații către investitori. În plus, mulți investitori solicită informații mai frecvente și mai detaliate, ceea ce poate contribui suplimentar la atenuarea riscurilor de contagiune.</w:t>
      </w:r>
    </w:p>
    <w:p w14:paraId="1FBCB48B" w14:textId="0FE9413B" w:rsidR="002856B5" w:rsidRPr="00C82DFF" w:rsidRDefault="002856B5" w:rsidP="002856B5">
      <w:pPr>
        <w:spacing w:after="240" w:line="240" w:lineRule="auto"/>
        <w:jc w:val="both"/>
        <w:rPr>
          <w:rFonts w:ascii="Times New Roman" w:hAnsi="Times New Roman" w:cs="Times New Roman"/>
          <w:b/>
          <w:bCs/>
          <w:noProof/>
        </w:rPr>
      </w:pPr>
      <w:r>
        <w:rPr>
          <w:rFonts w:ascii="Times New Roman" w:hAnsi="Times New Roman"/>
          <w:b/>
          <w:noProof/>
        </w:rPr>
        <w:t>Tabelul III.</w:t>
      </w:r>
      <w:r w:rsidRPr="004F4310">
        <w:rPr>
          <w:rFonts w:ascii="Times New Roman" w:hAnsi="Times New Roman"/>
          <w:b/>
          <w:noProof/>
        </w:rPr>
        <w:t>1</w:t>
      </w:r>
      <w:r>
        <w:rPr>
          <w:rFonts w:ascii="Times New Roman" w:hAnsi="Times New Roman"/>
          <w:b/>
          <w:noProof/>
        </w:rPr>
        <w:t xml:space="preserve">: Intervalul distribuției scenariului de răscumpărare corespunzător primei percentile, între sursele de date [min. percentila </w:t>
      </w:r>
      <w:r w:rsidRPr="004F4310">
        <w:rPr>
          <w:rFonts w:ascii="Times New Roman" w:hAnsi="Times New Roman"/>
          <w:b/>
          <w:noProof/>
        </w:rPr>
        <w:t>1</w:t>
      </w:r>
      <w:r>
        <w:rPr>
          <w:rFonts w:ascii="Times New Roman" w:hAnsi="Times New Roman"/>
          <w:b/>
          <w:noProof/>
        </w:rPr>
        <w:t xml:space="preserve">, max. percentila </w:t>
      </w:r>
      <w:r w:rsidRPr="004F4310">
        <w:rPr>
          <w:rFonts w:ascii="Times New Roman" w:hAnsi="Times New Roman"/>
          <w:b/>
          <w:noProof/>
        </w:rPr>
        <w:t>1</w:t>
      </w:r>
      <w:r>
        <w:rPr>
          <w:rFonts w:ascii="Times New Roman" w:hAnsi="Times New Roman"/>
          <w:b/>
          <w:noProof/>
        </w:rPr>
        <w:t>]</w:t>
      </w:r>
    </w:p>
    <w:tbl>
      <w:tblPr>
        <w:tblStyle w:val="GridTable5Dark-Accent5"/>
        <w:tblW w:w="9168" w:type="dxa"/>
        <w:tblLook w:val="04A0" w:firstRow="1" w:lastRow="0" w:firstColumn="1" w:lastColumn="0" w:noHBand="0" w:noVBand="1"/>
      </w:tblPr>
      <w:tblGrid>
        <w:gridCol w:w="4652"/>
        <w:gridCol w:w="1432"/>
        <w:gridCol w:w="1542"/>
        <w:gridCol w:w="1542"/>
      </w:tblGrid>
      <w:tr w:rsidR="002856B5" w:rsidRPr="00C82DFF" w14:paraId="1BD7559D" w14:textId="77777777" w:rsidTr="002E16A4">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66F544"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 xml:space="preserve"> </w:t>
            </w:r>
          </w:p>
        </w:tc>
        <w:tc>
          <w:tcPr>
            <w:tcW w:w="0" w:type="auto"/>
            <w:vAlign w:val="center"/>
            <w:hideMark/>
          </w:tcPr>
          <w:p w14:paraId="79DBF117"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Zilnic</w:t>
            </w:r>
          </w:p>
        </w:tc>
        <w:tc>
          <w:tcPr>
            <w:tcW w:w="0" w:type="auto"/>
            <w:vAlign w:val="center"/>
            <w:hideMark/>
          </w:tcPr>
          <w:p w14:paraId="05BCF2D3"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Săptămânal</w:t>
            </w:r>
          </w:p>
        </w:tc>
        <w:tc>
          <w:tcPr>
            <w:tcW w:w="0" w:type="auto"/>
            <w:vAlign w:val="center"/>
            <w:hideMark/>
          </w:tcPr>
          <w:p w14:paraId="3CBC38AF" w14:textId="77777777" w:rsidR="002856B5" w:rsidRPr="00C82DFF" w:rsidRDefault="002856B5" w:rsidP="0090644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Lunar</w:t>
            </w:r>
          </w:p>
        </w:tc>
      </w:tr>
      <w:tr w:rsidR="00F25498" w:rsidRPr="00C82DFF" w14:paraId="767A305C" w14:textId="77777777" w:rsidTr="002E16A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FC18D1"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FPM cu VAN variabilă</w:t>
            </w:r>
          </w:p>
        </w:tc>
        <w:tc>
          <w:tcPr>
            <w:tcW w:w="0" w:type="auto"/>
            <w:noWrap/>
            <w:vAlign w:val="center"/>
            <w:hideMark/>
          </w:tcPr>
          <w:p w14:paraId="1850C6EC" w14:textId="61A027A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4</w:t>
            </w:r>
            <w:r>
              <w:rPr>
                <w:rFonts w:ascii="Times New Roman" w:hAnsi="Times New Roman"/>
                <w:noProof/>
                <w:color w:val="000000"/>
              </w:rPr>
              <w:t> % ;-</w:t>
            </w:r>
            <w:r w:rsidRPr="004F4310">
              <w:rPr>
                <w:rFonts w:ascii="Times New Roman" w:hAnsi="Times New Roman"/>
                <w:noProof/>
                <w:color w:val="000000"/>
              </w:rPr>
              <w:t>8</w:t>
            </w:r>
            <w:r>
              <w:rPr>
                <w:rFonts w:ascii="Times New Roman" w:hAnsi="Times New Roman"/>
                <w:noProof/>
                <w:color w:val="000000"/>
              </w:rPr>
              <w:t> %]</w:t>
            </w:r>
          </w:p>
        </w:tc>
        <w:tc>
          <w:tcPr>
            <w:tcW w:w="0" w:type="auto"/>
            <w:noWrap/>
            <w:vAlign w:val="center"/>
            <w:hideMark/>
          </w:tcPr>
          <w:p w14:paraId="6DEBF9AA" w14:textId="7B90C18F"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6</w:t>
            </w:r>
            <w:r>
              <w:rPr>
                <w:rFonts w:ascii="Times New Roman" w:hAnsi="Times New Roman"/>
                <w:noProof/>
                <w:color w:val="000000"/>
              </w:rPr>
              <w:t> % ;-</w:t>
            </w:r>
            <w:r w:rsidRPr="004F4310">
              <w:rPr>
                <w:rFonts w:ascii="Times New Roman" w:hAnsi="Times New Roman"/>
                <w:noProof/>
                <w:color w:val="000000"/>
              </w:rPr>
              <w:t>19</w:t>
            </w:r>
            <w:r>
              <w:rPr>
                <w:rFonts w:ascii="Times New Roman" w:hAnsi="Times New Roman"/>
                <w:noProof/>
                <w:color w:val="000000"/>
              </w:rPr>
              <w:t> %]</w:t>
            </w:r>
          </w:p>
        </w:tc>
        <w:tc>
          <w:tcPr>
            <w:tcW w:w="0" w:type="auto"/>
            <w:noWrap/>
            <w:vAlign w:val="center"/>
            <w:hideMark/>
          </w:tcPr>
          <w:p w14:paraId="10D5D5DD" w14:textId="72E261F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16</w:t>
            </w:r>
            <w:r>
              <w:rPr>
                <w:rFonts w:ascii="Times New Roman" w:hAnsi="Times New Roman"/>
                <w:noProof/>
                <w:color w:val="000000"/>
              </w:rPr>
              <w:t> % ;-</w:t>
            </w:r>
            <w:r w:rsidRPr="004F4310">
              <w:rPr>
                <w:rFonts w:ascii="Times New Roman" w:hAnsi="Times New Roman"/>
                <w:noProof/>
                <w:color w:val="000000"/>
              </w:rPr>
              <w:t>45</w:t>
            </w:r>
            <w:r>
              <w:rPr>
                <w:rFonts w:ascii="Times New Roman" w:hAnsi="Times New Roman"/>
                <w:noProof/>
                <w:color w:val="000000"/>
              </w:rPr>
              <w:t> %]</w:t>
            </w:r>
          </w:p>
        </w:tc>
      </w:tr>
      <w:tr w:rsidR="00F25498" w:rsidRPr="00C82DFF" w14:paraId="47242AAC" w14:textId="77777777" w:rsidTr="002E16A4">
        <w:trPr>
          <w:trHeight w:val="5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9E38A6"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FPM standard cu VAN variabilă</w:t>
            </w:r>
          </w:p>
        </w:tc>
        <w:tc>
          <w:tcPr>
            <w:tcW w:w="0" w:type="auto"/>
            <w:noWrap/>
            <w:vAlign w:val="center"/>
            <w:hideMark/>
          </w:tcPr>
          <w:p w14:paraId="78F022A0" w14:textId="00E8A7F6"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4</w:t>
            </w:r>
            <w:r>
              <w:rPr>
                <w:rFonts w:ascii="Times New Roman" w:hAnsi="Times New Roman"/>
                <w:noProof/>
                <w:color w:val="000000"/>
              </w:rPr>
              <w:t> % ;-</w:t>
            </w:r>
            <w:r w:rsidRPr="004F4310">
              <w:rPr>
                <w:rFonts w:ascii="Times New Roman" w:hAnsi="Times New Roman"/>
                <w:noProof/>
                <w:color w:val="000000"/>
              </w:rPr>
              <w:t>8</w:t>
            </w:r>
            <w:r>
              <w:rPr>
                <w:rFonts w:ascii="Times New Roman" w:hAnsi="Times New Roman"/>
                <w:noProof/>
                <w:color w:val="000000"/>
              </w:rPr>
              <w:t> %]</w:t>
            </w:r>
          </w:p>
        </w:tc>
        <w:tc>
          <w:tcPr>
            <w:tcW w:w="0" w:type="auto"/>
            <w:noWrap/>
            <w:vAlign w:val="center"/>
            <w:hideMark/>
          </w:tcPr>
          <w:p w14:paraId="2F6D4AAA" w14:textId="675443DE"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4</w:t>
            </w:r>
            <w:r>
              <w:rPr>
                <w:rFonts w:ascii="Times New Roman" w:hAnsi="Times New Roman"/>
                <w:noProof/>
                <w:color w:val="000000"/>
              </w:rPr>
              <w:t> % ;-</w:t>
            </w:r>
            <w:r w:rsidRPr="004F4310">
              <w:rPr>
                <w:rFonts w:ascii="Times New Roman" w:hAnsi="Times New Roman"/>
                <w:noProof/>
                <w:color w:val="000000"/>
              </w:rPr>
              <w:t>21</w:t>
            </w:r>
            <w:r>
              <w:rPr>
                <w:rFonts w:ascii="Times New Roman" w:hAnsi="Times New Roman"/>
                <w:noProof/>
                <w:color w:val="000000"/>
              </w:rPr>
              <w:t> %]</w:t>
            </w:r>
          </w:p>
        </w:tc>
        <w:tc>
          <w:tcPr>
            <w:tcW w:w="0" w:type="auto"/>
            <w:noWrap/>
            <w:vAlign w:val="center"/>
            <w:hideMark/>
          </w:tcPr>
          <w:p w14:paraId="0ED61D06" w14:textId="2B88D952"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9</w:t>
            </w:r>
            <w:r>
              <w:rPr>
                <w:rFonts w:ascii="Times New Roman" w:hAnsi="Times New Roman"/>
                <w:noProof/>
                <w:color w:val="000000"/>
              </w:rPr>
              <w:t> % ;-</w:t>
            </w:r>
            <w:r w:rsidRPr="004F4310">
              <w:rPr>
                <w:rFonts w:ascii="Times New Roman" w:hAnsi="Times New Roman"/>
                <w:noProof/>
                <w:color w:val="000000"/>
              </w:rPr>
              <w:t>45</w:t>
            </w:r>
            <w:r>
              <w:rPr>
                <w:rFonts w:ascii="Times New Roman" w:hAnsi="Times New Roman"/>
                <w:noProof/>
                <w:color w:val="000000"/>
              </w:rPr>
              <w:t> %]</w:t>
            </w:r>
          </w:p>
        </w:tc>
      </w:tr>
      <w:tr w:rsidR="00F25498" w:rsidRPr="00C82DFF" w14:paraId="3C316187" w14:textId="77777777" w:rsidTr="002E16A4">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85EADD"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FPM pe termen scurt cu VAN variabilă</w:t>
            </w:r>
          </w:p>
        </w:tc>
        <w:tc>
          <w:tcPr>
            <w:tcW w:w="0" w:type="auto"/>
            <w:noWrap/>
            <w:vAlign w:val="center"/>
            <w:hideMark/>
          </w:tcPr>
          <w:p w14:paraId="19900D15" w14:textId="474C01C5"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3</w:t>
            </w:r>
            <w:r>
              <w:rPr>
                <w:rFonts w:ascii="Times New Roman" w:hAnsi="Times New Roman"/>
                <w:noProof/>
                <w:color w:val="000000"/>
              </w:rPr>
              <w:t> % ;-</w:t>
            </w:r>
            <w:r w:rsidRPr="004F4310">
              <w:rPr>
                <w:rFonts w:ascii="Times New Roman" w:hAnsi="Times New Roman"/>
                <w:noProof/>
                <w:color w:val="000000"/>
              </w:rPr>
              <w:t>10</w:t>
            </w:r>
            <w:r>
              <w:rPr>
                <w:rFonts w:ascii="Times New Roman" w:hAnsi="Times New Roman"/>
                <w:noProof/>
                <w:color w:val="000000"/>
              </w:rPr>
              <w:t> %]</w:t>
            </w:r>
          </w:p>
        </w:tc>
        <w:tc>
          <w:tcPr>
            <w:tcW w:w="0" w:type="auto"/>
            <w:noWrap/>
            <w:vAlign w:val="center"/>
            <w:hideMark/>
          </w:tcPr>
          <w:p w14:paraId="4652AE94" w14:textId="1B0D278F"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6</w:t>
            </w:r>
            <w:r>
              <w:rPr>
                <w:rFonts w:ascii="Times New Roman" w:hAnsi="Times New Roman"/>
                <w:noProof/>
                <w:color w:val="000000"/>
              </w:rPr>
              <w:t> % ;-</w:t>
            </w:r>
            <w:r w:rsidRPr="004F4310">
              <w:rPr>
                <w:rFonts w:ascii="Times New Roman" w:hAnsi="Times New Roman"/>
                <w:noProof/>
                <w:color w:val="000000"/>
              </w:rPr>
              <w:t>15</w:t>
            </w:r>
            <w:r>
              <w:rPr>
                <w:rFonts w:ascii="Times New Roman" w:hAnsi="Times New Roman"/>
                <w:noProof/>
                <w:color w:val="000000"/>
              </w:rPr>
              <w:t> %]</w:t>
            </w:r>
          </w:p>
        </w:tc>
        <w:tc>
          <w:tcPr>
            <w:tcW w:w="0" w:type="auto"/>
            <w:noWrap/>
            <w:vAlign w:val="center"/>
            <w:hideMark/>
          </w:tcPr>
          <w:p w14:paraId="6D003656" w14:textId="1422FC4A"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17</w:t>
            </w:r>
            <w:r>
              <w:rPr>
                <w:rFonts w:ascii="Times New Roman" w:hAnsi="Times New Roman"/>
                <w:noProof/>
                <w:color w:val="000000"/>
              </w:rPr>
              <w:t> % ;-</w:t>
            </w:r>
            <w:r w:rsidRPr="004F4310">
              <w:rPr>
                <w:rFonts w:ascii="Times New Roman" w:hAnsi="Times New Roman"/>
                <w:noProof/>
                <w:color w:val="000000"/>
              </w:rPr>
              <w:t>26</w:t>
            </w:r>
            <w:r>
              <w:rPr>
                <w:rFonts w:ascii="Times New Roman" w:hAnsi="Times New Roman"/>
                <w:noProof/>
                <w:color w:val="000000"/>
              </w:rPr>
              <w:t> %]</w:t>
            </w:r>
          </w:p>
        </w:tc>
      </w:tr>
      <w:tr w:rsidR="00F25498" w:rsidRPr="00C82DFF" w14:paraId="6C34E4A3" w14:textId="77777777" w:rsidTr="002E16A4">
        <w:trPr>
          <w:trHeight w:val="31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773B41"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FPM cu VAN cu volatilitate scăzută</w:t>
            </w:r>
          </w:p>
        </w:tc>
        <w:tc>
          <w:tcPr>
            <w:tcW w:w="0" w:type="auto"/>
            <w:noWrap/>
            <w:vAlign w:val="center"/>
            <w:hideMark/>
          </w:tcPr>
          <w:p w14:paraId="722903D4" w14:textId="2352CCAE"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6</w:t>
            </w:r>
            <w:r>
              <w:rPr>
                <w:rFonts w:ascii="Times New Roman" w:hAnsi="Times New Roman"/>
                <w:noProof/>
                <w:color w:val="000000"/>
              </w:rPr>
              <w:t> % ;-</w:t>
            </w:r>
            <w:r w:rsidRPr="004F4310">
              <w:rPr>
                <w:rFonts w:ascii="Times New Roman" w:hAnsi="Times New Roman"/>
                <w:noProof/>
                <w:color w:val="000000"/>
              </w:rPr>
              <w:t>11</w:t>
            </w:r>
            <w:r>
              <w:rPr>
                <w:rFonts w:ascii="Times New Roman" w:hAnsi="Times New Roman"/>
                <w:noProof/>
                <w:color w:val="000000"/>
              </w:rPr>
              <w:t> %]</w:t>
            </w:r>
          </w:p>
        </w:tc>
        <w:tc>
          <w:tcPr>
            <w:tcW w:w="0" w:type="auto"/>
            <w:noWrap/>
            <w:vAlign w:val="center"/>
            <w:hideMark/>
          </w:tcPr>
          <w:p w14:paraId="2A84C657" w14:textId="4E21DEDD"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7</w:t>
            </w:r>
            <w:r>
              <w:rPr>
                <w:rFonts w:ascii="Times New Roman" w:hAnsi="Times New Roman"/>
                <w:noProof/>
                <w:color w:val="000000"/>
              </w:rPr>
              <w:t> % ;-</w:t>
            </w:r>
            <w:r w:rsidRPr="004F4310">
              <w:rPr>
                <w:rFonts w:ascii="Times New Roman" w:hAnsi="Times New Roman"/>
                <w:noProof/>
                <w:color w:val="000000"/>
              </w:rPr>
              <w:t>28</w:t>
            </w:r>
            <w:r>
              <w:rPr>
                <w:rFonts w:ascii="Times New Roman" w:hAnsi="Times New Roman"/>
                <w:noProof/>
                <w:color w:val="000000"/>
              </w:rPr>
              <w:t> %]</w:t>
            </w:r>
          </w:p>
        </w:tc>
        <w:tc>
          <w:tcPr>
            <w:tcW w:w="0" w:type="auto"/>
            <w:noWrap/>
            <w:vAlign w:val="center"/>
            <w:hideMark/>
          </w:tcPr>
          <w:p w14:paraId="42B9C7DB" w14:textId="48098F32"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28</w:t>
            </w:r>
            <w:r>
              <w:rPr>
                <w:rFonts w:ascii="Times New Roman" w:hAnsi="Times New Roman"/>
                <w:noProof/>
                <w:color w:val="000000"/>
              </w:rPr>
              <w:t> % ;-</w:t>
            </w:r>
            <w:r w:rsidRPr="004F4310">
              <w:rPr>
                <w:rFonts w:ascii="Times New Roman" w:hAnsi="Times New Roman"/>
                <w:noProof/>
                <w:color w:val="000000"/>
              </w:rPr>
              <w:t>45</w:t>
            </w:r>
            <w:r>
              <w:rPr>
                <w:rFonts w:ascii="Times New Roman" w:hAnsi="Times New Roman"/>
                <w:noProof/>
                <w:color w:val="000000"/>
              </w:rPr>
              <w:t> %]</w:t>
            </w:r>
          </w:p>
        </w:tc>
      </w:tr>
      <w:tr w:rsidR="00F25498" w:rsidRPr="00C82DFF" w14:paraId="4B4B58CF" w14:textId="77777777" w:rsidTr="002E16A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4343760"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FPM cu VAN cu volatilitate scăzută denominate în USD</w:t>
            </w:r>
          </w:p>
        </w:tc>
        <w:tc>
          <w:tcPr>
            <w:tcW w:w="0" w:type="auto"/>
            <w:noWrap/>
            <w:vAlign w:val="center"/>
            <w:hideMark/>
          </w:tcPr>
          <w:p w14:paraId="223D48F3" w14:textId="44D77F92"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9</w:t>
            </w:r>
            <w:r>
              <w:rPr>
                <w:rFonts w:ascii="Times New Roman" w:hAnsi="Times New Roman"/>
                <w:noProof/>
                <w:color w:val="000000"/>
              </w:rPr>
              <w:t> % ;-</w:t>
            </w:r>
            <w:r w:rsidRPr="004F4310">
              <w:rPr>
                <w:rFonts w:ascii="Times New Roman" w:hAnsi="Times New Roman"/>
                <w:noProof/>
                <w:color w:val="000000"/>
              </w:rPr>
              <w:t>12</w:t>
            </w:r>
            <w:r>
              <w:rPr>
                <w:rFonts w:ascii="Times New Roman" w:hAnsi="Times New Roman"/>
                <w:noProof/>
                <w:color w:val="000000"/>
              </w:rPr>
              <w:t> %]</w:t>
            </w:r>
          </w:p>
        </w:tc>
        <w:tc>
          <w:tcPr>
            <w:tcW w:w="0" w:type="auto"/>
            <w:noWrap/>
            <w:vAlign w:val="center"/>
            <w:hideMark/>
          </w:tcPr>
          <w:p w14:paraId="24245B69" w14:textId="05D0CD3E"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16</w:t>
            </w:r>
            <w:r>
              <w:rPr>
                <w:rFonts w:ascii="Times New Roman" w:hAnsi="Times New Roman"/>
                <w:noProof/>
                <w:color w:val="000000"/>
              </w:rPr>
              <w:t> % ;-</w:t>
            </w:r>
            <w:r w:rsidRPr="004F4310">
              <w:rPr>
                <w:rFonts w:ascii="Times New Roman" w:hAnsi="Times New Roman"/>
                <w:noProof/>
                <w:color w:val="000000"/>
              </w:rPr>
              <w:t>26</w:t>
            </w:r>
            <w:r>
              <w:rPr>
                <w:rFonts w:ascii="Times New Roman" w:hAnsi="Times New Roman"/>
                <w:noProof/>
                <w:color w:val="000000"/>
              </w:rPr>
              <w:t> %]</w:t>
            </w:r>
          </w:p>
        </w:tc>
        <w:tc>
          <w:tcPr>
            <w:tcW w:w="0" w:type="auto"/>
            <w:noWrap/>
            <w:vAlign w:val="center"/>
            <w:hideMark/>
          </w:tcPr>
          <w:p w14:paraId="21D3896A" w14:textId="5F41E11B"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30</w:t>
            </w:r>
            <w:r>
              <w:rPr>
                <w:rFonts w:ascii="Times New Roman" w:hAnsi="Times New Roman"/>
                <w:noProof/>
                <w:color w:val="000000"/>
              </w:rPr>
              <w:t> % ;-</w:t>
            </w:r>
            <w:r w:rsidRPr="004F4310">
              <w:rPr>
                <w:rFonts w:ascii="Times New Roman" w:hAnsi="Times New Roman"/>
                <w:noProof/>
                <w:color w:val="000000"/>
              </w:rPr>
              <w:t>44</w:t>
            </w:r>
            <w:r>
              <w:rPr>
                <w:rFonts w:ascii="Times New Roman" w:hAnsi="Times New Roman"/>
                <w:noProof/>
                <w:color w:val="000000"/>
              </w:rPr>
              <w:t> %]</w:t>
            </w:r>
          </w:p>
        </w:tc>
      </w:tr>
      <w:tr w:rsidR="00F25498" w:rsidRPr="00C82DFF" w14:paraId="08A2AC05" w14:textId="77777777" w:rsidTr="002E16A4">
        <w:trPr>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9AEAF9" w14:textId="77777777" w:rsidR="00F25498" w:rsidRPr="00C82DFF" w:rsidRDefault="00F25498" w:rsidP="00F25498">
            <w:pPr>
              <w:pStyle w:val="ListParagraph"/>
              <w:numPr>
                <w:ilvl w:val="0"/>
                <w:numId w:val="39"/>
              </w:numPr>
              <w:rPr>
                <w:rFonts w:ascii="Times New Roman" w:eastAsia="Times New Roman" w:hAnsi="Times New Roman" w:cs="Times New Roman"/>
                <w:noProof/>
                <w:color w:val="000000"/>
              </w:rPr>
            </w:pPr>
            <w:r>
              <w:rPr>
                <w:rFonts w:ascii="Times New Roman" w:hAnsi="Times New Roman"/>
                <w:noProof/>
                <w:color w:val="000000"/>
              </w:rPr>
              <w:t>FPM cu VAN cu volatilitate scăzută denominate în GBP</w:t>
            </w:r>
          </w:p>
        </w:tc>
        <w:tc>
          <w:tcPr>
            <w:tcW w:w="0" w:type="auto"/>
            <w:noWrap/>
            <w:vAlign w:val="center"/>
            <w:hideMark/>
          </w:tcPr>
          <w:p w14:paraId="663509E7" w14:textId="3EE40E90"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8</w:t>
            </w:r>
            <w:r>
              <w:rPr>
                <w:rFonts w:ascii="Times New Roman" w:hAnsi="Times New Roman"/>
                <w:noProof/>
                <w:color w:val="000000"/>
              </w:rPr>
              <w:t> % ;-</w:t>
            </w:r>
            <w:r w:rsidRPr="004F4310">
              <w:rPr>
                <w:rFonts w:ascii="Times New Roman" w:hAnsi="Times New Roman"/>
                <w:noProof/>
                <w:color w:val="000000"/>
              </w:rPr>
              <w:t>11</w:t>
            </w:r>
            <w:r>
              <w:rPr>
                <w:rFonts w:ascii="Times New Roman" w:hAnsi="Times New Roman"/>
                <w:noProof/>
                <w:color w:val="000000"/>
              </w:rPr>
              <w:t> %]</w:t>
            </w:r>
          </w:p>
        </w:tc>
        <w:tc>
          <w:tcPr>
            <w:tcW w:w="0" w:type="auto"/>
            <w:noWrap/>
            <w:vAlign w:val="center"/>
            <w:hideMark/>
          </w:tcPr>
          <w:p w14:paraId="1BC9CCA5" w14:textId="451C9487"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16</w:t>
            </w:r>
            <w:r>
              <w:rPr>
                <w:rFonts w:ascii="Times New Roman" w:hAnsi="Times New Roman"/>
                <w:noProof/>
                <w:color w:val="000000"/>
              </w:rPr>
              <w:t> % ;-</w:t>
            </w:r>
            <w:r w:rsidRPr="004F4310">
              <w:rPr>
                <w:rFonts w:ascii="Times New Roman" w:hAnsi="Times New Roman"/>
                <w:noProof/>
                <w:color w:val="000000"/>
              </w:rPr>
              <w:t>30</w:t>
            </w:r>
            <w:r>
              <w:rPr>
                <w:rFonts w:ascii="Times New Roman" w:hAnsi="Times New Roman"/>
                <w:noProof/>
                <w:color w:val="000000"/>
              </w:rPr>
              <w:t> %]</w:t>
            </w:r>
          </w:p>
        </w:tc>
        <w:tc>
          <w:tcPr>
            <w:tcW w:w="0" w:type="auto"/>
            <w:noWrap/>
            <w:vAlign w:val="center"/>
            <w:hideMark/>
          </w:tcPr>
          <w:p w14:paraId="27BC94BC" w14:textId="2954D6F6"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26</w:t>
            </w:r>
            <w:r>
              <w:rPr>
                <w:rFonts w:ascii="Times New Roman" w:hAnsi="Times New Roman"/>
                <w:noProof/>
                <w:color w:val="000000"/>
              </w:rPr>
              <w:t> % ;-</w:t>
            </w:r>
            <w:r w:rsidRPr="004F4310">
              <w:rPr>
                <w:rFonts w:ascii="Times New Roman" w:hAnsi="Times New Roman"/>
                <w:noProof/>
                <w:color w:val="000000"/>
              </w:rPr>
              <w:t>47</w:t>
            </w:r>
            <w:r>
              <w:rPr>
                <w:rFonts w:ascii="Times New Roman" w:hAnsi="Times New Roman"/>
                <w:noProof/>
                <w:color w:val="000000"/>
              </w:rPr>
              <w:t> %]</w:t>
            </w:r>
          </w:p>
        </w:tc>
      </w:tr>
      <w:tr w:rsidR="00F25498" w:rsidRPr="00C82DFF" w14:paraId="7EB7BB04" w14:textId="77777777" w:rsidTr="002E16A4">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ADE660"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FPM cu VAN constantă</w:t>
            </w:r>
          </w:p>
        </w:tc>
        <w:tc>
          <w:tcPr>
            <w:tcW w:w="0" w:type="auto"/>
            <w:noWrap/>
            <w:vAlign w:val="center"/>
            <w:hideMark/>
          </w:tcPr>
          <w:p w14:paraId="216BD14F" w14:textId="1D0AC260"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5</w:t>
            </w:r>
            <w:r>
              <w:rPr>
                <w:rFonts w:ascii="Times New Roman" w:hAnsi="Times New Roman"/>
                <w:noProof/>
                <w:color w:val="000000"/>
              </w:rPr>
              <w:t> % ;-</w:t>
            </w:r>
            <w:r w:rsidRPr="004F4310">
              <w:rPr>
                <w:rFonts w:ascii="Times New Roman" w:hAnsi="Times New Roman"/>
                <w:noProof/>
                <w:color w:val="000000"/>
              </w:rPr>
              <w:t>14</w:t>
            </w:r>
            <w:r>
              <w:rPr>
                <w:rFonts w:ascii="Times New Roman" w:hAnsi="Times New Roman"/>
                <w:noProof/>
                <w:color w:val="000000"/>
              </w:rPr>
              <w:t> %]</w:t>
            </w:r>
          </w:p>
        </w:tc>
        <w:tc>
          <w:tcPr>
            <w:tcW w:w="0" w:type="auto"/>
            <w:noWrap/>
            <w:vAlign w:val="center"/>
            <w:hideMark/>
          </w:tcPr>
          <w:p w14:paraId="404994C6" w14:textId="79E6B011"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4</w:t>
            </w:r>
            <w:r>
              <w:rPr>
                <w:rFonts w:ascii="Times New Roman" w:hAnsi="Times New Roman"/>
                <w:noProof/>
                <w:color w:val="000000"/>
              </w:rPr>
              <w:t> % ;-</w:t>
            </w:r>
            <w:r w:rsidRPr="004F4310">
              <w:rPr>
                <w:rFonts w:ascii="Times New Roman" w:hAnsi="Times New Roman"/>
                <w:noProof/>
                <w:color w:val="000000"/>
              </w:rPr>
              <w:t>22</w:t>
            </w:r>
            <w:r>
              <w:rPr>
                <w:rFonts w:ascii="Times New Roman" w:hAnsi="Times New Roman"/>
                <w:noProof/>
                <w:color w:val="000000"/>
              </w:rPr>
              <w:t> %]</w:t>
            </w:r>
          </w:p>
        </w:tc>
        <w:tc>
          <w:tcPr>
            <w:tcW w:w="0" w:type="auto"/>
            <w:noWrap/>
            <w:vAlign w:val="center"/>
            <w:hideMark/>
          </w:tcPr>
          <w:p w14:paraId="61DD37EF" w14:textId="11E78607" w:rsidR="00F25498" w:rsidRPr="00C82DFF" w:rsidRDefault="00F25498" w:rsidP="00F2549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w:t>
            </w:r>
            <w:r>
              <w:rPr>
                <w:rFonts w:ascii="Times New Roman" w:hAnsi="Times New Roman"/>
                <w:noProof/>
                <w:color w:val="000000"/>
              </w:rPr>
              <w:t> % ;-</w:t>
            </w:r>
            <w:r w:rsidRPr="004F4310">
              <w:rPr>
                <w:rFonts w:ascii="Times New Roman" w:hAnsi="Times New Roman"/>
                <w:noProof/>
                <w:color w:val="000000"/>
              </w:rPr>
              <w:t>34</w:t>
            </w:r>
            <w:r>
              <w:rPr>
                <w:rFonts w:ascii="Times New Roman" w:hAnsi="Times New Roman"/>
                <w:noProof/>
                <w:color w:val="000000"/>
              </w:rPr>
              <w:t> %]</w:t>
            </w:r>
          </w:p>
        </w:tc>
      </w:tr>
      <w:tr w:rsidR="00F12529" w:rsidRPr="00C82DFF" w14:paraId="6BB9F800" w14:textId="77777777" w:rsidTr="002E16A4">
        <w:trPr>
          <w:trHeight w:val="5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8E7792" w14:textId="77777777" w:rsidR="00F25498" w:rsidRPr="00C82DFF" w:rsidRDefault="00F25498" w:rsidP="00F25498">
            <w:pPr>
              <w:rPr>
                <w:rFonts w:ascii="Times New Roman" w:eastAsia="Times New Roman" w:hAnsi="Times New Roman" w:cs="Times New Roman"/>
                <w:noProof/>
                <w:color w:val="000000"/>
              </w:rPr>
            </w:pPr>
            <w:r>
              <w:rPr>
                <w:rFonts w:ascii="Times New Roman" w:hAnsi="Times New Roman"/>
                <w:noProof/>
                <w:color w:val="000000"/>
              </w:rPr>
              <w:t>Total</w:t>
            </w:r>
          </w:p>
        </w:tc>
        <w:tc>
          <w:tcPr>
            <w:tcW w:w="0" w:type="auto"/>
            <w:noWrap/>
            <w:vAlign w:val="center"/>
            <w:hideMark/>
          </w:tcPr>
          <w:p w14:paraId="198E0444" w14:textId="6FFAAAB8"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6</w:t>
            </w:r>
            <w:r>
              <w:rPr>
                <w:rFonts w:ascii="Times New Roman" w:hAnsi="Times New Roman"/>
                <w:noProof/>
                <w:color w:val="000000"/>
              </w:rPr>
              <w:t> % ;-</w:t>
            </w:r>
            <w:r w:rsidRPr="004F4310">
              <w:rPr>
                <w:rFonts w:ascii="Times New Roman" w:hAnsi="Times New Roman"/>
                <w:noProof/>
                <w:color w:val="000000"/>
              </w:rPr>
              <w:t>11</w:t>
            </w:r>
            <w:r>
              <w:rPr>
                <w:rFonts w:ascii="Times New Roman" w:hAnsi="Times New Roman"/>
                <w:noProof/>
                <w:color w:val="000000"/>
              </w:rPr>
              <w:t> %]</w:t>
            </w:r>
          </w:p>
        </w:tc>
        <w:tc>
          <w:tcPr>
            <w:tcW w:w="0" w:type="auto"/>
            <w:noWrap/>
            <w:vAlign w:val="center"/>
            <w:hideMark/>
          </w:tcPr>
          <w:p w14:paraId="78467194" w14:textId="4E125493"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7</w:t>
            </w:r>
            <w:r>
              <w:rPr>
                <w:rFonts w:ascii="Times New Roman" w:hAnsi="Times New Roman"/>
                <w:noProof/>
                <w:color w:val="000000"/>
              </w:rPr>
              <w:t> % ;-</w:t>
            </w:r>
            <w:r w:rsidRPr="004F4310">
              <w:rPr>
                <w:rFonts w:ascii="Times New Roman" w:hAnsi="Times New Roman"/>
                <w:noProof/>
                <w:color w:val="000000"/>
              </w:rPr>
              <w:t>26</w:t>
            </w:r>
            <w:r>
              <w:rPr>
                <w:rFonts w:ascii="Times New Roman" w:hAnsi="Times New Roman"/>
                <w:noProof/>
                <w:color w:val="000000"/>
              </w:rPr>
              <w:t> %]</w:t>
            </w:r>
          </w:p>
        </w:tc>
        <w:tc>
          <w:tcPr>
            <w:tcW w:w="0" w:type="auto"/>
            <w:noWrap/>
            <w:vAlign w:val="center"/>
            <w:hideMark/>
          </w:tcPr>
          <w:p w14:paraId="4180228B" w14:textId="24958CF0" w:rsidR="00F25498" w:rsidRPr="00C82DFF" w:rsidRDefault="00F25498" w:rsidP="00F2549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21</w:t>
            </w:r>
            <w:r>
              <w:rPr>
                <w:rFonts w:ascii="Times New Roman" w:hAnsi="Times New Roman"/>
                <w:noProof/>
                <w:color w:val="000000"/>
              </w:rPr>
              <w:t> % ;-</w:t>
            </w:r>
            <w:r w:rsidRPr="004F4310">
              <w:rPr>
                <w:rFonts w:ascii="Times New Roman" w:hAnsi="Times New Roman"/>
                <w:noProof/>
                <w:color w:val="000000"/>
              </w:rPr>
              <w:t>45</w:t>
            </w:r>
            <w:r>
              <w:rPr>
                <w:rFonts w:ascii="Times New Roman" w:hAnsi="Times New Roman"/>
                <w:noProof/>
                <w:color w:val="000000"/>
              </w:rPr>
              <w:t> %]</w:t>
            </w:r>
          </w:p>
        </w:tc>
      </w:tr>
    </w:tbl>
    <w:p w14:paraId="586BF91B" w14:textId="77777777" w:rsidR="002856B5" w:rsidRDefault="002856B5" w:rsidP="002856B5">
      <w:pPr>
        <w:spacing w:after="240" w:line="240" w:lineRule="auto"/>
        <w:jc w:val="both"/>
        <w:rPr>
          <w:rFonts w:ascii="Times New Roman" w:hAnsi="Times New Roman" w:cs="Times New Roman"/>
          <w:noProof/>
        </w:rPr>
      </w:pPr>
      <w:r>
        <w:rPr>
          <w:rFonts w:ascii="Times New Roman" w:hAnsi="Times New Roman"/>
          <w:noProof/>
        </w:rPr>
        <w:t>Surse: Crane Data, Morningstar, date ANC</w:t>
      </w:r>
    </w:p>
    <w:p w14:paraId="5F384913" w14:textId="1B68A40A" w:rsidR="002856B5" w:rsidRPr="00C82DFF" w:rsidRDefault="002856B5" w:rsidP="00906449">
      <w:pPr>
        <w:pStyle w:val="Heading2"/>
        <w:spacing w:before="240" w:after="240"/>
        <w:ind w:left="578" w:hanging="578"/>
        <w:rPr>
          <w:rFonts w:cs="Times New Roman"/>
          <w:noProof/>
          <w:sz w:val="22"/>
          <w:szCs w:val="22"/>
        </w:rPr>
      </w:pPr>
      <w:bookmarkStart w:id="38" w:name="_Toc220346322"/>
      <w:bookmarkStart w:id="39" w:name="_Toc227935561"/>
      <w:r>
        <w:rPr>
          <w:noProof/>
          <w:sz w:val="22"/>
        </w:rPr>
        <w:t>Calibrarea „pragurilor de reziliență a pieței</w:t>
      </w:r>
      <w:bookmarkEnd w:id="38"/>
      <w:r>
        <w:rPr>
          <w:noProof/>
          <w:sz w:val="22"/>
        </w:rPr>
        <w:t>”</w:t>
      </w:r>
      <w:bookmarkEnd w:id="39"/>
      <w:r>
        <w:rPr>
          <w:noProof/>
          <w:sz w:val="22"/>
        </w:rPr>
        <w:t xml:space="preserve"> </w:t>
      </w:r>
    </w:p>
    <w:p w14:paraId="56C94C4E" w14:textId="77777777" w:rsidR="004637C4" w:rsidRPr="00AB43E2" w:rsidRDefault="004637C4" w:rsidP="0034552B">
      <w:pPr>
        <w:spacing w:before="100" w:beforeAutospacing="1" w:after="100" w:afterAutospacing="1" w:line="280" w:lineRule="atLeast"/>
        <w:jc w:val="both"/>
        <w:rPr>
          <w:rFonts w:ascii="Times New Roman" w:eastAsia="Times New Roman" w:hAnsi="Times New Roman" w:cs="Times New Roman"/>
          <w:noProof/>
        </w:rPr>
      </w:pPr>
      <w:r>
        <w:rPr>
          <w:rFonts w:ascii="Times New Roman" w:hAnsi="Times New Roman"/>
          <w:noProof/>
        </w:rPr>
        <w:t xml:space="preserve">FPM din UE sunt, în general, capabile să reziste șocurilor de răscumpărare identificate în secțiunea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1</w:t>
      </w:r>
      <w:r>
        <w:rPr>
          <w:rFonts w:ascii="Times New Roman" w:hAnsi="Times New Roman"/>
          <w:noProof/>
        </w:rPr>
        <w:t xml:space="preserve">, ceea ce reflectă dispersia nivelurilor WLA în cadrul sectorului. Cu toate acestea, este în continuare esențial să existe o supraveghere solidă și sisteme eficace de gestionare a riscurilor, pentru a se asigura că nivelurile de lichiditate sunt adaptate la situația specifică a fiecărui fond. </w:t>
      </w:r>
    </w:p>
    <w:p w14:paraId="038139F6" w14:textId="68C5962F" w:rsidR="00480352" w:rsidRDefault="004637C4" w:rsidP="0034552B">
      <w:pPr>
        <w:spacing w:before="100" w:beforeAutospacing="1" w:after="100" w:afterAutospacing="1" w:line="280" w:lineRule="atLeast"/>
        <w:jc w:val="both"/>
        <w:rPr>
          <w:rFonts w:ascii="Times New Roman" w:eastAsia="Times New Roman" w:hAnsi="Times New Roman" w:cs="Times New Roman"/>
          <w:noProof/>
        </w:rPr>
      </w:pPr>
      <w:r>
        <w:rPr>
          <w:rFonts w:ascii="Times New Roman" w:hAnsi="Times New Roman"/>
          <w:noProof/>
        </w:rPr>
        <w:t xml:space="preserve">În acest context, prezenta secțiune calibrează nivelurile de reziliență ale WLA care, dacă ar fi aplicate în mod uniform ca valori de referință minime, ar permite FPM să reziste scenariilor de răscumpărare calibrate în secțiunea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1</w:t>
      </w:r>
      <w:r>
        <w:rPr>
          <w:rFonts w:ascii="Times New Roman" w:hAnsi="Times New Roman"/>
          <w:noProof/>
        </w:rPr>
        <w:t xml:space="preserve">. </w:t>
      </w:r>
    </w:p>
    <w:p w14:paraId="5DBDD48B" w14:textId="198417E0" w:rsidR="002E16A4" w:rsidRPr="00480352" w:rsidRDefault="002E16A4" w:rsidP="00480352">
      <w:pPr>
        <w:rPr>
          <w:rFonts w:ascii="Times New Roman" w:eastAsia="Times New Roman" w:hAnsi="Times New Roman" w:cs="Times New Roman"/>
          <w:noProof/>
        </w:rPr>
      </w:pPr>
    </w:p>
    <w:p w14:paraId="64C616F8" w14:textId="7DEBE504" w:rsidR="002856B5" w:rsidRPr="00C82DFF" w:rsidRDefault="004637C4" w:rsidP="004637C4">
      <w:pPr>
        <w:spacing w:before="120" w:after="0" w:line="240" w:lineRule="atLeast"/>
        <w:jc w:val="both"/>
        <w:rPr>
          <w:rFonts w:ascii="Times New Roman" w:eastAsia="Times New Roman" w:hAnsi="Times New Roman" w:cs="Times New Roman"/>
          <w:b/>
          <w:noProof/>
        </w:rPr>
      </w:pPr>
      <w:r>
        <w:rPr>
          <w:rFonts w:ascii="Times New Roman" w:hAnsi="Times New Roman"/>
          <w:b/>
          <w:noProof/>
        </w:rPr>
        <w:t xml:space="preserve">A fost utilizată metodologia prezentată mai jos: </w:t>
      </w:r>
    </w:p>
    <w:p w14:paraId="1E6C253A" w14:textId="01B2C590" w:rsidR="002856B5" w:rsidRPr="00C82DFF" w:rsidRDefault="002856B5" w:rsidP="0034552B">
      <w:pPr>
        <w:pStyle w:val="ListParagraph"/>
        <w:numPr>
          <w:ilvl w:val="0"/>
          <w:numId w:val="71"/>
        </w:numPr>
        <w:spacing w:before="120" w:after="0" w:line="280" w:lineRule="atLeast"/>
        <w:jc w:val="both"/>
        <w:rPr>
          <w:rFonts w:ascii="Times New Roman" w:eastAsia="Times New Roman" w:hAnsi="Times New Roman" w:cs="Times New Roman"/>
          <w:noProof/>
        </w:rPr>
      </w:pPr>
      <w:r>
        <w:rPr>
          <w:rFonts w:ascii="Times New Roman" w:hAnsi="Times New Roman"/>
          <w:noProof/>
        </w:rPr>
        <w:t>Analiza estimează volumul răscumpărărilor pe care FPM îl pot absorbi înainte ca activele lor lichide cu scadență zilnică să scadă sub nivelul minim de reglementare. În acest scop, sunt luate în considerare diferite niveluri minime ale WLA, utilizând date reale privind structura portofoliului și amortizarea.</w:t>
      </w:r>
    </w:p>
    <w:p w14:paraId="35DCE296" w14:textId="77777777" w:rsidR="002856B5" w:rsidRPr="00C82DFF" w:rsidRDefault="002856B5" w:rsidP="0034552B">
      <w:pPr>
        <w:pStyle w:val="ListParagraph"/>
        <w:spacing w:before="120" w:after="0" w:line="280" w:lineRule="atLeast"/>
        <w:contextualSpacing w:val="0"/>
        <w:jc w:val="both"/>
        <w:rPr>
          <w:rFonts w:ascii="Times New Roman" w:eastAsia="Times New Roman" w:hAnsi="Times New Roman" w:cs="Times New Roman"/>
          <w:noProof/>
          <w:lang w:eastAsia="en-IE"/>
        </w:rPr>
      </w:pPr>
    </w:p>
    <w:p w14:paraId="75ED5707" w14:textId="05F09361" w:rsidR="002856B5" w:rsidRPr="00C82DFF" w:rsidRDefault="002F119E" w:rsidP="0034552B">
      <w:pPr>
        <w:pStyle w:val="ListParagraph"/>
        <w:numPr>
          <w:ilvl w:val="0"/>
          <w:numId w:val="71"/>
        </w:numPr>
        <w:spacing w:before="120" w:after="0" w:line="280" w:lineRule="atLeast"/>
        <w:jc w:val="both"/>
        <w:rPr>
          <w:rFonts w:ascii="Times New Roman" w:eastAsia="Times New Roman" w:hAnsi="Times New Roman" w:cs="Times New Roman"/>
          <w:noProof/>
        </w:rPr>
      </w:pPr>
      <w:r>
        <w:rPr>
          <w:rFonts w:ascii="Times New Roman" w:hAnsi="Times New Roman"/>
          <w:noProof/>
        </w:rPr>
        <w:t xml:space="preserve">Pentru calibrarea pragurilor de reziliență ale WLA, rezultatele sunt comparate cu scenariile de răscumpărare aplicate FPM identificate în secțiunea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1</w:t>
      </w:r>
      <w:r>
        <w:rPr>
          <w:rFonts w:ascii="Times New Roman" w:hAnsi="Times New Roman"/>
          <w:noProof/>
        </w:rPr>
        <w:t xml:space="preserve"> (a se vedea tabelul III.</w:t>
      </w:r>
      <w:r w:rsidRPr="004F4310">
        <w:rPr>
          <w:rFonts w:ascii="Times New Roman" w:hAnsi="Times New Roman"/>
          <w:noProof/>
        </w:rPr>
        <w:t>1</w:t>
      </w:r>
      <w:r>
        <w:rPr>
          <w:rFonts w:ascii="Times New Roman" w:hAnsi="Times New Roman"/>
          <w:noProof/>
        </w:rPr>
        <w:t>). Analiza ia în considerare amortizarea portofoliului. Se aplică următorul set de ipoteze prudente:</w:t>
      </w:r>
    </w:p>
    <w:p w14:paraId="2D308CC6" w14:textId="62BB8FB2" w:rsidR="002856B5" w:rsidRPr="00C82DFF" w:rsidRDefault="002856B5" w:rsidP="0034552B">
      <w:pPr>
        <w:pStyle w:val="ListParagraph"/>
        <w:numPr>
          <w:ilvl w:val="0"/>
          <w:numId w:val="7"/>
        </w:numPr>
        <w:spacing w:before="120" w:after="0" w:line="280" w:lineRule="atLeast"/>
        <w:contextualSpacing w:val="0"/>
        <w:jc w:val="both"/>
        <w:rPr>
          <w:rFonts w:ascii="Times New Roman" w:eastAsia="Times New Roman" w:hAnsi="Times New Roman" w:cs="Times New Roman"/>
          <w:noProof/>
        </w:rPr>
      </w:pPr>
      <w:r>
        <w:rPr>
          <w:rFonts w:ascii="Times New Roman" w:hAnsi="Times New Roman"/>
          <w:noProof/>
        </w:rPr>
        <w:t xml:space="preserve">răscumpărările sunt acoperite exclusiv prin DLA și WLA existente, fără vânzări de active, cu excepția celor eligibile pentru DLA și WLA; </w:t>
      </w:r>
    </w:p>
    <w:p w14:paraId="3A954AB1" w14:textId="17CA34CA" w:rsidR="002856B5" w:rsidRPr="00C82DFF" w:rsidRDefault="002856B5" w:rsidP="0034552B">
      <w:pPr>
        <w:pStyle w:val="ListParagraph"/>
        <w:numPr>
          <w:ilvl w:val="0"/>
          <w:numId w:val="7"/>
        </w:numPr>
        <w:spacing w:before="120" w:after="0" w:line="280" w:lineRule="atLeast"/>
        <w:contextualSpacing w:val="0"/>
        <w:jc w:val="both"/>
        <w:rPr>
          <w:rFonts w:ascii="Times New Roman" w:eastAsia="Times New Roman" w:hAnsi="Times New Roman" w:cs="Times New Roman"/>
          <w:noProof/>
        </w:rPr>
      </w:pPr>
      <w:r>
        <w:rPr>
          <w:rFonts w:ascii="Times New Roman" w:hAnsi="Times New Roman"/>
          <w:noProof/>
        </w:rPr>
        <w:t>nivelul DLA este menținut peste cerințele minime de reglementare</w:t>
      </w:r>
      <w:r>
        <w:rPr>
          <w:rStyle w:val="FootnoteReference"/>
          <w:rFonts w:ascii="Times New Roman" w:eastAsia="Times New Roman" w:hAnsi="Times New Roman" w:cs="Times New Roman"/>
          <w:noProof/>
          <w:lang w:eastAsia="en-IE"/>
        </w:rPr>
        <w:footnoteReference w:id="12"/>
      </w:r>
      <w:r>
        <w:rPr>
          <w:rFonts w:ascii="Times New Roman" w:hAnsi="Times New Roman"/>
          <w:noProof/>
        </w:rPr>
        <w:t>.</w:t>
      </w:r>
    </w:p>
    <w:p w14:paraId="0C5F3C13" w14:textId="77777777" w:rsidR="002856B5" w:rsidRPr="00C82DFF" w:rsidRDefault="002856B5" w:rsidP="002856B5">
      <w:pPr>
        <w:spacing w:before="120" w:after="0" w:line="240" w:lineRule="atLeast"/>
        <w:jc w:val="both"/>
        <w:rPr>
          <w:rFonts w:ascii="Times New Roman" w:eastAsia="Times New Roman" w:hAnsi="Times New Roman" w:cs="Times New Roman"/>
          <w:noProof/>
          <w:lang w:eastAsia="en-IE"/>
        </w:rPr>
      </w:pPr>
    </w:p>
    <w:p w14:paraId="3C905B3A" w14:textId="5A9A42C9" w:rsidR="002856B5" w:rsidRPr="00C82DFF" w:rsidRDefault="002856B5" w:rsidP="00EE4572">
      <w:pPr>
        <w:spacing w:after="240" w:line="240" w:lineRule="auto"/>
        <w:jc w:val="both"/>
        <w:rPr>
          <w:rFonts w:ascii="Times New Roman" w:hAnsi="Times New Roman" w:cs="Times New Roman"/>
          <w:noProof/>
        </w:rPr>
      </w:pPr>
      <w:r>
        <w:rPr>
          <w:rFonts w:ascii="Times New Roman" w:hAnsi="Times New Roman"/>
          <w:b/>
          <w:noProof/>
        </w:rPr>
        <w:t>Tabelul III.</w:t>
      </w:r>
      <w:r w:rsidRPr="004F4310">
        <w:rPr>
          <w:rFonts w:ascii="Times New Roman" w:hAnsi="Times New Roman"/>
          <w:b/>
          <w:noProof/>
        </w:rPr>
        <w:t>2</w:t>
      </w:r>
      <w:r>
        <w:rPr>
          <w:rFonts w:ascii="Times New Roman" w:hAnsi="Times New Roman"/>
          <w:b/>
          <w:noProof/>
        </w:rPr>
        <w:t>: Scenariul reținut pentru exercițiul de calibrare</w:t>
      </w:r>
      <w:r>
        <w:rPr>
          <w:rFonts w:ascii="Times New Roman" w:hAnsi="Times New Roman"/>
          <w:noProof/>
        </w:rPr>
        <w:t>:</w:t>
      </w:r>
    </w:p>
    <w:tbl>
      <w:tblPr>
        <w:tblStyle w:val="GridTable5Dark-Accent5"/>
        <w:tblW w:w="6580" w:type="dxa"/>
        <w:tblInd w:w="1440" w:type="dxa"/>
        <w:tblLook w:val="04A0" w:firstRow="1" w:lastRow="0" w:firstColumn="1" w:lastColumn="0" w:noHBand="0" w:noVBand="1"/>
      </w:tblPr>
      <w:tblGrid>
        <w:gridCol w:w="3487"/>
        <w:gridCol w:w="811"/>
        <w:gridCol w:w="1419"/>
        <w:gridCol w:w="863"/>
      </w:tblGrid>
      <w:tr w:rsidR="002856B5" w:rsidRPr="00C82DFF" w14:paraId="6200F140" w14:textId="77777777" w:rsidTr="00865E71">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9088E00"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Tip de FPM</w:t>
            </w:r>
          </w:p>
        </w:tc>
        <w:tc>
          <w:tcPr>
            <w:tcW w:w="0" w:type="auto"/>
            <w:vAlign w:val="center"/>
            <w:hideMark/>
          </w:tcPr>
          <w:p w14:paraId="283C45E2"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Zilnic</w:t>
            </w:r>
          </w:p>
        </w:tc>
        <w:tc>
          <w:tcPr>
            <w:tcW w:w="0" w:type="auto"/>
            <w:vAlign w:val="center"/>
            <w:hideMark/>
          </w:tcPr>
          <w:p w14:paraId="2B51A534"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Săptămânal</w:t>
            </w:r>
          </w:p>
        </w:tc>
        <w:tc>
          <w:tcPr>
            <w:tcW w:w="0" w:type="auto"/>
            <w:vAlign w:val="center"/>
            <w:hideMark/>
          </w:tcPr>
          <w:p w14:paraId="763B74E8" w14:textId="77777777" w:rsidR="002856B5" w:rsidRPr="00C82DFF" w:rsidRDefault="002856B5" w:rsidP="004929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Lunar</w:t>
            </w:r>
          </w:p>
        </w:tc>
      </w:tr>
      <w:tr w:rsidR="00354EE9" w:rsidRPr="00C82DFF" w14:paraId="59F2D3DB" w14:textId="77777777" w:rsidTr="00865E71">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33FF96" w14:textId="77777777" w:rsidR="00354EE9" w:rsidRPr="00C82DFF" w:rsidRDefault="00354EE9" w:rsidP="00354EE9">
            <w:pPr>
              <w:rPr>
                <w:rFonts w:ascii="Times New Roman" w:eastAsia="Times New Roman" w:hAnsi="Times New Roman" w:cs="Times New Roman"/>
                <w:noProof/>
                <w:color w:val="000000"/>
              </w:rPr>
            </w:pPr>
            <w:r>
              <w:rPr>
                <w:rFonts w:ascii="Times New Roman" w:hAnsi="Times New Roman"/>
                <w:noProof/>
                <w:color w:val="000000"/>
              </w:rPr>
              <w:t>FPM standard cu VAN variabilă</w:t>
            </w:r>
          </w:p>
        </w:tc>
        <w:tc>
          <w:tcPr>
            <w:tcW w:w="0" w:type="auto"/>
            <w:noWrap/>
            <w:vAlign w:val="center"/>
            <w:hideMark/>
          </w:tcPr>
          <w:p w14:paraId="3AE10771" w14:textId="57F4B8B4"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w:t>
            </w:r>
            <w:r w:rsidRPr="004F4310">
              <w:rPr>
                <w:rFonts w:ascii="Times New Roman" w:hAnsi="Times New Roman"/>
                <w:noProof/>
              </w:rPr>
              <w:t>8</w:t>
            </w:r>
            <w:r>
              <w:rPr>
                <w:rFonts w:ascii="Times New Roman" w:hAnsi="Times New Roman"/>
                <w:noProof/>
              </w:rPr>
              <w:t> %</w:t>
            </w:r>
          </w:p>
        </w:tc>
        <w:tc>
          <w:tcPr>
            <w:tcW w:w="0" w:type="auto"/>
            <w:noWrap/>
            <w:vAlign w:val="center"/>
            <w:hideMark/>
          </w:tcPr>
          <w:p w14:paraId="65E74DBE" w14:textId="69177759"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w:t>
            </w:r>
            <w:r w:rsidRPr="004F4310">
              <w:rPr>
                <w:rFonts w:ascii="Times New Roman" w:hAnsi="Times New Roman"/>
                <w:noProof/>
              </w:rPr>
              <w:t>17</w:t>
            </w:r>
            <w:r>
              <w:rPr>
                <w:rFonts w:ascii="Times New Roman" w:hAnsi="Times New Roman"/>
                <w:noProof/>
              </w:rPr>
              <w:t> %</w:t>
            </w:r>
          </w:p>
        </w:tc>
        <w:tc>
          <w:tcPr>
            <w:tcW w:w="0" w:type="auto"/>
            <w:noWrap/>
            <w:vAlign w:val="center"/>
            <w:hideMark/>
          </w:tcPr>
          <w:p w14:paraId="759E6E1A" w14:textId="78CFC831" w:rsidR="00354EE9" w:rsidRPr="00C82DFF" w:rsidRDefault="00354EE9" w:rsidP="00354EE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noProof/>
                <w:color w:val="000000"/>
              </w:rPr>
            </w:pPr>
            <w:r>
              <w:rPr>
                <w:rFonts w:ascii="Times New Roman" w:hAnsi="Times New Roman"/>
                <w:noProof/>
              </w:rPr>
              <w:t>-</w:t>
            </w:r>
            <w:r w:rsidRPr="004F4310">
              <w:rPr>
                <w:rFonts w:ascii="Times New Roman" w:hAnsi="Times New Roman"/>
                <w:noProof/>
              </w:rPr>
              <w:t>34</w:t>
            </w:r>
            <w:r>
              <w:rPr>
                <w:rFonts w:ascii="Times New Roman" w:hAnsi="Times New Roman"/>
                <w:noProof/>
              </w:rPr>
              <w:t> %</w:t>
            </w:r>
          </w:p>
        </w:tc>
      </w:tr>
      <w:tr w:rsidR="002856B5" w:rsidRPr="00C82DFF" w14:paraId="5182956D" w14:textId="77777777" w:rsidTr="00865E71">
        <w:trPr>
          <w:trHeight w:val="78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B64E80" w14:textId="77777777" w:rsidR="002856B5" w:rsidRPr="00C82DFF" w:rsidRDefault="002856B5" w:rsidP="004929D6">
            <w:pPr>
              <w:rPr>
                <w:rFonts w:ascii="Times New Roman" w:eastAsia="Times New Roman" w:hAnsi="Times New Roman" w:cs="Times New Roman"/>
                <w:noProof/>
                <w:color w:val="000000"/>
              </w:rPr>
            </w:pPr>
            <w:r>
              <w:rPr>
                <w:rFonts w:ascii="Times New Roman" w:hAnsi="Times New Roman"/>
                <w:noProof/>
                <w:color w:val="000000"/>
              </w:rPr>
              <w:t>VAN constantă</w:t>
            </w:r>
          </w:p>
        </w:tc>
        <w:tc>
          <w:tcPr>
            <w:tcW w:w="0" w:type="auto"/>
            <w:noWrap/>
            <w:vAlign w:val="center"/>
          </w:tcPr>
          <w:p w14:paraId="13EE6B74" w14:textId="77777777"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15</w:t>
            </w:r>
            <w:r>
              <w:rPr>
                <w:rFonts w:ascii="Times New Roman" w:hAnsi="Times New Roman"/>
                <w:noProof/>
                <w:color w:val="000000"/>
              </w:rPr>
              <w:t> %</w:t>
            </w:r>
          </w:p>
        </w:tc>
        <w:tc>
          <w:tcPr>
            <w:tcW w:w="0" w:type="auto"/>
            <w:noWrap/>
            <w:vAlign w:val="center"/>
          </w:tcPr>
          <w:p w14:paraId="3C9D0AA5" w14:textId="58307E74"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30</w:t>
            </w:r>
            <w:r>
              <w:rPr>
                <w:rFonts w:ascii="Times New Roman" w:hAnsi="Times New Roman"/>
                <w:noProof/>
                <w:color w:val="000000"/>
              </w:rPr>
              <w:t> %</w:t>
            </w:r>
          </w:p>
        </w:tc>
        <w:tc>
          <w:tcPr>
            <w:tcW w:w="0" w:type="auto"/>
            <w:noWrap/>
            <w:vAlign w:val="center"/>
          </w:tcPr>
          <w:p w14:paraId="6FAE3D0C" w14:textId="77777777" w:rsidR="002856B5" w:rsidRPr="00C82DFF" w:rsidRDefault="002856B5" w:rsidP="004929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color w:val="000000"/>
              </w:rPr>
            </w:pPr>
            <w:r>
              <w:rPr>
                <w:rFonts w:ascii="Times New Roman" w:hAnsi="Times New Roman"/>
                <w:noProof/>
                <w:color w:val="000000"/>
              </w:rPr>
              <w:t>-</w:t>
            </w:r>
            <w:r w:rsidRPr="004F4310">
              <w:rPr>
                <w:rFonts w:ascii="Times New Roman" w:hAnsi="Times New Roman"/>
                <w:noProof/>
                <w:color w:val="000000"/>
              </w:rPr>
              <w:t>47</w:t>
            </w:r>
            <w:r>
              <w:rPr>
                <w:rFonts w:ascii="Times New Roman" w:hAnsi="Times New Roman"/>
                <w:noProof/>
                <w:color w:val="000000"/>
              </w:rPr>
              <w:t> %</w:t>
            </w:r>
          </w:p>
        </w:tc>
      </w:tr>
    </w:tbl>
    <w:p w14:paraId="74378E5F" w14:textId="77777777" w:rsidR="002856B5" w:rsidRPr="00C82DFF" w:rsidRDefault="002856B5" w:rsidP="002856B5">
      <w:pPr>
        <w:spacing w:after="240" w:line="240" w:lineRule="auto"/>
        <w:ind w:left="720" w:firstLine="720"/>
        <w:jc w:val="both"/>
        <w:rPr>
          <w:rFonts w:ascii="Times New Roman" w:hAnsi="Times New Roman" w:cs="Times New Roman"/>
          <w:noProof/>
        </w:rPr>
      </w:pPr>
      <w:r>
        <w:rPr>
          <w:rFonts w:ascii="Times New Roman" w:hAnsi="Times New Roman"/>
          <w:noProof/>
        </w:rPr>
        <w:t>Surse: Crane Data, Morningstar, date ANC</w:t>
      </w:r>
    </w:p>
    <w:p w14:paraId="3369B3D0" w14:textId="3204ECD1" w:rsidR="002856B5" w:rsidRPr="00C82DFF" w:rsidRDefault="002856B5" w:rsidP="0034552B">
      <w:pPr>
        <w:spacing w:after="240" w:line="280" w:lineRule="atLeast"/>
        <w:jc w:val="both"/>
        <w:rPr>
          <w:rFonts w:ascii="Times New Roman" w:hAnsi="Times New Roman" w:cs="Times New Roman"/>
          <w:b/>
          <w:bCs/>
          <w:noProof/>
        </w:rPr>
      </w:pPr>
      <w:r>
        <w:rPr>
          <w:rFonts w:ascii="Times New Roman" w:hAnsi="Times New Roman"/>
          <w:b/>
          <w:noProof/>
        </w:rPr>
        <w:t xml:space="preserve">Această analiză arată că nivelurile de reziliență ale WLA cuprinse între </w:t>
      </w:r>
      <w:r w:rsidRPr="004F4310">
        <w:rPr>
          <w:rFonts w:ascii="Times New Roman" w:hAnsi="Times New Roman"/>
          <w:b/>
          <w:noProof/>
        </w:rPr>
        <w:t>35</w:t>
      </w:r>
      <w:r>
        <w:rPr>
          <w:rFonts w:ascii="Times New Roman" w:hAnsi="Times New Roman"/>
          <w:b/>
          <w:noProof/>
        </w:rPr>
        <w:t xml:space="preserve"> % și </w:t>
      </w:r>
      <w:r w:rsidRPr="004F4310">
        <w:rPr>
          <w:rFonts w:ascii="Times New Roman" w:hAnsi="Times New Roman"/>
          <w:b/>
          <w:noProof/>
        </w:rPr>
        <w:t>40</w:t>
      </w:r>
      <w:r>
        <w:rPr>
          <w:rFonts w:ascii="Times New Roman" w:hAnsi="Times New Roman"/>
          <w:b/>
          <w:noProof/>
        </w:rPr>
        <w:t xml:space="preserve"> % pentru FPM cu VAN constantă și de </w:t>
      </w:r>
      <w:r w:rsidRPr="004F4310">
        <w:rPr>
          <w:rFonts w:ascii="Times New Roman" w:hAnsi="Times New Roman"/>
          <w:b/>
          <w:noProof/>
        </w:rPr>
        <w:t>20</w:t>
      </w:r>
      <w:r>
        <w:rPr>
          <w:rFonts w:ascii="Times New Roman" w:hAnsi="Times New Roman"/>
          <w:b/>
          <w:noProof/>
        </w:rPr>
        <w:t xml:space="preserve"> % pentru FPM cu VAN variabilă sunt suficiente pentru a face față condițiilor de criză a pieței. </w:t>
      </w:r>
      <w:r>
        <w:rPr>
          <w:rFonts w:ascii="Times New Roman" w:hAnsi="Times New Roman"/>
          <w:noProof/>
        </w:rPr>
        <w:t xml:space="preserve">În special, menținerea WLA la aceste niveluri de reziliență sau peste acestea ar permite FPM din UE să reziste (și anume să mențină DLA peste minimele de reglementare) șocurilor severe de răscumpărare, astfel cum sunt calibrate în secțiunea </w:t>
      </w:r>
      <w:r w:rsidRPr="004F4310">
        <w:rPr>
          <w:rFonts w:ascii="Times New Roman" w:hAnsi="Times New Roman"/>
          <w:noProof/>
        </w:rPr>
        <w:t>7</w:t>
      </w:r>
      <w:r>
        <w:rPr>
          <w:rFonts w:ascii="Times New Roman" w:hAnsi="Times New Roman"/>
          <w:noProof/>
        </w:rPr>
        <w:t>.</w:t>
      </w:r>
      <w:r w:rsidRPr="004F4310">
        <w:rPr>
          <w:rFonts w:ascii="Times New Roman" w:hAnsi="Times New Roman"/>
          <w:noProof/>
        </w:rPr>
        <w:t>1</w:t>
      </w:r>
      <w:r>
        <w:rPr>
          <w:rFonts w:ascii="Times New Roman" w:hAnsi="Times New Roman"/>
          <w:noProof/>
        </w:rPr>
        <w:t>.</w:t>
      </w:r>
    </w:p>
    <w:p w14:paraId="1B7C9CBE" w14:textId="77777777" w:rsidR="00805C07" w:rsidRPr="00C82DFF" w:rsidRDefault="00805C07" w:rsidP="00B80A7C">
      <w:pPr>
        <w:rPr>
          <w:noProof/>
        </w:rPr>
      </w:pPr>
    </w:p>
    <w:sectPr w:rsidR="00805C07" w:rsidRPr="00C82DFF" w:rsidSect="00480352">
      <w:headerReference w:type="even" r:id="rId49"/>
      <w:headerReference w:type="default" r:id="rId50"/>
      <w:footerReference w:type="even" r:id="rId51"/>
      <w:footerReference w:type="default" r:id="rId52"/>
      <w:headerReference w:type="first" r:id="rId53"/>
      <w:footerReference w:type="first" r:id="rId54"/>
      <w:pgSz w:w="11906" w:h="16838" w:code="9"/>
      <w:pgMar w:top="851" w:right="1418"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391FB" w14:textId="77777777" w:rsidR="001204AD" w:rsidRPr="00280E34" w:rsidRDefault="001204AD" w:rsidP="00811D7C">
      <w:pPr>
        <w:spacing w:after="0" w:line="240" w:lineRule="auto"/>
      </w:pPr>
      <w:r>
        <w:separator/>
      </w:r>
    </w:p>
  </w:endnote>
  <w:endnote w:type="continuationSeparator" w:id="0">
    <w:p w14:paraId="5A1BC47F" w14:textId="77777777" w:rsidR="001204AD" w:rsidRPr="00280E34" w:rsidRDefault="001204AD" w:rsidP="00811D7C">
      <w:pPr>
        <w:spacing w:after="0" w:line="240" w:lineRule="auto"/>
      </w:pPr>
      <w:r>
        <w:continuationSeparator/>
      </w:r>
    </w:p>
  </w:endnote>
  <w:endnote w:type="continuationNotice" w:id="1">
    <w:p w14:paraId="2CE766E8" w14:textId="77777777" w:rsidR="001204AD" w:rsidRPr="00280E34" w:rsidRDefault="001204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DDC93" w14:textId="309240C7" w:rsidR="00FB657F" w:rsidRPr="00FB657F" w:rsidRDefault="00FB657F" w:rsidP="00FB657F">
    <w:pPr>
      <w:pStyle w:val="FooterCoverPage"/>
      <w:rPr>
        <w:rFonts w:ascii="Arial" w:hAnsi="Arial" w:cs="Arial"/>
        <w:b/>
        <w:sz w:val="48"/>
      </w:rPr>
    </w:pPr>
    <w:r w:rsidRPr="00FB657F">
      <w:rPr>
        <w:rFonts w:ascii="Arial" w:hAnsi="Arial" w:cs="Arial"/>
        <w:b/>
        <w:sz w:val="48"/>
      </w:rPr>
      <w:t>RO</w:t>
    </w:r>
    <w:r w:rsidRPr="00FB657F">
      <w:rPr>
        <w:rFonts w:ascii="Arial" w:hAnsi="Arial" w:cs="Arial"/>
        <w:b/>
        <w:sz w:val="48"/>
      </w:rPr>
      <w:tab/>
    </w:r>
    <w:r w:rsidRPr="00FB657F">
      <w:rPr>
        <w:rFonts w:ascii="Arial" w:hAnsi="Arial" w:cs="Arial"/>
        <w:b/>
        <w:sz w:val="48"/>
      </w:rPr>
      <w:tab/>
    </w:r>
    <w:r w:rsidRPr="00FB657F">
      <w:tab/>
    </w:r>
    <w:r w:rsidRPr="00FB657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3A3AE" w14:textId="5080D7CA" w:rsidR="00FB657F" w:rsidRPr="00FB657F" w:rsidRDefault="00FB657F" w:rsidP="00FB657F">
    <w:pPr>
      <w:pStyle w:val="FooterCoverPage"/>
      <w:rPr>
        <w:rFonts w:ascii="Arial" w:hAnsi="Arial" w:cs="Arial"/>
        <w:b/>
        <w:sz w:val="48"/>
      </w:rPr>
    </w:pPr>
    <w:r w:rsidRPr="00FB657F">
      <w:rPr>
        <w:rFonts w:ascii="Arial" w:hAnsi="Arial" w:cs="Arial"/>
        <w:b/>
        <w:sz w:val="48"/>
      </w:rPr>
      <w:t>RO</w:t>
    </w:r>
    <w:r w:rsidRPr="00FB657F">
      <w:rPr>
        <w:rFonts w:ascii="Arial" w:hAnsi="Arial" w:cs="Arial"/>
        <w:b/>
        <w:sz w:val="48"/>
      </w:rPr>
      <w:tab/>
    </w:r>
    <w:r w:rsidRPr="00FB657F">
      <w:rPr>
        <w:rFonts w:ascii="Arial" w:hAnsi="Arial" w:cs="Arial"/>
        <w:b/>
        <w:sz w:val="48"/>
      </w:rPr>
      <w:tab/>
    </w:r>
    <w:r w:rsidRPr="00FB657F">
      <w:tab/>
    </w:r>
    <w:r w:rsidRPr="00FB657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139E2" w14:textId="77777777" w:rsidR="00FB657F" w:rsidRPr="00FB657F" w:rsidRDefault="00FB657F" w:rsidP="00FB657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DF9FE" w14:textId="77777777" w:rsidR="00522175" w:rsidRPr="00280E34" w:rsidRDefault="005221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181796"/>
      <w:docPartObj>
        <w:docPartGallery w:val="Page Numbers (Bottom of Page)"/>
        <w:docPartUnique/>
      </w:docPartObj>
    </w:sdtPr>
    <w:sdtEndPr>
      <w:rPr>
        <w:noProof/>
      </w:rPr>
    </w:sdtEndPr>
    <w:sdtContent>
      <w:p w14:paraId="620730FA" w14:textId="5396E6B4" w:rsidR="001038B8" w:rsidRDefault="001038B8">
        <w:pPr>
          <w:pStyle w:val="Footer"/>
          <w:jc w:val="center"/>
        </w:pPr>
        <w:r>
          <w:fldChar w:fldCharType="begin"/>
        </w:r>
        <w:r>
          <w:instrText xml:space="preserve"> PAGE   \* MERGEFORMAT </w:instrText>
        </w:r>
        <w:r>
          <w:fldChar w:fldCharType="separate"/>
        </w:r>
        <w:r w:rsidR="00FB657F">
          <w:rPr>
            <w:noProof/>
          </w:rPr>
          <w:t>1</w:t>
        </w:r>
        <w:r>
          <w:fldChar w:fldCharType="end"/>
        </w:r>
      </w:p>
    </w:sdtContent>
  </w:sdt>
  <w:p w14:paraId="2E95DD82" w14:textId="77777777" w:rsidR="00522175" w:rsidRPr="00280E34" w:rsidRDefault="00522175">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DD7C7" w14:textId="77777777" w:rsidR="00522175" w:rsidRPr="00280E34" w:rsidRDefault="00522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74953" w14:textId="77777777" w:rsidR="001204AD" w:rsidRPr="00280E34" w:rsidRDefault="001204AD" w:rsidP="00811D7C">
      <w:pPr>
        <w:spacing w:after="0" w:line="240" w:lineRule="auto"/>
      </w:pPr>
      <w:r>
        <w:separator/>
      </w:r>
    </w:p>
  </w:footnote>
  <w:footnote w:type="continuationSeparator" w:id="0">
    <w:p w14:paraId="29066A3D" w14:textId="77777777" w:rsidR="001204AD" w:rsidRPr="00280E34" w:rsidRDefault="001204AD" w:rsidP="00811D7C">
      <w:pPr>
        <w:spacing w:after="0" w:line="240" w:lineRule="auto"/>
      </w:pPr>
      <w:r>
        <w:continuationSeparator/>
      </w:r>
    </w:p>
  </w:footnote>
  <w:footnote w:type="continuationNotice" w:id="1">
    <w:p w14:paraId="3BBEEC0E" w14:textId="77777777" w:rsidR="001204AD" w:rsidRPr="00280E34" w:rsidRDefault="001204AD">
      <w:pPr>
        <w:spacing w:after="0" w:line="240" w:lineRule="auto"/>
      </w:pPr>
    </w:p>
  </w:footnote>
  <w:footnote w:id="2">
    <w:p w14:paraId="42064E7A" w14:textId="64957B48" w:rsidR="00FF2D6C" w:rsidRPr="00CC6B67" w:rsidRDefault="00FF2D6C" w:rsidP="0063462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 al Comisiei către Parlamentul European și Consiliu privind caracterul adecvat al Regulamentului</w:t>
      </w:r>
      <w:r w:rsidR="00801851">
        <w:rPr>
          <w:rFonts w:ascii="Times New Roman" w:hAnsi="Times New Roman"/>
        </w:rPr>
        <w:t> </w:t>
      </w:r>
      <w:r>
        <w:rPr>
          <w:rFonts w:ascii="Times New Roman" w:hAnsi="Times New Roman"/>
        </w:rPr>
        <w:t>(UE)</w:t>
      </w:r>
      <w:r w:rsidR="00801851">
        <w:rPr>
          <w:rFonts w:ascii="Times New Roman" w:hAnsi="Times New Roman"/>
        </w:rPr>
        <w:t> </w:t>
      </w:r>
      <w:r w:rsidRPr="004F4310">
        <w:rPr>
          <w:rFonts w:ascii="Times New Roman" w:hAnsi="Times New Roman"/>
        </w:rPr>
        <w:t>2017</w:t>
      </w:r>
      <w:r>
        <w:rPr>
          <w:rFonts w:ascii="Times New Roman" w:hAnsi="Times New Roman"/>
        </w:rPr>
        <w:t>/</w:t>
      </w:r>
      <w:r w:rsidRPr="004F4310">
        <w:rPr>
          <w:rFonts w:ascii="Times New Roman" w:hAnsi="Times New Roman"/>
        </w:rPr>
        <w:t>1131</w:t>
      </w:r>
      <w:r>
        <w:rPr>
          <w:rFonts w:ascii="Times New Roman" w:hAnsi="Times New Roman"/>
        </w:rPr>
        <w:t xml:space="preserve"> al Parlamentului European și al Consiliului privind fondurile de piață monetară dintr-o perspectivă prudențială și economică [COM(</w:t>
      </w:r>
      <w:r w:rsidRPr="004F4310">
        <w:rPr>
          <w:rFonts w:ascii="Times New Roman" w:hAnsi="Times New Roman"/>
        </w:rPr>
        <w:t>2023</w:t>
      </w:r>
      <w:r>
        <w:rPr>
          <w:rFonts w:ascii="Times New Roman" w:hAnsi="Times New Roman"/>
        </w:rPr>
        <w:t xml:space="preserve">) </w:t>
      </w:r>
      <w:r w:rsidRPr="004F4310">
        <w:rPr>
          <w:rFonts w:ascii="Times New Roman" w:hAnsi="Times New Roman"/>
        </w:rPr>
        <w:t>452</w:t>
      </w:r>
      <w:r>
        <w:rPr>
          <w:rFonts w:ascii="Times New Roman" w:hAnsi="Times New Roman"/>
        </w:rPr>
        <w:t xml:space="preserve">]: </w:t>
      </w:r>
      <w:hyperlink r:id="rId1" w:history="1">
        <w:r>
          <w:rPr>
            <w:rStyle w:val="Hyperlink"/>
            <w:rFonts w:ascii="Times New Roman" w:hAnsi="Times New Roman"/>
          </w:rPr>
          <w:t xml:space="preserve">EUR-Lex - </w:t>
        </w:r>
        <w:r w:rsidRPr="004F4310">
          <w:rPr>
            <w:rStyle w:val="Hyperlink"/>
            <w:rFonts w:ascii="Times New Roman" w:hAnsi="Times New Roman"/>
          </w:rPr>
          <w:t>52023</w:t>
        </w:r>
        <w:r>
          <w:rPr>
            <w:rStyle w:val="Hyperlink"/>
            <w:rFonts w:ascii="Times New Roman" w:hAnsi="Times New Roman"/>
          </w:rPr>
          <w:t>DC</w:t>
        </w:r>
        <w:r w:rsidRPr="004F4310">
          <w:rPr>
            <w:rStyle w:val="Hyperlink"/>
            <w:rFonts w:ascii="Times New Roman" w:hAnsi="Times New Roman"/>
          </w:rPr>
          <w:t>0452</w:t>
        </w:r>
        <w:r>
          <w:rPr>
            <w:rStyle w:val="Hyperlink"/>
            <w:rFonts w:ascii="Times New Roman" w:hAnsi="Times New Roman"/>
          </w:rPr>
          <w:t xml:space="preserve"> - RO - EUR-Lex</w:t>
        </w:r>
      </w:hyperlink>
      <w:r>
        <w:rPr>
          <w:rFonts w:ascii="Times New Roman" w:hAnsi="Times New Roman"/>
        </w:rPr>
        <w:t xml:space="preserve"> </w:t>
      </w:r>
    </w:p>
  </w:footnote>
  <w:footnote w:id="3">
    <w:p w14:paraId="10DDA754" w14:textId="77777777" w:rsidR="008404AD" w:rsidRPr="00AD36DF" w:rsidRDefault="008404AD" w:rsidP="008404A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Administratorii FPM sunt responsabili de asigurarea conformității cu Regulamentul privind FPM. Aceștia au obligații specifice, cum ar fi evaluarea calității creditului activelor FPM, efectuarea de simulări ale situațiilor de criză, evaluarea activelor și furnizarea de informații investitorilor.</w:t>
      </w:r>
    </w:p>
  </w:footnote>
  <w:footnote w:id="4">
    <w:p w14:paraId="10F4D7CF" w14:textId="0616FCA1" w:rsidR="00067839" w:rsidRPr="00AD36DF" w:rsidRDefault="00067839" w:rsidP="00403A9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Comisia adoptă un raport referitor la funcționarea Regulamentului privind fondurile de piață monetară (FPM) – Finanțe</w:t>
        </w:r>
      </w:hyperlink>
    </w:p>
  </w:footnote>
  <w:footnote w:id="5">
    <w:p w14:paraId="66DD12AD" w14:textId="315B4797" w:rsidR="00365492" w:rsidRPr="00AD36DF" w:rsidRDefault="00365492" w:rsidP="00F4305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din </w:t>
      </w:r>
      <w:r w:rsidRPr="004F4310">
        <w:rPr>
          <w:rFonts w:ascii="Times New Roman" w:hAnsi="Times New Roman"/>
        </w:rPr>
        <w:t>2023</w:t>
      </w:r>
      <w:r>
        <w:rPr>
          <w:rFonts w:ascii="Times New Roman" w:hAnsi="Times New Roman"/>
        </w:rPr>
        <w:t xml:space="preserve"> privind FPM, pagina </w:t>
      </w:r>
      <w:r w:rsidRPr="004F4310">
        <w:rPr>
          <w:rFonts w:ascii="Times New Roman" w:hAnsi="Times New Roman"/>
        </w:rPr>
        <w:t>21</w:t>
      </w:r>
      <w:r>
        <w:rPr>
          <w:rFonts w:ascii="Times New Roman" w:hAnsi="Times New Roman"/>
        </w:rPr>
        <w:t xml:space="preserve">. </w:t>
      </w:r>
    </w:p>
  </w:footnote>
  <w:footnote w:id="6">
    <w:p w14:paraId="27E09768" w14:textId="21216E12" w:rsidR="00B03A19" w:rsidRPr="00AD36DF" w:rsidRDefault="00B03A19" w:rsidP="004F39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Datele au fost obținute din următoarele surse: Crane Data, Morningstar, ESMA și autoritățile naționale competente (ANC).</w:t>
      </w:r>
    </w:p>
  </w:footnote>
  <w:footnote w:id="7">
    <w:p w14:paraId="7A60455E" w14:textId="71F545BC" w:rsidR="002A3FD5" w:rsidRPr="00AD36DF" w:rsidRDefault="002A3FD5" w:rsidP="004F39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Consultarea specifică a Comisiei </w:t>
      </w:r>
      <w:hyperlink r:id="rId3" w:history="1">
        <w:r>
          <w:rPr>
            <w:rStyle w:val="Hyperlink"/>
            <w:rFonts w:ascii="Times New Roman" w:hAnsi="Times New Roman"/>
          </w:rPr>
          <w:t>referitoare la funcționarea Regulamentului privind fondurile de piață monetară</w:t>
        </w:r>
      </w:hyperlink>
      <w:r>
        <w:rPr>
          <w:rFonts w:ascii="Times New Roman" w:hAnsi="Times New Roman"/>
        </w:rPr>
        <w:t xml:space="preserve">, </w:t>
      </w:r>
      <w:r w:rsidRPr="004F4310">
        <w:rPr>
          <w:rFonts w:ascii="Times New Roman" w:hAnsi="Times New Roman"/>
        </w:rPr>
        <w:t>12</w:t>
      </w:r>
      <w:r>
        <w:rPr>
          <w:rFonts w:ascii="Times New Roman" w:hAnsi="Times New Roman"/>
        </w:rPr>
        <w:t xml:space="preserve"> aprilie </w:t>
      </w:r>
      <w:r w:rsidRPr="004F4310">
        <w:rPr>
          <w:rFonts w:ascii="Times New Roman" w:hAnsi="Times New Roman"/>
        </w:rPr>
        <w:t>2022</w:t>
      </w:r>
      <w:r>
        <w:rPr>
          <w:rFonts w:ascii="Times New Roman" w:hAnsi="Times New Roman"/>
        </w:rPr>
        <w:t xml:space="preserve"> și consultarea specifică a Comisiei </w:t>
      </w:r>
      <w:hyperlink r:id="rId4" w:history="1">
        <w:r>
          <w:rPr>
            <w:rStyle w:val="Hyperlink"/>
            <w:rFonts w:ascii="Times New Roman" w:hAnsi="Times New Roman"/>
          </w:rPr>
          <w:t>pentru evaluarea caracterului adecvat al politicilor macroprudențiale pentru intermedierea financiară nebancară</w:t>
        </w:r>
      </w:hyperlink>
      <w:r>
        <w:rPr>
          <w:rFonts w:ascii="Times New Roman" w:hAnsi="Times New Roman"/>
        </w:rPr>
        <w:t xml:space="preserve">, </w:t>
      </w:r>
      <w:r w:rsidRPr="004F4310">
        <w:rPr>
          <w:rFonts w:ascii="Times New Roman" w:hAnsi="Times New Roman"/>
        </w:rPr>
        <w:t>22</w:t>
      </w:r>
      <w:r>
        <w:rPr>
          <w:rFonts w:ascii="Times New Roman" w:hAnsi="Times New Roman"/>
        </w:rPr>
        <w:t xml:space="preserve"> mai </w:t>
      </w:r>
      <w:r w:rsidRPr="004F4310">
        <w:rPr>
          <w:rFonts w:ascii="Times New Roman" w:hAnsi="Times New Roman"/>
        </w:rPr>
        <w:t>2024</w:t>
      </w:r>
      <w:r>
        <w:rPr>
          <w:rFonts w:ascii="Times New Roman" w:hAnsi="Times New Roman"/>
        </w:rPr>
        <w:t xml:space="preserve">. </w:t>
      </w:r>
    </w:p>
  </w:footnote>
  <w:footnote w:id="8">
    <w:p w14:paraId="20FE7B42" w14:textId="33F55397" w:rsidR="000B3F8D" w:rsidRPr="00AD36DF" w:rsidRDefault="000B3F8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Raportul ESMA privind FPM (</w:t>
        </w:r>
        <w:r w:rsidRPr="004F4310">
          <w:rPr>
            <w:rStyle w:val="Hyperlink"/>
            <w:rFonts w:ascii="Times New Roman" w:hAnsi="Times New Roman"/>
          </w:rPr>
          <w:t>2023</w:t>
        </w:r>
        <w:r>
          <w:rPr>
            <w:rStyle w:val="Hyperlink"/>
            <w:rFonts w:ascii="Times New Roman" w:hAnsi="Times New Roman"/>
          </w:rPr>
          <w:t>)</w:t>
        </w:r>
      </w:hyperlink>
      <w:r>
        <w:rPr>
          <w:rFonts w:ascii="Times New Roman" w:hAnsi="Times New Roman"/>
        </w:rPr>
        <w:t xml:space="preserve"> și Crane Data.</w:t>
      </w:r>
    </w:p>
  </w:footnote>
  <w:footnote w:id="9">
    <w:p w14:paraId="328D108A" w14:textId="6640BF37" w:rsidR="0023079D" w:rsidRPr="00AD36DF" w:rsidRDefault="0023079D" w:rsidP="0025482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FPM investesc în instrumente pe termen scurt, cum ar fi</w:t>
      </w:r>
      <w:r>
        <w:rPr>
          <w:rFonts w:ascii="Times New Roman" w:hAnsi="Times New Roman"/>
          <w:b/>
        </w:rPr>
        <w:t xml:space="preserve"> </w:t>
      </w:r>
      <w:r>
        <w:rPr>
          <w:rStyle w:val="Strong"/>
          <w:rFonts w:ascii="Times New Roman" w:hAnsi="Times New Roman"/>
          <w:b w:val="0"/>
        </w:rPr>
        <w:t>efecte de comerț, certificate de depozit și bonuri de trezorerie</w:t>
      </w:r>
      <w:r>
        <w:rPr>
          <w:rFonts w:ascii="Times New Roman" w:hAnsi="Times New Roman"/>
        </w:rPr>
        <w:t>, pentru a oferi investitorilor randamente lichide și cu risc scăzut.</w:t>
      </w:r>
    </w:p>
  </w:footnote>
  <w:footnote w:id="10">
    <w:p w14:paraId="1E17C290" w14:textId="5CF48E00" w:rsidR="00F50113" w:rsidRPr="00AD36DF" w:rsidRDefault="00F50113"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Riscul de piață este proporțional cu durata obligațiunilor. Prin scurtarea scadenței obligațiunilor deținute în portofoliile FPM, aceste portofolii sunt mai puțin expuse riscului de piață atunci când transformă obligațiunile în numerar într-un interval de timp mai scurt. </w:t>
      </w:r>
    </w:p>
  </w:footnote>
  <w:footnote w:id="11">
    <w:p w14:paraId="45CE41B3" w14:textId="18D90223" w:rsidR="00D17EC2" w:rsidRPr="00AD36DF" w:rsidRDefault="00D17EC2"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Trebuie remarcat faptul că intervenția băncii centrale pe piețele efectelor de comerț a sprijinit, de asemenea, sectorul, contribuind la prevenirea unor repercusiuni suplimentare asupra FPM aflate sub presiune.</w:t>
      </w:r>
    </w:p>
  </w:footnote>
  <w:footnote w:id="12">
    <w:p w14:paraId="2CB49844" w14:textId="00516207" w:rsidR="00C821DC" w:rsidRPr="00AD36DF" w:rsidRDefault="00C821DC" w:rsidP="000530B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Aceasta este o ipoteză prudentă, întrucât, în practică, FPM pot permite ca DLA să scadă temporar sub nivelul minim de reglementare pentru a satisface cererile de răscumpărare și pot, de asemenea, să vândă active sau să se bazeze pe intrări de numerar.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9737E" w14:textId="77777777" w:rsidR="00FB657F" w:rsidRPr="00FB657F" w:rsidRDefault="00FB657F" w:rsidP="00FB657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67278" w14:textId="77777777" w:rsidR="00FB657F" w:rsidRPr="00FB657F" w:rsidRDefault="00FB657F" w:rsidP="00FB657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F971B" w14:textId="77777777" w:rsidR="00FB657F" w:rsidRPr="00FB657F" w:rsidRDefault="00FB657F" w:rsidP="00FB657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9724B" w14:textId="77777777" w:rsidR="00522175" w:rsidRPr="00280E34" w:rsidRDefault="005221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08AA8" w14:textId="06B5E5E8" w:rsidR="00522175" w:rsidRPr="00B73F5D" w:rsidRDefault="00522175" w:rsidP="00B73F5D">
    <w:pPr>
      <w:pStyle w:val="Header"/>
      <w:rPr>
        <w:lang w:val="fr-BE"/>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D764A" w14:textId="77777777" w:rsidR="00522175" w:rsidRPr="00280E34" w:rsidRDefault="0052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431D1"/>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EE0522"/>
    <w:multiLevelType w:val="hybridMultilevel"/>
    <w:tmpl w:val="512EBB68"/>
    <w:lvl w:ilvl="0" w:tplc="3DCC4CDE">
      <w:start w:val="1"/>
      <w:numFmt w:val="bullet"/>
      <w:lvlText w:val=""/>
      <w:lvlJc w:val="left"/>
      <w:pPr>
        <w:ind w:left="720" w:hanging="360"/>
      </w:pPr>
      <w:rPr>
        <w:rFonts w:ascii="Symbol" w:hAnsi="Symbol"/>
      </w:rPr>
    </w:lvl>
    <w:lvl w:ilvl="1" w:tplc="4A563AA8">
      <w:start w:val="1"/>
      <w:numFmt w:val="bullet"/>
      <w:lvlText w:val=""/>
      <w:lvlJc w:val="left"/>
      <w:pPr>
        <w:ind w:left="720" w:hanging="360"/>
      </w:pPr>
      <w:rPr>
        <w:rFonts w:ascii="Symbol" w:hAnsi="Symbol"/>
      </w:rPr>
    </w:lvl>
    <w:lvl w:ilvl="2" w:tplc="B3C4FB42">
      <w:start w:val="1"/>
      <w:numFmt w:val="bullet"/>
      <w:lvlText w:val=""/>
      <w:lvlJc w:val="left"/>
      <w:pPr>
        <w:ind w:left="720" w:hanging="360"/>
      </w:pPr>
      <w:rPr>
        <w:rFonts w:ascii="Symbol" w:hAnsi="Symbol"/>
      </w:rPr>
    </w:lvl>
    <w:lvl w:ilvl="3" w:tplc="AC9A0952">
      <w:start w:val="1"/>
      <w:numFmt w:val="bullet"/>
      <w:lvlText w:val=""/>
      <w:lvlJc w:val="left"/>
      <w:pPr>
        <w:ind w:left="720" w:hanging="360"/>
      </w:pPr>
      <w:rPr>
        <w:rFonts w:ascii="Symbol" w:hAnsi="Symbol"/>
      </w:rPr>
    </w:lvl>
    <w:lvl w:ilvl="4" w:tplc="ECCA9134">
      <w:start w:val="1"/>
      <w:numFmt w:val="bullet"/>
      <w:lvlText w:val=""/>
      <w:lvlJc w:val="left"/>
      <w:pPr>
        <w:ind w:left="720" w:hanging="360"/>
      </w:pPr>
      <w:rPr>
        <w:rFonts w:ascii="Symbol" w:hAnsi="Symbol"/>
      </w:rPr>
    </w:lvl>
    <w:lvl w:ilvl="5" w:tplc="25C8B9B2">
      <w:start w:val="1"/>
      <w:numFmt w:val="bullet"/>
      <w:lvlText w:val=""/>
      <w:lvlJc w:val="left"/>
      <w:pPr>
        <w:ind w:left="720" w:hanging="360"/>
      </w:pPr>
      <w:rPr>
        <w:rFonts w:ascii="Symbol" w:hAnsi="Symbol"/>
      </w:rPr>
    </w:lvl>
    <w:lvl w:ilvl="6" w:tplc="91FAC7F0">
      <w:start w:val="1"/>
      <w:numFmt w:val="bullet"/>
      <w:lvlText w:val=""/>
      <w:lvlJc w:val="left"/>
      <w:pPr>
        <w:ind w:left="720" w:hanging="360"/>
      </w:pPr>
      <w:rPr>
        <w:rFonts w:ascii="Symbol" w:hAnsi="Symbol"/>
      </w:rPr>
    </w:lvl>
    <w:lvl w:ilvl="7" w:tplc="E32A6146">
      <w:start w:val="1"/>
      <w:numFmt w:val="bullet"/>
      <w:lvlText w:val=""/>
      <w:lvlJc w:val="left"/>
      <w:pPr>
        <w:ind w:left="720" w:hanging="360"/>
      </w:pPr>
      <w:rPr>
        <w:rFonts w:ascii="Symbol" w:hAnsi="Symbol"/>
      </w:rPr>
    </w:lvl>
    <w:lvl w:ilvl="8" w:tplc="0E345E46">
      <w:start w:val="1"/>
      <w:numFmt w:val="bullet"/>
      <w:lvlText w:val=""/>
      <w:lvlJc w:val="left"/>
      <w:pPr>
        <w:ind w:left="720" w:hanging="360"/>
      </w:pPr>
      <w:rPr>
        <w:rFonts w:ascii="Symbol" w:hAnsi="Symbol"/>
      </w:rPr>
    </w:lvl>
  </w:abstractNum>
  <w:abstractNum w:abstractNumId="2" w15:restartNumberingAfterBreak="0">
    <w:nsid w:val="0FE31E74"/>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DF36C7"/>
    <w:multiLevelType w:val="hybridMultilevel"/>
    <w:tmpl w:val="CE82F8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E6ECF6"/>
    <w:multiLevelType w:val="hybridMultilevel"/>
    <w:tmpl w:val="4E7E91C4"/>
    <w:lvl w:ilvl="0" w:tplc="8A2C51CA">
      <w:start w:val="1"/>
      <w:numFmt w:val="bullet"/>
      <w:lvlText w:val=""/>
      <w:lvlJc w:val="left"/>
      <w:pPr>
        <w:ind w:left="720" w:hanging="360"/>
      </w:pPr>
      <w:rPr>
        <w:rFonts w:ascii="Symbol" w:hAnsi="Symbol" w:hint="default"/>
      </w:rPr>
    </w:lvl>
    <w:lvl w:ilvl="1" w:tplc="3D902566">
      <w:start w:val="1"/>
      <w:numFmt w:val="bullet"/>
      <w:lvlText w:val="o"/>
      <w:lvlJc w:val="left"/>
      <w:pPr>
        <w:ind w:left="1440" w:hanging="360"/>
      </w:pPr>
      <w:rPr>
        <w:rFonts w:ascii="Courier New" w:hAnsi="Courier New" w:hint="default"/>
      </w:rPr>
    </w:lvl>
    <w:lvl w:ilvl="2" w:tplc="05362FB0">
      <w:start w:val="1"/>
      <w:numFmt w:val="bullet"/>
      <w:lvlText w:val=""/>
      <w:lvlJc w:val="left"/>
      <w:pPr>
        <w:ind w:left="2160" w:hanging="360"/>
      </w:pPr>
      <w:rPr>
        <w:rFonts w:ascii="Wingdings" w:hAnsi="Wingdings" w:hint="default"/>
      </w:rPr>
    </w:lvl>
    <w:lvl w:ilvl="3" w:tplc="BFF47558">
      <w:start w:val="1"/>
      <w:numFmt w:val="bullet"/>
      <w:lvlText w:val=""/>
      <w:lvlJc w:val="left"/>
      <w:pPr>
        <w:ind w:left="2880" w:hanging="360"/>
      </w:pPr>
      <w:rPr>
        <w:rFonts w:ascii="Symbol" w:hAnsi="Symbol" w:hint="default"/>
      </w:rPr>
    </w:lvl>
    <w:lvl w:ilvl="4" w:tplc="364C5DFC">
      <w:start w:val="1"/>
      <w:numFmt w:val="bullet"/>
      <w:lvlText w:val="o"/>
      <w:lvlJc w:val="left"/>
      <w:pPr>
        <w:ind w:left="3600" w:hanging="360"/>
      </w:pPr>
      <w:rPr>
        <w:rFonts w:ascii="Courier New" w:hAnsi="Courier New" w:hint="default"/>
      </w:rPr>
    </w:lvl>
    <w:lvl w:ilvl="5" w:tplc="F710D614">
      <w:start w:val="1"/>
      <w:numFmt w:val="bullet"/>
      <w:lvlText w:val=""/>
      <w:lvlJc w:val="left"/>
      <w:pPr>
        <w:ind w:left="4320" w:hanging="360"/>
      </w:pPr>
      <w:rPr>
        <w:rFonts w:ascii="Wingdings" w:hAnsi="Wingdings" w:hint="default"/>
      </w:rPr>
    </w:lvl>
    <w:lvl w:ilvl="6" w:tplc="43E4D6B4">
      <w:start w:val="1"/>
      <w:numFmt w:val="bullet"/>
      <w:lvlText w:val=""/>
      <w:lvlJc w:val="left"/>
      <w:pPr>
        <w:ind w:left="5040" w:hanging="360"/>
      </w:pPr>
      <w:rPr>
        <w:rFonts w:ascii="Symbol" w:hAnsi="Symbol" w:hint="default"/>
      </w:rPr>
    </w:lvl>
    <w:lvl w:ilvl="7" w:tplc="673E4608">
      <w:start w:val="1"/>
      <w:numFmt w:val="bullet"/>
      <w:lvlText w:val="o"/>
      <w:lvlJc w:val="left"/>
      <w:pPr>
        <w:ind w:left="5760" w:hanging="360"/>
      </w:pPr>
      <w:rPr>
        <w:rFonts w:ascii="Courier New" w:hAnsi="Courier New" w:hint="default"/>
      </w:rPr>
    </w:lvl>
    <w:lvl w:ilvl="8" w:tplc="ED881B04">
      <w:start w:val="1"/>
      <w:numFmt w:val="bullet"/>
      <w:lvlText w:val=""/>
      <w:lvlJc w:val="left"/>
      <w:pPr>
        <w:ind w:left="6480" w:hanging="360"/>
      </w:pPr>
      <w:rPr>
        <w:rFonts w:ascii="Wingdings" w:hAnsi="Wingdings" w:hint="default"/>
      </w:rPr>
    </w:lvl>
  </w:abstractNum>
  <w:abstractNum w:abstractNumId="5" w15:restartNumberingAfterBreak="0">
    <w:nsid w:val="18B91D60"/>
    <w:multiLevelType w:val="multilevel"/>
    <w:tmpl w:val="82A68E3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1996" w:hanging="720"/>
      </w:pPr>
      <w:rPr>
        <w:rFonts w:hint="default"/>
        <w:b/>
        <w:bCs/>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1A84C8C5"/>
    <w:multiLevelType w:val="hybridMultilevel"/>
    <w:tmpl w:val="E118D6A4"/>
    <w:lvl w:ilvl="0" w:tplc="05AA979C">
      <w:start w:val="1"/>
      <w:numFmt w:val="bullet"/>
      <w:lvlText w:val=""/>
      <w:lvlJc w:val="left"/>
      <w:pPr>
        <w:ind w:left="720" w:hanging="360"/>
      </w:pPr>
      <w:rPr>
        <w:rFonts w:ascii="Wingdings" w:hAnsi="Wingdings" w:hint="default"/>
      </w:rPr>
    </w:lvl>
    <w:lvl w:ilvl="1" w:tplc="CDE44892">
      <w:start w:val="1"/>
      <w:numFmt w:val="bullet"/>
      <w:lvlText w:val="o"/>
      <w:lvlJc w:val="left"/>
      <w:pPr>
        <w:ind w:left="1440" w:hanging="360"/>
      </w:pPr>
      <w:rPr>
        <w:rFonts w:ascii="Courier New" w:hAnsi="Courier New" w:hint="default"/>
      </w:rPr>
    </w:lvl>
    <w:lvl w:ilvl="2" w:tplc="6F50EE60">
      <w:start w:val="1"/>
      <w:numFmt w:val="bullet"/>
      <w:lvlText w:val=""/>
      <w:lvlJc w:val="left"/>
      <w:pPr>
        <w:ind w:left="2160" w:hanging="360"/>
      </w:pPr>
      <w:rPr>
        <w:rFonts w:ascii="Wingdings" w:hAnsi="Wingdings" w:hint="default"/>
      </w:rPr>
    </w:lvl>
    <w:lvl w:ilvl="3" w:tplc="714831B0">
      <w:start w:val="1"/>
      <w:numFmt w:val="bullet"/>
      <w:lvlText w:val=""/>
      <w:lvlJc w:val="left"/>
      <w:pPr>
        <w:ind w:left="2880" w:hanging="360"/>
      </w:pPr>
      <w:rPr>
        <w:rFonts w:ascii="Symbol" w:hAnsi="Symbol" w:hint="default"/>
      </w:rPr>
    </w:lvl>
    <w:lvl w:ilvl="4" w:tplc="A3D25F50">
      <w:start w:val="1"/>
      <w:numFmt w:val="bullet"/>
      <w:lvlText w:val="o"/>
      <w:lvlJc w:val="left"/>
      <w:pPr>
        <w:ind w:left="3600" w:hanging="360"/>
      </w:pPr>
      <w:rPr>
        <w:rFonts w:ascii="Courier New" w:hAnsi="Courier New" w:hint="default"/>
      </w:rPr>
    </w:lvl>
    <w:lvl w:ilvl="5" w:tplc="19461546">
      <w:start w:val="1"/>
      <w:numFmt w:val="bullet"/>
      <w:lvlText w:val=""/>
      <w:lvlJc w:val="left"/>
      <w:pPr>
        <w:ind w:left="4320" w:hanging="360"/>
      </w:pPr>
      <w:rPr>
        <w:rFonts w:ascii="Wingdings" w:hAnsi="Wingdings" w:hint="default"/>
      </w:rPr>
    </w:lvl>
    <w:lvl w:ilvl="6" w:tplc="A3EAFAC4">
      <w:start w:val="1"/>
      <w:numFmt w:val="bullet"/>
      <w:lvlText w:val=""/>
      <w:lvlJc w:val="left"/>
      <w:pPr>
        <w:ind w:left="5040" w:hanging="360"/>
      </w:pPr>
      <w:rPr>
        <w:rFonts w:ascii="Symbol" w:hAnsi="Symbol" w:hint="default"/>
      </w:rPr>
    </w:lvl>
    <w:lvl w:ilvl="7" w:tplc="F4DAF454">
      <w:start w:val="1"/>
      <w:numFmt w:val="bullet"/>
      <w:lvlText w:val="o"/>
      <w:lvlJc w:val="left"/>
      <w:pPr>
        <w:ind w:left="5760" w:hanging="360"/>
      </w:pPr>
      <w:rPr>
        <w:rFonts w:ascii="Courier New" w:hAnsi="Courier New" w:hint="default"/>
      </w:rPr>
    </w:lvl>
    <w:lvl w:ilvl="8" w:tplc="C96A7F0C">
      <w:start w:val="1"/>
      <w:numFmt w:val="bullet"/>
      <w:lvlText w:val=""/>
      <w:lvlJc w:val="left"/>
      <w:pPr>
        <w:ind w:left="6480" w:hanging="360"/>
      </w:pPr>
      <w:rPr>
        <w:rFonts w:ascii="Wingdings" w:hAnsi="Wingdings" w:hint="default"/>
      </w:rPr>
    </w:lvl>
  </w:abstractNum>
  <w:abstractNum w:abstractNumId="7" w15:restartNumberingAfterBreak="0">
    <w:nsid w:val="251666BD"/>
    <w:multiLevelType w:val="hybridMultilevel"/>
    <w:tmpl w:val="924E671A"/>
    <w:lvl w:ilvl="0" w:tplc="FD8CA968">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2EFB1184"/>
    <w:multiLevelType w:val="hybridMultilevel"/>
    <w:tmpl w:val="6332D1AA"/>
    <w:lvl w:ilvl="0" w:tplc="302A085E">
      <w:start w:val="1"/>
      <w:numFmt w:val="decimal"/>
      <w:lvlText w:val="%1."/>
      <w:lvlJc w:val="left"/>
      <w:pPr>
        <w:ind w:left="720" w:hanging="360"/>
      </w:pPr>
      <w:rPr>
        <w:rFonts w:asciiTheme="minorHAnsi" w:hAnsiTheme="minorHAnsi" w:cstheme="minorBidi"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2BF780A"/>
    <w:multiLevelType w:val="hybridMultilevel"/>
    <w:tmpl w:val="3E024CE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325A47"/>
    <w:multiLevelType w:val="hybridMultilevel"/>
    <w:tmpl w:val="2E6418DA"/>
    <w:lvl w:ilvl="0" w:tplc="313083BC">
      <w:start w:val="1"/>
      <w:numFmt w:val="lowerLetter"/>
      <w:pStyle w:val="04aNumeration"/>
      <w:lvlText w:val="%1)"/>
      <w:lvlJc w:val="left"/>
      <w:pPr>
        <w:ind w:left="720" w:hanging="360"/>
      </w:pPr>
      <w:rPr>
        <w:rFonts w:asciiTheme="majorHAnsi" w:hAnsiTheme="majorHAnsi" w:cstheme="maj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4CAF81"/>
    <w:multiLevelType w:val="hybridMultilevel"/>
    <w:tmpl w:val="AA283B9A"/>
    <w:lvl w:ilvl="0" w:tplc="18090001">
      <w:start w:val="1"/>
      <w:numFmt w:val="bullet"/>
      <w:lvlText w:val=""/>
      <w:lvlJc w:val="left"/>
      <w:pPr>
        <w:ind w:left="720" w:hanging="360"/>
      </w:pPr>
      <w:rPr>
        <w:rFonts w:ascii="Symbol" w:hAnsi="Symbol" w:hint="default"/>
      </w:rPr>
    </w:lvl>
    <w:lvl w:ilvl="1" w:tplc="366AE2E2">
      <w:start w:val="1"/>
      <w:numFmt w:val="lowerLetter"/>
      <w:lvlText w:val="%2."/>
      <w:lvlJc w:val="left"/>
      <w:pPr>
        <w:ind w:left="1440" w:hanging="360"/>
      </w:pPr>
    </w:lvl>
    <w:lvl w:ilvl="2" w:tplc="7BFA9734">
      <w:start w:val="1"/>
      <w:numFmt w:val="lowerRoman"/>
      <w:lvlText w:val="%3."/>
      <w:lvlJc w:val="right"/>
      <w:pPr>
        <w:ind w:left="2160" w:hanging="180"/>
      </w:pPr>
    </w:lvl>
    <w:lvl w:ilvl="3" w:tplc="3B9887EA">
      <w:start w:val="1"/>
      <w:numFmt w:val="decimal"/>
      <w:lvlText w:val="%4."/>
      <w:lvlJc w:val="left"/>
      <w:pPr>
        <w:ind w:left="2880" w:hanging="360"/>
      </w:pPr>
    </w:lvl>
    <w:lvl w:ilvl="4" w:tplc="BA9EEC20">
      <w:start w:val="1"/>
      <w:numFmt w:val="lowerLetter"/>
      <w:lvlText w:val="%5."/>
      <w:lvlJc w:val="left"/>
      <w:pPr>
        <w:ind w:left="3600" w:hanging="360"/>
      </w:pPr>
    </w:lvl>
    <w:lvl w:ilvl="5" w:tplc="2B6C4804">
      <w:start w:val="1"/>
      <w:numFmt w:val="lowerRoman"/>
      <w:lvlText w:val="%6."/>
      <w:lvlJc w:val="right"/>
      <w:pPr>
        <w:ind w:left="4320" w:hanging="180"/>
      </w:pPr>
    </w:lvl>
    <w:lvl w:ilvl="6" w:tplc="589A98E8">
      <w:start w:val="1"/>
      <w:numFmt w:val="decimal"/>
      <w:lvlText w:val="%7."/>
      <w:lvlJc w:val="left"/>
      <w:pPr>
        <w:ind w:left="5040" w:hanging="360"/>
      </w:pPr>
    </w:lvl>
    <w:lvl w:ilvl="7" w:tplc="7CCC2684">
      <w:start w:val="1"/>
      <w:numFmt w:val="lowerLetter"/>
      <w:lvlText w:val="%8."/>
      <w:lvlJc w:val="left"/>
      <w:pPr>
        <w:ind w:left="5760" w:hanging="360"/>
      </w:pPr>
    </w:lvl>
    <w:lvl w:ilvl="8" w:tplc="1B24B4D4">
      <w:start w:val="1"/>
      <w:numFmt w:val="lowerRoman"/>
      <w:lvlText w:val="%9."/>
      <w:lvlJc w:val="right"/>
      <w:pPr>
        <w:ind w:left="6480" w:hanging="180"/>
      </w:pPr>
    </w:lvl>
  </w:abstractNum>
  <w:abstractNum w:abstractNumId="12" w15:restartNumberingAfterBreak="0">
    <w:nsid w:val="3CC87D05"/>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3137D78"/>
    <w:multiLevelType w:val="hybridMultilevel"/>
    <w:tmpl w:val="EFE60BC0"/>
    <w:lvl w:ilvl="0" w:tplc="80326F3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66879E"/>
    <w:multiLevelType w:val="hybridMultilevel"/>
    <w:tmpl w:val="99E2DA36"/>
    <w:lvl w:ilvl="0" w:tplc="EA88E964">
      <w:start w:val="1"/>
      <w:numFmt w:val="bullet"/>
      <w:lvlText w:val=""/>
      <w:lvlJc w:val="left"/>
      <w:pPr>
        <w:ind w:left="720" w:hanging="360"/>
      </w:pPr>
      <w:rPr>
        <w:rFonts w:ascii="Wingdings" w:hAnsi="Wingdings" w:hint="default"/>
      </w:rPr>
    </w:lvl>
    <w:lvl w:ilvl="1" w:tplc="54BC3284">
      <w:start w:val="1"/>
      <w:numFmt w:val="bullet"/>
      <w:lvlText w:val="o"/>
      <w:lvlJc w:val="left"/>
      <w:pPr>
        <w:ind w:left="1440" w:hanging="360"/>
      </w:pPr>
      <w:rPr>
        <w:rFonts w:ascii="Courier New" w:hAnsi="Courier New" w:hint="default"/>
      </w:rPr>
    </w:lvl>
    <w:lvl w:ilvl="2" w:tplc="5AD627BA">
      <w:start w:val="1"/>
      <w:numFmt w:val="bullet"/>
      <w:lvlText w:val=""/>
      <w:lvlJc w:val="left"/>
      <w:pPr>
        <w:ind w:left="2160" w:hanging="360"/>
      </w:pPr>
      <w:rPr>
        <w:rFonts w:ascii="Wingdings" w:hAnsi="Wingdings" w:hint="default"/>
      </w:rPr>
    </w:lvl>
    <w:lvl w:ilvl="3" w:tplc="7924CF3C">
      <w:start w:val="1"/>
      <w:numFmt w:val="bullet"/>
      <w:lvlText w:val=""/>
      <w:lvlJc w:val="left"/>
      <w:pPr>
        <w:ind w:left="2880" w:hanging="360"/>
      </w:pPr>
      <w:rPr>
        <w:rFonts w:ascii="Symbol" w:hAnsi="Symbol" w:hint="default"/>
      </w:rPr>
    </w:lvl>
    <w:lvl w:ilvl="4" w:tplc="DFBCCFC0">
      <w:start w:val="1"/>
      <w:numFmt w:val="bullet"/>
      <w:lvlText w:val="o"/>
      <w:lvlJc w:val="left"/>
      <w:pPr>
        <w:ind w:left="3600" w:hanging="360"/>
      </w:pPr>
      <w:rPr>
        <w:rFonts w:ascii="Courier New" w:hAnsi="Courier New" w:hint="default"/>
      </w:rPr>
    </w:lvl>
    <w:lvl w:ilvl="5" w:tplc="720A630C">
      <w:start w:val="1"/>
      <w:numFmt w:val="bullet"/>
      <w:lvlText w:val=""/>
      <w:lvlJc w:val="left"/>
      <w:pPr>
        <w:ind w:left="4320" w:hanging="360"/>
      </w:pPr>
      <w:rPr>
        <w:rFonts w:ascii="Wingdings" w:hAnsi="Wingdings" w:hint="default"/>
      </w:rPr>
    </w:lvl>
    <w:lvl w:ilvl="6" w:tplc="35FA36DE">
      <w:start w:val="1"/>
      <w:numFmt w:val="bullet"/>
      <w:lvlText w:val=""/>
      <w:lvlJc w:val="left"/>
      <w:pPr>
        <w:ind w:left="5040" w:hanging="360"/>
      </w:pPr>
      <w:rPr>
        <w:rFonts w:ascii="Symbol" w:hAnsi="Symbol" w:hint="default"/>
      </w:rPr>
    </w:lvl>
    <w:lvl w:ilvl="7" w:tplc="385EE9EC">
      <w:start w:val="1"/>
      <w:numFmt w:val="bullet"/>
      <w:lvlText w:val="o"/>
      <w:lvlJc w:val="left"/>
      <w:pPr>
        <w:ind w:left="5760" w:hanging="360"/>
      </w:pPr>
      <w:rPr>
        <w:rFonts w:ascii="Courier New" w:hAnsi="Courier New" w:hint="default"/>
      </w:rPr>
    </w:lvl>
    <w:lvl w:ilvl="8" w:tplc="BAAABFBE">
      <w:start w:val="1"/>
      <w:numFmt w:val="bullet"/>
      <w:lvlText w:val=""/>
      <w:lvlJc w:val="left"/>
      <w:pPr>
        <w:ind w:left="6480" w:hanging="360"/>
      </w:pPr>
      <w:rPr>
        <w:rFonts w:ascii="Wingdings" w:hAnsi="Wingdings" w:hint="default"/>
      </w:rPr>
    </w:lvl>
  </w:abstractNum>
  <w:abstractNum w:abstractNumId="15" w15:restartNumberingAfterBreak="0">
    <w:nsid w:val="49300AD6"/>
    <w:multiLevelType w:val="hybridMultilevel"/>
    <w:tmpl w:val="12303F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4C337731"/>
    <w:multiLevelType w:val="hybridMultilevel"/>
    <w:tmpl w:val="EE32B096"/>
    <w:lvl w:ilvl="0" w:tplc="1809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F967777"/>
    <w:multiLevelType w:val="hybridMultilevel"/>
    <w:tmpl w:val="F37C68DE"/>
    <w:lvl w:ilvl="0" w:tplc="C5968008">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B763FD"/>
    <w:multiLevelType w:val="hybridMultilevel"/>
    <w:tmpl w:val="CC567B0E"/>
    <w:lvl w:ilvl="0" w:tplc="45A6421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43713CE"/>
    <w:multiLevelType w:val="hybridMultilevel"/>
    <w:tmpl w:val="5066A87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CD598C"/>
    <w:multiLevelType w:val="hybridMultilevel"/>
    <w:tmpl w:val="8F94AA2E"/>
    <w:lvl w:ilvl="0" w:tplc="18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D560742"/>
    <w:multiLevelType w:val="hybridMultilevel"/>
    <w:tmpl w:val="BD224DB8"/>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60626B90"/>
    <w:multiLevelType w:val="hybridMultilevel"/>
    <w:tmpl w:val="5B320D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49207B1"/>
    <w:multiLevelType w:val="hybridMultilevel"/>
    <w:tmpl w:val="41166188"/>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DB930A1"/>
    <w:multiLevelType w:val="hybridMultilevel"/>
    <w:tmpl w:val="8B0EF826"/>
    <w:lvl w:ilvl="0" w:tplc="1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0B3604"/>
    <w:multiLevelType w:val="hybridMultilevel"/>
    <w:tmpl w:val="911690D6"/>
    <w:lvl w:ilvl="0" w:tplc="2556998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18B2FA1"/>
    <w:multiLevelType w:val="multilevel"/>
    <w:tmpl w:val="60A02E8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92" w:hanging="432"/>
      </w:pPr>
      <w:rPr>
        <w:b/>
        <w:color w:val="000000" w:themeColor="text1"/>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46F0B41"/>
    <w:multiLevelType w:val="hybridMultilevel"/>
    <w:tmpl w:val="D7242530"/>
    <w:lvl w:ilvl="0" w:tplc="C5968008">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E1E159A"/>
    <w:multiLevelType w:val="hybridMultilevel"/>
    <w:tmpl w:val="D7A8035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F693A1A"/>
    <w:multiLevelType w:val="hybridMultilevel"/>
    <w:tmpl w:val="400A25B8"/>
    <w:lvl w:ilvl="0" w:tplc="C5968008">
      <w:start w:val="1"/>
      <w:numFmt w:val="bullet"/>
      <w:lvlText w:val="-"/>
      <w:lvlJc w:val="left"/>
      <w:pPr>
        <w:ind w:left="1440" w:hanging="360"/>
      </w:pPr>
      <w:rPr>
        <w:rFonts w:ascii="Times New Roman" w:eastAsia="Times New Roman" w:hAnsi="Times New Roman" w:cs="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0"/>
  </w:num>
  <w:num w:numId="4">
    <w:abstractNumId w:val="21"/>
  </w:num>
  <w:num w:numId="5">
    <w:abstractNumId w:val="22"/>
  </w:num>
  <w:num w:numId="6">
    <w:abstractNumId w:val="25"/>
  </w:num>
  <w:num w:numId="7">
    <w:abstractNumId w:val="29"/>
  </w:num>
  <w:num w:numId="8">
    <w:abstractNumId w:val="2"/>
  </w:num>
  <w:num w:numId="9">
    <w:abstractNumId w:val="13"/>
  </w:num>
  <w:num w:numId="10">
    <w:abstractNumId w:val="7"/>
  </w:num>
  <w:num w:numId="11">
    <w:abstractNumId w:val="12"/>
  </w:num>
  <w:num w:numId="12">
    <w:abstractNumId w:val="26"/>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8"/>
  </w:num>
  <w:num w:numId="37">
    <w:abstractNumId w:val="5"/>
  </w:num>
  <w:num w:numId="38">
    <w:abstractNumId w:val="27"/>
  </w:num>
  <w:num w:numId="39">
    <w:abstractNumId w:val="17"/>
  </w:num>
  <w:num w:numId="40">
    <w:abstractNumId w:val="28"/>
  </w:num>
  <w:num w:numId="41">
    <w:abstractNumId w:val="5"/>
  </w:num>
  <w:num w:numId="42">
    <w:abstractNumId w:val="9"/>
  </w:num>
  <w:num w:numId="43">
    <w:abstractNumId w:val="5"/>
  </w:num>
  <w:num w:numId="44">
    <w:abstractNumId w:val="3"/>
  </w:num>
  <w:num w:numId="45">
    <w:abstractNumId w:val="5"/>
  </w:num>
  <w:num w:numId="46">
    <w:abstractNumId w:val="23"/>
  </w:num>
  <w:num w:numId="47">
    <w:abstractNumId w:val="5"/>
  </w:num>
  <w:num w:numId="48">
    <w:abstractNumId w:val="5"/>
  </w:num>
  <w:num w:numId="49">
    <w:abstractNumId w:val="15"/>
  </w:num>
  <w:num w:numId="50">
    <w:abstractNumId w:val="5"/>
  </w:num>
  <w:num w:numId="51">
    <w:abstractNumId w:val="5"/>
  </w:num>
  <w:num w:numId="52">
    <w:abstractNumId w:val="5"/>
  </w:num>
  <w:num w:numId="53">
    <w:abstractNumId w:val="5"/>
  </w:num>
  <w:num w:numId="54">
    <w:abstractNumId w:val="24"/>
  </w:num>
  <w:num w:numId="55">
    <w:abstractNumId w:val="6"/>
  </w:num>
  <w:num w:numId="56">
    <w:abstractNumId w:val="14"/>
  </w:num>
  <w:num w:numId="57">
    <w:abstractNumId w:val="4"/>
  </w:num>
  <w:num w:numId="58">
    <w:abstractNumId w:val="20"/>
  </w:num>
  <w:num w:numId="59">
    <w:abstractNumId w:val="16"/>
  </w:num>
  <w:num w:numId="60">
    <w:abstractNumId w:val="5"/>
  </w:num>
  <w:num w:numId="61">
    <w:abstractNumId w:val="5"/>
  </w:num>
  <w:num w:numId="62">
    <w:abstractNumId w:val="5"/>
  </w:num>
  <w:num w:numId="63">
    <w:abstractNumId w:val="5"/>
  </w:num>
  <w:num w:numId="64">
    <w:abstractNumId w:val="5"/>
  </w:num>
  <w:num w:numId="65">
    <w:abstractNumId w:val="5"/>
  </w:num>
  <w:num w:numId="66">
    <w:abstractNumId w:val="5"/>
  </w:num>
  <w:num w:numId="67">
    <w:abstractNumId w:val="5"/>
  </w:num>
  <w:num w:numId="68">
    <w:abstractNumId w:val="5"/>
  </w:num>
  <w:num w:numId="69">
    <w:abstractNumId w:val="5"/>
  </w:num>
  <w:num w:numId="70">
    <w:abstractNumId w:val="5"/>
  </w:num>
  <w:num w:numId="71">
    <w:abstractNumId w:val="19"/>
  </w:num>
  <w:num w:numId="72">
    <w:abstractNumId w:val="18"/>
  </w:num>
  <w:num w:numId="73">
    <w:abstractNumId w:val="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38068A-211D-47BC-B751-E08D650F6A3F"/>
    <w:docVar w:name="LW_COVERPAGE_TYPE" w:val="1"/>
    <w:docVar w:name="LW_CROSSREFERENCE" w:val="&lt;UNUSED&gt;"/>
    <w:docVar w:name="LW_DocType" w:val="NORMAL"/>
    <w:docVar w:name="LW_EMISSION" w:val="11.5.2026"/>
    <w:docVar w:name="LW_EMISSION_ISODATE" w:val="2026-05-1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caracterul adecvat al Regulamentului (UE) 2017/1131 al Parlamentului European \u537?i al Consiliului privind fondurile de pia\u539?\u259? monetar\u259? dintr-o perspectiv\u259? pruden\u539?ial\u259? \u537?i economic\u259?&lt;/FMT&gt;_x000d__x000d__x000d__x000d__x000d__x000d__x000d__x000d__x000d__x000d__x000d__x000d__x000b_"/>
    <w:docVar w:name="LW_TYPE.DOC.CP" w:val="RAPORT AL COMISIEI C\u258?TRE PARLAMENTUL EUROPEAN \u536?I CONSILIU"/>
    <w:docVar w:name="LwApiVersions" w:val="LW4CoDe 1.24.5.0; LW 9.2, Build 20251112"/>
  </w:docVars>
  <w:rsids>
    <w:rsidRoot w:val="00811D7C"/>
    <w:rsid w:val="000001F7"/>
    <w:rsid w:val="000005CE"/>
    <w:rsid w:val="000006D4"/>
    <w:rsid w:val="00000A77"/>
    <w:rsid w:val="00000B1B"/>
    <w:rsid w:val="00000BCA"/>
    <w:rsid w:val="00000CBD"/>
    <w:rsid w:val="00000E3B"/>
    <w:rsid w:val="00001118"/>
    <w:rsid w:val="00001460"/>
    <w:rsid w:val="0000188D"/>
    <w:rsid w:val="00001E1B"/>
    <w:rsid w:val="00001EA7"/>
    <w:rsid w:val="00002ADC"/>
    <w:rsid w:val="00002CFF"/>
    <w:rsid w:val="00002D34"/>
    <w:rsid w:val="00002F77"/>
    <w:rsid w:val="0000358A"/>
    <w:rsid w:val="000037F0"/>
    <w:rsid w:val="0000437B"/>
    <w:rsid w:val="00004818"/>
    <w:rsid w:val="0000496E"/>
    <w:rsid w:val="00004994"/>
    <w:rsid w:val="0000505E"/>
    <w:rsid w:val="000057AE"/>
    <w:rsid w:val="00005F74"/>
    <w:rsid w:val="000060D2"/>
    <w:rsid w:val="0000689E"/>
    <w:rsid w:val="00006D85"/>
    <w:rsid w:val="00006DC3"/>
    <w:rsid w:val="00006FD7"/>
    <w:rsid w:val="000071B6"/>
    <w:rsid w:val="00007433"/>
    <w:rsid w:val="000074C0"/>
    <w:rsid w:val="00007944"/>
    <w:rsid w:val="00007E22"/>
    <w:rsid w:val="00007FDA"/>
    <w:rsid w:val="000100D1"/>
    <w:rsid w:val="00010419"/>
    <w:rsid w:val="0001043F"/>
    <w:rsid w:val="0001050E"/>
    <w:rsid w:val="0001052A"/>
    <w:rsid w:val="0001087E"/>
    <w:rsid w:val="00010B09"/>
    <w:rsid w:val="00010B86"/>
    <w:rsid w:val="000110B3"/>
    <w:rsid w:val="000112C0"/>
    <w:rsid w:val="000114CC"/>
    <w:rsid w:val="0001160F"/>
    <w:rsid w:val="00011699"/>
    <w:rsid w:val="000116D4"/>
    <w:rsid w:val="000118C2"/>
    <w:rsid w:val="00011B4A"/>
    <w:rsid w:val="0001217D"/>
    <w:rsid w:val="000123BE"/>
    <w:rsid w:val="0001260C"/>
    <w:rsid w:val="000127E9"/>
    <w:rsid w:val="00012833"/>
    <w:rsid w:val="00012975"/>
    <w:rsid w:val="00012B9A"/>
    <w:rsid w:val="00012EBD"/>
    <w:rsid w:val="00012F5F"/>
    <w:rsid w:val="000131B8"/>
    <w:rsid w:val="0001379D"/>
    <w:rsid w:val="00014382"/>
    <w:rsid w:val="000146F7"/>
    <w:rsid w:val="00014752"/>
    <w:rsid w:val="000148A7"/>
    <w:rsid w:val="00014A9F"/>
    <w:rsid w:val="00014E5E"/>
    <w:rsid w:val="000150C6"/>
    <w:rsid w:val="0001519A"/>
    <w:rsid w:val="0001537E"/>
    <w:rsid w:val="00015640"/>
    <w:rsid w:val="00015948"/>
    <w:rsid w:val="00015CA7"/>
    <w:rsid w:val="00015E68"/>
    <w:rsid w:val="00015E74"/>
    <w:rsid w:val="00016040"/>
    <w:rsid w:val="0001619E"/>
    <w:rsid w:val="000162DE"/>
    <w:rsid w:val="000163F1"/>
    <w:rsid w:val="000166E4"/>
    <w:rsid w:val="00016776"/>
    <w:rsid w:val="0001698B"/>
    <w:rsid w:val="00016A10"/>
    <w:rsid w:val="00016B89"/>
    <w:rsid w:val="00016BA3"/>
    <w:rsid w:val="00016F49"/>
    <w:rsid w:val="0001702B"/>
    <w:rsid w:val="00017057"/>
    <w:rsid w:val="000173C3"/>
    <w:rsid w:val="000176C8"/>
    <w:rsid w:val="00017883"/>
    <w:rsid w:val="00017B2D"/>
    <w:rsid w:val="00017E3B"/>
    <w:rsid w:val="0002022A"/>
    <w:rsid w:val="0002061A"/>
    <w:rsid w:val="00020879"/>
    <w:rsid w:val="00020AC8"/>
    <w:rsid w:val="00020AD2"/>
    <w:rsid w:val="00020D10"/>
    <w:rsid w:val="00020DCC"/>
    <w:rsid w:val="00021050"/>
    <w:rsid w:val="00021094"/>
    <w:rsid w:val="000210C2"/>
    <w:rsid w:val="0002148A"/>
    <w:rsid w:val="00021686"/>
    <w:rsid w:val="00021E85"/>
    <w:rsid w:val="000220AE"/>
    <w:rsid w:val="00022E96"/>
    <w:rsid w:val="00023284"/>
    <w:rsid w:val="00023530"/>
    <w:rsid w:val="000235F1"/>
    <w:rsid w:val="00023D97"/>
    <w:rsid w:val="00023F7F"/>
    <w:rsid w:val="00023FD2"/>
    <w:rsid w:val="00023FDA"/>
    <w:rsid w:val="000243A6"/>
    <w:rsid w:val="000246F2"/>
    <w:rsid w:val="00024B80"/>
    <w:rsid w:val="00024E3E"/>
    <w:rsid w:val="000259CB"/>
    <w:rsid w:val="00025C6A"/>
    <w:rsid w:val="000263FA"/>
    <w:rsid w:val="0002669E"/>
    <w:rsid w:val="00026821"/>
    <w:rsid w:val="00026D92"/>
    <w:rsid w:val="000278C5"/>
    <w:rsid w:val="000300E7"/>
    <w:rsid w:val="000302A9"/>
    <w:rsid w:val="0003058F"/>
    <w:rsid w:val="000305DE"/>
    <w:rsid w:val="00030D3C"/>
    <w:rsid w:val="00030F8E"/>
    <w:rsid w:val="0003100E"/>
    <w:rsid w:val="0003113D"/>
    <w:rsid w:val="0003145D"/>
    <w:rsid w:val="000319FE"/>
    <w:rsid w:val="00031A84"/>
    <w:rsid w:val="00031EBB"/>
    <w:rsid w:val="0003200B"/>
    <w:rsid w:val="0003203A"/>
    <w:rsid w:val="00032068"/>
    <w:rsid w:val="00032129"/>
    <w:rsid w:val="0003250D"/>
    <w:rsid w:val="00033103"/>
    <w:rsid w:val="00033703"/>
    <w:rsid w:val="00033D09"/>
    <w:rsid w:val="00034EE9"/>
    <w:rsid w:val="000353CA"/>
    <w:rsid w:val="00035402"/>
    <w:rsid w:val="00035406"/>
    <w:rsid w:val="0003567E"/>
    <w:rsid w:val="0003598B"/>
    <w:rsid w:val="00035B6B"/>
    <w:rsid w:val="00036229"/>
    <w:rsid w:val="0003665F"/>
    <w:rsid w:val="000367D3"/>
    <w:rsid w:val="00036AB0"/>
    <w:rsid w:val="00036F89"/>
    <w:rsid w:val="00037746"/>
    <w:rsid w:val="0003779E"/>
    <w:rsid w:val="0003794A"/>
    <w:rsid w:val="00037AAA"/>
    <w:rsid w:val="00037B15"/>
    <w:rsid w:val="00037C44"/>
    <w:rsid w:val="0004046E"/>
    <w:rsid w:val="000406BC"/>
    <w:rsid w:val="00040836"/>
    <w:rsid w:val="00040A71"/>
    <w:rsid w:val="00040A86"/>
    <w:rsid w:val="00040B8F"/>
    <w:rsid w:val="0004133E"/>
    <w:rsid w:val="00041582"/>
    <w:rsid w:val="00041A7B"/>
    <w:rsid w:val="00041E08"/>
    <w:rsid w:val="00042115"/>
    <w:rsid w:val="000424B4"/>
    <w:rsid w:val="0004263F"/>
    <w:rsid w:val="00042649"/>
    <w:rsid w:val="00042830"/>
    <w:rsid w:val="00042897"/>
    <w:rsid w:val="0004304E"/>
    <w:rsid w:val="000437B0"/>
    <w:rsid w:val="00043CD1"/>
    <w:rsid w:val="00043D5C"/>
    <w:rsid w:val="00044228"/>
    <w:rsid w:val="0004427D"/>
    <w:rsid w:val="00044333"/>
    <w:rsid w:val="000445BF"/>
    <w:rsid w:val="00044A7C"/>
    <w:rsid w:val="00044B86"/>
    <w:rsid w:val="00044CF1"/>
    <w:rsid w:val="00044DE7"/>
    <w:rsid w:val="00044EA2"/>
    <w:rsid w:val="00044EA7"/>
    <w:rsid w:val="00045001"/>
    <w:rsid w:val="00045395"/>
    <w:rsid w:val="0004595B"/>
    <w:rsid w:val="000459B0"/>
    <w:rsid w:val="00045E50"/>
    <w:rsid w:val="00046CB2"/>
    <w:rsid w:val="00046CB7"/>
    <w:rsid w:val="00046CF9"/>
    <w:rsid w:val="00046E07"/>
    <w:rsid w:val="00047269"/>
    <w:rsid w:val="00047647"/>
    <w:rsid w:val="000479E4"/>
    <w:rsid w:val="00047CC8"/>
    <w:rsid w:val="00047DB8"/>
    <w:rsid w:val="00050260"/>
    <w:rsid w:val="0005065E"/>
    <w:rsid w:val="00050931"/>
    <w:rsid w:val="00050E3C"/>
    <w:rsid w:val="0005148B"/>
    <w:rsid w:val="000519C9"/>
    <w:rsid w:val="00051C36"/>
    <w:rsid w:val="00051EAC"/>
    <w:rsid w:val="000528C2"/>
    <w:rsid w:val="00052C09"/>
    <w:rsid w:val="00052ECA"/>
    <w:rsid w:val="00052F51"/>
    <w:rsid w:val="000530BA"/>
    <w:rsid w:val="00053ACC"/>
    <w:rsid w:val="00053CF5"/>
    <w:rsid w:val="00054052"/>
    <w:rsid w:val="00054091"/>
    <w:rsid w:val="00054136"/>
    <w:rsid w:val="00054167"/>
    <w:rsid w:val="000541F9"/>
    <w:rsid w:val="0005430F"/>
    <w:rsid w:val="00054601"/>
    <w:rsid w:val="00054668"/>
    <w:rsid w:val="000549A3"/>
    <w:rsid w:val="00054A50"/>
    <w:rsid w:val="00054DCE"/>
    <w:rsid w:val="0005512E"/>
    <w:rsid w:val="00055235"/>
    <w:rsid w:val="000553AA"/>
    <w:rsid w:val="00055736"/>
    <w:rsid w:val="00055753"/>
    <w:rsid w:val="00055BDD"/>
    <w:rsid w:val="00055CB2"/>
    <w:rsid w:val="00056582"/>
    <w:rsid w:val="00056C89"/>
    <w:rsid w:val="00056DB2"/>
    <w:rsid w:val="00056FCB"/>
    <w:rsid w:val="000574C5"/>
    <w:rsid w:val="00057F4E"/>
    <w:rsid w:val="0006081F"/>
    <w:rsid w:val="00060F45"/>
    <w:rsid w:val="000613EC"/>
    <w:rsid w:val="000614F3"/>
    <w:rsid w:val="00061731"/>
    <w:rsid w:val="0006192F"/>
    <w:rsid w:val="00061B24"/>
    <w:rsid w:val="00061E0E"/>
    <w:rsid w:val="00061EA0"/>
    <w:rsid w:val="00061F68"/>
    <w:rsid w:val="000621A7"/>
    <w:rsid w:val="000623B2"/>
    <w:rsid w:val="00062948"/>
    <w:rsid w:val="00062BAF"/>
    <w:rsid w:val="00063040"/>
    <w:rsid w:val="0006341F"/>
    <w:rsid w:val="00063CC6"/>
    <w:rsid w:val="00064471"/>
    <w:rsid w:val="00065348"/>
    <w:rsid w:val="00065748"/>
    <w:rsid w:val="00065948"/>
    <w:rsid w:val="00065D27"/>
    <w:rsid w:val="000660AE"/>
    <w:rsid w:val="00066971"/>
    <w:rsid w:val="00066AEE"/>
    <w:rsid w:val="00066C46"/>
    <w:rsid w:val="00066D35"/>
    <w:rsid w:val="00067152"/>
    <w:rsid w:val="00067330"/>
    <w:rsid w:val="00067494"/>
    <w:rsid w:val="00067680"/>
    <w:rsid w:val="000677A0"/>
    <w:rsid w:val="00067839"/>
    <w:rsid w:val="000679EB"/>
    <w:rsid w:val="00067BFF"/>
    <w:rsid w:val="00067F01"/>
    <w:rsid w:val="00067F18"/>
    <w:rsid w:val="00070038"/>
    <w:rsid w:val="00070289"/>
    <w:rsid w:val="0007037A"/>
    <w:rsid w:val="00070630"/>
    <w:rsid w:val="0007070F"/>
    <w:rsid w:val="00070950"/>
    <w:rsid w:val="000709B0"/>
    <w:rsid w:val="00070A74"/>
    <w:rsid w:val="00070E39"/>
    <w:rsid w:val="00070EA9"/>
    <w:rsid w:val="000715BF"/>
    <w:rsid w:val="0007190A"/>
    <w:rsid w:val="00071A4F"/>
    <w:rsid w:val="00071EAB"/>
    <w:rsid w:val="00071ED7"/>
    <w:rsid w:val="00072604"/>
    <w:rsid w:val="00072D7B"/>
    <w:rsid w:val="00073010"/>
    <w:rsid w:val="00073432"/>
    <w:rsid w:val="000734C8"/>
    <w:rsid w:val="00073597"/>
    <w:rsid w:val="00073F38"/>
    <w:rsid w:val="00074228"/>
    <w:rsid w:val="00074717"/>
    <w:rsid w:val="000748B0"/>
    <w:rsid w:val="00074946"/>
    <w:rsid w:val="00074EF2"/>
    <w:rsid w:val="00075033"/>
    <w:rsid w:val="00075177"/>
    <w:rsid w:val="000754DE"/>
    <w:rsid w:val="00075A37"/>
    <w:rsid w:val="00075B43"/>
    <w:rsid w:val="00075B82"/>
    <w:rsid w:val="00075D3A"/>
    <w:rsid w:val="00076043"/>
    <w:rsid w:val="000761E8"/>
    <w:rsid w:val="00076274"/>
    <w:rsid w:val="00076449"/>
    <w:rsid w:val="0007665E"/>
    <w:rsid w:val="0007683D"/>
    <w:rsid w:val="00076A96"/>
    <w:rsid w:val="00076AB2"/>
    <w:rsid w:val="00076F98"/>
    <w:rsid w:val="00077813"/>
    <w:rsid w:val="00077840"/>
    <w:rsid w:val="0007792C"/>
    <w:rsid w:val="000779C4"/>
    <w:rsid w:val="00080654"/>
    <w:rsid w:val="00080C97"/>
    <w:rsid w:val="0008101F"/>
    <w:rsid w:val="00081061"/>
    <w:rsid w:val="00081863"/>
    <w:rsid w:val="00081950"/>
    <w:rsid w:val="00081A20"/>
    <w:rsid w:val="00081CEB"/>
    <w:rsid w:val="00081D1A"/>
    <w:rsid w:val="00082530"/>
    <w:rsid w:val="0008305A"/>
    <w:rsid w:val="0008330F"/>
    <w:rsid w:val="00083E04"/>
    <w:rsid w:val="00084198"/>
    <w:rsid w:val="0008448C"/>
    <w:rsid w:val="000848A0"/>
    <w:rsid w:val="00084932"/>
    <w:rsid w:val="000849C2"/>
    <w:rsid w:val="00084F3F"/>
    <w:rsid w:val="00085216"/>
    <w:rsid w:val="00085710"/>
    <w:rsid w:val="00085BAE"/>
    <w:rsid w:val="00085CAE"/>
    <w:rsid w:val="00086095"/>
    <w:rsid w:val="0008609E"/>
    <w:rsid w:val="0008673C"/>
    <w:rsid w:val="00086832"/>
    <w:rsid w:val="00086A1E"/>
    <w:rsid w:val="00086C13"/>
    <w:rsid w:val="00087592"/>
    <w:rsid w:val="00087987"/>
    <w:rsid w:val="000879C1"/>
    <w:rsid w:val="00087D82"/>
    <w:rsid w:val="00087E9B"/>
    <w:rsid w:val="00090108"/>
    <w:rsid w:val="000907A4"/>
    <w:rsid w:val="000910D0"/>
    <w:rsid w:val="000915F9"/>
    <w:rsid w:val="0009180B"/>
    <w:rsid w:val="00091900"/>
    <w:rsid w:val="00091F59"/>
    <w:rsid w:val="00092383"/>
    <w:rsid w:val="00092480"/>
    <w:rsid w:val="000924B6"/>
    <w:rsid w:val="00092816"/>
    <w:rsid w:val="00092874"/>
    <w:rsid w:val="00092B92"/>
    <w:rsid w:val="00092C91"/>
    <w:rsid w:val="00092EFC"/>
    <w:rsid w:val="000930FD"/>
    <w:rsid w:val="00093BE3"/>
    <w:rsid w:val="00093E32"/>
    <w:rsid w:val="000944C2"/>
    <w:rsid w:val="00094546"/>
    <w:rsid w:val="0009465C"/>
    <w:rsid w:val="00094977"/>
    <w:rsid w:val="00094AE5"/>
    <w:rsid w:val="00094F69"/>
    <w:rsid w:val="00095203"/>
    <w:rsid w:val="00095CE4"/>
    <w:rsid w:val="00095ED8"/>
    <w:rsid w:val="00096832"/>
    <w:rsid w:val="00096940"/>
    <w:rsid w:val="00096F58"/>
    <w:rsid w:val="000971B9"/>
    <w:rsid w:val="000973A7"/>
    <w:rsid w:val="000973E4"/>
    <w:rsid w:val="00097844"/>
    <w:rsid w:val="00097B12"/>
    <w:rsid w:val="00097BA3"/>
    <w:rsid w:val="00097F18"/>
    <w:rsid w:val="000A0005"/>
    <w:rsid w:val="000A0078"/>
    <w:rsid w:val="000A017A"/>
    <w:rsid w:val="000A06A7"/>
    <w:rsid w:val="000A0833"/>
    <w:rsid w:val="000A0B85"/>
    <w:rsid w:val="000A0CD2"/>
    <w:rsid w:val="000A13A5"/>
    <w:rsid w:val="000A16B1"/>
    <w:rsid w:val="000A1D98"/>
    <w:rsid w:val="000A2084"/>
    <w:rsid w:val="000A229D"/>
    <w:rsid w:val="000A253D"/>
    <w:rsid w:val="000A2C26"/>
    <w:rsid w:val="000A2F87"/>
    <w:rsid w:val="000A313E"/>
    <w:rsid w:val="000A3393"/>
    <w:rsid w:val="000A389E"/>
    <w:rsid w:val="000A39BC"/>
    <w:rsid w:val="000A3D27"/>
    <w:rsid w:val="000A3D3C"/>
    <w:rsid w:val="000A4593"/>
    <w:rsid w:val="000A45BE"/>
    <w:rsid w:val="000A45EB"/>
    <w:rsid w:val="000A46F4"/>
    <w:rsid w:val="000A4D58"/>
    <w:rsid w:val="000A4FF0"/>
    <w:rsid w:val="000A6182"/>
    <w:rsid w:val="000A6585"/>
    <w:rsid w:val="000A70C3"/>
    <w:rsid w:val="000A7379"/>
    <w:rsid w:val="000A7433"/>
    <w:rsid w:val="000A7774"/>
    <w:rsid w:val="000A7AED"/>
    <w:rsid w:val="000A7B54"/>
    <w:rsid w:val="000A7D7E"/>
    <w:rsid w:val="000A7FDE"/>
    <w:rsid w:val="000B0023"/>
    <w:rsid w:val="000B04C0"/>
    <w:rsid w:val="000B0558"/>
    <w:rsid w:val="000B06CE"/>
    <w:rsid w:val="000B07EA"/>
    <w:rsid w:val="000B098D"/>
    <w:rsid w:val="000B0ABC"/>
    <w:rsid w:val="000B0C03"/>
    <w:rsid w:val="000B0D33"/>
    <w:rsid w:val="000B1282"/>
    <w:rsid w:val="000B13E4"/>
    <w:rsid w:val="000B14D4"/>
    <w:rsid w:val="000B1586"/>
    <w:rsid w:val="000B18FE"/>
    <w:rsid w:val="000B1960"/>
    <w:rsid w:val="000B2547"/>
    <w:rsid w:val="000B2A51"/>
    <w:rsid w:val="000B2E59"/>
    <w:rsid w:val="000B3050"/>
    <w:rsid w:val="000B308A"/>
    <w:rsid w:val="000B3103"/>
    <w:rsid w:val="000B3188"/>
    <w:rsid w:val="000B3837"/>
    <w:rsid w:val="000B3AD8"/>
    <w:rsid w:val="000B3F16"/>
    <w:rsid w:val="000B3F8D"/>
    <w:rsid w:val="000B44E6"/>
    <w:rsid w:val="000B4B6C"/>
    <w:rsid w:val="000B4BE7"/>
    <w:rsid w:val="000B4D83"/>
    <w:rsid w:val="000B52B1"/>
    <w:rsid w:val="000B5702"/>
    <w:rsid w:val="000B5AE1"/>
    <w:rsid w:val="000B5BCE"/>
    <w:rsid w:val="000B5E57"/>
    <w:rsid w:val="000B61C9"/>
    <w:rsid w:val="000B62DD"/>
    <w:rsid w:val="000B6881"/>
    <w:rsid w:val="000B6E4C"/>
    <w:rsid w:val="000B6F23"/>
    <w:rsid w:val="000B7DF7"/>
    <w:rsid w:val="000B7E8D"/>
    <w:rsid w:val="000B7F62"/>
    <w:rsid w:val="000C0265"/>
    <w:rsid w:val="000C033B"/>
    <w:rsid w:val="000C03EA"/>
    <w:rsid w:val="000C08F1"/>
    <w:rsid w:val="000C09DA"/>
    <w:rsid w:val="000C09EA"/>
    <w:rsid w:val="000C0DE6"/>
    <w:rsid w:val="000C124E"/>
    <w:rsid w:val="000C1416"/>
    <w:rsid w:val="000C1ADD"/>
    <w:rsid w:val="000C1C8F"/>
    <w:rsid w:val="000C1D94"/>
    <w:rsid w:val="000C1E94"/>
    <w:rsid w:val="000C2009"/>
    <w:rsid w:val="000C206A"/>
    <w:rsid w:val="000C289E"/>
    <w:rsid w:val="000C2A19"/>
    <w:rsid w:val="000C32C0"/>
    <w:rsid w:val="000C341B"/>
    <w:rsid w:val="000C348F"/>
    <w:rsid w:val="000C36CD"/>
    <w:rsid w:val="000C3741"/>
    <w:rsid w:val="000C3848"/>
    <w:rsid w:val="000C38A4"/>
    <w:rsid w:val="000C39C2"/>
    <w:rsid w:val="000C39D4"/>
    <w:rsid w:val="000C3A15"/>
    <w:rsid w:val="000C3EA1"/>
    <w:rsid w:val="000C40DB"/>
    <w:rsid w:val="000C489F"/>
    <w:rsid w:val="000C4D9C"/>
    <w:rsid w:val="000C4E37"/>
    <w:rsid w:val="000C4EEF"/>
    <w:rsid w:val="000C55AF"/>
    <w:rsid w:val="000C5745"/>
    <w:rsid w:val="000C5805"/>
    <w:rsid w:val="000C599C"/>
    <w:rsid w:val="000C5A30"/>
    <w:rsid w:val="000C62CD"/>
    <w:rsid w:val="000C633A"/>
    <w:rsid w:val="000C6A1B"/>
    <w:rsid w:val="000C6F71"/>
    <w:rsid w:val="000C6F92"/>
    <w:rsid w:val="000C7408"/>
    <w:rsid w:val="000C760A"/>
    <w:rsid w:val="000C7A4B"/>
    <w:rsid w:val="000C7B75"/>
    <w:rsid w:val="000C7BC3"/>
    <w:rsid w:val="000C7ECE"/>
    <w:rsid w:val="000D02B2"/>
    <w:rsid w:val="000D08A2"/>
    <w:rsid w:val="000D0964"/>
    <w:rsid w:val="000D0981"/>
    <w:rsid w:val="000D09F0"/>
    <w:rsid w:val="000D17C4"/>
    <w:rsid w:val="000D193D"/>
    <w:rsid w:val="000D1A3C"/>
    <w:rsid w:val="000D1C4D"/>
    <w:rsid w:val="000D20AC"/>
    <w:rsid w:val="000D2192"/>
    <w:rsid w:val="000D2276"/>
    <w:rsid w:val="000D23E8"/>
    <w:rsid w:val="000D28C1"/>
    <w:rsid w:val="000D2BDE"/>
    <w:rsid w:val="000D2BF8"/>
    <w:rsid w:val="000D2F7F"/>
    <w:rsid w:val="000D34BA"/>
    <w:rsid w:val="000D34D4"/>
    <w:rsid w:val="000D3FFE"/>
    <w:rsid w:val="000D412F"/>
    <w:rsid w:val="000D4493"/>
    <w:rsid w:val="000D45D2"/>
    <w:rsid w:val="000D48B6"/>
    <w:rsid w:val="000D4ADB"/>
    <w:rsid w:val="000D4F2C"/>
    <w:rsid w:val="000D4FBA"/>
    <w:rsid w:val="000D4FD6"/>
    <w:rsid w:val="000D50DB"/>
    <w:rsid w:val="000D53EC"/>
    <w:rsid w:val="000D5460"/>
    <w:rsid w:val="000D5730"/>
    <w:rsid w:val="000D59D7"/>
    <w:rsid w:val="000D5A41"/>
    <w:rsid w:val="000D622F"/>
    <w:rsid w:val="000D6262"/>
    <w:rsid w:val="000D6692"/>
    <w:rsid w:val="000D69D9"/>
    <w:rsid w:val="000D6F5D"/>
    <w:rsid w:val="000D7090"/>
    <w:rsid w:val="000D7177"/>
    <w:rsid w:val="000D7552"/>
    <w:rsid w:val="000D75D6"/>
    <w:rsid w:val="000D774B"/>
    <w:rsid w:val="000D77B4"/>
    <w:rsid w:val="000D789A"/>
    <w:rsid w:val="000D7D3E"/>
    <w:rsid w:val="000D7EA3"/>
    <w:rsid w:val="000E01C2"/>
    <w:rsid w:val="000E02F1"/>
    <w:rsid w:val="000E0402"/>
    <w:rsid w:val="000E0B7F"/>
    <w:rsid w:val="000E0C5C"/>
    <w:rsid w:val="000E11EA"/>
    <w:rsid w:val="000E14FB"/>
    <w:rsid w:val="000E15D8"/>
    <w:rsid w:val="000E1673"/>
    <w:rsid w:val="000E1AB1"/>
    <w:rsid w:val="000E1B9D"/>
    <w:rsid w:val="000E1E71"/>
    <w:rsid w:val="000E21E1"/>
    <w:rsid w:val="000E247F"/>
    <w:rsid w:val="000E2581"/>
    <w:rsid w:val="000E2A6C"/>
    <w:rsid w:val="000E30C8"/>
    <w:rsid w:val="000E32A6"/>
    <w:rsid w:val="000E3519"/>
    <w:rsid w:val="000E3669"/>
    <w:rsid w:val="000E39A9"/>
    <w:rsid w:val="000E3CD7"/>
    <w:rsid w:val="000E40D9"/>
    <w:rsid w:val="000E473A"/>
    <w:rsid w:val="000E497B"/>
    <w:rsid w:val="000E4A35"/>
    <w:rsid w:val="000E4B6E"/>
    <w:rsid w:val="000E4D0A"/>
    <w:rsid w:val="000E4F56"/>
    <w:rsid w:val="000E5890"/>
    <w:rsid w:val="000E5CA5"/>
    <w:rsid w:val="000E5CE2"/>
    <w:rsid w:val="000E5E4E"/>
    <w:rsid w:val="000E6015"/>
    <w:rsid w:val="000E6282"/>
    <w:rsid w:val="000E6622"/>
    <w:rsid w:val="000E7687"/>
    <w:rsid w:val="000E768C"/>
    <w:rsid w:val="000E7CE8"/>
    <w:rsid w:val="000F03E2"/>
    <w:rsid w:val="000F0692"/>
    <w:rsid w:val="000F07E2"/>
    <w:rsid w:val="000F0937"/>
    <w:rsid w:val="000F09FE"/>
    <w:rsid w:val="000F0B6A"/>
    <w:rsid w:val="000F0D0F"/>
    <w:rsid w:val="000F0D60"/>
    <w:rsid w:val="000F0E6F"/>
    <w:rsid w:val="000F0FEF"/>
    <w:rsid w:val="000F131E"/>
    <w:rsid w:val="000F13F5"/>
    <w:rsid w:val="000F1806"/>
    <w:rsid w:val="000F1B68"/>
    <w:rsid w:val="000F1C56"/>
    <w:rsid w:val="000F211B"/>
    <w:rsid w:val="000F2209"/>
    <w:rsid w:val="000F255D"/>
    <w:rsid w:val="000F2D4A"/>
    <w:rsid w:val="000F2EEF"/>
    <w:rsid w:val="000F3CA2"/>
    <w:rsid w:val="000F3CDF"/>
    <w:rsid w:val="000F3D84"/>
    <w:rsid w:val="000F3DAF"/>
    <w:rsid w:val="000F3E95"/>
    <w:rsid w:val="000F411F"/>
    <w:rsid w:val="000F4A4E"/>
    <w:rsid w:val="000F4B86"/>
    <w:rsid w:val="000F4F52"/>
    <w:rsid w:val="000F5036"/>
    <w:rsid w:val="000F549A"/>
    <w:rsid w:val="000F54CC"/>
    <w:rsid w:val="000F588E"/>
    <w:rsid w:val="000F5FEB"/>
    <w:rsid w:val="000F62B8"/>
    <w:rsid w:val="000F653A"/>
    <w:rsid w:val="000F6563"/>
    <w:rsid w:val="000F693F"/>
    <w:rsid w:val="000F6B33"/>
    <w:rsid w:val="000F6B8E"/>
    <w:rsid w:val="000F72E0"/>
    <w:rsid w:val="000F7653"/>
    <w:rsid w:val="000F7751"/>
    <w:rsid w:val="000F7C26"/>
    <w:rsid w:val="000F7CB2"/>
    <w:rsid w:val="000F7D7E"/>
    <w:rsid w:val="00100195"/>
    <w:rsid w:val="00100337"/>
    <w:rsid w:val="00100469"/>
    <w:rsid w:val="00100664"/>
    <w:rsid w:val="00100728"/>
    <w:rsid w:val="00100752"/>
    <w:rsid w:val="001009DC"/>
    <w:rsid w:val="00100D5F"/>
    <w:rsid w:val="001016F4"/>
    <w:rsid w:val="001019C6"/>
    <w:rsid w:val="00101B3E"/>
    <w:rsid w:val="00101D01"/>
    <w:rsid w:val="00102029"/>
    <w:rsid w:val="00102253"/>
    <w:rsid w:val="0010259C"/>
    <w:rsid w:val="001028AE"/>
    <w:rsid w:val="0010294F"/>
    <w:rsid w:val="00102C9C"/>
    <w:rsid w:val="00102F57"/>
    <w:rsid w:val="001030BC"/>
    <w:rsid w:val="001038B8"/>
    <w:rsid w:val="00103CD8"/>
    <w:rsid w:val="00103EB2"/>
    <w:rsid w:val="00103F01"/>
    <w:rsid w:val="0010424C"/>
    <w:rsid w:val="001042BF"/>
    <w:rsid w:val="001042D3"/>
    <w:rsid w:val="001042DA"/>
    <w:rsid w:val="0010431B"/>
    <w:rsid w:val="001044B4"/>
    <w:rsid w:val="00104760"/>
    <w:rsid w:val="001047B2"/>
    <w:rsid w:val="001047E3"/>
    <w:rsid w:val="00104868"/>
    <w:rsid w:val="00104872"/>
    <w:rsid w:val="001048B0"/>
    <w:rsid w:val="00104A1A"/>
    <w:rsid w:val="00104E17"/>
    <w:rsid w:val="00104F31"/>
    <w:rsid w:val="001052C5"/>
    <w:rsid w:val="00105308"/>
    <w:rsid w:val="001053DD"/>
    <w:rsid w:val="001054DA"/>
    <w:rsid w:val="00105860"/>
    <w:rsid w:val="001058F5"/>
    <w:rsid w:val="001060EA"/>
    <w:rsid w:val="001061C2"/>
    <w:rsid w:val="00106632"/>
    <w:rsid w:val="0010672A"/>
    <w:rsid w:val="00106C57"/>
    <w:rsid w:val="00106CC7"/>
    <w:rsid w:val="00106F48"/>
    <w:rsid w:val="001073DC"/>
    <w:rsid w:val="001074B7"/>
    <w:rsid w:val="00107528"/>
    <w:rsid w:val="001076E1"/>
    <w:rsid w:val="00107BB7"/>
    <w:rsid w:val="00107C2A"/>
    <w:rsid w:val="00107D5D"/>
    <w:rsid w:val="0011059F"/>
    <w:rsid w:val="00110C53"/>
    <w:rsid w:val="001110A2"/>
    <w:rsid w:val="00111238"/>
    <w:rsid w:val="0011187F"/>
    <w:rsid w:val="00111AED"/>
    <w:rsid w:val="00111B91"/>
    <w:rsid w:val="0011207E"/>
    <w:rsid w:val="00112292"/>
    <w:rsid w:val="00112799"/>
    <w:rsid w:val="00112E1C"/>
    <w:rsid w:val="00113108"/>
    <w:rsid w:val="001133AD"/>
    <w:rsid w:val="001133D1"/>
    <w:rsid w:val="00113E7D"/>
    <w:rsid w:val="00114078"/>
    <w:rsid w:val="00114297"/>
    <w:rsid w:val="00114950"/>
    <w:rsid w:val="0011496F"/>
    <w:rsid w:val="00114D8E"/>
    <w:rsid w:val="00114FAD"/>
    <w:rsid w:val="001152EA"/>
    <w:rsid w:val="00115AA9"/>
    <w:rsid w:val="00115DD3"/>
    <w:rsid w:val="00115FD5"/>
    <w:rsid w:val="001166A6"/>
    <w:rsid w:val="00116A04"/>
    <w:rsid w:val="001172C0"/>
    <w:rsid w:val="00117699"/>
    <w:rsid w:val="00117E6D"/>
    <w:rsid w:val="00120357"/>
    <w:rsid w:val="001204AD"/>
    <w:rsid w:val="00120766"/>
    <w:rsid w:val="00120B73"/>
    <w:rsid w:val="00120BDE"/>
    <w:rsid w:val="00120CF5"/>
    <w:rsid w:val="00120F1E"/>
    <w:rsid w:val="001210DF"/>
    <w:rsid w:val="0012111E"/>
    <w:rsid w:val="00121203"/>
    <w:rsid w:val="0012148D"/>
    <w:rsid w:val="00121589"/>
    <w:rsid w:val="00121859"/>
    <w:rsid w:val="001219BA"/>
    <w:rsid w:val="00121AA6"/>
    <w:rsid w:val="00121D54"/>
    <w:rsid w:val="00121DF5"/>
    <w:rsid w:val="0012252C"/>
    <w:rsid w:val="001225DF"/>
    <w:rsid w:val="001228F9"/>
    <w:rsid w:val="00122F09"/>
    <w:rsid w:val="001230D4"/>
    <w:rsid w:val="001232B0"/>
    <w:rsid w:val="00123704"/>
    <w:rsid w:val="00123A3A"/>
    <w:rsid w:val="00123B93"/>
    <w:rsid w:val="00123E3A"/>
    <w:rsid w:val="0012495E"/>
    <w:rsid w:val="00124AB8"/>
    <w:rsid w:val="00125301"/>
    <w:rsid w:val="00125937"/>
    <w:rsid w:val="00125AC9"/>
    <w:rsid w:val="0012604F"/>
    <w:rsid w:val="00126342"/>
    <w:rsid w:val="0012676B"/>
    <w:rsid w:val="00126F76"/>
    <w:rsid w:val="0012717D"/>
    <w:rsid w:val="00127241"/>
    <w:rsid w:val="0012748F"/>
    <w:rsid w:val="00127816"/>
    <w:rsid w:val="001279C7"/>
    <w:rsid w:val="00127BB4"/>
    <w:rsid w:val="00127D5D"/>
    <w:rsid w:val="00127F7F"/>
    <w:rsid w:val="00127F98"/>
    <w:rsid w:val="001301EF"/>
    <w:rsid w:val="0013037B"/>
    <w:rsid w:val="00130380"/>
    <w:rsid w:val="00130442"/>
    <w:rsid w:val="00130477"/>
    <w:rsid w:val="00130554"/>
    <w:rsid w:val="00130758"/>
    <w:rsid w:val="0013107F"/>
    <w:rsid w:val="001312DF"/>
    <w:rsid w:val="0013194E"/>
    <w:rsid w:val="00131BFD"/>
    <w:rsid w:val="00132429"/>
    <w:rsid w:val="001329EC"/>
    <w:rsid w:val="00132CD0"/>
    <w:rsid w:val="001335EE"/>
    <w:rsid w:val="00133623"/>
    <w:rsid w:val="00133699"/>
    <w:rsid w:val="00133A78"/>
    <w:rsid w:val="00133E4A"/>
    <w:rsid w:val="001341EB"/>
    <w:rsid w:val="00134291"/>
    <w:rsid w:val="001345C2"/>
    <w:rsid w:val="0013529E"/>
    <w:rsid w:val="00135590"/>
    <w:rsid w:val="00135B9D"/>
    <w:rsid w:val="00135C9A"/>
    <w:rsid w:val="00135D82"/>
    <w:rsid w:val="001360AF"/>
    <w:rsid w:val="00136542"/>
    <w:rsid w:val="001365C8"/>
    <w:rsid w:val="0013711C"/>
    <w:rsid w:val="0013713D"/>
    <w:rsid w:val="00137214"/>
    <w:rsid w:val="0013753A"/>
    <w:rsid w:val="0013781B"/>
    <w:rsid w:val="0013792B"/>
    <w:rsid w:val="00137AA0"/>
    <w:rsid w:val="00137B60"/>
    <w:rsid w:val="00137F78"/>
    <w:rsid w:val="0014022A"/>
    <w:rsid w:val="00140630"/>
    <w:rsid w:val="00140B0D"/>
    <w:rsid w:val="00140B68"/>
    <w:rsid w:val="00140C6E"/>
    <w:rsid w:val="001413C5"/>
    <w:rsid w:val="00141459"/>
    <w:rsid w:val="00142050"/>
    <w:rsid w:val="001430E3"/>
    <w:rsid w:val="0014379A"/>
    <w:rsid w:val="00143FFC"/>
    <w:rsid w:val="00144728"/>
    <w:rsid w:val="001448C5"/>
    <w:rsid w:val="00144BCF"/>
    <w:rsid w:val="00144DCE"/>
    <w:rsid w:val="00144E9A"/>
    <w:rsid w:val="00144F49"/>
    <w:rsid w:val="001456ED"/>
    <w:rsid w:val="00145A2D"/>
    <w:rsid w:val="00145C51"/>
    <w:rsid w:val="00145D74"/>
    <w:rsid w:val="00145DAE"/>
    <w:rsid w:val="00145DC4"/>
    <w:rsid w:val="00145F3E"/>
    <w:rsid w:val="001460FA"/>
    <w:rsid w:val="0014642B"/>
    <w:rsid w:val="001466B7"/>
    <w:rsid w:val="0014675E"/>
    <w:rsid w:val="001469A4"/>
    <w:rsid w:val="00146F4C"/>
    <w:rsid w:val="00146F4E"/>
    <w:rsid w:val="00147233"/>
    <w:rsid w:val="0014730D"/>
    <w:rsid w:val="00147F43"/>
    <w:rsid w:val="00147FC2"/>
    <w:rsid w:val="00150355"/>
    <w:rsid w:val="00150537"/>
    <w:rsid w:val="001506A7"/>
    <w:rsid w:val="0015071C"/>
    <w:rsid w:val="00150896"/>
    <w:rsid w:val="00150959"/>
    <w:rsid w:val="00150A97"/>
    <w:rsid w:val="00150C0B"/>
    <w:rsid w:val="00150C0E"/>
    <w:rsid w:val="00150E03"/>
    <w:rsid w:val="001510ED"/>
    <w:rsid w:val="0015115F"/>
    <w:rsid w:val="0015116F"/>
    <w:rsid w:val="0015117E"/>
    <w:rsid w:val="001512CD"/>
    <w:rsid w:val="00151456"/>
    <w:rsid w:val="00151B0E"/>
    <w:rsid w:val="0015220F"/>
    <w:rsid w:val="001522BB"/>
    <w:rsid w:val="0015241C"/>
    <w:rsid w:val="0015270A"/>
    <w:rsid w:val="00152E2E"/>
    <w:rsid w:val="00152E84"/>
    <w:rsid w:val="001533E6"/>
    <w:rsid w:val="001539F4"/>
    <w:rsid w:val="00153BA6"/>
    <w:rsid w:val="00153C02"/>
    <w:rsid w:val="00153CB1"/>
    <w:rsid w:val="00153FB0"/>
    <w:rsid w:val="0015446D"/>
    <w:rsid w:val="001544EF"/>
    <w:rsid w:val="001547F7"/>
    <w:rsid w:val="00154C34"/>
    <w:rsid w:val="00155631"/>
    <w:rsid w:val="00155C70"/>
    <w:rsid w:val="00155C8E"/>
    <w:rsid w:val="00155FBB"/>
    <w:rsid w:val="001569F3"/>
    <w:rsid w:val="00156A26"/>
    <w:rsid w:val="00156A67"/>
    <w:rsid w:val="00156BF2"/>
    <w:rsid w:val="00156CFB"/>
    <w:rsid w:val="00156E79"/>
    <w:rsid w:val="001574CA"/>
    <w:rsid w:val="00157596"/>
    <w:rsid w:val="00157872"/>
    <w:rsid w:val="00157890"/>
    <w:rsid w:val="0015789D"/>
    <w:rsid w:val="001579D7"/>
    <w:rsid w:val="00157CA6"/>
    <w:rsid w:val="00157DC8"/>
    <w:rsid w:val="00157E92"/>
    <w:rsid w:val="001603AC"/>
    <w:rsid w:val="00160E46"/>
    <w:rsid w:val="00160EFA"/>
    <w:rsid w:val="00160FD1"/>
    <w:rsid w:val="001611C4"/>
    <w:rsid w:val="001614FD"/>
    <w:rsid w:val="0016165F"/>
    <w:rsid w:val="00161A41"/>
    <w:rsid w:val="00161BD1"/>
    <w:rsid w:val="00161CFB"/>
    <w:rsid w:val="00162413"/>
    <w:rsid w:val="00162596"/>
    <w:rsid w:val="001628A6"/>
    <w:rsid w:val="00162BFA"/>
    <w:rsid w:val="00162C6C"/>
    <w:rsid w:val="0016332E"/>
    <w:rsid w:val="001635A4"/>
    <w:rsid w:val="001637D8"/>
    <w:rsid w:val="0016382F"/>
    <w:rsid w:val="0016399D"/>
    <w:rsid w:val="00164380"/>
    <w:rsid w:val="00164C52"/>
    <w:rsid w:val="00164CF4"/>
    <w:rsid w:val="00164D23"/>
    <w:rsid w:val="00165073"/>
    <w:rsid w:val="001651E8"/>
    <w:rsid w:val="00165B15"/>
    <w:rsid w:val="00165B7D"/>
    <w:rsid w:val="00165C43"/>
    <w:rsid w:val="00166090"/>
    <w:rsid w:val="0016610D"/>
    <w:rsid w:val="0016646F"/>
    <w:rsid w:val="0016662E"/>
    <w:rsid w:val="0016669D"/>
    <w:rsid w:val="001666B1"/>
    <w:rsid w:val="0016697F"/>
    <w:rsid w:val="00166C66"/>
    <w:rsid w:val="00166D2F"/>
    <w:rsid w:val="00166F08"/>
    <w:rsid w:val="00166F90"/>
    <w:rsid w:val="00166FCB"/>
    <w:rsid w:val="00167031"/>
    <w:rsid w:val="00167A25"/>
    <w:rsid w:val="001700A2"/>
    <w:rsid w:val="001702B0"/>
    <w:rsid w:val="0017032E"/>
    <w:rsid w:val="00170850"/>
    <w:rsid w:val="0017113A"/>
    <w:rsid w:val="00171D10"/>
    <w:rsid w:val="00171D9D"/>
    <w:rsid w:val="00172506"/>
    <w:rsid w:val="00172C7E"/>
    <w:rsid w:val="00172F84"/>
    <w:rsid w:val="0017320B"/>
    <w:rsid w:val="00173EAE"/>
    <w:rsid w:val="00174759"/>
    <w:rsid w:val="00174F40"/>
    <w:rsid w:val="0017508F"/>
    <w:rsid w:val="001753CF"/>
    <w:rsid w:val="00175B6D"/>
    <w:rsid w:val="00175D09"/>
    <w:rsid w:val="00175DB8"/>
    <w:rsid w:val="00175DC9"/>
    <w:rsid w:val="00175FA5"/>
    <w:rsid w:val="001761A8"/>
    <w:rsid w:val="0017634D"/>
    <w:rsid w:val="0017638A"/>
    <w:rsid w:val="00176421"/>
    <w:rsid w:val="00176448"/>
    <w:rsid w:val="001765C3"/>
    <w:rsid w:val="00176B7A"/>
    <w:rsid w:val="00177435"/>
    <w:rsid w:val="001775FB"/>
    <w:rsid w:val="0017792B"/>
    <w:rsid w:val="0017ED44"/>
    <w:rsid w:val="00180288"/>
    <w:rsid w:val="001803D3"/>
    <w:rsid w:val="0018041B"/>
    <w:rsid w:val="00180564"/>
    <w:rsid w:val="00180BAF"/>
    <w:rsid w:val="00180E6F"/>
    <w:rsid w:val="00181388"/>
    <w:rsid w:val="00181401"/>
    <w:rsid w:val="00181882"/>
    <w:rsid w:val="00182136"/>
    <w:rsid w:val="0018263C"/>
    <w:rsid w:val="001828B9"/>
    <w:rsid w:val="00182C2E"/>
    <w:rsid w:val="00183EA0"/>
    <w:rsid w:val="00183F0E"/>
    <w:rsid w:val="00183F28"/>
    <w:rsid w:val="00184125"/>
    <w:rsid w:val="00184233"/>
    <w:rsid w:val="00184D7A"/>
    <w:rsid w:val="00185075"/>
    <w:rsid w:val="001850D4"/>
    <w:rsid w:val="001851B2"/>
    <w:rsid w:val="0018581C"/>
    <w:rsid w:val="00185837"/>
    <w:rsid w:val="0018600F"/>
    <w:rsid w:val="0018602B"/>
    <w:rsid w:val="00186757"/>
    <w:rsid w:val="00186826"/>
    <w:rsid w:val="00187074"/>
    <w:rsid w:val="0018758F"/>
    <w:rsid w:val="00187594"/>
    <w:rsid w:val="00187CA8"/>
    <w:rsid w:val="00187CC3"/>
    <w:rsid w:val="00187F7E"/>
    <w:rsid w:val="001904A0"/>
    <w:rsid w:val="001906CF"/>
    <w:rsid w:val="00190E94"/>
    <w:rsid w:val="0019143C"/>
    <w:rsid w:val="001914DB"/>
    <w:rsid w:val="00191794"/>
    <w:rsid w:val="001917A3"/>
    <w:rsid w:val="00191A4E"/>
    <w:rsid w:val="00191B4D"/>
    <w:rsid w:val="00191CCE"/>
    <w:rsid w:val="001925FA"/>
    <w:rsid w:val="0019265D"/>
    <w:rsid w:val="001926F4"/>
    <w:rsid w:val="001927CF"/>
    <w:rsid w:val="00192D2D"/>
    <w:rsid w:val="001933F9"/>
    <w:rsid w:val="001935F5"/>
    <w:rsid w:val="00193608"/>
    <w:rsid w:val="00193673"/>
    <w:rsid w:val="00193683"/>
    <w:rsid w:val="0019371C"/>
    <w:rsid w:val="00193D34"/>
    <w:rsid w:val="00193F06"/>
    <w:rsid w:val="00194ABD"/>
    <w:rsid w:val="00194C9D"/>
    <w:rsid w:val="001953D1"/>
    <w:rsid w:val="00195ECA"/>
    <w:rsid w:val="00196203"/>
    <w:rsid w:val="001964A9"/>
    <w:rsid w:val="00196A5F"/>
    <w:rsid w:val="00196CEE"/>
    <w:rsid w:val="00196DD9"/>
    <w:rsid w:val="00196DFF"/>
    <w:rsid w:val="00196E27"/>
    <w:rsid w:val="001975C7"/>
    <w:rsid w:val="00197781"/>
    <w:rsid w:val="001A0248"/>
    <w:rsid w:val="001A0374"/>
    <w:rsid w:val="001A0475"/>
    <w:rsid w:val="001A0491"/>
    <w:rsid w:val="001A087D"/>
    <w:rsid w:val="001A0D36"/>
    <w:rsid w:val="001A1330"/>
    <w:rsid w:val="001A1CF8"/>
    <w:rsid w:val="001A1D2F"/>
    <w:rsid w:val="001A1D3C"/>
    <w:rsid w:val="001A1E7A"/>
    <w:rsid w:val="001A1EA5"/>
    <w:rsid w:val="001A23D6"/>
    <w:rsid w:val="001A2EF3"/>
    <w:rsid w:val="001A2F2E"/>
    <w:rsid w:val="001A31DE"/>
    <w:rsid w:val="001A3344"/>
    <w:rsid w:val="001A3805"/>
    <w:rsid w:val="001A43AC"/>
    <w:rsid w:val="001A472F"/>
    <w:rsid w:val="001A4770"/>
    <w:rsid w:val="001A4848"/>
    <w:rsid w:val="001A4B13"/>
    <w:rsid w:val="001A4B56"/>
    <w:rsid w:val="001A4D0A"/>
    <w:rsid w:val="001A4DD7"/>
    <w:rsid w:val="001A4FA2"/>
    <w:rsid w:val="001A512E"/>
    <w:rsid w:val="001A5156"/>
    <w:rsid w:val="001A56B6"/>
    <w:rsid w:val="001A582E"/>
    <w:rsid w:val="001A59AA"/>
    <w:rsid w:val="001A5A99"/>
    <w:rsid w:val="001A5AB5"/>
    <w:rsid w:val="001A5C98"/>
    <w:rsid w:val="001A5D7C"/>
    <w:rsid w:val="001A638B"/>
    <w:rsid w:val="001A64A6"/>
    <w:rsid w:val="001A6BB5"/>
    <w:rsid w:val="001A6F61"/>
    <w:rsid w:val="001A6FDF"/>
    <w:rsid w:val="001A743E"/>
    <w:rsid w:val="001A7697"/>
    <w:rsid w:val="001A7DB1"/>
    <w:rsid w:val="001B04A3"/>
    <w:rsid w:val="001B0773"/>
    <w:rsid w:val="001B0863"/>
    <w:rsid w:val="001B0A9C"/>
    <w:rsid w:val="001B0ACD"/>
    <w:rsid w:val="001B10FB"/>
    <w:rsid w:val="001B149C"/>
    <w:rsid w:val="001B1826"/>
    <w:rsid w:val="001B1870"/>
    <w:rsid w:val="001B18CF"/>
    <w:rsid w:val="001B2376"/>
    <w:rsid w:val="001B2497"/>
    <w:rsid w:val="001B24A4"/>
    <w:rsid w:val="001B2570"/>
    <w:rsid w:val="001B25B9"/>
    <w:rsid w:val="001B344A"/>
    <w:rsid w:val="001B3A7C"/>
    <w:rsid w:val="001B3C69"/>
    <w:rsid w:val="001B40F0"/>
    <w:rsid w:val="001B4F3E"/>
    <w:rsid w:val="001B4F5C"/>
    <w:rsid w:val="001B5054"/>
    <w:rsid w:val="001B548D"/>
    <w:rsid w:val="001B58CD"/>
    <w:rsid w:val="001B5E16"/>
    <w:rsid w:val="001B60F2"/>
    <w:rsid w:val="001B6972"/>
    <w:rsid w:val="001B6FF0"/>
    <w:rsid w:val="001B742C"/>
    <w:rsid w:val="001B7533"/>
    <w:rsid w:val="001B7757"/>
    <w:rsid w:val="001B77C0"/>
    <w:rsid w:val="001B7CEC"/>
    <w:rsid w:val="001B7FA0"/>
    <w:rsid w:val="001B7FA2"/>
    <w:rsid w:val="001C02F9"/>
    <w:rsid w:val="001C0518"/>
    <w:rsid w:val="001C0635"/>
    <w:rsid w:val="001C06B6"/>
    <w:rsid w:val="001C06F2"/>
    <w:rsid w:val="001C0B57"/>
    <w:rsid w:val="001C0F05"/>
    <w:rsid w:val="001C0FD9"/>
    <w:rsid w:val="001C11DB"/>
    <w:rsid w:val="001C125E"/>
    <w:rsid w:val="001C13FB"/>
    <w:rsid w:val="001C183C"/>
    <w:rsid w:val="001C1CD3"/>
    <w:rsid w:val="001C1D76"/>
    <w:rsid w:val="001C1E4D"/>
    <w:rsid w:val="001C2539"/>
    <w:rsid w:val="001C2573"/>
    <w:rsid w:val="001C2667"/>
    <w:rsid w:val="001C26D6"/>
    <w:rsid w:val="001C2B27"/>
    <w:rsid w:val="001C3171"/>
    <w:rsid w:val="001C3395"/>
    <w:rsid w:val="001C3580"/>
    <w:rsid w:val="001C3685"/>
    <w:rsid w:val="001C3865"/>
    <w:rsid w:val="001C3F6F"/>
    <w:rsid w:val="001C407F"/>
    <w:rsid w:val="001C41BA"/>
    <w:rsid w:val="001C4426"/>
    <w:rsid w:val="001C4D33"/>
    <w:rsid w:val="001C4D52"/>
    <w:rsid w:val="001C4D6F"/>
    <w:rsid w:val="001C53C4"/>
    <w:rsid w:val="001C5B86"/>
    <w:rsid w:val="001C5DE0"/>
    <w:rsid w:val="001C6185"/>
    <w:rsid w:val="001C63C3"/>
    <w:rsid w:val="001C6992"/>
    <w:rsid w:val="001C6C47"/>
    <w:rsid w:val="001C6D87"/>
    <w:rsid w:val="001C6E40"/>
    <w:rsid w:val="001C6F8B"/>
    <w:rsid w:val="001C7160"/>
    <w:rsid w:val="001C7329"/>
    <w:rsid w:val="001C7CE1"/>
    <w:rsid w:val="001D0485"/>
    <w:rsid w:val="001D073A"/>
    <w:rsid w:val="001D0E5C"/>
    <w:rsid w:val="001D14A8"/>
    <w:rsid w:val="001D1859"/>
    <w:rsid w:val="001D1960"/>
    <w:rsid w:val="001D1BA1"/>
    <w:rsid w:val="001D1D32"/>
    <w:rsid w:val="001D1DDE"/>
    <w:rsid w:val="001D2121"/>
    <w:rsid w:val="001D2C29"/>
    <w:rsid w:val="001D2F57"/>
    <w:rsid w:val="001D31E9"/>
    <w:rsid w:val="001D3713"/>
    <w:rsid w:val="001D4252"/>
    <w:rsid w:val="001D49DB"/>
    <w:rsid w:val="001D4A35"/>
    <w:rsid w:val="001D4A6E"/>
    <w:rsid w:val="001D4DF6"/>
    <w:rsid w:val="001D4EE9"/>
    <w:rsid w:val="001D4F60"/>
    <w:rsid w:val="001D53CE"/>
    <w:rsid w:val="001D55DD"/>
    <w:rsid w:val="001D5702"/>
    <w:rsid w:val="001D5D80"/>
    <w:rsid w:val="001D5E4C"/>
    <w:rsid w:val="001D5ED4"/>
    <w:rsid w:val="001D63B6"/>
    <w:rsid w:val="001D646A"/>
    <w:rsid w:val="001D65DB"/>
    <w:rsid w:val="001D6A36"/>
    <w:rsid w:val="001D6BDF"/>
    <w:rsid w:val="001D6F56"/>
    <w:rsid w:val="001D733F"/>
    <w:rsid w:val="001D7387"/>
    <w:rsid w:val="001D7390"/>
    <w:rsid w:val="001D743C"/>
    <w:rsid w:val="001D772E"/>
    <w:rsid w:val="001D778A"/>
    <w:rsid w:val="001D77AB"/>
    <w:rsid w:val="001D793A"/>
    <w:rsid w:val="001D7B78"/>
    <w:rsid w:val="001D7BC2"/>
    <w:rsid w:val="001E012A"/>
    <w:rsid w:val="001E042C"/>
    <w:rsid w:val="001E05FE"/>
    <w:rsid w:val="001E09D6"/>
    <w:rsid w:val="001E0C7F"/>
    <w:rsid w:val="001E13B8"/>
    <w:rsid w:val="001E1613"/>
    <w:rsid w:val="001E1832"/>
    <w:rsid w:val="001E1A9F"/>
    <w:rsid w:val="001E1C5D"/>
    <w:rsid w:val="001E233E"/>
    <w:rsid w:val="001E26AB"/>
    <w:rsid w:val="001E26B6"/>
    <w:rsid w:val="001E2BB7"/>
    <w:rsid w:val="001E3428"/>
    <w:rsid w:val="001E357B"/>
    <w:rsid w:val="001E3681"/>
    <w:rsid w:val="001E3749"/>
    <w:rsid w:val="001E39F7"/>
    <w:rsid w:val="001E3C92"/>
    <w:rsid w:val="001E44DD"/>
    <w:rsid w:val="001E4517"/>
    <w:rsid w:val="001E4590"/>
    <w:rsid w:val="001E4AB5"/>
    <w:rsid w:val="001E4CB8"/>
    <w:rsid w:val="001E50D6"/>
    <w:rsid w:val="001E50EB"/>
    <w:rsid w:val="001E52B3"/>
    <w:rsid w:val="001E54FD"/>
    <w:rsid w:val="001E5AAF"/>
    <w:rsid w:val="001E656F"/>
    <w:rsid w:val="001E66E7"/>
    <w:rsid w:val="001E66FC"/>
    <w:rsid w:val="001E6818"/>
    <w:rsid w:val="001E7366"/>
    <w:rsid w:val="001E75EF"/>
    <w:rsid w:val="001E772F"/>
    <w:rsid w:val="001E778D"/>
    <w:rsid w:val="001E7863"/>
    <w:rsid w:val="001E7AA8"/>
    <w:rsid w:val="001F02E5"/>
    <w:rsid w:val="001F0480"/>
    <w:rsid w:val="001F0726"/>
    <w:rsid w:val="001F0CDB"/>
    <w:rsid w:val="001F0ED1"/>
    <w:rsid w:val="001F132F"/>
    <w:rsid w:val="001F138E"/>
    <w:rsid w:val="001F155A"/>
    <w:rsid w:val="001F16BE"/>
    <w:rsid w:val="001F1B42"/>
    <w:rsid w:val="001F20A9"/>
    <w:rsid w:val="001F21A9"/>
    <w:rsid w:val="001F235A"/>
    <w:rsid w:val="001F2373"/>
    <w:rsid w:val="001F2385"/>
    <w:rsid w:val="001F23A6"/>
    <w:rsid w:val="001F2446"/>
    <w:rsid w:val="001F27C1"/>
    <w:rsid w:val="001F3130"/>
    <w:rsid w:val="001F3656"/>
    <w:rsid w:val="001F3C30"/>
    <w:rsid w:val="001F4007"/>
    <w:rsid w:val="001F406A"/>
    <w:rsid w:val="001F41EA"/>
    <w:rsid w:val="001F43FF"/>
    <w:rsid w:val="001F4D24"/>
    <w:rsid w:val="001F4ECD"/>
    <w:rsid w:val="001F5DCE"/>
    <w:rsid w:val="001F6302"/>
    <w:rsid w:val="001F64E7"/>
    <w:rsid w:val="001F651E"/>
    <w:rsid w:val="001F662D"/>
    <w:rsid w:val="001F6AA9"/>
    <w:rsid w:val="001F6BFA"/>
    <w:rsid w:val="001F6EDC"/>
    <w:rsid w:val="001F7B46"/>
    <w:rsid w:val="001F7DE2"/>
    <w:rsid w:val="001F7F2F"/>
    <w:rsid w:val="00200062"/>
    <w:rsid w:val="0020037B"/>
    <w:rsid w:val="00200633"/>
    <w:rsid w:val="00200854"/>
    <w:rsid w:val="0020095E"/>
    <w:rsid w:val="00200B32"/>
    <w:rsid w:val="00200CE9"/>
    <w:rsid w:val="00200D6D"/>
    <w:rsid w:val="00200DCA"/>
    <w:rsid w:val="00200EE0"/>
    <w:rsid w:val="002010F3"/>
    <w:rsid w:val="0020168B"/>
    <w:rsid w:val="00201902"/>
    <w:rsid w:val="00201994"/>
    <w:rsid w:val="002019FA"/>
    <w:rsid w:val="00201D8A"/>
    <w:rsid w:val="00202D98"/>
    <w:rsid w:val="002031F9"/>
    <w:rsid w:val="00203380"/>
    <w:rsid w:val="00203651"/>
    <w:rsid w:val="00203834"/>
    <w:rsid w:val="00203C22"/>
    <w:rsid w:val="002042E5"/>
    <w:rsid w:val="00204481"/>
    <w:rsid w:val="002044CD"/>
    <w:rsid w:val="00204544"/>
    <w:rsid w:val="0020455E"/>
    <w:rsid w:val="00204718"/>
    <w:rsid w:val="00204869"/>
    <w:rsid w:val="00204974"/>
    <w:rsid w:val="00205684"/>
    <w:rsid w:val="00205ABF"/>
    <w:rsid w:val="002061BC"/>
    <w:rsid w:val="0020630D"/>
    <w:rsid w:val="00206725"/>
    <w:rsid w:val="00206BD3"/>
    <w:rsid w:val="0020740E"/>
    <w:rsid w:val="002078B9"/>
    <w:rsid w:val="00207ABE"/>
    <w:rsid w:val="00207F65"/>
    <w:rsid w:val="002103B2"/>
    <w:rsid w:val="00210461"/>
    <w:rsid w:val="00210792"/>
    <w:rsid w:val="00210AC1"/>
    <w:rsid w:val="00210FE2"/>
    <w:rsid w:val="0021116A"/>
    <w:rsid w:val="002111F9"/>
    <w:rsid w:val="00211278"/>
    <w:rsid w:val="00211488"/>
    <w:rsid w:val="002115B0"/>
    <w:rsid w:val="00211702"/>
    <w:rsid w:val="00211F2E"/>
    <w:rsid w:val="00211F3E"/>
    <w:rsid w:val="002122E8"/>
    <w:rsid w:val="0021284D"/>
    <w:rsid w:val="00212A05"/>
    <w:rsid w:val="0021345E"/>
    <w:rsid w:val="002142C1"/>
    <w:rsid w:val="002145B3"/>
    <w:rsid w:val="002148E1"/>
    <w:rsid w:val="00214908"/>
    <w:rsid w:val="00214957"/>
    <w:rsid w:val="00214D67"/>
    <w:rsid w:val="00215395"/>
    <w:rsid w:val="0021539B"/>
    <w:rsid w:val="002153F6"/>
    <w:rsid w:val="00215428"/>
    <w:rsid w:val="00215D6B"/>
    <w:rsid w:val="00215E79"/>
    <w:rsid w:val="002168A3"/>
    <w:rsid w:val="00216A3E"/>
    <w:rsid w:val="00216B04"/>
    <w:rsid w:val="00216C88"/>
    <w:rsid w:val="00216DC8"/>
    <w:rsid w:val="00216EF5"/>
    <w:rsid w:val="002171A2"/>
    <w:rsid w:val="00217DB9"/>
    <w:rsid w:val="00220052"/>
    <w:rsid w:val="002203B8"/>
    <w:rsid w:val="002207F1"/>
    <w:rsid w:val="0022093B"/>
    <w:rsid w:val="002209B5"/>
    <w:rsid w:val="00220F97"/>
    <w:rsid w:val="0022136B"/>
    <w:rsid w:val="002220FB"/>
    <w:rsid w:val="002221E3"/>
    <w:rsid w:val="002228A2"/>
    <w:rsid w:val="00223256"/>
    <w:rsid w:val="00223653"/>
    <w:rsid w:val="002239C9"/>
    <w:rsid w:val="00223C6F"/>
    <w:rsid w:val="0022409D"/>
    <w:rsid w:val="0022417E"/>
    <w:rsid w:val="00224304"/>
    <w:rsid w:val="00224781"/>
    <w:rsid w:val="00224AF9"/>
    <w:rsid w:val="00224C2A"/>
    <w:rsid w:val="00224CA1"/>
    <w:rsid w:val="00224E75"/>
    <w:rsid w:val="00224F83"/>
    <w:rsid w:val="00224FC1"/>
    <w:rsid w:val="002250BB"/>
    <w:rsid w:val="002253BF"/>
    <w:rsid w:val="00225D1D"/>
    <w:rsid w:val="00225F63"/>
    <w:rsid w:val="0022616C"/>
    <w:rsid w:val="0022626C"/>
    <w:rsid w:val="00226739"/>
    <w:rsid w:val="00226C80"/>
    <w:rsid w:val="00226D17"/>
    <w:rsid w:val="00226F19"/>
    <w:rsid w:val="00227084"/>
    <w:rsid w:val="00227335"/>
    <w:rsid w:val="00227491"/>
    <w:rsid w:val="00227B75"/>
    <w:rsid w:val="00227F3F"/>
    <w:rsid w:val="00227FDA"/>
    <w:rsid w:val="0022FD43"/>
    <w:rsid w:val="002302C4"/>
    <w:rsid w:val="0023033D"/>
    <w:rsid w:val="0023063B"/>
    <w:rsid w:val="0023079D"/>
    <w:rsid w:val="00230DD3"/>
    <w:rsid w:val="00230F15"/>
    <w:rsid w:val="00231884"/>
    <w:rsid w:val="00231D95"/>
    <w:rsid w:val="002320B7"/>
    <w:rsid w:val="00232277"/>
    <w:rsid w:val="00232358"/>
    <w:rsid w:val="002325B0"/>
    <w:rsid w:val="0023264E"/>
    <w:rsid w:val="0023291D"/>
    <w:rsid w:val="00233434"/>
    <w:rsid w:val="00233587"/>
    <w:rsid w:val="00233623"/>
    <w:rsid w:val="002337D2"/>
    <w:rsid w:val="002337E5"/>
    <w:rsid w:val="002338E5"/>
    <w:rsid w:val="00233B32"/>
    <w:rsid w:val="00233F1F"/>
    <w:rsid w:val="0023429A"/>
    <w:rsid w:val="002342B7"/>
    <w:rsid w:val="002343C5"/>
    <w:rsid w:val="00234403"/>
    <w:rsid w:val="00234412"/>
    <w:rsid w:val="00234AF0"/>
    <w:rsid w:val="00234DA8"/>
    <w:rsid w:val="00234EF6"/>
    <w:rsid w:val="00235049"/>
    <w:rsid w:val="002354D5"/>
    <w:rsid w:val="00235768"/>
    <w:rsid w:val="00235B0D"/>
    <w:rsid w:val="00235FEB"/>
    <w:rsid w:val="002365BB"/>
    <w:rsid w:val="00236E6A"/>
    <w:rsid w:val="00237150"/>
    <w:rsid w:val="00237191"/>
    <w:rsid w:val="00237237"/>
    <w:rsid w:val="002375C3"/>
    <w:rsid w:val="00237A61"/>
    <w:rsid w:val="00237B7D"/>
    <w:rsid w:val="00237C9C"/>
    <w:rsid w:val="00237FA2"/>
    <w:rsid w:val="00237FF8"/>
    <w:rsid w:val="00240129"/>
    <w:rsid w:val="0024044D"/>
    <w:rsid w:val="002405CF"/>
    <w:rsid w:val="0024075F"/>
    <w:rsid w:val="00240C4E"/>
    <w:rsid w:val="0024101C"/>
    <w:rsid w:val="002410D1"/>
    <w:rsid w:val="002411CC"/>
    <w:rsid w:val="00241830"/>
    <w:rsid w:val="00241A74"/>
    <w:rsid w:val="00241B52"/>
    <w:rsid w:val="00241D84"/>
    <w:rsid w:val="00242206"/>
    <w:rsid w:val="00242233"/>
    <w:rsid w:val="002423B1"/>
    <w:rsid w:val="00242420"/>
    <w:rsid w:val="00242465"/>
    <w:rsid w:val="00242926"/>
    <w:rsid w:val="00242940"/>
    <w:rsid w:val="00242A2D"/>
    <w:rsid w:val="00242CF1"/>
    <w:rsid w:val="00243102"/>
    <w:rsid w:val="00243195"/>
    <w:rsid w:val="00244343"/>
    <w:rsid w:val="00244A22"/>
    <w:rsid w:val="002452CE"/>
    <w:rsid w:val="00245454"/>
    <w:rsid w:val="00245B4A"/>
    <w:rsid w:val="00245EB7"/>
    <w:rsid w:val="00245F68"/>
    <w:rsid w:val="00245F9C"/>
    <w:rsid w:val="0024616A"/>
    <w:rsid w:val="0024620F"/>
    <w:rsid w:val="002463B1"/>
    <w:rsid w:val="002469FD"/>
    <w:rsid w:val="00246A2B"/>
    <w:rsid w:val="00246C3F"/>
    <w:rsid w:val="0024752A"/>
    <w:rsid w:val="00247DB1"/>
    <w:rsid w:val="002502BB"/>
    <w:rsid w:val="0025048D"/>
    <w:rsid w:val="00250505"/>
    <w:rsid w:val="0025067D"/>
    <w:rsid w:val="00250A84"/>
    <w:rsid w:val="0025138F"/>
    <w:rsid w:val="00251526"/>
    <w:rsid w:val="002515A2"/>
    <w:rsid w:val="002516FE"/>
    <w:rsid w:val="002517A9"/>
    <w:rsid w:val="002518A1"/>
    <w:rsid w:val="002518CF"/>
    <w:rsid w:val="0025198D"/>
    <w:rsid w:val="00251BBF"/>
    <w:rsid w:val="00251D21"/>
    <w:rsid w:val="00251F5E"/>
    <w:rsid w:val="00251F5F"/>
    <w:rsid w:val="00251FA9"/>
    <w:rsid w:val="002521D1"/>
    <w:rsid w:val="002521E9"/>
    <w:rsid w:val="0025240B"/>
    <w:rsid w:val="002526AC"/>
    <w:rsid w:val="00253236"/>
    <w:rsid w:val="002532BA"/>
    <w:rsid w:val="0025342B"/>
    <w:rsid w:val="00253A29"/>
    <w:rsid w:val="00253C29"/>
    <w:rsid w:val="00253D73"/>
    <w:rsid w:val="00254179"/>
    <w:rsid w:val="002547CA"/>
    <w:rsid w:val="00254822"/>
    <w:rsid w:val="002549C6"/>
    <w:rsid w:val="00254AE0"/>
    <w:rsid w:val="00254E65"/>
    <w:rsid w:val="00254F37"/>
    <w:rsid w:val="00254F5A"/>
    <w:rsid w:val="00255383"/>
    <w:rsid w:val="0025557B"/>
    <w:rsid w:val="00255588"/>
    <w:rsid w:val="00255665"/>
    <w:rsid w:val="00255BEA"/>
    <w:rsid w:val="00256547"/>
    <w:rsid w:val="002566BC"/>
    <w:rsid w:val="00256AF5"/>
    <w:rsid w:val="002572EF"/>
    <w:rsid w:val="002577BB"/>
    <w:rsid w:val="002577E6"/>
    <w:rsid w:val="00257F73"/>
    <w:rsid w:val="00260951"/>
    <w:rsid w:val="00260D46"/>
    <w:rsid w:val="00261066"/>
    <w:rsid w:val="002617D7"/>
    <w:rsid w:val="002619B6"/>
    <w:rsid w:val="00261ABE"/>
    <w:rsid w:val="00262651"/>
    <w:rsid w:val="00262921"/>
    <w:rsid w:val="00262C02"/>
    <w:rsid w:val="00262D70"/>
    <w:rsid w:val="00262E3A"/>
    <w:rsid w:val="0026361B"/>
    <w:rsid w:val="00263C08"/>
    <w:rsid w:val="00263C90"/>
    <w:rsid w:val="00263DCC"/>
    <w:rsid w:val="00263EE9"/>
    <w:rsid w:val="0026404B"/>
    <w:rsid w:val="00264086"/>
    <w:rsid w:val="002646F0"/>
    <w:rsid w:val="0026483F"/>
    <w:rsid w:val="00264874"/>
    <w:rsid w:val="00264A09"/>
    <w:rsid w:val="00264F2F"/>
    <w:rsid w:val="0026567D"/>
    <w:rsid w:val="0026582C"/>
    <w:rsid w:val="0026592F"/>
    <w:rsid w:val="00265B37"/>
    <w:rsid w:val="00265B90"/>
    <w:rsid w:val="00266901"/>
    <w:rsid w:val="00266EE6"/>
    <w:rsid w:val="00267C2F"/>
    <w:rsid w:val="00267F7D"/>
    <w:rsid w:val="00270257"/>
    <w:rsid w:val="0027057B"/>
    <w:rsid w:val="002706B8"/>
    <w:rsid w:val="00270948"/>
    <w:rsid w:val="00270FDC"/>
    <w:rsid w:val="00271650"/>
    <w:rsid w:val="00271740"/>
    <w:rsid w:val="00271AAC"/>
    <w:rsid w:val="00271CF7"/>
    <w:rsid w:val="00271F66"/>
    <w:rsid w:val="00272187"/>
    <w:rsid w:val="0027218E"/>
    <w:rsid w:val="00272470"/>
    <w:rsid w:val="0027249F"/>
    <w:rsid w:val="002724E5"/>
    <w:rsid w:val="00272851"/>
    <w:rsid w:val="00273336"/>
    <w:rsid w:val="00273475"/>
    <w:rsid w:val="002734DA"/>
    <w:rsid w:val="00273666"/>
    <w:rsid w:val="0027380E"/>
    <w:rsid w:val="00273E9D"/>
    <w:rsid w:val="002740DF"/>
    <w:rsid w:val="0027453D"/>
    <w:rsid w:val="002745BC"/>
    <w:rsid w:val="00274798"/>
    <w:rsid w:val="00274810"/>
    <w:rsid w:val="00274BBA"/>
    <w:rsid w:val="00274E40"/>
    <w:rsid w:val="00274EBB"/>
    <w:rsid w:val="002750B9"/>
    <w:rsid w:val="0027520E"/>
    <w:rsid w:val="00275A28"/>
    <w:rsid w:val="00275C96"/>
    <w:rsid w:val="00275E75"/>
    <w:rsid w:val="002764AD"/>
    <w:rsid w:val="002764CD"/>
    <w:rsid w:val="00276502"/>
    <w:rsid w:val="0027666E"/>
    <w:rsid w:val="00276760"/>
    <w:rsid w:val="00277534"/>
    <w:rsid w:val="002777BC"/>
    <w:rsid w:val="002777EF"/>
    <w:rsid w:val="00277B60"/>
    <w:rsid w:val="00277BFE"/>
    <w:rsid w:val="00280428"/>
    <w:rsid w:val="002805A9"/>
    <w:rsid w:val="0028066E"/>
    <w:rsid w:val="00280C25"/>
    <w:rsid w:val="00280D66"/>
    <w:rsid w:val="00280E34"/>
    <w:rsid w:val="00280E3E"/>
    <w:rsid w:val="00280F9D"/>
    <w:rsid w:val="002812E7"/>
    <w:rsid w:val="00281E6F"/>
    <w:rsid w:val="00281EEE"/>
    <w:rsid w:val="0028201D"/>
    <w:rsid w:val="0028278E"/>
    <w:rsid w:val="002829EB"/>
    <w:rsid w:val="00282BFD"/>
    <w:rsid w:val="00283790"/>
    <w:rsid w:val="00283B74"/>
    <w:rsid w:val="00283C68"/>
    <w:rsid w:val="00283CD6"/>
    <w:rsid w:val="00283E59"/>
    <w:rsid w:val="00284274"/>
    <w:rsid w:val="00284910"/>
    <w:rsid w:val="00284A86"/>
    <w:rsid w:val="00284B5C"/>
    <w:rsid w:val="00284C8D"/>
    <w:rsid w:val="00284E53"/>
    <w:rsid w:val="0028562C"/>
    <w:rsid w:val="002856B5"/>
    <w:rsid w:val="002859C8"/>
    <w:rsid w:val="00285BDB"/>
    <w:rsid w:val="00285E02"/>
    <w:rsid w:val="002860AC"/>
    <w:rsid w:val="002864B0"/>
    <w:rsid w:val="002867C2"/>
    <w:rsid w:val="002874B8"/>
    <w:rsid w:val="002876B2"/>
    <w:rsid w:val="0028778B"/>
    <w:rsid w:val="00287990"/>
    <w:rsid w:val="00287A62"/>
    <w:rsid w:val="00287F05"/>
    <w:rsid w:val="00287FBB"/>
    <w:rsid w:val="0029059A"/>
    <w:rsid w:val="002905D5"/>
    <w:rsid w:val="00290E1A"/>
    <w:rsid w:val="00291119"/>
    <w:rsid w:val="00291520"/>
    <w:rsid w:val="002915E7"/>
    <w:rsid w:val="002915EC"/>
    <w:rsid w:val="002917B6"/>
    <w:rsid w:val="00291B80"/>
    <w:rsid w:val="00291E2C"/>
    <w:rsid w:val="0029232E"/>
    <w:rsid w:val="002924CD"/>
    <w:rsid w:val="0029278F"/>
    <w:rsid w:val="00292948"/>
    <w:rsid w:val="00292952"/>
    <w:rsid w:val="00292ACE"/>
    <w:rsid w:val="00292F69"/>
    <w:rsid w:val="0029396E"/>
    <w:rsid w:val="00293AD0"/>
    <w:rsid w:val="00293C61"/>
    <w:rsid w:val="00293EA8"/>
    <w:rsid w:val="00294153"/>
    <w:rsid w:val="00294252"/>
    <w:rsid w:val="00294369"/>
    <w:rsid w:val="002943C4"/>
    <w:rsid w:val="0029471B"/>
    <w:rsid w:val="00294A8D"/>
    <w:rsid w:val="00295392"/>
    <w:rsid w:val="00295857"/>
    <w:rsid w:val="002959BD"/>
    <w:rsid w:val="002959D7"/>
    <w:rsid w:val="00296222"/>
    <w:rsid w:val="00296610"/>
    <w:rsid w:val="00296C78"/>
    <w:rsid w:val="00296DB3"/>
    <w:rsid w:val="00297330"/>
    <w:rsid w:val="00297390"/>
    <w:rsid w:val="002975F7"/>
    <w:rsid w:val="0029774D"/>
    <w:rsid w:val="00297B28"/>
    <w:rsid w:val="00297C15"/>
    <w:rsid w:val="002A01FB"/>
    <w:rsid w:val="002A096D"/>
    <w:rsid w:val="002A0A83"/>
    <w:rsid w:val="002A0C0E"/>
    <w:rsid w:val="002A0D0F"/>
    <w:rsid w:val="002A0D1C"/>
    <w:rsid w:val="002A0E53"/>
    <w:rsid w:val="002A0F5C"/>
    <w:rsid w:val="002A12F3"/>
    <w:rsid w:val="002A14FD"/>
    <w:rsid w:val="002A1577"/>
    <w:rsid w:val="002A17C7"/>
    <w:rsid w:val="002A17D3"/>
    <w:rsid w:val="002A19DF"/>
    <w:rsid w:val="002A1A41"/>
    <w:rsid w:val="002A208E"/>
    <w:rsid w:val="002A24C0"/>
    <w:rsid w:val="002A2A69"/>
    <w:rsid w:val="002A2AB7"/>
    <w:rsid w:val="002A2BAC"/>
    <w:rsid w:val="002A2CD5"/>
    <w:rsid w:val="002A2DA0"/>
    <w:rsid w:val="002A3395"/>
    <w:rsid w:val="002A3408"/>
    <w:rsid w:val="002A3D6A"/>
    <w:rsid w:val="002A3FD5"/>
    <w:rsid w:val="002A4162"/>
    <w:rsid w:val="002A42AE"/>
    <w:rsid w:val="002A46F3"/>
    <w:rsid w:val="002A47BD"/>
    <w:rsid w:val="002A48E6"/>
    <w:rsid w:val="002A4980"/>
    <w:rsid w:val="002A52C1"/>
    <w:rsid w:val="002A53F1"/>
    <w:rsid w:val="002A5535"/>
    <w:rsid w:val="002A558D"/>
    <w:rsid w:val="002A56DD"/>
    <w:rsid w:val="002A5B54"/>
    <w:rsid w:val="002A5CDA"/>
    <w:rsid w:val="002A5F3A"/>
    <w:rsid w:val="002A626C"/>
    <w:rsid w:val="002A684E"/>
    <w:rsid w:val="002A7593"/>
    <w:rsid w:val="002A7892"/>
    <w:rsid w:val="002A7DF9"/>
    <w:rsid w:val="002A7E02"/>
    <w:rsid w:val="002A7FD5"/>
    <w:rsid w:val="002B00A9"/>
    <w:rsid w:val="002B030A"/>
    <w:rsid w:val="002B04EE"/>
    <w:rsid w:val="002B053A"/>
    <w:rsid w:val="002B07F3"/>
    <w:rsid w:val="002B0A24"/>
    <w:rsid w:val="002B0BB3"/>
    <w:rsid w:val="002B11A0"/>
    <w:rsid w:val="002B11EF"/>
    <w:rsid w:val="002B11F5"/>
    <w:rsid w:val="002B1C33"/>
    <w:rsid w:val="002B205B"/>
    <w:rsid w:val="002B22D3"/>
    <w:rsid w:val="002B24AD"/>
    <w:rsid w:val="002B262E"/>
    <w:rsid w:val="002B2869"/>
    <w:rsid w:val="002B2AC3"/>
    <w:rsid w:val="002B2D24"/>
    <w:rsid w:val="002B2EEA"/>
    <w:rsid w:val="002B2F2D"/>
    <w:rsid w:val="002B2F98"/>
    <w:rsid w:val="002B305A"/>
    <w:rsid w:val="002B308F"/>
    <w:rsid w:val="002B3579"/>
    <w:rsid w:val="002B35EC"/>
    <w:rsid w:val="002B37C9"/>
    <w:rsid w:val="002B398D"/>
    <w:rsid w:val="002B3DBF"/>
    <w:rsid w:val="002B4030"/>
    <w:rsid w:val="002B47D2"/>
    <w:rsid w:val="002B4AAB"/>
    <w:rsid w:val="002B4B60"/>
    <w:rsid w:val="002B51E8"/>
    <w:rsid w:val="002B548A"/>
    <w:rsid w:val="002B5490"/>
    <w:rsid w:val="002B562E"/>
    <w:rsid w:val="002B5A0C"/>
    <w:rsid w:val="002B5AAC"/>
    <w:rsid w:val="002B5B1F"/>
    <w:rsid w:val="002B5CA9"/>
    <w:rsid w:val="002B5CD0"/>
    <w:rsid w:val="002B60A7"/>
    <w:rsid w:val="002B6871"/>
    <w:rsid w:val="002B693F"/>
    <w:rsid w:val="002B7182"/>
    <w:rsid w:val="002B7563"/>
    <w:rsid w:val="002B75F7"/>
    <w:rsid w:val="002B78C2"/>
    <w:rsid w:val="002B7ACE"/>
    <w:rsid w:val="002B7D55"/>
    <w:rsid w:val="002C01DE"/>
    <w:rsid w:val="002C0221"/>
    <w:rsid w:val="002C04FC"/>
    <w:rsid w:val="002C065B"/>
    <w:rsid w:val="002C1B35"/>
    <w:rsid w:val="002C1E2D"/>
    <w:rsid w:val="002C1FA1"/>
    <w:rsid w:val="002C209F"/>
    <w:rsid w:val="002C2438"/>
    <w:rsid w:val="002C25B3"/>
    <w:rsid w:val="002C28B8"/>
    <w:rsid w:val="002C2CF7"/>
    <w:rsid w:val="002C2D17"/>
    <w:rsid w:val="002C302C"/>
    <w:rsid w:val="002C32E5"/>
    <w:rsid w:val="002C332C"/>
    <w:rsid w:val="002C3370"/>
    <w:rsid w:val="002C3481"/>
    <w:rsid w:val="002C38D4"/>
    <w:rsid w:val="002C3BA7"/>
    <w:rsid w:val="002C41A5"/>
    <w:rsid w:val="002C4AC1"/>
    <w:rsid w:val="002C4BCE"/>
    <w:rsid w:val="002C4BF8"/>
    <w:rsid w:val="002C4C1C"/>
    <w:rsid w:val="002C4D0A"/>
    <w:rsid w:val="002C4EA8"/>
    <w:rsid w:val="002C50B9"/>
    <w:rsid w:val="002C58BE"/>
    <w:rsid w:val="002C5BE4"/>
    <w:rsid w:val="002C5C09"/>
    <w:rsid w:val="002C5D3B"/>
    <w:rsid w:val="002C5DB2"/>
    <w:rsid w:val="002C661D"/>
    <w:rsid w:val="002C66BB"/>
    <w:rsid w:val="002C66D3"/>
    <w:rsid w:val="002C67F1"/>
    <w:rsid w:val="002C6C51"/>
    <w:rsid w:val="002C6E2F"/>
    <w:rsid w:val="002C72F2"/>
    <w:rsid w:val="002C75E0"/>
    <w:rsid w:val="002C77BB"/>
    <w:rsid w:val="002C7FA5"/>
    <w:rsid w:val="002D00DE"/>
    <w:rsid w:val="002D03B9"/>
    <w:rsid w:val="002D0406"/>
    <w:rsid w:val="002D0670"/>
    <w:rsid w:val="002D08A9"/>
    <w:rsid w:val="002D10F9"/>
    <w:rsid w:val="002D1174"/>
    <w:rsid w:val="002D1491"/>
    <w:rsid w:val="002D16B7"/>
    <w:rsid w:val="002D181F"/>
    <w:rsid w:val="002D21A9"/>
    <w:rsid w:val="002D23CE"/>
    <w:rsid w:val="002D24FF"/>
    <w:rsid w:val="002D2567"/>
    <w:rsid w:val="002D2B08"/>
    <w:rsid w:val="002D2C36"/>
    <w:rsid w:val="002D3491"/>
    <w:rsid w:val="002D38EB"/>
    <w:rsid w:val="002D3F28"/>
    <w:rsid w:val="002D3FD1"/>
    <w:rsid w:val="002D4447"/>
    <w:rsid w:val="002D48B6"/>
    <w:rsid w:val="002D49F8"/>
    <w:rsid w:val="002D4CCB"/>
    <w:rsid w:val="002D5041"/>
    <w:rsid w:val="002D50BC"/>
    <w:rsid w:val="002D61FA"/>
    <w:rsid w:val="002D648E"/>
    <w:rsid w:val="002D64B9"/>
    <w:rsid w:val="002D65DB"/>
    <w:rsid w:val="002D660F"/>
    <w:rsid w:val="002D68DD"/>
    <w:rsid w:val="002D7468"/>
    <w:rsid w:val="002D74A4"/>
    <w:rsid w:val="002D7C3D"/>
    <w:rsid w:val="002D7EE7"/>
    <w:rsid w:val="002D7F6A"/>
    <w:rsid w:val="002E03A1"/>
    <w:rsid w:val="002E0560"/>
    <w:rsid w:val="002E0947"/>
    <w:rsid w:val="002E0B4F"/>
    <w:rsid w:val="002E11F0"/>
    <w:rsid w:val="002E16A4"/>
    <w:rsid w:val="002E1C90"/>
    <w:rsid w:val="002E1D5E"/>
    <w:rsid w:val="002E1E06"/>
    <w:rsid w:val="002E2078"/>
    <w:rsid w:val="002E2311"/>
    <w:rsid w:val="002E25BD"/>
    <w:rsid w:val="002E27E0"/>
    <w:rsid w:val="002E2870"/>
    <w:rsid w:val="002E2B13"/>
    <w:rsid w:val="002E326F"/>
    <w:rsid w:val="002E3A65"/>
    <w:rsid w:val="002E3B51"/>
    <w:rsid w:val="002E3B7F"/>
    <w:rsid w:val="002E3C29"/>
    <w:rsid w:val="002E3F11"/>
    <w:rsid w:val="002E447D"/>
    <w:rsid w:val="002E4648"/>
    <w:rsid w:val="002E489B"/>
    <w:rsid w:val="002E48B0"/>
    <w:rsid w:val="002E4963"/>
    <w:rsid w:val="002E4DE3"/>
    <w:rsid w:val="002E55DE"/>
    <w:rsid w:val="002E5636"/>
    <w:rsid w:val="002E5CE6"/>
    <w:rsid w:val="002E61D7"/>
    <w:rsid w:val="002E6672"/>
    <w:rsid w:val="002E67D2"/>
    <w:rsid w:val="002E684C"/>
    <w:rsid w:val="002E69B2"/>
    <w:rsid w:val="002E730C"/>
    <w:rsid w:val="002E7DEC"/>
    <w:rsid w:val="002F043D"/>
    <w:rsid w:val="002F08FB"/>
    <w:rsid w:val="002F0C1F"/>
    <w:rsid w:val="002F0D76"/>
    <w:rsid w:val="002F119E"/>
    <w:rsid w:val="002F12D7"/>
    <w:rsid w:val="002F16BC"/>
    <w:rsid w:val="002F1E49"/>
    <w:rsid w:val="002F1F56"/>
    <w:rsid w:val="002F1F7A"/>
    <w:rsid w:val="002F1FFF"/>
    <w:rsid w:val="002F2470"/>
    <w:rsid w:val="002F2C73"/>
    <w:rsid w:val="002F3997"/>
    <w:rsid w:val="002F3C93"/>
    <w:rsid w:val="002F3CE7"/>
    <w:rsid w:val="002F46ED"/>
    <w:rsid w:val="002F49AF"/>
    <w:rsid w:val="002F512B"/>
    <w:rsid w:val="002F5706"/>
    <w:rsid w:val="002F5EAD"/>
    <w:rsid w:val="002F5F7C"/>
    <w:rsid w:val="002F61D1"/>
    <w:rsid w:val="002F667A"/>
    <w:rsid w:val="002F71CF"/>
    <w:rsid w:val="002F7244"/>
    <w:rsid w:val="002F7B4D"/>
    <w:rsid w:val="002F7D8E"/>
    <w:rsid w:val="002F7FE2"/>
    <w:rsid w:val="003002EF"/>
    <w:rsid w:val="00300441"/>
    <w:rsid w:val="00300DD7"/>
    <w:rsid w:val="00300E11"/>
    <w:rsid w:val="003011F7"/>
    <w:rsid w:val="0030148A"/>
    <w:rsid w:val="0030164E"/>
    <w:rsid w:val="0030173E"/>
    <w:rsid w:val="00301D5E"/>
    <w:rsid w:val="00301DF8"/>
    <w:rsid w:val="0030247D"/>
    <w:rsid w:val="003024AC"/>
    <w:rsid w:val="003025CB"/>
    <w:rsid w:val="00302D2A"/>
    <w:rsid w:val="00302D4A"/>
    <w:rsid w:val="00303202"/>
    <w:rsid w:val="003032B0"/>
    <w:rsid w:val="003036BF"/>
    <w:rsid w:val="0030389D"/>
    <w:rsid w:val="00303B0F"/>
    <w:rsid w:val="003042A5"/>
    <w:rsid w:val="003042B3"/>
    <w:rsid w:val="00304366"/>
    <w:rsid w:val="003045FD"/>
    <w:rsid w:val="00305041"/>
    <w:rsid w:val="0030553D"/>
    <w:rsid w:val="00305779"/>
    <w:rsid w:val="0030590B"/>
    <w:rsid w:val="00305F1F"/>
    <w:rsid w:val="00306139"/>
    <w:rsid w:val="003062D9"/>
    <w:rsid w:val="00306360"/>
    <w:rsid w:val="00306669"/>
    <w:rsid w:val="00306858"/>
    <w:rsid w:val="00306AF0"/>
    <w:rsid w:val="00306D5D"/>
    <w:rsid w:val="00307194"/>
    <w:rsid w:val="003072CB"/>
    <w:rsid w:val="003076EF"/>
    <w:rsid w:val="003103DA"/>
    <w:rsid w:val="003104A7"/>
    <w:rsid w:val="00310805"/>
    <w:rsid w:val="0031131C"/>
    <w:rsid w:val="0031139C"/>
    <w:rsid w:val="003114D0"/>
    <w:rsid w:val="003115C4"/>
    <w:rsid w:val="00311A7C"/>
    <w:rsid w:val="00311B39"/>
    <w:rsid w:val="00311F70"/>
    <w:rsid w:val="003120EC"/>
    <w:rsid w:val="00312205"/>
    <w:rsid w:val="003122F2"/>
    <w:rsid w:val="0031257B"/>
    <w:rsid w:val="00312792"/>
    <w:rsid w:val="003128EF"/>
    <w:rsid w:val="00312BAC"/>
    <w:rsid w:val="00312E55"/>
    <w:rsid w:val="00313020"/>
    <w:rsid w:val="003132E3"/>
    <w:rsid w:val="00313317"/>
    <w:rsid w:val="00313835"/>
    <w:rsid w:val="003138BB"/>
    <w:rsid w:val="00313914"/>
    <w:rsid w:val="0031396D"/>
    <w:rsid w:val="00313D84"/>
    <w:rsid w:val="003143F1"/>
    <w:rsid w:val="003144B0"/>
    <w:rsid w:val="00314E4A"/>
    <w:rsid w:val="00315635"/>
    <w:rsid w:val="0031563D"/>
    <w:rsid w:val="0031598C"/>
    <w:rsid w:val="00315B11"/>
    <w:rsid w:val="00315B3F"/>
    <w:rsid w:val="00315BC5"/>
    <w:rsid w:val="00315C68"/>
    <w:rsid w:val="00316142"/>
    <w:rsid w:val="0031696A"/>
    <w:rsid w:val="003170D7"/>
    <w:rsid w:val="00317245"/>
    <w:rsid w:val="00317331"/>
    <w:rsid w:val="00320516"/>
    <w:rsid w:val="00320852"/>
    <w:rsid w:val="00320B8E"/>
    <w:rsid w:val="00320E6C"/>
    <w:rsid w:val="0032128B"/>
    <w:rsid w:val="00321614"/>
    <w:rsid w:val="00321767"/>
    <w:rsid w:val="003217CA"/>
    <w:rsid w:val="003217E5"/>
    <w:rsid w:val="00321B51"/>
    <w:rsid w:val="00322213"/>
    <w:rsid w:val="00322388"/>
    <w:rsid w:val="003224A3"/>
    <w:rsid w:val="00322743"/>
    <w:rsid w:val="00322784"/>
    <w:rsid w:val="003229F6"/>
    <w:rsid w:val="0032301E"/>
    <w:rsid w:val="00323807"/>
    <w:rsid w:val="00323990"/>
    <w:rsid w:val="00323E28"/>
    <w:rsid w:val="00323EB3"/>
    <w:rsid w:val="00323F1C"/>
    <w:rsid w:val="00324145"/>
    <w:rsid w:val="0032418A"/>
    <w:rsid w:val="00324535"/>
    <w:rsid w:val="003248E2"/>
    <w:rsid w:val="003249DC"/>
    <w:rsid w:val="00324A42"/>
    <w:rsid w:val="00324AD2"/>
    <w:rsid w:val="00324C96"/>
    <w:rsid w:val="00324D9B"/>
    <w:rsid w:val="00324DE9"/>
    <w:rsid w:val="00324E9B"/>
    <w:rsid w:val="00325249"/>
    <w:rsid w:val="00325277"/>
    <w:rsid w:val="003253C8"/>
    <w:rsid w:val="00325C09"/>
    <w:rsid w:val="00326377"/>
    <w:rsid w:val="00327000"/>
    <w:rsid w:val="003270A5"/>
    <w:rsid w:val="003275F7"/>
    <w:rsid w:val="003276C9"/>
    <w:rsid w:val="00327E15"/>
    <w:rsid w:val="003301C9"/>
    <w:rsid w:val="00330639"/>
    <w:rsid w:val="00330AD5"/>
    <w:rsid w:val="00330B7E"/>
    <w:rsid w:val="00331399"/>
    <w:rsid w:val="00331528"/>
    <w:rsid w:val="003316D1"/>
    <w:rsid w:val="0033187F"/>
    <w:rsid w:val="00331C7B"/>
    <w:rsid w:val="00331DD2"/>
    <w:rsid w:val="00331F15"/>
    <w:rsid w:val="00332103"/>
    <w:rsid w:val="00332281"/>
    <w:rsid w:val="00332567"/>
    <w:rsid w:val="00332BA4"/>
    <w:rsid w:val="00332BD7"/>
    <w:rsid w:val="00332EBE"/>
    <w:rsid w:val="00332FEB"/>
    <w:rsid w:val="00333BFD"/>
    <w:rsid w:val="00333DC6"/>
    <w:rsid w:val="00334872"/>
    <w:rsid w:val="00334A40"/>
    <w:rsid w:val="00334C6C"/>
    <w:rsid w:val="00334F3E"/>
    <w:rsid w:val="003351B1"/>
    <w:rsid w:val="0033520C"/>
    <w:rsid w:val="00335287"/>
    <w:rsid w:val="003353BF"/>
    <w:rsid w:val="0033558E"/>
    <w:rsid w:val="00335CF7"/>
    <w:rsid w:val="003360D4"/>
    <w:rsid w:val="00336258"/>
    <w:rsid w:val="003367BA"/>
    <w:rsid w:val="00336CB4"/>
    <w:rsid w:val="0033715A"/>
    <w:rsid w:val="00337173"/>
    <w:rsid w:val="0033719C"/>
    <w:rsid w:val="00337696"/>
    <w:rsid w:val="00337832"/>
    <w:rsid w:val="00337B24"/>
    <w:rsid w:val="00337B27"/>
    <w:rsid w:val="003401CD"/>
    <w:rsid w:val="003402FC"/>
    <w:rsid w:val="00340A43"/>
    <w:rsid w:val="00340D61"/>
    <w:rsid w:val="00340D73"/>
    <w:rsid w:val="00340FDB"/>
    <w:rsid w:val="00341132"/>
    <w:rsid w:val="003416CE"/>
    <w:rsid w:val="00341AB9"/>
    <w:rsid w:val="00341E0A"/>
    <w:rsid w:val="00342565"/>
    <w:rsid w:val="00342932"/>
    <w:rsid w:val="00342991"/>
    <w:rsid w:val="00342AEB"/>
    <w:rsid w:val="00342FFA"/>
    <w:rsid w:val="00343121"/>
    <w:rsid w:val="003431F7"/>
    <w:rsid w:val="00343227"/>
    <w:rsid w:val="003437ED"/>
    <w:rsid w:val="00343BB3"/>
    <w:rsid w:val="00343C83"/>
    <w:rsid w:val="00344398"/>
    <w:rsid w:val="00344455"/>
    <w:rsid w:val="00344729"/>
    <w:rsid w:val="0034484E"/>
    <w:rsid w:val="00344873"/>
    <w:rsid w:val="00344BB8"/>
    <w:rsid w:val="00345241"/>
    <w:rsid w:val="0034535B"/>
    <w:rsid w:val="0034552B"/>
    <w:rsid w:val="003459AC"/>
    <w:rsid w:val="00345CAB"/>
    <w:rsid w:val="00346440"/>
    <w:rsid w:val="003464BE"/>
    <w:rsid w:val="003465FD"/>
    <w:rsid w:val="00346673"/>
    <w:rsid w:val="0034684A"/>
    <w:rsid w:val="00346D3C"/>
    <w:rsid w:val="00347554"/>
    <w:rsid w:val="0034766B"/>
    <w:rsid w:val="00347A8C"/>
    <w:rsid w:val="00347AEA"/>
    <w:rsid w:val="00347D0D"/>
    <w:rsid w:val="00347D86"/>
    <w:rsid w:val="00347F70"/>
    <w:rsid w:val="0034FB87"/>
    <w:rsid w:val="00350115"/>
    <w:rsid w:val="003502A2"/>
    <w:rsid w:val="0035046A"/>
    <w:rsid w:val="00350535"/>
    <w:rsid w:val="00350FF7"/>
    <w:rsid w:val="0035105C"/>
    <w:rsid w:val="003518CE"/>
    <w:rsid w:val="00351FCE"/>
    <w:rsid w:val="003522F3"/>
    <w:rsid w:val="00352645"/>
    <w:rsid w:val="00352BB9"/>
    <w:rsid w:val="00352CA0"/>
    <w:rsid w:val="00352D10"/>
    <w:rsid w:val="00352D22"/>
    <w:rsid w:val="00352E93"/>
    <w:rsid w:val="00352F0A"/>
    <w:rsid w:val="00353816"/>
    <w:rsid w:val="003539C0"/>
    <w:rsid w:val="003541E9"/>
    <w:rsid w:val="0035430C"/>
    <w:rsid w:val="0035436D"/>
    <w:rsid w:val="00354B2F"/>
    <w:rsid w:val="00354BF0"/>
    <w:rsid w:val="00354DDE"/>
    <w:rsid w:val="00354EE9"/>
    <w:rsid w:val="00354F73"/>
    <w:rsid w:val="00355210"/>
    <w:rsid w:val="00355447"/>
    <w:rsid w:val="00355562"/>
    <w:rsid w:val="0035561E"/>
    <w:rsid w:val="00355A6F"/>
    <w:rsid w:val="00355B77"/>
    <w:rsid w:val="003562A5"/>
    <w:rsid w:val="00356A6D"/>
    <w:rsid w:val="00356EB2"/>
    <w:rsid w:val="00356FF0"/>
    <w:rsid w:val="003577EE"/>
    <w:rsid w:val="003577F0"/>
    <w:rsid w:val="00357832"/>
    <w:rsid w:val="00357B4F"/>
    <w:rsid w:val="00357E31"/>
    <w:rsid w:val="003604D9"/>
    <w:rsid w:val="00360567"/>
    <w:rsid w:val="00360654"/>
    <w:rsid w:val="00360BBB"/>
    <w:rsid w:val="00360E9B"/>
    <w:rsid w:val="003611C7"/>
    <w:rsid w:val="003616B5"/>
    <w:rsid w:val="00361904"/>
    <w:rsid w:val="00361A75"/>
    <w:rsid w:val="0036203A"/>
    <w:rsid w:val="00362475"/>
    <w:rsid w:val="0036297C"/>
    <w:rsid w:val="00362F74"/>
    <w:rsid w:val="00363442"/>
    <w:rsid w:val="00363621"/>
    <w:rsid w:val="00363A2B"/>
    <w:rsid w:val="00363C45"/>
    <w:rsid w:val="00363D11"/>
    <w:rsid w:val="00364170"/>
    <w:rsid w:val="003645A3"/>
    <w:rsid w:val="00364BC1"/>
    <w:rsid w:val="00364ED2"/>
    <w:rsid w:val="00364F90"/>
    <w:rsid w:val="0036507F"/>
    <w:rsid w:val="00365153"/>
    <w:rsid w:val="003651FC"/>
    <w:rsid w:val="0036521F"/>
    <w:rsid w:val="00365492"/>
    <w:rsid w:val="003655BD"/>
    <w:rsid w:val="00365707"/>
    <w:rsid w:val="0036592A"/>
    <w:rsid w:val="00365E2F"/>
    <w:rsid w:val="00365F77"/>
    <w:rsid w:val="00366029"/>
    <w:rsid w:val="0036655C"/>
    <w:rsid w:val="003667BB"/>
    <w:rsid w:val="00366C76"/>
    <w:rsid w:val="00366C81"/>
    <w:rsid w:val="00366CDB"/>
    <w:rsid w:val="003677FC"/>
    <w:rsid w:val="00367BBC"/>
    <w:rsid w:val="00367D86"/>
    <w:rsid w:val="0037029A"/>
    <w:rsid w:val="003707D4"/>
    <w:rsid w:val="0037082A"/>
    <w:rsid w:val="00370955"/>
    <w:rsid w:val="00370DC9"/>
    <w:rsid w:val="0037151E"/>
    <w:rsid w:val="0037161D"/>
    <w:rsid w:val="00371A92"/>
    <w:rsid w:val="00371F5C"/>
    <w:rsid w:val="003721D5"/>
    <w:rsid w:val="003721DF"/>
    <w:rsid w:val="00372583"/>
    <w:rsid w:val="00372781"/>
    <w:rsid w:val="00372939"/>
    <w:rsid w:val="00372AF4"/>
    <w:rsid w:val="00372BB8"/>
    <w:rsid w:val="00372FEE"/>
    <w:rsid w:val="003732DC"/>
    <w:rsid w:val="0037384F"/>
    <w:rsid w:val="00373BB1"/>
    <w:rsid w:val="00373C4B"/>
    <w:rsid w:val="00373E1F"/>
    <w:rsid w:val="00374016"/>
    <w:rsid w:val="003744B2"/>
    <w:rsid w:val="00374ABA"/>
    <w:rsid w:val="00374C60"/>
    <w:rsid w:val="00374D23"/>
    <w:rsid w:val="00374D6D"/>
    <w:rsid w:val="00374E4F"/>
    <w:rsid w:val="00374F76"/>
    <w:rsid w:val="00374FD0"/>
    <w:rsid w:val="0037502A"/>
    <w:rsid w:val="00375869"/>
    <w:rsid w:val="0037587E"/>
    <w:rsid w:val="00375B84"/>
    <w:rsid w:val="00375B9E"/>
    <w:rsid w:val="00375CF9"/>
    <w:rsid w:val="00376024"/>
    <w:rsid w:val="0037710A"/>
    <w:rsid w:val="003778B2"/>
    <w:rsid w:val="00377A8D"/>
    <w:rsid w:val="00377C26"/>
    <w:rsid w:val="00377D29"/>
    <w:rsid w:val="00377E51"/>
    <w:rsid w:val="00380037"/>
    <w:rsid w:val="0038015A"/>
    <w:rsid w:val="0038015D"/>
    <w:rsid w:val="00380A94"/>
    <w:rsid w:val="00380ADC"/>
    <w:rsid w:val="00380D86"/>
    <w:rsid w:val="00381009"/>
    <w:rsid w:val="00381140"/>
    <w:rsid w:val="0038143F"/>
    <w:rsid w:val="00381554"/>
    <w:rsid w:val="00381BAD"/>
    <w:rsid w:val="00381CF8"/>
    <w:rsid w:val="00382231"/>
    <w:rsid w:val="00382559"/>
    <w:rsid w:val="00382563"/>
    <w:rsid w:val="00383160"/>
    <w:rsid w:val="0038316A"/>
    <w:rsid w:val="0038329D"/>
    <w:rsid w:val="00383433"/>
    <w:rsid w:val="003836EF"/>
    <w:rsid w:val="00383D93"/>
    <w:rsid w:val="00384001"/>
    <w:rsid w:val="00384216"/>
    <w:rsid w:val="00384603"/>
    <w:rsid w:val="0038486C"/>
    <w:rsid w:val="003848A7"/>
    <w:rsid w:val="00384975"/>
    <w:rsid w:val="00384AB4"/>
    <w:rsid w:val="00384C1C"/>
    <w:rsid w:val="00384D8C"/>
    <w:rsid w:val="00384EEB"/>
    <w:rsid w:val="00384F58"/>
    <w:rsid w:val="00385261"/>
    <w:rsid w:val="003853D2"/>
    <w:rsid w:val="0038545C"/>
    <w:rsid w:val="0038594C"/>
    <w:rsid w:val="00385B1E"/>
    <w:rsid w:val="00385C1C"/>
    <w:rsid w:val="00385E1A"/>
    <w:rsid w:val="00386078"/>
    <w:rsid w:val="00386809"/>
    <w:rsid w:val="00386AFB"/>
    <w:rsid w:val="00386B63"/>
    <w:rsid w:val="00386B97"/>
    <w:rsid w:val="003870EC"/>
    <w:rsid w:val="0038720D"/>
    <w:rsid w:val="00387338"/>
    <w:rsid w:val="00387748"/>
    <w:rsid w:val="003879D4"/>
    <w:rsid w:val="00387A84"/>
    <w:rsid w:val="00387FAC"/>
    <w:rsid w:val="003909EA"/>
    <w:rsid w:val="00390B06"/>
    <w:rsid w:val="00390D3E"/>
    <w:rsid w:val="00390D99"/>
    <w:rsid w:val="0039121E"/>
    <w:rsid w:val="0039177C"/>
    <w:rsid w:val="003917A3"/>
    <w:rsid w:val="003925C4"/>
    <w:rsid w:val="0039278C"/>
    <w:rsid w:val="003931B4"/>
    <w:rsid w:val="0039356A"/>
    <w:rsid w:val="00393C85"/>
    <w:rsid w:val="00393F41"/>
    <w:rsid w:val="00394026"/>
    <w:rsid w:val="0039418C"/>
    <w:rsid w:val="0039424A"/>
    <w:rsid w:val="003945A2"/>
    <w:rsid w:val="00394747"/>
    <w:rsid w:val="00394789"/>
    <w:rsid w:val="003948C1"/>
    <w:rsid w:val="003948DE"/>
    <w:rsid w:val="00394A14"/>
    <w:rsid w:val="00395098"/>
    <w:rsid w:val="00395662"/>
    <w:rsid w:val="00395ACA"/>
    <w:rsid w:val="00395CEA"/>
    <w:rsid w:val="00395E51"/>
    <w:rsid w:val="00395E74"/>
    <w:rsid w:val="00395FB0"/>
    <w:rsid w:val="00396000"/>
    <w:rsid w:val="0039633D"/>
    <w:rsid w:val="0039678E"/>
    <w:rsid w:val="00396AD7"/>
    <w:rsid w:val="00396B28"/>
    <w:rsid w:val="00396F74"/>
    <w:rsid w:val="003972E3"/>
    <w:rsid w:val="003974AC"/>
    <w:rsid w:val="003976ED"/>
    <w:rsid w:val="00397905"/>
    <w:rsid w:val="00397A8F"/>
    <w:rsid w:val="00397DD2"/>
    <w:rsid w:val="003A0184"/>
    <w:rsid w:val="003A062D"/>
    <w:rsid w:val="003A0687"/>
    <w:rsid w:val="003A07C4"/>
    <w:rsid w:val="003A09AB"/>
    <w:rsid w:val="003A0A54"/>
    <w:rsid w:val="003A0BC6"/>
    <w:rsid w:val="003A124A"/>
    <w:rsid w:val="003A157E"/>
    <w:rsid w:val="003A20D0"/>
    <w:rsid w:val="003A2350"/>
    <w:rsid w:val="003A2964"/>
    <w:rsid w:val="003A2AEB"/>
    <w:rsid w:val="003A2F66"/>
    <w:rsid w:val="003A359C"/>
    <w:rsid w:val="003A385A"/>
    <w:rsid w:val="003A3B4E"/>
    <w:rsid w:val="003A3B75"/>
    <w:rsid w:val="003A3E21"/>
    <w:rsid w:val="003A3E75"/>
    <w:rsid w:val="003A3F8D"/>
    <w:rsid w:val="003A43C8"/>
    <w:rsid w:val="003A4822"/>
    <w:rsid w:val="003A4A78"/>
    <w:rsid w:val="003A4CF4"/>
    <w:rsid w:val="003A4E65"/>
    <w:rsid w:val="003A507B"/>
    <w:rsid w:val="003A5329"/>
    <w:rsid w:val="003A53DE"/>
    <w:rsid w:val="003A5A3B"/>
    <w:rsid w:val="003A5BFD"/>
    <w:rsid w:val="003A5C8A"/>
    <w:rsid w:val="003A5D42"/>
    <w:rsid w:val="003A5F2F"/>
    <w:rsid w:val="003A6118"/>
    <w:rsid w:val="003A6CD7"/>
    <w:rsid w:val="003A7026"/>
    <w:rsid w:val="003A729C"/>
    <w:rsid w:val="003A7603"/>
    <w:rsid w:val="003A77D1"/>
    <w:rsid w:val="003A786F"/>
    <w:rsid w:val="003A7CD6"/>
    <w:rsid w:val="003A7E1A"/>
    <w:rsid w:val="003B002A"/>
    <w:rsid w:val="003B049A"/>
    <w:rsid w:val="003B061A"/>
    <w:rsid w:val="003B0E0A"/>
    <w:rsid w:val="003B1153"/>
    <w:rsid w:val="003B1A44"/>
    <w:rsid w:val="003B1A85"/>
    <w:rsid w:val="003B1CF3"/>
    <w:rsid w:val="003B1E95"/>
    <w:rsid w:val="003B26FC"/>
    <w:rsid w:val="003B2839"/>
    <w:rsid w:val="003B2A02"/>
    <w:rsid w:val="003B2A96"/>
    <w:rsid w:val="003B2CE9"/>
    <w:rsid w:val="003B33CA"/>
    <w:rsid w:val="003B346C"/>
    <w:rsid w:val="003B3500"/>
    <w:rsid w:val="003B366E"/>
    <w:rsid w:val="003B39EA"/>
    <w:rsid w:val="003B3A91"/>
    <w:rsid w:val="003B45A3"/>
    <w:rsid w:val="003B485E"/>
    <w:rsid w:val="003B4B91"/>
    <w:rsid w:val="003B4D29"/>
    <w:rsid w:val="003B5B5E"/>
    <w:rsid w:val="003B606E"/>
    <w:rsid w:val="003B619D"/>
    <w:rsid w:val="003B61C3"/>
    <w:rsid w:val="003B6275"/>
    <w:rsid w:val="003B6348"/>
    <w:rsid w:val="003B6413"/>
    <w:rsid w:val="003B6529"/>
    <w:rsid w:val="003B655E"/>
    <w:rsid w:val="003B6966"/>
    <w:rsid w:val="003B6FA9"/>
    <w:rsid w:val="003B765E"/>
    <w:rsid w:val="003B77E7"/>
    <w:rsid w:val="003B77E8"/>
    <w:rsid w:val="003C0365"/>
    <w:rsid w:val="003C038F"/>
    <w:rsid w:val="003C05FF"/>
    <w:rsid w:val="003C0A2C"/>
    <w:rsid w:val="003C0AAF"/>
    <w:rsid w:val="003C1002"/>
    <w:rsid w:val="003C1392"/>
    <w:rsid w:val="003C13F0"/>
    <w:rsid w:val="003C182E"/>
    <w:rsid w:val="003C18A9"/>
    <w:rsid w:val="003C1DF6"/>
    <w:rsid w:val="003C276A"/>
    <w:rsid w:val="003C293A"/>
    <w:rsid w:val="003C2C06"/>
    <w:rsid w:val="003C2C30"/>
    <w:rsid w:val="003C2EE6"/>
    <w:rsid w:val="003C30F7"/>
    <w:rsid w:val="003C3A74"/>
    <w:rsid w:val="003C3E3F"/>
    <w:rsid w:val="003C40E4"/>
    <w:rsid w:val="003C4867"/>
    <w:rsid w:val="003C50CC"/>
    <w:rsid w:val="003C5533"/>
    <w:rsid w:val="003C5CE1"/>
    <w:rsid w:val="003C5E4D"/>
    <w:rsid w:val="003C6349"/>
    <w:rsid w:val="003C642E"/>
    <w:rsid w:val="003C6691"/>
    <w:rsid w:val="003C7387"/>
    <w:rsid w:val="003C750E"/>
    <w:rsid w:val="003C7560"/>
    <w:rsid w:val="003C7BA1"/>
    <w:rsid w:val="003C7C72"/>
    <w:rsid w:val="003C7C7C"/>
    <w:rsid w:val="003C7F06"/>
    <w:rsid w:val="003C7FC0"/>
    <w:rsid w:val="003D0011"/>
    <w:rsid w:val="003D0082"/>
    <w:rsid w:val="003D0325"/>
    <w:rsid w:val="003D0426"/>
    <w:rsid w:val="003D0690"/>
    <w:rsid w:val="003D1443"/>
    <w:rsid w:val="003D17CF"/>
    <w:rsid w:val="003D1B05"/>
    <w:rsid w:val="003D246D"/>
    <w:rsid w:val="003D26C3"/>
    <w:rsid w:val="003D2DDA"/>
    <w:rsid w:val="003D2E45"/>
    <w:rsid w:val="003D2EEF"/>
    <w:rsid w:val="003D31D7"/>
    <w:rsid w:val="003D328C"/>
    <w:rsid w:val="003D33DF"/>
    <w:rsid w:val="003D3562"/>
    <w:rsid w:val="003D3778"/>
    <w:rsid w:val="003D3B46"/>
    <w:rsid w:val="003D3C02"/>
    <w:rsid w:val="003D3DE8"/>
    <w:rsid w:val="003D3FBD"/>
    <w:rsid w:val="003D3FF5"/>
    <w:rsid w:val="003D431E"/>
    <w:rsid w:val="003D4881"/>
    <w:rsid w:val="003D4966"/>
    <w:rsid w:val="003D4A08"/>
    <w:rsid w:val="003D4E41"/>
    <w:rsid w:val="003D54B1"/>
    <w:rsid w:val="003D58C9"/>
    <w:rsid w:val="003D5A8E"/>
    <w:rsid w:val="003D5C91"/>
    <w:rsid w:val="003D5E24"/>
    <w:rsid w:val="003D5FA8"/>
    <w:rsid w:val="003D6078"/>
    <w:rsid w:val="003D6488"/>
    <w:rsid w:val="003D71D6"/>
    <w:rsid w:val="003D7216"/>
    <w:rsid w:val="003D7447"/>
    <w:rsid w:val="003D75B6"/>
    <w:rsid w:val="003D77B2"/>
    <w:rsid w:val="003D7F29"/>
    <w:rsid w:val="003E0012"/>
    <w:rsid w:val="003E0371"/>
    <w:rsid w:val="003E0412"/>
    <w:rsid w:val="003E04E6"/>
    <w:rsid w:val="003E0F3F"/>
    <w:rsid w:val="003E0FFD"/>
    <w:rsid w:val="003E1104"/>
    <w:rsid w:val="003E12FF"/>
    <w:rsid w:val="003E1384"/>
    <w:rsid w:val="003E1A0B"/>
    <w:rsid w:val="003E1FF4"/>
    <w:rsid w:val="003E27B1"/>
    <w:rsid w:val="003E28AA"/>
    <w:rsid w:val="003E2912"/>
    <w:rsid w:val="003E2CE3"/>
    <w:rsid w:val="003E2FE4"/>
    <w:rsid w:val="003E3A15"/>
    <w:rsid w:val="003E3C3E"/>
    <w:rsid w:val="003E3CDA"/>
    <w:rsid w:val="003E4353"/>
    <w:rsid w:val="003E442E"/>
    <w:rsid w:val="003E472D"/>
    <w:rsid w:val="003E4BB1"/>
    <w:rsid w:val="003E4BEB"/>
    <w:rsid w:val="003E4C36"/>
    <w:rsid w:val="003E4C56"/>
    <w:rsid w:val="003E5102"/>
    <w:rsid w:val="003E5978"/>
    <w:rsid w:val="003E5981"/>
    <w:rsid w:val="003E5FFE"/>
    <w:rsid w:val="003E6136"/>
    <w:rsid w:val="003E62B1"/>
    <w:rsid w:val="003E66B9"/>
    <w:rsid w:val="003E67A8"/>
    <w:rsid w:val="003E67DE"/>
    <w:rsid w:val="003E6D65"/>
    <w:rsid w:val="003E6D67"/>
    <w:rsid w:val="003E6E38"/>
    <w:rsid w:val="003E6E88"/>
    <w:rsid w:val="003E72FD"/>
    <w:rsid w:val="003E7D37"/>
    <w:rsid w:val="003F0030"/>
    <w:rsid w:val="003F0345"/>
    <w:rsid w:val="003F0724"/>
    <w:rsid w:val="003F0DC3"/>
    <w:rsid w:val="003F1452"/>
    <w:rsid w:val="003F20BC"/>
    <w:rsid w:val="003F2561"/>
    <w:rsid w:val="003F282F"/>
    <w:rsid w:val="003F292D"/>
    <w:rsid w:val="003F2F06"/>
    <w:rsid w:val="003F31C5"/>
    <w:rsid w:val="003F328F"/>
    <w:rsid w:val="003F32D2"/>
    <w:rsid w:val="003F3480"/>
    <w:rsid w:val="003F35AB"/>
    <w:rsid w:val="003F3A62"/>
    <w:rsid w:val="003F4525"/>
    <w:rsid w:val="003F46A4"/>
    <w:rsid w:val="003F47A9"/>
    <w:rsid w:val="003F484A"/>
    <w:rsid w:val="003F4B66"/>
    <w:rsid w:val="003F4BD2"/>
    <w:rsid w:val="003F4E67"/>
    <w:rsid w:val="003F4F69"/>
    <w:rsid w:val="003F53F2"/>
    <w:rsid w:val="003F57C9"/>
    <w:rsid w:val="003F5CCA"/>
    <w:rsid w:val="003F5DB9"/>
    <w:rsid w:val="003F5EFC"/>
    <w:rsid w:val="003F6147"/>
    <w:rsid w:val="003F618F"/>
    <w:rsid w:val="003F625F"/>
    <w:rsid w:val="003F6982"/>
    <w:rsid w:val="003F6B11"/>
    <w:rsid w:val="003F6D22"/>
    <w:rsid w:val="003F6D7B"/>
    <w:rsid w:val="003F70E9"/>
    <w:rsid w:val="003F77EF"/>
    <w:rsid w:val="003F78E6"/>
    <w:rsid w:val="003F7A19"/>
    <w:rsid w:val="00400113"/>
    <w:rsid w:val="0040013E"/>
    <w:rsid w:val="00400837"/>
    <w:rsid w:val="00400ACF"/>
    <w:rsid w:val="00400E68"/>
    <w:rsid w:val="00401DCD"/>
    <w:rsid w:val="00402271"/>
    <w:rsid w:val="00402874"/>
    <w:rsid w:val="00403017"/>
    <w:rsid w:val="004033C6"/>
    <w:rsid w:val="00403590"/>
    <w:rsid w:val="00403696"/>
    <w:rsid w:val="004036A1"/>
    <w:rsid w:val="00403A9B"/>
    <w:rsid w:val="00403BB1"/>
    <w:rsid w:val="00403C83"/>
    <w:rsid w:val="00403F3F"/>
    <w:rsid w:val="0040401D"/>
    <w:rsid w:val="00404215"/>
    <w:rsid w:val="004045A0"/>
    <w:rsid w:val="00404EA9"/>
    <w:rsid w:val="0040505B"/>
    <w:rsid w:val="00405144"/>
    <w:rsid w:val="00405CD7"/>
    <w:rsid w:val="004061B8"/>
    <w:rsid w:val="0040628F"/>
    <w:rsid w:val="00406810"/>
    <w:rsid w:val="00406824"/>
    <w:rsid w:val="00406EAF"/>
    <w:rsid w:val="00407948"/>
    <w:rsid w:val="00407B87"/>
    <w:rsid w:val="00407C56"/>
    <w:rsid w:val="00410051"/>
    <w:rsid w:val="0041010C"/>
    <w:rsid w:val="004102FC"/>
    <w:rsid w:val="00410BA0"/>
    <w:rsid w:val="00410BEE"/>
    <w:rsid w:val="00410C66"/>
    <w:rsid w:val="00410D05"/>
    <w:rsid w:val="004110B3"/>
    <w:rsid w:val="004111F2"/>
    <w:rsid w:val="004112EA"/>
    <w:rsid w:val="004115B9"/>
    <w:rsid w:val="004115EA"/>
    <w:rsid w:val="004116BC"/>
    <w:rsid w:val="004118A3"/>
    <w:rsid w:val="00411AE0"/>
    <w:rsid w:val="00411AE3"/>
    <w:rsid w:val="00412176"/>
    <w:rsid w:val="0041251B"/>
    <w:rsid w:val="00412B0B"/>
    <w:rsid w:val="00412C81"/>
    <w:rsid w:val="00413205"/>
    <w:rsid w:val="00413535"/>
    <w:rsid w:val="00413676"/>
    <w:rsid w:val="0041384D"/>
    <w:rsid w:val="0041391A"/>
    <w:rsid w:val="00413D53"/>
    <w:rsid w:val="00414AC1"/>
    <w:rsid w:val="00415330"/>
    <w:rsid w:val="004154B4"/>
    <w:rsid w:val="004158B1"/>
    <w:rsid w:val="004159AC"/>
    <w:rsid w:val="004159B4"/>
    <w:rsid w:val="00415BF6"/>
    <w:rsid w:val="00416394"/>
    <w:rsid w:val="00416684"/>
    <w:rsid w:val="00416709"/>
    <w:rsid w:val="00416F18"/>
    <w:rsid w:val="00417011"/>
    <w:rsid w:val="004171FD"/>
    <w:rsid w:val="004173CB"/>
    <w:rsid w:val="004175F5"/>
    <w:rsid w:val="00417751"/>
    <w:rsid w:val="004178CA"/>
    <w:rsid w:val="00417BE4"/>
    <w:rsid w:val="0042060E"/>
    <w:rsid w:val="00420A12"/>
    <w:rsid w:val="004210E3"/>
    <w:rsid w:val="00421225"/>
    <w:rsid w:val="0042133E"/>
    <w:rsid w:val="004217FE"/>
    <w:rsid w:val="00421B06"/>
    <w:rsid w:val="00421B7F"/>
    <w:rsid w:val="004224D5"/>
    <w:rsid w:val="00422676"/>
    <w:rsid w:val="0042277F"/>
    <w:rsid w:val="00422E45"/>
    <w:rsid w:val="00423072"/>
    <w:rsid w:val="00423288"/>
    <w:rsid w:val="004234B6"/>
    <w:rsid w:val="0042360A"/>
    <w:rsid w:val="004236AF"/>
    <w:rsid w:val="00423A1F"/>
    <w:rsid w:val="00423EBC"/>
    <w:rsid w:val="00424616"/>
    <w:rsid w:val="00424771"/>
    <w:rsid w:val="004247E4"/>
    <w:rsid w:val="00424835"/>
    <w:rsid w:val="00424A5B"/>
    <w:rsid w:val="00424DBF"/>
    <w:rsid w:val="00424FEC"/>
    <w:rsid w:val="004252C2"/>
    <w:rsid w:val="004259B6"/>
    <w:rsid w:val="00426FB4"/>
    <w:rsid w:val="00427720"/>
    <w:rsid w:val="00427C45"/>
    <w:rsid w:val="00427E8D"/>
    <w:rsid w:val="00427F68"/>
    <w:rsid w:val="004303AF"/>
    <w:rsid w:val="00430723"/>
    <w:rsid w:val="004308E8"/>
    <w:rsid w:val="00430903"/>
    <w:rsid w:val="004309B4"/>
    <w:rsid w:val="00431266"/>
    <w:rsid w:val="0043151C"/>
    <w:rsid w:val="00431944"/>
    <w:rsid w:val="00431BA5"/>
    <w:rsid w:val="00431E93"/>
    <w:rsid w:val="00431FFB"/>
    <w:rsid w:val="00432388"/>
    <w:rsid w:val="00432448"/>
    <w:rsid w:val="0043251B"/>
    <w:rsid w:val="00432547"/>
    <w:rsid w:val="0043306B"/>
    <w:rsid w:val="00433137"/>
    <w:rsid w:val="004332E7"/>
    <w:rsid w:val="00433479"/>
    <w:rsid w:val="00433F26"/>
    <w:rsid w:val="00433F36"/>
    <w:rsid w:val="004342B0"/>
    <w:rsid w:val="0043496F"/>
    <w:rsid w:val="00434D6C"/>
    <w:rsid w:val="00435988"/>
    <w:rsid w:val="00435C3C"/>
    <w:rsid w:val="00435D96"/>
    <w:rsid w:val="00435E9A"/>
    <w:rsid w:val="00435ECC"/>
    <w:rsid w:val="00436017"/>
    <w:rsid w:val="004360FC"/>
    <w:rsid w:val="00436213"/>
    <w:rsid w:val="004362D2"/>
    <w:rsid w:val="004363E2"/>
    <w:rsid w:val="00436861"/>
    <w:rsid w:val="004368E6"/>
    <w:rsid w:val="0043708E"/>
    <w:rsid w:val="00437129"/>
    <w:rsid w:val="00437147"/>
    <w:rsid w:val="0043720D"/>
    <w:rsid w:val="004376FF"/>
    <w:rsid w:val="00437C02"/>
    <w:rsid w:val="00437CE8"/>
    <w:rsid w:val="00437FBB"/>
    <w:rsid w:val="00440B24"/>
    <w:rsid w:val="00440DB1"/>
    <w:rsid w:val="00440E27"/>
    <w:rsid w:val="00440F3A"/>
    <w:rsid w:val="00441A74"/>
    <w:rsid w:val="00441BAB"/>
    <w:rsid w:val="00441E29"/>
    <w:rsid w:val="00441F1D"/>
    <w:rsid w:val="00442321"/>
    <w:rsid w:val="0044252E"/>
    <w:rsid w:val="0044255C"/>
    <w:rsid w:val="004425A7"/>
    <w:rsid w:val="0044283F"/>
    <w:rsid w:val="004429A7"/>
    <w:rsid w:val="00442AFE"/>
    <w:rsid w:val="00442BC9"/>
    <w:rsid w:val="00442BED"/>
    <w:rsid w:val="00442F42"/>
    <w:rsid w:val="00443948"/>
    <w:rsid w:val="00443EC0"/>
    <w:rsid w:val="00443EEC"/>
    <w:rsid w:val="004440F5"/>
    <w:rsid w:val="004441E5"/>
    <w:rsid w:val="004444B2"/>
    <w:rsid w:val="0044464A"/>
    <w:rsid w:val="0044469A"/>
    <w:rsid w:val="004449D0"/>
    <w:rsid w:val="00444A2E"/>
    <w:rsid w:val="00444BC1"/>
    <w:rsid w:val="00444C95"/>
    <w:rsid w:val="00444C9E"/>
    <w:rsid w:val="00444D04"/>
    <w:rsid w:val="004452C4"/>
    <w:rsid w:val="00445477"/>
    <w:rsid w:val="00445B2C"/>
    <w:rsid w:val="00445B58"/>
    <w:rsid w:val="00446098"/>
    <w:rsid w:val="00446D1D"/>
    <w:rsid w:val="00446E99"/>
    <w:rsid w:val="00446FE6"/>
    <w:rsid w:val="004473BB"/>
    <w:rsid w:val="00447785"/>
    <w:rsid w:val="00447FD6"/>
    <w:rsid w:val="00450049"/>
    <w:rsid w:val="00450119"/>
    <w:rsid w:val="00450A2B"/>
    <w:rsid w:val="00451048"/>
    <w:rsid w:val="00451E2B"/>
    <w:rsid w:val="00451E4E"/>
    <w:rsid w:val="00451EC1"/>
    <w:rsid w:val="0045256B"/>
    <w:rsid w:val="004527CA"/>
    <w:rsid w:val="0045293E"/>
    <w:rsid w:val="00452AFA"/>
    <w:rsid w:val="00453316"/>
    <w:rsid w:val="004535C8"/>
    <w:rsid w:val="00453912"/>
    <w:rsid w:val="00453D84"/>
    <w:rsid w:val="00453E18"/>
    <w:rsid w:val="00454EE2"/>
    <w:rsid w:val="004554ED"/>
    <w:rsid w:val="004557A8"/>
    <w:rsid w:val="00455DCF"/>
    <w:rsid w:val="00456147"/>
    <w:rsid w:val="00456261"/>
    <w:rsid w:val="004562C2"/>
    <w:rsid w:val="004562F4"/>
    <w:rsid w:val="0045634D"/>
    <w:rsid w:val="004566E5"/>
    <w:rsid w:val="00456796"/>
    <w:rsid w:val="00456EAC"/>
    <w:rsid w:val="00456EC2"/>
    <w:rsid w:val="0045751F"/>
    <w:rsid w:val="004575D5"/>
    <w:rsid w:val="00457A38"/>
    <w:rsid w:val="00457A39"/>
    <w:rsid w:val="004601D5"/>
    <w:rsid w:val="00460200"/>
    <w:rsid w:val="004602D8"/>
    <w:rsid w:val="004605FA"/>
    <w:rsid w:val="0046061D"/>
    <w:rsid w:val="00460887"/>
    <w:rsid w:val="00460C9B"/>
    <w:rsid w:val="00460DE0"/>
    <w:rsid w:val="00460E90"/>
    <w:rsid w:val="00461472"/>
    <w:rsid w:val="00461589"/>
    <w:rsid w:val="00461968"/>
    <w:rsid w:val="00461A04"/>
    <w:rsid w:val="00462D20"/>
    <w:rsid w:val="004630A2"/>
    <w:rsid w:val="00463352"/>
    <w:rsid w:val="00463506"/>
    <w:rsid w:val="00463726"/>
    <w:rsid w:val="004637C4"/>
    <w:rsid w:val="004637D8"/>
    <w:rsid w:val="00464CCE"/>
    <w:rsid w:val="00464E0E"/>
    <w:rsid w:val="00464EE0"/>
    <w:rsid w:val="00464FC6"/>
    <w:rsid w:val="0046515A"/>
    <w:rsid w:val="00465353"/>
    <w:rsid w:val="00465492"/>
    <w:rsid w:val="00465C17"/>
    <w:rsid w:val="004661FF"/>
    <w:rsid w:val="00466274"/>
    <w:rsid w:val="004664B5"/>
    <w:rsid w:val="004666DC"/>
    <w:rsid w:val="00466924"/>
    <w:rsid w:val="00466ABC"/>
    <w:rsid w:val="00466BFB"/>
    <w:rsid w:val="00466C2D"/>
    <w:rsid w:val="00466FC7"/>
    <w:rsid w:val="0046700A"/>
    <w:rsid w:val="00467011"/>
    <w:rsid w:val="00467167"/>
    <w:rsid w:val="004678F9"/>
    <w:rsid w:val="00467D02"/>
    <w:rsid w:val="00467D6D"/>
    <w:rsid w:val="00467E8F"/>
    <w:rsid w:val="00467EA0"/>
    <w:rsid w:val="00467FD4"/>
    <w:rsid w:val="004702F2"/>
    <w:rsid w:val="004706AB"/>
    <w:rsid w:val="00470E86"/>
    <w:rsid w:val="004714F3"/>
    <w:rsid w:val="0047157D"/>
    <w:rsid w:val="0047170E"/>
    <w:rsid w:val="004717A3"/>
    <w:rsid w:val="00471B05"/>
    <w:rsid w:val="00471C52"/>
    <w:rsid w:val="004723ED"/>
    <w:rsid w:val="00472702"/>
    <w:rsid w:val="004729DD"/>
    <w:rsid w:val="00472B39"/>
    <w:rsid w:val="00473856"/>
    <w:rsid w:val="00473C51"/>
    <w:rsid w:val="00473F69"/>
    <w:rsid w:val="0047402D"/>
    <w:rsid w:val="00474144"/>
    <w:rsid w:val="0047427F"/>
    <w:rsid w:val="004746A1"/>
    <w:rsid w:val="00474A32"/>
    <w:rsid w:val="00474C3D"/>
    <w:rsid w:val="00475517"/>
    <w:rsid w:val="00475545"/>
    <w:rsid w:val="0047688B"/>
    <w:rsid w:val="00476C93"/>
    <w:rsid w:val="00476D4A"/>
    <w:rsid w:val="00476FE9"/>
    <w:rsid w:val="0047700D"/>
    <w:rsid w:val="0047729E"/>
    <w:rsid w:val="00477C47"/>
    <w:rsid w:val="00477C6F"/>
    <w:rsid w:val="00477D4B"/>
    <w:rsid w:val="004801F0"/>
    <w:rsid w:val="00480352"/>
    <w:rsid w:val="0048063F"/>
    <w:rsid w:val="0048088F"/>
    <w:rsid w:val="00480A43"/>
    <w:rsid w:val="00480B23"/>
    <w:rsid w:val="00480BD7"/>
    <w:rsid w:val="00480C6F"/>
    <w:rsid w:val="00480D85"/>
    <w:rsid w:val="0048163D"/>
    <w:rsid w:val="004817E7"/>
    <w:rsid w:val="004819D4"/>
    <w:rsid w:val="00481FE4"/>
    <w:rsid w:val="00482139"/>
    <w:rsid w:val="0048240B"/>
    <w:rsid w:val="004826EA"/>
    <w:rsid w:val="00482705"/>
    <w:rsid w:val="00483423"/>
    <w:rsid w:val="0048351A"/>
    <w:rsid w:val="004835FA"/>
    <w:rsid w:val="00483AD4"/>
    <w:rsid w:val="00483BFA"/>
    <w:rsid w:val="00483C6C"/>
    <w:rsid w:val="00483E5F"/>
    <w:rsid w:val="00483F71"/>
    <w:rsid w:val="0048406D"/>
    <w:rsid w:val="00484442"/>
    <w:rsid w:val="0048447C"/>
    <w:rsid w:val="004845A9"/>
    <w:rsid w:val="00484F70"/>
    <w:rsid w:val="00485670"/>
    <w:rsid w:val="004856DC"/>
    <w:rsid w:val="004863C7"/>
    <w:rsid w:val="00486C98"/>
    <w:rsid w:val="00486E01"/>
    <w:rsid w:val="00487277"/>
    <w:rsid w:val="004877F8"/>
    <w:rsid w:val="004877FD"/>
    <w:rsid w:val="00487879"/>
    <w:rsid w:val="00487D7E"/>
    <w:rsid w:val="00487F3A"/>
    <w:rsid w:val="00487F57"/>
    <w:rsid w:val="00487F5F"/>
    <w:rsid w:val="0049000A"/>
    <w:rsid w:val="0049059A"/>
    <w:rsid w:val="00491008"/>
    <w:rsid w:val="004919FA"/>
    <w:rsid w:val="00491AD1"/>
    <w:rsid w:val="004926B6"/>
    <w:rsid w:val="0049271A"/>
    <w:rsid w:val="004929AB"/>
    <w:rsid w:val="004929D6"/>
    <w:rsid w:val="00492E3A"/>
    <w:rsid w:val="00492F73"/>
    <w:rsid w:val="004931A7"/>
    <w:rsid w:val="00493210"/>
    <w:rsid w:val="00493356"/>
    <w:rsid w:val="00493554"/>
    <w:rsid w:val="00493A53"/>
    <w:rsid w:val="00493AED"/>
    <w:rsid w:val="00493E6E"/>
    <w:rsid w:val="0049417A"/>
    <w:rsid w:val="0049424D"/>
    <w:rsid w:val="00494286"/>
    <w:rsid w:val="004943B7"/>
    <w:rsid w:val="00494677"/>
    <w:rsid w:val="0049479B"/>
    <w:rsid w:val="00494867"/>
    <w:rsid w:val="00494980"/>
    <w:rsid w:val="004951F8"/>
    <w:rsid w:val="0049542B"/>
    <w:rsid w:val="004955AF"/>
    <w:rsid w:val="00495838"/>
    <w:rsid w:val="00495B27"/>
    <w:rsid w:val="004961BB"/>
    <w:rsid w:val="00497664"/>
    <w:rsid w:val="004977AD"/>
    <w:rsid w:val="00497817"/>
    <w:rsid w:val="004979A3"/>
    <w:rsid w:val="00497A59"/>
    <w:rsid w:val="00497D31"/>
    <w:rsid w:val="0049A810"/>
    <w:rsid w:val="004A0076"/>
    <w:rsid w:val="004A06F2"/>
    <w:rsid w:val="004A0863"/>
    <w:rsid w:val="004A0A76"/>
    <w:rsid w:val="004A0B69"/>
    <w:rsid w:val="004A0C29"/>
    <w:rsid w:val="004A0D5C"/>
    <w:rsid w:val="004A0E75"/>
    <w:rsid w:val="004A10CB"/>
    <w:rsid w:val="004A119D"/>
    <w:rsid w:val="004A1B88"/>
    <w:rsid w:val="004A1BBF"/>
    <w:rsid w:val="004A2498"/>
    <w:rsid w:val="004A276B"/>
    <w:rsid w:val="004A29E5"/>
    <w:rsid w:val="004A2AC7"/>
    <w:rsid w:val="004A2E36"/>
    <w:rsid w:val="004A2FA2"/>
    <w:rsid w:val="004A305E"/>
    <w:rsid w:val="004A348C"/>
    <w:rsid w:val="004A363A"/>
    <w:rsid w:val="004A37D0"/>
    <w:rsid w:val="004A3AAE"/>
    <w:rsid w:val="004A3FA5"/>
    <w:rsid w:val="004A3FD8"/>
    <w:rsid w:val="004A405A"/>
    <w:rsid w:val="004A4249"/>
    <w:rsid w:val="004A4A78"/>
    <w:rsid w:val="004A4B74"/>
    <w:rsid w:val="004A4CE5"/>
    <w:rsid w:val="004A57B0"/>
    <w:rsid w:val="004A596A"/>
    <w:rsid w:val="004A5B53"/>
    <w:rsid w:val="004A5C1F"/>
    <w:rsid w:val="004A5C89"/>
    <w:rsid w:val="004A5CB2"/>
    <w:rsid w:val="004A5F05"/>
    <w:rsid w:val="004A688C"/>
    <w:rsid w:val="004A6A46"/>
    <w:rsid w:val="004A6A5A"/>
    <w:rsid w:val="004A6EA7"/>
    <w:rsid w:val="004A719C"/>
    <w:rsid w:val="004A7967"/>
    <w:rsid w:val="004A7EBC"/>
    <w:rsid w:val="004A7F10"/>
    <w:rsid w:val="004B0737"/>
    <w:rsid w:val="004B08E8"/>
    <w:rsid w:val="004B0B7A"/>
    <w:rsid w:val="004B0F13"/>
    <w:rsid w:val="004B1299"/>
    <w:rsid w:val="004B13EA"/>
    <w:rsid w:val="004B1517"/>
    <w:rsid w:val="004B195E"/>
    <w:rsid w:val="004B1C87"/>
    <w:rsid w:val="004B1CA7"/>
    <w:rsid w:val="004B223F"/>
    <w:rsid w:val="004B2761"/>
    <w:rsid w:val="004B2CC4"/>
    <w:rsid w:val="004B31B5"/>
    <w:rsid w:val="004B31D5"/>
    <w:rsid w:val="004B31FB"/>
    <w:rsid w:val="004B3613"/>
    <w:rsid w:val="004B3760"/>
    <w:rsid w:val="004B3B28"/>
    <w:rsid w:val="004B3BB3"/>
    <w:rsid w:val="004B3C77"/>
    <w:rsid w:val="004B3DF6"/>
    <w:rsid w:val="004B3DFC"/>
    <w:rsid w:val="004B3FEB"/>
    <w:rsid w:val="004B43D3"/>
    <w:rsid w:val="004B4ABA"/>
    <w:rsid w:val="004B4C1B"/>
    <w:rsid w:val="004B4F74"/>
    <w:rsid w:val="004B5364"/>
    <w:rsid w:val="004B548C"/>
    <w:rsid w:val="004B5A28"/>
    <w:rsid w:val="004B5A88"/>
    <w:rsid w:val="004B5D62"/>
    <w:rsid w:val="004B60A2"/>
    <w:rsid w:val="004B664B"/>
    <w:rsid w:val="004B6CFE"/>
    <w:rsid w:val="004B7035"/>
    <w:rsid w:val="004B70CD"/>
    <w:rsid w:val="004B78A6"/>
    <w:rsid w:val="004B78AB"/>
    <w:rsid w:val="004B7CF2"/>
    <w:rsid w:val="004B7DD1"/>
    <w:rsid w:val="004B7ED2"/>
    <w:rsid w:val="004C056A"/>
    <w:rsid w:val="004C0DCF"/>
    <w:rsid w:val="004C0E9C"/>
    <w:rsid w:val="004C0FD8"/>
    <w:rsid w:val="004C10E4"/>
    <w:rsid w:val="004C12C1"/>
    <w:rsid w:val="004C14C9"/>
    <w:rsid w:val="004C1573"/>
    <w:rsid w:val="004C1680"/>
    <w:rsid w:val="004C207D"/>
    <w:rsid w:val="004C20D1"/>
    <w:rsid w:val="004C20D9"/>
    <w:rsid w:val="004C2788"/>
    <w:rsid w:val="004C282C"/>
    <w:rsid w:val="004C28C6"/>
    <w:rsid w:val="004C2C37"/>
    <w:rsid w:val="004C2F94"/>
    <w:rsid w:val="004C302B"/>
    <w:rsid w:val="004C3B1F"/>
    <w:rsid w:val="004C3F43"/>
    <w:rsid w:val="004C3FD9"/>
    <w:rsid w:val="004C4378"/>
    <w:rsid w:val="004C44EE"/>
    <w:rsid w:val="004C467B"/>
    <w:rsid w:val="004C46D3"/>
    <w:rsid w:val="004C5235"/>
    <w:rsid w:val="004C59E8"/>
    <w:rsid w:val="004C5A39"/>
    <w:rsid w:val="004C5CF1"/>
    <w:rsid w:val="004C5D3C"/>
    <w:rsid w:val="004C5ECD"/>
    <w:rsid w:val="004C6133"/>
    <w:rsid w:val="004C62D7"/>
    <w:rsid w:val="004C665C"/>
    <w:rsid w:val="004C6A56"/>
    <w:rsid w:val="004C6DF8"/>
    <w:rsid w:val="004C74CB"/>
    <w:rsid w:val="004C77BF"/>
    <w:rsid w:val="004C7825"/>
    <w:rsid w:val="004C7BEF"/>
    <w:rsid w:val="004D008E"/>
    <w:rsid w:val="004D0E90"/>
    <w:rsid w:val="004D0FBE"/>
    <w:rsid w:val="004D10B4"/>
    <w:rsid w:val="004D10FD"/>
    <w:rsid w:val="004D139E"/>
    <w:rsid w:val="004D13F8"/>
    <w:rsid w:val="004D1A49"/>
    <w:rsid w:val="004D1C60"/>
    <w:rsid w:val="004D1C88"/>
    <w:rsid w:val="004D1E8E"/>
    <w:rsid w:val="004D1F8D"/>
    <w:rsid w:val="004D24A6"/>
    <w:rsid w:val="004D33F5"/>
    <w:rsid w:val="004D3DC7"/>
    <w:rsid w:val="004D4B74"/>
    <w:rsid w:val="004D4E7D"/>
    <w:rsid w:val="004D5453"/>
    <w:rsid w:val="004D6045"/>
    <w:rsid w:val="004D621B"/>
    <w:rsid w:val="004D65D7"/>
    <w:rsid w:val="004D6756"/>
    <w:rsid w:val="004D70AB"/>
    <w:rsid w:val="004D7288"/>
    <w:rsid w:val="004D744F"/>
    <w:rsid w:val="004D77D7"/>
    <w:rsid w:val="004E000C"/>
    <w:rsid w:val="004E008E"/>
    <w:rsid w:val="004E0562"/>
    <w:rsid w:val="004E0674"/>
    <w:rsid w:val="004E08AC"/>
    <w:rsid w:val="004E1411"/>
    <w:rsid w:val="004E1694"/>
    <w:rsid w:val="004E18C9"/>
    <w:rsid w:val="004E1C22"/>
    <w:rsid w:val="004E1F9C"/>
    <w:rsid w:val="004E2055"/>
    <w:rsid w:val="004E20ED"/>
    <w:rsid w:val="004E2153"/>
    <w:rsid w:val="004E2E76"/>
    <w:rsid w:val="004E3145"/>
    <w:rsid w:val="004E3368"/>
    <w:rsid w:val="004E36E4"/>
    <w:rsid w:val="004E3808"/>
    <w:rsid w:val="004E3865"/>
    <w:rsid w:val="004E3BD6"/>
    <w:rsid w:val="004E4058"/>
    <w:rsid w:val="004E4535"/>
    <w:rsid w:val="004E4D30"/>
    <w:rsid w:val="004E4DC4"/>
    <w:rsid w:val="004E4ED9"/>
    <w:rsid w:val="004E5420"/>
    <w:rsid w:val="004E5525"/>
    <w:rsid w:val="004E5761"/>
    <w:rsid w:val="004E57B8"/>
    <w:rsid w:val="004E58D5"/>
    <w:rsid w:val="004E5AA0"/>
    <w:rsid w:val="004E5AE6"/>
    <w:rsid w:val="004E5CD5"/>
    <w:rsid w:val="004E5EA1"/>
    <w:rsid w:val="004E6167"/>
    <w:rsid w:val="004E7435"/>
    <w:rsid w:val="004E7643"/>
    <w:rsid w:val="004E77BD"/>
    <w:rsid w:val="004E7800"/>
    <w:rsid w:val="004E78C4"/>
    <w:rsid w:val="004E79CC"/>
    <w:rsid w:val="004E7BF4"/>
    <w:rsid w:val="004E7C74"/>
    <w:rsid w:val="004F014E"/>
    <w:rsid w:val="004F03EF"/>
    <w:rsid w:val="004F0FC1"/>
    <w:rsid w:val="004F15F3"/>
    <w:rsid w:val="004F206B"/>
    <w:rsid w:val="004F28EF"/>
    <w:rsid w:val="004F2DA4"/>
    <w:rsid w:val="004F320E"/>
    <w:rsid w:val="004F3827"/>
    <w:rsid w:val="004F3883"/>
    <w:rsid w:val="004F39C6"/>
    <w:rsid w:val="004F39E1"/>
    <w:rsid w:val="004F3ABD"/>
    <w:rsid w:val="004F3BD0"/>
    <w:rsid w:val="004F3CAC"/>
    <w:rsid w:val="004F3E1B"/>
    <w:rsid w:val="004F3EA4"/>
    <w:rsid w:val="004F3EBC"/>
    <w:rsid w:val="004F3EDA"/>
    <w:rsid w:val="004F3F0A"/>
    <w:rsid w:val="004F4310"/>
    <w:rsid w:val="004F4418"/>
    <w:rsid w:val="004F461D"/>
    <w:rsid w:val="004F46DD"/>
    <w:rsid w:val="004F4AFE"/>
    <w:rsid w:val="004F4DF3"/>
    <w:rsid w:val="004F4E77"/>
    <w:rsid w:val="004F5361"/>
    <w:rsid w:val="004F536E"/>
    <w:rsid w:val="004F5419"/>
    <w:rsid w:val="004F579C"/>
    <w:rsid w:val="004F5C37"/>
    <w:rsid w:val="004F618E"/>
    <w:rsid w:val="004F61D7"/>
    <w:rsid w:val="004F630E"/>
    <w:rsid w:val="004F6406"/>
    <w:rsid w:val="004F661A"/>
    <w:rsid w:val="004F6AD3"/>
    <w:rsid w:val="004F7325"/>
    <w:rsid w:val="004F7458"/>
    <w:rsid w:val="004F75C4"/>
    <w:rsid w:val="004F7E20"/>
    <w:rsid w:val="004F7E95"/>
    <w:rsid w:val="005004AC"/>
    <w:rsid w:val="0050083D"/>
    <w:rsid w:val="00500968"/>
    <w:rsid w:val="00500D32"/>
    <w:rsid w:val="0050107A"/>
    <w:rsid w:val="005011AA"/>
    <w:rsid w:val="005012AC"/>
    <w:rsid w:val="00501637"/>
    <w:rsid w:val="00501761"/>
    <w:rsid w:val="005017C3"/>
    <w:rsid w:val="005018FA"/>
    <w:rsid w:val="00501E22"/>
    <w:rsid w:val="00502134"/>
    <w:rsid w:val="0050225B"/>
    <w:rsid w:val="005024B3"/>
    <w:rsid w:val="00502B36"/>
    <w:rsid w:val="00502CE5"/>
    <w:rsid w:val="005030D1"/>
    <w:rsid w:val="00503333"/>
    <w:rsid w:val="00503691"/>
    <w:rsid w:val="00503908"/>
    <w:rsid w:val="00503936"/>
    <w:rsid w:val="005039B3"/>
    <w:rsid w:val="00503D1D"/>
    <w:rsid w:val="0050451E"/>
    <w:rsid w:val="00504AB9"/>
    <w:rsid w:val="00504FB9"/>
    <w:rsid w:val="0050584F"/>
    <w:rsid w:val="0050598E"/>
    <w:rsid w:val="00506397"/>
    <w:rsid w:val="0050639B"/>
    <w:rsid w:val="0050646F"/>
    <w:rsid w:val="0050662A"/>
    <w:rsid w:val="0050667B"/>
    <w:rsid w:val="00506794"/>
    <w:rsid w:val="00506996"/>
    <w:rsid w:val="00506E72"/>
    <w:rsid w:val="00506EAE"/>
    <w:rsid w:val="00506F14"/>
    <w:rsid w:val="00507463"/>
    <w:rsid w:val="00507652"/>
    <w:rsid w:val="005078C7"/>
    <w:rsid w:val="00507F2C"/>
    <w:rsid w:val="005101CD"/>
    <w:rsid w:val="0051059F"/>
    <w:rsid w:val="005105A4"/>
    <w:rsid w:val="00510D47"/>
    <w:rsid w:val="005113CE"/>
    <w:rsid w:val="00511458"/>
    <w:rsid w:val="00511935"/>
    <w:rsid w:val="00511AEA"/>
    <w:rsid w:val="00512047"/>
    <w:rsid w:val="005121A5"/>
    <w:rsid w:val="005126FA"/>
    <w:rsid w:val="00512F6C"/>
    <w:rsid w:val="00513103"/>
    <w:rsid w:val="005145B3"/>
    <w:rsid w:val="00514EA7"/>
    <w:rsid w:val="00515053"/>
    <w:rsid w:val="00515192"/>
    <w:rsid w:val="0051535F"/>
    <w:rsid w:val="0051585B"/>
    <w:rsid w:val="00516DDB"/>
    <w:rsid w:val="00516F85"/>
    <w:rsid w:val="005171C5"/>
    <w:rsid w:val="00517268"/>
    <w:rsid w:val="0051778B"/>
    <w:rsid w:val="00517868"/>
    <w:rsid w:val="0051796B"/>
    <w:rsid w:val="00520A12"/>
    <w:rsid w:val="00520B81"/>
    <w:rsid w:val="0052100B"/>
    <w:rsid w:val="0052109A"/>
    <w:rsid w:val="005211A6"/>
    <w:rsid w:val="00521448"/>
    <w:rsid w:val="005214C2"/>
    <w:rsid w:val="005214F8"/>
    <w:rsid w:val="00521650"/>
    <w:rsid w:val="005219EE"/>
    <w:rsid w:val="00521C3A"/>
    <w:rsid w:val="00522175"/>
    <w:rsid w:val="005221A5"/>
    <w:rsid w:val="005221E7"/>
    <w:rsid w:val="00522947"/>
    <w:rsid w:val="00523035"/>
    <w:rsid w:val="0052385D"/>
    <w:rsid w:val="005239A3"/>
    <w:rsid w:val="00523BE1"/>
    <w:rsid w:val="0052407A"/>
    <w:rsid w:val="005245AC"/>
    <w:rsid w:val="0052474B"/>
    <w:rsid w:val="005248E9"/>
    <w:rsid w:val="00524B14"/>
    <w:rsid w:val="00524E20"/>
    <w:rsid w:val="0052513C"/>
    <w:rsid w:val="0052525B"/>
    <w:rsid w:val="005254E5"/>
    <w:rsid w:val="00525562"/>
    <w:rsid w:val="00525972"/>
    <w:rsid w:val="00525CC1"/>
    <w:rsid w:val="00526490"/>
    <w:rsid w:val="00526BC7"/>
    <w:rsid w:val="00526BDD"/>
    <w:rsid w:val="00526C08"/>
    <w:rsid w:val="00526CD5"/>
    <w:rsid w:val="00526F5D"/>
    <w:rsid w:val="005270C0"/>
    <w:rsid w:val="005278DF"/>
    <w:rsid w:val="00527939"/>
    <w:rsid w:val="00527AFD"/>
    <w:rsid w:val="00527E2E"/>
    <w:rsid w:val="005308B0"/>
    <w:rsid w:val="00530954"/>
    <w:rsid w:val="00530A08"/>
    <w:rsid w:val="00531A8A"/>
    <w:rsid w:val="00531B77"/>
    <w:rsid w:val="00531CB1"/>
    <w:rsid w:val="005324A8"/>
    <w:rsid w:val="00532A82"/>
    <w:rsid w:val="005331B7"/>
    <w:rsid w:val="005332B2"/>
    <w:rsid w:val="005336E0"/>
    <w:rsid w:val="0053370F"/>
    <w:rsid w:val="00533A89"/>
    <w:rsid w:val="00533B3F"/>
    <w:rsid w:val="00533E47"/>
    <w:rsid w:val="00534723"/>
    <w:rsid w:val="00534985"/>
    <w:rsid w:val="00534C92"/>
    <w:rsid w:val="00535587"/>
    <w:rsid w:val="005357CB"/>
    <w:rsid w:val="005359ED"/>
    <w:rsid w:val="00535CE7"/>
    <w:rsid w:val="00535D09"/>
    <w:rsid w:val="00535E72"/>
    <w:rsid w:val="00536511"/>
    <w:rsid w:val="005365F9"/>
    <w:rsid w:val="00536888"/>
    <w:rsid w:val="00536B6B"/>
    <w:rsid w:val="00537219"/>
    <w:rsid w:val="00537360"/>
    <w:rsid w:val="005375C6"/>
    <w:rsid w:val="005401C9"/>
    <w:rsid w:val="00540334"/>
    <w:rsid w:val="005406BF"/>
    <w:rsid w:val="00540A63"/>
    <w:rsid w:val="00540DA3"/>
    <w:rsid w:val="00540E1C"/>
    <w:rsid w:val="00541202"/>
    <w:rsid w:val="00541529"/>
    <w:rsid w:val="00541827"/>
    <w:rsid w:val="00541C51"/>
    <w:rsid w:val="00541C56"/>
    <w:rsid w:val="00541F78"/>
    <w:rsid w:val="005423EB"/>
    <w:rsid w:val="00542718"/>
    <w:rsid w:val="0054273D"/>
    <w:rsid w:val="005427F3"/>
    <w:rsid w:val="00542832"/>
    <w:rsid w:val="00542C54"/>
    <w:rsid w:val="00542E4C"/>
    <w:rsid w:val="005432FE"/>
    <w:rsid w:val="005437EF"/>
    <w:rsid w:val="005438DB"/>
    <w:rsid w:val="00543B3F"/>
    <w:rsid w:val="00543B51"/>
    <w:rsid w:val="00543B5D"/>
    <w:rsid w:val="005440D0"/>
    <w:rsid w:val="00544146"/>
    <w:rsid w:val="005448E2"/>
    <w:rsid w:val="00544DB2"/>
    <w:rsid w:val="00544E28"/>
    <w:rsid w:val="00544E6D"/>
    <w:rsid w:val="00544FE9"/>
    <w:rsid w:val="005452B1"/>
    <w:rsid w:val="00545526"/>
    <w:rsid w:val="005455C5"/>
    <w:rsid w:val="005457E4"/>
    <w:rsid w:val="005458A3"/>
    <w:rsid w:val="005458DF"/>
    <w:rsid w:val="0054598D"/>
    <w:rsid w:val="00545A83"/>
    <w:rsid w:val="00545F39"/>
    <w:rsid w:val="00545F8E"/>
    <w:rsid w:val="00545FC1"/>
    <w:rsid w:val="0054657B"/>
    <w:rsid w:val="00546910"/>
    <w:rsid w:val="00546FFA"/>
    <w:rsid w:val="00547256"/>
    <w:rsid w:val="0054736A"/>
    <w:rsid w:val="00547B74"/>
    <w:rsid w:val="00550214"/>
    <w:rsid w:val="00550448"/>
    <w:rsid w:val="005507F9"/>
    <w:rsid w:val="005513CF"/>
    <w:rsid w:val="005514C7"/>
    <w:rsid w:val="005516A7"/>
    <w:rsid w:val="00551E4A"/>
    <w:rsid w:val="005520C5"/>
    <w:rsid w:val="0055218C"/>
    <w:rsid w:val="00552191"/>
    <w:rsid w:val="005521BA"/>
    <w:rsid w:val="00552358"/>
    <w:rsid w:val="0055244B"/>
    <w:rsid w:val="005524A0"/>
    <w:rsid w:val="00552EF5"/>
    <w:rsid w:val="0055368A"/>
    <w:rsid w:val="00553EB9"/>
    <w:rsid w:val="00553FCC"/>
    <w:rsid w:val="00554119"/>
    <w:rsid w:val="005543DB"/>
    <w:rsid w:val="00554427"/>
    <w:rsid w:val="00554629"/>
    <w:rsid w:val="005546D4"/>
    <w:rsid w:val="00554923"/>
    <w:rsid w:val="00554985"/>
    <w:rsid w:val="005552E3"/>
    <w:rsid w:val="005555C1"/>
    <w:rsid w:val="00555715"/>
    <w:rsid w:val="00555A7C"/>
    <w:rsid w:val="00555C6A"/>
    <w:rsid w:val="00555CE4"/>
    <w:rsid w:val="00555D69"/>
    <w:rsid w:val="00555DC2"/>
    <w:rsid w:val="005566D4"/>
    <w:rsid w:val="0055675F"/>
    <w:rsid w:val="00557038"/>
    <w:rsid w:val="0055707A"/>
    <w:rsid w:val="005570E6"/>
    <w:rsid w:val="00557E55"/>
    <w:rsid w:val="005603A9"/>
    <w:rsid w:val="005607DC"/>
    <w:rsid w:val="005608C1"/>
    <w:rsid w:val="00561237"/>
    <w:rsid w:val="005619A4"/>
    <w:rsid w:val="00561BCD"/>
    <w:rsid w:val="0056223F"/>
    <w:rsid w:val="0056241C"/>
    <w:rsid w:val="0056274B"/>
    <w:rsid w:val="005631AF"/>
    <w:rsid w:val="005633B8"/>
    <w:rsid w:val="0056354A"/>
    <w:rsid w:val="00563D5F"/>
    <w:rsid w:val="005645FA"/>
    <w:rsid w:val="005647CA"/>
    <w:rsid w:val="005647DB"/>
    <w:rsid w:val="00564C47"/>
    <w:rsid w:val="00564C90"/>
    <w:rsid w:val="00564F92"/>
    <w:rsid w:val="0056502A"/>
    <w:rsid w:val="005650EB"/>
    <w:rsid w:val="00565299"/>
    <w:rsid w:val="00565427"/>
    <w:rsid w:val="005654E1"/>
    <w:rsid w:val="0056577B"/>
    <w:rsid w:val="00565BA3"/>
    <w:rsid w:val="00565F7C"/>
    <w:rsid w:val="00565FC4"/>
    <w:rsid w:val="0056664B"/>
    <w:rsid w:val="00566680"/>
    <w:rsid w:val="00566A2D"/>
    <w:rsid w:val="00566C29"/>
    <w:rsid w:val="00566C59"/>
    <w:rsid w:val="00566FAC"/>
    <w:rsid w:val="00567482"/>
    <w:rsid w:val="0056767A"/>
    <w:rsid w:val="0056774C"/>
    <w:rsid w:val="005677C2"/>
    <w:rsid w:val="00567E58"/>
    <w:rsid w:val="005709C0"/>
    <w:rsid w:val="00571049"/>
    <w:rsid w:val="00571740"/>
    <w:rsid w:val="005722DD"/>
    <w:rsid w:val="00572322"/>
    <w:rsid w:val="00572501"/>
    <w:rsid w:val="005747EC"/>
    <w:rsid w:val="0057485F"/>
    <w:rsid w:val="00574C8E"/>
    <w:rsid w:val="00574D6A"/>
    <w:rsid w:val="00574F22"/>
    <w:rsid w:val="005753B8"/>
    <w:rsid w:val="00575446"/>
    <w:rsid w:val="00575EC4"/>
    <w:rsid w:val="005766CC"/>
    <w:rsid w:val="00576808"/>
    <w:rsid w:val="005768ED"/>
    <w:rsid w:val="00576CDB"/>
    <w:rsid w:val="00576DD2"/>
    <w:rsid w:val="00576EB2"/>
    <w:rsid w:val="005770B9"/>
    <w:rsid w:val="00577134"/>
    <w:rsid w:val="0057747A"/>
    <w:rsid w:val="00577EBF"/>
    <w:rsid w:val="00577EF6"/>
    <w:rsid w:val="00580174"/>
    <w:rsid w:val="005802AA"/>
    <w:rsid w:val="00580607"/>
    <w:rsid w:val="005806CD"/>
    <w:rsid w:val="00580AE6"/>
    <w:rsid w:val="00580B7A"/>
    <w:rsid w:val="00580CA5"/>
    <w:rsid w:val="00581634"/>
    <w:rsid w:val="005819F8"/>
    <w:rsid w:val="00581B4E"/>
    <w:rsid w:val="00581EDE"/>
    <w:rsid w:val="00582788"/>
    <w:rsid w:val="00582FFA"/>
    <w:rsid w:val="00583047"/>
    <w:rsid w:val="005831AE"/>
    <w:rsid w:val="005835D2"/>
    <w:rsid w:val="005844CE"/>
    <w:rsid w:val="0058490E"/>
    <w:rsid w:val="00584A7A"/>
    <w:rsid w:val="00584A87"/>
    <w:rsid w:val="00584B9E"/>
    <w:rsid w:val="00584EFE"/>
    <w:rsid w:val="00585155"/>
    <w:rsid w:val="00585D38"/>
    <w:rsid w:val="00585DEB"/>
    <w:rsid w:val="00585E18"/>
    <w:rsid w:val="0058636B"/>
    <w:rsid w:val="00586409"/>
    <w:rsid w:val="005864EE"/>
    <w:rsid w:val="005865C9"/>
    <w:rsid w:val="005867FA"/>
    <w:rsid w:val="00586836"/>
    <w:rsid w:val="00586A69"/>
    <w:rsid w:val="00586BAA"/>
    <w:rsid w:val="00586E44"/>
    <w:rsid w:val="00586FE7"/>
    <w:rsid w:val="00587462"/>
    <w:rsid w:val="00587595"/>
    <w:rsid w:val="00587A23"/>
    <w:rsid w:val="00587A43"/>
    <w:rsid w:val="00587AD2"/>
    <w:rsid w:val="00587CE5"/>
    <w:rsid w:val="00587FF2"/>
    <w:rsid w:val="005906DC"/>
    <w:rsid w:val="005911EC"/>
    <w:rsid w:val="00591567"/>
    <w:rsid w:val="0059190B"/>
    <w:rsid w:val="00591940"/>
    <w:rsid w:val="00591978"/>
    <w:rsid w:val="00591E0E"/>
    <w:rsid w:val="00592054"/>
    <w:rsid w:val="00592142"/>
    <w:rsid w:val="00592201"/>
    <w:rsid w:val="005926C6"/>
    <w:rsid w:val="005927D0"/>
    <w:rsid w:val="00592819"/>
    <w:rsid w:val="00592C3C"/>
    <w:rsid w:val="00592DF2"/>
    <w:rsid w:val="00592F66"/>
    <w:rsid w:val="0059312F"/>
    <w:rsid w:val="005931E4"/>
    <w:rsid w:val="005933FC"/>
    <w:rsid w:val="00593473"/>
    <w:rsid w:val="00593BDD"/>
    <w:rsid w:val="00594307"/>
    <w:rsid w:val="00594B33"/>
    <w:rsid w:val="00594BA9"/>
    <w:rsid w:val="00594CBF"/>
    <w:rsid w:val="0059567E"/>
    <w:rsid w:val="00595A11"/>
    <w:rsid w:val="00595BC7"/>
    <w:rsid w:val="00595E78"/>
    <w:rsid w:val="005969D2"/>
    <w:rsid w:val="005969E2"/>
    <w:rsid w:val="00596E19"/>
    <w:rsid w:val="00597399"/>
    <w:rsid w:val="005973FE"/>
    <w:rsid w:val="00597859"/>
    <w:rsid w:val="00597970"/>
    <w:rsid w:val="00597A82"/>
    <w:rsid w:val="00597AF9"/>
    <w:rsid w:val="00597BE7"/>
    <w:rsid w:val="00597F7B"/>
    <w:rsid w:val="005A000F"/>
    <w:rsid w:val="005A006A"/>
    <w:rsid w:val="005A0448"/>
    <w:rsid w:val="005A05C2"/>
    <w:rsid w:val="005A0ADF"/>
    <w:rsid w:val="005A0BBC"/>
    <w:rsid w:val="005A0CDF"/>
    <w:rsid w:val="005A0E78"/>
    <w:rsid w:val="005A0EDB"/>
    <w:rsid w:val="005A0F3F"/>
    <w:rsid w:val="005A11FB"/>
    <w:rsid w:val="005A12AD"/>
    <w:rsid w:val="005A16A3"/>
    <w:rsid w:val="005A185B"/>
    <w:rsid w:val="005A1BC4"/>
    <w:rsid w:val="005A1C5E"/>
    <w:rsid w:val="005A2186"/>
    <w:rsid w:val="005A2F6B"/>
    <w:rsid w:val="005A3076"/>
    <w:rsid w:val="005A359F"/>
    <w:rsid w:val="005A372E"/>
    <w:rsid w:val="005A39A1"/>
    <w:rsid w:val="005A3A4F"/>
    <w:rsid w:val="005A3E49"/>
    <w:rsid w:val="005A47AA"/>
    <w:rsid w:val="005A4D04"/>
    <w:rsid w:val="005A5694"/>
    <w:rsid w:val="005A58DF"/>
    <w:rsid w:val="005A5B22"/>
    <w:rsid w:val="005A5D5A"/>
    <w:rsid w:val="005A6125"/>
    <w:rsid w:val="005A62E8"/>
    <w:rsid w:val="005A65D6"/>
    <w:rsid w:val="005A69A6"/>
    <w:rsid w:val="005A6BB0"/>
    <w:rsid w:val="005A6C35"/>
    <w:rsid w:val="005A78B3"/>
    <w:rsid w:val="005B02CC"/>
    <w:rsid w:val="005B0550"/>
    <w:rsid w:val="005B08A7"/>
    <w:rsid w:val="005B0948"/>
    <w:rsid w:val="005B0D40"/>
    <w:rsid w:val="005B0EC6"/>
    <w:rsid w:val="005B18C5"/>
    <w:rsid w:val="005B1994"/>
    <w:rsid w:val="005B2059"/>
    <w:rsid w:val="005B22A1"/>
    <w:rsid w:val="005B2ACB"/>
    <w:rsid w:val="005B2B20"/>
    <w:rsid w:val="005B2BDE"/>
    <w:rsid w:val="005B2C60"/>
    <w:rsid w:val="005B2D99"/>
    <w:rsid w:val="005B3120"/>
    <w:rsid w:val="005B32AF"/>
    <w:rsid w:val="005B338E"/>
    <w:rsid w:val="005B35F6"/>
    <w:rsid w:val="005B3B03"/>
    <w:rsid w:val="005B42CF"/>
    <w:rsid w:val="005B4BFA"/>
    <w:rsid w:val="005B4D03"/>
    <w:rsid w:val="005B520B"/>
    <w:rsid w:val="005B585A"/>
    <w:rsid w:val="005B5986"/>
    <w:rsid w:val="005B5A72"/>
    <w:rsid w:val="005B5A77"/>
    <w:rsid w:val="005B5D79"/>
    <w:rsid w:val="005B5E2B"/>
    <w:rsid w:val="005B604D"/>
    <w:rsid w:val="005B62E4"/>
    <w:rsid w:val="005B6DCC"/>
    <w:rsid w:val="005B7072"/>
    <w:rsid w:val="005B7361"/>
    <w:rsid w:val="005B7676"/>
    <w:rsid w:val="005B78F5"/>
    <w:rsid w:val="005B797C"/>
    <w:rsid w:val="005B7B73"/>
    <w:rsid w:val="005B7B86"/>
    <w:rsid w:val="005B7DB9"/>
    <w:rsid w:val="005B8EB7"/>
    <w:rsid w:val="005C035B"/>
    <w:rsid w:val="005C059D"/>
    <w:rsid w:val="005C086B"/>
    <w:rsid w:val="005C0E7B"/>
    <w:rsid w:val="005C0F44"/>
    <w:rsid w:val="005C118C"/>
    <w:rsid w:val="005C1963"/>
    <w:rsid w:val="005C1A95"/>
    <w:rsid w:val="005C1AF2"/>
    <w:rsid w:val="005C1AFE"/>
    <w:rsid w:val="005C1CEF"/>
    <w:rsid w:val="005C208F"/>
    <w:rsid w:val="005C20BC"/>
    <w:rsid w:val="005C22FE"/>
    <w:rsid w:val="005C2768"/>
    <w:rsid w:val="005C279F"/>
    <w:rsid w:val="005C28DB"/>
    <w:rsid w:val="005C2B8E"/>
    <w:rsid w:val="005C2CE4"/>
    <w:rsid w:val="005C2E11"/>
    <w:rsid w:val="005C3384"/>
    <w:rsid w:val="005C33B0"/>
    <w:rsid w:val="005C349B"/>
    <w:rsid w:val="005C3554"/>
    <w:rsid w:val="005C38D2"/>
    <w:rsid w:val="005C3C34"/>
    <w:rsid w:val="005C3C35"/>
    <w:rsid w:val="005C3E4F"/>
    <w:rsid w:val="005C3F57"/>
    <w:rsid w:val="005C466B"/>
    <w:rsid w:val="005C48B8"/>
    <w:rsid w:val="005C4A57"/>
    <w:rsid w:val="005C4CE7"/>
    <w:rsid w:val="005C50B4"/>
    <w:rsid w:val="005C524B"/>
    <w:rsid w:val="005C554B"/>
    <w:rsid w:val="005C55BF"/>
    <w:rsid w:val="005C5E82"/>
    <w:rsid w:val="005C618A"/>
    <w:rsid w:val="005C61D1"/>
    <w:rsid w:val="005C63E0"/>
    <w:rsid w:val="005C649A"/>
    <w:rsid w:val="005C6581"/>
    <w:rsid w:val="005C69E7"/>
    <w:rsid w:val="005C6EBC"/>
    <w:rsid w:val="005C737A"/>
    <w:rsid w:val="005C73B0"/>
    <w:rsid w:val="005C73E2"/>
    <w:rsid w:val="005C78B2"/>
    <w:rsid w:val="005C7EF4"/>
    <w:rsid w:val="005D00A5"/>
    <w:rsid w:val="005D0573"/>
    <w:rsid w:val="005D05A6"/>
    <w:rsid w:val="005D099E"/>
    <w:rsid w:val="005D0BA9"/>
    <w:rsid w:val="005D0FF4"/>
    <w:rsid w:val="005D1169"/>
    <w:rsid w:val="005D15A5"/>
    <w:rsid w:val="005D1B17"/>
    <w:rsid w:val="005D1E4A"/>
    <w:rsid w:val="005D2264"/>
    <w:rsid w:val="005D24CD"/>
    <w:rsid w:val="005D2666"/>
    <w:rsid w:val="005D285C"/>
    <w:rsid w:val="005D30A9"/>
    <w:rsid w:val="005D3267"/>
    <w:rsid w:val="005D32DE"/>
    <w:rsid w:val="005D352F"/>
    <w:rsid w:val="005D395E"/>
    <w:rsid w:val="005D42D6"/>
    <w:rsid w:val="005D49E8"/>
    <w:rsid w:val="005D4D14"/>
    <w:rsid w:val="005D4D6C"/>
    <w:rsid w:val="005D5228"/>
    <w:rsid w:val="005D539D"/>
    <w:rsid w:val="005D53FC"/>
    <w:rsid w:val="005D549F"/>
    <w:rsid w:val="005D5E41"/>
    <w:rsid w:val="005D5F0F"/>
    <w:rsid w:val="005D6149"/>
    <w:rsid w:val="005D6479"/>
    <w:rsid w:val="005D6CE2"/>
    <w:rsid w:val="005D6F86"/>
    <w:rsid w:val="005D7003"/>
    <w:rsid w:val="005D71DA"/>
    <w:rsid w:val="005D7A46"/>
    <w:rsid w:val="005D7C88"/>
    <w:rsid w:val="005D7F15"/>
    <w:rsid w:val="005E00EF"/>
    <w:rsid w:val="005E011C"/>
    <w:rsid w:val="005E0417"/>
    <w:rsid w:val="005E08BA"/>
    <w:rsid w:val="005E097A"/>
    <w:rsid w:val="005E0E52"/>
    <w:rsid w:val="005E105C"/>
    <w:rsid w:val="005E10E4"/>
    <w:rsid w:val="005E13BA"/>
    <w:rsid w:val="005E1A24"/>
    <w:rsid w:val="005E1E73"/>
    <w:rsid w:val="005E2125"/>
    <w:rsid w:val="005E224D"/>
    <w:rsid w:val="005E2413"/>
    <w:rsid w:val="005E26B1"/>
    <w:rsid w:val="005E26EB"/>
    <w:rsid w:val="005E2FC4"/>
    <w:rsid w:val="005E3221"/>
    <w:rsid w:val="005E3400"/>
    <w:rsid w:val="005E3DD3"/>
    <w:rsid w:val="005E3DFE"/>
    <w:rsid w:val="005E3EF5"/>
    <w:rsid w:val="005E4330"/>
    <w:rsid w:val="005E4AB9"/>
    <w:rsid w:val="005E5ADF"/>
    <w:rsid w:val="005E5D29"/>
    <w:rsid w:val="005E5F62"/>
    <w:rsid w:val="005E6103"/>
    <w:rsid w:val="005E623A"/>
    <w:rsid w:val="005E627E"/>
    <w:rsid w:val="005E6436"/>
    <w:rsid w:val="005E6742"/>
    <w:rsid w:val="005E6A62"/>
    <w:rsid w:val="005E6B0A"/>
    <w:rsid w:val="005E6BB8"/>
    <w:rsid w:val="005E6DF5"/>
    <w:rsid w:val="005E755F"/>
    <w:rsid w:val="005E7A3F"/>
    <w:rsid w:val="005E7A6E"/>
    <w:rsid w:val="005E7A77"/>
    <w:rsid w:val="005E7AA2"/>
    <w:rsid w:val="005E7B7D"/>
    <w:rsid w:val="005E7E64"/>
    <w:rsid w:val="005F0273"/>
    <w:rsid w:val="005F0DC6"/>
    <w:rsid w:val="005F10A4"/>
    <w:rsid w:val="005F1337"/>
    <w:rsid w:val="005F181E"/>
    <w:rsid w:val="005F1987"/>
    <w:rsid w:val="005F1F4A"/>
    <w:rsid w:val="005F2282"/>
    <w:rsid w:val="005F25D4"/>
    <w:rsid w:val="005F2815"/>
    <w:rsid w:val="005F28C5"/>
    <w:rsid w:val="005F2FF9"/>
    <w:rsid w:val="005F3432"/>
    <w:rsid w:val="005F38C7"/>
    <w:rsid w:val="005F39BD"/>
    <w:rsid w:val="005F3BA5"/>
    <w:rsid w:val="005F437A"/>
    <w:rsid w:val="005F4389"/>
    <w:rsid w:val="005F43BF"/>
    <w:rsid w:val="005F486D"/>
    <w:rsid w:val="005F4873"/>
    <w:rsid w:val="005F4AEF"/>
    <w:rsid w:val="005F4DF5"/>
    <w:rsid w:val="005F556C"/>
    <w:rsid w:val="005F57AF"/>
    <w:rsid w:val="005F5B1B"/>
    <w:rsid w:val="005F6098"/>
    <w:rsid w:val="005F627A"/>
    <w:rsid w:val="005F6316"/>
    <w:rsid w:val="005F654E"/>
    <w:rsid w:val="005F6888"/>
    <w:rsid w:val="005F6A94"/>
    <w:rsid w:val="005F712A"/>
    <w:rsid w:val="005F7209"/>
    <w:rsid w:val="005F75AC"/>
    <w:rsid w:val="005F7740"/>
    <w:rsid w:val="005F79AA"/>
    <w:rsid w:val="005F7C1E"/>
    <w:rsid w:val="005F7E2F"/>
    <w:rsid w:val="005F7F64"/>
    <w:rsid w:val="005F7F7A"/>
    <w:rsid w:val="0060027A"/>
    <w:rsid w:val="0060192E"/>
    <w:rsid w:val="00601E81"/>
    <w:rsid w:val="00602079"/>
    <w:rsid w:val="006029EF"/>
    <w:rsid w:val="0060326B"/>
    <w:rsid w:val="00603BCF"/>
    <w:rsid w:val="00603F45"/>
    <w:rsid w:val="006041FB"/>
    <w:rsid w:val="00604328"/>
    <w:rsid w:val="0060533D"/>
    <w:rsid w:val="006054FC"/>
    <w:rsid w:val="00605CA9"/>
    <w:rsid w:val="0060656D"/>
    <w:rsid w:val="0060687D"/>
    <w:rsid w:val="00606A23"/>
    <w:rsid w:val="00606AF9"/>
    <w:rsid w:val="00606D79"/>
    <w:rsid w:val="00606E0D"/>
    <w:rsid w:val="00607348"/>
    <w:rsid w:val="00607AA9"/>
    <w:rsid w:val="0060B35F"/>
    <w:rsid w:val="00610009"/>
    <w:rsid w:val="0061094A"/>
    <w:rsid w:val="00610A4C"/>
    <w:rsid w:val="00610F31"/>
    <w:rsid w:val="0061126B"/>
    <w:rsid w:val="0061134E"/>
    <w:rsid w:val="0061140E"/>
    <w:rsid w:val="00611491"/>
    <w:rsid w:val="00611689"/>
    <w:rsid w:val="00612303"/>
    <w:rsid w:val="00612A8F"/>
    <w:rsid w:val="00612BD3"/>
    <w:rsid w:val="0061326E"/>
    <w:rsid w:val="006136C1"/>
    <w:rsid w:val="00613905"/>
    <w:rsid w:val="00613D80"/>
    <w:rsid w:val="00614200"/>
    <w:rsid w:val="0061436D"/>
    <w:rsid w:val="0061458A"/>
    <w:rsid w:val="006146B3"/>
    <w:rsid w:val="00614902"/>
    <w:rsid w:val="0061512C"/>
    <w:rsid w:val="006153CC"/>
    <w:rsid w:val="006155BD"/>
    <w:rsid w:val="006159DC"/>
    <w:rsid w:val="006160B2"/>
    <w:rsid w:val="006167B5"/>
    <w:rsid w:val="00616973"/>
    <w:rsid w:val="00616B97"/>
    <w:rsid w:val="00616F5F"/>
    <w:rsid w:val="006173D9"/>
    <w:rsid w:val="006176F0"/>
    <w:rsid w:val="00617859"/>
    <w:rsid w:val="00620281"/>
    <w:rsid w:val="006203E7"/>
    <w:rsid w:val="0062040C"/>
    <w:rsid w:val="00620A05"/>
    <w:rsid w:val="00620A88"/>
    <w:rsid w:val="00621045"/>
    <w:rsid w:val="0062127C"/>
    <w:rsid w:val="0062148B"/>
    <w:rsid w:val="00621830"/>
    <w:rsid w:val="00621854"/>
    <w:rsid w:val="00621B06"/>
    <w:rsid w:val="00621D49"/>
    <w:rsid w:val="00621E77"/>
    <w:rsid w:val="00621EF2"/>
    <w:rsid w:val="006222E6"/>
    <w:rsid w:val="006228A8"/>
    <w:rsid w:val="00622E28"/>
    <w:rsid w:val="0062382F"/>
    <w:rsid w:val="00623F94"/>
    <w:rsid w:val="006242B1"/>
    <w:rsid w:val="006244FB"/>
    <w:rsid w:val="006250F2"/>
    <w:rsid w:val="0062555A"/>
    <w:rsid w:val="006255C5"/>
    <w:rsid w:val="00626026"/>
    <w:rsid w:val="006261FF"/>
    <w:rsid w:val="006264EB"/>
    <w:rsid w:val="0062651D"/>
    <w:rsid w:val="00626EC4"/>
    <w:rsid w:val="0062703F"/>
    <w:rsid w:val="0062740A"/>
    <w:rsid w:val="00627AA6"/>
    <w:rsid w:val="0062F44F"/>
    <w:rsid w:val="006308C7"/>
    <w:rsid w:val="0063095E"/>
    <w:rsid w:val="00630CAE"/>
    <w:rsid w:val="00631101"/>
    <w:rsid w:val="00631CDB"/>
    <w:rsid w:val="00632228"/>
    <w:rsid w:val="00632357"/>
    <w:rsid w:val="00632527"/>
    <w:rsid w:val="00632589"/>
    <w:rsid w:val="00632636"/>
    <w:rsid w:val="00632664"/>
    <w:rsid w:val="00632CB0"/>
    <w:rsid w:val="00632D41"/>
    <w:rsid w:val="00632FA8"/>
    <w:rsid w:val="0063324F"/>
    <w:rsid w:val="006332D6"/>
    <w:rsid w:val="00633493"/>
    <w:rsid w:val="006341AD"/>
    <w:rsid w:val="00634587"/>
    <w:rsid w:val="006345F3"/>
    <w:rsid w:val="00634628"/>
    <w:rsid w:val="00634939"/>
    <w:rsid w:val="00634A08"/>
    <w:rsid w:val="00634A33"/>
    <w:rsid w:val="00634B7D"/>
    <w:rsid w:val="00634D89"/>
    <w:rsid w:val="00634EFB"/>
    <w:rsid w:val="00634F15"/>
    <w:rsid w:val="006351DD"/>
    <w:rsid w:val="00635722"/>
    <w:rsid w:val="00635B00"/>
    <w:rsid w:val="00636911"/>
    <w:rsid w:val="00636DF5"/>
    <w:rsid w:val="00637250"/>
    <w:rsid w:val="00637283"/>
    <w:rsid w:val="00637538"/>
    <w:rsid w:val="00637DC1"/>
    <w:rsid w:val="00637DF4"/>
    <w:rsid w:val="006405D3"/>
    <w:rsid w:val="00640C5A"/>
    <w:rsid w:val="00640DD5"/>
    <w:rsid w:val="00641056"/>
    <w:rsid w:val="00641416"/>
    <w:rsid w:val="006418DD"/>
    <w:rsid w:val="00641AE9"/>
    <w:rsid w:val="00641C58"/>
    <w:rsid w:val="00641DDA"/>
    <w:rsid w:val="00641E01"/>
    <w:rsid w:val="006422AA"/>
    <w:rsid w:val="006424C2"/>
    <w:rsid w:val="00642854"/>
    <w:rsid w:val="0064299D"/>
    <w:rsid w:val="00642D46"/>
    <w:rsid w:val="006434E3"/>
    <w:rsid w:val="00643930"/>
    <w:rsid w:val="00643B09"/>
    <w:rsid w:val="00643DC2"/>
    <w:rsid w:val="00643E5D"/>
    <w:rsid w:val="00643F24"/>
    <w:rsid w:val="00643FAA"/>
    <w:rsid w:val="0064436F"/>
    <w:rsid w:val="00644D5F"/>
    <w:rsid w:val="006451F9"/>
    <w:rsid w:val="006457A3"/>
    <w:rsid w:val="006457D8"/>
    <w:rsid w:val="00645C04"/>
    <w:rsid w:val="00646297"/>
    <w:rsid w:val="006463BD"/>
    <w:rsid w:val="00646680"/>
    <w:rsid w:val="00646715"/>
    <w:rsid w:val="0064674B"/>
    <w:rsid w:val="006467ED"/>
    <w:rsid w:val="0064761B"/>
    <w:rsid w:val="006476E2"/>
    <w:rsid w:val="00647A06"/>
    <w:rsid w:val="00647D7A"/>
    <w:rsid w:val="00647EF1"/>
    <w:rsid w:val="006501B0"/>
    <w:rsid w:val="006505A0"/>
    <w:rsid w:val="0065066C"/>
    <w:rsid w:val="00650EFE"/>
    <w:rsid w:val="006512EA"/>
    <w:rsid w:val="00651499"/>
    <w:rsid w:val="00651581"/>
    <w:rsid w:val="00651BC4"/>
    <w:rsid w:val="00651D05"/>
    <w:rsid w:val="0065268F"/>
    <w:rsid w:val="0065273D"/>
    <w:rsid w:val="00653287"/>
    <w:rsid w:val="0065359E"/>
    <w:rsid w:val="00653B0C"/>
    <w:rsid w:val="00653D66"/>
    <w:rsid w:val="00653DAE"/>
    <w:rsid w:val="00653FD1"/>
    <w:rsid w:val="0065406B"/>
    <w:rsid w:val="006542B0"/>
    <w:rsid w:val="006545CF"/>
    <w:rsid w:val="00654841"/>
    <w:rsid w:val="00654A91"/>
    <w:rsid w:val="00654B10"/>
    <w:rsid w:val="00654BCC"/>
    <w:rsid w:val="00654D8C"/>
    <w:rsid w:val="00654ED3"/>
    <w:rsid w:val="006550D0"/>
    <w:rsid w:val="00655170"/>
    <w:rsid w:val="00655381"/>
    <w:rsid w:val="0065568C"/>
    <w:rsid w:val="00655693"/>
    <w:rsid w:val="00655721"/>
    <w:rsid w:val="006557B6"/>
    <w:rsid w:val="00655F64"/>
    <w:rsid w:val="00655FAA"/>
    <w:rsid w:val="00656139"/>
    <w:rsid w:val="0065626C"/>
    <w:rsid w:val="00656352"/>
    <w:rsid w:val="00656817"/>
    <w:rsid w:val="006568AF"/>
    <w:rsid w:val="00656A02"/>
    <w:rsid w:val="00656B81"/>
    <w:rsid w:val="00656D25"/>
    <w:rsid w:val="00656D5D"/>
    <w:rsid w:val="00656EC9"/>
    <w:rsid w:val="00656FE5"/>
    <w:rsid w:val="00657483"/>
    <w:rsid w:val="00657C45"/>
    <w:rsid w:val="00657D08"/>
    <w:rsid w:val="00657E81"/>
    <w:rsid w:val="00657F74"/>
    <w:rsid w:val="00660733"/>
    <w:rsid w:val="00660898"/>
    <w:rsid w:val="00660B40"/>
    <w:rsid w:val="00660B93"/>
    <w:rsid w:val="00660C4B"/>
    <w:rsid w:val="00660EA9"/>
    <w:rsid w:val="0066111D"/>
    <w:rsid w:val="00661837"/>
    <w:rsid w:val="006619F5"/>
    <w:rsid w:val="00661B06"/>
    <w:rsid w:val="00661C08"/>
    <w:rsid w:val="00661CDA"/>
    <w:rsid w:val="0066206E"/>
    <w:rsid w:val="00662208"/>
    <w:rsid w:val="0066247D"/>
    <w:rsid w:val="0066249E"/>
    <w:rsid w:val="00662BB8"/>
    <w:rsid w:val="00662BC9"/>
    <w:rsid w:val="00662CFD"/>
    <w:rsid w:val="006630E8"/>
    <w:rsid w:val="006631F6"/>
    <w:rsid w:val="006635FF"/>
    <w:rsid w:val="0066361A"/>
    <w:rsid w:val="00663681"/>
    <w:rsid w:val="006636B3"/>
    <w:rsid w:val="006639F5"/>
    <w:rsid w:val="00663A68"/>
    <w:rsid w:val="00663D60"/>
    <w:rsid w:val="00663D88"/>
    <w:rsid w:val="00664762"/>
    <w:rsid w:val="00664A3E"/>
    <w:rsid w:val="00664A71"/>
    <w:rsid w:val="00664E1B"/>
    <w:rsid w:val="00664E42"/>
    <w:rsid w:val="00664EC4"/>
    <w:rsid w:val="006655C3"/>
    <w:rsid w:val="00666087"/>
    <w:rsid w:val="00666194"/>
    <w:rsid w:val="006665BC"/>
    <w:rsid w:val="00666763"/>
    <w:rsid w:val="00666E53"/>
    <w:rsid w:val="00666F53"/>
    <w:rsid w:val="0066708B"/>
    <w:rsid w:val="00667486"/>
    <w:rsid w:val="00667793"/>
    <w:rsid w:val="00667D53"/>
    <w:rsid w:val="00670137"/>
    <w:rsid w:val="00670FD9"/>
    <w:rsid w:val="006710D6"/>
    <w:rsid w:val="00671672"/>
    <w:rsid w:val="006717F7"/>
    <w:rsid w:val="006718DA"/>
    <w:rsid w:val="00671977"/>
    <w:rsid w:val="00671CC0"/>
    <w:rsid w:val="00671FC7"/>
    <w:rsid w:val="0067204B"/>
    <w:rsid w:val="0067237F"/>
    <w:rsid w:val="0067288D"/>
    <w:rsid w:val="006728DB"/>
    <w:rsid w:val="00673022"/>
    <w:rsid w:val="006734CB"/>
    <w:rsid w:val="0067404A"/>
    <w:rsid w:val="0067443F"/>
    <w:rsid w:val="0067452C"/>
    <w:rsid w:val="0067516D"/>
    <w:rsid w:val="00675337"/>
    <w:rsid w:val="006753EE"/>
    <w:rsid w:val="00675415"/>
    <w:rsid w:val="0067576D"/>
    <w:rsid w:val="00675A85"/>
    <w:rsid w:val="00675BAF"/>
    <w:rsid w:val="00676384"/>
    <w:rsid w:val="006767FC"/>
    <w:rsid w:val="00676800"/>
    <w:rsid w:val="00676861"/>
    <w:rsid w:val="00676993"/>
    <w:rsid w:val="00676A52"/>
    <w:rsid w:val="006777C8"/>
    <w:rsid w:val="00677895"/>
    <w:rsid w:val="006778FD"/>
    <w:rsid w:val="006779D4"/>
    <w:rsid w:val="00677AF5"/>
    <w:rsid w:val="00677B04"/>
    <w:rsid w:val="00677BEA"/>
    <w:rsid w:val="00677BEE"/>
    <w:rsid w:val="00677C0C"/>
    <w:rsid w:val="00677CFC"/>
    <w:rsid w:val="00677DC2"/>
    <w:rsid w:val="006800B4"/>
    <w:rsid w:val="006802B3"/>
    <w:rsid w:val="006809CF"/>
    <w:rsid w:val="00680B48"/>
    <w:rsid w:val="00680F23"/>
    <w:rsid w:val="00680FEE"/>
    <w:rsid w:val="006810E8"/>
    <w:rsid w:val="00681574"/>
    <w:rsid w:val="0068176B"/>
    <w:rsid w:val="00682175"/>
    <w:rsid w:val="0068224E"/>
    <w:rsid w:val="006826BE"/>
    <w:rsid w:val="006827CE"/>
    <w:rsid w:val="0068298D"/>
    <w:rsid w:val="00682ABE"/>
    <w:rsid w:val="00682D88"/>
    <w:rsid w:val="00682F40"/>
    <w:rsid w:val="00682FE0"/>
    <w:rsid w:val="00683069"/>
    <w:rsid w:val="0068350A"/>
    <w:rsid w:val="006836E6"/>
    <w:rsid w:val="006838C7"/>
    <w:rsid w:val="00683924"/>
    <w:rsid w:val="00683D94"/>
    <w:rsid w:val="006840E6"/>
    <w:rsid w:val="0068415C"/>
    <w:rsid w:val="0068420C"/>
    <w:rsid w:val="006842C6"/>
    <w:rsid w:val="00684702"/>
    <w:rsid w:val="00684B89"/>
    <w:rsid w:val="006851C2"/>
    <w:rsid w:val="006852F3"/>
    <w:rsid w:val="00685863"/>
    <w:rsid w:val="00685945"/>
    <w:rsid w:val="0068638B"/>
    <w:rsid w:val="0068663B"/>
    <w:rsid w:val="00686826"/>
    <w:rsid w:val="00686D49"/>
    <w:rsid w:val="00686E32"/>
    <w:rsid w:val="00687364"/>
    <w:rsid w:val="006877AC"/>
    <w:rsid w:val="00687B2C"/>
    <w:rsid w:val="00687B9B"/>
    <w:rsid w:val="00687C6E"/>
    <w:rsid w:val="00687CC5"/>
    <w:rsid w:val="00687EF5"/>
    <w:rsid w:val="0069028C"/>
    <w:rsid w:val="006902F8"/>
    <w:rsid w:val="00690481"/>
    <w:rsid w:val="00690ED6"/>
    <w:rsid w:val="0069162F"/>
    <w:rsid w:val="00692299"/>
    <w:rsid w:val="006922A2"/>
    <w:rsid w:val="006923A7"/>
    <w:rsid w:val="006924F6"/>
    <w:rsid w:val="006927AF"/>
    <w:rsid w:val="006927E4"/>
    <w:rsid w:val="00692B4C"/>
    <w:rsid w:val="00693262"/>
    <w:rsid w:val="00693431"/>
    <w:rsid w:val="0069369A"/>
    <w:rsid w:val="00693AB7"/>
    <w:rsid w:val="00693AB8"/>
    <w:rsid w:val="00693D95"/>
    <w:rsid w:val="00693E45"/>
    <w:rsid w:val="00694C8B"/>
    <w:rsid w:val="00694D03"/>
    <w:rsid w:val="00694D17"/>
    <w:rsid w:val="006951CF"/>
    <w:rsid w:val="006955E6"/>
    <w:rsid w:val="00696837"/>
    <w:rsid w:val="00696ABD"/>
    <w:rsid w:val="00696CD4"/>
    <w:rsid w:val="0069748F"/>
    <w:rsid w:val="00697758"/>
    <w:rsid w:val="006978D0"/>
    <w:rsid w:val="00697AEB"/>
    <w:rsid w:val="00697EC4"/>
    <w:rsid w:val="006A03B0"/>
    <w:rsid w:val="006A06B4"/>
    <w:rsid w:val="006A0C3F"/>
    <w:rsid w:val="006A0D27"/>
    <w:rsid w:val="006A0DF4"/>
    <w:rsid w:val="006A1047"/>
    <w:rsid w:val="006A10DA"/>
    <w:rsid w:val="006A18CB"/>
    <w:rsid w:val="006A1995"/>
    <w:rsid w:val="006A21F2"/>
    <w:rsid w:val="006A2639"/>
    <w:rsid w:val="006A2704"/>
    <w:rsid w:val="006A3290"/>
    <w:rsid w:val="006A333C"/>
    <w:rsid w:val="006A335C"/>
    <w:rsid w:val="006A357F"/>
    <w:rsid w:val="006A379F"/>
    <w:rsid w:val="006A4371"/>
    <w:rsid w:val="006A44C8"/>
    <w:rsid w:val="006A46CE"/>
    <w:rsid w:val="006A4E23"/>
    <w:rsid w:val="006A5450"/>
    <w:rsid w:val="006A5967"/>
    <w:rsid w:val="006A612F"/>
    <w:rsid w:val="006A669C"/>
    <w:rsid w:val="006A66A0"/>
    <w:rsid w:val="006A6ED9"/>
    <w:rsid w:val="006A70E9"/>
    <w:rsid w:val="006A717B"/>
    <w:rsid w:val="006A76D7"/>
    <w:rsid w:val="006A77C5"/>
    <w:rsid w:val="006A7CCD"/>
    <w:rsid w:val="006A7E50"/>
    <w:rsid w:val="006A7F63"/>
    <w:rsid w:val="006A7F6A"/>
    <w:rsid w:val="006B0325"/>
    <w:rsid w:val="006B03FD"/>
    <w:rsid w:val="006B0EEB"/>
    <w:rsid w:val="006B102B"/>
    <w:rsid w:val="006B176A"/>
    <w:rsid w:val="006B1CA0"/>
    <w:rsid w:val="006B20B3"/>
    <w:rsid w:val="006B2635"/>
    <w:rsid w:val="006B27A3"/>
    <w:rsid w:val="006B27A7"/>
    <w:rsid w:val="006B27D6"/>
    <w:rsid w:val="006B289F"/>
    <w:rsid w:val="006B2B0E"/>
    <w:rsid w:val="006B2E29"/>
    <w:rsid w:val="006B3141"/>
    <w:rsid w:val="006B31AE"/>
    <w:rsid w:val="006B348E"/>
    <w:rsid w:val="006B390F"/>
    <w:rsid w:val="006B3A4D"/>
    <w:rsid w:val="006B3D51"/>
    <w:rsid w:val="006B4472"/>
    <w:rsid w:val="006B4737"/>
    <w:rsid w:val="006B488B"/>
    <w:rsid w:val="006B49AE"/>
    <w:rsid w:val="006B4DB2"/>
    <w:rsid w:val="006B5086"/>
    <w:rsid w:val="006B53F9"/>
    <w:rsid w:val="006B57E0"/>
    <w:rsid w:val="006B5BDC"/>
    <w:rsid w:val="006B5F32"/>
    <w:rsid w:val="006B5FE9"/>
    <w:rsid w:val="006B61F0"/>
    <w:rsid w:val="006B63CF"/>
    <w:rsid w:val="006B689D"/>
    <w:rsid w:val="006B75D1"/>
    <w:rsid w:val="006B76B4"/>
    <w:rsid w:val="006B7BD8"/>
    <w:rsid w:val="006C008A"/>
    <w:rsid w:val="006C07B3"/>
    <w:rsid w:val="006C0929"/>
    <w:rsid w:val="006C09F0"/>
    <w:rsid w:val="006C0AB7"/>
    <w:rsid w:val="006C0BB3"/>
    <w:rsid w:val="006C0E9A"/>
    <w:rsid w:val="006C1215"/>
    <w:rsid w:val="006C1568"/>
    <w:rsid w:val="006C1760"/>
    <w:rsid w:val="006C19F1"/>
    <w:rsid w:val="006C2475"/>
    <w:rsid w:val="006C2963"/>
    <w:rsid w:val="006C2B80"/>
    <w:rsid w:val="006C2C0F"/>
    <w:rsid w:val="006C2C32"/>
    <w:rsid w:val="006C2C52"/>
    <w:rsid w:val="006C2C77"/>
    <w:rsid w:val="006C2F62"/>
    <w:rsid w:val="006C33A1"/>
    <w:rsid w:val="006C3443"/>
    <w:rsid w:val="006C354D"/>
    <w:rsid w:val="006C3A01"/>
    <w:rsid w:val="006C3A84"/>
    <w:rsid w:val="006C3D76"/>
    <w:rsid w:val="006C3E66"/>
    <w:rsid w:val="006C4111"/>
    <w:rsid w:val="006C4199"/>
    <w:rsid w:val="006C4C69"/>
    <w:rsid w:val="006C4DDF"/>
    <w:rsid w:val="006C4F45"/>
    <w:rsid w:val="006C50E8"/>
    <w:rsid w:val="006C56B3"/>
    <w:rsid w:val="006C628A"/>
    <w:rsid w:val="006C64CA"/>
    <w:rsid w:val="006C6C0C"/>
    <w:rsid w:val="006C6D08"/>
    <w:rsid w:val="006C6D7B"/>
    <w:rsid w:val="006C772F"/>
    <w:rsid w:val="006D00E0"/>
    <w:rsid w:val="006D0357"/>
    <w:rsid w:val="006D0961"/>
    <w:rsid w:val="006D098D"/>
    <w:rsid w:val="006D0DA9"/>
    <w:rsid w:val="006D0DB4"/>
    <w:rsid w:val="006D14F0"/>
    <w:rsid w:val="006D1768"/>
    <w:rsid w:val="006D196D"/>
    <w:rsid w:val="006D1C8E"/>
    <w:rsid w:val="006D213D"/>
    <w:rsid w:val="006D245E"/>
    <w:rsid w:val="006D24A8"/>
    <w:rsid w:val="006D286B"/>
    <w:rsid w:val="006D287C"/>
    <w:rsid w:val="006D2B03"/>
    <w:rsid w:val="006D2B34"/>
    <w:rsid w:val="006D2E95"/>
    <w:rsid w:val="006D3BDD"/>
    <w:rsid w:val="006D3C5B"/>
    <w:rsid w:val="006D3CC9"/>
    <w:rsid w:val="006D3CFF"/>
    <w:rsid w:val="006D3F57"/>
    <w:rsid w:val="006D4095"/>
    <w:rsid w:val="006D4527"/>
    <w:rsid w:val="006D4638"/>
    <w:rsid w:val="006D47B2"/>
    <w:rsid w:val="006D489F"/>
    <w:rsid w:val="006D4A43"/>
    <w:rsid w:val="006D4AB9"/>
    <w:rsid w:val="006D4B4F"/>
    <w:rsid w:val="006D4DB2"/>
    <w:rsid w:val="006D5AC4"/>
    <w:rsid w:val="006D5BB4"/>
    <w:rsid w:val="006D5F43"/>
    <w:rsid w:val="006D6223"/>
    <w:rsid w:val="006D64AC"/>
    <w:rsid w:val="006D6A6B"/>
    <w:rsid w:val="006D6D62"/>
    <w:rsid w:val="006D7623"/>
    <w:rsid w:val="006D7840"/>
    <w:rsid w:val="006D7945"/>
    <w:rsid w:val="006D7A24"/>
    <w:rsid w:val="006E027E"/>
    <w:rsid w:val="006E0462"/>
    <w:rsid w:val="006E06E2"/>
    <w:rsid w:val="006E0719"/>
    <w:rsid w:val="006E0EF6"/>
    <w:rsid w:val="006E0EFF"/>
    <w:rsid w:val="006E116E"/>
    <w:rsid w:val="006E1BF5"/>
    <w:rsid w:val="006E2005"/>
    <w:rsid w:val="006E226C"/>
    <w:rsid w:val="006E22D8"/>
    <w:rsid w:val="006E2A92"/>
    <w:rsid w:val="006E2B26"/>
    <w:rsid w:val="006E2ECC"/>
    <w:rsid w:val="006E2F3D"/>
    <w:rsid w:val="006E3253"/>
    <w:rsid w:val="006E38AA"/>
    <w:rsid w:val="006E38D6"/>
    <w:rsid w:val="006E38EB"/>
    <w:rsid w:val="006E3B44"/>
    <w:rsid w:val="006E4692"/>
    <w:rsid w:val="006E469E"/>
    <w:rsid w:val="006E46F5"/>
    <w:rsid w:val="006E4A19"/>
    <w:rsid w:val="006E4E3C"/>
    <w:rsid w:val="006E4FF7"/>
    <w:rsid w:val="006E5027"/>
    <w:rsid w:val="006E5038"/>
    <w:rsid w:val="006E519E"/>
    <w:rsid w:val="006E5432"/>
    <w:rsid w:val="006E5ECF"/>
    <w:rsid w:val="006E61E0"/>
    <w:rsid w:val="006E649D"/>
    <w:rsid w:val="006E6575"/>
    <w:rsid w:val="006E664A"/>
    <w:rsid w:val="006E6F7E"/>
    <w:rsid w:val="006E7456"/>
    <w:rsid w:val="006E77EA"/>
    <w:rsid w:val="006E7E49"/>
    <w:rsid w:val="006E7F04"/>
    <w:rsid w:val="006F02CE"/>
    <w:rsid w:val="006F0531"/>
    <w:rsid w:val="006F0650"/>
    <w:rsid w:val="006F08B4"/>
    <w:rsid w:val="006F0DCB"/>
    <w:rsid w:val="006F0F17"/>
    <w:rsid w:val="006F14E0"/>
    <w:rsid w:val="006F1744"/>
    <w:rsid w:val="006F27D7"/>
    <w:rsid w:val="006F2910"/>
    <w:rsid w:val="006F2C2D"/>
    <w:rsid w:val="006F305A"/>
    <w:rsid w:val="006F31BD"/>
    <w:rsid w:val="006F35C1"/>
    <w:rsid w:val="006F37B0"/>
    <w:rsid w:val="006F3CE2"/>
    <w:rsid w:val="006F3D25"/>
    <w:rsid w:val="006F3E85"/>
    <w:rsid w:val="006F409C"/>
    <w:rsid w:val="006F4153"/>
    <w:rsid w:val="006F41B7"/>
    <w:rsid w:val="006F4285"/>
    <w:rsid w:val="006F4375"/>
    <w:rsid w:val="006F4489"/>
    <w:rsid w:val="006F44FD"/>
    <w:rsid w:val="006F4507"/>
    <w:rsid w:val="006F4601"/>
    <w:rsid w:val="006F5058"/>
    <w:rsid w:val="006F577A"/>
    <w:rsid w:val="006F58FB"/>
    <w:rsid w:val="006F5AD7"/>
    <w:rsid w:val="006F5BEB"/>
    <w:rsid w:val="006F5D1E"/>
    <w:rsid w:val="006F5D36"/>
    <w:rsid w:val="006F5D49"/>
    <w:rsid w:val="006F5D76"/>
    <w:rsid w:val="006F60CE"/>
    <w:rsid w:val="006F63F5"/>
    <w:rsid w:val="006F64F4"/>
    <w:rsid w:val="006F6622"/>
    <w:rsid w:val="006F6897"/>
    <w:rsid w:val="006F6AF3"/>
    <w:rsid w:val="006F6E94"/>
    <w:rsid w:val="006F6F24"/>
    <w:rsid w:val="006F74E6"/>
    <w:rsid w:val="006F774A"/>
    <w:rsid w:val="006F7A06"/>
    <w:rsid w:val="006F7EB4"/>
    <w:rsid w:val="006F7FBC"/>
    <w:rsid w:val="0070049E"/>
    <w:rsid w:val="00700C22"/>
    <w:rsid w:val="00700CA5"/>
    <w:rsid w:val="00701651"/>
    <w:rsid w:val="007017B5"/>
    <w:rsid w:val="007017D0"/>
    <w:rsid w:val="00701AB7"/>
    <w:rsid w:val="0070235B"/>
    <w:rsid w:val="00702D89"/>
    <w:rsid w:val="00702E77"/>
    <w:rsid w:val="00702EAD"/>
    <w:rsid w:val="00703008"/>
    <w:rsid w:val="00703191"/>
    <w:rsid w:val="00703209"/>
    <w:rsid w:val="0070385F"/>
    <w:rsid w:val="00703C0A"/>
    <w:rsid w:val="00703C41"/>
    <w:rsid w:val="00703D18"/>
    <w:rsid w:val="00703F4A"/>
    <w:rsid w:val="007040CD"/>
    <w:rsid w:val="0070481B"/>
    <w:rsid w:val="007048BD"/>
    <w:rsid w:val="00704A69"/>
    <w:rsid w:val="00704C96"/>
    <w:rsid w:val="00705050"/>
    <w:rsid w:val="007050E8"/>
    <w:rsid w:val="0070568A"/>
    <w:rsid w:val="007056F5"/>
    <w:rsid w:val="00705712"/>
    <w:rsid w:val="007057D4"/>
    <w:rsid w:val="00705926"/>
    <w:rsid w:val="00705B39"/>
    <w:rsid w:val="00705EDB"/>
    <w:rsid w:val="00706433"/>
    <w:rsid w:val="00706565"/>
    <w:rsid w:val="007067AE"/>
    <w:rsid w:val="007067F7"/>
    <w:rsid w:val="007068E2"/>
    <w:rsid w:val="00706A30"/>
    <w:rsid w:val="00706A6F"/>
    <w:rsid w:val="00706B3B"/>
    <w:rsid w:val="00706C92"/>
    <w:rsid w:val="00706F59"/>
    <w:rsid w:val="00707235"/>
    <w:rsid w:val="0070726B"/>
    <w:rsid w:val="00707497"/>
    <w:rsid w:val="007075E1"/>
    <w:rsid w:val="0070777E"/>
    <w:rsid w:val="00707BC3"/>
    <w:rsid w:val="00707BD7"/>
    <w:rsid w:val="00707D38"/>
    <w:rsid w:val="00707E41"/>
    <w:rsid w:val="007102FF"/>
    <w:rsid w:val="00710719"/>
    <w:rsid w:val="00710771"/>
    <w:rsid w:val="0071080A"/>
    <w:rsid w:val="00710902"/>
    <w:rsid w:val="00710C03"/>
    <w:rsid w:val="00710CF6"/>
    <w:rsid w:val="0071147C"/>
    <w:rsid w:val="007118C5"/>
    <w:rsid w:val="00711A82"/>
    <w:rsid w:val="007121F2"/>
    <w:rsid w:val="00712A3B"/>
    <w:rsid w:val="00712E6A"/>
    <w:rsid w:val="00713106"/>
    <w:rsid w:val="00713C93"/>
    <w:rsid w:val="00713DC8"/>
    <w:rsid w:val="00713DFE"/>
    <w:rsid w:val="0071466C"/>
    <w:rsid w:val="007148FC"/>
    <w:rsid w:val="00714CC3"/>
    <w:rsid w:val="007152AE"/>
    <w:rsid w:val="00715D73"/>
    <w:rsid w:val="00716177"/>
    <w:rsid w:val="007164B9"/>
    <w:rsid w:val="0071673F"/>
    <w:rsid w:val="0071679D"/>
    <w:rsid w:val="00716940"/>
    <w:rsid w:val="00717002"/>
    <w:rsid w:val="00717038"/>
    <w:rsid w:val="007174CC"/>
    <w:rsid w:val="007175D8"/>
    <w:rsid w:val="00717601"/>
    <w:rsid w:val="00717694"/>
    <w:rsid w:val="00717754"/>
    <w:rsid w:val="00717A12"/>
    <w:rsid w:val="00717AF2"/>
    <w:rsid w:val="00717BC4"/>
    <w:rsid w:val="00717EFA"/>
    <w:rsid w:val="00720479"/>
    <w:rsid w:val="00720731"/>
    <w:rsid w:val="00720A72"/>
    <w:rsid w:val="00720ADD"/>
    <w:rsid w:val="00720F35"/>
    <w:rsid w:val="0072150C"/>
    <w:rsid w:val="00721889"/>
    <w:rsid w:val="00721B53"/>
    <w:rsid w:val="00721C55"/>
    <w:rsid w:val="007222AB"/>
    <w:rsid w:val="007222FA"/>
    <w:rsid w:val="00722A21"/>
    <w:rsid w:val="00722BE2"/>
    <w:rsid w:val="00723225"/>
    <w:rsid w:val="00723878"/>
    <w:rsid w:val="00723C7C"/>
    <w:rsid w:val="007243BC"/>
    <w:rsid w:val="00724428"/>
    <w:rsid w:val="00724B8A"/>
    <w:rsid w:val="00724C5D"/>
    <w:rsid w:val="00724FDE"/>
    <w:rsid w:val="007253DA"/>
    <w:rsid w:val="0072542D"/>
    <w:rsid w:val="007254DF"/>
    <w:rsid w:val="00725516"/>
    <w:rsid w:val="007256C5"/>
    <w:rsid w:val="007257A8"/>
    <w:rsid w:val="00725A8F"/>
    <w:rsid w:val="00726474"/>
    <w:rsid w:val="0072653B"/>
    <w:rsid w:val="00726B64"/>
    <w:rsid w:val="00726CB6"/>
    <w:rsid w:val="00727B19"/>
    <w:rsid w:val="00727D99"/>
    <w:rsid w:val="00727E3E"/>
    <w:rsid w:val="00730001"/>
    <w:rsid w:val="00730100"/>
    <w:rsid w:val="00730B23"/>
    <w:rsid w:val="00730CEC"/>
    <w:rsid w:val="0073101E"/>
    <w:rsid w:val="00731143"/>
    <w:rsid w:val="007319CE"/>
    <w:rsid w:val="00731BB6"/>
    <w:rsid w:val="00731F2C"/>
    <w:rsid w:val="007320B4"/>
    <w:rsid w:val="0073244B"/>
    <w:rsid w:val="007324D4"/>
    <w:rsid w:val="00732BBA"/>
    <w:rsid w:val="00732CC8"/>
    <w:rsid w:val="007330EA"/>
    <w:rsid w:val="00733EDC"/>
    <w:rsid w:val="007343EF"/>
    <w:rsid w:val="00734431"/>
    <w:rsid w:val="0073472F"/>
    <w:rsid w:val="00734A7F"/>
    <w:rsid w:val="00734AF8"/>
    <w:rsid w:val="00734CCD"/>
    <w:rsid w:val="00734F7C"/>
    <w:rsid w:val="0073509A"/>
    <w:rsid w:val="007354FD"/>
    <w:rsid w:val="00735BAA"/>
    <w:rsid w:val="00735D05"/>
    <w:rsid w:val="00735DE5"/>
    <w:rsid w:val="00735F6C"/>
    <w:rsid w:val="0073622C"/>
    <w:rsid w:val="00736309"/>
    <w:rsid w:val="007363E0"/>
    <w:rsid w:val="00736555"/>
    <w:rsid w:val="007366A8"/>
    <w:rsid w:val="007367E0"/>
    <w:rsid w:val="007369ED"/>
    <w:rsid w:val="00737006"/>
    <w:rsid w:val="00737011"/>
    <w:rsid w:val="007375DF"/>
    <w:rsid w:val="007376AF"/>
    <w:rsid w:val="00737A48"/>
    <w:rsid w:val="00740323"/>
    <w:rsid w:val="00740384"/>
    <w:rsid w:val="007404CD"/>
    <w:rsid w:val="00741062"/>
    <w:rsid w:val="00741185"/>
    <w:rsid w:val="00741878"/>
    <w:rsid w:val="00741CF4"/>
    <w:rsid w:val="00741E90"/>
    <w:rsid w:val="00741EE0"/>
    <w:rsid w:val="007421BA"/>
    <w:rsid w:val="0074236E"/>
    <w:rsid w:val="00742484"/>
    <w:rsid w:val="00742898"/>
    <w:rsid w:val="00742BC9"/>
    <w:rsid w:val="00742C3B"/>
    <w:rsid w:val="00742FCD"/>
    <w:rsid w:val="0074326E"/>
    <w:rsid w:val="00743B8F"/>
    <w:rsid w:val="00743DC2"/>
    <w:rsid w:val="00744033"/>
    <w:rsid w:val="0074414E"/>
    <w:rsid w:val="007441C5"/>
    <w:rsid w:val="0074463C"/>
    <w:rsid w:val="0074465E"/>
    <w:rsid w:val="00744860"/>
    <w:rsid w:val="00744B05"/>
    <w:rsid w:val="0074549F"/>
    <w:rsid w:val="0074586D"/>
    <w:rsid w:val="00745D8C"/>
    <w:rsid w:val="00745DF7"/>
    <w:rsid w:val="007460DE"/>
    <w:rsid w:val="007468C6"/>
    <w:rsid w:val="007470A4"/>
    <w:rsid w:val="007471A2"/>
    <w:rsid w:val="0074730A"/>
    <w:rsid w:val="00747391"/>
    <w:rsid w:val="007500F3"/>
    <w:rsid w:val="007501D2"/>
    <w:rsid w:val="007504E9"/>
    <w:rsid w:val="00750537"/>
    <w:rsid w:val="00750918"/>
    <w:rsid w:val="0075091B"/>
    <w:rsid w:val="00750A26"/>
    <w:rsid w:val="00750C0A"/>
    <w:rsid w:val="007510CA"/>
    <w:rsid w:val="00751863"/>
    <w:rsid w:val="00751AA9"/>
    <w:rsid w:val="00751C49"/>
    <w:rsid w:val="00751F0E"/>
    <w:rsid w:val="0075223F"/>
    <w:rsid w:val="00752561"/>
    <w:rsid w:val="00752DF5"/>
    <w:rsid w:val="007533E2"/>
    <w:rsid w:val="00753580"/>
    <w:rsid w:val="007536FC"/>
    <w:rsid w:val="00754C9A"/>
    <w:rsid w:val="00754F78"/>
    <w:rsid w:val="00755732"/>
    <w:rsid w:val="00755A54"/>
    <w:rsid w:val="007560B9"/>
    <w:rsid w:val="00756107"/>
    <w:rsid w:val="00756135"/>
    <w:rsid w:val="007568A7"/>
    <w:rsid w:val="007568B8"/>
    <w:rsid w:val="0075692F"/>
    <w:rsid w:val="00757C59"/>
    <w:rsid w:val="0076000C"/>
    <w:rsid w:val="00760189"/>
    <w:rsid w:val="0076029E"/>
    <w:rsid w:val="0076036C"/>
    <w:rsid w:val="007604EC"/>
    <w:rsid w:val="0076074C"/>
    <w:rsid w:val="00760DA9"/>
    <w:rsid w:val="0076116D"/>
    <w:rsid w:val="00761262"/>
    <w:rsid w:val="007613FF"/>
    <w:rsid w:val="007618AE"/>
    <w:rsid w:val="00761B66"/>
    <w:rsid w:val="00761ECB"/>
    <w:rsid w:val="0076262C"/>
    <w:rsid w:val="007626E9"/>
    <w:rsid w:val="00762BC2"/>
    <w:rsid w:val="00762CE6"/>
    <w:rsid w:val="00762F7F"/>
    <w:rsid w:val="00763011"/>
    <w:rsid w:val="00763112"/>
    <w:rsid w:val="0076324E"/>
    <w:rsid w:val="0076340F"/>
    <w:rsid w:val="007634C7"/>
    <w:rsid w:val="0076356E"/>
    <w:rsid w:val="007638DE"/>
    <w:rsid w:val="00763C2A"/>
    <w:rsid w:val="00763FF2"/>
    <w:rsid w:val="00764205"/>
    <w:rsid w:val="00764306"/>
    <w:rsid w:val="00764930"/>
    <w:rsid w:val="00764968"/>
    <w:rsid w:val="00764CBE"/>
    <w:rsid w:val="00764DC4"/>
    <w:rsid w:val="00764E47"/>
    <w:rsid w:val="007656B0"/>
    <w:rsid w:val="007658DC"/>
    <w:rsid w:val="00765B64"/>
    <w:rsid w:val="00765DFF"/>
    <w:rsid w:val="0076624B"/>
    <w:rsid w:val="007663C4"/>
    <w:rsid w:val="007669C4"/>
    <w:rsid w:val="00766BF3"/>
    <w:rsid w:val="0076752A"/>
    <w:rsid w:val="00767AE2"/>
    <w:rsid w:val="00767BAC"/>
    <w:rsid w:val="00767C24"/>
    <w:rsid w:val="00767CE0"/>
    <w:rsid w:val="00770403"/>
    <w:rsid w:val="00770668"/>
    <w:rsid w:val="007706BE"/>
    <w:rsid w:val="0077071F"/>
    <w:rsid w:val="00770939"/>
    <w:rsid w:val="00770B0E"/>
    <w:rsid w:val="00771207"/>
    <w:rsid w:val="00771256"/>
    <w:rsid w:val="00771406"/>
    <w:rsid w:val="00771511"/>
    <w:rsid w:val="007719D2"/>
    <w:rsid w:val="00771BAF"/>
    <w:rsid w:val="007726F0"/>
    <w:rsid w:val="00772BB7"/>
    <w:rsid w:val="00772C1D"/>
    <w:rsid w:val="00773275"/>
    <w:rsid w:val="00773F25"/>
    <w:rsid w:val="007740C2"/>
    <w:rsid w:val="0077458D"/>
    <w:rsid w:val="00774849"/>
    <w:rsid w:val="007752A7"/>
    <w:rsid w:val="007755A2"/>
    <w:rsid w:val="00775C65"/>
    <w:rsid w:val="00775DC7"/>
    <w:rsid w:val="00775F22"/>
    <w:rsid w:val="00775F6C"/>
    <w:rsid w:val="00775F86"/>
    <w:rsid w:val="00776442"/>
    <w:rsid w:val="00777343"/>
    <w:rsid w:val="00777C33"/>
    <w:rsid w:val="00777F8E"/>
    <w:rsid w:val="00780079"/>
    <w:rsid w:val="00780426"/>
    <w:rsid w:val="00780617"/>
    <w:rsid w:val="007806E1"/>
    <w:rsid w:val="00780BE2"/>
    <w:rsid w:val="00781175"/>
    <w:rsid w:val="007811E9"/>
    <w:rsid w:val="0078156C"/>
    <w:rsid w:val="007815F1"/>
    <w:rsid w:val="007815FB"/>
    <w:rsid w:val="00781E09"/>
    <w:rsid w:val="007824B7"/>
    <w:rsid w:val="0078271B"/>
    <w:rsid w:val="00782757"/>
    <w:rsid w:val="00782E5F"/>
    <w:rsid w:val="007831A0"/>
    <w:rsid w:val="00783582"/>
    <w:rsid w:val="0078362E"/>
    <w:rsid w:val="00783AE8"/>
    <w:rsid w:val="00783C64"/>
    <w:rsid w:val="00783DCE"/>
    <w:rsid w:val="00784111"/>
    <w:rsid w:val="00784611"/>
    <w:rsid w:val="0078474F"/>
    <w:rsid w:val="00784E73"/>
    <w:rsid w:val="00784E89"/>
    <w:rsid w:val="007854B5"/>
    <w:rsid w:val="0078569A"/>
    <w:rsid w:val="00785723"/>
    <w:rsid w:val="007857F0"/>
    <w:rsid w:val="00785804"/>
    <w:rsid w:val="007858B5"/>
    <w:rsid w:val="00785E65"/>
    <w:rsid w:val="007860C6"/>
    <w:rsid w:val="007864DA"/>
    <w:rsid w:val="00786777"/>
    <w:rsid w:val="0078692F"/>
    <w:rsid w:val="0078702E"/>
    <w:rsid w:val="007870F3"/>
    <w:rsid w:val="007877A5"/>
    <w:rsid w:val="00787810"/>
    <w:rsid w:val="00787ABA"/>
    <w:rsid w:val="007900B7"/>
    <w:rsid w:val="00790259"/>
    <w:rsid w:val="0079031A"/>
    <w:rsid w:val="00790336"/>
    <w:rsid w:val="007903D6"/>
    <w:rsid w:val="0079068B"/>
    <w:rsid w:val="007907AB"/>
    <w:rsid w:val="0079085A"/>
    <w:rsid w:val="0079096C"/>
    <w:rsid w:val="00790BEB"/>
    <w:rsid w:val="00790C73"/>
    <w:rsid w:val="00790E29"/>
    <w:rsid w:val="00790FC1"/>
    <w:rsid w:val="007911FB"/>
    <w:rsid w:val="007917DF"/>
    <w:rsid w:val="00791809"/>
    <w:rsid w:val="00791888"/>
    <w:rsid w:val="0079192F"/>
    <w:rsid w:val="00791F8D"/>
    <w:rsid w:val="00791FF6"/>
    <w:rsid w:val="00792071"/>
    <w:rsid w:val="007924F3"/>
    <w:rsid w:val="007927E3"/>
    <w:rsid w:val="00792ABB"/>
    <w:rsid w:val="00792D26"/>
    <w:rsid w:val="00792EE1"/>
    <w:rsid w:val="00793457"/>
    <w:rsid w:val="0079377B"/>
    <w:rsid w:val="00793815"/>
    <w:rsid w:val="007938F2"/>
    <w:rsid w:val="00793912"/>
    <w:rsid w:val="007939AC"/>
    <w:rsid w:val="00793B5E"/>
    <w:rsid w:val="00793E7D"/>
    <w:rsid w:val="007940CD"/>
    <w:rsid w:val="007940E3"/>
    <w:rsid w:val="0079418B"/>
    <w:rsid w:val="00794395"/>
    <w:rsid w:val="007943C2"/>
    <w:rsid w:val="00794A89"/>
    <w:rsid w:val="00794B4A"/>
    <w:rsid w:val="0079517D"/>
    <w:rsid w:val="00795235"/>
    <w:rsid w:val="007954C0"/>
    <w:rsid w:val="00795D91"/>
    <w:rsid w:val="00796321"/>
    <w:rsid w:val="00796824"/>
    <w:rsid w:val="007968E9"/>
    <w:rsid w:val="007969B3"/>
    <w:rsid w:val="00796D44"/>
    <w:rsid w:val="00796E71"/>
    <w:rsid w:val="00796EED"/>
    <w:rsid w:val="0079702F"/>
    <w:rsid w:val="007972A8"/>
    <w:rsid w:val="007973F6"/>
    <w:rsid w:val="00797821"/>
    <w:rsid w:val="00797D20"/>
    <w:rsid w:val="007A01F0"/>
    <w:rsid w:val="007A0370"/>
    <w:rsid w:val="007A047B"/>
    <w:rsid w:val="007A0908"/>
    <w:rsid w:val="007A0AF4"/>
    <w:rsid w:val="007A0C1A"/>
    <w:rsid w:val="007A0DB3"/>
    <w:rsid w:val="007A1230"/>
    <w:rsid w:val="007A13A2"/>
    <w:rsid w:val="007A1A32"/>
    <w:rsid w:val="007A1E33"/>
    <w:rsid w:val="007A1EE4"/>
    <w:rsid w:val="007A210C"/>
    <w:rsid w:val="007A21FE"/>
    <w:rsid w:val="007A23A5"/>
    <w:rsid w:val="007A2A02"/>
    <w:rsid w:val="007A2C96"/>
    <w:rsid w:val="007A2F83"/>
    <w:rsid w:val="007A31A5"/>
    <w:rsid w:val="007A31D9"/>
    <w:rsid w:val="007A3415"/>
    <w:rsid w:val="007A37DE"/>
    <w:rsid w:val="007A3A05"/>
    <w:rsid w:val="007A3BB6"/>
    <w:rsid w:val="007A437F"/>
    <w:rsid w:val="007A4557"/>
    <w:rsid w:val="007A4BB7"/>
    <w:rsid w:val="007A4C95"/>
    <w:rsid w:val="007A4CAE"/>
    <w:rsid w:val="007A4FF5"/>
    <w:rsid w:val="007A5195"/>
    <w:rsid w:val="007A5240"/>
    <w:rsid w:val="007A538B"/>
    <w:rsid w:val="007A54C4"/>
    <w:rsid w:val="007A5578"/>
    <w:rsid w:val="007A5F51"/>
    <w:rsid w:val="007A5FCD"/>
    <w:rsid w:val="007A61BC"/>
    <w:rsid w:val="007A6262"/>
    <w:rsid w:val="007A67F7"/>
    <w:rsid w:val="007A6ADF"/>
    <w:rsid w:val="007A74EB"/>
    <w:rsid w:val="007A75A4"/>
    <w:rsid w:val="007A79CA"/>
    <w:rsid w:val="007A79E6"/>
    <w:rsid w:val="007A7BEE"/>
    <w:rsid w:val="007A7C77"/>
    <w:rsid w:val="007B0082"/>
    <w:rsid w:val="007B0281"/>
    <w:rsid w:val="007B04AE"/>
    <w:rsid w:val="007B068C"/>
    <w:rsid w:val="007B08AB"/>
    <w:rsid w:val="007B08BB"/>
    <w:rsid w:val="007B0987"/>
    <w:rsid w:val="007B0DAE"/>
    <w:rsid w:val="007B1264"/>
    <w:rsid w:val="007B156A"/>
    <w:rsid w:val="007B1A7A"/>
    <w:rsid w:val="007B1C2F"/>
    <w:rsid w:val="007B20AE"/>
    <w:rsid w:val="007B2510"/>
    <w:rsid w:val="007B2820"/>
    <w:rsid w:val="007B2AFA"/>
    <w:rsid w:val="007B2C7F"/>
    <w:rsid w:val="007B2CCC"/>
    <w:rsid w:val="007B2D41"/>
    <w:rsid w:val="007B3363"/>
    <w:rsid w:val="007B4411"/>
    <w:rsid w:val="007B4864"/>
    <w:rsid w:val="007B4C5E"/>
    <w:rsid w:val="007B52F6"/>
    <w:rsid w:val="007B567C"/>
    <w:rsid w:val="007B5696"/>
    <w:rsid w:val="007B58B8"/>
    <w:rsid w:val="007B5EAE"/>
    <w:rsid w:val="007B5EB5"/>
    <w:rsid w:val="007B6094"/>
    <w:rsid w:val="007B6275"/>
    <w:rsid w:val="007B62D0"/>
    <w:rsid w:val="007B6466"/>
    <w:rsid w:val="007B6E40"/>
    <w:rsid w:val="007B6E6C"/>
    <w:rsid w:val="007B70B0"/>
    <w:rsid w:val="007B74E2"/>
    <w:rsid w:val="007B7B6C"/>
    <w:rsid w:val="007B7F71"/>
    <w:rsid w:val="007B7FA3"/>
    <w:rsid w:val="007C01F1"/>
    <w:rsid w:val="007C06AA"/>
    <w:rsid w:val="007C086A"/>
    <w:rsid w:val="007C0DE6"/>
    <w:rsid w:val="007C0F84"/>
    <w:rsid w:val="007C123F"/>
    <w:rsid w:val="007C12CF"/>
    <w:rsid w:val="007C13F4"/>
    <w:rsid w:val="007C16E9"/>
    <w:rsid w:val="007C27F7"/>
    <w:rsid w:val="007C3056"/>
    <w:rsid w:val="007C3312"/>
    <w:rsid w:val="007C3AFE"/>
    <w:rsid w:val="007C400C"/>
    <w:rsid w:val="007C4074"/>
    <w:rsid w:val="007C4135"/>
    <w:rsid w:val="007C49C0"/>
    <w:rsid w:val="007C4C27"/>
    <w:rsid w:val="007C4E99"/>
    <w:rsid w:val="007C4FEC"/>
    <w:rsid w:val="007C503F"/>
    <w:rsid w:val="007C537A"/>
    <w:rsid w:val="007C5627"/>
    <w:rsid w:val="007C59C5"/>
    <w:rsid w:val="007C5B5A"/>
    <w:rsid w:val="007C5D57"/>
    <w:rsid w:val="007C5E7C"/>
    <w:rsid w:val="007C5FA9"/>
    <w:rsid w:val="007C5FE8"/>
    <w:rsid w:val="007C605B"/>
    <w:rsid w:val="007C620D"/>
    <w:rsid w:val="007C6315"/>
    <w:rsid w:val="007C63A2"/>
    <w:rsid w:val="007C65E8"/>
    <w:rsid w:val="007C6864"/>
    <w:rsid w:val="007C6AC0"/>
    <w:rsid w:val="007C6B63"/>
    <w:rsid w:val="007C70BE"/>
    <w:rsid w:val="007C70C2"/>
    <w:rsid w:val="007C7372"/>
    <w:rsid w:val="007C75EA"/>
    <w:rsid w:val="007C77C9"/>
    <w:rsid w:val="007C78FB"/>
    <w:rsid w:val="007C7BA0"/>
    <w:rsid w:val="007C7BE9"/>
    <w:rsid w:val="007C7E39"/>
    <w:rsid w:val="007C7F35"/>
    <w:rsid w:val="007D0106"/>
    <w:rsid w:val="007D0146"/>
    <w:rsid w:val="007D02A1"/>
    <w:rsid w:val="007D0533"/>
    <w:rsid w:val="007D06E6"/>
    <w:rsid w:val="007D08C3"/>
    <w:rsid w:val="007D08FB"/>
    <w:rsid w:val="007D0A05"/>
    <w:rsid w:val="007D0A58"/>
    <w:rsid w:val="007D0AA6"/>
    <w:rsid w:val="007D0AFE"/>
    <w:rsid w:val="007D10AE"/>
    <w:rsid w:val="007D1248"/>
    <w:rsid w:val="007D17E6"/>
    <w:rsid w:val="007D1D5B"/>
    <w:rsid w:val="007D202D"/>
    <w:rsid w:val="007D20E0"/>
    <w:rsid w:val="007D2458"/>
    <w:rsid w:val="007D2607"/>
    <w:rsid w:val="007D2A6D"/>
    <w:rsid w:val="007D2B5C"/>
    <w:rsid w:val="007D308E"/>
    <w:rsid w:val="007D32FC"/>
    <w:rsid w:val="007D3D93"/>
    <w:rsid w:val="007D3E2B"/>
    <w:rsid w:val="007D44FE"/>
    <w:rsid w:val="007D4678"/>
    <w:rsid w:val="007D4790"/>
    <w:rsid w:val="007D5470"/>
    <w:rsid w:val="007D5A9D"/>
    <w:rsid w:val="007D71A3"/>
    <w:rsid w:val="007E0022"/>
    <w:rsid w:val="007E0108"/>
    <w:rsid w:val="007E064C"/>
    <w:rsid w:val="007E100E"/>
    <w:rsid w:val="007E136A"/>
    <w:rsid w:val="007E1462"/>
    <w:rsid w:val="007E1ABF"/>
    <w:rsid w:val="007E1F2C"/>
    <w:rsid w:val="007E1FBD"/>
    <w:rsid w:val="007E210B"/>
    <w:rsid w:val="007E2491"/>
    <w:rsid w:val="007E264D"/>
    <w:rsid w:val="007E2728"/>
    <w:rsid w:val="007E277D"/>
    <w:rsid w:val="007E28C9"/>
    <w:rsid w:val="007E2AF6"/>
    <w:rsid w:val="007E2F1E"/>
    <w:rsid w:val="007E2F5B"/>
    <w:rsid w:val="007E3252"/>
    <w:rsid w:val="007E3A05"/>
    <w:rsid w:val="007E3A12"/>
    <w:rsid w:val="007E3BC6"/>
    <w:rsid w:val="007E3C7F"/>
    <w:rsid w:val="007E3D92"/>
    <w:rsid w:val="007E40AB"/>
    <w:rsid w:val="007E456E"/>
    <w:rsid w:val="007E470D"/>
    <w:rsid w:val="007E481C"/>
    <w:rsid w:val="007E4C85"/>
    <w:rsid w:val="007E4EFE"/>
    <w:rsid w:val="007E5B13"/>
    <w:rsid w:val="007E61D2"/>
    <w:rsid w:val="007E6410"/>
    <w:rsid w:val="007E649E"/>
    <w:rsid w:val="007E654E"/>
    <w:rsid w:val="007E6872"/>
    <w:rsid w:val="007E6A2B"/>
    <w:rsid w:val="007E7418"/>
    <w:rsid w:val="007F00CE"/>
    <w:rsid w:val="007F0231"/>
    <w:rsid w:val="007F0360"/>
    <w:rsid w:val="007F0469"/>
    <w:rsid w:val="007F04C7"/>
    <w:rsid w:val="007F08DC"/>
    <w:rsid w:val="007F0A96"/>
    <w:rsid w:val="007F0AD7"/>
    <w:rsid w:val="007F129F"/>
    <w:rsid w:val="007F12ED"/>
    <w:rsid w:val="007F2436"/>
    <w:rsid w:val="007F2A37"/>
    <w:rsid w:val="007F2D38"/>
    <w:rsid w:val="007F2DEF"/>
    <w:rsid w:val="007F300B"/>
    <w:rsid w:val="007F3045"/>
    <w:rsid w:val="007F3A0F"/>
    <w:rsid w:val="007F3A35"/>
    <w:rsid w:val="007F3A65"/>
    <w:rsid w:val="007F3B4D"/>
    <w:rsid w:val="007F4066"/>
    <w:rsid w:val="007F40D0"/>
    <w:rsid w:val="007F42B8"/>
    <w:rsid w:val="007F43AE"/>
    <w:rsid w:val="007F500E"/>
    <w:rsid w:val="007F5072"/>
    <w:rsid w:val="007F5102"/>
    <w:rsid w:val="007F573B"/>
    <w:rsid w:val="007F58E9"/>
    <w:rsid w:val="007F59BD"/>
    <w:rsid w:val="007F5B93"/>
    <w:rsid w:val="007F63CD"/>
    <w:rsid w:val="007F6964"/>
    <w:rsid w:val="007F6D20"/>
    <w:rsid w:val="007F6D4F"/>
    <w:rsid w:val="007F6E54"/>
    <w:rsid w:val="007F709F"/>
    <w:rsid w:val="007F729E"/>
    <w:rsid w:val="007F74EB"/>
    <w:rsid w:val="007F77BF"/>
    <w:rsid w:val="007F7F8F"/>
    <w:rsid w:val="008000F2"/>
    <w:rsid w:val="0080022A"/>
    <w:rsid w:val="00800C77"/>
    <w:rsid w:val="00800FA5"/>
    <w:rsid w:val="00801817"/>
    <w:rsid w:val="00801851"/>
    <w:rsid w:val="008018B8"/>
    <w:rsid w:val="0080190B"/>
    <w:rsid w:val="00801A9E"/>
    <w:rsid w:val="00801CF2"/>
    <w:rsid w:val="008022E9"/>
    <w:rsid w:val="00802C30"/>
    <w:rsid w:val="00802E9B"/>
    <w:rsid w:val="0080309C"/>
    <w:rsid w:val="008030CE"/>
    <w:rsid w:val="00803384"/>
    <w:rsid w:val="0080375C"/>
    <w:rsid w:val="008038FE"/>
    <w:rsid w:val="00803FB8"/>
    <w:rsid w:val="0080405D"/>
    <w:rsid w:val="008041BA"/>
    <w:rsid w:val="00804824"/>
    <w:rsid w:val="0080491B"/>
    <w:rsid w:val="00804ADB"/>
    <w:rsid w:val="00804E48"/>
    <w:rsid w:val="00804EBA"/>
    <w:rsid w:val="00805093"/>
    <w:rsid w:val="0080553C"/>
    <w:rsid w:val="008059ED"/>
    <w:rsid w:val="00805C07"/>
    <w:rsid w:val="00805C7C"/>
    <w:rsid w:val="00805F06"/>
    <w:rsid w:val="00806348"/>
    <w:rsid w:val="00806483"/>
    <w:rsid w:val="00806497"/>
    <w:rsid w:val="00806789"/>
    <w:rsid w:val="00806C4B"/>
    <w:rsid w:val="00806CB7"/>
    <w:rsid w:val="00807424"/>
    <w:rsid w:val="0080762A"/>
    <w:rsid w:val="00807800"/>
    <w:rsid w:val="008078C9"/>
    <w:rsid w:val="00807A5A"/>
    <w:rsid w:val="00807E14"/>
    <w:rsid w:val="00810555"/>
    <w:rsid w:val="00810749"/>
    <w:rsid w:val="008111CE"/>
    <w:rsid w:val="00811A04"/>
    <w:rsid w:val="00811D7C"/>
    <w:rsid w:val="0081210E"/>
    <w:rsid w:val="00812358"/>
    <w:rsid w:val="0081328D"/>
    <w:rsid w:val="008132CD"/>
    <w:rsid w:val="00813543"/>
    <w:rsid w:val="008136B7"/>
    <w:rsid w:val="00813769"/>
    <w:rsid w:val="0081385C"/>
    <w:rsid w:val="00813908"/>
    <w:rsid w:val="00813942"/>
    <w:rsid w:val="00813B7B"/>
    <w:rsid w:val="00813C23"/>
    <w:rsid w:val="00813EEB"/>
    <w:rsid w:val="00814101"/>
    <w:rsid w:val="0081429C"/>
    <w:rsid w:val="008145C1"/>
    <w:rsid w:val="008147C2"/>
    <w:rsid w:val="008148F4"/>
    <w:rsid w:val="00814A02"/>
    <w:rsid w:val="00814D02"/>
    <w:rsid w:val="00814E43"/>
    <w:rsid w:val="00815181"/>
    <w:rsid w:val="0081521D"/>
    <w:rsid w:val="008159A6"/>
    <w:rsid w:val="00815A34"/>
    <w:rsid w:val="00815A36"/>
    <w:rsid w:val="00815B92"/>
    <w:rsid w:val="00815FFB"/>
    <w:rsid w:val="00816181"/>
    <w:rsid w:val="008164C0"/>
    <w:rsid w:val="008164D0"/>
    <w:rsid w:val="0081654D"/>
    <w:rsid w:val="00816605"/>
    <w:rsid w:val="00816661"/>
    <w:rsid w:val="0081666D"/>
    <w:rsid w:val="0081692E"/>
    <w:rsid w:val="00816C0E"/>
    <w:rsid w:val="0081704E"/>
    <w:rsid w:val="00817143"/>
    <w:rsid w:val="008172DC"/>
    <w:rsid w:val="00817860"/>
    <w:rsid w:val="00817B39"/>
    <w:rsid w:val="00817B83"/>
    <w:rsid w:val="00817C92"/>
    <w:rsid w:val="00820463"/>
    <w:rsid w:val="0082066C"/>
    <w:rsid w:val="008206AA"/>
    <w:rsid w:val="00820828"/>
    <w:rsid w:val="00820AE0"/>
    <w:rsid w:val="00820DA6"/>
    <w:rsid w:val="00820F6E"/>
    <w:rsid w:val="008212C3"/>
    <w:rsid w:val="0082150E"/>
    <w:rsid w:val="00821980"/>
    <w:rsid w:val="00821E5D"/>
    <w:rsid w:val="00821F0D"/>
    <w:rsid w:val="00822462"/>
    <w:rsid w:val="00822B12"/>
    <w:rsid w:val="00822D98"/>
    <w:rsid w:val="00823194"/>
    <w:rsid w:val="00823C03"/>
    <w:rsid w:val="00823E6D"/>
    <w:rsid w:val="0082405C"/>
    <w:rsid w:val="008244DB"/>
    <w:rsid w:val="008244EE"/>
    <w:rsid w:val="008250DF"/>
    <w:rsid w:val="00825550"/>
    <w:rsid w:val="0082581E"/>
    <w:rsid w:val="00825924"/>
    <w:rsid w:val="00825C6E"/>
    <w:rsid w:val="00825D74"/>
    <w:rsid w:val="00825EC8"/>
    <w:rsid w:val="00825F51"/>
    <w:rsid w:val="00826543"/>
    <w:rsid w:val="00826565"/>
    <w:rsid w:val="00826620"/>
    <w:rsid w:val="008266CE"/>
    <w:rsid w:val="00826953"/>
    <w:rsid w:val="00826A9C"/>
    <w:rsid w:val="00826F46"/>
    <w:rsid w:val="00826F8C"/>
    <w:rsid w:val="0082785B"/>
    <w:rsid w:val="00827A21"/>
    <w:rsid w:val="00827A59"/>
    <w:rsid w:val="00827C13"/>
    <w:rsid w:val="00827F82"/>
    <w:rsid w:val="0083027C"/>
    <w:rsid w:val="0083053E"/>
    <w:rsid w:val="00830A70"/>
    <w:rsid w:val="00830C48"/>
    <w:rsid w:val="00830D66"/>
    <w:rsid w:val="00830E7E"/>
    <w:rsid w:val="00830F94"/>
    <w:rsid w:val="00831039"/>
    <w:rsid w:val="008311A0"/>
    <w:rsid w:val="00831B18"/>
    <w:rsid w:val="00831C93"/>
    <w:rsid w:val="00831DC3"/>
    <w:rsid w:val="00831F59"/>
    <w:rsid w:val="0083217F"/>
    <w:rsid w:val="00832431"/>
    <w:rsid w:val="0083254B"/>
    <w:rsid w:val="0083257E"/>
    <w:rsid w:val="008328C2"/>
    <w:rsid w:val="008329EF"/>
    <w:rsid w:val="00833663"/>
    <w:rsid w:val="008336D6"/>
    <w:rsid w:val="0083381E"/>
    <w:rsid w:val="00833A96"/>
    <w:rsid w:val="00833ABA"/>
    <w:rsid w:val="00834307"/>
    <w:rsid w:val="008345AC"/>
    <w:rsid w:val="00834644"/>
    <w:rsid w:val="00834732"/>
    <w:rsid w:val="00834736"/>
    <w:rsid w:val="008347CE"/>
    <w:rsid w:val="008348AE"/>
    <w:rsid w:val="008348D7"/>
    <w:rsid w:val="00834A8D"/>
    <w:rsid w:val="00834BF1"/>
    <w:rsid w:val="00834D4F"/>
    <w:rsid w:val="00834ED1"/>
    <w:rsid w:val="00834FDD"/>
    <w:rsid w:val="0083507B"/>
    <w:rsid w:val="008351FD"/>
    <w:rsid w:val="0083546C"/>
    <w:rsid w:val="008355C5"/>
    <w:rsid w:val="00835669"/>
    <w:rsid w:val="008356DC"/>
    <w:rsid w:val="0083592E"/>
    <w:rsid w:val="00835A6C"/>
    <w:rsid w:val="00835EBA"/>
    <w:rsid w:val="00835F8C"/>
    <w:rsid w:val="00836016"/>
    <w:rsid w:val="0083619B"/>
    <w:rsid w:val="008363EC"/>
    <w:rsid w:val="00836507"/>
    <w:rsid w:val="00836FD5"/>
    <w:rsid w:val="00836FD7"/>
    <w:rsid w:val="008370CA"/>
    <w:rsid w:val="008370CC"/>
    <w:rsid w:val="00837B58"/>
    <w:rsid w:val="008404AD"/>
    <w:rsid w:val="00840879"/>
    <w:rsid w:val="00840ADB"/>
    <w:rsid w:val="00841077"/>
    <w:rsid w:val="008413A3"/>
    <w:rsid w:val="008416EB"/>
    <w:rsid w:val="00841CBD"/>
    <w:rsid w:val="008422B2"/>
    <w:rsid w:val="0084266D"/>
    <w:rsid w:val="0084278D"/>
    <w:rsid w:val="00842A22"/>
    <w:rsid w:val="0084315B"/>
    <w:rsid w:val="0084336D"/>
    <w:rsid w:val="00843C8D"/>
    <w:rsid w:val="00843EB9"/>
    <w:rsid w:val="00843EC8"/>
    <w:rsid w:val="00844024"/>
    <w:rsid w:val="0084407A"/>
    <w:rsid w:val="008444D9"/>
    <w:rsid w:val="0084460F"/>
    <w:rsid w:val="00844692"/>
    <w:rsid w:val="008453A7"/>
    <w:rsid w:val="0084542C"/>
    <w:rsid w:val="00845637"/>
    <w:rsid w:val="008459E1"/>
    <w:rsid w:val="00845E13"/>
    <w:rsid w:val="00845FE0"/>
    <w:rsid w:val="00845FF5"/>
    <w:rsid w:val="008466CC"/>
    <w:rsid w:val="00846C16"/>
    <w:rsid w:val="00846C81"/>
    <w:rsid w:val="0084700D"/>
    <w:rsid w:val="00847083"/>
    <w:rsid w:val="00847119"/>
    <w:rsid w:val="00847405"/>
    <w:rsid w:val="00847EE2"/>
    <w:rsid w:val="00850077"/>
    <w:rsid w:val="0085036E"/>
    <w:rsid w:val="008503EE"/>
    <w:rsid w:val="00850811"/>
    <w:rsid w:val="00850954"/>
    <w:rsid w:val="008509E9"/>
    <w:rsid w:val="00850A0B"/>
    <w:rsid w:val="00850BE9"/>
    <w:rsid w:val="00850E5C"/>
    <w:rsid w:val="0085123F"/>
    <w:rsid w:val="0085124D"/>
    <w:rsid w:val="00851404"/>
    <w:rsid w:val="00851551"/>
    <w:rsid w:val="00851F07"/>
    <w:rsid w:val="00851FDD"/>
    <w:rsid w:val="0085225A"/>
    <w:rsid w:val="00852870"/>
    <w:rsid w:val="00852FA4"/>
    <w:rsid w:val="00853099"/>
    <w:rsid w:val="0085363F"/>
    <w:rsid w:val="00853795"/>
    <w:rsid w:val="00853AE2"/>
    <w:rsid w:val="00853C58"/>
    <w:rsid w:val="00853F8D"/>
    <w:rsid w:val="008542AE"/>
    <w:rsid w:val="00854431"/>
    <w:rsid w:val="0085485A"/>
    <w:rsid w:val="00854994"/>
    <w:rsid w:val="00854F17"/>
    <w:rsid w:val="00854F7B"/>
    <w:rsid w:val="00855034"/>
    <w:rsid w:val="008554B8"/>
    <w:rsid w:val="00855AB3"/>
    <w:rsid w:val="00855B11"/>
    <w:rsid w:val="00855DA4"/>
    <w:rsid w:val="0085637C"/>
    <w:rsid w:val="00856589"/>
    <w:rsid w:val="0085669D"/>
    <w:rsid w:val="00856955"/>
    <w:rsid w:val="00856B3F"/>
    <w:rsid w:val="00856C18"/>
    <w:rsid w:val="00856C6E"/>
    <w:rsid w:val="008571C4"/>
    <w:rsid w:val="0085743A"/>
    <w:rsid w:val="008575D7"/>
    <w:rsid w:val="00857857"/>
    <w:rsid w:val="00860074"/>
    <w:rsid w:val="008601F6"/>
    <w:rsid w:val="0086084D"/>
    <w:rsid w:val="00860964"/>
    <w:rsid w:val="00860B30"/>
    <w:rsid w:val="00860E90"/>
    <w:rsid w:val="008610FD"/>
    <w:rsid w:val="00861163"/>
    <w:rsid w:val="00861335"/>
    <w:rsid w:val="00861730"/>
    <w:rsid w:val="00861BD4"/>
    <w:rsid w:val="00861DA0"/>
    <w:rsid w:val="00861F2B"/>
    <w:rsid w:val="00862563"/>
    <w:rsid w:val="00862C6E"/>
    <w:rsid w:val="008631C7"/>
    <w:rsid w:val="0086331C"/>
    <w:rsid w:val="00863504"/>
    <w:rsid w:val="00863860"/>
    <w:rsid w:val="00863D9C"/>
    <w:rsid w:val="00863F10"/>
    <w:rsid w:val="00864403"/>
    <w:rsid w:val="008644CE"/>
    <w:rsid w:val="00864583"/>
    <w:rsid w:val="0086492B"/>
    <w:rsid w:val="00864FD1"/>
    <w:rsid w:val="00865681"/>
    <w:rsid w:val="00865828"/>
    <w:rsid w:val="00865867"/>
    <w:rsid w:val="008658D3"/>
    <w:rsid w:val="008659B9"/>
    <w:rsid w:val="00865C54"/>
    <w:rsid w:val="00865E71"/>
    <w:rsid w:val="00865F8B"/>
    <w:rsid w:val="008660F5"/>
    <w:rsid w:val="008663E8"/>
    <w:rsid w:val="00866624"/>
    <w:rsid w:val="00867202"/>
    <w:rsid w:val="00867240"/>
    <w:rsid w:val="00867436"/>
    <w:rsid w:val="00867698"/>
    <w:rsid w:val="0086769C"/>
    <w:rsid w:val="008678F3"/>
    <w:rsid w:val="0087000E"/>
    <w:rsid w:val="008701D6"/>
    <w:rsid w:val="00870283"/>
    <w:rsid w:val="008703EA"/>
    <w:rsid w:val="008708C5"/>
    <w:rsid w:val="008709B6"/>
    <w:rsid w:val="00870A45"/>
    <w:rsid w:val="00870CC4"/>
    <w:rsid w:val="00870FA8"/>
    <w:rsid w:val="00871173"/>
    <w:rsid w:val="008712DB"/>
    <w:rsid w:val="008713A5"/>
    <w:rsid w:val="00871F4D"/>
    <w:rsid w:val="0087271C"/>
    <w:rsid w:val="00872900"/>
    <w:rsid w:val="00872E25"/>
    <w:rsid w:val="00872FAC"/>
    <w:rsid w:val="0087366B"/>
    <w:rsid w:val="00873AC1"/>
    <w:rsid w:val="00873C36"/>
    <w:rsid w:val="00873C65"/>
    <w:rsid w:val="00873CE9"/>
    <w:rsid w:val="008745B1"/>
    <w:rsid w:val="008747E2"/>
    <w:rsid w:val="00874C09"/>
    <w:rsid w:val="00874F26"/>
    <w:rsid w:val="00874F5A"/>
    <w:rsid w:val="008753B6"/>
    <w:rsid w:val="00875719"/>
    <w:rsid w:val="008757E6"/>
    <w:rsid w:val="0087611A"/>
    <w:rsid w:val="0087666D"/>
    <w:rsid w:val="008767F4"/>
    <w:rsid w:val="00876848"/>
    <w:rsid w:val="00876884"/>
    <w:rsid w:val="008768E2"/>
    <w:rsid w:val="008769C3"/>
    <w:rsid w:val="00876AC4"/>
    <w:rsid w:val="00876B34"/>
    <w:rsid w:val="00876ED9"/>
    <w:rsid w:val="00876F6C"/>
    <w:rsid w:val="0087725E"/>
    <w:rsid w:val="008777B7"/>
    <w:rsid w:val="00877892"/>
    <w:rsid w:val="00877AB7"/>
    <w:rsid w:val="00877AC1"/>
    <w:rsid w:val="00877EBB"/>
    <w:rsid w:val="00880209"/>
    <w:rsid w:val="0088032A"/>
    <w:rsid w:val="00880833"/>
    <w:rsid w:val="00880A6E"/>
    <w:rsid w:val="008811CD"/>
    <w:rsid w:val="00881259"/>
    <w:rsid w:val="00881401"/>
    <w:rsid w:val="00881D00"/>
    <w:rsid w:val="00881E2B"/>
    <w:rsid w:val="008823A1"/>
    <w:rsid w:val="008823F9"/>
    <w:rsid w:val="00882478"/>
    <w:rsid w:val="008825BE"/>
    <w:rsid w:val="008827E5"/>
    <w:rsid w:val="00882965"/>
    <w:rsid w:val="00882C23"/>
    <w:rsid w:val="00882D18"/>
    <w:rsid w:val="00882E34"/>
    <w:rsid w:val="00883785"/>
    <w:rsid w:val="00883EAF"/>
    <w:rsid w:val="008841A2"/>
    <w:rsid w:val="008841F6"/>
    <w:rsid w:val="0088488F"/>
    <w:rsid w:val="00884A10"/>
    <w:rsid w:val="008851EB"/>
    <w:rsid w:val="0088534A"/>
    <w:rsid w:val="008853D3"/>
    <w:rsid w:val="00885629"/>
    <w:rsid w:val="008859E8"/>
    <w:rsid w:val="00885AD5"/>
    <w:rsid w:val="00885DC0"/>
    <w:rsid w:val="00885E2F"/>
    <w:rsid w:val="00886105"/>
    <w:rsid w:val="0088657E"/>
    <w:rsid w:val="008867D7"/>
    <w:rsid w:val="00886B49"/>
    <w:rsid w:val="00886F81"/>
    <w:rsid w:val="0088723F"/>
    <w:rsid w:val="008873B0"/>
    <w:rsid w:val="00887B3E"/>
    <w:rsid w:val="00887E10"/>
    <w:rsid w:val="0089021F"/>
    <w:rsid w:val="00890536"/>
    <w:rsid w:val="00890754"/>
    <w:rsid w:val="00890860"/>
    <w:rsid w:val="00890963"/>
    <w:rsid w:val="008909E0"/>
    <w:rsid w:val="00890C76"/>
    <w:rsid w:val="00890EFC"/>
    <w:rsid w:val="00891262"/>
    <w:rsid w:val="00891EA9"/>
    <w:rsid w:val="008920BB"/>
    <w:rsid w:val="00892706"/>
    <w:rsid w:val="008928DB"/>
    <w:rsid w:val="00892A2D"/>
    <w:rsid w:val="00892A5D"/>
    <w:rsid w:val="00892ABD"/>
    <w:rsid w:val="008937DD"/>
    <w:rsid w:val="00893A14"/>
    <w:rsid w:val="008948D3"/>
    <w:rsid w:val="008949DD"/>
    <w:rsid w:val="00894CAD"/>
    <w:rsid w:val="00894D2C"/>
    <w:rsid w:val="00894DA1"/>
    <w:rsid w:val="00895495"/>
    <w:rsid w:val="00895575"/>
    <w:rsid w:val="0089593E"/>
    <w:rsid w:val="008959CD"/>
    <w:rsid w:val="00895C32"/>
    <w:rsid w:val="0089671F"/>
    <w:rsid w:val="00896CEC"/>
    <w:rsid w:val="00897687"/>
    <w:rsid w:val="00897D64"/>
    <w:rsid w:val="00897E33"/>
    <w:rsid w:val="008A001D"/>
    <w:rsid w:val="008A02AC"/>
    <w:rsid w:val="008A0347"/>
    <w:rsid w:val="008A0412"/>
    <w:rsid w:val="008A0694"/>
    <w:rsid w:val="008A0847"/>
    <w:rsid w:val="008A0ED6"/>
    <w:rsid w:val="008A1ABE"/>
    <w:rsid w:val="008A1BB0"/>
    <w:rsid w:val="008A1CC8"/>
    <w:rsid w:val="008A1F48"/>
    <w:rsid w:val="008A2722"/>
    <w:rsid w:val="008A290E"/>
    <w:rsid w:val="008A29D3"/>
    <w:rsid w:val="008A2B3D"/>
    <w:rsid w:val="008A345F"/>
    <w:rsid w:val="008A34D5"/>
    <w:rsid w:val="008A3640"/>
    <w:rsid w:val="008A3D19"/>
    <w:rsid w:val="008A3F05"/>
    <w:rsid w:val="008A4225"/>
    <w:rsid w:val="008A4552"/>
    <w:rsid w:val="008A4A6F"/>
    <w:rsid w:val="008A4C73"/>
    <w:rsid w:val="008A4E5D"/>
    <w:rsid w:val="008A4F51"/>
    <w:rsid w:val="008A5652"/>
    <w:rsid w:val="008A5879"/>
    <w:rsid w:val="008A58F5"/>
    <w:rsid w:val="008A59EA"/>
    <w:rsid w:val="008A5E73"/>
    <w:rsid w:val="008A5E75"/>
    <w:rsid w:val="008A6030"/>
    <w:rsid w:val="008A6207"/>
    <w:rsid w:val="008A6755"/>
    <w:rsid w:val="008A6BD5"/>
    <w:rsid w:val="008A6E28"/>
    <w:rsid w:val="008A6F07"/>
    <w:rsid w:val="008A701A"/>
    <w:rsid w:val="008A7E42"/>
    <w:rsid w:val="008A7F1A"/>
    <w:rsid w:val="008B00C9"/>
    <w:rsid w:val="008B0C1D"/>
    <w:rsid w:val="008B0D71"/>
    <w:rsid w:val="008B0F7F"/>
    <w:rsid w:val="008B11A4"/>
    <w:rsid w:val="008B12D9"/>
    <w:rsid w:val="008B13BE"/>
    <w:rsid w:val="008B1541"/>
    <w:rsid w:val="008B15A0"/>
    <w:rsid w:val="008B1EEE"/>
    <w:rsid w:val="008B2056"/>
    <w:rsid w:val="008B2988"/>
    <w:rsid w:val="008B2F42"/>
    <w:rsid w:val="008B301E"/>
    <w:rsid w:val="008B3234"/>
    <w:rsid w:val="008B3649"/>
    <w:rsid w:val="008B369B"/>
    <w:rsid w:val="008B3731"/>
    <w:rsid w:val="008B3C7B"/>
    <w:rsid w:val="008B4B28"/>
    <w:rsid w:val="008B4E06"/>
    <w:rsid w:val="008B4EB8"/>
    <w:rsid w:val="008B4FD7"/>
    <w:rsid w:val="008B5139"/>
    <w:rsid w:val="008B5358"/>
    <w:rsid w:val="008B54CB"/>
    <w:rsid w:val="008B56BC"/>
    <w:rsid w:val="008B5CBE"/>
    <w:rsid w:val="008B6170"/>
    <w:rsid w:val="008B63A9"/>
    <w:rsid w:val="008B64B0"/>
    <w:rsid w:val="008B6890"/>
    <w:rsid w:val="008B7599"/>
    <w:rsid w:val="008B75E5"/>
    <w:rsid w:val="008B7C97"/>
    <w:rsid w:val="008B7CE6"/>
    <w:rsid w:val="008C01A1"/>
    <w:rsid w:val="008C085E"/>
    <w:rsid w:val="008C0CB8"/>
    <w:rsid w:val="008C0DDA"/>
    <w:rsid w:val="008C12EA"/>
    <w:rsid w:val="008C131C"/>
    <w:rsid w:val="008C14DD"/>
    <w:rsid w:val="008C153C"/>
    <w:rsid w:val="008C1947"/>
    <w:rsid w:val="008C1976"/>
    <w:rsid w:val="008C1DE0"/>
    <w:rsid w:val="008C1E83"/>
    <w:rsid w:val="008C2253"/>
    <w:rsid w:val="008C2980"/>
    <w:rsid w:val="008C2A9B"/>
    <w:rsid w:val="008C2D85"/>
    <w:rsid w:val="008C3B45"/>
    <w:rsid w:val="008C3FF8"/>
    <w:rsid w:val="008C41A8"/>
    <w:rsid w:val="008C44DA"/>
    <w:rsid w:val="008C485C"/>
    <w:rsid w:val="008C4898"/>
    <w:rsid w:val="008C51CF"/>
    <w:rsid w:val="008C5A45"/>
    <w:rsid w:val="008C5EC3"/>
    <w:rsid w:val="008C5F04"/>
    <w:rsid w:val="008C68DF"/>
    <w:rsid w:val="008C72F7"/>
    <w:rsid w:val="008C7E88"/>
    <w:rsid w:val="008C7FED"/>
    <w:rsid w:val="008C7FF2"/>
    <w:rsid w:val="008D0125"/>
    <w:rsid w:val="008D03A0"/>
    <w:rsid w:val="008D085C"/>
    <w:rsid w:val="008D0B5A"/>
    <w:rsid w:val="008D114E"/>
    <w:rsid w:val="008D1790"/>
    <w:rsid w:val="008D1AF9"/>
    <w:rsid w:val="008D1C2A"/>
    <w:rsid w:val="008D1D2A"/>
    <w:rsid w:val="008D2203"/>
    <w:rsid w:val="008D22F7"/>
    <w:rsid w:val="008D2E8E"/>
    <w:rsid w:val="008D3138"/>
    <w:rsid w:val="008D3191"/>
    <w:rsid w:val="008D32C9"/>
    <w:rsid w:val="008D396D"/>
    <w:rsid w:val="008D3993"/>
    <w:rsid w:val="008D42C9"/>
    <w:rsid w:val="008D4369"/>
    <w:rsid w:val="008D47F7"/>
    <w:rsid w:val="008D4A4C"/>
    <w:rsid w:val="008D4AF6"/>
    <w:rsid w:val="008D4B4D"/>
    <w:rsid w:val="008D4E37"/>
    <w:rsid w:val="008D50FD"/>
    <w:rsid w:val="008D5A58"/>
    <w:rsid w:val="008D5B79"/>
    <w:rsid w:val="008D6618"/>
    <w:rsid w:val="008D676E"/>
    <w:rsid w:val="008D687C"/>
    <w:rsid w:val="008D6A30"/>
    <w:rsid w:val="008D700D"/>
    <w:rsid w:val="008D7168"/>
    <w:rsid w:val="008D7704"/>
    <w:rsid w:val="008D7A07"/>
    <w:rsid w:val="008D7B0C"/>
    <w:rsid w:val="008D7C20"/>
    <w:rsid w:val="008D7C94"/>
    <w:rsid w:val="008D7DB4"/>
    <w:rsid w:val="008D7E37"/>
    <w:rsid w:val="008D7E74"/>
    <w:rsid w:val="008D7EAB"/>
    <w:rsid w:val="008D7F91"/>
    <w:rsid w:val="008D7FAE"/>
    <w:rsid w:val="008E06A7"/>
    <w:rsid w:val="008E0730"/>
    <w:rsid w:val="008E098D"/>
    <w:rsid w:val="008E0C14"/>
    <w:rsid w:val="008E10CB"/>
    <w:rsid w:val="008E127C"/>
    <w:rsid w:val="008E1980"/>
    <w:rsid w:val="008E1A52"/>
    <w:rsid w:val="008E23AF"/>
    <w:rsid w:val="008E2BD8"/>
    <w:rsid w:val="008E2DBD"/>
    <w:rsid w:val="008E2F42"/>
    <w:rsid w:val="008E3420"/>
    <w:rsid w:val="008E3478"/>
    <w:rsid w:val="008E354B"/>
    <w:rsid w:val="008E360E"/>
    <w:rsid w:val="008E3A55"/>
    <w:rsid w:val="008E3A87"/>
    <w:rsid w:val="008E46B4"/>
    <w:rsid w:val="008E48E3"/>
    <w:rsid w:val="008E4BBF"/>
    <w:rsid w:val="008E4CFF"/>
    <w:rsid w:val="008E4E77"/>
    <w:rsid w:val="008E527E"/>
    <w:rsid w:val="008E53E7"/>
    <w:rsid w:val="008E54AA"/>
    <w:rsid w:val="008E583D"/>
    <w:rsid w:val="008E5F84"/>
    <w:rsid w:val="008E5FFA"/>
    <w:rsid w:val="008E63BF"/>
    <w:rsid w:val="008E6A2E"/>
    <w:rsid w:val="008E6CC4"/>
    <w:rsid w:val="008E6FB0"/>
    <w:rsid w:val="008E6FC4"/>
    <w:rsid w:val="008E7733"/>
    <w:rsid w:val="008E78F3"/>
    <w:rsid w:val="008E7B30"/>
    <w:rsid w:val="008F0089"/>
    <w:rsid w:val="008F024D"/>
    <w:rsid w:val="008F08FD"/>
    <w:rsid w:val="008F0926"/>
    <w:rsid w:val="008F1600"/>
    <w:rsid w:val="008F16BB"/>
    <w:rsid w:val="008F1762"/>
    <w:rsid w:val="008F1A72"/>
    <w:rsid w:val="008F1C95"/>
    <w:rsid w:val="008F1E25"/>
    <w:rsid w:val="008F2094"/>
    <w:rsid w:val="008F2221"/>
    <w:rsid w:val="008F2241"/>
    <w:rsid w:val="008F2294"/>
    <w:rsid w:val="008F2360"/>
    <w:rsid w:val="008F2428"/>
    <w:rsid w:val="008F2763"/>
    <w:rsid w:val="008F2BD7"/>
    <w:rsid w:val="008F2BF8"/>
    <w:rsid w:val="008F3189"/>
    <w:rsid w:val="008F3902"/>
    <w:rsid w:val="008F3BB7"/>
    <w:rsid w:val="008F3C4A"/>
    <w:rsid w:val="008F3DA4"/>
    <w:rsid w:val="008F3F85"/>
    <w:rsid w:val="008F3FDB"/>
    <w:rsid w:val="008F4770"/>
    <w:rsid w:val="008F514E"/>
    <w:rsid w:val="008F525A"/>
    <w:rsid w:val="008F58B9"/>
    <w:rsid w:val="008F59B3"/>
    <w:rsid w:val="008F5EC0"/>
    <w:rsid w:val="008F5FE4"/>
    <w:rsid w:val="008F5FE8"/>
    <w:rsid w:val="008F60AE"/>
    <w:rsid w:val="008F6225"/>
    <w:rsid w:val="008F63D2"/>
    <w:rsid w:val="008F6602"/>
    <w:rsid w:val="008F67F0"/>
    <w:rsid w:val="008F684D"/>
    <w:rsid w:val="008F6A80"/>
    <w:rsid w:val="008F6DD3"/>
    <w:rsid w:val="008F71E7"/>
    <w:rsid w:val="008F7289"/>
    <w:rsid w:val="008F7644"/>
    <w:rsid w:val="008F76DC"/>
    <w:rsid w:val="008F7C85"/>
    <w:rsid w:val="0090008C"/>
    <w:rsid w:val="009001A3"/>
    <w:rsid w:val="00900308"/>
    <w:rsid w:val="0090039E"/>
    <w:rsid w:val="00900882"/>
    <w:rsid w:val="009012F6"/>
    <w:rsid w:val="00901FA6"/>
    <w:rsid w:val="009021CE"/>
    <w:rsid w:val="00902AA7"/>
    <w:rsid w:val="00903126"/>
    <w:rsid w:val="009031B6"/>
    <w:rsid w:val="0090346E"/>
    <w:rsid w:val="00903794"/>
    <w:rsid w:val="009037E5"/>
    <w:rsid w:val="00903CD8"/>
    <w:rsid w:val="00903E6A"/>
    <w:rsid w:val="00903FF4"/>
    <w:rsid w:val="0090410F"/>
    <w:rsid w:val="00904303"/>
    <w:rsid w:val="00904D82"/>
    <w:rsid w:val="0090586F"/>
    <w:rsid w:val="00905A4F"/>
    <w:rsid w:val="00905B47"/>
    <w:rsid w:val="00905E37"/>
    <w:rsid w:val="0090603B"/>
    <w:rsid w:val="009060D3"/>
    <w:rsid w:val="00906374"/>
    <w:rsid w:val="00906449"/>
    <w:rsid w:val="0090684A"/>
    <w:rsid w:val="00906E0B"/>
    <w:rsid w:val="0090708B"/>
    <w:rsid w:val="0090719B"/>
    <w:rsid w:val="00907381"/>
    <w:rsid w:val="009074BF"/>
    <w:rsid w:val="009077A2"/>
    <w:rsid w:val="00907C2E"/>
    <w:rsid w:val="00907C9F"/>
    <w:rsid w:val="00907CA9"/>
    <w:rsid w:val="00907D5E"/>
    <w:rsid w:val="00909411"/>
    <w:rsid w:val="0090C804"/>
    <w:rsid w:val="00910425"/>
    <w:rsid w:val="00910591"/>
    <w:rsid w:val="009106F0"/>
    <w:rsid w:val="0091087E"/>
    <w:rsid w:val="00910B3F"/>
    <w:rsid w:val="00910FFE"/>
    <w:rsid w:val="0091115E"/>
    <w:rsid w:val="009116C3"/>
    <w:rsid w:val="00911749"/>
    <w:rsid w:val="00911DEC"/>
    <w:rsid w:val="00911FF7"/>
    <w:rsid w:val="00912259"/>
    <w:rsid w:val="0091234B"/>
    <w:rsid w:val="00912696"/>
    <w:rsid w:val="009127CE"/>
    <w:rsid w:val="009129BA"/>
    <w:rsid w:val="00912DA9"/>
    <w:rsid w:val="00913014"/>
    <w:rsid w:val="009130B0"/>
    <w:rsid w:val="00913403"/>
    <w:rsid w:val="00913825"/>
    <w:rsid w:val="00913BCF"/>
    <w:rsid w:val="00913E31"/>
    <w:rsid w:val="0091400C"/>
    <w:rsid w:val="0091402D"/>
    <w:rsid w:val="009143B2"/>
    <w:rsid w:val="009144EB"/>
    <w:rsid w:val="00914524"/>
    <w:rsid w:val="00914A1F"/>
    <w:rsid w:val="00914B28"/>
    <w:rsid w:val="00914B4F"/>
    <w:rsid w:val="00914E34"/>
    <w:rsid w:val="0091500D"/>
    <w:rsid w:val="009151EE"/>
    <w:rsid w:val="009154B5"/>
    <w:rsid w:val="009155B1"/>
    <w:rsid w:val="0091568A"/>
    <w:rsid w:val="00915711"/>
    <w:rsid w:val="0091598C"/>
    <w:rsid w:val="00915C43"/>
    <w:rsid w:val="00915ECF"/>
    <w:rsid w:val="00915FDA"/>
    <w:rsid w:val="0091647B"/>
    <w:rsid w:val="009165A7"/>
    <w:rsid w:val="0091691F"/>
    <w:rsid w:val="00916F82"/>
    <w:rsid w:val="00916FF6"/>
    <w:rsid w:val="0091736D"/>
    <w:rsid w:val="009174AD"/>
    <w:rsid w:val="00917A7E"/>
    <w:rsid w:val="00917C9E"/>
    <w:rsid w:val="0092016A"/>
    <w:rsid w:val="009207F7"/>
    <w:rsid w:val="0092088B"/>
    <w:rsid w:val="00920AD3"/>
    <w:rsid w:val="00920FF8"/>
    <w:rsid w:val="00921167"/>
    <w:rsid w:val="009211F9"/>
    <w:rsid w:val="00921AEC"/>
    <w:rsid w:val="00921BE1"/>
    <w:rsid w:val="00921ED1"/>
    <w:rsid w:val="00921FF4"/>
    <w:rsid w:val="009220BF"/>
    <w:rsid w:val="009222CB"/>
    <w:rsid w:val="009224A4"/>
    <w:rsid w:val="00922929"/>
    <w:rsid w:val="00923609"/>
    <w:rsid w:val="009238C5"/>
    <w:rsid w:val="009241B9"/>
    <w:rsid w:val="009243E6"/>
    <w:rsid w:val="009244CB"/>
    <w:rsid w:val="0092525C"/>
    <w:rsid w:val="0092550F"/>
    <w:rsid w:val="00925676"/>
    <w:rsid w:val="0092688D"/>
    <w:rsid w:val="00926CDB"/>
    <w:rsid w:val="00926DA3"/>
    <w:rsid w:val="0092722C"/>
    <w:rsid w:val="009275F0"/>
    <w:rsid w:val="009278AB"/>
    <w:rsid w:val="00927B3C"/>
    <w:rsid w:val="00927D37"/>
    <w:rsid w:val="00927EB3"/>
    <w:rsid w:val="009301C0"/>
    <w:rsid w:val="00930670"/>
    <w:rsid w:val="00930874"/>
    <w:rsid w:val="0093103C"/>
    <w:rsid w:val="00931064"/>
    <w:rsid w:val="009311A7"/>
    <w:rsid w:val="009313AF"/>
    <w:rsid w:val="009319AE"/>
    <w:rsid w:val="00931DC7"/>
    <w:rsid w:val="00932631"/>
    <w:rsid w:val="00932E7A"/>
    <w:rsid w:val="00932EDE"/>
    <w:rsid w:val="00933898"/>
    <w:rsid w:val="00933A56"/>
    <w:rsid w:val="00933E62"/>
    <w:rsid w:val="00934088"/>
    <w:rsid w:val="009342C6"/>
    <w:rsid w:val="00934402"/>
    <w:rsid w:val="00934896"/>
    <w:rsid w:val="009348C2"/>
    <w:rsid w:val="00934A92"/>
    <w:rsid w:val="009353D5"/>
    <w:rsid w:val="0093541F"/>
    <w:rsid w:val="0093547B"/>
    <w:rsid w:val="0093549E"/>
    <w:rsid w:val="009356F8"/>
    <w:rsid w:val="00935787"/>
    <w:rsid w:val="00935A5B"/>
    <w:rsid w:val="00935AE5"/>
    <w:rsid w:val="00935DC1"/>
    <w:rsid w:val="009360E6"/>
    <w:rsid w:val="009361C8"/>
    <w:rsid w:val="0093641F"/>
    <w:rsid w:val="00936C47"/>
    <w:rsid w:val="00936EF5"/>
    <w:rsid w:val="00936F23"/>
    <w:rsid w:val="009370F6"/>
    <w:rsid w:val="009375D6"/>
    <w:rsid w:val="00937649"/>
    <w:rsid w:val="00937667"/>
    <w:rsid w:val="00937844"/>
    <w:rsid w:val="0093784C"/>
    <w:rsid w:val="00937A63"/>
    <w:rsid w:val="00937E70"/>
    <w:rsid w:val="009401BB"/>
    <w:rsid w:val="009402B7"/>
    <w:rsid w:val="0094039E"/>
    <w:rsid w:val="00940D12"/>
    <w:rsid w:val="00941633"/>
    <w:rsid w:val="009417C8"/>
    <w:rsid w:val="00941CEB"/>
    <w:rsid w:val="0094208B"/>
    <w:rsid w:val="009422F4"/>
    <w:rsid w:val="00942812"/>
    <w:rsid w:val="00942859"/>
    <w:rsid w:val="00942950"/>
    <w:rsid w:val="00942D5E"/>
    <w:rsid w:val="00943095"/>
    <w:rsid w:val="00943226"/>
    <w:rsid w:val="009432E3"/>
    <w:rsid w:val="0094380E"/>
    <w:rsid w:val="00943C07"/>
    <w:rsid w:val="00943E60"/>
    <w:rsid w:val="00944565"/>
    <w:rsid w:val="00944875"/>
    <w:rsid w:val="009448F8"/>
    <w:rsid w:val="00944956"/>
    <w:rsid w:val="00944F7C"/>
    <w:rsid w:val="00945217"/>
    <w:rsid w:val="0094532F"/>
    <w:rsid w:val="00945925"/>
    <w:rsid w:val="00945B8E"/>
    <w:rsid w:val="00946691"/>
    <w:rsid w:val="009466C3"/>
    <w:rsid w:val="00947045"/>
    <w:rsid w:val="009470F1"/>
    <w:rsid w:val="009476C5"/>
    <w:rsid w:val="00947898"/>
    <w:rsid w:val="00947BE6"/>
    <w:rsid w:val="00950863"/>
    <w:rsid w:val="009508B3"/>
    <w:rsid w:val="00950AE8"/>
    <w:rsid w:val="00950B3C"/>
    <w:rsid w:val="00950F39"/>
    <w:rsid w:val="00951733"/>
    <w:rsid w:val="00951A9C"/>
    <w:rsid w:val="00951B17"/>
    <w:rsid w:val="00951BE1"/>
    <w:rsid w:val="00951E93"/>
    <w:rsid w:val="00951F31"/>
    <w:rsid w:val="009523A6"/>
    <w:rsid w:val="0095246D"/>
    <w:rsid w:val="009524B6"/>
    <w:rsid w:val="009526C0"/>
    <w:rsid w:val="00952884"/>
    <w:rsid w:val="00952CBA"/>
    <w:rsid w:val="00952CD5"/>
    <w:rsid w:val="00953685"/>
    <w:rsid w:val="00953707"/>
    <w:rsid w:val="0095479A"/>
    <w:rsid w:val="009547A8"/>
    <w:rsid w:val="009548E7"/>
    <w:rsid w:val="00954B3C"/>
    <w:rsid w:val="00955078"/>
    <w:rsid w:val="00955504"/>
    <w:rsid w:val="00955B4C"/>
    <w:rsid w:val="009560E4"/>
    <w:rsid w:val="0095623C"/>
    <w:rsid w:val="00956260"/>
    <w:rsid w:val="009567B4"/>
    <w:rsid w:val="00956A06"/>
    <w:rsid w:val="00956E2B"/>
    <w:rsid w:val="009570A6"/>
    <w:rsid w:val="0095754B"/>
    <w:rsid w:val="00957704"/>
    <w:rsid w:val="009578E0"/>
    <w:rsid w:val="00957C25"/>
    <w:rsid w:val="00957EEC"/>
    <w:rsid w:val="009601D5"/>
    <w:rsid w:val="00960948"/>
    <w:rsid w:val="00960BA0"/>
    <w:rsid w:val="00960DF6"/>
    <w:rsid w:val="00961160"/>
    <w:rsid w:val="00961207"/>
    <w:rsid w:val="00961368"/>
    <w:rsid w:val="009614B0"/>
    <w:rsid w:val="0096152F"/>
    <w:rsid w:val="00961556"/>
    <w:rsid w:val="009619F7"/>
    <w:rsid w:val="00961DB5"/>
    <w:rsid w:val="00961FC9"/>
    <w:rsid w:val="009620D3"/>
    <w:rsid w:val="00962535"/>
    <w:rsid w:val="00962690"/>
    <w:rsid w:val="009627CD"/>
    <w:rsid w:val="009629A1"/>
    <w:rsid w:val="00963A45"/>
    <w:rsid w:val="00963DB2"/>
    <w:rsid w:val="00963DF3"/>
    <w:rsid w:val="00963F28"/>
    <w:rsid w:val="00964040"/>
    <w:rsid w:val="00964044"/>
    <w:rsid w:val="00964282"/>
    <w:rsid w:val="00964CE6"/>
    <w:rsid w:val="00964F85"/>
    <w:rsid w:val="0096507F"/>
    <w:rsid w:val="009650D8"/>
    <w:rsid w:val="00965154"/>
    <w:rsid w:val="009651EF"/>
    <w:rsid w:val="009656CC"/>
    <w:rsid w:val="009656DD"/>
    <w:rsid w:val="00965767"/>
    <w:rsid w:val="00965863"/>
    <w:rsid w:val="00965BB7"/>
    <w:rsid w:val="00965E0C"/>
    <w:rsid w:val="00965E75"/>
    <w:rsid w:val="0096658E"/>
    <w:rsid w:val="00966652"/>
    <w:rsid w:val="0096668A"/>
    <w:rsid w:val="00966E42"/>
    <w:rsid w:val="00967067"/>
    <w:rsid w:val="0096726C"/>
    <w:rsid w:val="009675C7"/>
    <w:rsid w:val="009678D8"/>
    <w:rsid w:val="00967AD8"/>
    <w:rsid w:val="00967BB9"/>
    <w:rsid w:val="00967D2A"/>
    <w:rsid w:val="00970510"/>
    <w:rsid w:val="00970721"/>
    <w:rsid w:val="00970909"/>
    <w:rsid w:val="00970D6D"/>
    <w:rsid w:val="00970E8D"/>
    <w:rsid w:val="00970F6B"/>
    <w:rsid w:val="00971450"/>
    <w:rsid w:val="00971C26"/>
    <w:rsid w:val="00971C78"/>
    <w:rsid w:val="009726B5"/>
    <w:rsid w:val="00972722"/>
    <w:rsid w:val="0097275D"/>
    <w:rsid w:val="0097279E"/>
    <w:rsid w:val="009727B4"/>
    <w:rsid w:val="0097287E"/>
    <w:rsid w:val="00972CC4"/>
    <w:rsid w:val="00972D6E"/>
    <w:rsid w:val="00972DD1"/>
    <w:rsid w:val="00972DF0"/>
    <w:rsid w:val="00973032"/>
    <w:rsid w:val="0097311A"/>
    <w:rsid w:val="00973254"/>
    <w:rsid w:val="009735FF"/>
    <w:rsid w:val="009739B0"/>
    <w:rsid w:val="00973AD7"/>
    <w:rsid w:val="00973BD2"/>
    <w:rsid w:val="00973BDB"/>
    <w:rsid w:val="00974010"/>
    <w:rsid w:val="009740F1"/>
    <w:rsid w:val="0097413E"/>
    <w:rsid w:val="00974FB7"/>
    <w:rsid w:val="009751DB"/>
    <w:rsid w:val="00975647"/>
    <w:rsid w:val="009757C6"/>
    <w:rsid w:val="00976609"/>
    <w:rsid w:val="00976854"/>
    <w:rsid w:val="00976975"/>
    <w:rsid w:val="00976C05"/>
    <w:rsid w:val="00976FC4"/>
    <w:rsid w:val="00976FF1"/>
    <w:rsid w:val="0097718E"/>
    <w:rsid w:val="009771BD"/>
    <w:rsid w:val="00977228"/>
    <w:rsid w:val="00977365"/>
    <w:rsid w:val="0097746F"/>
    <w:rsid w:val="0097758C"/>
    <w:rsid w:val="00977795"/>
    <w:rsid w:val="009777AD"/>
    <w:rsid w:val="00977866"/>
    <w:rsid w:val="00977A37"/>
    <w:rsid w:val="00977DE6"/>
    <w:rsid w:val="00977ECC"/>
    <w:rsid w:val="0097D96E"/>
    <w:rsid w:val="00980033"/>
    <w:rsid w:val="00980D8B"/>
    <w:rsid w:val="00980E43"/>
    <w:rsid w:val="0098115F"/>
    <w:rsid w:val="0098129F"/>
    <w:rsid w:val="009812CB"/>
    <w:rsid w:val="0098141B"/>
    <w:rsid w:val="0098154E"/>
    <w:rsid w:val="00981691"/>
    <w:rsid w:val="009822CD"/>
    <w:rsid w:val="009825D6"/>
    <w:rsid w:val="0098293A"/>
    <w:rsid w:val="00982C0A"/>
    <w:rsid w:val="00982C72"/>
    <w:rsid w:val="00982F0A"/>
    <w:rsid w:val="009831B0"/>
    <w:rsid w:val="009832A6"/>
    <w:rsid w:val="00983383"/>
    <w:rsid w:val="00983502"/>
    <w:rsid w:val="009835D0"/>
    <w:rsid w:val="009837BA"/>
    <w:rsid w:val="009838A9"/>
    <w:rsid w:val="009839DB"/>
    <w:rsid w:val="00983DC5"/>
    <w:rsid w:val="009840B0"/>
    <w:rsid w:val="00984281"/>
    <w:rsid w:val="0098437B"/>
    <w:rsid w:val="009846CC"/>
    <w:rsid w:val="009847CB"/>
    <w:rsid w:val="009849FC"/>
    <w:rsid w:val="00984CD8"/>
    <w:rsid w:val="00985006"/>
    <w:rsid w:val="009850A5"/>
    <w:rsid w:val="00985173"/>
    <w:rsid w:val="0098527A"/>
    <w:rsid w:val="00985376"/>
    <w:rsid w:val="00985CB6"/>
    <w:rsid w:val="009868D5"/>
    <w:rsid w:val="00986A29"/>
    <w:rsid w:val="00986A78"/>
    <w:rsid w:val="00986D29"/>
    <w:rsid w:val="00986D90"/>
    <w:rsid w:val="00987389"/>
    <w:rsid w:val="00987525"/>
    <w:rsid w:val="00987CE6"/>
    <w:rsid w:val="00987E0C"/>
    <w:rsid w:val="00990130"/>
    <w:rsid w:val="00990447"/>
    <w:rsid w:val="009904B1"/>
    <w:rsid w:val="0099081A"/>
    <w:rsid w:val="00990D72"/>
    <w:rsid w:val="00990EED"/>
    <w:rsid w:val="00991243"/>
    <w:rsid w:val="00991436"/>
    <w:rsid w:val="00991ACA"/>
    <w:rsid w:val="00991C6D"/>
    <w:rsid w:val="009922F7"/>
    <w:rsid w:val="00992840"/>
    <w:rsid w:val="0099290D"/>
    <w:rsid w:val="00992C03"/>
    <w:rsid w:val="00992CC6"/>
    <w:rsid w:val="00992F16"/>
    <w:rsid w:val="00992F6D"/>
    <w:rsid w:val="00993411"/>
    <w:rsid w:val="009936D9"/>
    <w:rsid w:val="00993810"/>
    <w:rsid w:val="009938FC"/>
    <w:rsid w:val="00993B04"/>
    <w:rsid w:val="00993D9D"/>
    <w:rsid w:val="00993F94"/>
    <w:rsid w:val="00994234"/>
    <w:rsid w:val="009947D2"/>
    <w:rsid w:val="00994897"/>
    <w:rsid w:val="00994B34"/>
    <w:rsid w:val="00994EB6"/>
    <w:rsid w:val="00995283"/>
    <w:rsid w:val="00995284"/>
    <w:rsid w:val="00995409"/>
    <w:rsid w:val="0099589E"/>
    <w:rsid w:val="00995BE9"/>
    <w:rsid w:val="00995F41"/>
    <w:rsid w:val="00995F4E"/>
    <w:rsid w:val="0099624A"/>
    <w:rsid w:val="0099654B"/>
    <w:rsid w:val="00996574"/>
    <w:rsid w:val="00996958"/>
    <w:rsid w:val="00996A36"/>
    <w:rsid w:val="00996CDB"/>
    <w:rsid w:val="00996ECE"/>
    <w:rsid w:val="00997058"/>
    <w:rsid w:val="0099713C"/>
    <w:rsid w:val="009973B8"/>
    <w:rsid w:val="00997741"/>
    <w:rsid w:val="0099779D"/>
    <w:rsid w:val="009978EF"/>
    <w:rsid w:val="009979FE"/>
    <w:rsid w:val="00997DC5"/>
    <w:rsid w:val="009A0662"/>
    <w:rsid w:val="009A0B36"/>
    <w:rsid w:val="009A0EE6"/>
    <w:rsid w:val="009A1AA7"/>
    <w:rsid w:val="009A1F6C"/>
    <w:rsid w:val="009A1F8C"/>
    <w:rsid w:val="009A2042"/>
    <w:rsid w:val="009A23BF"/>
    <w:rsid w:val="009A2BBB"/>
    <w:rsid w:val="009A3750"/>
    <w:rsid w:val="009A37AC"/>
    <w:rsid w:val="009A3ABF"/>
    <w:rsid w:val="009A3D21"/>
    <w:rsid w:val="009A3DE4"/>
    <w:rsid w:val="009A47EB"/>
    <w:rsid w:val="009A48B7"/>
    <w:rsid w:val="009A49E6"/>
    <w:rsid w:val="009A4D72"/>
    <w:rsid w:val="009A50A2"/>
    <w:rsid w:val="009A5239"/>
    <w:rsid w:val="009A5536"/>
    <w:rsid w:val="009A5D78"/>
    <w:rsid w:val="009A6358"/>
    <w:rsid w:val="009A6791"/>
    <w:rsid w:val="009A6888"/>
    <w:rsid w:val="009A6A7F"/>
    <w:rsid w:val="009A6E5D"/>
    <w:rsid w:val="009A7139"/>
    <w:rsid w:val="009A7177"/>
    <w:rsid w:val="009A7481"/>
    <w:rsid w:val="009A7520"/>
    <w:rsid w:val="009A782A"/>
    <w:rsid w:val="009A7899"/>
    <w:rsid w:val="009A7BB7"/>
    <w:rsid w:val="009A7BE2"/>
    <w:rsid w:val="009A7D3C"/>
    <w:rsid w:val="009B0863"/>
    <w:rsid w:val="009B0946"/>
    <w:rsid w:val="009B106F"/>
    <w:rsid w:val="009B1341"/>
    <w:rsid w:val="009B13A9"/>
    <w:rsid w:val="009B161E"/>
    <w:rsid w:val="009B1DCD"/>
    <w:rsid w:val="009B1EED"/>
    <w:rsid w:val="009B1F04"/>
    <w:rsid w:val="009B2063"/>
    <w:rsid w:val="009B20E9"/>
    <w:rsid w:val="009B22EC"/>
    <w:rsid w:val="009B2BBE"/>
    <w:rsid w:val="009B2D17"/>
    <w:rsid w:val="009B3053"/>
    <w:rsid w:val="009B3459"/>
    <w:rsid w:val="009B3974"/>
    <w:rsid w:val="009B3F07"/>
    <w:rsid w:val="009B3F7C"/>
    <w:rsid w:val="009B3FCE"/>
    <w:rsid w:val="009B4650"/>
    <w:rsid w:val="009B468F"/>
    <w:rsid w:val="009B4B67"/>
    <w:rsid w:val="009B5689"/>
    <w:rsid w:val="009B6128"/>
    <w:rsid w:val="009B63E8"/>
    <w:rsid w:val="009B63F6"/>
    <w:rsid w:val="009B641A"/>
    <w:rsid w:val="009B67CB"/>
    <w:rsid w:val="009B681E"/>
    <w:rsid w:val="009B6AE3"/>
    <w:rsid w:val="009B6C59"/>
    <w:rsid w:val="009B71C6"/>
    <w:rsid w:val="009B7424"/>
    <w:rsid w:val="009B758B"/>
    <w:rsid w:val="009B7997"/>
    <w:rsid w:val="009B7B3A"/>
    <w:rsid w:val="009B7B9F"/>
    <w:rsid w:val="009B7F9B"/>
    <w:rsid w:val="009C0329"/>
    <w:rsid w:val="009C0372"/>
    <w:rsid w:val="009C0CB7"/>
    <w:rsid w:val="009C0D51"/>
    <w:rsid w:val="009C106F"/>
    <w:rsid w:val="009C14C7"/>
    <w:rsid w:val="009C1508"/>
    <w:rsid w:val="009C2531"/>
    <w:rsid w:val="009C2681"/>
    <w:rsid w:val="009C299F"/>
    <w:rsid w:val="009C2ADE"/>
    <w:rsid w:val="009C2BB6"/>
    <w:rsid w:val="009C2BF9"/>
    <w:rsid w:val="009C2C94"/>
    <w:rsid w:val="009C2D14"/>
    <w:rsid w:val="009C2EBC"/>
    <w:rsid w:val="009C3620"/>
    <w:rsid w:val="009C3716"/>
    <w:rsid w:val="009C3900"/>
    <w:rsid w:val="009C3961"/>
    <w:rsid w:val="009C3BBB"/>
    <w:rsid w:val="009C3EBB"/>
    <w:rsid w:val="009C43AB"/>
    <w:rsid w:val="009C47DB"/>
    <w:rsid w:val="009C4B0C"/>
    <w:rsid w:val="009C4D22"/>
    <w:rsid w:val="009C4E76"/>
    <w:rsid w:val="009C4F6B"/>
    <w:rsid w:val="009C4FC3"/>
    <w:rsid w:val="009C53A6"/>
    <w:rsid w:val="009C5564"/>
    <w:rsid w:val="009C5A2E"/>
    <w:rsid w:val="009C61E6"/>
    <w:rsid w:val="009C6884"/>
    <w:rsid w:val="009C68D9"/>
    <w:rsid w:val="009C699F"/>
    <w:rsid w:val="009C6A42"/>
    <w:rsid w:val="009C70DE"/>
    <w:rsid w:val="009C7743"/>
    <w:rsid w:val="009C7786"/>
    <w:rsid w:val="009C7D66"/>
    <w:rsid w:val="009D0382"/>
    <w:rsid w:val="009D03BE"/>
    <w:rsid w:val="009D03C5"/>
    <w:rsid w:val="009D0443"/>
    <w:rsid w:val="009D06F5"/>
    <w:rsid w:val="009D091D"/>
    <w:rsid w:val="009D0DB9"/>
    <w:rsid w:val="009D0DC2"/>
    <w:rsid w:val="009D0EC0"/>
    <w:rsid w:val="009D0F31"/>
    <w:rsid w:val="009D13D9"/>
    <w:rsid w:val="009D19F8"/>
    <w:rsid w:val="009D1B92"/>
    <w:rsid w:val="009D1FB6"/>
    <w:rsid w:val="009D2574"/>
    <w:rsid w:val="009D30A3"/>
    <w:rsid w:val="009D3254"/>
    <w:rsid w:val="009D3303"/>
    <w:rsid w:val="009D4138"/>
    <w:rsid w:val="009D4235"/>
    <w:rsid w:val="009D43E1"/>
    <w:rsid w:val="009D4B5F"/>
    <w:rsid w:val="009D4E01"/>
    <w:rsid w:val="009D4ECF"/>
    <w:rsid w:val="009D534D"/>
    <w:rsid w:val="009D6017"/>
    <w:rsid w:val="009D611B"/>
    <w:rsid w:val="009D6695"/>
    <w:rsid w:val="009D6A1E"/>
    <w:rsid w:val="009D6BB8"/>
    <w:rsid w:val="009D70C8"/>
    <w:rsid w:val="009D71C9"/>
    <w:rsid w:val="009D7582"/>
    <w:rsid w:val="009D7A5D"/>
    <w:rsid w:val="009E018F"/>
    <w:rsid w:val="009E0E84"/>
    <w:rsid w:val="009E1733"/>
    <w:rsid w:val="009E18DE"/>
    <w:rsid w:val="009E1CC9"/>
    <w:rsid w:val="009E1D5F"/>
    <w:rsid w:val="009E1F77"/>
    <w:rsid w:val="009E2060"/>
    <w:rsid w:val="009E21DE"/>
    <w:rsid w:val="009E2518"/>
    <w:rsid w:val="009E27F2"/>
    <w:rsid w:val="009E2936"/>
    <w:rsid w:val="009E2945"/>
    <w:rsid w:val="009E2E0E"/>
    <w:rsid w:val="009E2F75"/>
    <w:rsid w:val="009E3CAC"/>
    <w:rsid w:val="009E3D02"/>
    <w:rsid w:val="009E3FA6"/>
    <w:rsid w:val="009E4528"/>
    <w:rsid w:val="009E45A2"/>
    <w:rsid w:val="009E4694"/>
    <w:rsid w:val="009E4BCA"/>
    <w:rsid w:val="009E4CC8"/>
    <w:rsid w:val="009E4EF8"/>
    <w:rsid w:val="009E4F28"/>
    <w:rsid w:val="009E5064"/>
    <w:rsid w:val="009E514F"/>
    <w:rsid w:val="009E57EB"/>
    <w:rsid w:val="009E581F"/>
    <w:rsid w:val="009E5E5A"/>
    <w:rsid w:val="009E5EBE"/>
    <w:rsid w:val="009E624A"/>
    <w:rsid w:val="009E6303"/>
    <w:rsid w:val="009E6316"/>
    <w:rsid w:val="009E6786"/>
    <w:rsid w:val="009E70A3"/>
    <w:rsid w:val="009E72A0"/>
    <w:rsid w:val="009E7740"/>
    <w:rsid w:val="009E780D"/>
    <w:rsid w:val="009E79BE"/>
    <w:rsid w:val="009F0142"/>
    <w:rsid w:val="009F024C"/>
    <w:rsid w:val="009F045E"/>
    <w:rsid w:val="009F0CA0"/>
    <w:rsid w:val="009F14C2"/>
    <w:rsid w:val="009F1726"/>
    <w:rsid w:val="009F1739"/>
    <w:rsid w:val="009F1B14"/>
    <w:rsid w:val="009F1C10"/>
    <w:rsid w:val="009F1C44"/>
    <w:rsid w:val="009F1CBF"/>
    <w:rsid w:val="009F1EFF"/>
    <w:rsid w:val="009F206A"/>
    <w:rsid w:val="009F2690"/>
    <w:rsid w:val="009F271B"/>
    <w:rsid w:val="009F29CB"/>
    <w:rsid w:val="009F2C33"/>
    <w:rsid w:val="009F31F1"/>
    <w:rsid w:val="009F32A2"/>
    <w:rsid w:val="009F32FB"/>
    <w:rsid w:val="009F392C"/>
    <w:rsid w:val="009F3C4A"/>
    <w:rsid w:val="009F42BC"/>
    <w:rsid w:val="009F4809"/>
    <w:rsid w:val="009F4A65"/>
    <w:rsid w:val="009F4D3C"/>
    <w:rsid w:val="009F4ED8"/>
    <w:rsid w:val="009F54B0"/>
    <w:rsid w:val="009F5595"/>
    <w:rsid w:val="009F579F"/>
    <w:rsid w:val="009F59CC"/>
    <w:rsid w:val="009F5FBD"/>
    <w:rsid w:val="009F643C"/>
    <w:rsid w:val="009F6D3E"/>
    <w:rsid w:val="009F6E30"/>
    <w:rsid w:val="009F6FFD"/>
    <w:rsid w:val="009F7207"/>
    <w:rsid w:val="009F7337"/>
    <w:rsid w:val="009F7D9F"/>
    <w:rsid w:val="00A00574"/>
    <w:rsid w:val="00A00930"/>
    <w:rsid w:val="00A00C1B"/>
    <w:rsid w:val="00A00CEC"/>
    <w:rsid w:val="00A00E1F"/>
    <w:rsid w:val="00A00FD0"/>
    <w:rsid w:val="00A014D8"/>
    <w:rsid w:val="00A01704"/>
    <w:rsid w:val="00A0199C"/>
    <w:rsid w:val="00A01D74"/>
    <w:rsid w:val="00A01E9E"/>
    <w:rsid w:val="00A0253A"/>
    <w:rsid w:val="00A02542"/>
    <w:rsid w:val="00A0266D"/>
    <w:rsid w:val="00A02B86"/>
    <w:rsid w:val="00A02BAB"/>
    <w:rsid w:val="00A02D63"/>
    <w:rsid w:val="00A02EA9"/>
    <w:rsid w:val="00A02FF4"/>
    <w:rsid w:val="00A03304"/>
    <w:rsid w:val="00A034FA"/>
    <w:rsid w:val="00A04406"/>
    <w:rsid w:val="00A047B9"/>
    <w:rsid w:val="00A04929"/>
    <w:rsid w:val="00A04980"/>
    <w:rsid w:val="00A04ADD"/>
    <w:rsid w:val="00A04CE7"/>
    <w:rsid w:val="00A04E85"/>
    <w:rsid w:val="00A04FE2"/>
    <w:rsid w:val="00A0525C"/>
    <w:rsid w:val="00A053F2"/>
    <w:rsid w:val="00A05ACF"/>
    <w:rsid w:val="00A05D45"/>
    <w:rsid w:val="00A05E3A"/>
    <w:rsid w:val="00A06108"/>
    <w:rsid w:val="00A0641A"/>
    <w:rsid w:val="00A0654C"/>
    <w:rsid w:val="00A06954"/>
    <w:rsid w:val="00A06E2D"/>
    <w:rsid w:val="00A06E4C"/>
    <w:rsid w:val="00A071E9"/>
    <w:rsid w:val="00A0727A"/>
    <w:rsid w:val="00A07633"/>
    <w:rsid w:val="00A07C55"/>
    <w:rsid w:val="00A10379"/>
    <w:rsid w:val="00A106C0"/>
    <w:rsid w:val="00A1075F"/>
    <w:rsid w:val="00A11302"/>
    <w:rsid w:val="00A113B3"/>
    <w:rsid w:val="00A11921"/>
    <w:rsid w:val="00A11B99"/>
    <w:rsid w:val="00A12AC8"/>
    <w:rsid w:val="00A12B57"/>
    <w:rsid w:val="00A1312A"/>
    <w:rsid w:val="00A13B93"/>
    <w:rsid w:val="00A142B3"/>
    <w:rsid w:val="00A144F8"/>
    <w:rsid w:val="00A149CA"/>
    <w:rsid w:val="00A14B5B"/>
    <w:rsid w:val="00A14EAE"/>
    <w:rsid w:val="00A14EFB"/>
    <w:rsid w:val="00A156A0"/>
    <w:rsid w:val="00A157E7"/>
    <w:rsid w:val="00A15C57"/>
    <w:rsid w:val="00A15C84"/>
    <w:rsid w:val="00A16319"/>
    <w:rsid w:val="00A16DB5"/>
    <w:rsid w:val="00A16DE7"/>
    <w:rsid w:val="00A16E02"/>
    <w:rsid w:val="00A16E20"/>
    <w:rsid w:val="00A16FC1"/>
    <w:rsid w:val="00A170D0"/>
    <w:rsid w:val="00A17193"/>
    <w:rsid w:val="00A178EC"/>
    <w:rsid w:val="00A17CE1"/>
    <w:rsid w:val="00A17D56"/>
    <w:rsid w:val="00A17DE8"/>
    <w:rsid w:val="00A20322"/>
    <w:rsid w:val="00A20978"/>
    <w:rsid w:val="00A20D3D"/>
    <w:rsid w:val="00A2173C"/>
    <w:rsid w:val="00A218D7"/>
    <w:rsid w:val="00A21A08"/>
    <w:rsid w:val="00A21CCD"/>
    <w:rsid w:val="00A21CD6"/>
    <w:rsid w:val="00A21DAC"/>
    <w:rsid w:val="00A22070"/>
    <w:rsid w:val="00A2229C"/>
    <w:rsid w:val="00A2236F"/>
    <w:rsid w:val="00A2279A"/>
    <w:rsid w:val="00A22CFA"/>
    <w:rsid w:val="00A230A9"/>
    <w:rsid w:val="00A230EC"/>
    <w:rsid w:val="00A2313B"/>
    <w:rsid w:val="00A23630"/>
    <w:rsid w:val="00A23C2F"/>
    <w:rsid w:val="00A23E25"/>
    <w:rsid w:val="00A244CD"/>
    <w:rsid w:val="00A249EB"/>
    <w:rsid w:val="00A24BBC"/>
    <w:rsid w:val="00A24C1D"/>
    <w:rsid w:val="00A25021"/>
    <w:rsid w:val="00A2513E"/>
    <w:rsid w:val="00A251EF"/>
    <w:rsid w:val="00A25296"/>
    <w:rsid w:val="00A25721"/>
    <w:rsid w:val="00A25907"/>
    <w:rsid w:val="00A25B5E"/>
    <w:rsid w:val="00A25C14"/>
    <w:rsid w:val="00A25E72"/>
    <w:rsid w:val="00A2615C"/>
    <w:rsid w:val="00A264A0"/>
    <w:rsid w:val="00A26983"/>
    <w:rsid w:val="00A26ECB"/>
    <w:rsid w:val="00A2733D"/>
    <w:rsid w:val="00A276A6"/>
    <w:rsid w:val="00A27A3B"/>
    <w:rsid w:val="00A305F4"/>
    <w:rsid w:val="00A30C90"/>
    <w:rsid w:val="00A30C9D"/>
    <w:rsid w:val="00A30EB5"/>
    <w:rsid w:val="00A30F56"/>
    <w:rsid w:val="00A310CF"/>
    <w:rsid w:val="00A310DD"/>
    <w:rsid w:val="00A3113A"/>
    <w:rsid w:val="00A31475"/>
    <w:rsid w:val="00A31C57"/>
    <w:rsid w:val="00A31DE6"/>
    <w:rsid w:val="00A31F20"/>
    <w:rsid w:val="00A32025"/>
    <w:rsid w:val="00A321F4"/>
    <w:rsid w:val="00A32AF5"/>
    <w:rsid w:val="00A32C0B"/>
    <w:rsid w:val="00A32D26"/>
    <w:rsid w:val="00A32F36"/>
    <w:rsid w:val="00A33014"/>
    <w:rsid w:val="00A3317B"/>
    <w:rsid w:val="00A33452"/>
    <w:rsid w:val="00A339C8"/>
    <w:rsid w:val="00A33BE2"/>
    <w:rsid w:val="00A33E33"/>
    <w:rsid w:val="00A34019"/>
    <w:rsid w:val="00A340BF"/>
    <w:rsid w:val="00A342A4"/>
    <w:rsid w:val="00A346FC"/>
    <w:rsid w:val="00A347E1"/>
    <w:rsid w:val="00A34922"/>
    <w:rsid w:val="00A34BBD"/>
    <w:rsid w:val="00A34E9C"/>
    <w:rsid w:val="00A350B7"/>
    <w:rsid w:val="00A3536A"/>
    <w:rsid w:val="00A355BB"/>
    <w:rsid w:val="00A3562F"/>
    <w:rsid w:val="00A359D2"/>
    <w:rsid w:val="00A35BCE"/>
    <w:rsid w:val="00A35CD0"/>
    <w:rsid w:val="00A36081"/>
    <w:rsid w:val="00A3619C"/>
    <w:rsid w:val="00A36689"/>
    <w:rsid w:val="00A36D42"/>
    <w:rsid w:val="00A37229"/>
    <w:rsid w:val="00A374FA"/>
    <w:rsid w:val="00A3750E"/>
    <w:rsid w:val="00A37A50"/>
    <w:rsid w:val="00A37ABF"/>
    <w:rsid w:val="00A37C3C"/>
    <w:rsid w:val="00A4067B"/>
    <w:rsid w:val="00A40B6F"/>
    <w:rsid w:val="00A41D83"/>
    <w:rsid w:val="00A426C7"/>
    <w:rsid w:val="00A42767"/>
    <w:rsid w:val="00A42D5B"/>
    <w:rsid w:val="00A42E29"/>
    <w:rsid w:val="00A4370F"/>
    <w:rsid w:val="00A4392F"/>
    <w:rsid w:val="00A43E87"/>
    <w:rsid w:val="00A4422E"/>
    <w:rsid w:val="00A44462"/>
    <w:rsid w:val="00A4449E"/>
    <w:rsid w:val="00A4453F"/>
    <w:rsid w:val="00A4473C"/>
    <w:rsid w:val="00A44837"/>
    <w:rsid w:val="00A44BFE"/>
    <w:rsid w:val="00A4512E"/>
    <w:rsid w:val="00A456CF"/>
    <w:rsid w:val="00A45736"/>
    <w:rsid w:val="00A45749"/>
    <w:rsid w:val="00A45BD7"/>
    <w:rsid w:val="00A45DFC"/>
    <w:rsid w:val="00A45F45"/>
    <w:rsid w:val="00A463A6"/>
    <w:rsid w:val="00A4669A"/>
    <w:rsid w:val="00A4679A"/>
    <w:rsid w:val="00A468BE"/>
    <w:rsid w:val="00A468D9"/>
    <w:rsid w:val="00A46ED9"/>
    <w:rsid w:val="00A474C7"/>
    <w:rsid w:val="00A47531"/>
    <w:rsid w:val="00A47A18"/>
    <w:rsid w:val="00A47B12"/>
    <w:rsid w:val="00A47C43"/>
    <w:rsid w:val="00A47D85"/>
    <w:rsid w:val="00A50021"/>
    <w:rsid w:val="00A5048B"/>
    <w:rsid w:val="00A50A43"/>
    <w:rsid w:val="00A50B93"/>
    <w:rsid w:val="00A50D71"/>
    <w:rsid w:val="00A50EF7"/>
    <w:rsid w:val="00A5104D"/>
    <w:rsid w:val="00A51216"/>
    <w:rsid w:val="00A517F2"/>
    <w:rsid w:val="00A51862"/>
    <w:rsid w:val="00A51A8F"/>
    <w:rsid w:val="00A51D78"/>
    <w:rsid w:val="00A52151"/>
    <w:rsid w:val="00A528C7"/>
    <w:rsid w:val="00A531A2"/>
    <w:rsid w:val="00A5368F"/>
    <w:rsid w:val="00A53873"/>
    <w:rsid w:val="00A5387A"/>
    <w:rsid w:val="00A5398C"/>
    <w:rsid w:val="00A53A82"/>
    <w:rsid w:val="00A53CA0"/>
    <w:rsid w:val="00A53F03"/>
    <w:rsid w:val="00A53FD0"/>
    <w:rsid w:val="00A548AE"/>
    <w:rsid w:val="00A54B38"/>
    <w:rsid w:val="00A54C98"/>
    <w:rsid w:val="00A55100"/>
    <w:rsid w:val="00A55CAA"/>
    <w:rsid w:val="00A55E8F"/>
    <w:rsid w:val="00A55E92"/>
    <w:rsid w:val="00A5625C"/>
    <w:rsid w:val="00A5645E"/>
    <w:rsid w:val="00A56B05"/>
    <w:rsid w:val="00A56CED"/>
    <w:rsid w:val="00A56DC4"/>
    <w:rsid w:val="00A57132"/>
    <w:rsid w:val="00A5746F"/>
    <w:rsid w:val="00A574C1"/>
    <w:rsid w:val="00A576BA"/>
    <w:rsid w:val="00A57CCB"/>
    <w:rsid w:val="00A605A6"/>
    <w:rsid w:val="00A60A27"/>
    <w:rsid w:val="00A60A65"/>
    <w:rsid w:val="00A60C11"/>
    <w:rsid w:val="00A60C79"/>
    <w:rsid w:val="00A60CE1"/>
    <w:rsid w:val="00A60DB1"/>
    <w:rsid w:val="00A61151"/>
    <w:rsid w:val="00A6116A"/>
    <w:rsid w:val="00A61442"/>
    <w:rsid w:val="00A619F2"/>
    <w:rsid w:val="00A61B78"/>
    <w:rsid w:val="00A61CF8"/>
    <w:rsid w:val="00A625F0"/>
    <w:rsid w:val="00A62664"/>
    <w:rsid w:val="00A62670"/>
    <w:rsid w:val="00A6273D"/>
    <w:rsid w:val="00A62B7D"/>
    <w:rsid w:val="00A62DB3"/>
    <w:rsid w:val="00A6373D"/>
    <w:rsid w:val="00A63B3C"/>
    <w:rsid w:val="00A63B99"/>
    <w:rsid w:val="00A63D30"/>
    <w:rsid w:val="00A63EB9"/>
    <w:rsid w:val="00A6479F"/>
    <w:rsid w:val="00A64BE0"/>
    <w:rsid w:val="00A64D5F"/>
    <w:rsid w:val="00A65675"/>
    <w:rsid w:val="00A65696"/>
    <w:rsid w:val="00A658B6"/>
    <w:rsid w:val="00A658BC"/>
    <w:rsid w:val="00A65F57"/>
    <w:rsid w:val="00A6620B"/>
    <w:rsid w:val="00A662D8"/>
    <w:rsid w:val="00A662F0"/>
    <w:rsid w:val="00A66429"/>
    <w:rsid w:val="00A6646C"/>
    <w:rsid w:val="00A665E7"/>
    <w:rsid w:val="00A66919"/>
    <w:rsid w:val="00A669A2"/>
    <w:rsid w:val="00A670DA"/>
    <w:rsid w:val="00A67167"/>
    <w:rsid w:val="00A6721C"/>
    <w:rsid w:val="00A6728D"/>
    <w:rsid w:val="00A674F8"/>
    <w:rsid w:val="00A67A5B"/>
    <w:rsid w:val="00A7035E"/>
    <w:rsid w:val="00A70AEF"/>
    <w:rsid w:val="00A70B17"/>
    <w:rsid w:val="00A70FF3"/>
    <w:rsid w:val="00A711EA"/>
    <w:rsid w:val="00A714F3"/>
    <w:rsid w:val="00A71C93"/>
    <w:rsid w:val="00A7239E"/>
    <w:rsid w:val="00A72685"/>
    <w:rsid w:val="00A72787"/>
    <w:rsid w:val="00A72A7F"/>
    <w:rsid w:val="00A72AB2"/>
    <w:rsid w:val="00A72C29"/>
    <w:rsid w:val="00A72D17"/>
    <w:rsid w:val="00A733F2"/>
    <w:rsid w:val="00A735F4"/>
    <w:rsid w:val="00A737A0"/>
    <w:rsid w:val="00A73885"/>
    <w:rsid w:val="00A73A95"/>
    <w:rsid w:val="00A73CA6"/>
    <w:rsid w:val="00A74555"/>
    <w:rsid w:val="00A74588"/>
    <w:rsid w:val="00A7503A"/>
    <w:rsid w:val="00A75168"/>
    <w:rsid w:val="00A751C1"/>
    <w:rsid w:val="00A75570"/>
    <w:rsid w:val="00A75718"/>
    <w:rsid w:val="00A75751"/>
    <w:rsid w:val="00A75788"/>
    <w:rsid w:val="00A75B5F"/>
    <w:rsid w:val="00A761C3"/>
    <w:rsid w:val="00A76432"/>
    <w:rsid w:val="00A76DFE"/>
    <w:rsid w:val="00A76ECD"/>
    <w:rsid w:val="00A76F46"/>
    <w:rsid w:val="00A76FC0"/>
    <w:rsid w:val="00A7738E"/>
    <w:rsid w:val="00A7773F"/>
    <w:rsid w:val="00A7780B"/>
    <w:rsid w:val="00A77A15"/>
    <w:rsid w:val="00A77BCD"/>
    <w:rsid w:val="00A80124"/>
    <w:rsid w:val="00A8019B"/>
    <w:rsid w:val="00A80231"/>
    <w:rsid w:val="00A805E8"/>
    <w:rsid w:val="00A815BF"/>
    <w:rsid w:val="00A81DA4"/>
    <w:rsid w:val="00A81F2A"/>
    <w:rsid w:val="00A822DD"/>
    <w:rsid w:val="00A833C2"/>
    <w:rsid w:val="00A8381D"/>
    <w:rsid w:val="00A83901"/>
    <w:rsid w:val="00A83CEF"/>
    <w:rsid w:val="00A83F35"/>
    <w:rsid w:val="00A84209"/>
    <w:rsid w:val="00A8447E"/>
    <w:rsid w:val="00A84B8E"/>
    <w:rsid w:val="00A85370"/>
    <w:rsid w:val="00A85A23"/>
    <w:rsid w:val="00A85CB4"/>
    <w:rsid w:val="00A85DC7"/>
    <w:rsid w:val="00A86292"/>
    <w:rsid w:val="00A867B9"/>
    <w:rsid w:val="00A86AC1"/>
    <w:rsid w:val="00A86C66"/>
    <w:rsid w:val="00A86EEB"/>
    <w:rsid w:val="00A87332"/>
    <w:rsid w:val="00A874CD"/>
    <w:rsid w:val="00A87A36"/>
    <w:rsid w:val="00A87A45"/>
    <w:rsid w:val="00A87EC7"/>
    <w:rsid w:val="00A90077"/>
    <w:rsid w:val="00A90392"/>
    <w:rsid w:val="00A90824"/>
    <w:rsid w:val="00A90AC6"/>
    <w:rsid w:val="00A90B4C"/>
    <w:rsid w:val="00A90E6A"/>
    <w:rsid w:val="00A90EE9"/>
    <w:rsid w:val="00A91213"/>
    <w:rsid w:val="00A912B1"/>
    <w:rsid w:val="00A912ED"/>
    <w:rsid w:val="00A9133A"/>
    <w:rsid w:val="00A91427"/>
    <w:rsid w:val="00A91774"/>
    <w:rsid w:val="00A91AAF"/>
    <w:rsid w:val="00A9218D"/>
    <w:rsid w:val="00A9220A"/>
    <w:rsid w:val="00A92608"/>
    <w:rsid w:val="00A92654"/>
    <w:rsid w:val="00A92C61"/>
    <w:rsid w:val="00A92E48"/>
    <w:rsid w:val="00A92EC4"/>
    <w:rsid w:val="00A9390B"/>
    <w:rsid w:val="00A93DFD"/>
    <w:rsid w:val="00A9448A"/>
    <w:rsid w:val="00A9462D"/>
    <w:rsid w:val="00A948D1"/>
    <w:rsid w:val="00A94F84"/>
    <w:rsid w:val="00A95103"/>
    <w:rsid w:val="00A95222"/>
    <w:rsid w:val="00A955C5"/>
    <w:rsid w:val="00A956E1"/>
    <w:rsid w:val="00A96080"/>
    <w:rsid w:val="00A96421"/>
    <w:rsid w:val="00A96733"/>
    <w:rsid w:val="00A96793"/>
    <w:rsid w:val="00A976DF"/>
    <w:rsid w:val="00A97941"/>
    <w:rsid w:val="00A97AD9"/>
    <w:rsid w:val="00A97DB2"/>
    <w:rsid w:val="00AA00CC"/>
    <w:rsid w:val="00AA04DB"/>
    <w:rsid w:val="00AA0691"/>
    <w:rsid w:val="00AA07E9"/>
    <w:rsid w:val="00AA0B34"/>
    <w:rsid w:val="00AA134A"/>
    <w:rsid w:val="00AA1391"/>
    <w:rsid w:val="00AA1751"/>
    <w:rsid w:val="00AA186E"/>
    <w:rsid w:val="00AA1C7B"/>
    <w:rsid w:val="00AA1D68"/>
    <w:rsid w:val="00AA1EA7"/>
    <w:rsid w:val="00AA2340"/>
    <w:rsid w:val="00AA2CBB"/>
    <w:rsid w:val="00AA3AE1"/>
    <w:rsid w:val="00AA3C4A"/>
    <w:rsid w:val="00AA4081"/>
    <w:rsid w:val="00AA441F"/>
    <w:rsid w:val="00AA443B"/>
    <w:rsid w:val="00AA471A"/>
    <w:rsid w:val="00AA4842"/>
    <w:rsid w:val="00AA4CF3"/>
    <w:rsid w:val="00AA52FA"/>
    <w:rsid w:val="00AA570A"/>
    <w:rsid w:val="00AA5719"/>
    <w:rsid w:val="00AA59DB"/>
    <w:rsid w:val="00AA60A2"/>
    <w:rsid w:val="00AA61ED"/>
    <w:rsid w:val="00AA632E"/>
    <w:rsid w:val="00AA6422"/>
    <w:rsid w:val="00AA667B"/>
    <w:rsid w:val="00AA699A"/>
    <w:rsid w:val="00AA7BD4"/>
    <w:rsid w:val="00AB007B"/>
    <w:rsid w:val="00AB0115"/>
    <w:rsid w:val="00AB0168"/>
    <w:rsid w:val="00AB030C"/>
    <w:rsid w:val="00AB03D5"/>
    <w:rsid w:val="00AB067E"/>
    <w:rsid w:val="00AB06F2"/>
    <w:rsid w:val="00AB0790"/>
    <w:rsid w:val="00AB0DC1"/>
    <w:rsid w:val="00AB0E4A"/>
    <w:rsid w:val="00AB1B10"/>
    <w:rsid w:val="00AB1D4B"/>
    <w:rsid w:val="00AB2861"/>
    <w:rsid w:val="00AB2A4E"/>
    <w:rsid w:val="00AB2C4E"/>
    <w:rsid w:val="00AB2D82"/>
    <w:rsid w:val="00AB308E"/>
    <w:rsid w:val="00AB319F"/>
    <w:rsid w:val="00AB356E"/>
    <w:rsid w:val="00AB3EFB"/>
    <w:rsid w:val="00AB41D5"/>
    <w:rsid w:val="00AB4662"/>
    <w:rsid w:val="00AB47A8"/>
    <w:rsid w:val="00AB4B6D"/>
    <w:rsid w:val="00AB4CF6"/>
    <w:rsid w:val="00AB4FE4"/>
    <w:rsid w:val="00AB5261"/>
    <w:rsid w:val="00AB57C6"/>
    <w:rsid w:val="00AB581C"/>
    <w:rsid w:val="00AB59C0"/>
    <w:rsid w:val="00AB5BFC"/>
    <w:rsid w:val="00AB5F9A"/>
    <w:rsid w:val="00AB615A"/>
    <w:rsid w:val="00AB6A32"/>
    <w:rsid w:val="00AB6BDD"/>
    <w:rsid w:val="00AB711A"/>
    <w:rsid w:val="00AB722C"/>
    <w:rsid w:val="00AB72E4"/>
    <w:rsid w:val="00AB7604"/>
    <w:rsid w:val="00AB76A1"/>
    <w:rsid w:val="00AB7C9F"/>
    <w:rsid w:val="00AB7DE8"/>
    <w:rsid w:val="00AB7FCB"/>
    <w:rsid w:val="00AC0176"/>
    <w:rsid w:val="00AC035C"/>
    <w:rsid w:val="00AC07E2"/>
    <w:rsid w:val="00AC0919"/>
    <w:rsid w:val="00AC0B1A"/>
    <w:rsid w:val="00AC0D4D"/>
    <w:rsid w:val="00AC0E34"/>
    <w:rsid w:val="00AC0EC8"/>
    <w:rsid w:val="00AC10A3"/>
    <w:rsid w:val="00AC1179"/>
    <w:rsid w:val="00AC12CB"/>
    <w:rsid w:val="00AC15AF"/>
    <w:rsid w:val="00AC18E2"/>
    <w:rsid w:val="00AC1965"/>
    <w:rsid w:val="00AC1A67"/>
    <w:rsid w:val="00AC1AC4"/>
    <w:rsid w:val="00AC2354"/>
    <w:rsid w:val="00AC2FD4"/>
    <w:rsid w:val="00AC3066"/>
    <w:rsid w:val="00AC329E"/>
    <w:rsid w:val="00AC3304"/>
    <w:rsid w:val="00AC3681"/>
    <w:rsid w:val="00AC37F7"/>
    <w:rsid w:val="00AC3BC2"/>
    <w:rsid w:val="00AC402E"/>
    <w:rsid w:val="00AC40EC"/>
    <w:rsid w:val="00AC45DF"/>
    <w:rsid w:val="00AC494B"/>
    <w:rsid w:val="00AC4B7F"/>
    <w:rsid w:val="00AC4BB8"/>
    <w:rsid w:val="00AC4C8D"/>
    <w:rsid w:val="00AC4E0E"/>
    <w:rsid w:val="00AC50E9"/>
    <w:rsid w:val="00AC5327"/>
    <w:rsid w:val="00AC5627"/>
    <w:rsid w:val="00AC576F"/>
    <w:rsid w:val="00AC58A8"/>
    <w:rsid w:val="00AC5BA7"/>
    <w:rsid w:val="00AC6057"/>
    <w:rsid w:val="00AC63A4"/>
    <w:rsid w:val="00AC6497"/>
    <w:rsid w:val="00AC695D"/>
    <w:rsid w:val="00AC69F0"/>
    <w:rsid w:val="00AC76D9"/>
    <w:rsid w:val="00AC7877"/>
    <w:rsid w:val="00AC7C3F"/>
    <w:rsid w:val="00AC7FAE"/>
    <w:rsid w:val="00AD0391"/>
    <w:rsid w:val="00AD054A"/>
    <w:rsid w:val="00AD0AB9"/>
    <w:rsid w:val="00AD0D83"/>
    <w:rsid w:val="00AD1538"/>
    <w:rsid w:val="00AD19DE"/>
    <w:rsid w:val="00AD1E62"/>
    <w:rsid w:val="00AD2056"/>
    <w:rsid w:val="00AD24CD"/>
    <w:rsid w:val="00AD2671"/>
    <w:rsid w:val="00AD29D0"/>
    <w:rsid w:val="00AD2CF7"/>
    <w:rsid w:val="00AD3115"/>
    <w:rsid w:val="00AD3154"/>
    <w:rsid w:val="00AD31B4"/>
    <w:rsid w:val="00AD320E"/>
    <w:rsid w:val="00AD36DF"/>
    <w:rsid w:val="00AD3795"/>
    <w:rsid w:val="00AD38DA"/>
    <w:rsid w:val="00AD3DFC"/>
    <w:rsid w:val="00AD3E04"/>
    <w:rsid w:val="00AD4267"/>
    <w:rsid w:val="00AD4977"/>
    <w:rsid w:val="00AD4A31"/>
    <w:rsid w:val="00AD4C5B"/>
    <w:rsid w:val="00AD4FCA"/>
    <w:rsid w:val="00AD51A6"/>
    <w:rsid w:val="00AD54D7"/>
    <w:rsid w:val="00AD56DF"/>
    <w:rsid w:val="00AD5750"/>
    <w:rsid w:val="00AD5973"/>
    <w:rsid w:val="00AD599B"/>
    <w:rsid w:val="00AD5B3F"/>
    <w:rsid w:val="00AD5CA8"/>
    <w:rsid w:val="00AD5FEF"/>
    <w:rsid w:val="00AD6384"/>
    <w:rsid w:val="00AD6528"/>
    <w:rsid w:val="00AD681A"/>
    <w:rsid w:val="00AD6845"/>
    <w:rsid w:val="00AD7303"/>
    <w:rsid w:val="00AD7391"/>
    <w:rsid w:val="00AD75A3"/>
    <w:rsid w:val="00AD77A7"/>
    <w:rsid w:val="00AD7ACD"/>
    <w:rsid w:val="00AD7D0D"/>
    <w:rsid w:val="00AD7EB7"/>
    <w:rsid w:val="00AD7FE1"/>
    <w:rsid w:val="00AE0664"/>
    <w:rsid w:val="00AE07EF"/>
    <w:rsid w:val="00AE0AFE"/>
    <w:rsid w:val="00AE0FB7"/>
    <w:rsid w:val="00AE173B"/>
    <w:rsid w:val="00AE1762"/>
    <w:rsid w:val="00AE19F9"/>
    <w:rsid w:val="00AE27BE"/>
    <w:rsid w:val="00AE2A0A"/>
    <w:rsid w:val="00AE3058"/>
    <w:rsid w:val="00AE36CD"/>
    <w:rsid w:val="00AE36FE"/>
    <w:rsid w:val="00AE4005"/>
    <w:rsid w:val="00AE402A"/>
    <w:rsid w:val="00AE4066"/>
    <w:rsid w:val="00AE459D"/>
    <w:rsid w:val="00AE461A"/>
    <w:rsid w:val="00AE4EC8"/>
    <w:rsid w:val="00AE5187"/>
    <w:rsid w:val="00AE56FF"/>
    <w:rsid w:val="00AE5748"/>
    <w:rsid w:val="00AE5DA8"/>
    <w:rsid w:val="00AE675E"/>
    <w:rsid w:val="00AE68C3"/>
    <w:rsid w:val="00AE6CE4"/>
    <w:rsid w:val="00AE70D8"/>
    <w:rsid w:val="00AE73DC"/>
    <w:rsid w:val="00AE780D"/>
    <w:rsid w:val="00AE7C04"/>
    <w:rsid w:val="00AE7D6C"/>
    <w:rsid w:val="00AF007F"/>
    <w:rsid w:val="00AF020D"/>
    <w:rsid w:val="00AF03FF"/>
    <w:rsid w:val="00AF0E4E"/>
    <w:rsid w:val="00AF112E"/>
    <w:rsid w:val="00AF15E5"/>
    <w:rsid w:val="00AF193B"/>
    <w:rsid w:val="00AF21CD"/>
    <w:rsid w:val="00AF37F1"/>
    <w:rsid w:val="00AF3BCC"/>
    <w:rsid w:val="00AF3DB8"/>
    <w:rsid w:val="00AF3E10"/>
    <w:rsid w:val="00AF418D"/>
    <w:rsid w:val="00AF4716"/>
    <w:rsid w:val="00AF4B6A"/>
    <w:rsid w:val="00AF4BD9"/>
    <w:rsid w:val="00AF5296"/>
    <w:rsid w:val="00AF5CB1"/>
    <w:rsid w:val="00AF5CC4"/>
    <w:rsid w:val="00AF6629"/>
    <w:rsid w:val="00AF66FA"/>
    <w:rsid w:val="00AF674D"/>
    <w:rsid w:val="00AF69B4"/>
    <w:rsid w:val="00AF6C15"/>
    <w:rsid w:val="00AF7442"/>
    <w:rsid w:val="00AF756C"/>
    <w:rsid w:val="00B002EA"/>
    <w:rsid w:val="00B00476"/>
    <w:rsid w:val="00B00639"/>
    <w:rsid w:val="00B008E4"/>
    <w:rsid w:val="00B00AD6"/>
    <w:rsid w:val="00B00F77"/>
    <w:rsid w:val="00B01012"/>
    <w:rsid w:val="00B01180"/>
    <w:rsid w:val="00B01B19"/>
    <w:rsid w:val="00B01CF6"/>
    <w:rsid w:val="00B02464"/>
    <w:rsid w:val="00B024D7"/>
    <w:rsid w:val="00B02FC9"/>
    <w:rsid w:val="00B02FDC"/>
    <w:rsid w:val="00B033F9"/>
    <w:rsid w:val="00B034A1"/>
    <w:rsid w:val="00B0359B"/>
    <w:rsid w:val="00B038FC"/>
    <w:rsid w:val="00B03A19"/>
    <w:rsid w:val="00B03D8F"/>
    <w:rsid w:val="00B0422C"/>
    <w:rsid w:val="00B042BC"/>
    <w:rsid w:val="00B046BD"/>
    <w:rsid w:val="00B049FF"/>
    <w:rsid w:val="00B04AD8"/>
    <w:rsid w:val="00B04DDD"/>
    <w:rsid w:val="00B04E86"/>
    <w:rsid w:val="00B04F12"/>
    <w:rsid w:val="00B05244"/>
    <w:rsid w:val="00B05767"/>
    <w:rsid w:val="00B05A12"/>
    <w:rsid w:val="00B05AAB"/>
    <w:rsid w:val="00B05CAF"/>
    <w:rsid w:val="00B0636F"/>
    <w:rsid w:val="00B06541"/>
    <w:rsid w:val="00B06C98"/>
    <w:rsid w:val="00B06FAC"/>
    <w:rsid w:val="00B079DA"/>
    <w:rsid w:val="00B07AB7"/>
    <w:rsid w:val="00B07B24"/>
    <w:rsid w:val="00B07F3A"/>
    <w:rsid w:val="00B1038D"/>
    <w:rsid w:val="00B10689"/>
    <w:rsid w:val="00B10E7C"/>
    <w:rsid w:val="00B10F41"/>
    <w:rsid w:val="00B111EF"/>
    <w:rsid w:val="00B1188B"/>
    <w:rsid w:val="00B11A34"/>
    <w:rsid w:val="00B11AA0"/>
    <w:rsid w:val="00B11E07"/>
    <w:rsid w:val="00B124CF"/>
    <w:rsid w:val="00B1374E"/>
    <w:rsid w:val="00B138DA"/>
    <w:rsid w:val="00B13AF6"/>
    <w:rsid w:val="00B13F4A"/>
    <w:rsid w:val="00B14206"/>
    <w:rsid w:val="00B1468B"/>
    <w:rsid w:val="00B146F5"/>
    <w:rsid w:val="00B15838"/>
    <w:rsid w:val="00B16629"/>
    <w:rsid w:val="00B16943"/>
    <w:rsid w:val="00B16C08"/>
    <w:rsid w:val="00B16EDF"/>
    <w:rsid w:val="00B16F96"/>
    <w:rsid w:val="00B1724D"/>
    <w:rsid w:val="00B174DF"/>
    <w:rsid w:val="00B176B5"/>
    <w:rsid w:val="00B17B3A"/>
    <w:rsid w:val="00B17BB8"/>
    <w:rsid w:val="00B17BD4"/>
    <w:rsid w:val="00B17F70"/>
    <w:rsid w:val="00B20114"/>
    <w:rsid w:val="00B20332"/>
    <w:rsid w:val="00B203D1"/>
    <w:rsid w:val="00B206C5"/>
    <w:rsid w:val="00B207F5"/>
    <w:rsid w:val="00B210AF"/>
    <w:rsid w:val="00B2125E"/>
    <w:rsid w:val="00B21270"/>
    <w:rsid w:val="00B218E6"/>
    <w:rsid w:val="00B21CD9"/>
    <w:rsid w:val="00B21E47"/>
    <w:rsid w:val="00B22841"/>
    <w:rsid w:val="00B2297D"/>
    <w:rsid w:val="00B22CB5"/>
    <w:rsid w:val="00B23047"/>
    <w:rsid w:val="00B2312F"/>
    <w:rsid w:val="00B2316F"/>
    <w:rsid w:val="00B235FB"/>
    <w:rsid w:val="00B236B5"/>
    <w:rsid w:val="00B239FB"/>
    <w:rsid w:val="00B24350"/>
    <w:rsid w:val="00B2436A"/>
    <w:rsid w:val="00B24509"/>
    <w:rsid w:val="00B24607"/>
    <w:rsid w:val="00B24626"/>
    <w:rsid w:val="00B24958"/>
    <w:rsid w:val="00B24A5C"/>
    <w:rsid w:val="00B24D9A"/>
    <w:rsid w:val="00B25489"/>
    <w:rsid w:val="00B254D2"/>
    <w:rsid w:val="00B2555C"/>
    <w:rsid w:val="00B255FA"/>
    <w:rsid w:val="00B25856"/>
    <w:rsid w:val="00B258CF"/>
    <w:rsid w:val="00B25A08"/>
    <w:rsid w:val="00B25B5A"/>
    <w:rsid w:val="00B2607A"/>
    <w:rsid w:val="00B26113"/>
    <w:rsid w:val="00B264C8"/>
    <w:rsid w:val="00B2677D"/>
    <w:rsid w:val="00B2682A"/>
    <w:rsid w:val="00B269B6"/>
    <w:rsid w:val="00B269CC"/>
    <w:rsid w:val="00B26A37"/>
    <w:rsid w:val="00B26CFF"/>
    <w:rsid w:val="00B27773"/>
    <w:rsid w:val="00B2777B"/>
    <w:rsid w:val="00B2791F"/>
    <w:rsid w:val="00B27A65"/>
    <w:rsid w:val="00B27AFD"/>
    <w:rsid w:val="00B27EE4"/>
    <w:rsid w:val="00B30A5F"/>
    <w:rsid w:val="00B30F59"/>
    <w:rsid w:val="00B31067"/>
    <w:rsid w:val="00B3116A"/>
    <w:rsid w:val="00B31330"/>
    <w:rsid w:val="00B316C3"/>
    <w:rsid w:val="00B316D4"/>
    <w:rsid w:val="00B318F2"/>
    <w:rsid w:val="00B319F4"/>
    <w:rsid w:val="00B32710"/>
    <w:rsid w:val="00B32DB4"/>
    <w:rsid w:val="00B32E16"/>
    <w:rsid w:val="00B32EDC"/>
    <w:rsid w:val="00B33174"/>
    <w:rsid w:val="00B33547"/>
    <w:rsid w:val="00B33BD3"/>
    <w:rsid w:val="00B33C32"/>
    <w:rsid w:val="00B3402A"/>
    <w:rsid w:val="00B34222"/>
    <w:rsid w:val="00B3422A"/>
    <w:rsid w:val="00B346D1"/>
    <w:rsid w:val="00B346DB"/>
    <w:rsid w:val="00B34A33"/>
    <w:rsid w:val="00B34A49"/>
    <w:rsid w:val="00B34AF0"/>
    <w:rsid w:val="00B34CB3"/>
    <w:rsid w:val="00B34D3D"/>
    <w:rsid w:val="00B34D3E"/>
    <w:rsid w:val="00B350B9"/>
    <w:rsid w:val="00B35657"/>
    <w:rsid w:val="00B35746"/>
    <w:rsid w:val="00B35A2E"/>
    <w:rsid w:val="00B35A74"/>
    <w:rsid w:val="00B361A8"/>
    <w:rsid w:val="00B3647C"/>
    <w:rsid w:val="00B36896"/>
    <w:rsid w:val="00B36B95"/>
    <w:rsid w:val="00B37144"/>
    <w:rsid w:val="00B37197"/>
    <w:rsid w:val="00B374F7"/>
    <w:rsid w:val="00B40512"/>
    <w:rsid w:val="00B407CA"/>
    <w:rsid w:val="00B40D46"/>
    <w:rsid w:val="00B41624"/>
    <w:rsid w:val="00B41773"/>
    <w:rsid w:val="00B417DB"/>
    <w:rsid w:val="00B417FF"/>
    <w:rsid w:val="00B4188F"/>
    <w:rsid w:val="00B41929"/>
    <w:rsid w:val="00B41980"/>
    <w:rsid w:val="00B419D3"/>
    <w:rsid w:val="00B41C22"/>
    <w:rsid w:val="00B41DF2"/>
    <w:rsid w:val="00B41E85"/>
    <w:rsid w:val="00B420ED"/>
    <w:rsid w:val="00B42271"/>
    <w:rsid w:val="00B4227B"/>
    <w:rsid w:val="00B422B7"/>
    <w:rsid w:val="00B42AD6"/>
    <w:rsid w:val="00B42E18"/>
    <w:rsid w:val="00B42ED9"/>
    <w:rsid w:val="00B43182"/>
    <w:rsid w:val="00B43296"/>
    <w:rsid w:val="00B434F7"/>
    <w:rsid w:val="00B435F1"/>
    <w:rsid w:val="00B436AD"/>
    <w:rsid w:val="00B43BDD"/>
    <w:rsid w:val="00B43E57"/>
    <w:rsid w:val="00B43E76"/>
    <w:rsid w:val="00B442CC"/>
    <w:rsid w:val="00B4471F"/>
    <w:rsid w:val="00B44BBA"/>
    <w:rsid w:val="00B4507C"/>
    <w:rsid w:val="00B4542C"/>
    <w:rsid w:val="00B455C5"/>
    <w:rsid w:val="00B45784"/>
    <w:rsid w:val="00B465F1"/>
    <w:rsid w:val="00B46F00"/>
    <w:rsid w:val="00B472F8"/>
    <w:rsid w:val="00B474DA"/>
    <w:rsid w:val="00B474F3"/>
    <w:rsid w:val="00B47D97"/>
    <w:rsid w:val="00B47E69"/>
    <w:rsid w:val="00B5012C"/>
    <w:rsid w:val="00B5082E"/>
    <w:rsid w:val="00B50C5E"/>
    <w:rsid w:val="00B50E57"/>
    <w:rsid w:val="00B50FD2"/>
    <w:rsid w:val="00B51790"/>
    <w:rsid w:val="00B52531"/>
    <w:rsid w:val="00B52E0F"/>
    <w:rsid w:val="00B52E12"/>
    <w:rsid w:val="00B530E4"/>
    <w:rsid w:val="00B53155"/>
    <w:rsid w:val="00B53537"/>
    <w:rsid w:val="00B53717"/>
    <w:rsid w:val="00B53737"/>
    <w:rsid w:val="00B53CC6"/>
    <w:rsid w:val="00B53D53"/>
    <w:rsid w:val="00B53F61"/>
    <w:rsid w:val="00B540CB"/>
    <w:rsid w:val="00B54110"/>
    <w:rsid w:val="00B5428D"/>
    <w:rsid w:val="00B54385"/>
    <w:rsid w:val="00B54410"/>
    <w:rsid w:val="00B5456C"/>
    <w:rsid w:val="00B548E2"/>
    <w:rsid w:val="00B54A7B"/>
    <w:rsid w:val="00B54F02"/>
    <w:rsid w:val="00B5509D"/>
    <w:rsid w:val="00B55278"/>
    <w:rsid w:val="00B55768"/>
    <w:rsid w:val="00B55B16"/>
    <w:rsid w:val="00B55B5A"/>
    <w:rsid w:val="00B55D52"/>
    <w:rsid w:val="00B5632D"/>
    <w:rsid w:val="00B563DF"/>
    <w:rsid w:val="00B56553"/>
    <w:rsid w:val="00B56851"/>
    <w:rsid w:val="00B5693B"/>
    <w:rsid w:val="00B571C3"/>
    <w:rsid w:val="00B5738E"/>
    <w:rsid w:val="00B575D5"/>
    <w:rsid w:val="00B57B6E"/>
    <w:rsid w:val="00B57E64"/>
    <w:rsid w:val="00B60065"/>
    <w:rsid w:val="00B604FC"/>
    <w:rsid w:val="00B60552"/>
    <w:rsid w:val="00B60B6B"/>
    <w:rsid w:val="00B60CA9"/>
    <w:rsid w:val="00B61056"/>
    <w:rsid w:val="00B611B9"/>
    <w:rsid w:val="00B613AA"/>
    <w:rsid w:val="00B61687"/>
    <w:rsid w:val="00B61B44"/>
    <w:rsid w:val="00B61BDD"/>
    <w:rsid w:val="00B61CB0"/>
    <w:rsid w:val="00B61EA4"/>
    <w:rsid w:val="00B62112"/>
    <w:rsid w:val="00B62435"/>
    <w:rsid w:val="00B6262B"/>
    <w:rsid w:val="00B62A4B"/>
    <w:rsid w:val="00B62D88"/>
    <w:rsid w:val="00B62FCB"/>
    <w:rsid w:val="00B62FD3"/>
    <w:rsid w:val="00B63241"/>
    <w:rsid w:val="00B632ED"/>
    <w:rsid w:val="00B635A3"/>
    <w:rsid w:val="00B63705"/>
    <w:rsid w:val="00B63C7F"/>
    <w:rsid w:val="00B63CB6"/>
    <w:rsid w:val="00B647A6"/>
    <w:rsid w:val="00B6507D"/>
    <w:rsid w:val="00B65159"/>
    <w:rsid w:val="00B652FE"/>
    <w:rsid w:val="00B6549B"/>
    <w:rsid w:val="00B6551D"/>
    <w:rsid w:val="00B656F7"/>
    <w:rsid w:val="00B65991"/>
    <w:rsid w:val="00B65A6F"/>
    <w:rsid w:val="00B65C76"/>
    <w:rsid w:val="00B65ED5"/>
    <w:rsid w:val="00B65FAD"/>
    <w:rsid w:val="00B662B3"/>
    <w:rsid w:val="00B6661C"/>
    <w:rsid w:val="00B66718"/>
    <w:rsid w:val="00B66A28"/>
    <w:rsid w:val="00B66B10"/>
    <w:rsid w:val="00B66C1F"/>
    <w:rsid w:val="00B67075"/>
    <w:rsid w:val="00B70427"/>
    <w:rsid w:val="00B70450"/>
    <w:rsid w:val="00B70B87"/>
    <w:rsid w:val="00B71A54"/>
    <w:rsid w:val="00B7245D"/>
    <w:rsid w:val="00B72843"/>
    <w:rsid w:val="00B72CEC"/>
    <w:rsid w:val="00B73516"/>
    <w:rsid w:val="00B73611"/>
    <w:rsid w:val="00B737A6"/>
    <w:rsid w:val="00B7389C"/>
    <w:rsid w:val="00B73F5D"/>
    <w:rsid w:val="00B7415B"/>
    <w:rsid w:val="00B7426C"/>
    <w:rsid w:val="00B742EF"/>
    <w:rsid w:val="00B7449F"/>
    <w:rsid w:val="00B747CA"/>
    <w:rsid w:val="00B74912"/>
    <w:rsid w:val="00B74A3B"/>
    <w:rsid w:val="00B74D66"/>
    <w:rsid w:val="00B758AC"/>
    <w:rsid w:val="00B758D3"/>
    <w:rsid w:val="00B75987"/>
    <w:rsid w:val="00B76058"/>
    <w:rsid w:val="00B765B4"/>
    <w:rsid w:val="00B765ED"/>
    <w:rsid w:val="00B767A5"/>
    <w:rsid w:val="00B7696D"/>
    <w:rsid w:val="00B76C39"/>
    <w:rsid w:val="00B76C60"/>
    <w:rsid w:val="00B770EB"/>
    <w:rsid w:val="00B775EF"/>
    <w:rsid w:val="00B776F8"/>
    <w:rsid w:val="00B77968"/>
    <w:rsid w:val="00B779F7"/>
    <w:rsid w:val="00B77CE4"/>
    <w:rsid w:val="00B77EB7"/>
    <w:rsid w:val="00B8040F"/>
    <w:rsid w:val="00B80424"/>
    <w:rsid w:val="00B804A9"/>
    <w:rsid w:val="00B80A7C"/>
    <w:rsid w:val="00B80ACD"/>
    <w:rsid w:val="00B80D1C"/>
    <w:rsid w:val="00B80E45"/>
    <w:rsid w:val="00B80E4A"/>
    <w:rsid w:val="00B80FA4"/>
    <w:rsid w:val="00B81495"/>
    <w:rsid w:val="00B81DEA"/>
    <w:rsid w:val="00B821DB"/>
    <w:rsid w:val="00B8223E"/>
    <w:rsid w:val="00B82278"/>
    <w:rsid w:val="00B82A3B"/>
    <w:rsid w:val="00B82B88"/>
    <w:rsid w:val="00B82DA8"/>
    <w:rsid w:val="00B8328C"/>
    <w:rsid w:val="00B8361A"/>
    <w:rsid w:val="00B8391F"/>
    <w:rsid w:val="00B83A97"/>
    <w:rsid w:val="00B83BE2"/>
    <w:rsid w:val="00B841D4"/>
    <w:rsid w:val="00B84450"/>
    <w:rsid w:val="00B84A1D"/>
    <w:rsid w:val="00B84D52"/>
    <w:rsid w:val="00B8551B"/>
    <w:rsid w:val="00B858FE"/>
    <w:rsid w:val="00B85999"/>
    <w:rsid w:val="00B85CF0"/>
    <w:rsid w:val="00B85D8E"/>
    <w:rsid w:val="00B86967"/>
    <w:rsid w:val="00B86AFC"/>
    <w:rsid w:val="00B8718B"/>
    <w:rsid w:val="00B87606"/>
    <w:rsid w:val="00B87907"/>
    <w:rsid w:val="00B87AA1"/>
    <w:rsid w:val="00B87AB0"/>
    <w:rsid w:val="00B87FB7"/>
    <w:rsid w:val="00B901E7"/>
    <w:rsid w:val="00B9050B"/>
    <w:rsid w:val="00B906B3"/>
    <w:rsid w:val="00B91893"/>
    <w:rsid w:val="00B91DBC"/>
    <w:rsid w:val="00B92408"/>
    <w:rsid w:val="00B92539"/>
    <w:rsid w:val="00B92936"/>
    <w:rsid w:val="00B92A59"/>
    <w:rsid w:val="00B92A97"/>
    <w:rsid w:val="00B92F4A"/>
    <w:rsid w:val="00B92F52"/>
    <w:rsid w:val="00B9303B"/>
    <w:rsid w:val="00B93071"/>
    <w:rsid w:val="00B93B55"/>
    <w:rsid w:val="00B93D37"/>
    <w:rsid w:val="00B93EC8"/>
    <w:rsid w:val="00B948DF"/>
    <w:rsid w:val="00B94AAB"/>
    <w:rsid w:val="00B94F8C"/>
    <w:rsid w:val="00B950CE"/>
    <w:rsid w:val="00B9543D"/>
    <w:rsid w:val="00B95A07"/>
    <w:rsid w:val="00B95E64"/>
    <w:rsid w:val="00B962B0"/>
    <w:rsid w:val="00B96755"/>
    <w:rsid w:val="00B968BE"/>
    <w:rsid w:val="00B96A14"/>
    <w:rsid w:val="00B96B79"/>
    <w:rsid w:val="00B96C9C"/>
    <w:rsid w:val="00B97492"/>
    <w:rsid w:val="00B97613"/>
    <w:rsid w:val="00B977B4"/>
    <w:rsid w:val="00B97B10"/>
    <w:rsid w:val="00B97B49"/>
    <w:rsid w:val="00B97E18"/>
    <w:rsid w:val="00BA032B"/>
    <w:rsid w:val="00BA036A"/>
    <w:rsid w:val="00BA0570"/>
    <w:rsid w:val="00BA09CE"/>
    <w:rsid w:val="00BA0C4D"/>
    <w:rsid w:val="00BA0D2D"/>
    <w:rsid w:val="00BA0E61"/>
    <w:rsid w:val="00BA126D"/>
    <w:rsid w:val="00BA1321"/>
    <w:rsid w:val="00BA14D4"/>
    <w:rsid w:val="00BA18CE"/>
    <w:rsid w:val="00BA1F2A"/>
    <w:rsid w:val="00BA1FBC"/>
    <w:rsid w:val="00BA23EF"/>
    <w:rsid w:val="00BA2410"/>
    <w:rsid w:val="00BA25AF"/>
    <w:rsid w:val="00BA286A"/>
    <w:rsid w:val="00BA2B30"/>
    <w:rsid w:val="00BA2E71"/>
    <w:rsid w:val="00BA2FA5"/>
    <w:rsid w:val="00BA31CF"/>
    <w:rsid w:val="00BA31E3"/>
    <w:rsid w:val="00BA3852"/>
    <w:rsid w:val="00BA3879"/>
    <w:rsid w:val="00BA387C"/>
    <w:rsid w:val="00BA4008"/>
    <w:rsid w:val="00BA417B"/>
    <w:rsid w:val="00BA41A9"/>
    <w:rsid w:val="00BA452E"/>
    <w:rsid w:val="00BA47FB"/>
    <w:rsid w:val="00BA4DA0"/>
    <w:rsid w:val="00BA4EC9"/>
    <w:rsid w:val="00BA5097"/>
    <w:rsid w:val="00BA56E1"/>
    <w:rsid w:val="00BA574D"/>
    <w:rsid w:val="00BA587A"/>
    <w:rsid w:val="00BA627E"/>
    <w:rsid w:val="00BA62A8"/>
    <w:rsid w:val="00BA658D"/>
    <w:rsid w:val="00BA6B0D"/>
    <w:rsid w:val="00BA6C61"/>
    <w:rsid w:val="00BA753F"/>
    <w:rsid w:val="00BA7FFE"/>
    <w:rsid w:val="00BB06AE"/>
    <w:rsid w:val="00BB0797"/>
    <w:rsid w:val="00BB0EF0"/>
    <w:rsid w:val="00BB0FE3"/>
    <w:rsid w:val="00BB1042"/>
    <w:rsid w:val="00BB10BA"/>
    <w:rsid w:val="00BB1E0E"/>
    <w:rsid w:val="00BB1FD2"/>
    <w:rsid w:val="00BB2102"/>
    <w:rsid w:val="00BB2188"/>
    <w:rsid w:val="00BB29B8"/>
    <w:rsid w:val="00BB2EDF"/>
    <w:rsid w:val="00BB2FC7"/>
    <w:rsid w:val="00BB332A"/>
    <w:rsid w:val="00BB36EB"/>
    <w:rsid w:val="00BB3A5A"/>
    <w:rsid w:val="00BB3CCE"/>
    <w:rsid w:val="00BB3F8E"/>
    <w:rsid w:val="00BB4255"/>
    <w:rsid w:val="00BB429B"/>
    <w:rsid w:val="00BB4813"/>
    <w:rsid w:val="00BB4AFF"/>
    <w:rsid w:val="00BB4D44"/>
    <w:rsid w:val="00BB4DBE"/>
    <w:rsid w:val="00BB506E"/>
    <w:rsid w:val="00BB53F3"/>
    <w:rsid w:val="00BB54EE"/>
    <w:rsid w:val="00BB56B1"/>
    <w:rsid w:val="00BB5A4E"/>
    <w:rsid w:val="00BB5A88"/>
    <w:rsid w:val="00BB5F8A"/>
    <w:rsid w:val="00BB61A5"/>
    <w:rsid w:val="00BB6B24"/>
    <w:rsid w:val="00BB6C91"/>
    <w:rsid w:val="00BB6F43"/>
    <w:rsid w:val="00BB76CB"/>
    <w:rsid w:val="00BB7A02"/>
    <w:rsid w:val="00BC02AD"/>
    <w:rsid w:val="00BC0D31"/>
    <w:rsid w:val="00BC0D75"/>
    <w:rsid w:val="00BC1191"/>
    <w:rsid w:val="00BC1526"/>
    <w:rsid w:val="00BC15E2"/>
    <w:rsid w:val="00BC166A"/>
    <w:rsid w:val="00BC1750"/>
    <w:rsid w:val="00BC19AC"/>
    <w:rsid w:val="00BC1BAD"/>
    <w:rsid w:val="00BC1ED9"/>
    <w:rsid w:val="00BC1EFF"/>
    <w:rsid w:val="00BC2342"/>
    <w:rsid w:val="00BC249B"/>
    <w:rsid w:val="00BC2D2A"/>
    <w:rsid w:val="00BC33C3"/>
    <w:rsid w:val="00BC3466"/>
    <w:rsid w:val="00BC3484"/>
    <w:rsid w:val="00BC3CEA"/>
    <w:rsid w:val="00BC3D86"/>
    <w:rsid w:val="00BC3E0B"/>
    <w:rsid w:val="00BC43A9"/>
    <w:rsid w:val="00BC4B6D"/>
    <w:rsid w:val="00BC4D98"/>
    <w:rsid w:val="00BC4F2A"/>
    <w:rsid w:val="00BC4F5F"/>
    <w:rsid w:val="00BC5522"/>
    <w:rsid w:val="00BC55DF"/>
    <w:rsid w:val="00BC5779"/>
    <w:rsid w:val="00BC5C20"/>
    <w:rsid w:val="00BC5E55"/>
    <w:rsid w:val="00BC5F4F"/>
    <w:rsid w:val="00BC61B3"/>
    <w:rsid w:val="00BC6363"/>
    <w:rsid w:val="00BC659A"/>
    <w:rsid w:val="00BC75A8"/>
    <w:rsid w:val="00BC7AD9"/>
    <w:rsid w:val="00BC7B2F"/>
    <w:rsid w:val="00BC7C97"/>
    <w:rsid w:val="00BC7D41"/>
    <w:rsid w:val="00BD03F5"/>
    <w:rsid w:val="00BD08E6"/>
    <w:rsid w:val="00BD08EC"/>
    <w:rsid w:val="00BD09D2"/>
    <w:rsid w:val="00BD0B4E"/>
    <w:rsid w:val="00BD1006"/>
    <w:rsid w:val="00BD1089"/>
    <w:rsid w:val="00BD1B7C"/>
    <w:rsid w:val="00BD20C4"/>
    <w:rsid w:val="00BD20EA"/>
    <w:rsid w:val="00BD2770"/>
    <w:rsid w:val="00BD2983"/>
    <w:rsid w:val="00BD2ADD"/>
    <w:rsid w:val="00BD2C20"/>
    <w:rsid w:val="00BD3680"/>
    <w:rsid w:val="00BD36FD"/>
    <w:rsid w:val="00BD3728"/>
    <w:rsid w:val="00BD39A5"/>
    <w:rsid w:val="00BD3ADE"/>
    <w:rsid w:val="00BD42F8"/>
    <w:rsid w:val="00BD45B7"/>
    <w:rsid w:val="00BD4896"/>
    <w:rsid w:val="00BD4AAF"/>
    <w:rsid w:val="00BD4BC2"/>
    <w:rsid w:val="00BD4CEA"/>
    <w:rsid w:val="00BD4DBC"/>
    <w:rsid w:val="00BD50C1"/>
    <w:rsid w:val="00BD50C6"/>
    <w:rsid w:val="00BD58EA"/>
    <w:rsid w:val="00BD5AD7"/>
    <w:rsid w:val="00BD5BE5"/>
    <w:rsid w:val="00BD5E77"/>
    <w:rsid w:val="00BD6153"/>
    <w:rsid w:val="00BD618D"/>
    <w:rsid w:val="00BD64D6"/>
    <w:rsid w:val="00BD66E0"/>
    <w:rsid w:val="00BD6E29"/>
    <w:rsid w:val="00BD71D0"/>
    <w:rsid w:val="00BD735F"/>
    <w:rsid w:val="00BD74C5"/>
    <w:rsid w:val="00BD7532"/>
    <w:rsid w:val="00BD7DF9"/>
    <w:rsid w:val="00BE000A"/>
    <w:rsid w:val="00BE01BD"/>
    <w:rsid w:val="00BE0304"/>
    <w:rsid w:val="00BE066F"/>
    <w:rsid w:val="00BE0851"/>
    <w:rsid w:val="00BE1344"/>
    <w:rsid w:val="00BE14BC"/>
    <w:rsid w:val="00BE192A"/>
    <w:rsid w:val="00BE1C80"/>
    <w:rsid w:val="00BE1D8D"/>
    <w:rsid w:val="00BE1E49"/>
    <w:rsid w:val="00BE229A"/>
    <w:rsid w:val="00BE22BB"/>
    <w:rsid w:val="00BE2976"/>
    <w:rsid w:val="00BE2F86"/>
    <w:rsid w:val="00BE3192"/>
    <w:rsid w:val="00BE349A"/>
    <w:rsid w:val="00BE3578"/>
    <w:rsid w:val="00BE36C4"/>
    <w:rsid w:val="00BE3945"/>
    <w:rsid w:val="00BE39EA"/>
    <w:rsid w:val="00BE3A6C"/>
    <w:rsid w:val="00BE3AA2"/>
    <w:rsid w:val="00BE3AD6"/>
    <w:rsid w:val="00BE3B94"/>
    <w:rsid w:val="00BE3DAA"/>
    <w:rsid w:val="00BE3DC1"/>
    <w:rsid w:val="00BE433C"/>
    <w:rsid w:val="00BE434D"/>
    <w:rsid w:val="00BE4513"/>
    <w:rsid w:val="00BE475F"/>
    <w:rsid w:val="00BE493B"/>
    <w:rsid w:val="00BE4B83"/>
    <w:rsid w:val="00BE4FE7"/>
    <w:rsid w:val="00BE521C"/>
    <w:rsid w:val="00BE5286"/>
    <w:rsid w:val="00BE5318"/>
    <w:rsid w:val="00BE54A4"/>
    <w:rsid w:val="00BE5813"/>
    <w:rsid w:val="00BE5A29"/>
    <w:rsid w:val="00BE5D51"/>
    <w:rsid w:val="00BE5E10"/>
    <w:rsid w:val="00BE613F"/>
    <w:rsid w:val="00BE6309"/>
    <w:rsid w:val="00BE65EB"/>
    <w:rsid w:val="00BE6CD4"/>
    <w:rsid w:val="00BE7382"/>
    <w:rsid w:val="00BE73C8"/>
    <w:rsid w:val="00BE7726"/>
    <w:rsid w:val="00BE796D"/>
    <w:rsid w:val="00BE7C1A"/>
    <w:rsid w:val="00BE7F20"/>
    <w:rsid w:val="00BF03E7"/>
    <w:rsid w:val="00BF0436"/>
    <w:rsid w:val="00BF0451"/>
    <w:rsid w:val="00BF04AC"/>
    <w:rsid w:val="00BF0C48"/>
    <w:rsid w:val="00BF0E27"/>
    <w:rsid w:val="00BF0F91"/>
    <w:rsid w:val="00BF1224"/>
    <w:rsid w:val="00BF13EC"/>
    <w:rsid w:val="00BF15B2"/>
    <w:rsid w:val="00BF1963"/>
    <w:rsid w:val="00BF1AAC"/>
    <w:rsid w:val="00BF1B55"/>
    <w:rsid w:val="00BF1FFD"/>
    <w:rsid w:val="00BF23F0"/>
    <w:rsid w:val="00BF2566"/>
    <w:rsid w:val="00BF2A3B"/>
    <w:rsid w:val="00BF32F9"/>
    <w:rsid w:val="00BF36DA"/>
    <w:rsid w:val="00BF379C"/>
    <w:rsid w:val="00BF3C44"/>
    <w:rsid w:val="00BF4144"/>
    <w:rsid w:val="00BF4A6E"/>
    <w:rsid w:val="00BF4F65"/>
    <w:rsid w:val="00BF55E6"/>
    <w:rsid w:val="00BF55EE"/>
    <w:rsid w:val="00BF5A2D"/>
    <w:rsid w:val="00BF60DE"/>
    <w:rsid w:val="00BF631A"/>
    <w:rsid w:val="00BF652F"/>
    <w:rsid w:val="00BF6A8D"/>
    <w:rsid w:val="00BF6D65"/>
    <w:rsid w:val="00BF71B8"/>
    <w:rsid w:val="00BF72F3"/>
    <w:rsid w:val="00BF752D"/>
    <w:rsid w:val="00BF754B"/>
    <w:rsid w:val="00BF76A3"/>
    <w:rsid w:val="00BF7A47"/>
    <w:rsid w:val="00C0029A"/>
    <w:rsid w:val="00C00383"/>
    <w:rsid w:val="00C0041F"/>
    <w:rsid w:val="00C004D5"/>
    <w:rsid w:val="00C00686"/>
    <w:rsid w:val="00C00804"/>
    <w:rsid w:val="00C00811"/>
    <w:rsid w:val="00C00CD8"/>
    <w:rsid w:val="00C00D8A"/>
    <w:rsid w:val="00C01500"/>
    <w:rsid w:val="00C0162B"/>
    <w:rsid w:val="00C01A7B"/>
    <w:rsid w:val="00C02039"/>
    <w:rsid w:val="00C02367"/>
    <w:rsid w:val="00C023C0"/>
    <w:rsid w:val="00C025BA"/>
    <w:rsid w:val="00C02A52"/>
    <w:rsid w:val="00C02B62"/>
    <w:rsid w:val="00C02E0C"/>
    <w:rsid w:val="00C02F41"/>
    <w:rsid w:val="00C02F9A"/>
    <w:rsid w:val="00C0300B"/>
    <w:rsid w:val="00C034D0"/>
    <w:rsid w:val="00C035D1"/>
    <w:rsid w:val="00C0364D"/>
    <w:rsid w:val="00C03B05"/>
    <w:rsid w:val="00C03CA4"/>
    <w:rsid w:val="00C04735"/>
    <w:rsid w:val="00C04AA3"/>
    <w:rsid w:val="00C04E59"/>
    <w:rsid w:val="00C04FB6"/>
    <w:rsid w:val="00C05135"/>
    <w:rsid w:val="00C0527E"/>
    <w:rsid w:val="00C0538C"/>
    <w:rsid w:val="00C053A8"/>
    <w:rsid w:val="00C05BAD"/>
    <w:rsid w:val="00C05C14"/>
    <w:rsid w:val="00C063F6"/>
    <w:rsid w:val="00C064B4"/>
    <w:rsid w:val="00C064BB"/>
    <w:rsid w:val="00C06814"/>
    <w:rsid w:val="00C0730B"/>
    <w:rsid w:val="00C076E8"/>
    <w:rsid w:val="00C077AF"/>
    <w:rsid w:val="00C077E4"/>
    <w:rsid w:val="00C07850"/>
    <w:rsid w:val="00C07956"/>
    <w:rsid w:val="00C079E0"/>
    <w:rsid w:val="00C103C6"/>
    <w:rsid w:val="00C1046D"/>
    <w:rsid w:val="00C10697"/>
    <w:rsid w:val="00C106DE"/>
    <w:rsid w:val="00C1109F"/>
    <w:rsid w:val="00C11342"/>
    <w:rsid w:val="00C11A7F"/>
    <w:rsid w:val="00C12193"/>
    <w:rsid w:val="00C122A6"/>
    <w:rsid w:val="00C128C7"/>
    <w:rsid w:val="00C129C5"/>
    <w:rsid w:val="00C12B78"/>
    <w:rsid w:val="00C12EF1"/>
    <w:rsid w:val="00C13414"/>
    <w:rsid w:val="00C13592"/>
    <w:rsid w:val="00C136B5"/>
    <w:rsid w:val="00C1384C"/>
    <w:rsid w:val="00C13E39"/>
    <w:rsid w:val="00C13FDB"/>
    <w:rsid w:val="00C14115"/>
    <w:rsid w:val="00C14342"/>
    <w:rsid w:val="00C14753"/>
    <w:rsid w:val="00C14BB0"/>
    <w:rsid w:val="00C14D59"/>
    <w:rsid w:val="00C151BB"/>
    <w:rsid w:val="00C158DF"/>
    <w:rsid w:val="00C16221"/>
    <w:rsid w:val="00C16648"/>
    <w:rsid w:val="00C16B74"/>
    <w:rsid w:val="00C16BEE"/>
    <w:rsid w:val="00C16C21"/>
    <w:rsid w:val="00C16CD8"/>
    <w:rsid w:val="00C17032"/>
    <w:rsid w:val="00C17936"/>
    <w:rsid w:val="00C1793E"/>
    <w:rsid w:val="00C17A89"/>
    <w:rsid w:val="00C17B74"/>
    <w:rsid w:val="00C17C47"/>
    <w:rsid w:val="00C17EB2"/>
    <w:rsid w:val="00C1DAAC"/>
    <w:rsid w:val="00C205FA"/>
    <w:rsid w:val="00C2091F"/>
    <w:rsid w:val="00C21372"/>
    <w:rsid w:val="00C21565"/>
    <w:rsid w:val="00C2194E"/>
    <w:rsid w:val="00C21E0E"/>
    <w:rsid w:val="00C22015"/>
    <w:rsid w:val="00C2221C"/>
    <w:rsid w:val="00C2276F"/>
    <w:rsid w:val="00C227E0"/>
    <w:rsid w:val="00C229A6"/>
    <w:rsid w:val="00C22F88"/>
    <w:rsid w:val="00C230F6"/>
    <w:rsid w:val="00C23113"/>
    <w:rsid w:val="00C234AB"/>
    <w:rsid w:val="00C23976"/>
    <w:rsid w:val="00C23A85"/>
    <w:rsid w:val="00C23CE4"/>
    <w:rsid w:val="00C23E08"/>
    <w:rsid w:val="00C23F0C"/>
    <w:rsid w:val="00C23F70"/>
    <w:rsid w:val="00C24009"/>
    <w:rsid w:val="00C242D7"/>
    <w:rsid w:val="00C242E9"/>
    <w:rsid w:val="00C24618"/>
    <w:rsid w:val="00C24658"/>
    <w:rsid w:val="00C248C9"/>
    <w:rsid w:val="00C24A07"/>
    <w:rsid w:val="00C25051"/>
    <w:rsid w:val="00C252A4"/>
    <w:rsid w:val="00C253A6"/>
    <w:rsid w:val="00C2585F"/>
    <w:rsid w:val="00C25FC8"/>
    <w:rsid w:val="00C26340"/>
    <w:rsid w:val="00C26666"/>
    <w:rsid w:val="00C26973"/>
    <w:rsid w:val="00C26EEE"/>
    <w:rsid w:val="00C27304"/>
    <w:rsid w:val="00C30385"/>
    <w:rsid w:val="00C30909"/>
    <w:rsid w:val="00C3096F"/>
    <w:rsid w:val="00C309CE"/>
    <w:rsid w:val="00C309E1"/>
    <w:rsid w:val="00C310C2"/>
    <w:rsid w:val="00C315DF"/>
    <w:rsid w:val="00C31B5E"/>
    <w:rsid w:val="00C31C96"/>
    <w:rsid w:val="00C321B1"/>
    <w:rsid w:val="00C33310"/>
    <w:rsid w:val="00C3364B"/>
    <w:rsid w:val="00C3371B"/>
    <w:rsid w:val="00C3379E"/>
    <w:rsid w:val="00C33F31"/>
    <w:rsid w:val="00C34228"/>
    <w:rsid w:val="00C34250"/>
    <w:rsid w:val="00C344BF"/>
    <w:rsid w:val="00C344F3"/>
    <w:rsid w:val="00C34DC1"/>
    <w:rsid w:val="00C351CB"/>
    <w:rsid w:val="00C358A2"/>
    <w:rsid w:val="00C359C6"/>
    <w:rsid w:val="00C35B15"/>
    <w:rsid w:val="00C35EB6"/>
    <w:rsid w:val="00C36030"/>
    <w:rsid w:val="00C360ED"/>
    <w:rsid w:val="00C36329"/>
    <w:rsid w:val="00C363BE"/>
    <w:rsid w:val="00C37234"/>
    <w:rsid w:val="00C37240"/>
    <w:rsid w:val="00C3736F"/>
    <w:rsid w:val="00C373B7"/>
    <w:rsid w:val="00C373F0"/>
    <w:rsid w:val="00C3754E"/>
    <w:rsid w:val="00C375A1"/>
    <w:rsid w:val="00C37AB1"/>
    <w:rsid w:val="00C37C30"/>
    <w:rsid w:val="00C37CE5"/>
    <w:rsid w:val="00C37E60"/>
    <w:rsid w:val="00C40024"/>
    <w:rsid w:val="00C406F5"/>
    <w:rsid w:val="00C4096C"/>
    <w:rsid w:val="00C412DD"/>
    <w:rsid w:val="00C4149A"/>
    <w:rsid w:val="00C41759"/>
    <w:rsid w:val="00C41919"/>
    <w:rsid w:val="00C41CDC"/>
    <w:rsid w:val="00C42985"/>
    <w:rsid w:val="00C4316F"/>
    <w:rsid w:val="00C4327A"/>
    <w:rsid w:val="00C43413"/>
    <w:rsid w:val="00C434B4"/>
    <w:rsid w:val="00C4390B"/>
    <w:rsid w:val="00C4391D"/>
    <w:rsid w:val="00C43A17"/>
    <w:rsid w:val="00C43D3F"/>
    <w:rsid w:val="00C446B8"/>
    <w:rsid w:val="00C446CA"/>
    <w:rsid w:val="00C44A4C"/>
    <w:rsid w:val="00C45052"/>
    <w:rsid w:val="00C453D4"/>
    <w:rsid w:val="00C45839"/>
    <w:rsid w:val="00C45973"/>
    <w:rsid w:val="00C459E5"/>
    <w:rsid w:val="00C45C80"/>
    <w:rsid w:val="00C46A1C"/>
    <w:rsid w:val="00C46B44"/>
    <w:rsid w:val="00C46C7A"/>
    <w:rsid w:val="00C46EB8"/>
    <w:rsid w:val="00C4768C"/>
    <w:rsid w:val="00C4774B"/>
    <w:rsid w:val="00C47980"/>
    <w:rsid w:val="00C47EB7"/>
    <w:rsid w:val="00C500FD"/>
    <w:rsid w:val="00C50137"/>
    <w:rsid w:val="00C50457"/>
    <w:rsid w:val="00C50754"/>
    <w:rsid w:val="00C507D3"/>
    <w:rsid w:val="00C50847"/>
    <w:rsid w:val="00C50A14"/>
    <w:rsid w:val="00C51026"/>
    <w:rsid w:val="00C515FC"/>
    <w:rsid w:val="00C519F9"/>
    <w:rsid w:val="00C51DDD"/>
    <w:rsid w:val="00C51E98"/>
    <w:rsid w:val="00C521C3"/>
    <w:rsid w:val="00C52327"/>
    <w:rsid w:val="00C52368"/>
    <w:rsid w:val="00C52944"/>
    <w:rsid w:val="00C52D65"/>
    <w:rsid w:val="00C532E8"/>
    <w:rsid w:val="00C53C12"/>
    <w:rsid w:val="00C54023"/>
    <w:rsid w:val="00C54358"/>
    <w:rsid w:val="00C545A0"/>
    <w:rsid w:val="00C550C7"/>
    <w:rsid w:val="00C553CD"/>
    <w:rsid w:val="00C55703"/>
    <w:rsid w:val="00C55865"/>
    <w:rsid w:val="00C5596B"/>
    <w:rsid w:val="00C55F81"/>
    <w:rsid w:val="00C55FA0"/>
    <w:rsid w:val="00C5611F"/>
    <w:rsid w:val="00C56422"/>
    <w:rsid w:val="00C56A8F"/>
    <w:rsid w:val="00C56B5E"/>
    <w:rsid w:val="00C56F5A"/>
    <w:rsid w:val="00C5718E"/>
    <w:rsid w:val="00C579FF"/>
    <w:rsid w:val="00C57A84"/>
    <w:rsid w:val="00C57AD9"/>
    <w:rsid w:val="00C57C52"/>
    <w:rsid w:val="00C600B2"/>
    <w:rsid w:val="00C6064E"/>
    <w:rsid w:val="00C60818"/>
    <w:rsid w:val="00C609C7"/>
    <w:rsid w:val="00C60E23"/>
    <w:rsid w:val="00C60F31"/>
    <w:rsid w:val="00C610C9"/>
    <w:rsid w:val="00C610ED"/>
    <w:rsid w:val="00C61764"/>
    <w:rsid w:val="00C61A3D"/>
    <w:rsid w:val="00C61DF3"/>
    <w:rsid w:val="00C62050"/>
    <w:rsid w:val="00C621A5"/>
    <w:rsid w:val="00C62380"/>
    <w:rsid w:val="00C6243F"/>
    <w:rsid w:val="00C62859"/>
    <w:rsid w:val="00C62A50"/>
    <w:rsid w:val="00C62CBD"/>
    <w:rsid w:val="00C62EE6"/>
    <w:rsid w:val="00C63268"/>
    <w:rsid w:val="00C63AA6"/>
    <w:rsid w:val="00C63C33"/>
    <w:rsid w:val="00C64D1E"/>
    <w:rsid w:val="00C64D5F"/>
    <w:rsid w:val="00C64E5E"/>
    <w:rsid w:val="00C65212"/>
    <w:rsid w:val="00C653BC"/>
    <w:rsid w:val="00C6552F"/>
    <w:rsid w:val="00C6578C"/>
    <w:rsid w:val="00C65908"/>
    <w:rsid w:val="00C65EA3"/>
    <w:rsid w:val="00C65EF7"/>
    <w:rsid w:val="00C661B9"/>
    <w:rsid w:val="00C66897"/>
    <w:rsid w:val="00C668BE"/>
    <w:rsid w:val="00C674A9"/>
    <w:rsid w:val="00C67E18"/>
    <w:rsid w:val="00C67E7C"/>
    <w:rsid w:val="00C70379"/>
    <w:rsid w:val="00C704FF"/>
    <w:rsid w:val="00C70E8D"/>
    <w:rsid w:val="00C71023"/>
    <w:rsid w:val="00C71176"/>
    <w:rsid w:val="00C711AC"/>
    <w:rsid w:val="00C7135C"/>
    <w:rsid w:val="00C71527"/>
    <w:rsid w:val="00C716EE"/>
    <w:rsid w:val="00C71A75"/>
    <w:rsid w:val="00C71A95"/>
    <w:rsid w:val="00C71B91"/>
    <w:rsid w:val="00C721F8"/>
    <w:rsid w:val="00C724D4"/>
    <w:rsid w:val="00C727DB"/>
    <w:rsid w:val="00C729D7"/>
    <w:rsid w:val="00C72A3A"/>
    <w:rsid w:val="00C72CD1"/>
    <w:rsid w:val="00C737AD"/>
    <w:rsid w:val="00C73A4D"/>
    <w:rsid w:val="00C73AD9"/>
    <w:rsid w:val="00C73BAB"/>
    <w:rsid w:val="00C74067"/>
    <w:rsid w:val="00C7471D"/>
    <w:rsid w:val="00C74D8E"/>
    <w:rsid w:val="00C75524"/>
    <w:rsid w:val="00C7573C"/>
    <w:rsid w:val="00C75826"/>
    <w:rsid w:val="00C75AD2"/>
    <w:rsid w:val="00C75E1C"/>
    <w:rsid w:val="00C75E5D"/>
    <w:rsid w:val="00C75EFD"/>
    <w:rsid w:val="00C76125"/>
    <w:rsid w:val="00C762BB"/>
    <w:rsid w:val="00C7640E"/>
    <w:rsid w:val="00C7678C"/>
    <w:rsid w:val="00C7699F"/>
    <w:rsid w:val="00C76A01"/>
    <w:rsid w:val="00C76C0C"/>
    <w:rsid w:val="00C76C72"/>
    <w:rsid w:val="00C76EF7"/>
    <w:rsid w:val="00C7721E"/>
    <w:rsid w:val="00C7744E"/>
    <w:rsid w:val="00C77585"/>
    <w:rsid w:val="00C7762A"/>
    <w:rsid w:val="00C77636"/>
    <w:rsid w:val="00C7775C"/>
    <w:rsid w:val="00C77DBB"/>
    <w:rsid w:val="00C77E9F"/>
    <w:rsid w:val="00C809A2"/>
    <w:rsid w:val="00C80AED"/>
    <w:rsid w:val="00C80DF8"/>
    <w:rsid w:val="00C80E19"/>
    <w:rsid w:val="00C81283"/>
    <w:rsid w:val="00C816DD"/>
    <w:rsid w:val="00C81B23"/>
    <w:rsid w:val="00C81F95"/>
    <w:rsid w:val="00C821DC"/>
    <w:rsid w:val="00C8234C"/>
    <w:rsid w:val="00C826E1"/>
    <w:rsid w:val="00C8298F"/>
    <w:rsid w:val="00C82DFF"/>
    <w:rsid w:val="00C82E1A"/>
    <w:rsid w:val="00C82F95"/>
    <w:rsid w:val="00C82FA0"/>
    <w:rsid w:val="00C82FA6"/>
    <w:rsid w:val="00C83137"/>
    <w:rsid w:val="00C83240"/>
    <w:rsid w:val="00C836F0"/>
    <w:rsid w:val="00C83C33"/>
    <w:rsid w:val="00C83EB6"/>
    <w:rsid w:val="00C84299"/>
    <w:rsid w:val="00C843C3"/>
    <w:rsid w:val="00C84596"/>
    <w:rsid w:val="00C848F2"/>
    <w:rsid w:val="00C849CA"/>
    <w:rsid w:val="00C84C8B"/>
    <w:rsid w:val="00C84CC6"/>
    <w:rsid w:val="00C850CE"/>
    <w:rsid w:val="00C85559"/>
    <w:rsid w:val="00C85637"/>
    <w:rsid w:val="00C859A0"/>
    <w:rsid w:val="00C85AF5"/>
    <w:rsid w:val="00C85B0F"/>
    <w:rsid w:val="00C85D58"/>
    <w:rsid w:val="00C86AB6"/>
    <w:rsid w:val="00C87102"/>
    <w:rsid w:val="00C87707"/>
    <w:rsid w:val="00C87EDA"/>
    <w:rsid w:val="00C90364"/>
    <w:rsid w:val="00C90A96"/>
    <w:rsid w:val="00C90CDA"/>
    <w:rsid w:val="00C90D1C"/>
    <w:rsid w:val="00C90F3E"/>
    <w:rsid w:val="00C9108A"/>
    <w:rsid w:val="00C9142C"/>
    <w:rsid w:val="00C915E8"/>
    <w:rsid w:val="00C9195F"/>
    <w:rsid w:val="00C919F5"/>
    <w:rsid w:val="00C924B1"/>
    <w:rsid w:val="00C926A0"/>
    <w:rsid w:val="00C928AA"/>
    <w:rsid w:val="00C9299F"/>
    <w:rsid w:val="00C92B3B"/>
    <w:rsid w:val="00C92C4E"/>
    <w:rsid w:val="00C932E8"/>
    <w:rsid w:val="00C9371A"/>
    <w:rsid w:val="00C93B20"/>
    <w:rsid w:val="00C93BC0"/>
    <w:rsid w:val="00C93C43"/>
    <w:rsid w:val="00C9403E"/>
    <w:rsid w:val="00C94377"/>
    <w:rsid w:val="00C949C5"/>
    <w:rsid w:val="00C94A8C"/>
    <w:rsid w:val="00C951B7"/>
    <w:rsid w:val="00C95404"/>
    <w:rsid w:val="00C95474"/>
    <w:rsid w:val="00C954EA"/>
    <w:rsid w:val="00C9572B"/>
    <w:rsid w:val="00C95EBC"/>
    <w:rsid w:val="00C960B9"/>
    <w:rsid w:val="00C96372"/>
    <w:rsid w:val="00C965EA"/>
    <w:rsid w:val="00C96817"/>
    <w:rsid w:val="00C968F7"/>
    <w:rsid w:val="00C96909"/>
    <w:rsid w:val="00C96F89"/>
    <w:rsid w:val="00C9708A"/>
    <w:rsid w:val="00C9739B"/>
    <w:rsid w:val="00C97455"/>
    <w:rsid w:val="00C97ABF"/>
    <w:rsid w:val="00C97C27"/>
    <w:rsid w:val="00C97E58"/>
    <w:rsid w:val="00CA00C8"/>
    <w:rsid w:val="00CA046F"/>
    <w:rsid w:val="00CA08C7"/>
    <w:rsid w:val="00CA12C6"/>
    <w:rsid w:val="00CA14CB"/>
    <w:rsid w:val="00CA18BE"/>
    <w:rsid w:val="00CA18C4"/>
    <w:rsid w:val="00CA1B4B"/>
    <w:rsid w:val="00CA1B6D"/>
    <w:rsid w:val="00CA1FB5"/>
    <w:rsid w:val="00CA2046"/>
    <w:rsid w:val="00CA2114"/>
    <w:rsid w:val="00CA2180"/>
    <w:rsid w:val="00CA2645"/>
    <w:rsid w:val="00CA325B"/>
    <w:rsid w:val="00CA3832"/>
    <w:rsid w:val="00CA3D63"/>
    <w:rsid w:val="00CA3EF0"/>
    <w:rsid w:val="00CA4021"/>
    <w:rsid w:val="00CA430E"/>
    <w:rsid w:val="00CA446C"/>
    <w:rsid w:val="00CA460E"/>
    <w:rsid w:val="00CA48CA"/>
    <w:rsid w:val="00CA52CA"/>
    <w:rsid w:val="00CA53E6"/>
    <w:rsid w:val="00CA5D3B"/>
    <w:rsid w:val="00CA5E69"/>
    <w:rsid w:val="00CA5F8C"/>
    <w:rsid w:val="00CA60B0"/>
    <w:rsid w:val="00CA6530"/>
    <w:rsid w:val="00CA6725"/>
    <w:rsid w:val="00CA68A6"/>
    <w:rsid w:val="00CA691B"/>
    <w:rsid w:val="00CA70C2"/>
    <w:rsid w:val="00CA7A3A"/>
    <w:rsid w:val="00CA7BDC"/>
    <w:rsid w:val="00CA7C9E"/>
    <w:rsid w:val="00CA7E1C"/>
    <w:rsid w:val="00CA7F74"/>
    <w:rsid w:val="00CB003A"/>
    <w:rsid w:val="00CB013A"/>
    <w:rsid w:val="00CB027F"/>
    <w:rsid w:val="00CB07B2"/>
    <w:rsid w:val="00CB07D8"/>
    <w:rsid w:val="00CB08A4"/>
    <w:rsid w:val="00CB0C9E"/>
    <w:rsid w:val="00CB11DB"/>
    <w:rsid w:val="00CB1268"/>
    <w:rsid w:val="00CB12A4"/>
    <w:rsid w:val="00CB12B1"/>
    <w:rsid w:val="00CB13B2"/>
    <w:rsid w:val="00CB14EA"/>
    <w:rsid w:val="00CB165E"/>
    <w:rsid w:val="00CB1688"/>
    <w:rsid w:val="00CB1B99"/>
    <w:rsid w:val="00CB1C4D"/>
    <w:rsid w:val="00CB21C2"/>
    <w:rsid w:val="00CB2254"/>
    <w:rsid w:val="00CB2684"/>
    <w:rsid w:val="00CB2747"/>
    <w:rsid w:val="00CB28CE"/>
    <w:rsid w:val="00CB2AAC"/>
    <w:rsid w:val="00CB2C30"/>
    <w:rsid w:val="00CB2DFC"/>
    <w:rsid w:val="00CB30B2"/>
    <w:rsid w:val="00CB3551"/>
    <w:rsid w:val="00CB3B50"/>
    <w:rsid w:val="00CB3C13"/>
    <w:rsid w:val="00CB45F1"/>
    <w:rsid w:val="00CB4600"/>
    <w:rsid w:val="00CB47FA"/>
    <w:rsid w:val="00CB49EE"/>
    <w:rsid w:val="00CB4CB4"/>
    <w:rsid w:val="00CB5322"/>
    <w:rsid w:val="00CB55DB"/>
    <w:rsid w:val="00CB5B68"/>
    <w:rsid w:val="00CB5B87"/>
    <w:rsid w:val="00CB60F3"/>
    <w:rsid w:val="00CB61F1"/>
    <w:rsid w:val="00CB6275"/>
    <w:rsid w:val="00CB6777"/>
    <w:rsid w:val="00CB6A4E"/>
    <w:rsid w:val="00CB6AAE"/>
    <w:rsid w:val="00CB725A"/>
    <w:rsid w:val="00CB76E2"/>
    <w:rsid w:val="00CB783F"/>
    <w:rsid w:val="00CB7921"/>
    <w:rsid w:val="00CB79CD"/>
    <w:rsid w:val="00CC05B7"/>
    <w:rsid w:val="00CC0CCC"/>
    <w:rsid w:val="00CC0E99"/>
    <w:rsid w:val="00CC0E9E"/>
    <w:rsid w:val="00CC0ECD"/>
    <w:rsid w:val="00CC0F64"/>
    <w:rsid w:val="00CC1039"/>
    <w:rsid w:val="00CC1580"/>
    <w:rsid w:val="00CC1D44"/>
    <w:rsid w:val="00CC1DEF"/>
    <w:rsid w:val="00CC1F55"/>
    <w:rsid w:val="00CC2B07"/>
    <w:rsid w:val="00CC2BD1"/>
    <w:rsid w:val="00CC352F"/>
    <w:rsid w:val="00CC364B"/>
    <w:rsid w:val="00CC36ED"/>
    <w:rsid w:val="00CC399B"/>
    <w:rsid w:val="00CC39F3"/>
    <w:rsid w:val="00CC3CEB"/>
    <w:rsid w:val="00CC3E74"/>
    <w:rsid w:val="00CC45F3"/>
    <w:rsid w:val="00CC46F4"/>
    <w:rsid w:val="00CC5682"/>
    <w:rsid w:val="00CC59E1"/>
    <w:rsid w:val="00CC5AD5"/>
    <w:rsid w:val="00CC5B43"/>
    <w:rsid w:val="00CC5BAA"/>
    <w:rsid w:val="00CC6146"/>
    <w:rsid w:val="00CC6378"/>
    <w:rsid w:val="00CC6409"/>
    <w:rsid w:val="00CC660D"/>
    <w:rsid w:val="00CC66DF"/>
    <w:rsid w:val="00CC690E"/>
    <w:rsid w:val="00CC6B18"/>
    <w:rsid w:val="00CC6B67"/>
    <w:rsid w:val="00CC7130"/>
    <w:rsid w:val="00CC765E"/>
    <w:rsid w:val="00CC78E1"/>
    <w:rsid w:val="00CD03FC"/>
    <w:rsid w:val="00CD06DD"/>
    <w:rsid w:val="00CD0847"/>
    <w:rsid w:val="00CD0AD1"/>
    <w:rsid w:val="00CD139F"/>
    <w:rsid w:val="00CD19B0"/>
    <w:rsid w:val="00CD1C52"/>
    <w:rsid w:val="00CD27A0"/>
    <w:rsid w:val="00CD2929"/>
    <w:rsid w:val="00CD293D"/>
    <w:rsid w:val="00CD2D2C"/>
    <w:rsid w:val="00CD2FCC"/>
    <w:rsid w:val="00CD304F"/>
    <w:rsid w:val="00CD3227"/>
    <w:rsid w:val="00CD335A"/>
    <w:rsid w:val="00CD36CF"/>
    <w:rsid w:val="00CD3ADE"/>
    <w:rsid w:val="00CD3B12"/>
    <w:rsid w:val="00CD3C7B"/>
    <w:rsid w:val="00CD3DAE"/>
    <w:rsid w:val="00CD40D3"/>
    <w:rsid w:val="00CD41B0"/>
    <w:rsid w:val="00CD4E8C"/>
    <w:rsid w:val="00CD522E"/>
    <w:rsid w:val="00CD5865"/>
    <w:rsid w:val="00CD5B0B"/>
    <w:rsid w:val="00CD5B0C"/>
    <w:rsid w:val="00CD5C90"/>
    <w:rsid w:val="00CD5E8C"/>
    <w:rsid w:val="00CD65F2"/>
    <w:rsid w:val="00CD681D"/>
    <w:rsid w:val="00CD6B89"/>
    <w:rsid w:val="00CD6D0A"/>
    <w:rsid w:val="00CD6E1C"/>
    <w:rsid w:val="00CD7274"/>
    <w:rsid w:val="00CD75DE"/>
    <w:rsid w:val="00CD76A5"/>
    <w:rsid w:val="00CD7887"/>
    <w:rsid w:val="00CD7CAA"/>
    <w:rsid w:val="00CD7E56"/>
    <w:rsid w:val="00CD7F82"/>
    <w:rsid w:val="00CE05EC"/>
    <w:rsid w:val="00CE07F1"/>
    <w:rsid w:val="00CE0968"/>
    <w:rsid w:val="00CE0B6F"/>
    <w:rsid w:val="00CE0CB2"/>
    <w:rsid w:val="00CE128D"/>
    <w:rsid w:val="00CE1342"/>
    <w:rsid w:val="00CE13C4"/>
    <w:rsid w:val="00CE13D9"/>
    <w:rsid w:val="00CE1407"/>
    <w:rsid w:val="00CE1534"/>
    <w:rsid w:val="00CE1AC2"/>
    <w:rsid w:val="00CE1C86"/>
    <w:rsid w:val="00CE1DEE"/>
    <w:rsid w:val="00CE2734"/>
    <w:rsid w:val="00CE31CE"/>
    <w:rsid w:val="00CE39EB"/>
    <w:rsid w:val="00CE4094"/>
    <w:rsid w:val="00CE4464"/>
    <w:rsid w:val="00CE4757"/>
    <w:rsid w:val="00CE4ACF"/>
    <w:rsid w:val="00CE4DA5"/>
    <w:rsid w:val="00CE5063"/>
    <w:rsid w:val="00CE51E2"/>
    <w:rsid w:val="00CE5438"/>
    <w:rsid w:val="00CE55D7"/>
    <w:rsid w:val="00CE5B8E"/>
    <w:rsid w:val="00CE5BA1"/>
    <w:rsid w:val="00CE5C1D"/>
    <w:rsid w:val="00CE6296"/>
    <w:rsid w:val="00CE6D65"/>
    <w:rsid w:val="00CE70D0"/>
    <w:rsid w:val="00CE7233"/>
    <w:rsid w:val="00CE747A"/>
    <w:rsid w:val="00CE766E"/>
    <w:rsid w:val="00CE77C4"/>
    <w:rsid w:val="00CE7B60"/>
    <w:rsid w:val="00CE7CAA"/>
    <w:rsid w:val="00CE7F9D"/>
    <w:rsid w:val="00CE7FFA"/>
    <w:rsid w:val="00CE9649"/>
    <w:rsid w:val="00CF0048"/>
    <w:rsid w:val="00CF0303"/>
    <w:rsid w:val="00CF03D6"/>
    <w:rsid w:val="00CF089F"/>
    <w:rsid w:val="00CF09D9"/>
    <w:rsid w:val="00CF0A33"/>
    <w:rsid w:val="00CF0FB8"/>
    <w:rsid w:val="00CF107A"/>
    <w:rsid w:val="00CF10A4"/>
    <w:rsid w:val="00CF1269"/>
    <w:rsid w:val="00CF1277"/>
    <w:rsid w:val="00CF1781"/>
    <w:rsid w:val="00CF1B20"/>
    <w:rsid w:val="00CF1B26"/>
    <w:rsid w:val="00CF1DBD"/>
    <w:rsid w:val="00CF1EC6"/>
    <w:rsid w:val="00CF2800"/>
    <w:rsid w:val="00CF2822"/>
    <w:rsid w:val="00CF2835"/>
    <w:rsid w:val="00CF2868"/>
    <w:rsid w:val="00CF2960"/>
    <w:rsid w:val="00CF29C5"/>
    <w:rsid w:val="00CF2A33"/>
    <w:rsid w:val="00CF2A56"/>
    <w:rsid w:val="00CF2A94"/>
    <w:rsid w:val="00CF2BD1"/>
    <w:rsid w:val="00CF3232"/>
    <w:rsid w:val="00CF331C"/>
    <w:rsid w:val="00CF346E"/>
    <w:rsid w:val="00CF3BA4"/>
    <w:rsid w:val="00CF403C"/>
    <w:rsid w:val="00CF48D2"/>
    <w:rsid w:val="00CF49CC"/>
    <w:rsid w:val="00CF4DDF"/>
    <w:rsid w:val="00CF5097"/>
    <w:rsid w:val="00CF516A"/>
    <w:rsid w:val="00CF5174"/>
    <w:rsid w:val="00CF5196"/>
    <w:rsid w:val="00CF5F15"/>
    <w:rsid w:val="00CF63FC"/>
    <w:rsid w:val="00CF67CD"/>
    <w:rsid w:val="00CF73BE"/>
    <w:rsid w:val="00CF74F4"/>
    <w:rsid w:val="00CF7505"/>
    <w:rsid w:val="00CF7794"/>
    <w:rsid w:val="00CF77B4"/>
    <w:rsid w:val="00CF7A3B"/>
    <w:rsid w:val="00D0080F"/>
    <w:rsid w:val="00D00893"/>
    <w:rsid w:val="00D00963"/>
    <w:rsid w:val="00D00BAD"/>
    <w:rsid w:val="00D00EEF"/>
    <w:rsid w:val="00D01423"/>
    <w:rsid w:val="00D0173D"/>
    <w:rsid w:val="00D01BA9"/>
    <w:rsid w:val="00D02015"/>
    <w:rsid w:val="00D025F2"/>
    <w:rsid w:val="00D028E2"/>
    <w:rsid w:val="00D02FFD"/>
    <w:rsid w:val="00D0303D"/>
    <w:rsid w:val="00D0304B"/>
    <w:rsid w:val="00D030E1"/>
    <w:rsid w:val="00D03938"/>
    <w:rsid w:val="00D03B0A"/>
    <w:rsid w:val="00D04096"/>
    <w:rsid w:val="00D04142"/>
    <w:rsid w:val="00D041DD"/>
    <w:rsid w:val="00D04350"/>
    <w:rsid w:val="00D04416"/>
    <w:rsid w:val="00D04526"/>
    <w:rsid w:val="00D0454D"/>
    <w:rsid w:val="00D04C8A"/>
    <w:rsid w:val="00D04DE7"/>
    <w:rsid w:val="00D05169"/>
    <w:rsid w:val="00D0528E"/>
    <w:rsid w:val="00D05C42"/>
    <w:rsid w:val="00D06079"/>
    <w:rsid w:val="00D060E2"/>
    <w:rsid w:val="00D060E6"/>
    <w:rsid w:val="00D06CD6"/>
    <w:rsid w:val="00D06E7B"/>
    <w:rsid w:val="00D07035"/>
    <w:rsid w:val="00D070D1"/>
    <w:rsid w:val="00D071B5"/>
    <w:rsid w:val="00D079B3"/>
    <w:rsid w:val="00D07CB7"/>
    <w:rsid w:val="00D07F14"/>
    <w:rsid w:val="00D07F2F"/>
    <w:rsid w:val="00D10012"/>
    <w:rsid w:val="00D10278"/>
    <w:rsid w:val="00D103CA"/>
    <w:rsid w:val="00D105F5"/>
    <w:rsid w:val="00D10975"/>
    <w:rsid w:val="00D10B20"/>
    <w:rsid w:val="00D10D47"/>
    <w:rsid w:val="00D1198E"/>
    <w:rsid w:val="00D11D18"/>
    <w:rsid w:val="00D11E0B"/>
    <w:rsid w:val="00D11FFB"/>
    <w:rsid w:val="00D120BE"/>
    <w:rsid w:val="00D12456"/>
    <w:rsid w:val="00D12CC7"/>
    <w:rsid w:val="00D13064"/>
    <w:rsid w:val="00D13251"/>
    <w:rsid w:val="00D133B9"/>
    <w:rsid w:val="00D135F7"/>
    <w:rsid w:val="00D137FA"/>
    <w:rsid w:val="00D13DDE"/>
    <w:rsid w:val="00D13E5A"/>
    <w:rsid w:val="00D13EA6"/>
    <w:rsid w:val="00D13F39"/>
    <w:rsid w:val="00D1416B"/>
    <w:rsid w:val="00D143D9"/>
    <w:rsid w:val="00D1498A"/>
    <w:rsid w:val="00D14BC4"/>
    <w:rsid w:val="00D14E47"/>
    <w:rsid w:val="00D15149"/>
    <w:rsid w:val="00D16450"/>
    <w:rsid w:val="00D1661E"/>
    <w:rsid w:val="00D1670C"/>
    <w:rsid w:val="00D16D59"/>
    <w:rsid w:val="00D172EE"/>
    <w:rsid w:val="00D1734B"/>
    <w:rsid w:val="00D176A0"/>
    <w:rsid w:val="00D177C6"/>
    <w:rsid w:val="00D17866"/>
    <w:rsid w:val="00D17CD9"/>
    <w:rsid w:val="00D17EC2"/>
    <w:rsid w:val="00D201FA"/>
    <w:rsid w:val="00D20D27"/>
    <w:rsid w:val="00D2139D"/>
    <w:rsid w:val="00D21D56"/>
    <w:rsid w:val="00D22464"/>
    <w:rsid w:val="00D22844"/>
    <w:rsid w:val="00D228C0"/>
    <w:rsid w:val="00D22B62"/>
    <w:rsid w:val="00D22E05"/>
    <w:rsid w:val="00D22EDA"/>
    <w:rsid w:val="00D234A6"/>
    <w:rsid w:val="00D2351D"/>
    <w:rsid w:val="00D2369C"/>
    <w:rsid w:val="00D23B9C"/>
    <w:rsid w:val="00D23DCC"/>
    <w:rsid w:val="00D24272"/>
    <w:rsid w:val="00D248C1"/>
    <w:rsid w:val="00D255B3"/>
    <w:rsid w:val="00D25B57"/>
    <w:rsid w:val="00D25B96"/>
    <w:rsid w:val="00D2606A"/>
    <w:rsid w:val="00D263A7"/>
    <w:rsid w:val="00D2652B"/>
    <w:rsid w:val="00D26751"/>
    <w:rsid w:val="00D2697D"/>
    <w:rsid w:val="00D26A70"/>
    <w:rsid w:val="00D26DE5"/>
    <w:rsid w:val="00D26E63"/>
    <w:rsid w:val="00D271FF"/>
    <w:rsid w:val="00D272AC"/>
    <w:rsid w:val="00D27428"/>
    <w:rsid w:val="00D274CC"/>
    <w:rsid w:val="00D27530"/>
    <w:rsid w:val="00D277A2"/>
    <w:rsid w:val="00D27F09"/>
    <w:rsid w:val="00D303CE"/>
    <w:rsid w:val="00D30D53"/>
    <w:rsid w:val="00D30E71"/>
    <w:rsid w:val="00D30EDE"/>
    <w:rsid w:val="00D30EFC"/>
    <w:rsid w:val="00D3124B"/>
    <w:rsid w:val="00D312C7"/>
    <w:rsid w:val="00D313BB"/>
    <w:rsid w:val="00D3164C"/>
    <w:rsid w:val="00D3218E"/>
    <w:rsid w:val="00D328AC"/>
    <w:rsid w:val="00D32ADD"/>
    <w:rsid w:val="00D32B1B"/>
    <w:rsid w:val="00D33043"/>
    <w:rsid w:val="00D333EA"/>
    <w:rsid w:val="00D33912"/>
    <w:rsid w:val="00D33B58"/>
    <w:rsid w:val="00D33DDD"/>
    <w:rsid w:val="00D33EE3"/>
    <w:rsid w:val="00D340EB"/>
    <w:rsid w:val="00D3432A"/>
    <w:rsid w:val="00D345F7"/>
    <w:rsid w:val="00D346AF"/>
    <w:rsid w:val="00D348E7"/>
    <w:rsid w:val="00D34D6D"/>
    <w:rsid w:val="00D34EF7"/>
    <w:rsid w:val="00D354E8"/>
    <w:rsid w:val="00D35C47"/>
    <w:rsid w:val="00D35D85"/>
    <w:rsid w:val="00D35DE5"/>
    <w:rsid w:val="00D3649D"/>
    <w:rsid w:val="00D3661F"/>
    <w:rsid w:val="00D36881"/>
    <w:rsid w:val="00D36979"/>
    <w:rsid w:val="00D36BFC"/>
    <w:rsid w:val="00D36C87"/>
    <w:rsid w:val="00D372AD"/>
    <w:rsid w:val="00D377C6"/>
    <w:rsid w:val="00D37D9A"/>
    <w:rsid w:val="00D402FC"/>
    <w:rsid w:val="00D40722"/>
    <w:rsid w:val="00D4087E"/>
    <w:rsid w:val="00D40CF4"/>
    <w:rsid w:val="00D40F5C"/>
    <w:rsid w:val="00D41082"/>
    <w:rsid w:val="00D4148C"/>
    <w:rsid w:val="00D41735"/>
    <w:rsid w:val="00D41A7E"/>
    <w:rsid w:val="00D41B5E"/>
    <w:rsid w:val="00D41BFE"/>
    <w:rsid w:val="00D41C91"/>
    <w:rsid w:val="00D42065"/>
    <w:rsid w:val="00D4232F"/>
    <w:rsid w:val="00D424A6"/>
    <w:rsid w:val="00D42686"/>
    <w:rsid w:val="00D428E6"/>
    <w:rsid w:val="00D429C7"/>
    <w:rsid w:val="00D42E30"/>
    <w:rsid w:val="00D42E5A"/>
    <w:rsid w:val="00D432E4"/>
    <w:rsid w:val="00D43DF3"/>
    <w:rsid w:val="00D4424D"/>
    <w:rsid w:val="00D44AC5"/>
    <w:rsid w:val="00D44E41"/>
    <w:rsid w:val="00D44E48"/>
    <w:rsid w:val="00D450BF"/>
    <w:rsid w:val="00D450EC"/>
    <w:rsid w:val="00D4548E"/>
    <w:rsid w:val="00D4599D"/>
    <w:rsid w:val="00D4659E"/>
    <w:rsid w:val="00D46895"/>
    <w:rsid w:val="00D4694D"/>
    <w:rsid w:val="00D47268"/>
    <w:rsid w:val="00D4748C"/>
    <w:rsid w:val="00D479AA"/>
    <w:rsid w:val="00D47ADC"/>
    <w:rsid w:val="00D47EDD"/>
    <w:rsid w:val="00D5036D"/>
    <w:rsid w:val="00D50C58"/>
    <w:rsid w:val="00D5154B"/>
    <w:rsid w:val="00D5198D"/>
    <w:rsid w:val="00D519B7"/>
    <w:rsid w:val="00D51B18"/>
    <w:rsid w:val="00D52088"/>
    <w:rsid w:val="00D520DF"/>
    <w:rsid w:val="00D52509"/>
    <w:rsid w:val="00D52E37"/>
    <w:rsid w:val="00D53294"/>
    <w:rsid w:val="00D534FF"/>
    <w:rsid w:val="00D53F4E"/>
    <w:rsid w:val="00D542DB"/>
    <w:rsid w:val="00D54458"/>
    <w:rsid w:val="00D54CC0"/>
    <w:rsid w:val="00D55424"/>
    <w:rsid w:val="00D55892"/>
    <w:rsid w:val="00D558B3"/>
    <w:rsid w:val="00D559CE"/>
    <w:rsid w:val="00D56139"/>
    <w:rsid w:val="00D56658"/>
    <w:rsid w:val="00D56A4E"/>
    <w:rsid w:val="00D56C78"/>
    <w:rsid w:val="00D57043"/>
    <w:rsid w:val="00D571A1"/>
    <w:rsid w:val="00D574E9"/>
    <w:rsid w:val="00D574EA"/>
    <w:rsid w:val="00D57595"/>
    <w:rsid w:val="00D57598"/>
    <w:rsid w:val="00D57A0D"/>
    <w:rsid w:val="00D57B27"/>
    <w:rsid w:val="00D6019D"/>
    <w:rsid w:val="00D601E4"/>
    <w:rsid w:val="00D604E8"/>
    <w:rsid w:val="00D60760"/>
    <w:rsid w:val="00D6081B"/>
    <w:rsid w:val="00D608AF"/>
    <w:rsid w:val="00D60990"/>
    <w:rsid w:val="00D60E59"/>
    <w:rsid w:val="00D61144"/>
    <w:rsid w:val="00D61327"/>
    <w:rsid w:val="00D61419"/>
    <w:rsid w:val="00D6153E"/>
    <w:rsid w:val="00D615D5"/>
    <w:rsid w:val="00D6167E"/>
    <w:rsid w:val="00D61854"/>
    <w:rsid w:val="00D619AC"/>
    <w:rsid w:val="00D61FAE"/>
    <w:rsid w:val="00D62106"/>
    <w:rsid w:val="00D62125"/>
    <w:rsid w:val="00D62597"/>
    <w:rsid w:val="00D62795"/>
    <w:rsid w:val="00D62DBB"/>
    <w:rsid w:val="00D62F77"/>
    <w:rsid w:val="00D638B1"/>
    <w:rsid w:val="00D639FF"/>
    <w:rsid w:val="00D640D6"/>
    <w:rsid w:val="00D64531"/>
    <w:rsid w:val="00D645D0"/>
    <w:rsid w:val="00D64A01"/>
    <w:rsid w:val="00D64B5E"/>
    <w:rsid w:val="00D64CEB"/>
    <w:rsid w:val="00D64D5F"/>
    <w:rsid w:val="00D64D60"/>
    <w:rsid w:val="00D64D98"/>
    <w:rsid w:val="00D64EAD"/>
    <w:rsid w:val="00D65043"/>
    <w:rsid w:val="00D651DB"/>
    <w:rsid w:val="00D652C7"/>
    <w:rsid w:val="00D65787"/>
    <w:rsid w:val="00D657EA"/>
    <w:rsid w:val="00D65BBC"/>
    <w:rsid w:val="00D66196"/>
    <w:rsid w:val="00D6634D"/>
    <w:rsid w:val="00D668AF"/>
    <w:rsid w:val="00D66A30"/>
    <w:rsid w:val="00D66F6B"/>
    <w:rsid w:val="00D6706F"/>
    <w:rsid w:val="00D67B16"/>
    <w:rsid w:val="00D67B66"/>
    <w:rsid w:val="00D67D6F"/>
    <w:rsid w:val="00D7036E"/>
    <w:rsid w:val="00D7067E"/>
    <w:rsid w:val="00D71050"/>
    <w:rsid w:val="00D71094"/>
    <w:rsid w:val="00D71444"/>
    <w:rsid w:val="00D714B9"/>
    <w:rsid w:val="00D71C0C"/>
    <w:rsid w:val="00D71C51"/>
    <w:rsid w:val="00D71D19"/>
    <w:rsid w:val="00D7225B"/>
    <w:rsid w:val="00D7225C"/>
    <w:rsid w:val="00D72300"/>
    <w:rsid w:val="00D72488"/>
    <w:rsid w:val="00D72710"/>
    <w:rsid w:val="00D72756"/>
    <w:rsid w:val="00D727EB"/>
    <w:rsid w:val="00D72BCC"/>
    <w:rsid w:val="00D72F78"/>
    <w:rsid w:val="00D73269"/>
    <w:rsid w:val="00D732DD"/>
    <w:rsid w:val="00D734D3"/>
    <w:rsid w:val="00D741A3"/>
    <w:rsid w:val="00D74348"/>
    <w:rsid w:val="00D7435A"/>
    <w:rsid w:val="00D743BD"/>
    <w:rsid w:val="00D7483B"/>
    <w:rsid w:val="00D74AC0"/>
    <w:rsid w:val="00D74C91"/>
    <w:rsid w:val="00D74D40"/>
    <w:rsid w:val="00D74F3B"/>
    <w:rsid w:val="00D753B2"/>
    <w:rsid w:val="00D75C40"/>
    <w:rsid w:val="00D75F75"/>
    <w:rsid w:val="00D76108"/>
    <w:rsid w:val="00D76141"/>
    <w:rsid w:val="00D7633D"/>
    <w:rsid w:val="00D76698"/>
    <w:rsid w:val="00D76733"/>
    <w:rsid w:val="00D768B8"/>
    <w:rsid w:val="00D769F9"/>
    <w:rsid w:val="00D76CAB"/>
    <w:rsid w:val="00D77245"/>
    <w:rsid w:val="00D77818"/>
    <w:rsid w:val="00D77A99"/>
    <w:rsid w:val="00D800CC"/>
    <w:rsid w:val="00D800D8"/>
    <w:rsid w:val="00D80645"/>
    <w:rsid w:val="00D81954"/>
    <w:rsid w:val="00D8269C"/>
    <w:rsid w:val="00D82808"/>
    <w:rsid w:val="00D82C80"/>
    <w:rsid w:val="00D82D16"/>
    <w:rsid w:val="00D8319B"/>
    <w:rsid w:val="00D832EF"/>
    <w:rsid w:val="00D835C7"/>
    <w:rsid w:val="00D83903"/>
    <w:rsid w:val="00D83994"/>
    <w:rsid w:val="00D839A4"/>
    <w:rsid w:val="00D83A3B"/>
    <w:rsid w:val="00D83DB2"/>
    <w:rsid w:val="00D83DCD"/>
    <w:rsid w:val="00D83E24"/>
    <w:rsid w:val="00D84161"/>
    <w:rsid w:val="00D841A0"/>
    <w:rsid w:val="00D841D1"/>
    <w:rsid w:val="00D845F4"/>
    <w:rsid w:val="00D84692"/>
    <w:rsid w:val="00D8488B"/>
    <w:rsid w:val="00D84AE5"/>
    <w:rsid w:val="00D84F40"/>
    <w:rsid w:val="00D84FF0"/>
    <w:rsid w:val="00D8507C"/>
    <w:rsid w:val="00D85181"/>
    <w:rsid w:val="00D85321"/>
    <w:rsid w:val="00D85339"/>
    <w:rsid w:val="00D85608"/>
    <w:rsid w:val="00D858D6"/>
    <w:rsid w:val="00D85C64"/>
    <w:rsid w:val="00D8630C"/>
    <w:rsid w:val="00D86429"/>
    <w:rsid w:val="00D86767"/>
    <w:rsid w:val="00D86875"/>
    <w:rsid w:val="00D87190"/>
    <w:rsid w:val="00D87538"/>
    <w:rsid w:val="00D87813"/>
    <w:rsid w:val="00D878C2"/>
    <w:rsid w:val="00D87B8B"/>
    <w:rsid w:val="00D9004B"/>
    <w:rsid w:val="00D9027F"/>
    <w:rsid w:val="00D902AA"/>
    <w:rsid w:val="00D904B1"/>
    <w:rsid w:val="00D90866"/>
    <w:rsid w:val="00D90D84"/>
    <w:rsid w:val="00D90F5B"/>
    <w:rsid w:val="00D91339"/>
    <w:rsid w:val="00D92154"/>
    <w:rsid w:val="00D92CF4"/>
    <w:rsid w:val="00D92D72"/>
    <w:rsid w:val="00D92F20"/>
    <w:rsid w:val="00D92FF1"/>
    <w:rsid w:val="00D9305C"/>
    <w:rsid w:val="00D9313A"/>
    <w:rsid w:val="00D93327"/>
    <w:rsid w:val="00D93439"/>
    <w:rsid w:val="00D9348C"/>
    <w:rsid w:val="00D938EE"/>
    <w:rsid w:val="00D93EAD"/>
    <w:rsid w:val="00D943C2"/>
    <w:rsid w:val="00D946F5"/>
    <w:rsid w:val="00D94CAC"/>
    <w:rsid w:val="00D94FAD"/>
    <w:rsid w:val="00D95224"/>
    <w:rsid w:val="00D95702"/>
    <w:rsid w:val="00D95B4B"/>
    <w:rsid w:val="00D95EDA"/>
    <w:rsid w:val="00D96385"/>
    <w:rsid w:val="00D96493"/>
    <w:rsid w:val="00D9662A"/>
    <w:rsid w:val="00D968D8"/>
    <w:rsid w:val="00D969C8"/>
    <w:rsid w:val="00D969EB"/>
    <w:rsid w:val="00D96C68"/>
    <w:rsid w:val="00D96E57"/>
    <w:rsid w:val="00D96FA3"/>
    <w:rsid w:val="00D978FA"/>
    <w:rsid w:val="00D97B50"/>
    <w:rsid w:val="00D97D89"/>
    <w:rsid w:val="00D97EC3"/>
    <w:rsid w:val="00DA0729"/>
    <w:rsid w:val="00DA0B64"/>
    <w:rsid w:val="00DA0E97"/>
    <w:rsid w:val="00DA1A3E"/>
    <w:rsid w:val="00DA1AA1"/>
    <w:rsid w:val="00DA1D25"/>
    <w:rsid w:val="00DA1D85"/>
    <w:rsid w:val="00DA1DB3"/>
    <w:rsid w:val="00DA25E3"/>
    <w:rsid w:val="00DA27BF"/>
    <w:rsid w:val="00DA2B6B"/>
    <w:rsid w:val="00DA37D3"/>
    <w:rsid w:val="00DA38F7"/>
    <w:rsid w:val="00DA423C"/>
    <w:rsid w:val="00DA434F"/>
    <w:rsid w:val="00DA4504"/>
    <w:rsid w:val="00DA4A01"/>
    <w:rsid w:val="00DA4ADA"/>
    <w:rsid w:val="00DA4C27"/>
    <w:rsid w:val="00DA4D2D"/>
    <w:rsid w:val="00DA5F87"/>
    <w:rsid w:val="00DA602F"/>
    <w:rsid w:val="00DA6157"/>
    <w:rsid w:val="00DA61C6"/>
    <w:rsid w:val="00DA63DF"/>
    <w:rsid w:val="00DA6621"/>
    <w:rsid w:val="00DA66E5"/>
    <w:rsid w:val="00DA6927"/>
    <w:rsid w:val="00DA6CF4"/>
    <w:rsid w:val="00DA6E45"/>
    <w:rsid w:val="00DA6E77"/>
    <w:rsid w:val="00DA7434"/>
    <w:rsid w:val="00DA74DE"/>
    <w:rsid w:val="00DA7772"/>
    <w:rsid w:val="00DA7875"/>
    <w:rsid w:val="00DB00B2"/>
    <w:rsid w:val="00DB05C3"/>
    <w:rsid w:val="00DB0A4E"/>
    <w:rsid w:val="00DB0C20"/>
    <w:rsid w:val="00DB0EAA"/>
    <w:rsid w:val="00DB151F"/>
    <w:rsid w:val="00DB1847"/>
    <w:rsid w:val="00DB1D6C"/>
    <w:rsid w:val="00DB2443"/>
    <w:rsid w:val="00DB2F82"/>
    <w:rsid w:val="00DB32A9"/>
    <w:rsid w:val="00DB3610"/>
    <w:rsid w:val="00DB36C2"/>
    <w:rsid w:val="00DB38F6"/>
    <w:rsid w:val="00DB3C13"/>
    <w:rsid w:val="00DB3C6F"/>
    <w:rsid w:val="00DB3D41"/>
    <w:rsid w:val="00DB43C1"/>
    <w:rsid w:val="00DB49D8"/>
    <w:rsid w:val="00DB5031"/>
    <w:rsid w:val="00DB5154"/>
    <w:rsid w:val="00DB526C"/>
    <w:rsid w:val="00DB53F5"/>
    <w:rsid w:val="00DB5976"/>
    <w:rsid w:val="00DB5B70"/>
    <w:rsid w:val="00DB5CD1"/>
    <w:rsid w:val="00DB5CEB"/>
    <w:rsid w:val="00DB627A"/>
    <w:rsid w:val="00DB6517"/>
    <w:rsid w:val="00DB6748"/>
    <w:rsid w:val="00DB677C"/>
    <w:rsid w:val="00DB67E7"/>
    <w:rsid w:val="00DB706A"/>
    <w:rsid w:val="00DB7263"/>
    <w:rsid w:val="00DB7367"/>
    <w:rsid w:val="00DC0825"/>
    <w:rsid w:val="00DC0989"/>
    <w:rsid w:val="00DC0E11"/>
    <w:rsid w:val="00DC1554"/>
    <w:rsid w:val="00DC1930"/>
    <w:rsid w:val="00DC19B1"/>
    <w:rsid w:val="00DC1FBB"/>
    <w:rsid w:val="00DC211E"/>
    <w:rsid w:val="00DC295F"/>
    <w:rsid w:val="00DC2A88"/>
    <w:rsid w:val="00DC2B76"/>
    <w:rsid w:val="00DC31A1"/>
    <w:rsid w:val="00DC3782"/>
    <w:rsid w:val="00DC3B9C"/>
    <w:rsid w:val="00DC40D1"/>
    <w:rsid w:val="00DC4199"/>
    <w:rsid w:val="00DC4711"/>
    <w:rsid w:val="00DC4A26"/>
    <w:rsid w:val="00DC4DA8"/>
    <w:rsid w:val="00DC50EC"/>
    <w:rsid w:val="00DC592B"/>
    <w:rsid w:val="00DC60C0"/>
    <w:rsid w:val="00DC628B"/>
    <w:rsid w:val="00DC64A3"/>
    <w:rsid w:val="00DC6596"/>
    <w:rsid w:val="00DC669D"/>
    <w:rsid w:val="00DC6716"/>
    <w:rsid w:val="00DC6B88"/>
    <w:rsid w:val="00DC709C"/>
    <w:rsid w:val="00DC754F"/>
    <w:rsid w:val="00DC7587"/>
    <w:rsid w:val="00DC768A"/>
    <w:rsid w:val="00DC76F5"/>
    <w:rsid w:val="00DC7C98"/>
    <w:rsid w:val="00DCD007"/>
    <w:rsid w:val="00DD098D"/>
    <w:rsid w:val="00DD0AAF"/>
    <w:rsid w:val="00DD0B22"/>
    <w:rsid w:val="00DD0C6F"/>
    <w:rsid w:val="00DD0E10"/>
    <w:rsid w:val="00DD11E7"/>
    <w:rsid w:val="00DD158D"/>
    <w:rsid w:val="00DD1A46"/>
    <w:rsid w:val="00DD1C65"/>
    <w:rsid w:val="00DD2EE1"/>
    <w:rsid w:val="00DD38DF"/>
    <w:rsid w:val="00DD3AC9"/>
    <w:rsid w:val="00DD3C44"/>
    <w:rsid w:val="00DD436F"/>
    <w:rsid w:val="00DD4512"/>
    <w:rsid w:val="00DD4F34"/>
    <w:rsid w:val="00DD510A"/>
    <w:rsid w:val="00DD54ED"/>
    <w:rsid w:val="00DD63B8"/>
    <w:rsid w:val="00DD63E7"/>
    <w:rsid w:val="00DD67B5"/>
    <w:rsid w:val="00DD6AB5"/>
    <w:rsid w:val="00DD6E07"/>
    <w:rsid w:val="00DD75E5"/>
    <w:rsid w:val="00DD7686"/>
    <w:rsid w:val="00DD7A38"/>
    <w:rsid w:val="00DE01CA"/>
    <w:rsid w:val="00DE0363"/>
    <w:rsid w:val="00DE0515"/>
    <w:rsid w:val="00DE0851"/>
    <w:rsid w:val="00DE08E9"/>
    <w:rsid w:val="00DE0C3C"/>
    <w:rsid w:val="00DE0EF3"/>
    <w:rsid w:val="00DE1009"/>
    <w:rsid w:val="00DE1340"/>
    <w:rsid w:val="00DE1444"/>
    <w:rsid w:val="00DE156B"/>
    <w:rsid w:val="00DE15FE"/>
    <w:rsid w:val="00DE227F"/>
    <w:rsid w:val="00DE2AF2"/>
    <w:rsid w:val="00DE2BB4"/>
    <w:rsid w:val="00DE2CEA"/>
    <w:rsid w:val="00DE2F26"/>
    <w:rsid w:val="00DE331B"/>
    <w:rsid w:val="00DE3346"/>
    <w:rsid w:val="00DE371F"/>
    <w:rsid w:val="00DE3778"/>
    <w:rsid w:val="00DE3B27"/>
    <w:rsid w:val="00DE3BA4"/>
    <w:rsid w:val="00DE3CE0"/>
    <w:rsid w:val="00DE42C5"/>
    <w:rsid w:val="00DE43B1"/>
    <w:rsid w:val="00DE4C15"/>
    <w:rsid w:val="00DE4D70"/>
    <w:rsid w:val="00DE4FD1"/>
    <w:rsid w:val="00DE5005"/>
    <w:rsid w:val="00DE5044"/>
    <w:rsid w:val="00DE5052"/>
    <w:rsid w:val="00DE506F"/>
    <w:rsid w:val="00DE53DB"/>
    <w:rsid w:val="00DE5457"/>
    <w:rsid w:val="00DE5ED6"/>
    <w:rsid w:val="00DE5F24"/>
    <w:rsid w:val="00DE60FF"/>
    <w:rsid w:val="00DE67E7"/>
    <w:rsid w:val="00DE68DD"/>
    <w:rsid w:val="00DE6D26"/>
    <w:rsid w:val="00DE6D30"/>
    <w:rsid w:val="00DE705F"/>
    <w:rsid w:val="00DE7364"/>
    <w:rsid w:val="00DE74F0"/>
    <w:rsid w:val="00DF014C"/>
    <w:rsid w:val="00DF0330"/>
    <w:rsid w:val="00DF07A1"/>
    <w:rsid w:val="00DF090F"/>
    <w:rsid w:val="00DF1139"/>
    <w:rsid w:val="00DF15B9"/>
    <w:rsid w:val="00DF1B5F"/>
    <w:rsid w:val="00DF204C"/>
    <w:rsid w:val="00DF20E2"/>
    <w:rsid w:val="00DF27FA"/>
    <w:rsid w:val="00DF2AA6"/>
    <w:rsid w:val="00DF417F"/>
    <w:rsid w:val="00DF443F"/>
    <w:rsid w:val="00DF4626"/>
    <w:rsid w:val="00DF469D"/>
    <w:rsid w:val="00DF4804"/>
    <w:rsid w:val="00DF4AC0"/>
    <w:rsid w:val="00DF4E8B"/>
    <w:rsid w:val="00DF53E3"/>
    <w:rsid w:val="00DF6107"/>
    <w:rsid w:val="00DF685E"/>
    <w:rsid w:val="00DF68E6"/>
    <w:rsid w:val="00DF6A0A"/>
    <w:rsid w:val="00DF7120"/>
    <w:rsid w:val="00DF7442"/>
    <w:rsid w:val="00DF75CA"/>
    <w:rsid w:val="00DF7972"/>
    <w:rsid w:val="00DF7BA8"/>
    <w:rsid w:val="00DF7EA8"/>
    <w:rsid w:val="00E000D4"/>
    <w:rsid w:val="00E01409"/>
    <w:rsid w:val="00E01CCA"/>
    <w:rsid w:val="00E01EB8"/>
    <w:rsid w:val="00E02361"/>
    <w:rsid w:val="00E0238D"/>
    <w:rsid w:val="00E025DB"/>
    <w:rsid w:val="00E026D2"/>
    <w:rsid w:val="00E028B7"/>
    <w:rsid w:val="00E02A91"/>
    <w:rsid w:val="00E031A8"/>
    <w:rsid w:val="00E034DF"/>
    <w:rsid w:val="00E03A46"/>
    <w:rsid w:val="00E03FC8"/>
    <w:rsid w:val="00E04195"/>
    <w:rsid w:val="00E046DF"/>
    <w:rsid w:val="00E04915"/>
    <w:rsid w:val="00E0495F"/>
    <w:rsid w:val="00E05244"/>
    <w:rsid w:val="00E0533E"/>
    <w:rsid w:val="00E0604D"/>
    <w:rsid w:val="00E0653D"/>
    <w:rsid w:val="00E065BF"/>
    <w:rsid w:val="00E066DD"/>
    <w:rsid w:val="00E06951"/>
    <w:rsid w:val="00E0696E"/>
    <w:rsid w:val="00E06BD8"/>
    <w:rsid w:val="00E07194"/>
    <w:rsid w:val="00E073CE"/>
    <w:rsid w:val="00E0745F"/>
    <w:rsid w:val="00E0790D"/>
    <w:rsid w:val="00E10117"/>
    <w:rsid w:val="00E10164"/>
    <w:rsid w:val="00E101D3"/>
    <w:rsid w:val="00E1052C"/>
    <w:rsid w:val="00E109F6"/>
    <w:rsid w:val="00E1109F"/>
    <w:rsid w:val="00E11112"/>
    <w:rsid w:val="00E1167D"/>
    <w:rsid w:val="00E11921"/>
    <w:rsid w:val="00E11A5F"/>
    <w:rsid w:val="00E11E16"/>
    <w:rsid w:val="00E121ED"/>
    <w:rsid w:val="00E122B8"/>
    <w:rsid w:val="00E122F8"/>
    <w:rsid w:val="00E1289B"/>
    <w:rsid w:val="00E12A42"/>
    <w:rsid w:val="00E12C1F"/>
    <w:rsid w:val="00E12E5B"/>
    <w:rsid w:val="00E12EB2"/>
    <w:rsid w:val="00E130B8"/>
    <w:rsid w:val="00E13708"/>
    <w:rsid w:val="00E138A7"/>
    <w:rsid w:val="00E13A1B"/>
    <w:rsid w:val="00E13C8B"/>
    <w:rsid w:val="00E13CD3"/>
    <w:rsid w:val="00E13FF8"/>
    <w:rsid w:val="00E14312"/>
    <w:rsid w:val="00E1448C"/>
    <w:rsid w:val="00E14500"/>
    <w:rsid w:val="00E14599"/>
    <w:rsid w:val="00E145E0"/>
    <w:rsid w:val="00E14789"/>
    <w:rsid w:val="00E1480F"/>
    <w:rsid w:val="00E14996"/>
    <w:rsid w:val="00E14AA3"/>
    <w:rsid w:val="00E14C6A"/>
    <w:rsid w:val="00E14D8F"/>
    <w:rsid w:val="00E154E4"/>
    <w:rsid w:val="00E155A1"/>
    <w:rsid w:val="00E15637"/>
    <w:rsid w:val="00E157BF"/>
    <w:rsid w:val="00E15894"/>
    <w:rsid w:val="00E15D66"/>
    <w:rsid w:val="00E160E6"/>
    <w:rsid w:val="00E161E7"/>
    <w:rsid w:val="00E1628A"/>
    <w:rsid w:val="00E16645"/>
    <w:rsid w:val="00E16950"/>
    <w:rsid w:val="00E16AAE"/>
    <w:rsid w:val="00E178B0"/>
    <w:rsid w:val="00E20101"/>
    <w:rsid w:val="00E206E8"/>
    <w:rsid w:val="00E21080"/>
    <w:rsid w:val="00E210C9"/>
    <w:rsid w:val="00E211D6"/>
    <w:rsid w:val="00E216C0"/>
    <w:rsid w:val="00E220F3"/>
    <w:rsid w:val="00E224EC"/>
    <w:rsid w:val="00E22B77"/>
    <w:rsid w:val="00E22DFE"/>
    <w:rsid w:val="00E22F25"/>
    <w:rsid w:val="00E2348E"/>
    <w:rsid w:val="00E23D84"/>
    <w:rsid w:val="00E23DFF"/>
    <w:rsid w:val="00E23F7E"/>
    <w:rsid w:val="00E23FE0"/>
    <w:rsid w:val="00E24508"/>
    <w:rsid w:val="00E245C8"/>
    <w:rsid w:val="00E24882"/>
    <w:rsid w:val="00E24F1F"/>
    <w:rsid w:val="00E24F34"/>
    <w:rsid w:val="00E25376"/>
    <w:rsid w:val="00E253D5"/>
    <w:rsid w:val="00E255AF"/>
    <w:rsid w:val="00E25BCB"/>
    <w:rsid w:val="00E25BD2"/>
    <w:rsid w:val="00E26084"/>
    <w:rsid w:val="00E2609D"/>
    <w:rsid w:val="00E26538"/>
    <w:rsid w:val="00E26735"/>
    <w:rsid w:val="00E26777"/>
    <w:rsid w:val="00E27374"/>
    <w:rsid w:val="00E277AE"/>
    <w:rsid w:val="00E278B6"/>
    <w:rsid w:val="00E27911"/>
    <w:rsid w:val="00E27967"/>
    <w:rsid w:val="00E27BA0"/>
    <w:rsid w:val="00E27F9A"/>
    <w:rsid w:val="00E30048"/>
    <w:rsid w:val="00E3053E"/>
    <w:rsid w:val="00E30B4C"/>
    <w:rsid w:val="00E30C06"/>
    <w:rsid w:val="00E3100A"/>
    <w:rsid w:val="00E311AA"/>
    <w:rsid w:val="00E31CEE"/>
    <w:rsid w:val="00E31D66"/>
    <w:rsid w:val="00E31D8C"/>
    <w:rsid w:val="00E31D92"/>
    <w:rsid w:val="00E31F7B"/>
    <w:rsid w:val="00E32A9D"/>
    <w:rsid w:val="00E32FF6"/>
    <w:rsid w:val="00E3369F"/>
    <w:rsid w:val="00E33A2B"/>
    <w:rsid w:val="00E33C42"/>
    <w:rsid w:val="00E33E46"/>
    <w:rsid w:val="00E343A8"/>
    <w:rsid w:val="00E34AD4"/>
    <w:rsid w:val="00E34EE0"/>
    <w:rsid w:val="00E35295"/>
    <w:rsid w:val="00E35315"/>
    <w:rsid w:val="00E3595E"/>
    <w:rsid w:val="00E35A36"/>
    <w:rsid w:val="00E35CE4"/>
    <w:rsid w:val="00E36119"/>
    <w:rsid w:val="00E3633F"/>
    <w:rsid w:val="00E36757"/>
    <w:rsid w:val="00E36762"/>
    <w:rsid w:val="00E36975"/>
    <w:rsid w:val="00E369C5"/>
    <w:rsid w:val="00E36AD9"/>
    <w:rsid w:val="00E36B24"/>
    <w:rsid w:val="00E36BED"/>
    <w:rsid w:val="00E36FAD"/>
    <w:rsid w:val="00E37413"/>
    <w:rsid w:val="00E37443"/>
    <w:rsid w:val="00E3757D"/>
    <w:rsid w:val="00E37BA0"/>
    <w:rsid w:val="00E37E89"/>
    <w:rsid w:val="00E405A1"/>
    <w:rsid w:val="00E4069E"/>
    <w:rsid w:val="00E406C7"/>
    <w:rsid w:val="00E40C23"/>
    <w:rsid w:val="00E411A3"/>
    <w:rsid w:val="00E413FA"/>
    <w:rsid w:val="00E41885"/>
    <w:rsid w:val="00E41F18"/>
    <w:rsid w:val="00E42580"/>
    <w:rsid w:val="00E4274E"/>
    <w:rsid w:val="00E427D6"/>
    <w:rsid w:val="00E4322D"/>
    <w:rsid w:val="00E43796"/>
    <w:rsid w:val="00E43DFC"/>
    <w:rsid w:val="00E4454B"/>
    <w:rsid w:val="00E449A0"/>
    <w:rsid w:val="00E44D31"/>
    <w:rsid w:val="00E44D7C"/>
    <w:rsid w:val="00E44FBF"/>
    <w:rsid w:val="00E454F1"/>
    <w:rsid w:val="00E456EC"/>
    <w:rsid w:val="00E457C2"/>
    <w:rsid w:val="00E45A62"/>
    <w:rsid w:val="00E45C70"/>
    <w:rsid w:val="00E45F9D"/>
    <w:rsid w:val="00E46768"/>
    <w:rsid w:val="00E4676E"/>
    <w:rsid w:val="00E47137"/>
    <w:rsid w:val="00E47566"/>
    <w:rsid w:val="00E479EA"/>
    <w:rsid w:val="00E47A18"/>
    <w:rsid w:val="00E50058"/>
    <w:rsid w:val="00E50605"/>
    <w:rsid w:val="00E50687"/>
    <w:rsid w:val="00E509AD"/>
    <w:rsid w:val="00E50B82"/>
    <w:rsid w:val="00E50D8D"/>
    <w:rsid w:val="00E511E5"/>
    <w:rsid w:val="00E51282"/>
    <w:rsid w:val="00E515C9"/>
    <w:rsid w:val="00E5170A"/>
    <w:rsid w:val="00E51F50"/>
    <w:rsid w:val="00E5221D"/>
    <w:rsid w:val="00E52688"/>
    <w:rsid w:val="00E5294F"/>
    <w:rsid w:val="00E52A2A"/>
    <w:rsid w:val="00E52F99"/>
    <w:rsid w:val="00E5342A"/>
    <w:rsid w:val="00E5348A"/>
    <w:rsid w:val="00E538DF"/>
    <w:rsid w:val="00E5392E"/>
    <w:rsid w:val="00E53BF1"/>
    <w:rsid w:val="00E53E6A"/>
    <w:rsid w:val="00E53FFC"/>
    <w:rsid w:val="00E54446"/>
    <w:rsid w:val="00E5475C"/>
    <w:rsid w:val="00E54B08"/>
    <w:rsid w:val="00E54BE5"/>
    <w:rsid w:val="00E54C2F"/>
    <w:rsid w:val="00E54D6C"/>
    <w:rsid w:val="00E555C3"/>
    <w:rsid w:val="00E55876"/>
    <w:rsid w:val="00E56149"/>
    <w:rsid w:val="00E56BC4"/>
    <w:rsid w:val="00E56D03"/>
    <w:rsid w:val="00E57437"/>
    <w:rsid w:val="00E57891"/>
    <w:rsid w:val="00E579E4"/>
    <w:rsid w:val="00E57BCB"/>
    <w:rsid w:val="00E57C54"/>
    <w:rsid w:val="00E57E7C"/>
    <w:rsid w:val="00E58BD8"/>
    <w:rsid w:val="00E6038C"/>
    <w:rsid w:val="00E60484"/>
    <w:rsid w:val="00E6059F"/>
    <w:rsid w:val="00E611AD"/>
    <w:rsid w:val="00E612F4"/>
    <w:rsid w:val="00E61496"/>
    <w:rsid w:val="00E614D0"/>
    <w:rsid w:val="00E619B4"/>
    <w:rsid w:val="00E61AD4"/>
    <w:rsid w:val="00E61C22"/>
    <w:rsid w:val="00E61C48"/>
    <w:rsid w:val="00E61FE6"/>
    <w:rsid w:val="00E6250D"/>
    <w:rsid w:val="00E625ED"/>
    <w:rsid w:val="00E627FA"/>
    <w:rsid w:val="00E62A54"/>
    <w:rsid w:val="00E62ED4"/>
    <w:rsid w:val="00E62F29"/>
    <w:rsid w:val="00E62F73"/>
    <w:rsid w:val="00E62FEF"/>
    <w:rsid w:val="00E62FF9"/>
    <w:rsid w:val="00E634E9"/>
    <w:rsid w:val="00E63B67"/>
    <w:rsid w:val="00E63B75"/>
    <w:rsid w:val="00E63BBB"/>
    <w:rsid w:val="00E64013"/>
    <w:rsid w:val="00E6418D"/>
    <w:rsid w:val="00E64555"/>
    <w:rsid w:val="00E6507F"/>
    <w:rsid w:val="00E6535F"/>
    <w:rsid w:val="00E65390"/>
    <w:rsid w:val="00E654AA"/>
    <w:rsid w:val="00E667D4"/>
    <w:rsid w:val="00E6699E"/>
    <w:rsid w:val="00E66A2B"/>
    <w:rsid w:val="00E66D5C"/>
    <w:rsid w:val="00E66D7F"/>
    <w:rsid w:val="00E670C5"/>
    <w:rsid w:val="00E67167"/>
    <w:rsid w:val="00E7080C"/>
    <w:rsid w:val="00E70E09"/>
    <w:rsid w:val="00E70E3F"/>
    <w:rsid w:val="00E70F00"/>
    <w:rsid w:val="00E71270"/>
    <w:rsid w:val="00E71435"/>
    <w:rsid w:val="00E71817"/>
    <w:rsid w:val="00E71C81"/>
    <w:rsid w:val="00E71F29"/>
    <w:rsid w:val="00E7271C"/>
    <w:rsid w:val="00E729DA"/>
    <w:rsid w:val="00E72A27"/>
    <w:rsid w:val="00E72C36"/>
    <w:rsid w:val="00E73616"/>
    <w:rsid w:val="00E73F2C"/>
    <w:rsid w:val="00E741B2"/>
    <w:rsid w:val="00E74452"/>
    <w:rsid w:val="00E745FE"/>
    <w:rsid w:val="00E74686"/>
    <w:rsid w:val="00E746C8"/>
    <w:rsid w:val="00E74774"/>
    <w:rsid w:val="00E74938"/>
    <w:rsid w:val="00E74D82"/>
    <w:rsid w:val="00E74F72"/>
    <w:rsid w:val="00E74F96"/>
    <w:rsid w:val="00E75254"/>
    <w:rsid w:val="00E75286"/>
    <w:rsid w:val="00E752A7"/>
    <w:rsid w:val="00E75E83"/>
    <w:rsid w:val="00E76258"/>
    <w:rsid w:val="00E76336"/>
    <w:rsid w:val="00E767ED"/>
    <w:rsid w:val="00E76B87"/>
    <w:rsid w:val="00E76E1B"/>
    <w:rsid w:val="00E775D5"/>
    <w:rsid w:val="00E776CC"/>
    <w:rsid w:val="00E777E4"/>
    <w:rsid w:val="00E778C2"/>
    <w:rsid w:val="00E77908"/>
    <w:rsid w:val="00E779BA"/>
    <w:rsid w:val="00E77BBB"/>
    <w:rsid w:val="00E77ECE"/>
    <w:rsid w:val="00E800B9"/>
    <w:rsid w:val="00E80236"/>
    <w:rsid w:val="00E803BB"/>
    <w:rsid w:val="00E80F55"/>
    <w:rsid w:val="00E810A6"/>
    <w:rsid w:val="00E810B7"/>
    <w:rsid w:val="00E81325"/>
    <w:rsid w:val="00E816AE"/>
    <w:rsid w:val="00E81763"/>
    <w:rsid w:val="00E81C12"/>
    <w:rsid w:val="00E81CF8"/>
    <w:rsid w:val="00E82272"/>
    <w:rsid w:val="00E82586"/>
    <w:rsid w:val="00E82777"/>
    <w:rsid w:val="00E8297D"/>
    <w:rsid w:val="00E82BBE"/>
    <w:rsid w:val="00E82BD9"/>
    <w:rsid w:val="00E82C32"/>
    <w:rsid w:val="00E82E94"/>
    <w:rsid w:val="00E83361"/>
    <w:rsid w:val="00E83371"/>
    <w:rsid w:val="00E837E8"/>
    <w:rsid w:val="00E83A10"/>
    <w:rsid w:val="00E8427D"/>
    <w:rsid w:val="00E8428B"/>
    <w:rsid w:val="00E845E0"/>
    <w:rsid w:val="00E84645"/>
    <w:rsid w:val="00E84F78"/>
    <w:rsid w:val="00E850AE"/>
    <w:rsid w:val="00E8550D"/>
    <w:rsid w:val="00E85522"/>
    <w:rsid w:val="00E85638"/>
    <w:rsid w:val="00E8576B"/>
    <w:rsid w:val="00E859C3"/>
    <w:rsid w:val="00E863F2"/>
    <w:rsid w:val="00E8693F"/>
    <w:rsid w:val="00E8694F"/>
    <w:rsid w:val="00E86C85"/>
    <w:rsid w:val="00E86D5F"/>
    <w:rsid w:val="00E86EF7"/>
    <w:rsid w:val="00E877D3"/>
    <w:rsid w:val="00E900C2"/>
    <w:rsid w:val="00E903B9"/>
    <w:rsid w:val="00E90C57"/>
    <w:rsid w:val="00E90F02"/>
    <w:rsid w:val="00E90FCB"/>
    <w:rsid w:val="00E91AD5"/>
    <w:rsid w:val="00E91C6B"/>
    <w:rsid w:val="00E9280C"/>
    <w:rsid w:val="00E93230"/>
    <w:rsid w:val="00E9372F"/>
    <w:rsid w:val="00E93891"/>
    <w:rsid w:val="00E93C0C"/>
    <w:rsid w:val="00E93C85"/>
    <w:rsid w:val="00E9405B"/>
    <w:rsid w:val="00E943F5"/>
    <w:rsid w:val="00E9473C"/>
    <w:rsid w:val="00E94CCE"/>
    <w:rsid w:val="00E9510E"/>
    <w:rsid w:val="00E9550F"/>
    <w:rsid w:val="00E9552F"/>
    <w:rsid w:val="00E95540"/>
    <w:rsid w:val="00E95607"/>
    <w:rsid w:val="00E95801"/>
    <w:rsid w:val="00E9586A"/>
    <w:rsid w:val="00E95EC1"/>
    <w:rsid w:val="00E964E0"/>
    <w:rsid w:val="00E9696F"/>
    <w:rsid w:val="00E96BD3"/>
    <w:rsid w:val="00E974EE"/>
    <w:rsid w:val="00E97967"/>
    <w:rsid w:val="00E97A52"/>
    <w:rsid w:val="00E97A8D"/>
    <w:rsid w:val="00E97D3C"/>
    <w:rsid w:val="00E97E3F"/>
    <w:rsid w:val="00EA04D9"/>
    <w:rsid w:val="00EA06D6"/>
    <w:rsid w:val="00EA0709"/>
    <w:rsid w:val="00EA0A1D"/>
    <w:rsid w:val="00EA0BFF"/>
    <w:rsid w:val="00EA0CA8"/>
    <w:rsid w:val="00EA16AD"/>
    <w:rsid w:val="00EA17C1"/>
    <w:rsid w:val="00EA18DA"/>
    <w:rsid w:val="00EA1A03"/>
    <w:rsid w:val="00EA1FFA"/>
    <w:rsid w:val="00EA2059"/>
    <w:rsid w:val="00EA2122"/>
    <w:rsid w:val="00EA222D"/>
    <w:rsid w:val="00EA237B"/>
    <w:rsid w:val="00EA2610"/>
    <w:rsid w:val="00EA2791"/>
    <w:rsid w:val="00EA2904"/>
    <w:rsid w:val="00EA2F13"/>
    <w:rsid w:val="00EA30B4"/>
    <w:rsid w:val="00EA3421"/>
    <w:rsid w:val="00EA346F"/>
    <w:rsid w:val="00EA3561"/>
    <w:rsid w:val="00EA37DA"/>
    <w:rsid w:val="00EA37FB"/>
    <w:rsid w:val="00EA3A61"/>
    <w:rsid w:val="00EA3BFF"/>
    <w:rsid w:val="00EA4999"/>
    <w:rsid w:val="00EA4F92"/>
    <w:rsid w:val="00EA54C9"/>
    <w:rsid w:val="00EA6114"/>
    <w:rsid w:val="00EA6C98"/>
    <w:rsid w:val="00EA6CDF"/>
    <w:rsid w:val="00EA7021"/>
    <w:rsid w:val="00EA70CD"/>
    <w:rsid w:val="00EA721B"/>
    <w:rsid w:val="00EA741B"/>
    <w:rsid w:val="00EA75DC"/>
    <w:rsid w:val="00EA770F"/>
    <w:rsid w:val="00EA78A6"/>
    <w:rsid w:val="00EA7D7C"/>
    <w:rsid w:val="00EB00FB"/>
    <w:rsid w:val="00EB0254"/>
    <w:rsid w:val="00EB0A01"/>
    <w:rsid w:val="00EB0CB6"/>
    <w:rsid w:val="00EB0E98"/>
    <w:rsid w:val="00EB1159"/>
    <w:rsid w:val="00EB1454"/>
    <w:rsid w:val="00EB14FD"/>
    <w:rsid w:val="00EB16D6"/>
    <w:rsid w:val="00EB1B78"/>
    <w:rsid w:val="00EB1B99"/>
    <w:rsid w:val="00EB2276"/>
    <w:rsid w:val="00EB2280"/>
    <w:rsid w:val="00EB248A"/>
    <w:rsid w:val="00EB26BA"/>
    <w:rsid w:val="00EB26E7"/>
    <w:rsid w:val="00EB28FA"/>
    <w:rsid w:val="00EB2A7D"/>
    <w:rsid w:val="00EB2B7D"/>
    <w:rsid w:val="00EB2E73"/>
    <w:rsid w:val="00EB2F8F"/>
    <w:rsid w:val="00EB2FDC"/>
    <w:rsid w:val="00EB31F9"/>
    <w:rsid w:val="00EB34EB"/>
    <w:rsid w:val="00EB3661"/>
    <w:rsid w:val="00EB400F"/>
    <w:rsid w:val="00EB411E"/>
    <w:rsid w:val="00EB41AF"/>
    <w:rsid w:val="00EB4223"/>
    <w:rsid w:val="00EB434C"/>
    <w:rsid w:val="00EB485C"/>
    <w:rsid w:val="00EB48FF"/>
    <w:rsid w:val="00EB49B9"/>
    <w:rsid w:val="00EB4BD3"/>
    <w:rsid w:val="00EB4FCE"/>
    <w:rsid w:val="00EB5097"/>
    <w:rsid w:val="00EB51FF"/>
    <w:rsid w:val="00EB537E"/>
    <w:rsid w:val="00EB54D6"/>
    <w:rsid w:val="00EB56AE"/>
    <w:rsid w:val="00EB58DF"/>
    <w:rsid w:val="00EB5B98"/>
    <w:rsid w:val="00EB65B0"/>
    <w:rsid w:val="00EB6B22"/>
    <w:rsid w:val="00EB6B40"/>
    <w:rsid w:val="00EB6BA6"/>
    <w:rsid w:val="00EB7130"/>
    <w:rsid w:val="00EB7606"/>
    <w:rsid w:val="00EB7868"/>
    <w:rsid w:val="00EB7A62"/>
    <w:rsid w:val="00EB7A66"/>
    <w:rsid w:val="00EB7D99"/>
    <w:rsid w:val="00EC0044"/>
    <w:rsid w:val="00EC00C4"/>
    <w:rsid w:val="00EC08A1"/>
    <w:rsid w:val="00EC08AB"/>
    <w:rsid w:val="00EC098B"/>
    <w:rsid w:val="00EC0D71"/>
    <w:rsid w:val="00EC16BD"/>
    <w:rsid w:val="00EC1C9C"/>
    <w:rsid w:val="00EC1CC3"/>
    <w:rsid w:val="00EC1EC0"/>
    <w:rsid w:val="00EC1FED"/>
    <w:rsid w:val="00EC210C"/>
    <w:rsid w:val="00EC21DF"/>
    <w:rsid w:val="00EC2298"/>
    <w:rsid w:val="00EC2394"/>
    <w:rsid w:val="00EC251B"/>
    <w:rsid w:val="00EC258C"/>
    <w:rsid w:val="00EC2FCE"/>
    <w:rsid w:val="00EC32AE"/>
    <w:rsid w:val="00EC3722"/>
    <w:rsid w:val="00EC3FB3"/>
    <w:rsid w:val="00EC4795"/>
    <w:rsid w:val="00EC4CE7"/>
    <w:rsid w:val="00EC4E23"/>
    <w:rsid w:val="00EC4ED7"/>
    <w:rsid w:val="00EC4F02"/>
    <w:rsid w:val="00EC5058"/>
    <w:rsid w:val="00EC51F0"/>
    <w:rsid w:val="00EC52AB"/>
    <w:rsid w:val="00EC54E9"/>
    <w:rsid w:val="00EC556C"/>
    <w:rsid w:val="00EC5664"/>
    <w:rsid w:val="00EC5673"/>
    <w:rsid w:val="00EC5E1F"/>
    <w:rsid w:val="00EC64DD"/>
    <w:rsid w:val="00EC6526"/>
    <w:rsid w:val="00EC6868"/>
    <w:rsid w:val="00EC6A44"/>
    <w:rsid w:val="00EC6FD3"/>
    <w:rsid w:val="00EC705F"/>
    <w:rsid w:val="00EC7134"/>
    <w:rsid w:val="00EC79A0"/>
    <w:rsid w:val="00EC7B4C"/>
    <w:rsid w:val="00EC7D6F"/>
    <w:rsid w:val="00EC7E43"/>
    <w:rsid w:val="00ED0241"/>
    <w:rsid w:val="00ED033E"/>
    <w:rsid w:val="00ED09FF"/>
    <w:rsid w:val="00ED0A9B"/>
    <w:rsid w:val="00ED1372"/>
    <w:rsid w:val="00ED1D6C"/>
    <w:rsid w:val="00ED1DD7"/>
    <w:rsid w:val="00ED1EE3"/>
    <w:rsid w:val="00ED2177"/>
    <w:rsid w:val="00ED2341"/>
    <w:rsid w:val="00ED2962"/>
    <w:rsid w:val="00ED2A0F"/>
    <w:rsid w:val="00ED2B01"/>
    <w:rsid w:val="00ED2C90"/>
    <w:rsid w:val="00ED2D09"/>
    <w:rsid w:val="00ED34B8"/>
    <w:rsid w:val="00ED3606"/>
    <w:rsid w:val="00ED3781"/>
    <w:rsid w:val="00ED3C7C"/>
    <w:rsid w:val="00ED3CE0"/>
    <w:rsid w:val="00ED3E31"/>
    <w:rsid w:val="00ED4399"/>
    <w:rsid w:val="00ED475F"/>
    <w:rsid w:val="00ED4766"/>
    <w:rsid w:val="00ED4F3D"/>
    <w:rsid w:val="00ED51D3"/>
    <w:rsid w:val="00ED529C"/>
    <w:rsid w:val="00ED5942"/>
    <w:rsid w:val="00ED5DDA"/>
    <w:rsid w:val="00ED61B7"/>
    <w:rsid w:val="00ED631D"/>
    <w:rsid w:val="00ED63A1"/>
    <w:rsid w:val="00ED651A"/>
    <w:rsid w:val="00ED655D"/>
    <w:rsid w:val="00ED6816"/>
    <w:rsid w:val="00ED6E38"/>
    <w:rsid w:val="00ED7063"/>
    <w:rsid w:val="00ED7158"/>
    <w:rsid w:val="00ED76CF"/>
    <w:rsid w:val="00ED78EF"/>
    <w:rsid w:val="00ED7979"/>
    <w:rsid w:val="00ED7B44"/>
    <w:rsid w:val="00EE0021"/>
    <w:rsid w:val="00EE01BF"/>
    <w:rsid w:val="00EE01C3"/>
    <w:rsid w:val="00EE02D6"/>
    <w:rsid w:val="00EE0371"/>
    <w:rsid w:val="00EE095B"/>
    <w:rsid w:val="00EE0A1D"/>
    <w:rsid w:val="00EE0D82"/>
    <w:rsid w:val="00EE0DC1"/>
    <w:rsid w:val="00EE1317"/>
    <w:rsid w:val="00EE14B5"/>
    <w:rsid w:val="00EE1BF9"/>
    <w:rsid w:val="00EE1CE7"/>
    <w:rsid w:val="00EE243F"/>
    <w:rsid w:val="00EE2489"/>
    <w:rsid w:val="00EE252E"/>
    <w:rsid w:val="00EE2674"/>
    <w:rsid w:val="00EE26C8"/>
    <w:rsid w:val="00EE2B56"/>
    <w:rsid w:val="00EE2D2A"/>
    <w:rsid w:val="00EE2D60"/>
    <w:rsid w:val="00EE2F2A"/>
    <w:rsid w:val="00EE31F0"/>
    <w:rsid w:val="00EE343D"/>
    <w:rsid w:val="00EE382E"/>
    <w:rsid w:val="00EE3CEA"/>
    <w:rsid w:val="00EE3DC8"/>
    <w:rsid w:val="00EE4442"/>
    <w:rsid w:val="00EE4572"/>
    <w:rsid w:val="00EE4A26"/>
    <w:rsid w:val="00EE4A27"/>
    <w:rsid w:val="00EE59BE"/>
    <w:rsid w:val="00EE59C3"/>
    <w:rsid w:val="00EE5A23"/>
    <w:rsid w:val="00EE5A3B"/>
    <w:rsid w:val="00EE5B19"/>
    <w:rsid w:val="00EE5B7F"/>
    <w:rsid w:val="00EE5D49"/>
    <w:rsid w:val="00EE60BA"/>
    <w:rsid w:val="00EE634A"/>
    <w:rsid w:val="00EE6B0A"/>
    <w:rsid w:val="00EE6C54"/>
    <w:rsid w:val="00EE7185"/>
    <w:rsid w:val="00EE76F1"/>
    <w:rsid w:val="00EE7A34"/>
    <w:rsid w:val="00EE7B8A"/>
    <w:rsid w:val="00EE7E69"/>
    <w:rsid w:val="00EE7EEC"/>
    <w:rsid w:val="00EE7F25"/>
    <w:rsid w:val="00EF0570"/>
    <w:rsid w:val="00EF05D2"/>
    <w:rsid w:val="00EF0C75"/>
    <w:rsid w:val="00EF0E17"/>
    <w:rsid w:val="00EF1012"/>
    <w:rsid w:val="00EF120A"/>
    <w:rsid w:val="00EF1235"/>
    <w:rsid w:val="00EF14AD"/>
    <w:rsid w:val="00EF1707"/>
    <w:rsid w:val="00EF240B"/>
    <w:rsid w:val="00EF2BE2"/>
    <w:rsid w:val="00EF2BEF"/>
    <w:rsid w:val="00EF30D8"/>
    <w:rsid w:val="00EF313C"/>
    <w:rsid w:val="00EF3201"/>
    <w:rsid w:val="00EF375E"/>
    <w:rsid w:val="00EF3A35"/>
    <w:rsid w:val="00EF3AC9"/>
    <w:rsid w:val="00EF3BCB"/>
    <w:rsid w:val="00EF3DFE"/>
    <w:rsid w:val="00EF40C9"/>
    <w:rsid w:val="00EF4210"/>
    <w:rsid w:val="00EF4227"/>
    <w:rsid w:val="00EF426E"/>
    <w:rsid w:val="00EF427B"/>
    <w:rsid w:val="00EF457E"/>
    <w:rsid w:val="00EF49FE"/>
    <w:rsid w:val="00EF4E26"/>
    <w:rsid w:val="00EF55AB"/>
    <w:rsid w:val="00EF5789"/>
    <w:rsid w:val="00EF5C49"/>
    <w:rsid w:val="00EF6383"/>
    <w:rsid w:val="00EF651B"/>
    <w:rsid w:val="00EF6621"/>
    <w:rsid w:val="00EF66FF"/>
    <w:rsid w:val="00EF6EA1"/>
    <w:rsid w:val="00EF6F4E"/>
    <w:rsid w:val="00EF711D"/>
    <w:rsid w:val="00EF785A"/>
    <w:rsid w:val="00EF79F2"/>
    <w:rsid w:val="00EF7DB9"/>
    <w:rsid w:val="00EF7EED"/>
    <w:rsid w:val="00EF8960"/>
    <w:rsid w:val="00F00365"/>
    <w:rsid w:val="00F00D35"/>
    <w:rsid w:val="00F00E23"/>
    <w:rsid w:val="00F01607"/>
    <w:rsid w:val="00F01D92"/>
    <w:rsid w:val="00F02206"/>
    <w:rsid w:val="00F026B9"/>
    <w:rsid w:val="00F02762"/>
    <w:rsid w:val="00F02C0B"/>
    <w:rsid w:val="00F02D1D"/>
    <w:rsid w:val="00F0305F"/>
    <w:rsid w:val="00F0347E"/>
    <w:rsid w:val="00F034C9"/>
    <w:rsid w:val="00F0404E"/>
    <w:rsid w:val="00F04307"/>
    <w:rsid w:val="00F0450B"/>
    <w:rsid w:val="00F0490B"/>
    <w:rsid w:val="00F04A70"/>
    <w:rsid w:val="00F04D55"/>
    <w:rsid w:val="00F051E0"/>
    <w:rsid w:val="00F054E1"/>
    <w:rsid w:val="00F05762"/>
    <w:rsid w:val="00F05B2B"/>
    <w:rsid w:val="00F05C72"/>
    <w:rsid w:val="00F05DE4"/>
    <w:rsid w:val="00F061CC"/>
    <w:rsid w:val="00F06239"/>
    <w:rsid w:val="00F06341"/>
    <w:rsid w:val="00F06443"/>
    <w:rsid w:val="00F065A7"/>
    <w:rsid w:val="00F06646"/>
    <w:rsid w:val="00F0680F"/>
    <w:rsid w:val="00F06AA7"/>
    <w:rsid w:val="00F06E2B"/>
    <w:rsid w:val="00F0728B"/>
    <w:rsid w:val="00F07380"/>
    <w:rsid w:val="00F07864"/>
    <w:rsid w:val="00F10000"/>
    <w:rsid w:val="00F101E3"/>
    <w:rsid w:val="00F1047C"/>
    <w:rsid w:val="00F10C3C"/>
    <w:rsid w:val="00F10FBC"/>
    <w:rsid w:val="00F12529"/>
    <w:rsid w:val="00F12692"/>
    <w:rsid w:val="00F12A5B"/>
    <w:rsid w:val="00F132C1"/>
    <w:rsid w:val="00F134CD"/>
    <w:rsid w:val="00F1373A"/>
    <w:rsid w:val="00F1385F"/>
    <w:rsid w:val="00F13A38"/>
    <w:rsid w:val="00F13AD8"/>
    <w:rsid w:val="00F13B3D"/>
    <w:rsid w:val="00F13CD5"/>
    <w:rsid w:val="00F13D0A"/>
    <w:rsid w:val="00F14101"/>
    <w:rsid w:val="00F14178"/>
    <w:rsid w:val="00F14185"/>
    <w:rsid w:val="00F142FC"/>
    <w:rsid w:val="00F143D3"/>
    <w:rsid w:val="00F14581"/>
    <w:rsid w:val="00F14658"/>
    <w:rsid w:val="00F146EB"/>
    <w:rsid w:val="00F14849"/>
    <w:rsid w:val="00F154A0"/>
    <w:rsid w:val="00F156C1"/>
    <w:rsid w:val="00F160D1"/>
    <w:rsid w:val="00F161B2"/>
    <w:rsid w:val="00F162B4"/>
    <w:rsid w:val="00F16AC5"/>
    <w:rsid w:val="00F16BF4"/>
    <w:rsid w:val="00F16C78"/>
    <w:rsid w:val="00F16D19"/>
    <w:rsid w:val="00F17330"/>
    <w:rsid w:val="00F173B0"/>
    <w:rsid w:val="00F17715"/>
    <w:rsid w:val="00F177A9"/>
    <w:rsid w:val="00F17981"/>
    <w:rsid w:val="00F17A36"/>
    <w:rsid w:val="00F20366"/>
    <w:rsid w:val="00F206B8"/>
    <w:rsid w:val="00F20A03"/>
    <w:rsid w:val="00F211FE"/>
    <w:rsid w:val="00F21499"/>
    <w:rsid w:val="00F21759"/>
    <w:rsid w:val="00F21A4C"/>
    <w:rsid w:val="00F21FF4"/>
    <w:rsid w:val="00F223B0"/>
    <w:rsid w:val="00F22453"/>
    <w:rsid w:val="00F224B1"/>
    <w:rsid w:val="00F224E2"/>
    <w:rsid w:val="00F228C2"/>
    <w:rsid w:val="00F230B9"/>
    <w:rsid w:val="00F231F0"/>
    <w:rsid w:val="00F232DD"/>
    <w:rsid w:val="00F233FA"/>
    <w:rsid w:val="00F23648"/>
    <w:rsid w:val="00F23777"/>
    <w:rsid w:val="00F237C4"/>
    <w:rsid w:val="00F23CDF"/>
    <w:rsid w:val="00F23D43"/>
    <w:rsid w:val="00F23E29"/>
    <w:rsid w:val="00F245B2"/>
    <w:rsid w:val="00F245FF"/>
    <w:rsid w:val="00F247B2"/>
    <w:rsid w:val="00F248B7"/>
    <w:rsid w:val="00F24A5E"/>
    <w:rsid w:val="00F24AA8"/>
    <w:rsid w:val="00F25498"/>
    <w:rsid w:val="00F2562A"/>
    <w:rsid w:val="00F2572E"/>
    <w:rsid w:val="00F257E3"/>
    <w:rsid w:val="00F259EF"/>
    <w:rsid w:val="00F25CD9"/>
    <w:rsid w:val="00F25D4C"/>
    <w:rsid w:val="00F25EE4"/>
    <w:rsid w:val="00F2638B"/>
    <w:rsid w:val="00F26395"/>
    <w:rsid w:val="00F263D0"/>
    <w:rsid w:val="00F26569"/>
    <w:rsid w:val="00F26FF7"/>
    <w:rsid w:val="00F27495"/>
    <w:rsid w:val="00F27F93"/>
    <w:rsid w:val="00F30216"/>
    <w:rsid w:val="00F304F7"/>
    <w:rsid w:val="00F30549"/>
    <w:rsid w:val="00F30644"/>
    <w:rsid w:val="00F30847"/>
    <w:rsid w:val="00F30FF3"/>
    <w:rsid w:val="00F310A7"/>
    <w:rsid w:val="00F312A9"/>
    <w:rsid w:val="00F31B50"/>
    <w:rsid w:val="00F31B8D"/>
    <w:rsid w:val="00F31E08"/>
    <w:rsid w:val="00F31F45"/>
    <w:rsid w:val="00F32138"/>
    <w:rsid w:val="00F323D8"/>
    <w:rsid w:val="00F325A8"/>
    <w:rsid w:val="00F3269A"/>
    <w:rsid w:val="00F326EF"/>
    <w:rsid w:val="00F32880"/>
    <w:rsid w:val="00F337D0"/>
    <w:rsid w:val="00F337D7"/>
    <w:rsid w:val="00F337F8"/>
    <w:rsid w:val="00F33CE5"/>
    <w:rsid w:val="00F343D0"/>
    <w:rsid w:val="00F34A1A"/>
    <w:rsid w:val="00F34C1C"/>
    <w:rsid w:val="00F34E21"/>
    <w:rsid w:val="00F35086"/>
    <w:rsid w:val="00F351C6"/>
    <w:rsid w:val="00F360F1"/>
    <w:rsid w:val="00F3620E"/>
    <w:rsid w:val="00F365CC"/>
    <w:rsid w:val="00F368DB"/>
    <w:rsid w:val="00F369BE"/>
    <w:rsid w:val="00F36A8B"/>
    <w:rsid w:val="00F36CE0"/>
    <w:rsid w:val="00F3768E"/>
    <w:rsid w:val="00F37A44"/>
    <w:rsid w:val="00F37DD6"/>
    <w:rsid w:val="00F401C0"/>
    <w:rsid w:val="00F4075B"/>
    <w:rsid w:val="00F40A18"/>
    <w:rsid w:val="00F40DCE"/>
    <w:rsid w:val="00F40EC0"/>
    <w:rsid w:val="00F4107A"/>
    <w:rsid w:val="00F413A3"/>
    <w:rsid w:val="00F4141A"/>
    <w:rsid w:val="00F419BF"/>
    <w:rsid w:val="00F419FC"/>
    <w:rsid w:val="00F41F92"/>
    <w:rsid w:val="00F4273E"/>
    <w:rsid w:val="00F428CE"/>
    <w:rsid w:val="00F42B71"/>
    <w:rsid w:val="00F42E49"/>
    <w:rsid w:val="00F42EC6"/>
    <w:rsid w:val="00F43052"/>
    <w:rsid w:val="00F43053"/>
    <w:rsid w:val="00F431BD"/>
    <w:rsid w:val="00F43354"/>
    <w:rsid w:val="00F43474"/>
    <w:rsid w:val="00F43ACB"/>
    <w:rsid w:val="00F43D5E"/>
    <w:rsid w:val="00F4421E"/>
    <w:rsid w:val="00F44314"/>
    <w:rsid w:val="00F443D9"/>
    <w:rsid w:val="00F446B3"/>
    <w:rsid w:val="00F4483B"/>
    <w:rsid w:val="00F44AED"/>
    <w:rsid w:val="00F44FE0"/>
    <w:rsid w:val="00F44FE9"/>
    <w:rsid w:val="00F45626"/>
    <w:rsid w:val="00F4570A"/>
    <w:rsid w:val="00F45A11"/>
    <w:rsid w:val="00F45AE6"/>
    <w:rsid w:val="00F45B4E"/>
    <w:rsid w:val="00F45BC2"/>
    <w:rsid w:val="00F467C9"/>
    <w:rsid w:val="00F46806"/>
    <w:rsid w:val="00F4693B"/>
    <w:rsid w:val="00F46B54"/>
    <w:rsid w:val="00F470DC"/>
    <w:rsid w:val="00F4743C"/>
    <w:rsid w:val="00F47931"/>
    <w:rsid w:val="00F47B14"/>
    <w:rsid w:val="00F47BA4"/>
    <w:rsid w:val="00F47D61"/>
    <w:rsid w:val="00F47F59"/>
    <w:rsid w:val="00F50113"/>
    <w:rsid w:val="00F501B4"/>
    <w:rsid w:val="00F50555"/>
    <w:rsid w:val="00F509FF"/>
    <w:rsid w:val="00F50BDA"/>
    <w:rsid w:val="00F50E09"/>
    <w:rsid w:val="00F50F93"/>
    <w:rsid w:val="00F51624"/>
    <w:rsid w:val="00F518CD"/>
    <w:rsid w:val="00F51989"/>
    <w:rsid w:val="00F52196"/>
    <w:rsid w:val="00F521AA"/>
    <w:rsid w:val="00F5249C"/>
    <w:rsid w:val="00F52935"/>
    <w:rsid w:val="00F52D57"/>
    <w:rsid w:val="00F535FA"/>
    <w:rsid w:val="00F538BD"/>
    <w:rsid w:val="00F53A05"/>
    <w:rsid w:val="00F53A81"/>
    <w:rsid w:val="00F54155"/>
    <w:rsid w:val="00F542BB"/>
    <w:rsid w:val="00F5444D"/>
    <w:rsid w:val="00F54B0A"/>
    <w:rsid w:val="00F550CA"/>
    <w:rsid w:val="00F55442"/>
    <w:rsid w:val="00F55454"/>
    <w:rsid w:val="00F559B9"/>
    <w:rsid w:val="00F55C6C"/>
    <w:rsid w:val="00F5603A"/>
    <w:rsid w:val="00F563A8"/>
    <w:rsid w:val="00F5671D"/>
    <w:rsid w:val="00F56C08"/>
    <w:rsid w:val="00F56ECC"/>
    <w:rsid w:val="00F57119"/>
    <w:rsid w:val="00F5713F"/>
    <w:rsid w:val="00F5744B"/>
    <w:rsid w:val="00F574B0"/>
    <w:rsid w:val="00F5752A"/>
    <w:rsid w:val="00F57787"/>
    <w:rsid w:val="00F57AD1"/>
    <w:rsid w:val="00F57CF8"/>
    <w:rsid w:val="00F57EDA"/>
    <w:rsid w:val="00F57F9D"/>
    <w:rsid w:val="00F605FF"/>
    <w:rsid w:val="00F6076A"/>
    <w:rsid w:val="00F609C8"/>
    <w:rsid w:val="00F60B6A"/>
    <w:rsid w:val="00F61150"/>
    <w:rsid w:val="00F6168F"/>
    <w:rsid w:val="00F61ADC"/>
    <w:rsid w:val="00F61AF0"/>
    <w:rsid w:val="00F61B0E"/>
    <w:rsid w:val="00F61E20"/>
    <w:rsid w:val="00F61FC4"/>
    <w:rsid w:val="00F61FE0"/>
    <w:rsid w:val="00F620A9"/>
    <w:rsid w:val="00F62351"/>
    <w:rsid w:val="00F6255D"/>
    <w:rsid w:val="00F625A5"/>
    <w:rsid w:val="00F62BDE"/>
    <w:rsid w:val="00F62D6A"/>
    <w:rsid w:val="00F62D7C"/>
    <w:rsid w:val="00F62E23"/>
    <w:rsid w:val="00F63063"/>
    <w:rsid w:val="00F6331E"/>
    <w:rsid w:val="00F637B5"/>
    <w:rsid w:val="00F63DCB"/>
    <w:rsid w:val="00F64024"/>
    <w:rsid w:val="00F648FF"/>
    <w:rsid w:val="00F6511A"/>
    <w:rsid w:val="00F65576"/>
    <w:rsid w:val="00F655CF"/>
    <w:rsid w:val="00F6573E"/>
    <w:rsid w:val="00F65DB4"/>
    <w:rsid w:val="00F65DE3"/>
    <w:rsid w:val="00F65E71"/>
    <w:rsid w:val="00F66542"/>
    <w:rsid w:val="00F669BF"/>
    <w:rsid w:val="00F66A7A"/>
    <w:rsid w:val="00F66A97"/>
    <w:rsid w:val="00F66DCC"/>
    <w:rsid w:val="00F66EB7"/>
    <w:rsid w:val="00F674D1"/>
    <w:rsid w:val="00F67580"/>
    <w:rsid w:val="00F6778F"/>
    <w:rsid w:val="00F678FA"/>
    <w:rsid w:val="00F67B88"/>
    <w:rsid w:val="00F67DFD"/>
    <w:rsid w:val="00F70195"/>
    <w:rsid w:val="00F704B9"/>
    <w:rsid w:val="00F70923"/>
    <w:rsid w:val="00F70E66"/>
    <w:rsid w:val="00F711D9"/>
    <w:rsid w:val="00F71223"/>
    <w:rsid w:val="00F713A8"/>
    <w:rsid w:val="00F713FF"/>
    <w:rsid w:val="00F71B4C"/>
    <w:rsid w:val="00F726C3"/>
    <w:rsid w:val="00F72727"/>
    <w:rsid w:val="00F728FB"/>
    <w:rsid w:val="00F729FC"/>
    <w:rsid w:val="00F72CBF"/>
    <w:rsid w:val="00F72D5E"/>
    <w:rsid w:val="00F72EF0"/>
    <w:rsid w:val="00F73127"/>
    <w:rsid w:val="00F7348A"/>
    <w:rsid w:val="00F735CF"/>
    <w:rsid w:val="00F73A90"/>
    <w:rsid w:val="00F73DD2"/>
    <w:rsid w:val="00F73FCA"/>
    <w:rsid w:val="00F740C2"/>
    <w:rsid w:val="00F74A94"/>
    <w:rsid w:val="00F74E4C"/>
    <w:rsid w:val="00F74F20"/>
    <w:rsid w:val="00F74F36"/>
    <w:rsid w:val="00F74FA3"/>
    <w:rsid w:val="00F754C4"/>
    <w:rsid w:val="00F7568E"/>
    <w:rsid w:val="00F7574D"/>
    <w:rsid w:val="00F75825"/>
    <w:rsid w:val="00F7585A"/>
    <w:rsid w:val="00F75DD3"/>
    <w:rsid w:val="00F75EFA"/>
    <w:rsid w:val="00F76091"/>
    <w:rsid w:val="00F76254"/>
    <w:rsid w:val="00F76306"/>
    <w:rsid w:val="00F7643E"/>
    <w:rsid w:val="00F767BD"/>
    <w:rsid w:val="00F76AD0"/>
    <w:rsid w:val="00F76C46"/>
    <w:rsid w:val="00F76E57"/>
    <w:rsid w:val="00F77100"/>
    <w:rsid w:val="00F772F9"/>
    <w:rsid w:val="00F7748E"/>
    <w:rsid w:val="00F775B0"/>
    <w:rsid w:val="00F77870"/>
    <w:rsid w:val="00F80093"/>
    <w:rsid w:val="00F80585"/>
    <w:rsid w:val="00F80710"/>
    <w:rsid w:val="00F807C0"/>
    <w:rsid w:val="00F80973"/>
    <w:rsid w:val="00F80BA4"/>
    <w:rsid w:val="00F80C38"/>
    <w:rsid w:val="00F80E92"/>
    <w:rsid w:val="00F81243"/>
    <w:rsid w:val="00F81365"/>
    <w:rsid w:val="00F81E63"/>
    <w:rsid w:val="00F81F6A"/>
    <w:rsid w:val="00F82688"/>
    <w:rsid w:val="00F8270A"/>
    <w:rsid w:val="00F82824"/>
    <w:rsid w:val="00F82A4B"/>
    <w:rsid w:val="00F82A80"/>
    <w:rsid w:val="00F82A9D"/>
    <w:rsid w:val="00F82E31"/>
    <w:rsid w:val="00F8305F"/>
    <w:rsid w:val="00F83309"/>
    <w:rsid w:val="00F834CC"/>
    <w:rsid w:val="00F834FA"/>
    <w:rsid w:val="00F83728"/>
    <w:rsid w:val="00F837EC"/>
    <w:rsid w:val="00F8397A"/>
    <w:rsid w:val="00F83A46"/>
    <w:rsid w:val="00F83C55"/>
    <w:rsid w:val="00F83E37"/>
    <w:rsid w:val="00F83F5C"/>
    <w:rsid w:val="00F840A3"/>
    <w:rsid w:val="00F8447D"/>
    <w:rsid w:val="00F8481D"/>
    <w:rsid w:val="00F84EE0"/>
    <w:rsid w:val="00F84F9A"/>
    <w:rsid w:val="00F8531B"/>
    <w:rsid w:val="00F85913"/>
    <w:rsid w:val="00F85FA8"/>
    <w:rsid w:val="00F86277"/>
    <w:rsid w:val="00F864A5"/>
    <w:rsid w:val="00F8653B"/>
    <w:rsid w:val="00F8672D"/>
    <w:rsid w:val="00F868E1"/>
    <w:rsid w:val="00F868F9"/>
    <w:rsid w:val="00F86B09"/>
    <w:rsid w:val="00F87047"/>
    <w:rsid w:val="00F903DC"/>
    <w:rsid w:val="00F904B5"/>
    <w:rsid w:val="00F9057B"/>
    <w:rsid w:val="00F91034"/>
    <w:rsid w:val="00F915D3"/>
    <w:rsid w:val="00F91612"/>
    <w:rsid w:val="00F91861"/>
    <w:rsid w:val="00F918A6"/>
    <w:rsid w:val="00F91B12"/>
    <w:rsid w:val="00F91DBA"/>
    <w:rsid w:val="00F91DD7"/>
    <w:rsid w:val="00F91F8F"/>
    <w:rsid w:val="00F920CB"/>
    <w:rsid w:val="00F923F5"/>
    <w:rsid w:val="00F92694"/>
    <w:rsid w:val="00F92A23"/>
    <w:rsid w:val="00F92A4F"/>
    <w:rsid w:val="00F92B33"/>
    <w:rsid w:val="00F92EFC"/>
    <w:rsid w:val="00F93031"/>
    <w:rsid w:val="00F9367C"/>
    <w:rsid w:val="00F939B3"/>
    <w:rsid w:val="00F93D2E"/>
    <w:rsid w:val="00F93F7D"/>
    <w:rsid w:val="00F943B7"/>
    <w:rsid w:val="00F946F2"/>
    <w:rsid w:val="00F9473B"/>
    <w:rsid w:val="00F94B20"/>
    <w:rsid w:val="00F94C17"/>
    <w:rsid w:val="00F94F58"/>
    <w:rsid w:val="00F94FC5"/>
    <w:rsid w:val="00F950EA"/>
    <w:rsid w:val="00F95120"/>
    <w:rsid w:val="00F953C0"/>
    <w:rsid w:val="00F95434"/>
    <w:rsid w:val="00F95CB8"/>
    <w:rsid w:val="00F965D1"/>
    <w:rsid w:val="00F966C4"/>
    <w:rsid w:val="00F9670E"/>
    <w:rsid w:val="00F9674F"/>
    <w:rsid w:val="00F96DB2"/>
    <w:rsid w:val="00F96F48"/>
    <w:rsid w:val="00F972CD"/>
    <w:rsid w:val="00F972E1"/>
    <w:rsid w:val="00F97BC9"/>
    <w:rsid w:val="00F97CE0"/>
    <w:rsid w:val="00FA05D1"/>
    <w:rsid w:val="00FA064F"/>
    <w:rsid w:val="00FA0AD1"/>
    <w:rsid w:val="00FA0C73"/>
    <w:rsid w:val="00FA0F11"/>
    <w:rsid w:val="00FA13FB"/>
    <w:rsid w:val="00FA14D1"/>
    <w:rsid w:val="00FA18F3"/>
    <w:rsid w:val="00FA1978"/>
    <w:rsid w:val="00FA1B3B"/>
    <w:rsid w:val="00FA1C7A"/>
    <w:rsid w:val="00FA1D0B"/>
    <w:rsid w:val="00FA2053"/>
    <w:rsid w:val="00FA228B"/>
    <w:rsid w:val="00FA252B"/>
    <w:rsid w:val="00FA26A9"/>
    <w:rsid w:val="00FA2788"/>
    <w:rsid w:val="00FA27D6"/>
    <w:rsid w:val="00FA27E8"/>
    <w:rsid w:val="00FA29C6"/>
    <w:rsid w:val="00FA2B38"/>
    <w:rsid w:val="00FA2CA9"/>
    <w:rsid w:val="00FA2D0C"/>
    <w:rsid w:val="00FA2E19"/>
    <w:rsid w:val="00FA30AA"/>
    <w:rsid w:val="00FA376A"/>
    <w:rsid w:val="00FA3D09"/>
    <w:rsid w:val="00FA3E6C"/>
    <w:rsid w:val="00FA4076"/>
    <w:rsid w:val="00FA4222"/>
    <w:rsid w:val="00FA431B"/>
    <w:rsid w:val="00FA488B"/>
    <w:rsid w:val="00FA509E"/>
    <w:rsid w:val="00FA5818"/>
    <w:rsid w:val="00FA639D"/>
    <w:rsid w:val="00FA6573"/>
    <w:rsid w:val="00FA6803"/>
    <w:rsid w:val="00FA6E65"/>
    <w:rsid w:val="00FA6F87"/>
    <w:rsid w:val="00FA7176"/>
    <w:rsid w:val="00FA7269"/>
    <w:rsid w:val="00FA758C"/>
    <w:rsid w:val="00FA7B88"/>
    <w:rsid w:val="00FA7D08"/>
    <w:rsid w:val="00FA919F"/>
    <w:rsid w:val="00FB00E9"/>
    <w:rsid w:val="00FB02C4"/>
    <w:rsid w:val="00FB0392"/>
    <w:rsid w:val="00FB0646"/>
    <w:rsid w:val="00FB0865"/>
    <w:rsid w:val="00FB0970"/>
    <w:rsid w:val="00FB0973"/>
    <w:rsid w:val="00FB0ACF"/>
    <w:rsid w:val="00FB0BBD"/>
    <w:rsid w:val="00FB0C8A"/>
    <w:rsid w:val="00FB119A"/>
    <w:rsid w:val="00FB13D0"/>
    <w:rsid w:val="00FB1697"/>
    <w:rsid w:val="00FB1712"/>
    <w:rsid w:val="00FB18B5"/>
    <w:rsid w:val="00FB1ED0"/>
    <w:rsid w:val="00FB1EF4"/>
    <w:rsid w:val="00FB1EFD"/>
    <w:rsid w:val="00FB22D5"/>
    <w:rsid w:val="00FB22FF"/>
    <w:rsid w:val="00FB27A3"/>
    <w:rsid w:val="00FB2850"/>
    <w:rsid w:val="00FB2D8D"/>
    <w:rsid w:val="00FB2F86"/>
    <w:rsid w:val="00FB30A0"/>
    <w:rsid w:val="00FB3318"/>
    <w:rsid w:val="00FB3969"/>
    <w:rsid w:val="00FB3A0E"/>
    <w:rsid w:val="00FB3E62"/>
    <w:rsid w:val="00FB401F"/>
    <w:rsid w:val="00FB41DE"/>
    <w:rsid w:val="00FB4303"/>
    <w:rsid w:val="00FB432D"/>
    <w:rsid w:val="00FB48AE"/>
    <w:rsid w:val="00FB4B87"/>
    <w:rsid w:val="00FB4C05"/>
    <w:rsid w:val="00FB4FAB"/>
    <w:rsid w:val="00FB5642"/>
    <w:rsid w:val="00FB566F"/>
    <w:rsid w:val="00FB58DB"/>
    <w:rsid w:val="00FB5B22"/>
    <w:rsid w:val="00FB5E56"/>
    <w:rsid w:val="00FB622C"/>
    <w:rsid w:val="00FB6266"/>
    <w:rsid w:val="00FB657F"/>
    <w:rsid w:val="00FB6D83"/>
    <w:rsid w:val="00FB6FBE"/>
    <w:rsid w:val="00FB755D"/>
    <w:rsid w:val="00FB7892"/>
    <w:rsid w:val="00FBF7C8"/>
    <w:rsid w:val="00FC03B1"/>
    <w:rsid w:val="00FC05C9"/>
    <w:rsid w:val="00FC0649"/>
    <w:rsid w:val="00FC1571"/>
    <w:rsid w:val="00FC1669"/>
    <w:rsid w:val="00FC1862"/>
    <w:rsid w:val="00FC1CC0"/>
    <w:rsid w:val="00FC21D9"/>
    <w:rsid w:val="00FC2326"/>
    <w:rsid w:val="00FC3186"/>
    <w:rsid w:val="00FC3191"/>
    <w:rsid w:val="00FC3384"/>
    <w:rsid w:val="00FC33F7"/>
    <w:rsid w:val="00FC3489"/>
    <w:rsid w:val="00FC3B70"/>
    <w:rsid w:val="00FC3C27"/>
    <w:rsid w:val="00FC3C9E"/>
    <w:rsid w:val="00FC3CE1"/>
    <w:rsid w:val="00FC3E57"/>
    <w:rsid w:val="00FC3E76"/>
    <w:rsid w:val="00FC3EE7"/>
    <w:rsid w:val="00FC3F48"/>
    <w:rsid w:val="00FC4A65"/>
    <w:rsid w:val="00FC4C5B"/>
    <w:rsid w:val="00FC4C69"/>
    <w:rsid w:val="00FC5374"/>
    <w:rsid w:val="00FC53E6"/>
    <w:rsid w:val="00FC5A55"/>
    <w:rsid w:val="00FC5C41"/>
    <w:rsid w:val="00FC5E61"/>
    <w:rsid w:val="00FC60DD"/>
    <w:rsid w:val="00FC611B"/>
    <w:rsid w:val="00FC614F"/>
    <w:rsid w:val="00FC65F1"/>
    <w:rsid w:val="00FC66FD"/>
    <w:rsid w:val="00FC7255"/>
    <w:rsid w:val="00FC7329"/>
    <w:rsid w:val="00FC758D"/>
    <w:rsid w:val="00FC7642"/>
    <w:rsid w:val="00FC7796"/>
    <w:rsid w:val="00FC7A66"/>
    <w:rsid w:val="00FC7B45"/>
    <w:rsid w:val="00FC7D5C"/>
    <w:rsid w:val="00FD03C1"/>
    <w:rsid w:val="00FD0459"/>
    <w:rsid w:val="00FD0A23"/>
    <w:rsid w:val="00FD1390"/>
    <w:rsid w:val="00FD13EF"/>
    <w:rsid w:val="00FD1AF3"/>
    <w:rsid w:val="00FD22F2"/>
    <w:rsid w:val="00FD2329"/>
    <w:rsid w:val="00FD2522"/>
    <w:rsid w:val="00FD2527"/>
    <w:rsid w:val="00FD25A2"/>
    <w:rsid w:val="00FD2DAF"/>
    <w:rsid w:val="00FD31D1"/>
    <w:rsid w:val="00FD358F"/>
    <w:rsid w:val="00FD35FE"/>
    <w:rsid w:val="00FD36EB"/>
    <w:rsid w:val="00FD3D90"/>
    <w:rsid w:val="00FD3DDA"/>
    <w:rsid w:val="00FD4134"/>
    <w:rsid w:val="00FD46DE"/>
    <w:rsid w:val="00FD4DC4"/>
    <w:rsid w:val="00FD5096"/>
    <w:rsid w:val="00FD5348"/>
    <w:rsid w:val="00FD5715"/>
    <w:rsid w:val="00FD5BC2"/>
    <w:rsid w:val="00FD5DAF"/>
    <w:rsid w:val="00FD5FB1"/>
    <w:rsid w:val="00FD66D8"/>
    <w:rsid w:val="00FD6942"/>
    <w:rsid w:val="00FD6D08"/>
    <w:rsid w:val="00FD6DDD"/>
    <w:rsid w:val="00FD725C"/>
    <w:rsid w:val="00FD786D"/>
    <w:rsid w:val="00FD78CC"/>
    <w:rsid w:val="00FD796A"/>
    <w:rsid w:val="00FD7FA4"/>
    <w:rsid w:val="00FE04A3"/>
    <w:rsid w:val="00FE0A6A"/>
    <w:rsid w:val="00FE12E3"/>
    <w:rsid w:val="00FE1514"/>
    <w:rsid w:val="00FE1966"/>
    <w:rsid w:val="00FE19C9"/>
    <w:rsid w:val="00FE1A7E"/>
    <w:rsid w:val="00FE20EE"/>
    <w:rsid w:val="00FE297E"/>
    <w:rsid w:val="00FE2BA0"/>
    <w:rsid w:val="00FE34F0"/>
    <w:rsid w:val="00FE3869"/>
    <w:rsid w:val="00FE3A24"/>
    <w:rsid w:val="00FE3EA3"/>
    <w:rsid w:val="00FE43A5"/>
    <w:rsid w:val="00FE4682"/>
    <w:rsid w:val="00FE4760"/>
    <w:rsid w:val="00FE4B74"/>
    <w:rsid w:val="00FE50A6"/>
    <w:rsid w:val="00FE51C8"/>
    <w:rsid w:val="00FE52F0"/>
    <w:rsid w:val="00FE562D"/>
    <w:rsid w:val="00FE573A"/>
    <w:rsid w:val="00FE589A"/>
    <w:rsid w:val="00FE59C9"/>
    <w:rsid w:val="00FE5E32"/>
    <w:rsid w:val="00FE5EB1"/>
    <w:rsid w:val="00FE6040"/>
    <w:rsid w:val="00FE6262"/>
    <w:rsid w:val="00FE64BB"/>
    <w:rsid w:val="00FE6594"/>
    <w:rsid w:val="00FE665D"/>
    <w:rsid w:val="00FE6768"/>
    <w:rsid w:val="00FE6B81"/>
    <w:rsid w:val="00FE6C73"/>
    <w:rsid w:val="00FE79C0"/>
    <w:rsid w:val="00FE7A44"/>
    <w:rsid w:val="00FE7B90"/>
    <w:rsid w:val="00FF0595"/>
    <w:rsid w:val="00FF064F"/>
    <w:rsid w:val="00FF0672"/>
    <w:rsid w:val="00FF0E24"/>
    <w:rsid w:val="00FF1024"/>
    <w:rsid w:val="00FF1569"/>
    <w:rsid w:val="00FF1D3B"/>
    <w:rsid w:val="00FF1FF7"/>
    <w:rsid w:val="00FF20A1"/>
    <w:rsid w:val="00FF22DC"/>
    <w:rsid w:val="00FF2540"/>
    <w:rsid w:val="00FF2625"/>
    <w:rsid w:val="00FF2693"/>
    <w:rsid w:val="00FF26DE"/>
    <w:rsid w:val="00FF26EF"/>
    <w:rsid w:val="00FF28F6"/>
    <w:rsid w:val="00FF2D6C"/>
    <w:rsid w:val="00FF2FB4"/>
    <w:rsid w:val="00FF319C"/>
    <w:rsid w:val="00FF31E7"/>
    <w:rsid w:val="00FF3295"/>
    <w:rsid w:val="00FF3404"/>
    <w:rsid w:val="00FF351A"/>
    <w:rsid w:val="00FF3EB0"/>
    <w:rsid w:val="00FF3EE1"/>
    <w:rsid w:val="00FF449B"/>
    <w:rsid w:val="00FF44A0"/>
    <w:rsid w:val="00FF4678"/>
    <w:rsid w:val="00FF4CB6"/>
    <w:rsid w:val="00FF4F60"/>
    <w:rsid w:val="00FF5047"/>
    <w:rsid w:val="00FF55FF"/>
    <w:rsid w:val="00FF5A37"/>
    <w:rsid w:val="00FF5C61"/>
    <w:rsid w:val="00FF5C68"/>
    <w:rsid w:val="00FF5DAA"/>
    <w:rsid w:val="00FF5F7E"/>
    <w:rsid w:val="00FF61AB"/>
    <w:rsid w:val="00FF63A4"/>
    <w:rsid w:val="00FF6448"/>
    <w:rsid w:val="00FF65A4"/>
    <w:rsid w:val="00FF67FF"/>
    <w:rsid w:val="00FF6868"/>
    <w:rsid w:val="00FF6A2F"/>
    <w:rsid w:val="00FF6AA6"/>
    <w:rsid w:val="00FF6C29"/>
    <w:rsid w:val="00FF7A38"/>
    <w:rsid w:val="00FF7A82"/>
    <w:rsid w:val="00FF7AB9"/>
    <w:rsid w:val="00FF7FF5"/>
    <w:rsid w:val="010B87FD"/>
    <w:rsid w:val="01193E36"/>
    <w:rsid w:val="01216032"/>
    <w:rsid w:val="01332F6D"/>
    <w:rsid w:val="013631AA"/>
    <w:rsid w:val="01384022"/>
    <w:rsid w:val="013E8346"/>
    <w:rsid w:val="01463B21"/>
    <w:rsid w:val="01542D3C"/>
    <w:rsid w:val="0178A0BD"/>
    <w:rsid w:val="0187921E"/>
    <w:rsid w:val="01880096"/>
    <w:rsid w:val="018A7F65"/>
    <w:rsid w:val="01A828BF"/>
    <w:rsid w:val="01B34EE1"/>
    <w:rsid w:val="01B4CADC"/>
    <w:rsid w:val="01C033A8"/>
    <w:rsid w:val="01D11AD7"/>
    <w:rsid w:val="01E3F7D2"/>
    <w:rsid w:val="01EAF440"/>
    <w:rsid w:val="01F1D927"/>
    <w:rsid w:val="01FB1F39"/>
    <w:rsid w:val="0204233A"/>
    <w:rsid w:val="02079301"/>
    <w:rsid w:val="02086C82"/>
    <w:rsid w:val="020C5FAD"/>
    <w:rsid w:val="0222E1AD"/>
    <w:rsid w:val="0225A098"/>
    <w:rsid w:val="022B1D4D"/>
    <w:rsid w:val="022F6898"/>
    <w:rsid w:val="023992D6"/>
    <w:rsid w:val="0248AEE3"/>
    <w:rsid w:val="024BE73E"/>
    <w:rsid w:val="024D14A5"/>
    <w:rsid w:val="028B892B"/>
    <w:rsid w:val="028C32E5"/>
    <w:rsid w:val="028DBB2A"/>
    <w:rsid w:val="02917F80"/>
    <w:rsid w:val="0298FE54"/>
    <w:rsid w:val="02A5A499"/>
    <w:rsid w:val="02A618A1"/>
    <w:rsid w:val="02A6664C"/>
    <w:rsid w:val="02ABBC2E"/>
    <w:rsid w:val="02B1EFBE"/>
    <w:rsid w:val="02B4ED96"/>
    <w:rsid w:val="02B7BB45"/>
    <w:rsid w:val="02BE0DF9"/>
    <w:rsid w:val="02C17D05"/>
    <w:rsid w:val="02CE25D1"/>
    <w:rsid w:val="02D0EB79"/>
    <w:rsid w:val="02DC9362"/>
    <w:rsid w:val="02E5BA78"/>
    <w:rsid w:val="02E7AAA5"/>
    <w:rsid w:val="02E7C196"/>
    <w:rsid w:val="02E80445"/>
    <w:rsid w:val="02EE1A4F"/>
    <w:rsid w:val="02F19243"/>
    <w:rsid w:val="02F7E01B"/>
    <w:rsid w:val="02FAA072"/>
    <w:rsid w:val="0304AFC6"/>
    <w:rsid w:val="0307C2F7"/>
    <w:rsid w:val="0307DB69"/>
    <w:rsid w:val="030AC019"/>
    <w:rsid w:val="032DD1D7"/>
    <w:rsid w:val="032DD967"/>
    <w:rsid w:val="0343456C"/>
    <w:rsid w:val="034D0D49"/>
    <w:rsid w:val="0353A060"/>
    <w:rsid w:val="035B07AD"/>
    <w:rsid w:val="0377CD58"/>
    <w:rsid w:val="0383326C"/>
    <w:rsid w:val="038EC0F7"/>
    <w:rsid w:val="03927EA0"/>
    <w:rsid w:val="039CC97A"/>
    <w:rsid w:val="03AC0B86"/>
    <w:rsid w:val="03BE0737"/>
    <w:rsid w:val="03C4BDCE"/>
    <w:rsid w:val="03DB3A62"/>
    <w:rsid w:val="03DBD48D"/>
    <w:rsid w:val="03DF783D"/>
    <w:rsid w:val="03EA4A21"/>
    <w:rsid w:val="03ED0752"/>
    <w:rsid w:val="040BDF68"/>
    <w:rsid w:val="04111EEB"/>
    <w:rsid w:val="0417DC04"/>
    <w:rsid w:val="042694F4"/>
    <w:rsid w:val="042DFE7B"/>
    <w:rsid w:val="0430A279"/>
    <w:rsid w:val="04371961"/>
    <w:rsid w:val="043BA48A"/>
    <w:rsid w:val="044C0331"/>
    <w:rsid w:val="04570FFB"/>
    <w:rsid w:val="045E925B"/>
    <w:rsid w:val="0466F94C"/>
    <w:rsid w:val="047F2E3E"/>
    <w:rsid w:val="0486E4C2"/>
    <w:rsid w:val="048C3350"/>
    <w:rsid w:val="04930E6A"/>
    <w:rsid w:val="0495DCD3"/>
    <w:rsid w:val="049F2F82"/>
    <w:rsid w:val="04B58B67"/>
    <w:rsid w:val="04B8D752"/>
    <w:rsid w:val="04C68501"/>
    <w:rsid w:val="04C73C33"/>
    <w:rsid w:val="04CD68AB"/>
    <w:rsid w:val="04DCBE1F"/>
    <w:rsid w:val="04DCF5C4"/>
    <w:rsid w:val="04E0C9C8"/>
    <w:rsid w:val="04E6EE10"/>
    <w:rsid w:val="04F8706F"/>
    <w:rsid w:val="04FDB335"/>
    <w:rsid w:val="0500D9B3"/>
    <w:rsid w:val="0504030F"/>
    <w:rsid w:val="051579AC"/>
    <w:rsid w:val="051722E5"/>
    <w:rsid w:val="051BB6E8"/>
    <w:rsid w:val="051BDF0F"/>
    <w:rsid w:val="051DAA26"/>
    <w:rsid w:val="05298A90"/>
    <w:rsid w:val="05304C3D"/>
    <w:rsid w:val="053283DA"/>
    <w:rsid w:val="053FA0A4"/>
    <w:rsid w:val="054A4257"/>
    <w:rsid w:val="05631483"/>
    <w:rsid w:val="056F829A"/>
    <w:rsid w:val="05839446"/>
    <w:rsid w:val="058E4006"/>
    <w:rsid w:val="05969859"/>
    <w:rsid w:val="05A9FCFE"/>
    <w:rsid w:val="05AE82E6"/>
    <w:rsid w:val="05B76AE2"/>
    <w:rsid w:val="05C7CA27"/>
    <w:rsid w:val="05CD6C81"/>
    <w:rsid w:val="05E138E0"/>
    <w:rsid w:val="05E5938C"/>
    <w:rsid w:val="05E90B6D"/>
    <w:rsid w:val="05EF2EB7"/>
    <w:rsid w:val="05EFF010"/>
    <w:rsid w:val="0606AB05"/>
    <w:rsid w:val="060C1F6D"/>
    <w:rsid w:val="061598F6"/>
    <w:rsid w:val="061D5B3A"/>
    <w:rsid w:val="0631764D"/>
    <w:rsid w:val="06521162"/>
    <w:rsid w:val="06719181"/>
    <w:rsid w:val="0677BCEF"/>
    <w:rsid w:val="068DD7C7"/>
    <w:rsid w:val="0696884D"/>
    <w:rsid w:val="06A55F3A"/>
    <w:rsid w:val="06A62D07"/>
    <w:rsid w:val="06B36CDE"/>
    <w:rsid w:val="06CC1354"/>
    <w:rsid w:val="06D7E576"/>
    <w:rsid w:val="06E54FED"/>
    <w:rsid w:val="06F1B78D"/>
    <w:rsid w:val="06F8024C"/>
    <w:rsid w:val="0700306F"/>
    <w:rsid w:val="074CB141"/>
    <w:rsid w:val="075097E0"/>
    <w:rsid w:val="075C2F9B"/>
    <w:rsid w:val="0768C4DE"/>
    <w:rsid w:val="077158F1"/>
    <w:rsid w:val="0771AB74"/>
    <w:rsid w:val="07766793"/>
    <w:rsid w:val="078768BC"/>
    <w:rsid w:val="078D0E41"/>
    <w:rsid w:val="07B92B9B"/>
    <w:rsid w:val="07C34044"/>
    <w:rsid w:val="07C454AA"/>
    <w:rsid w:val="07D6C58C"/>
    <w:rsid w:val="07E7BEA2"/>
    <w:rsid w:val="07ED70BA"/>
    <w:rsid w:val="07F05240"/>
    <w:rsid w:val="080248A4"/>
    <w:rsid w:val="08143C5B"/>
    <w:rsid w:val="08181A26"/>
    <w:rsid w:val="084071B5"/>
    <w:rsid w:val="08459332"/>
    <w:rsid w:val="08518AA4"/>
    <w:rsid w:val="08630FBD"/>
    <w:rsid w:val="086CC316"/>
    <w:rsid w:val="0872EC16"/>
    <w:rsid w:val="0876644B"/>
    <w:rsid w:val="087AFD57"/>
    <w:rsid w:val="0889BAE8"/>
    <w:rsid w:val="088F1C93"/>
    <w:rsid w:val="08A046E2"/>
    <w:rsid w:val="08B49318"/>
    <w:rsid w:val="08D51BC0"/>
    <w:rsid w:val="08E05BCA"/>
    <w:rsid w:val="08E5CF01"/>
    <w:rsid w:val="08F6CF38"/>
    <w:rsid w:val="08FDFB9C"/>
    <w:rsid w:val="0907513F"/>
    <w:rsid w:val="093470E6"/>
    <w:rsid w:val="0934961A"/>
    <w:rsid w:val="095EFA58"/>
    <w:rsid w:val="096D76CF"/>
    <w:rsid w:val="0982C6C7"/>
    <w:rsid w:val="09997279"/>
    <w:rsid w:val="099BD31F"/>
    <w:rsid w:val="09AA3BAF"/>
    <w:rsid w:val="09AA9639"/>
    <w:rsid w:val="09ADCBAC"/>
    <w:rsid w:val="09AE25CC"/>
    <w:rsid w:val="09AE6953"/>
    <w:rsid w:val="09B104B6"/>
    <w:rsid w:val="09B37E4A"/>
    <w:rsid w:val="09B79ABB"/>
    <w:rsid w:val="09C081EF"/>
    <w:rsid w:val="09C52844"/>
    <w:rsid w:val="09CD4DDC"/>
    <w:rsid w:val="09E918DD"/>
    <w:rsid w:val="0A1171A7"/>
    <w:rsid w:val="0A1AD4E5"/>
    <w:rsid w:val="0A20BFF4"/>
    <w:rsid w:val="0A307E90"/>
    <w:rsid w:val="0A3609FA"/>
    <w:rsid w:val="0A57D7BB"/>
    <w:rsid w:val="0A5A9F02"/>
    <w:rsid w:val="0A630F1F"/>
    <w:rsid w:val="0A6A55B7"/>
    <w:rsid w:val="0A6D77B4"/>
    <w:rsid w:val="0A7C19D7"/>
    <w:rsid w:val="0A85E9DE"/>
    <w:rsid w:val="0A953A9C"/>
    <w:rsid w:val="0A9E6122"/>
    <w:rsid w:val="0AB453FC"/>
    <w:rsid w:val="0AB79617"/>
    <w:rsid w:val="0AB9EB9B"/>
    <w:rsid w:val="0ABD9573"/>
    <w:rsid w:val="0AE527AC"/>
    <w:rsid w:val="0AE9D29E"/>
    <w:rsid w:val="0AECEA08"/>
    <w:rsid w:val="0AF0C9C3"/>
    <w:rsid w:val="0AFF9553"/>
    <w:rsid w:val="0B01881E"/>
    <w:rsid w:val="0B018DD0"/>
    <w:rsid w:val="0B02B42C"/>
    <w:rsid w:val="0B03CE44"/>
    <w:rsid w:val="0B0DA1C8"/>
    <w:rsid w:val="0B109AC7"/>
    <w:rsid w:val="0B1B8CCF"/>
    <w:rsid w:val="0B1EF4CB"/>
    <w:rsid w:val="0B22F24F"/>
    <w:rsid w:val="0B2408A3"/>
    <w:rsid w:val="0B2C95C2"/>
    <w:rsid w:val="0B2E9F68"/>
    <w:rsid w:val="0B31979C"/>
    <w:rsid w:val="0B3436EC"/>
    <w:rsid w:val="0B34B734"/>
    <w:rsid w:val="0B4EE228"/>
    <w:rsid w:val="0B53D912"/>
    <w:rsid w:val="0B6140B3"/>
    <w:rsid w:val="0B77AD83"/>
    <w:rsid w:val="0B827375"/>
    <w:rsid w:val="0B8FE5DE"/>
    <w:rsid w:val="0B9475A8"/>
    <w:rsid w:val="0BA66FBE"/>
    <w:rsid w:val="0BA843A4"/>
    <w:rsid w:val="0BB02F4E"/>
    <w:rsid w:val="0BB7551B"/>
    <w:rsid w:val="0BB7847F"/>
    <w:rsid w:val="0BD776C8"/>
    <w:rsid w:val="0BEE09B9"/>
    <w:rsid w:val="0BFB3F10"/>
    <w:rsid w:val="0C256452"/>
    <w:rsid w:val="0C270302"/>
    <w:rsid w:val="0C2BE01B"/>
    <w:rsid w:val="0C2DAE13"/>
    <w:rsid w:val="0C3C770B"/>
    <w:rsid w:val="0C3D44B9"/>
    <w:rsid w:val="0C45CFDD"/>
    <w:rsid w:val="0C528998"/>
    <w:rsid w:val="0C692842"/>
    <w:rsid w:val="0C6E46CA"/>
    <w:rsid w:val="0C7C2C64"/>
    <w:rsid w:val="0C7D96DC"/>
    <w:rsid w:val="0C83595F"/>
    <w:rsid w:val="0C83EEC0"/>
    <w:rsid w:val="0C8B7AFE"/>
    <w:rsid w:val="0C8D47FA"/>
    <w:rsid w:val="0C9D836E"/>
    <w:rsid w:val="0CAC7A59"/>
    <w:rsid w:val="0CB269FC"/>
    <w:rsid w:val="0CB3752C"/>
    <w:rsid w:val="0CBCDC0F"/>
    <w:rsid w:val="0CD9AA8D"/>
    <w:rsid w:val="0CE1DC6D"/>
    <w:rsid w:val="0CE4B733"/>
    <w:rsid w:val="0CEA7FC6"/>
    <w:rsid w:val="0CF9C8C5"/>
    <w:rsid w:val="0CFCE761"/>
    <w:rsid w:val="0CFD0E8E"/>
    <w:rsid w:val="0D057D4D"/>
    <w:rsid w:val="0D0C7C13"/>
    <w:rsid w:val="0D196A58"/>
    <w:rsid w:val="0D30D1B3"/>
    <w:rsid w:val="0D334283"/>
    <w:rsid w:val="0D3455C8"/>
    <w:rsid w:val="0D352F38"/>
    <w:rsid w:val="0D48963C"/>
    <w:rsid w:val="0D48FBB6"/>
    <w:rsid w:val="0D51C484"/>
    <w:rsid w:val="0D59EF03"/>
    <w:rsid w:val="0D643C51"/>
    <w:rsid w:val="0D6582F8"/>
    <w:rsid w:val="0D711011"/>
    <w:rsid w:val="0D767864"/>
    <w:rsid w:val="0D8841D8"/>
    <w:rsid w:val="0D8D5985"/>
    <w:rsid w:val="0D9D53A0"/>
    <w:rsid w:val="0DA5075F"/>
    <w:rsid w:val="0DB832FF"/>
    <w:rsid w:val="0DBD7F9E"/>
    <w:rsid w:val="0DBF5F5C"/>
    <w:rsid w:val="0DD2DA5B"/>
    <w:rsid w:val="0DE39D5D"/>
    <w:rsid w:val="0DF2CB10"/>
    <w:rsid w:val="0DF5F2A6"/>
    <w:rsid w:val="0E018B52"/>
    <w:rsid w:val="0E0A17BA"/>
    <w:rsid w:val="0E0A4778"/>
    <w:rsid w:val="0E0BDFC2"/>
    <w:rsid w:val="0E1681A1"/>
    <w:rsid w:val="0E211A51"/>
    <w:rsid w:val="0E29480F"/>
    <w:rsid w:val="0E29B0C9"/>
    <w:rsid w:val="0E325074"/>
    <w:rsid w:val="0E335E80"/>
    <w:rsid w:val="0E3A5CEB"/>
    <w:rsid w:val="0E3B88A6"/>
    <w:rsid w:val="0E3F6CB2"/>
    <w:rsid w:val="0E465602"/>
    <w:rsid w:val="0E4EBF32"/>
    <w:rsid w:val="0E5AA2B9"/>
    <w:rsid w:val="0E5D4FA3"/>
    <w:rsid w:val="0E5E5B63"/>
    <w:rsid w:val="0E636616"/>
    <w:rsid w:val="0E68A4E9"/>
    <w:rsid w:val="0E7AC76A"/>
    <w:rsid w:val="0E8F81C2"/>
    <w:rsid w:val="0E94AFAE"/>
    <w:rsid w:val="0EAE12B0"/>
    <w:rsid w:val="0EB3AEA9"/>
    <w:rsid w:val="0EC1F32D"/>
    <w:rsid w:val="0EC623AD"/>
    <w:rsid w:val="0EC9E0CB"/>
    <w:rsid w:val="0ED14976"/>
    <w:rsid w:val="0EE4918E"/>
    <w:rsid w:val="0EF5BD2D"/>
    <w:rsid w:val="0F2ABECE"/>
    <w:rsid w:val="0F40BC25"/>
    <w:rsid w:val="0F45FA27"/>
    <w:rsid w:val="0F4EA2A9"/>
    <w:rsid w:val="0F4FCB73"/>
    <w:rsid w:val="0F530BCC"/>
    <w:rsid w:val="0F59C929"/>
    <w:rsid w:val="0F5D533F"/>
    <w:rsid w:val="0F5FC8EA"/>
    <w:rsid w:val="0F8433BA"/>
    <w:rsid w:val="0F8F2D43"/>
    <w:rsid w:val="0F93D4A9"/>
    <w:rsid w:val="0F94EFFD"/>
    <w:rsid w:val="0FA09E41"/>
    <w:rsid w:val="0FA6BE9A"/>
    <w:rsid w:val="0FADDC4F"/>
    <w:rsid w:val="0FC79A79"/>
    <w:rsid w:val="0FCB4080"/>
    <w:rsid w:val="0FCB5C0E"/>
    <w:rsid w:val="0FCD580F"/>
    <w:rsid w:val="0FE30143"/>
    <w:rsid w:val="0FF7CA9D"/>
    <w:rsid w:val="10138AD5"/>
    <w:rsid w:val="10269F77"/>
    <w:rsid w:val="102905F5"/>
    <w:rsid w:val="102C5E9F"/>
    <w:rsid w:val="1034E2F3"/>
    <w:rsid w:val="1036209B"/>
    <w:rsid w:val="103CFC2D"/>
    <w:rsid w:val="103FA866"/>
    <w:rsid w:val="1042CFB8"/>
    <w:rsid w:val="1050B327"/>
    <w:rsid w:val="1050DE17"/>
    <w:rsid w:val="1062C7BB"/>
    <w:rsid w:val="106860A1"/>
    <w:rsid w:val="106C2D97"/>
    <w:rsid w:val="106F9277"/>
    <w:rsid w:val="107290CB"/>
    <w:rsid w:val="107B30F6"/>
    <w:rsid w:val="107BDC53"/>
    <w:rsid w:val="10815CA0"/>
    <w:rsid w:val="109BD5D4"/>
    <w:rsid w:val="10A07BF3"/>
    <w:rsid w:val="10A1EB6C"/>
    <w:rsid w:val="10AF44AF"/>
    <w:rsid w:val="10BF78B5"/>
    <w:rsid w:val="10C0EC0A"/>
    <w:rsid w:val="10D27553"/>
    <w:rsid w:val="10EC84CD"/>
    <w:rsid w:val="11070FE3"/>
    <w:rsid w:val="1116FED6"/>
    <w:rsid w:val="111BE125"/>
    <w:rsid w:val="1130A484"/>
    <w:rsid w:val="11498F30"/>
    <w:rsid w:val="114E38B1"/>
    <w:rsid w:val="1152E79B"/>
    <w:rsid w:val="115368D1"/>
    <w:rsid w:val="115479A3"/>
    <w:rsid w:val="1163071D"/>
    <w:rsid w:val="11798262"/>
    <w:rsid w:val="117F1A96"/>
    <w:rsid w:val="11826EBE"/>
    <w:rsid w:val="118517B1"/>
    <w:rsid w:val="1186080D"/>
    <w:rsid w:val="1189C59B"/>
    <w:rsid w:val="118EB3BE"/>
    <w:rsid w:val="11B776A6"/>
    <w:rsid w:val="11B8D23F"/>
    <w:rsid w:val="11BFBC74"/>
    <w:rsid w:val="11DF4915"/>
    <w:rsid w:val="11E56329"/>
    <w:rsid w:val="11FA8989"/>
    <w:rsid w:val="1202B92D"/>
    <w:rsid w:val="120482C0"/>
    <w:rsid w:val="120AD4E2"/>
    <w:rsid w:val="120C8B09"/>
    <w:rsid w:val="122D511A"/>
    <w:rsid w:val="12306153"/>
    <w:rsid w:val="123E0D2C"/>
    <w:rsid w:val="124B0A78"/>
    <w:rsid w:val="124CCA61"/>
    <w:rsid w:val="124DE63D"/>
    <w:rsid w:val="12502A71"/>
    <w:rsid w:val="126EDB45"/>
    <w:rsid w:val="12755ED3"/>
    <w:rsid w:val="128C0C6F"/>
    <w:rsid w:val="1296E768"/>
    <w:rsid w:val="129CB482"/>
    <w:rsid w:val="12AE9CD1"/>
    <w:rsid w:val="12BE065A"/>
    <w:rsid w:val="12C7F159"/>
    <w:rsid w:val="12CDE9E7"/>
    <w:rsid w:val="12CE2F8A"/>
    <w:rsid w:val="12DE6CE2"/>
    <w:rsid w:val="12EFFBA3"/>
    <w:rsid w:val="12F976F6"/>
    <w:rsid w:val="12FE3343"/>
    <w:rsid w:val="130D8D58"/>
    <w:rsid w:val="130FF955"/>
    <w:rsid w:val="131B8E58"/>
    <w:rsid w:val="131FB26C"/>
    <w:rsid w:val="13248B1A"/>
    <w:rsid w:val="13269305"/>
    <w:rsid w:val="1348537C"/>
    <w:rsid w:val="13652D70"/>
    <w:rsid w:val="13671DB2"/>
    <w:rsid w:val="137C1821"/>
    <w:rsid w:val="138361DE"/>
    <w:rsid w:val="13856B1A"/>
    <w:rsid w:val="13B6C4BF"/>
    <w:rsid w:val="13BFD588"/>
    <w:rsid w:val="13CB2B8A"/>
    <w:rsid w:val="13CE26A0"/>
    <w:rsid w:val="13D2D4FD"/>
    <w:rsid w:val="13DFB2B3"/>
    <w:rsid w:val="140311A2"/>
    <w:rsid w:val="14146CCE"/>
    <w:rsid w:val="141780C5"/>
    <w:rsid w:val="14390357"/>
    <w:rsid w:val="1444A19C"/>
    <w:rsid w:val="14501B65"/>
    <w:rsid w:val="14587970"/>
    <w:rsid w:val="145F04E5"/>
    <w:rsid w:val="146D0C22"/>
    <w:rsid w:val="147C7A82"/>
    <w:rsid w:val="148A4ED2"/>
    <w:rsid w:val="1494D333"/>
    <w:rsid w:val="149B2593"/>
    <w:rsid w:val="149B2CD2"/>
    <w:rsid w:val="14A68B1C"/>
    <w:rsid w:val="14A873AA"/>
    <w:rsid w:val="14AA1714"/>
    <w:rsid w:val="14ACE698"/>
    <w:rsid w:val="14AFA243"/>
    <w:rsid w:val="14BA8303"/>
    <w:rsid w:val="14BB5B57"/>
    <w:rsid w:val="14D14676"/>
    <w:rsid w:val="14D297E3"/>
    <w:rsid w:val="14DF79FA"/>
    <w:rsid w:val="14E022F8"/>
    <w:rsid w:val="14FCD4CE"/>
    <w:rsid w:val="15059C72"/>
    <w:rsid w:val="15154FE2"/>
    <w:rsid w:val="151E3A44"/>
    <w:rsid w:val="152D6CDE"/>
    <w:rsid w:val="1532344C"/>
    <w:rsid w:val="153D1CCB"/>
    <w:rsid w:val="154E9880"/>
    <w:rsid w:val="156A510A"/>
    <w:rsid w:val="156E6701"/>
    <w:rsid w:val="157F8D62"/>
    <w:rsid w:val="15801559"/>
    <w:rsid w:val="158C166A"/>
    <w:rsid w:val="158F8B0C"/>
    <w:rsid w:val="1599FF96"/>
    <w:rsid w:val="15A4197F"/>
    <w:rsid w:val="15AC0637"/>
    <w:rsid w:val="15AC2C9B"/>
    <w:rsid w:val="15B4A82B"/>
    <w:rsid w:val="15C7448F"/>
    <w:rsid w:val="15CA030B"/>
    <w:rsid w:val="15CD38B0"/>
    <w:rsid w:val="15CEF448"/>
    <w:rsid w:val="15EDE5C1"/>
    <w:rsid w:val="15FEF501"/>
    <w:rsid w:val="1613400C"/>
    <w:rsid w:val="1639CE63"/>
    <w:rsid w:val="16443154"/>
    <w:rsid w:val="16568796"/>
    <w:rsid w:val="16754412"/>
    <w:rsid w:val="16798AD6"/>
    <w:rsid w:val="167DE885"/>
    <w:rsid w:val="168F8432"/>
    <w:rsid w:val="169CBA84"/>
    <w:rsid w:val="16B1ECC9"/>
    <w:rsid w:val="16B7A7EB"/>
    <w:rsid w:val="16C4745D"/>
    <w:rsid w:val="16C832E2"/>
    <w:rsid w:val="16C8F1E4"/>
    <w:rsid w:val="16CA45F7"/>
    <w:rsid w:val="16CD8E7F"/>
    <w:rsid w:val="16CDD20A"/>
    <w:rsid w:val="16D98AF2"/>
    <w:rsid w:val="16E53015"/>
    <w:rsid w:val="16E93519"/>
    <w:rsid w:val="170A033E"/>
    <w:rsid w:val="1726CFC2"/>
    <w:rsid w:val="17390EF0"/>
    <w:rsid w:val="1739FC37"/>
    <w:rsid w:val="173C7F62"/>
    <w:rsid w:val="174459C4"/>
    <w:rsid w:val="175F0D82"/>
    <w:rsid w:val="177CEADD"/>
    <w:rsid w:val="1784A98E"/>
    <w:rsid w:val="178FFDB1"/>
    <w:rsid w:val="17921CB0"/>
    <w:rsid w:val="17970889"/>
    <w:rsid w:val="1797B653"/>
    <w:rsid w:val="17A7D82D"/>
    <w:rsid w:val="17B3C401"/>
    <w:rsid w:val="17B571DE"/>
    <w:rsid w:val="17B6EF56"/>
    <w:rsid w:val="17C4C56B"/>
    <w:rsid w:val="17C52E98"/>
    <w:rsid w:val="17D07F64"/>
    <w:rsid w:val="17E79009"/>
    <w:rsid w:val="17F3290F"/>
    <w:rsid w:val="17FD45BB"/>
    <w:rsid w:val="180BDB33"/>
    <w:rsid w:val="1810A20C"/>
    <w:rsid w:val="1814D2B8"/>
    <w:rsid w:val="182C7D87"/>
    <w:rsid w:val="183280CB"/>
    <w:rsid w:val="1832E543"/>
    <w:rsid w:val="183862EC"/>
    <w:rsid w:val="183F6C9A"/>
    <w:rsid w:val="18404A81"/>
    <w:rsid w:val="184674D8"/>
    <w:rsid w:val="184E0FD0"/>
    <w:rsid w:val="1856E5A1"/>
    <w:rsid w:val="185F0B61"/>
    <w:rsid w:val="186260DE"/>
    <w:rsid w:val="186D331C"/>
    <w:rsid w:val="1885E916"/>
    <w:rsid w:val="18976675"/>
    <w:rsid w:val="1897B930"/>
    <w:rsid w:val="189CE505"/>
    <w:rsid w:val="18A066CB"/>
    <w:rsid w:val="18A0B1B2"/>
    <w:rsid w:val="18AB4CCB"/>
    <w:rsid w:val="18AB97EA"/>
    <w:rsid w:val="18B39736"/>
    <w:rsid w:val="18CEDABE"/>
    <w:rsid w:val="18D50897"/>
    <w:rsid w:val="18DAA963"/>
    <w:rsid w:val="18ED980E"/>
    <w:rsid w:val="18F3D6C3"/>
    <w:rsid w:val="18F90CC0"/>
    <w:rsid w:val="1910AF42"/>
    <w:rsid w:val="19115763"/>
    <w:rsid w:val="193C9BC0"/>
    <w:rsid w:val="1941CB93"/>
    <w:rsid w:val="194F9462"/>
    <w:rsid w:val="19522B49"/>
    <w:rsid w:val="1952B05C"/>
    <w:rsid w:val="19530D0C"/>
    <w:rsid w:val="195C15A0"/>
    <w:rsid w:val="19615576"/>
    <w:rsid w:val="19704BD4"/>
    <w:rsid w:val="1986B72F"/>
    <w:rsid w:val="199123C2"/>
    <w:rsid w:val="1993A89B"/>
    <w:rsid w:val="1993FD22"/>
    <w:rsid w:val="19A29EFA"/>
    <w:rsid w:val="19B0C225"/>
    <w:rsid w:val="19B33551"/>
    <w:rsid w:val="19D08B9F"/>
    <w:rsid w:val="19D154C9"/>
    <w:rsid w:val="19E8EA45"/>
    <w:rsid w:val="19EB884D"/>
    <w:rsid w:val="19F184C9"/>
    <w:rsid w:val="19FBA915"/>
    <w:rsid w:val="1A185C71"/>
    <w:rsid w:val="1A1C706A"/>
    <w:rsid w:val="1A24C66D"/>
    <w:rsid w:val="1A327FA7"/>
    <w:rsid w:val="1A354476"/>
    <w:rsid w:val="1A472565"/>
    <w:rsid w:val="1A5F6CD0"/>
    <w:rsid w:val="1A6CAFA5"/>
    <w:rsid w:val="1A6E1E4B"/>
    <w:rsid w:val="1A8C7E4C"/>
    <w:rsid w:val="1A8CC6CE"/>
    <w:rsid w:val="1A8D9FE5"/>
    <w:rsid w:val="1A8DA0D7"/>
    <w:rsid w:val="1A9B5E25"/>
    <w:rsid w:val="1AA02595"/>
    <w:rsid w:val="1AA5787E"/>
    <w:rsid w:val="1AA7C7E2"/>
    <w:rsid w:val="1AAD2468"/>
    <w:rsid w:val="1AAEE32B"/>
    <w:rsid w:val="1AB02F08"/>
    <w:rsid w:val="1AB43D43"/>
    <w:rsid w:val="1ABFE037"/>
    <w:rsid w:val="1ACF9AED"/>
    <w:rsid w:val="1ACF9E4F"/>
    <w:rsid w:val="1AF86EB3"/>
    <w:rsid w:val="1B19B016"/>
    <w:rsid w:val="1B2F608E"/>
    <w:rsid w:val="1B340386"/>
    <w:rsid w:val="1B34AAEB"/>
    <w:rsid w:val="1B3E9DB6"/>
    <w:rsid w:val="1B42F0E9"/>
    <w:rsid w:val="1B5BECF9"/>
    <w:rsid w:val="1B84CC95"/>
    <w:rsid w:val="1B89FA25"/>
    <w:rsid w:val="1B926F2D"/>
    <w:rsid w:val="1B934247"/>
    <w:rsid w:val="1B9E3CDB"/>
    <w:rsid w:val="1B9F8E8E"/>
    <w:rsid w:val="1BA92823"/>
    <w:rsid w:val="1BAAECDC"/>
    <w:rsid w:val="1BB376B7"/>
    <w:rsid w:val="1BB712F1"/>
    <w:rsid w:val="1BBFF7FB"/>
    <w:rsid w:val="1BD0957C"/>
    <w:rsid w:val="1BD819EC"/>
    <w:rsid w:val="1C0D1FE1"/>
    <w:rsid w:val="1C25B09F"/>
    <w:rsid w:val="1C28AA8E"/>
    <w:rsid w:val="1C39812B"/>
    <w:rsid w:val="1C3F938F"/>
    <w:rsid w:val="1C421BE5"/>
    <w:rsid w:val="1C5B7E80"/>
    <w:rsid w:val="1C5BFEB1"/>
    <w:rsid w:val="1C618A85"/>
    <w:rsid w:val="1C700672"/>
    <w:rsid w:val="1C733584"/>
    <w:rsid w:val="1C84E39F"/>
    <w:rsid w:val="1C883A93"/>
    <w:rsid w:val="1C8E6868"/>
    <w:rsid w:val="1C9B8AED"/>
    <w:rsid w:val="1C9CB4AD"/>
    <w:rsid w:val="1C9F2FA3"/>
    <w:rsid w:val="1CA677DF"/>
    <w:rsid w:val="1CB1FF29"/>
    <w:rsid w:val="1CBCB56A"/>
    <w:rsid w:val="1CBEBF86"/>
    <w:rsid w:val="1CD3054F"/>
    <w:rsid w:val="1CDA3FBC"/>
    <w:rsid w:val="1CDCF23A"/>
    <w:rsid w:val="1CE032D3"/>
    <w:rsid w:val="1CE400CA"/>
    <w:rsid w:val="1CF14CE1"/>
    <w:rsid w:val="1CF32792"/>
    <w:rsid w:val="1CFD6347"/>
    <w:rsid w:val="1D0FD544"/>
    <w:rsid w:val="1D1871AA"/>
    <w:rsid w:val="1D1DB59D"/>
    <w:rsid w:val="1D22FF4D"/>
    <w:rsid w:val="1D23F707"/>
    <w:rsid w:val="1D283E7D"/>
    <w:rsid w:val="1D2AABA4"/>
    <w:rsid w:val="1D2CF2C3"/>
    <w:rsid w:val="1D31A273"/>
    <w:rsid w:val="1D3C87C4"/>
    <w:rsid w:val="1D3F21FC"/>
    <w:rsid w:val="1D4176A4"/>
    <w:rsid w:val="1D4227E2"/>
    <w:rsid w:val="1D4920DE"/>
    <w:rsid w:val="1D4F4A7D"/>
    <w:rsid w:val="1D5AC784"/>
    <w:rsid w:val="1D5E38F4"/>
    <w:rsid w:val="1D63147C"/>
    <w:rsid w:val="1D64B448"/>
    <w:rsid w:val="1D69D270"/>
    <w:rsid w:val="1D6C16BE"/>
    <w:rsid w:val="1D8274A2"/>
    <w:rsid w:val="1D8A3AB0"/>
    <w:rsid w:val="1D962020"/>
    <w:rsid w:val="1D9E6BDA"/>
    <w:rsid w:val="1D9E9F11"/>
    <w:rsid w:val="1DA24D69"/>
    <w:rsid w:val="1DBC1E9C"/>
    <w:rsid w:val="1DC55FEB"/>
    <w:rsid w:val="1DC67706"/>
    <w:rsid w:val="1DD950AD"/>
    <w:rsid w:val="1DE6CB84"/>
    <w:rsid w:val="1E34523A"/>
    <w:rsid w:val="1E372997"/>
    <w:rsid w:val="1E42D2CA"/>
    <w:rsid w:val="1E43CE80"/>
    <w:rsid w:val="1E455B6F"/>
    <w:rsid w:val="1E4B8BAC"/>
    <w:rsid w:val="1E5602A8"/>
    <w:rsid w:val="1E649E33"/>
    <w:rsid w:val="1E66C713"/>
    <w:rsid w:val="1E76101D"/>
    <w:rsid w:val="1E9A2479"/>
    <w:rsid w:val="1E9CA021"/>
    <w:rsid w:val="1E9E4F72"/>
    <w:rsid w:val="1EBB6514"/>
    <w:rsid w:val="1EBD02BE"/>
    <w:rsid w:val="1EC558A8"/>
    <w:rsid w:val="1EC63BC0"/>
    <w:rsid w:val="1EDD6BE4"/>
    <w:rsid w:val="1EDF6933"/>
    <w:rsid w:val="1EE1A066"/>
    <w:rsid w:val="1EE29F21"/>
    <w:rsid w:val="1EE55753"/>
    <w:rsid w:val="1EE5F9DB"/>
    <w:rsid w:val="1EFC3824"/>
    <w:rsid w:val="1F0CA717"/>
    <w:rsid w:val="1F137D6F"/>
    <w:rsid w:val="1F1C0909"/>
    <w:rsid w:val="1F2A2A80"/>
    <w:rsid w:val="1F32C530"/>
    <w:rsid w:val="1F3A4162"/>
    <w:rsid w:val="1F40ACA3"/>
    <w:rsid w:val="1F45D0E1"/>
    <w:rsid w:val="1F46B8C5"/>
    <w:rsid w:val="1F4EE5BD"/>
    <w:rsid w:val="1F5DF1A7"/>
    <w:rsid w:val="1F6E4FD9"/>
    <w:rsid w:val="1F88E5A0"/>
    <w:rsid w:val="1F99927D"/>
    <w:rsid w:val="1F9A38E9"/>
    <w:rsid w:val="1F9E96C1"/>
    <w:rsid w:val="1F9EC82F"/>
    <w:rsid w:val="1FA6BCB8"/>
    <w:rsid w:val="1FB39207"/>
    <w:rsid w:val="1FB6402D"/>
    <w:rsid w:val="1FD4F6B6"/>
    <w:rsid w:val="1FE2D2FE"/>
    <w:rsid w:val="1FECE83D"/>
    <w:rsid w:val="1FF3422C"/>
    <w:rsid w:val="1FF58D8C"/>
    <w:rsid w:val="1FFEF062"/>
    <w:rsid w:val="20081C0E"/>
    <w:rsid w:val="201000DE"/>
    <w:rsid w:val="2036BB9A"/>
    <w:rsid w:val="20532028"/>
    <w:rsid w:val="2056422C"/>
    <w:rsid w:val="20566792"/>
    <w:rsid w:val="205D0DC4"/>
    <w:rsid w:val="205D9FCB"/>
    <w:rsid w:val="20618E82"/>
    <w:rsid w:val="2066F926"/>
    <w:rsid w:val="2068603D"/>
    <w:rsid w:val="206B71B2"/>
    <w:rsid w:val="206FCB25"/>
    <w:rsid w:val="2077773E"/>
    <w:rsid w:val="20777EB4"/>
    <w:rsid w:val="207D2EEC"/>
    <w:rsid w:val="2097D1F8"/>
    <w:rsid w:val="209B5939"/>
    <w:rsid w:val="209D53A3"/>
    <w:rsid w:val="209DCDCB"/>
    <w:rsid w:val="209FC704"/>
    <w:rsid w:val="20A20927"/>
    <w:rsid w:val="20A279DB"/>
    <w:rsid w:val="20AA1449"/>
    <w:rsid w:val="20AB33BD"/>
    <w:rsid w:val="20D54235"/>
    <w:rsid w:val="20DFEB33"/>
    <w:rsid w:val="20E31CCD"/>
    <w:rsid w:val="20F9E583"/>
    <w:rsid w:val="20FB6C7B"/>
    <w:rsid w:val="210A21E3"/>
    <w:rsid w:val="211EDE82"/>
    <w:rsid w:val="212BD4F1"/>
    <w:rsid w:val="2139507D"/>
    <w:rsid w:val="213D080D"/>
    <w:rsid w:val="213DDB36"/>
    <w:rsid w:val="2143D27B"/>
    <w:rsid w:val="2154CF61"/>
    <w:rsid w:val="215F04FE"/>
    <w:rsid w:val="21651396"/>
    <w:rsid w:val="217B358D"/>
    <w:rsid w:val="2185DE7B"/>
    <w:rsid w:val="21909C55"/>
    <w:rsid w:val="21969F79"/>
    <w:rsid w:val="219802C7"/>
    <w:rsid w:val="21AB15F5"/>
    <w:rsid w:val="21B0BABF"/>
    <w:rsid w:val="21C7A63B"/>
    <w:rsid w:val="21CCF42B"/>
    <w:rsid w:val="21D04086"/>
    <w:rsid w:val="21DF6D02"/>
    <w:rsid w:val="21DFD1C2"/>
    <w:rsid w:val="21EB17CA"/>
    <w:rsid w:val="220078A5"/>
    <w:rsid w:val="22026EC8"/>
    <w:rsid w:val="2203B136"/>
    <w:rsid w:val="22072068"/>
    <w:rsid w:val="2211277E"/>
    <w:rsid w:val="221476C5"/>
    <w:rsid w:val="221B5CC6"/>
    <w:rsid w:val="221D4069"/>
    <w:rsid w:val="221E7CEC"/>
    <w:rsid w:val="221ED7B0"/>
    <w:rsid w:val="22222A34"/>
    <w:rsid w:val="2226344A"/>
    <w:rsid w:val="222749A3"/>
    <w:rsid w:val="222F2CF0"/>
    <w:rsid w:val="22349CAB"/>
    <w:rsid w:val="223B3389"/>
    <w:rsid w:val="2249B5A6"/>
    <w:rsid w:val="224DF1B5"/>
    <w:rsid w:val="2254951F"/>
    <w:rsid w:val="225E1B9C"/>
    <w:rsid w:val="22605E51"/>
    <w:rsid w:val="22618CD5"/>
    <w:rsid w:val="2275072F"/>
    <w:rsid w:val="2276547B"/>
    <w:rsid w:val="2280D41C"/>
    <w:rsid w:val="2286B58A"/>
    <w:rsid w:val="228A6F00"/>
    <w:rsid w:val="2294CACA"/>
    <w:rsid w:val="2297309C"/>
    <w:rsid w:val="22A3A612"/>
    <w:rsid w:val="22A6404C"/>
    <w:rsid w:val="22A68841"/>
    <w:rsid w:val="22A6FFA9"/>
    <w:rsid w:val="22B94684"/>
    <w:rsid w:val="22CC61C2"/>
    <w:rsid w:val="22CDA7F5"/>
    <w:rsid w:val="22D9013F"/>
    <w:rsid w:val="22DA7D7E"/>
    <w:rsid w:val="22DF2381"/>
    <w:rsid w:val="22EDA9D7"/>
    <w:rsid w:val="231C5367"/>
    <w:rsid w:val="23202094"/>
    <w:rsid w:val="2333A176"/>
    <w:rsid w:val="233D7899"/>
    <w:rsid w:val="233DA15C"/>
    <w:rsid w:val="234A2EE3"/>
    <w:rsid w:val="234E73EC"/>
    <w:rsid w:val="23505E9A"/>
    <w:rsid w:val="2365B730"/>
    <w:rsid w:val="2368C48C"/>
    <w:rsid w:val="237C8C4E"/>
    <w:rsid w:val="23828D47"/>
    <w:rsid w:val="23972DB5"/>
    <w:rsid w:val="239FBDF5"/>
    <w:rsid w:val="23A32C6C"/>
    <w:rsid w:val="23A92CEC"/>
    <w:rsid w:val="23B05E91"/>
    <w:rsid w:val="23B86613"/>
    <w:rsid w:val="23BEF1EE"/>
    <w:rsid w:val="23C3CF6B"/>
    <w:rsid w:val="23C8CDFE"/>
    <w:rsid w:val="23CEA49B"/>
    <w:rsid w:val="23D1B4D4"/>
    <w:rsid w:val="23FBCBE0"/>
    <w:rsid w:val="2400B7B5"/>
    <w:rsid w:val="24013DF9"/>
    <w:rsid w:val="241925C8"/>
    <w:rsid w:val="24244A49"/>
    <w:rsid w:val="244B3B3C"/>
    <w:rsid w:val="245796A5"/>
    <w:rsid w:val="2466BDCC"/>
    <w:rsid w:val="24671720"/>
    <w:rsid w:val="247B3381"/>
    <w:rsid w:val="247FAA31"/>
    <w:rsid w:val="24806986"/>
    <w:rsid w:val="2483E462"/>
    <w:rsid w:val="248F4783"/>
    <w:rsid w:val="24A41ECB"/>
    <w:rsid w:val="24C264D4"/>
    <w:rsid w:val="24D0BB13"/>
    <w:rsid w:val="24D2AD6F"/>
    <w:rsid w:val="24D8D3EB"/>
    <w:rsid w:val="24FCE6A3"/>
    <w:rsid w:val="251CB4C6"/>
    <w:rsid w:val="2531D6E6"/>
    <w:rsid w:val="25404CDC"/>
    <w:rsid w:val="2540CAE2"/>
    <w:rsid w:val="25413780"/>
    <w:rsid w:val="25490234"/>
    <w:rsid w:val="25AA6074"/>
    <w:rsid w:val="25B31FC1"/>
    <w:rsid w:val="25BC3BAF"/>
    <w:rsid w:val="25CFB02C"/>
    <w:rsid w:val="25E2DA81"/>
    <w:rsid w:val="25EA56B0"/>
    <w:rsid w:val="25F2889C"/>
    <w:rsid w:val="25F31DBA"/>
    <w:rsid w:val="25FF7CF2"/>
    <w:rsid w:val="2601B891"/>
    <w:rsid w:val="26025B6E"/>
    <w:rsid w:val="260FA0C0"/>
    <w:rsid w:val="26139873"/>
    <w:rsid w:val="2617DCE1"/>
    <w:rsid w:val="26240B0C"/>
    <w:rsid w:val="262A6E96"/>
    <w:rsid w:val="262B56F4"/>
    <w:rsid w:val="26360DD2"/>
    <w:rsid w:val="2636C4FF"/>
    <w:rsid w:val="263FC8B8"/>
    <w:rsid w:val="26576BFF"/>
    <w:rsid w:val="2665D972"/>
    <w:rsid w:val="266BD9B0"/>
    <w:rsid w:val="266F87F3"/>
    <w:rsid w:val="267A26F3"/>
    <w:rsid w:val="2680498C"/>
    <w:rsid w:val="268503F6"/>
    <w:rsid w:val="26914F95"/>
    <w:rsid w:val="269D39F2"/>
    <w:rsid w:val="26A4AC2C"/>
    <w:rsid w:val="26A5DA73"/>
    <w:rsid w:val="26AA0B55"/>
    <w:rsid w:val="26B3F9C9"/>
    <w:rsid w:val="26C24F75"/>
    <w:rsid w:val="26C4C832"/>
    <w:rsid w:val="26D389EE"/>
    <w:rsid w:val="26DA0326"/>
    <w:rsid w:val="26DC9AB8"/>
    <w:rsid w:val="26DD7A38"/>
    <w:rsid w:val="26FDAE64"/>
    <w:rsid w:val="271D49EA"/>
    <w:rsid w:val="271E775D"/>
    <w:rsid w:val="271FC24E"/>
    <w:rsid w:val="27285769"/>
    <w:rsid w:val="272DF9A1"/>
    <w:rsid w:val="2733CF74"/>
    <w:rsid w:val="27371DE0"/>
    <w:rsid w:val="27413EAF"/>
    <w:rsid w:val="27523B3E"/>
    <w:rsid w:val="275C1512"/>
    <w:rsid w:val="2764B9CA"/>
    <w:rsid w:val="27724A0B"/>
    <w:rsid w:val="2777A38C"/>
    <w:rsid w:val="2778AE9A"/>
    <w:rsid w:val="2780D423"/>
    <w:rsid w:val="279D063B"/>
    <w:rsid w:val="27A06A0C"/>
    <w:rsid w:val="27D2254A"/>
    <w:rsid w:val="27DDBA7D"/>
    <w:rsid w:val="27F2BE99"/>
    <w:rsid w:val="280362A9"/>
    <w:rsid w:val="280B9B08"/>
    <w:rsid w:val="280EAAB9"/>
    <w:rsid w:val="280F76A1"/>
    <w:rsid w:val="283A009F"/>
    <w:rsid w:val="28469FC7"/>
    <w:rsid w:val="28500AAD"/>
    <w:rsid w:val="2857CD1A"/>
    <w:rsid w:val="2859354B"/>
    <w:rsid w:val="285C6BFB"/>
    <w:rsid w:val="2862E5CC"/>
    <w:rsid w:val="286F19A2"/>
    <w:rsid w:val="28914BA1"/>
    <w:rsid w:val="28999909"/>
    <w:rsid w:val="28B00C37"/>
    <w:rsid w:val="28B4162D"/>
    <w:rsid w:val="28BD3FF3"/>
    <w:rsid w:val="28CA7B89"/>
    <w:rsid w:val="28D2EE41"/>
    <w:rsid w:val="28DB5E74"/>
    <w:rsid w:val="28DEB500"/>
    <w:rsid w:val="28F9251C"/>
    <w:rsid w:val="29015679"/>
    <w:rsid w:val="2912B4FB"/>
    <w:rsid w:val="2922FC3D"/>
    <w:rsid w:val="2930505B"/>
    <w:rsid w:val="294047A4"/>
    <w:rsid w:val="2943F840"/>
    <w:rsid w:val="294FC9C1"/>
    <w:rsid w:val="29505D1A"/>
    <w:rsid w:val="29574CD2"/>
    <w:rsid w:val="295B2FBC"/>
    <w:rsid w:val="295D046C"/>
    <w:rsid w:val="295D5F1A"/>
    <w:rsid w:val="295EC3D0"/>
    <w:rsid w:val="296F8C97"/>
    <w:rsid w:val="296FD854"/>
    <w:rsid w:val="2975920E"/>
    <w:rsid w:val="29828851"/>
    <w:rsid w:val="2985FA3A"/>
    <w:rsid w:val="29906939"/>
    <w:rsid w:val="2991B97A"/>
    <w:rsid w:val="2995D5F7"/>
    <w:rsid w:val="29968F6D"/>
    <w:rsid w:val="29B7FDE6"/>
    <w:rsid w:val="29BBBCAE"/>
    <w:rsid w:val="29C9CB29"/>
    <w:rsid w:val="29DC8B39"/>
    <w:rsid w:val="29E3AFD8"/>
    <w:rsid w:val="29F2C35F"/>
    <w:rsid w:val="29FB1901"/>
    <w:rsid w:val="29FCEC6A"/>
    <w:rsid w:val="2A2AA05F"/>
    <w:rsid w:val="2A523DCB"/>
    <w:rsid w:val="2A66F8D8"/>
    <w:rsid w:val="2A67E570"/>
    <w:rsid w:val="2A6CD182"/>
    <w:rsid w:val="2A72F995"/>
    <w:rsid w:val="2A7A329A"/>
    <w:rsid w:val="2AA6B626"/>
    <w:rsid w:val="2ABD3871"/>
    <w:rsid w:val="2AC550E9"/>
    <w:rsid w:val="2ACE3B0D"/>
    <w:rsid w:val="2AE2FD7C"/>
    <w:rsid w:val="2AE91366"/>
    <w:rsid w:val="2AF0804E"/>
    <w:rsid w:val="2AF3937A"/>
    <w:rsid w:val="2AF7DDAD"/>
    <w:rsid w:val="2AF92F7B"/>
    <w:rsid w:val="2AF93F3D"/>
    <w:rsid w:val="2AF9E68E"/>
    <w:rsid w:val="2B098DBE"/>
    <w:rsid w:val="2B0E1698"/>
    <w:rsid w:val="2B162082"/>
    <w:rsid w:val="2B1EC000"/>
    <w:rsid w:val="2B220ADD"/>
    <w:rsid w:val="2B278A0D"/>
    <w:rsid w:val="2B2F34FC"/>
    <w:rsid w:val="2B3BD2F1"/>
    <w:rsid w:val="2B481E4D"/>
    <w:rsid w:val="2B4F5C89"/>
    <w:rsid w:val="2B5A3F61"/>
    <w:rsid w:val="2B5D0B3D"/>
    <w:rsid w:val="2B6435EF"/>
    <w:rsid w:val="2B6B45DE"/>
    <w:rsid w:val="2B7F11B6"/>
    <w:rsid w:val="2B84355E"/>
    <w:rsid w:val="2B8BD318"/>
    <w:rsid w:val="2B923888"/>
    <w:rsid w:val="2B98E79D"/>
    <w:rsid w:val="2BA1E03E"/>
    <w:rsid w:val="2BBDF297"/>
    <w:rsid w:val="2BE803F5"/>
    <w:rsid w:val="2BE97C8A"/>
    <w:rsid w:val="2BEF33DF"/>
    <w:rsid w:val="2C06F2A0"/>
    <w:rsid w:val="2C082BA4"/>
    <w:rsid w:val="2C08700D"/>
    <w:rsid w:val="2C110565"/>
    <w:rsid w:val="2C1775C8"/>
    <w:rsid w:val="2C196A2E"/>
    <w:rsid w:val="2C246C6E"/>
    <w:rsid w:val="2C33EA84"/>
    <w:rsid w:val="2C397C83"/>
    <w:rsid w:val="2C4635EA"/>
    <w:rsid w:val="2C55DF00"/>
    <w:rsid w:val="2C68887C"/>
    <w:rsid w:val="2C76870F"/>
    <w:rsid w:val="2C7AF33C"/>
    <w:rsid w:val="2C8215D7"/>
    <w:rsid w:val="2C876A83"/>
    <w:rsid w:val="2C8A564D"/>
    <w:rsid w:val="2CAB0799"/>
    <w:rsid w:val="2CC18EA0"/>
    <w:rsid w:val="2CC444AB"/>
    <w:rsid w:val="2CC4DDC2"/>
    <w:rsid w:val="2CCEBA3F"/>
    <w:rsid w:val="2CCF2237"/>
    <w:rsid w:val="2CD16A05"/>
    <w:rsid w:val="2CD3D797"/>
    <w:rsid w:val="2CD811A4"/>
    <w:rsid w:val="2CDB420F"/>
    <w:rsid w:val="2CF10746"/>
    <w:rsid w:val="2D06AF41"/>
    <w:rsid w:val="2D110D05"/>
    <w:rsid w:val="2D1B0ECC"/>
    <w:rsid w:val="2D1DF79B"/>
    <w:rsid w:val="2D2BF91E"/>
    <w:rsid w:val="2D408B69"/>
    <w:rsid w:val="2D4E8516"/>
    <w:rsid w:val="2D52468E"/>
    <w:rsid w:val="2D5558AD"/>
    <w:rsid w:val="2D5E90D7"/>
    <w:rsid w:val="2D639F9D"/>
    <w:rsid w:val="2D65A920"/>
    <w:rsid w:val="2D65B956"/>
    <w:rsid w:val="2D6890D2"/>
    <w:rsid w:val="2D7E3B78"/>
    <w:rsid w:val="2D877E38"/>
    <w:rsid w:val="2D8DA9AF"/>
    <w:rsid w:val="2D99E19C"/>
    <w:rsid w:val="2D9B6C6E"/>
    <w:rsid w:val="2DAD7688"/>
    <w:rsid w:val="2DB0F833"/>
    <w:rsid w:val="2DC229A8"/>
    <w:rsid w:val="2DC52285"/>
    <w:rsid w:val="2DC9A2EA"/>
    <w:rsid w:val="2DD32CBE"/>
    <w:rsid w:val="2DD93BEE"/>
    <w:rsid w:val="2DDD5190"/>
    <w:rsid w:val="2DDF4F54"/>
    <w:rsid w:val="2DE9848F"/>
    <w:rsid w:val="2DF6B5A5"/>
    <w:rsid w:val="2DF84345"/>
    <w:rsid w:val="2E033BD3"/>
    <w:rsid w:val="2E117F34"/>
    <w:rsid w:val="2E1CBEA7"/>
    <w:rsid w:val="2E1F8D3D"/>
    <w:rsid w:val="2E2095A8"/>
    <w:rsid w:val="2E256182"/>
    <w:rsid w:val="2E4E19F7"/>
    <w:rsid w:val="2E6186CE"/>
    <w:rsid w:val="2E6705D4"/>
    <w:rsid w:val="2E68E3D6"/>
    <w:rsid w:val="2E6A490D"/>
    <w:rsid w:val="2E6A8AA0"/>
    <w:rsid w:val="2E6DE662"/>
    <w:rsid w:val="2E7704F5"/>
    <w:rsid w:val="2E8291FD"/>
    <w:rsid w:val="2E8BA3BC"/>
    <w:rsid w:val="2EA6A2EF"/>
    <w:rsid w:val="2EB103C2"/>
    <w:rsid w:val="2ECE8A24"/>
    <w:rsid w:val="2EDA7D8C"/>
    <w:rsid w:val="2EDAF917"/>
    <w:rsid w:val="2EE4D2C3"/>
    <w:rsid w:val="2EE8213F"/>
    <w:rsid w:val="2EFDECD7"/>
    <w:rsid w:val="2F168D9D"/>
    <w:rsid w:val="2F169227"/>
    <w:rsid w:val="2F34DFFE"/>
    <w:rsid w:val="2F39134A"/>
    <w:rsid w:val="2F436A5C"/>
    <w:rsid w:val="2F52899F"/>
    <w:rsid w:val="2F5B9F20"/>
    <w:rsid w:val="2F73B318"/>
    <w:rsid w:val="2F87FE06"/>
    <w:rsid w:val="2F91403A"/>
    <w:rsid w:val="2F92FCB9"/>
    <w:rsid w:val="2F9B4C6C"/>
    <w:rsid w:val="2FB003A0"/>
    <w:rsid w:val="2FB13B80"/>
    <w:rsid w:val="2FB197E9"/>
    <w:rsid w:val="2FB4F2F7"/>
    <w:rsid w:val="2FB855C9"/>
    <w:rsid w:val="2FBF0B45"/>
    <w:rsid w:val="2FBF2640"/>
    <w:rsid w:val="2FC42827"/>
    <w:rsid w:val="2FCC86EE"/>
    <w:rsid w:val="2FD3C759"/>
    <w:rsid w:val="2FE87462"/>
    <w:rsid w:val="2FF0ECED"/>
    <w:rsid w:val="2FF5A2E9"/>
    <w:rsid w:val="2FFC1901"/>
    <w:rsid w:val="30058B33"/>
    <w:rsid w:val="301D89F5"/>
    <w:rsid w:val="30257E51"/>
    <w:rsid w:val="30286CF0"/>
    <w:rsid w:val="302B218F"/>
    <w:rsid w:val="303AA680"/>
    <w:rsid w:val="3041242B"/>
    <w:rsid w:val="30434D50"/>
    <w:rsid w:val="30514942"/>
    <w:rsid w:val="3054900F"/>
    <w:rsid w:val="30562CE2"/>
    <w:rsid w:val="305AFD85"/>
    <w:rsid w:val="305C5769"/>
    <w:rsid w:val="30630774"/>
    <w:rsid w:val="30657364"/>
    <w:rsid w:val="3065A07A"/>
    <w:rsid w:val="30694A29"/>
    <w:rsid w:val="306AD0E1"/>
    <w:rsid w:val="30700F53"/>
    <w:rsid w:val="30796206"/>
    <w:rsid w:val="307D84BA"/>
    <w:rsid w:val="3085020D"/>
    <w:rsid w:val="308CE9AE"/>
    <w:rsid w:val="308E58B7"/>
    <w:rsid w:val="30907273"/>
    <w:rsid w:val="3092CAD7"/>
    <w:rsid w:val="30A3BADD"/>
    <w:rsid w:val="30A5D018"/>
    <w:rsid w:val="30A95BE6"/>
    <w:rsid w:val="30A9DE2C"/>
    <w:rsid w:val="30C84ADC"/>
    <w:rsid w:val="30CBF0BF"/>
    <w:rsid w:val="30E7A206"/>
    <w:rsid w:val="30E89753"/>
    <w:rsid w:val="30E8C142"/>
    <w:rsid w:val="30F8DA6E"/>
    <w:rsid w:val="3102609F"/>
    <w:rsid w:val="31093CC9"/>
    <w:rsid w:val="312E627E"/>
    <w:rsid w:val="312F2438"/>
    <w:rsid w:val="314987A6"/>
    <w:rsid w:val="314AD349"/>
    <w:rsid w:val="315FA76A"/>
    <w:rsid w:val="31619619"/>
    <w:rsid w:val="31630FCD"/>
    <w:rsid w:val="31647E5C"/>
    <w:rsid w:val="31677D0D"/>
    <w:rsid w:val="3169A25E"/>
    <w:rsid w:val="316A784E"/>
    <w:rsid w:val="31784CCC"/>
    <w:rsid w:val="317C01C0"/>
    <w:rsid w:val="317C4A9D"/>
    <w:rsid w:val="31A29A0D"/>
    <w:rsid w:val="31A40446"/>
    <w:rsid w:val="31C968E9"/>
    <w:rsid w:val="31CEC862"/>
    <w:rsid w:val="31EA3EF1"/>
    <w:rsid w:val="31F0DACC"/>
    <w:rsid w:val="31F56362"/>
    <w:rsid w:val="31F602B7"/>
    <w:rsid w:val="31F8855C"/>
    <w:rsid w:val="31FB547D"/>
    <w:rsid w:val="31FB5E09"/>
    <w:rsid w:val="31FCC51A"/>
    <w:rsid w:val="31FF6051"/>
    <w:rsid w:val="3220CD11"/>
    <w:rsid w:val="3223C70E"/>
    <w:rsid w:val="3225D93D"/>
    <w:rsid w:val="322ABC84"/>
    <w:rsid w:val="323D1AB2"/>
    <w:rsid w:val="323E37A4"/>
    <w:rsid w:val="324112B8"/>
    <w:rsid w:val="325A0494"/>
    <w:rsid w:val="326E61F9"/>
    <w:rsid w:val="3280D098"/>
    <w:rsid w:val="32908B40"/>
    <w:rsid w:val="329B6150"/>
    <w:rsid w:val="32BFA806"/>
    <w:rsid w:val="32CBA55F"/>
    <w:rsid w:val="32D30209"/>
    <w:rsid w:val="32F63CA8"/>
    <w:rsid w:val="32F96C04"/>
    <w:rsid w:val="3308CFBD"/>
    <w:rsid w:val="331130FE"/>
    <w:rsid w:val="331786A3"/>
    <w:rsid w:val="3337FF93"/>
    <w:rsid w:val="333AEF9D"/>
    <w:rsid w:val="3347BDE4"/>
    <w:rsid w:val="334A2038"/>
    <w:rsid w:val="334A41E9"/>
    <w:rsid w:val="335B0E1C"/>
    <w:rsid w:val="335C66EA"/>
    <w:rsid w:val="335CD65F"/>
    <w:rsid w:val="3361C115"/>
    <w:rsid w:val="33633116"/>
    <w:rsid w:val="3382295F"/>
    <w:rsid w:val="338A22DD"/>
    <w:rsid w:val="338B6868"/>
    <w:rsid w:val="33968F81"/>
    <w:rsid w:val="33978CFB"/>
    <w:rsid w:val="33A21C0C"/>
    <w:rsid w:val="33C2DB48"/>
    <w:rsid w:val="33DA68B9"/>
    <w:rsid w:val="33DE5383"/>
    <w:rsid w:val="33ED76F1"/>
    <w:rsid w:val="33F80453"/>
    <w:rsid w:val="33FA5B17"/>
    <w:rsid w:val="34069C50"/>
    <w:rsid w:val="341574E6"/>
    <w:rsid w:val="3416FE73"/>
    <w:rsid w:val="341FCC12"/>
    <w:rsid w:val="3425DF04"/>
    <w:rsid w:val="342BDD6E"/>
    <w:rsid w:val="34336873"/>
    <w:rsid w:val="343E190E"/>
    <w:rsid w:val="3454EB51"/>
    <w:rsid w:val="34563482"/>
    <w:rsid w:val="3456C557"/>
    <w:rsid w:val="34639334"/>
    <w:rsid w:val="3471FF85"/>
    <w:rsid w:val="34797D35"/>
    <w:rsid w:val="347D5C2B"/>
    <w:rsid w:val="34829F3A"/>
    <w:rsid w:val="3484F6E6"/>
    <w:rsid w:val="348651D5"/>
    <w:rsid w:val="348B69CC"/>
    <w:rsid w:val="348F90A5"/>
    <w:rsid w:val="34958538"/>
    <w:rsid w:val="34968161"/>
    <w:rsid w:val="34A0C6ED"/>
    <w:rsid w:val="34A5ADD9"/>
    <w:rsid w:val="34ABBF53"/>
    <w:rsid w:val="34B44EC1"/>
    <w:rsid w:val="34BA70F6"/>
    <w:rsid w:val="34D2B031"/>
    <w:rsid w:val="34D43883"/>
    <w:rsid w:val="34D854A1"/>
    <w:rsid w:val="34E3E36D"/>
    <w:rsid w:val="34F2EE01"/>
    <w:rsid w:val="34F84FDA"/>
    <w:rsid w:val="351DB59D"/>
    <w:rsid w:val="3537DB93"/>
    <w:rsid w:val="354B94E8"/>
    <w:rsid w:val="35555B18"/>
    <w:rsid w:val="355BE37B"/>
    <w:rsid w:val="35731675"/>
    <w:rsid w:val="3578FCC4"/>
    <w:rsid w:val="3590369D"/>
    <w:rsid w:val="35B5650E"/>
    <w:rsid w:val="35B841F9"/>
    <w:rsid w:val="35B97956"/>
    <w:rsid w:val="35BB9630"/>
    <w:rsid w:val="35BDB288"/>
    <w:rsid w:val="35C37778"/>
    <w:rsid w:val="35D53163"/>
    <w:rsid w:val="35DB9AEE"/>
    <w:rsid w:val="35ED5745"/>
    <w:rsid w:val="35FA8912"/>
    <w:rsid w:val="3600A190"/>
    <w:rsid w:val="3604BF67"/>
    <w:rsid w:val="3605D9F2"/>
    <w:rsid w:val="360B445B"/>
    <w:rsid w:val="36197375"/>
    <w:rsid w:val="36260CCD"/>
    <w:rsid w:val="3627233F"/>
    <w:rsid w:val="36294785"/>
    <w:rsid w:val="362A8BA8"/>
    <w:rsid w:val="36352A77"/>
    <w:rsid w:val="364929E3"/>
    <w:rsid w:val="365686D7"/>
    <w:rsid w:val="365ACB45"/>
    <w:rsid w:val="365EA06F"/>
    <w:rsid w:val="3667E717"/>
    <w:rsid w:val="3668881B"/>
    <w:rsid w:val="366B57E9"/>
    <w:rsid w:val="36785F08"/>
    <w:rsid w:val="367A02CA"/>
    <w:rsid w:val="367C26E7"/>
    <w:rsid w:val="3684AC1B"/>
    <w:rsid w:val="368CF332"/>
    <w:rsid w:val="368E07E4"/>
    <w:rsid w:val="369390BE"/>
    <w:rsid w:val="36A783F3"/>
    <w:rsid w:val="36FE0368"/>
    <w:rsid w:val="36FFB6FB"/>
    <w:rsid w:val="37049B4D"/>
    <w:rsid w:val="370775AD"/>
    <w:rsid w:val="3711939B"/>
    <w:rsid w:val="3724A8B2"/>
    <w:rsid w:val="373072B8"/>
    <w:rsid w:val="3742F102"/>
    <w:rsid w:val="374C0575"/>
    <w:rsid w:val="3764C180"/>
    <w:rsid w:val="3765E7E5"/>
    <w:rsid w:val="376E533E"/>
    <w:rsid w:val="3786E20B"/>
    <w:rsid w:val="378AE02C"/>
    <w:rsid w:val="37963514"/>
    <w:rsid w:val="379EFC60"/>
    <w:rsid w:val="37A7E2AC"/>
    <w:rsid w:val="37AAF4ED"/>
    <w:rsid w:val="37BA5653"/>
    <w:rsid w:val="37BC0A35"/>
    <w:rsid w:val="37DA766E"/>
    <w:rsid w:val="37DB9973"/>
    <w:rsid w:val="381C5AA4"/>
    <w:rsid w:val="382291B6"/>
    <w:rsid w:val="3832380B"/>
    <w:rsid w:val="383816DD"/>
    <w:rsid w:val="3841C8C9"/>
    <w:rsid w:val="384A0B2F"/>
    <w:rsid w:val="385322DC"/>
    <w:rsid w:val="3869074C"/>
    <w:rsid w:val="38772F91"/>
    <w:rsid w:val="3884E5EB"/>
    <w:rsid w:val="38AC032E"/>
    <w:rsid w:val="38B37822"/>
    <w:rsid w:val="38C2BEA2"/>
    <w:rsid w:val="38C7B62C"/>
    <w:rsid w:val="38DEE555"/>
    <w:rsid w:val="38ED15F7"/>
    <w:rsid w:val="38FA5A6A"/>
    <w:rsid w:val="3908B5BE"/>
    <w:rsid w:val="390934E1"/>
    <w:rsid w:val="3913A3DA"/>
    <w:rsid w:val="3913D014"/>
    <w:rsid w:val="39157562"/>
    <w:rsid w:val="39163AE2"/>
    <w:rsid w:val="391B2EE4"/>
    <w:rsid w:val="392824FF"/>
    <w:rsid w:val="393A35B2"/>
    <w:rsid w:val="393C8EBA"/>
    <w:rsid w:val="39510920"/>
    <w:rsid w:val="3959A64E"/>
    <w:rsid w:val="395A8E8E"/>
    <w:rsid w:val="39626EAC"/>
    <w:rsid w:val="397769D4"/>
    <w:rsid w:val="397CB31B"/>
    <w:rsid w:val="397D8470"/>
    <w:rsid w:val="397F328E"/>
    <w:rsid w:val="39863E91"/>
    <w:rsid w:val="398B62CA"/>
    <w:rsid w:val="3996B684"/>
    <w:rsid w:val="3998201A"/>
    <w:rsid w:val="399BC7FF"/>
    <w:rsid w:val="39AA93AF"/>
    <w:rsid w:val="39B3EDBA"/>
    <w:rsid w:val="39BF4D60"/>
    <w:rsid w:val="39C4C5EB"/>
    <w:rsid w:val="39C72D28"/>
    <w:rsid w:val="39C9314D"/>
    <w:rsid w:val="39CB6292"/>
    <w:rsid w:val="39D085CB"/>
    <w:rsid w:val="39D7650F"/>
    <w:rsid w:val="39D98692"/>
    <w:rsid w:val="39F05F88"/>
    <w:rsid w:val="3A122618"/>
    <w:rsid w:val="3A228826"/>
    <w:rsid w:val="3A3EC720"/>
    <w:rsid w:val="3A46F5A3"/>
    <w:rsid w:val="3A48A3F1"/>
    <w:rsid w:val="3A4EDDAC"/>
    <w:rsid w:val="3A5BDAEC"/>
    <w:rsid w:val="3A6148DC"/>
    <w:rsid w:val="3A640E62"/>
    <w:rsid w:val="3A725569"/>
    <w:rsid w:val="3A740637"/>
    <w:rsid w:val="3A8641C7"/>
    <w:rsid w:val="3A868B3B"/>
    <w:rsid w:val="3A87F5B5"/>
    <w:rsid w:val="3A88D78C"/>
    <w:rsid w:val="3A904324"/>
    <w:rsid w:val="3A94827E"/>
    <w:rsid w:val="3AB51102"/>
    <w:rsid w:val="3ABEDF48"/>
    <w:rsid w:val="3AC28F66"/>
    <w:rsid w:val="3AD3182E"/>
    <w:rsid w:val="3AE92D9E"/>
    <w:rsid w:val="3AFB5014"/>
    <w:rsid w:val="3AFCF626"/>
    <w:rsid w:val="3B02F8E7"/>
    <w:rsid w:val="3B05EF46"/>
    <w:rsid w:val="3B1CA19E"/>
    <w:rsid w:val="3B55DF87"/>
    <w:rsid w:val="3B5DD7DA"/>
    <w:rsid w:val="3B71C21A"/>
    <w:rsid w:val="3B73F0E0"/>
    <w:rsid w:val="3B7BF2CB"/>
    <w:rsid w:val="3B7CE697"/>
    <w:rsid w:val="3B7E9727"/>
    <w:rsid w:val="3B86D89B"/>
    <w:rsid w:val="3B9124D2"/>
    <w:rsid w:val="3B94C382"/>
    <w:rsid w:val="3B9B8007"/>
    <w:rsid w:val="3B9F39DD"/>
    <w:rsid w:val="3BAE4FE9"/>
    <w:rsid w:val="3BB36AD4"/>
    <w:rsid w:val="3BBA2768"/>
    <w:rsid w:val="3BBA31A1"/>
    <w:rsid w:val="3BBB5F20"/>
    <w:rsid w:val="3BBC1E20"/>
    <w:rsid w:val="3BBF336D"/>
    <w:rsid w:val="3BBFE8E8"/>
    <w:rsid w:val="3BC10E36"/>
    <w:rsid w:val="3BC6C86D"/>
    <w:rsid w:val="3BCFBB87"/>
    <w:rsid w:val="3BE7037C"/>
    <w:rsid w:val="3BF72C2B"/>
    <w:rsid w:val="3BFE2597"/>
    <w:rsid w:val="3C059B67"/>
    <w:rsid w:val="3C0FA649"/>
    <w:rsid w:val="3C236FE8"/>
    <w:rsid w:val="3C8A18AC"/>
    <w:rsid w:val="3C95FEC4"/>
    <w:rsid w:val="3C9890C2"/>
    <w:rsid w:val="3CB903EA"/>
    <w:rsid w:val="3CC3D42E"/>
    <w:rsid w:val="3CC9DE29"/>
    <w:rsid w:val="3CD00E95"/>
    <w:rsid w:val="3CDCAEE7"/>
    <w:rsid w:val="3CDEEDD4"/>
    <w:rsid w:val="3CE727D4"/>
    <w:rsid w:val="3CFFE005"/>
    <w:rsid w:val="3D067ED6"/>
    <w:rsid w:val="3D1F01A0"/>
    <w:rsid w:val="3D1FA394"/>
    <w:rsid w:val="3D257A64"/>
    <w:rsid w:val="3D3B34C9"/>
    <w:rsid w:val="3D3E1A94"/>
    <w:rsid w:val="3D41941B"/>
    <w:rsid w:val="3D438D52"/>
    <w:rsid w:val="3D4DF75A"/>
    <w:rsid w:val="3D55073C"/>
    <w:rsid w:val="3D572F81"/>
    <w:rsid w:val="3D62F864"/>
    <w:rsid w:val="3D638524"/>
    <w:rsid w:val="3D67B596"/>
    <w:rsid w:val="3D740C74"/>
    <w:rsid w:val="3D81503B"/>
    <w:rsid w:val="3D87E86B"/>
    <w:rsid w:val="3D97559D"/>
    <w:rsid w:val="3DA51856"/>
    <w:rsid w:val="3DAC99F6"/>
    <w:rsid w:val="3DD08A99"/>
    <w:rsid w:val="3DDA4EE4"/>
    <w:rsid w:val="3DDF2FDA"/>
    <w:rsid w:val="3DE00F8A"/>
    <w:rsid w:val="3DF50A31"/>
    <w:rsid w:val="3DF8C56D"/>
    <w:rsid w:val="3E0B863F"/>
    <w:rsid w:val="3E0CBF8E"/>
    <w:rsid w:val="3E15951D"/>
    <w:rsid w:val="3E1748BC"/>
    <w:rsid w:val="3E18E7AF"/>
    <w:rsid w:val="3E19F9D8"/>
    <w:rsid w:val="3E2E1234"/>
    <w:rsid w:val="3E302AED"/>
    <w:rsid w:val="3E338052"/>
    <w:rsid w:val="3E3389D2"/>
    <w:rsid w:val="3E43DED8"/>
    <w:rsid w:val="3E490503"/>
    <w:rsid w:val="3E4BEF3B"/>
    <w:rsid w:val="3E5DD043"/>
    <w:rsid w:val="3E688322"/>
    <w:rsid w:val="3E6D0340"/>
    <w:rsid w:val="3E73FB5B"/>
    <w:rsid w:val="3E7B2704"/>
    <w:rsid w:val="3E9E984D"/>
    <w:rsid w:val="3EB61473"/>
    <w:rsid w:val="3ECA96A6"/>
    <w:rsid w:val="3ECB015D"/>
    <w:rsid w:val="3ED1954E"/>
    <w:rsid w:val="3ED66681"/>
    <w:rsid w:val="3EDAB636"/>
    <w:rsid w:val="3EDF7093"/>
    <w:rsid w:val="3EE214EE"/>
    <w:rsid w:val="3EEC977D"/>
    <w:rsid w:val="3EF91913"/>
    <w:rsid w:val="3EFE4A76"/>
    <w:rsid w:val="3F0FCD0F"/>
    <w:rsid w:val="3F15932A"/>
    <w:rsid w:val="3F175E9E"/>
    <w:rsid w:val="3F2CDCA9"/>
    <w:rsid w:val="3F3319E4"/>
    <w:rsid w:val="3F344583"/>
    <w:rsid w:val="3F590ACA"/>
    <w:rsid w:val="3F5CF434"/>
    <w:rsid w:val="3F602644"/>
    <w:rsid w:val="3F617BAC"/>
    <w:rsid w:val="3F61BEF8"/>
    <w:rsid w:val="3F668BAA"/>
    <w:rsid w:val="3F69F2FE"/>
    <w:rsid w:val="3F876827"/>
    <w:rsid w:val="3F9C3593"/>
    <w:rsid w:val="3FA175A9"/>
    <w:rsid w:val="3FABAA83"/>
    <w:rsid w:val="3FC90A81"/>
    <w:rsid w:val="3FE85A24"/>
    <w:rsid w:val="3FE9AD16"/>
    <w:rsid w:val="3FE9FDE6"/>
    <w:rsid w:val="40009E07"/>
    <w:rsid w:val="40198A3F"/>
    <w:rsid w:val="40332E1C"/>
    <w:rsid w:val="4042578C"/>
    <w:rsid w:val="40456F8C"/>
    <w:rsid w:val="4049AB72"/>
    <w:rsid w:val="405D2CA5"/>
    <w:rsid w:val="407204A1"/>
    <w:rsid w:val="4075ACCC"/>
    <w:rsid w:val="407E3691"/>
    <w:rsid w:val="407F9350"/>
    <w:rsid w:val="40817672"/>
    <w:rsid w:val="409962DE"/>
    <w:rsid w:val="409F3BBB"/>
    <w:rsid w:val="40A9CC81"/>
    <w:rsid w:val="40C08A76"/>
    <w:rsid w:val="40CAD13E"/>
    <w:rsid w:val="40DC4E6F"/>
    <w:rsid w:val="40E423B0"/>
    <w:rsid w:val="40E6F64E"/>
    <w:rsid w:val="40E9F689"/>
    <w:rsid w:val="40EA2648"/>
    <w:rsid w:val="40F4C781"/>
    <w:rsid w:val="41044E07"/>
    <w:rsid w:val="4107D263"/>
    <w:rsid w:val="411F843F"/>
    <w:rsid w:val="4133E748"/>
    <w:rsid w:val="414320B3"/>
    <w:rsid w:val="414C8741"/>
    <w:rsid w:val="4152BA0B"/>
    <w:rsid w:val="41567760"/>
    <w:rsid w:val="4158D506"/>
    <w:rsid w:val="4159266F"/>
    <w:rsid w:val="416D823C"/>
    <w:rsid w:val="41881964"/>
    <w:rsid w:val="418DB187"/>
    <w:rsid w:val="419ABF93"/>
    <w:rsid w:val="41A3F946"/>
    <w:rsid w:val="41B2DDD2"/>
    <w:rsid w:val="41C2085E"/>
    <w:rsid w:val="41F5DACC"/>
    <w:rsid w:val="4207CD3D"/>
    <w:rsid w:val="42129708"/>
    <w:rsid w:val="42147C0D"/>
    <w:rsid w:val="4214E580"/>
    <w:rsid w:val="4219CC8F"/>
    <w:rsid w:val="4223D35C"/>
    <w:rsid w:val="4239004E"/>
    <w:rsid w:val="42431A08"/>
    <w:rsid w:val="424D7987"/>
    <w:rsid w:val="424FC499"/>
    <w:rsid w:val="42535E16"/>
    <w:rsid w:val="425740AC"/>
    <w:rsid w:val="4263B508"/>
    <w:rsid w:val="426CF9B2"/>
    <w:rsid w:val="426DB640"/>
    <w:rsid w:val="427AA88C"/>
    <w:rsid w:val="427D112A"/>
    <w:rsid w:val="4282C7E4"/>
    <w:rsid w:val="4286BF13"/>
    <w:rsid w:val="4291A5FA"/>
    <w:rsid w:val="42991C6E"/>
    <w:rsid w:val="42A96299"/>
    <w:rsid w:val="42AF9DF6"/>
    <w:rsid w:val="42BF76BB"/>
    <w:rsid w:val="42C367B6"/>
    <w:rsid w:val="42C6E9BE"/>
    <w:rsid w:val="42CEC570"/>
    <w:rsid w:val="42D5C00F"/>
    <w:rsid w:val="42E0B55B"/>
    <w:rsid w:val="42E46A9B"/>
    <w:rsid w:val="42EC3A47"/>
    <w:rsid w:val="42FC20EC"/>
    <w:rsid w:val="4306A6CF"/>
    <w:rsid w:val="4314BD57"/>
    <w:rsid w:val="432351A1"/>
    <w:rsid w:val="43295921"/>
    <w:rsid w:val="432981E8"/>
    <w:rsid w:val="434B65A0"/>
    <w:rsid w:val="43504C51"/>
    <w:rsid w:val="435AC98D"/>
    <w:rsid w:val="4362E7B8"/>
    <w:rsid w:val="43703B1E"/>
    <w:rsid w:val="437438AC"/>
    <w:rsid w:val="4377C813"/>
    <w:rsid w:val="437DDE3E"/>
    <w:rsid w:val="439E4967"/>
    <w:rsid w:val="43A7A643"/>
    <w:rsid w:val="43A91289"/>
    <w:rsid w:val="43C2B47A"/>
    <w:rsid w:val="43C4195D"/>
    <w:rsid w:val="43C854CB"/>
    <w:rsid w:val="43D2F237"/>
    <w:rsid w:val="43D72BA3"/>
    <w:rsid w:val="43D9D06D"/>
    <w:rsid w:val="43FAD3B3"/>
    <w:rsid w:val="440451DD"/>
    <w:rsid w:val="4406BBDA"/>
    <w:rsid w:val="441228D9"/>
    <w:rsid w:val="44176FEC"/>
    <w:rsid w:val="441F9781"/>
    <w:rsid w:val="443131F0"/>
    <w:rsid w:val="44561CA5"/>
    <w:rsid w:val="4469EF5D"/>
    <w:rsid w:val="446C1570"/>
    <w:rsid w:val="446FB4ED"/>
    <w:rsid w:val="447CF4F2"/>
    <w:rsid w:val="449E7E64"/>
    <w:rsid w:val="44A860EA"/>
    <w:rsid w:val="44ABCE78"/>
    <w:rsid w:val="44C02FF4"/>
    <w:rsid w:val="44D14CCF"/>
    <w:rsid w:val="44E02425"/>
    <w:rsid w:val="44EB617A"/>
    <w:rsid w:val="44ECF6BE"/>
    <w:rsid w:val="44EEE14A"/>
    <w:rsid w:val="44F64F46"/>
    <w:rsid w:val="44F69F01"/>
    <w:rsid w:val="45056983"/>
    <w:rsid w:val="4506C637"/>
    <w:rsid w:val="451B5163"/>
    <w:rsid w:val="451E86F4"/>
    <w:rsid w:val="452F1F70"/>
    <w:rsid w:val="453DA1C9"/>
    <w:rsid w:val="453F5124"/>
    <w:rsid w:val="45436E80"/>
    <w:rsid w:val="45443E8D"/>
    <w:rsid w:val="455099EA"/>
    <w:rsid w:val="4554681B"/>
    <w:rsid w:val="45594961"/>
    <w:rsid w:val="45649935"/>
    <w:rsid w:val="45701BF7"/>
    <w:rsid w:val="459CCFEE"/>
    <w:rsid w:val="45AEE851"/>
    <w:rsid w:val="45B13385"/>
    <w:rsid w:val="45B1AF8F"/>
    <w:rsid w:val="45B46D1C"/>
    <w:rsid w:val="45BC8494"/>
    <w:rsid w:val="45C43104"/>
    <w:rsid w:val="45C54BE8"/>
    <w:rsid w:val="45CF8DB7"/>
    <w:rsid w:val="45D44203"/>
    <w:rsid w:val="45D78180"/>
    <w:rsid w:val="45DED5B5"/>
    <w:rsid w:val="45E045AF"/>
    <w:rsid w:val="45E87C44"/>
    <w:rsid w:val="45FBD695"/>
    <w:rsid w:val="461284F9"/>
    <w:rsid w:val="4627A504"/>
    <w:rsid w:val="46364A13"/>
    <w:rsid w:val="464540CE"/>
    <w:rsid w:val="4648F87D"/>
    <w:rsid w:val="46502B7E"/>
    <w:rsid w:val="466CD3E1"/>
    <w:rsid w:val="466F588B"/>
    <w:rsid w:val="469F946E"/>
    <w:rsid w:val="46AA0BCE"/>
    <w:rsid w:val="46AE8574"/>
    <w:rsid w:val="46B8F474"/>
    <w:rsid w:val="46C5C7C4"/>
    <w:rsid w:val="46C8EED8"/>
    <w:rsid w:val="46D2E665"/>
    <w:rsid w:val="46D33780"/>
    <w:rsid w:val="46EBCAE3"/>
    <w:rsid w:val="46ECAACE"/>
    <w:rsid w:val="46EF36ED"/>
    <w:rsid w:val="4700A17D"/>
    <w:rsid w:val="4708A164"/>
    <w:rsid w:val="47090BDB"/>
    <w:rsid w:val="470B4172"/>
    <w:rsid w:val="470F2402"/>
    <w:rsid w:val="470F6C9F"/>
    <w:rsid w:val="47279AEA"/>
    <w:rsid w:val="47284188"/>
    <w:rsid w:val="472F9AF7"/>
    <w:rsid w:val="47324887"/>
    <w:rsid w:val="47385AA4"/>
    <w:rsid w:val="473A1B16"/>
    <w:rsid w:val="473C0854"/>
    <w:rsid w:val="473F701E"/>
    <w:rsid w:val="473FE45E"/>
    <w:rsid w:val="47430079"/>
    <w:rsid w:val="47503D7D"/>
    <w:rsid w:val="475D1355"/>
    <w:rsid w:val="477D4A82"/>
    <w:rsid w:val="478660E6"/>
    <w:rsid w:val="479939DA"/>
    <w:rsid w:val="479FB7C3"/>
    <w:rsid w:val="47A846A0"/>
    <w:rsid w:val="47CD5B16"/>
    <w:rsid w:val="47E20A7D"/>
    <w:rsid w:val="47F1A224"/>
    <w:rsid w:val="47F6A4ED"/>
    <w:rsid w:val="48020C4A"/>
    <w:rsid w:val="480E36CB"/>
    <w:rsid w:val="480E7AB3"/>
    <w:rsid w:val="480FAC81"/>
    <w:rsid w:val="48120378"/>
    <w:rsid w:val="48185C7E"/>
    <w:rsid w:val="482125D6"/>
    <w:rsid w:val="4827D5E1"/>
    <w:rsid w:val="482DAF33"/>
    <w:rsid w:val="4832EA50"/>
    <w:rsid w:val="48540BF1"/>
    <w:rsid w:val="48694421"/>
    <w:rsid w:val="486BAE3F"/>
    <w:rsid w:val="48804E89"/>
    <w:rsid w:val="4884500B"/>
    <w:rsid w:val="4895D99A"/>
    <w:rsid w:val="48963FDE"/>
    <w:rsid w:val="489EA583"/>
    <w:rsid w:val="489F66D3"/>
    <w:rsid w:val="48A2759E"/>
    <w:rsid w:val="48AF2489"/>
    <w:rsid w:val="48AF8476"/>
    <w:rsid w:val="48B11D78"/>
    <w:rsid w:val="48C9A242"/>
    <w:rsid w:val="48CB3045"/>
    <w:rsid w:val="48CE67AA"/>
    <w:rsid w:val="48D1B26E"/>
    <w:rsid w:val="48D1D94D"/>
    <w:rsid w:val="48DA2FDB"/>
    <w:rsid w:val="48F559AA"/>
    <w:rsid w:val="48FBE46C"/>
    <w:rsid w:val="4908535B"/>
    <w:rsid w:val="490B59D3"/>
    <w:rsid w:val="491D2EEA"/>
    <w:rsid w:val="4920BB12"/>
    <w:rsid w:val="4927563B"/>
    <w:rsid w:val="492BC213"/>
    <w:rsid w:val="4937284E"/>
    <w:rsid w:val="4939E265"/>
    <w:rsid w:val="4950C3FA"/>
    <w:rsid w:val="4956F1C7"/>
    <w:rsid w:val="496002C6"/>
    <w:rsid w:val="496B8881"/>
    <w:rsid w:val="49751787"/>
    <w:rsid w:val="499E1344"/>
    <w:rsid w:val="49A810B7"/>
    <w:rsid w:val="49B0EC0F"/>
    <w:rsid w:val="49C793C7"/>
    <w:rsid w:val="49D5B747"/>
    <w:rsid w:val="49E136F0"/>
    <w:rsid w:val="49EEA410"/>
    <w:rsid w:val="4A02611D"/>
    <w:rsid w:val="4A150463"/>
    <w:rsid w:val="4A1A21B4"/>
    <w:rsid w:val="4A1DA3C0"/>
    <w:rsid w:val="4A29DAAE"/>
    <w:rsid w:val="4A2DE043"/>
    <w:rsid w:val="4A2E85D4"/>
    <w:rsid w:val="4A3299A7"/>
    <w:rsid w:val="4A3E8C0A"/>
    <w:rsid w:val="4A490350"/>
    <w:rsid w:val="4A4F4473"/>
    <w:rsid w:val="4A5C81B4"/>
    <w:rsid w:val="4A683A18"/>
    <w:rsid w:val="4A75B220"/>
    <w:rsid w:val="4AB05C50"/>
    <w:rsid w:val="4AB11077"/>
    <w:rsid w:val="4ABE26E3"/>
    <w:rsid w:val="4AD0DA9C"/>
    <w:rsid w:val="4AD94CA2"/>
    <w:rsid w:val="4ADAAFBA"/>
    <w:rsid w:val="4ADFCAF0"/>
    <w:rsid w:val="4B00EB55"/>
    <w:rsid w:val="4B104D1F"/>
    <w:rsid w:val="4B11C1C6"/>
    <w:rsid w:val="4B123128"/>
    <w:rsid w:val="4B1F5538"/>
    <w:rsid w:val="4B207EAA"/>
    <w:rsid w:val="4B22CF38"/>
    <w:rsid w:val="4B276B86"/>
    <w:rsid w:val="4B277892"/>
    <w:rsid w:val="4B2C032B"/>
    <w:rsid w:val="4B336CD5"/>
    <w:rsid w:val="4B4F2A6D"/>
    <w:rsid w:val="4B580437"/>
    <w:rsid w:val="4B5A30A9"/>
    <w:rsid w:val="4B63727D"/>
    <w:rsid w:val="4B6AADD6"/>
    <w:rsid w:val="4B6D2C94"/>
    <w:rsid w:val="4B7A6143"/>
    <w:rsid w:val="4B8EA861"/>
    <w:rsid w:val="4BA17876"/>
    <w:rsid w:val="4BB45A0F"/>
    <w:rsid w:val="4BB48B9D"/>
    <w:rsid w:val="4BB6E995"/>
    <w:rsid w:val="4BC0CA45"/>
    <w:rsid w:val="4BCE4EC6"/>
    <w:rsid w:val="4BD4F24A"/>
    <w:rsid w:val="4BD791A2"/>
    <w:rsid w:val="4BDCFDB9"/>
    <w:rsid w:val="4C013165"/>
    <w:rsid w:val="4C02031E"/>
    <w:rsid w:val="4C02631C"/>
    <w:rsid w:val="4C02ADD7"/>
    <w:rsid w:val="4C06585E"/>
    <w:rsid w:val="4C0F1168"/>
    <w:rsid w:val="4C15994B"/>
    <w:rsid w:val="4C1B70A4"/>
    <w:rsid w:val="4C4557FF"/>
    <w:rsid w:val="4C4647D9"/>
    <w:rsid w:val="4C48F201"/>
    <w:rsid w:val="4C4C4E07"/>
    <w:rsid w:val="4C50C197"/>
    <w:rsid w:val="4C63C5ED"/>
    <w:rsid w:val="4C63CAC5"/>
    <w:rsid w:val="4C68821C"/>
    <w:rsid w:val="4C690C15"/>
    <w:rsid w:val="4C711CDA"/>
    <w:rsid w:val="4C74B5E0"/>
    <w:rsid w:val="4C8237BA"/>
    <w:rsid w:val="4C9AA75B"/>
    <w:rsid w:val="4CA331D9"/>
    <w:rsid w:val="4CA5F893"/>
    <w:rsid w:val="4CABAD9F"/>
    <w:rsid w:val="4CB58DF9"/>
    <w:rsid w:val="4CCC81D1"/>
    <w:rsid w:val="4CCD0F62"/>
    <w:rsid w:val="4CCED19A"/>
    <w:rsid w:val="4CD1D186"/>
    <w:rsid w:val="4CD41357"/>
    <w:rsid w:val="4CD807CC"/>
    <w:rsid w:val="4CD84187"/>
    <w:rsid w:val="4CD8D417"/>
    <w:rsid w:val="4CDC22FA"/>
    <w:rsid w:val="4CDCFC6F"/>
    <w:rsid w:val="4CDE2547"/>
    <w:rsid w:val="4CDFDAB8"/>
    <w:rsid w:val="4CE4D92E"/>
    <w:rsid w:val="4CEE84D9"/>
    <w:rsid w:val="4CF0157A"/>
    <w:rsid w:val="4CF8D90C"/>
    <w:rsid w:val="4D0E2636"/>
    <w:rsid w:val="4D1B7CB1"/>
    <w:rsid w:val="4D1DBC18"/>
    <w:rsid w:val="4D1E690B"/>
    <w:rsid w:val="4D257C81"/>
    <w:rsid w:val="4D27F62D"/>
    <w:rsid w:val="4D360710"/>
    <w:rsid w:val="4D3B18DD"/>
    <w:rsid w:val="4D5682BD"/>
    <w:rsid w:val="4D5B2286"/>
    <w:rsid w:val="4D661AA9"/>
    <w:rsid w:val="4D68E77B"/>
    <w:rsid w:val="4D6C5FE8"/>
    <w:rsid w:val="4D7B7A25"/>
    <w:rsid w:val="4D7BFE7D"/>
    <w:rsid w:val="4D8023A4"/>
    <w:rsid w:val="4D87DF7F"/>
    <w:rsid w:val="4DD4463C"/>
    <w:rsid w:val="4DE60AD9"/>
    <w:rsid w:val="4DE7D3BE"/>
    <w:rsid w:val="4DEB18F4"/>
    <w:rsid w:val="4DF3B54D"/>
    <w:rsid w:val="4DF96B3D"/>
    <w:rsid w:val="4E09A66B"/>
    <w:rsid w:val="4E0A52F8"/>
    <w:rsid w:val="4E0C0607"/>
    <w:rsid w:val="4E32E6DB"/>
    <w:rsid w:val="4E4DA9A5"/>
    <w:rsid w:val="4E55C723"/>
    <w:rsid w:val="4E655CA1"/>
    <w:rsid w:val="4E751FFB"/>
    <w:rsid w:val="4E7BFF88"/>
    <w:rsid w:val="4E80E57B"/>
    <w:rsid w:val="4E849024"/>
    <w:rsid w:val="4EB3C9D1"/>
    <w:rsid w:val="4EB93DD0"/>
    <w:rsid w:val="4EBDF106"/>
    <w:rsid w:val="4EC80D4F"/>
    <w:rsid w:val="4ED418B9"/>
    <w:rsid w:val="4EDB94C2"/>
    <w:rsid w:val="4EF5D45D"/>
    <w:rsid w:val="4EF7FA05"/>
    <w:rsid w:val="4F010CAF"/>
    <w:rsid w:val="4F04D997"/>
    <w:rsid w:val="4F0B3256"/>
    <w:rsid w:val="4F0D46AA"/>
    <w:rsid w:val="4F17137C"/>
    <w:rsid w:val="4F1F8278"/>
    <w:rsid w:val="4F2C4415"/>
    <w:rsid w:val="4F4445CE"/>
    <w:rsid w:val="4F47C2E7"/>
    <w:rsid w:val="4F526084"/>
    <w:rsid w:val="4F560F24"/>
    <w:rsid w:val="4F60ADBF"/>
    <w:rsid w:val="4F68F039"/>
    <w:rsid w:val="4F743CB6"/>
    <w:rsid w:val="4F93B4BA"/>
    <w:rsid w:val="4F94159E"/>
    <w:rsid w:val="4F9D62DD"/>
    <w:rsid w:val="4F9DFF25"/>
    <w:rsid w:val="4F9E05DD"/>
    <w:rsid w:val="4FA51D09"/>
    <w:rsid w:val="4FBE998F"/>
    <w:rsid w:val="4FCD71C1"/>
    <w:rsid w:val="4FD3654A"/>
    <w:rsid w:val="4FD3954C"/>
    <w:rsid w:val="4FD3E9E9"/>
    <w:rsid w:val="4FE4661D"/>
    <w:rsid w:val="4FF280AB"/>
    <w:rsid w:val="4FF3EFF3"/>
    <w:rsid w:val="4FFE24E9"/>
    <w:rsid w:val="500D4AC7"/>
    <w:rsid w:val="500DB075"/>
    <w:rsid w:val="500F1B17"/>
    <w:rsid w:val="500FCEF1"/>
    <w:rsid w:val="50305DB5"/>
    <w:rsid w:val="5034295C"/>
    <w:rsid w:val="503A89EA"/>
    <w:rsid w:val="50523A0C"/>
    <w:rsid w:val="505A8BB0"/>
    <w:rsid w:val="505CA670"/>
    <w:rsid w:val="5063316B"/>
    <w:rsid w:val="5071E576"/>
    <w:rsid w:val="50777CE9"/>
    <w:rsid w:val="507DB139"/>
    <w:rsid w:val="50850BF6"/>
    <w:rsid w:val="508E4DD6"/>
    <w:rsid w:val="5093EA10"/>
    <w:rsid w:val="509FC90E"/>
    <w:rsid w:val="50A69A0F"/>
    <w:rsid w:val="50ACD5B0"/>
    <w:rsid w:val="50BE449C"/>
    <w:rsid w:val="50BE54BE"/>
    <w:rsid w:val="50BEA332"/>
    <w:rsid w:val="50C15714"/>
    <w:rsid w:val="50CB0B19"/>
    <w:rsid w:val="50CDBCFD"/>
    <w:rsid w:val="50CE81D6"/>
    <w:rsid w:val="50D527B2"/>
    <w:rsid w:val="50E07D7F"/>
    <w:rsid w:val="50F6CF10"/>
    <w:rsid w:val="5110287E"/>
    <w:rsid w:val="51162728"/>
    <w:rsid w:val="511ABF08"/>
    <w:rsid w:val="5125E555"/>
    <w:rsid w:val="5127F2A6"/>
    <w:rsid w:val="513491C7"/>
    <w:rsid w:val="51398676"/>
    <w:rsid w:val="513E493B"/>
    <w:rsid w:val="5148A9C1"/>
    <w:rsid w:val="5156F368"/>
    <w:rsid w:val="5159EB61"/>
    <w:rsid w:val="515AC28C"/>
    <w:rsid w:val="517AC84B"/>
    <w:rsid w:val="517F8EA3"/>
    <w:rsid w:val="517FC972"/>
    <w:rsid w:val="51890758"/>
    <w:rsid w:val="518AC094"/>
    <w:rsid w:val="518AD9F7"/>
    <w:rsid w:val="518F185F"/>
    <w:rsid w:val="51904D3C"/>
    <w:rsid w:val="51A7EAF7"/>
    <w:rsid w:val="51AD82D4"/>
    <w:rsid w:val="51BA9E90"/>
    <w:rsid w:val="51C126AC"/>
    <w:rsid w:val="51C33A7D"/>
    <w:rsid w:val="51CA51A8"/>
    <w:rsid w:val="51CDF11B"/>
    <w:rsid w:val="51EEF8E0"/>
    <w:rsid w:val="51F82C65"/>
    <w:rsid w:val="51FD19CD"/>
    <w:rsid w:val="520AA1AE"/>
    <w:rsid w:val="523AECD8"/>
    <w:rsid w:val="52444056"/>
    <w:rsid w:val="524B01F4"/>
    <w:rsid w:val="524C8AF9"/>
    <w:rsid w:val="52722FFB"/>
    <w:rsid w:val="527E6FE7"/>
    <w:rsid w:val="52864E2A"/>
    <w:rsid w:val="52937C87"/>
    <w:rsid w:val="52A62434"/>
    <w:rsid w:val="52BA787A"/>
    <w:rsid w:val="52BDF770"/>
    <w:rsid w:val="52CABB3A"/>
    <w:rsid w:val="52D8D1DD"/>
    <w:rsid w:val="52E0CC81"/>
    <w:rsid w:val="52EA4633"/>
    <w:rsid w:val="52EB21B6"/>
    <w:rsid w:val="52F50096"/>
    <w:rsid w:val="52F85B56"/>
    <w:rsid w:val="5313717E"/>
    <w:rsid w:val="5317E70F"/>
    <w:rsid w:val="531A2724"/>
    <w:rsid w:val="53228A68"/>
    <w:rsid w:val="5330E7EE"/>
    <w:rsid w:val="533CF4BC"/>
    <w:rsid w:val="53649F8C"/>
    <w:rsid w:val="5369FA6E"/>
    <w:rsid w:val="536D2723"/>
    <w:rsid w:val="5371557C"/>
    <w:rsid w:val="53729A8C"/>
    <w:rsid w:val="5373469D"/>
    <w:rsid w:val="5375EB6F"/>
    <w:rsid w:val="538948DB"/>
    <w:rsid w:val="5393D1AA"/>
    <w:rsid w:val="53D3ACF6"/>
    <w:rsid w:val="53D647F2"/>
    <w:rsid w:val="53D71AD2"/>
    <w:rsid w:val="53DC9E04"/>
    <w:rsid w:val="53E62368"/>
    <w:rsid w:val="53F4D3AA"/>
    <w:rsid w:val="54053FEA"/>
    <w:rsid w:val="54176E5D"/>
    <w:rsid w:val="541BDEC7"/>
    <w:rsid w:val="542ED9E7"/>
    <w:rsid w:val="5445814E"/>
    <w:rsid w:val="5461A9F2"/>
    <w:rsid w:val="546349BD"/>
    <w:rsid w:val="5466D959"/>
    <w:rsid w:val="5468879E"/>
    <w:rsid w:val="546FF4CD"/>
    <w:rsid w:val="54718417"/>
    <w:rsid w:val="5489AE2F"/>
    <w:rsid w:val="54996FA3"/>
    <w:rsid w:val="54A377AE"/>
    <w:rsid w:val="54AAA5DB"/>
    <w:rsid w:val="54B10A1B"/>
    <w:rsid w:val="54BBA673"/>
    <w:rsid w:val="54C161C7"/>
    <w:rsid w:val="54D3AEF2"/>
    <w:rsid w:val="54DC39AF"/>
    <w:rsid w:val="54DDBA9E"/>
    <w:rsid w:val="54E2DDA3"/>
    <w:rsid w:val="54E53826"/>
    <w:rsid w:val="550B4375"/>
    <w:rsid w:val="554D8C50"/>
    <w:rsid w:val="55509B22"/>
    <w:rsid w:val="555201EE"/>
    <w:rsid w:val="555360EC"/>
    <w:rsid w:val="5561CC89"/>
    <w:rsid w:val="55681B9C"/>
    <w:rsid w:val="556C7E15"/>
    <w:rsid w:val="55828CAA"/>
    <w:rsid w:val="5583D686"/>
    <w:rsid w:val="5592FB06"/>
    <w:rsid w:val="5593A61E"/>
    <w:rsid w:val="559C4755"/>
    <w:rsid w:val="55A69444"/>
    <w:rsid w:val="55AB3633"/>
    <w:rsid w:val="55B75F60"/>
    <w:rsid w:val="55CCBDBA"/>
    <w:rsid w:val="55CF223F"/>
    <w:rsid w:val="55E15F77"/>
    <w:rsid w:val="55E4F99A"/>
    <w:rsid w:val="55E4FEE9"/>
    <w:rsid w:val="55F7418F"/>
    <w:rsid w:val="56071BB4"/>
    <w:rsid w:val="56088C07"/>
    <w:rsid w:val="560B2E73"/>
    <w:rsid w:val="560E8171"/>
    <w:rsid w:val="562B55D0"/>
    <w:rsid w:val="562EC693"/>
    <w:rsid w:val="563F29A5"/>
    <w:rsid w:val="5640A0EB"/>
    <w:rsid w:val="564FF63B"/>
    <w:rsid w:val="5655DBE7"/>
    <w:rsid w:val="565FEBCC"/>
    <w:rsid w:val="56735F5F"/>
    <w:rsid w:val="567577AF"/>
    <w:rsid w:val="56784583"/>
    <w:rsid w:val="56849309"/>
    <w:rsid w:val="569174E0"/>
    <w:rsid w:val="5695389B"/>
    <w:rsid w:val="569562F4"/>
    <w:rsid w:val="56AB9E92"/>
    <w:rsid w:val="56B3779A"/>
    <w:rsid w:val="56B3BC51"/>
    <w:rsid w:val="56BA29A5"/>
    <w:rsid w:val="56C591AF"/>
    <w:rsid w:val="56CBBC3F"/>
    <w:rsid w:val="56CBDA0B"/>
    <w:rsid w:val="56D19239"/>
    <w:rsid w:val="56D69D80"/>
    <w:rsid w:val="56E81DBC"/>
    <w:rsid w:val="56F364D3"/>
    <w:rsid w:val="56FAD2A4"/>
    <w:rsid w:val="56FB9B5A"/>
    <w:rsid w:val="56FE856B"/>
    <w:rsid w:val="57099D07"/>
    <w:rsid w:val="570F29CC"/>
    <w:rsid w:val="573E931B"/>
    <w:rsid w:val="573F0CBF"/>
    <w:rsid w:val="5743C6D5"/>
    <w:rsid w:val="574AF2B9"/>
    <w:rsid w:val="574ECB6C"/>
    <w:rsid w:val="574EE0F2"/>
    <w:rsid w:val="57543807"/>
    <w:rsid w:val="57562318"/>
    <w:rsid w:val="5760E055"/>
    <w:rsid w:val="578757F7"/>
    <w:rsid w:val="5788E220"/>
    <w:rsid w:val="578FE6CC"/>
    <w:rsid w:val="579396DA"/>
    <w:rsid w:val="57AB6086"/>
    <w:rsid w:val="57AD5C33"/>
    <w:rsid w:val="57B09354"/>
    <w:rsid w:val="57BFE201"/>
    <w:rsid w:val="58009002"/>
    <w:rsid w:val="58018BF9"/>
    <w:rsid w:val="5803C9A4"/>
    <w:rsid w:val="58083706"/>
    <w:rsid w:val="58097040"/>
    <w:rsid w:val="581D60EF"/>
    <w:rsid w:val="5822EB34"/>
    <w:rsid w:val="5825AABA"/>
    <w:rsid w:val="582BD4DE"/>
    <w:rsid w:val="5858BDA0"/>
    <w:rsid w:val="585E5359"/>
    <w:rsid w:val="5864577F"/>
    <w:rsid w:val="5865CFF5"/>
    <w:rsid w:val="5879E648"/>
    <w:rsid w:val="587AF131"/>
    <w:rsid w:val="587DF0A4"/>
    <w:rsid w:val="588A8585"/>
    <w:rsid w:val="58912C5C"/>
    <w:rsid w:val="589ED001"/>
    <w:rsid w:val="58A68B30"/>
    <w:rsid w:val="58A75431"/>
    <w:rsid w:val="58ACE253"/>
    <w:rsid w:val="58B0C6C3"/>
    <w:rsid w:val="58BB45AC"/>
    <w:rsid w:val="58D35F93"/>
    <w:rsid w:val="58DA27F8"/>
    <w:rsid w:val="58E9B075"/>
    <w:rsid w:val="58EC93E8"/>
    <w:rsid w:val="58EF4C8E"/>
    <w:rsid w:val="58F4B047"/>
    <w:rsid w:val="58F52AE5"/>
    <w:rsid w:val="591179FD"/>
    <w:rsid w:val="591D51BD"/>
    <w:rsid w:val="5926335A"/>
    <w:rsid w:val="593211EE"/>
    <w:rsid w:val="5935D95F"/>
    <w:rsid w:val="59455433"/>
    <w:rsid w:val="5946B563"/>
    <w:rsid w:val="595D5191"/>
    <w:rsid w:val="596166C2"/>
    <w:rsid w:val="59749F9D"/>
    <w:rsid w:val="5979A1F7"/>
    <w:rsid w:val="597BACD5"/>
    <w:rsid w:val="597EAC85"/>
    <w:rsid w:val="5984243B"/>
    <w:rsid w:val="599FB558"/>
    <w:rsid w:val="59B44D92"/>
    <w:rsid w:val="59B8D51E"/>
    <w:rsid w:val="59ECEEC5"/>
    <w:rsid w:val="5A158539"/>
    <w:rsid w:val="5A15B6A9"/>
    <w:rsid w:val="5A19C105"/>
    <w:rsid w:val="5A2B4E93"/>
    <w:rsid w:val="5A3F696F"/>
    <w:rsid w:val="5A4B6537"/>
    <w:rsid w:val="5A4C11AD"/>
    <w:rsid w:val="5A4C5AA1"/>
    <w:rsid w:val="5A4C9724"/>
    <w:rsid w:val="5A51975F"/>
    <w:rsid w:val="5A5AD282"/>
    <w:rsid w:val="5A64990E"/>
    <w:rsid w:val="5A78F81B"/>
    <w:rsid w:val="5A832FC2"/>
    <w:rsid w:val="5AC712E8"/>
    <w:rsid w:val="5ACA8EE5"/>
    <w:rsid w:val="5ACE43BB"/>
    <w:rsid w:val="5ACFB6D9"/>
    <w:rsid w:val="5AD26C08"/>
    <w:rsid w:val="5AD49A8B"/>
    <w:rsid w:val="5AD70629"/>
    <w:rsid w:val="5ADECE9D"/>
    <w:rsid w:val="5AEE01D6"/>
    <w:rsid w:val="5AF1C9C8"/>
    <w:rsid w:val="5AF5D7FD"/>
    <w:rsid w:val="5B086E10"/>
    <w:rsid w:val="5B0D488C"/>
    <w:rsid w:val="5B19ECBB"/>
    <w:rsid w:val="5B1D4A5C"/>
    <w:rsid w:val="5B200C7B"/>
    <w:rsid w:val="5B21756F"/>
    <w:rsid w:val="5B301E2A"/>
    <w:rsid w:val="5B3A1653"/>
    <w:rsid w:val="5B3EF15E"/>
    <w:rsid w:val="5B41A873"/>
    <w:rsid w:val="5B49E1DD"/>
    <w:rsid w:val="5B56CFAE"/>
    <w:rsid w:val="5B5B2D15"/>
    <w:rsid w:val="5B767EBD"/>
    <w:rsid w:val="5B97C18D"/>
    <w:rsid w:val="5BA41D3E"/>
    <w:rsid w:val="5BA66489"/>
    <w:rsid w:val="5BCF7B84"/>
    <w:rsid w:val="5BDAC159"/>
    <w:rsid w:val="5BEB2968"/>
    <w:rsid w:val="5BEE124D"/>
    <w:rsid w:val="5BF0C715"/>
    <w:rsid w:val="5BF9BF95"/>
    <w:rsid w:val="5C002A83"/>
    <w:rsid w:val="5C171E2F"/>
    <w:rsid w:val="5C19058F"/>
    <w:rsid w:val="5C22EBF5"/>
    <w:rsid w:val="5C25FD45"/>
    <w:rsid w:val="5C39B6F0"/>
    <w:rsid w:val="5C3ACE89"/>
    <w:rsid w:val="5C487145"/>
    <w:rsid w:val="5C4EFEB8"/>
    <w:rsid w:val="5C553E7F"/>
    <w:rsid w:val="5C5F297A"/>
    <w:rsid w:val="5C644A45"/>
    <w:rsid w:val="5C73DCA3"/>
    <w:rsid w:val="5C7AD4F0"/>
    <w:rsid w:val="5C7CF989"/>
    <w:rsid w:val="5C8150B6"/>
    <w:rsid w:val="5C8E04A2"/>
    <w:rsid w:val="5CB43637"/>
    <w:rsid w:val="5CBC5F96"/>
    <w:rsid w:val="5CCFF267"/>
    <w:rsid w:val="5CDF934A"/>
    <w:rsid w:val="5D03168F"/>
    <w:rsid w:val="5D062E14"/>
    <w:rsid w:val="5D0F53E6"/>
    <w:rsid w:val="5D1BCBAF"/>
    <w:rsid w:val="5D1DBB30"/>
    <w:rsid w:val="5D1EA830"/>
    <w:rsid w:val="5D288F11"/>
    <w:rsid w:val="5D2A8A68"/>
    <w:rsid w:val="5D30A63B"/>
    <w:rsid w:val="5D33E7D8"/>
    <w:rsid w:val="5D475220"/>
    <w:rsid w:val="5D5899E8"/>
    <w:rsid w:val="5D5967EF"/>
    <w:rsid w:val="5D6A4EB8"/>
    <w:rsid w:val="5D722930"/>
    <w:rsid w:val="5D82D704"/>
    <w:rsid w:val="5D8787B7"/>
    <w:rsid w:val="5D912AD8"/>
    <w:rsid w:val="5D9B6F73"/>
    <w:rsid w:val="5DAA5E5D"/>
    <w:rsid w:val="5DE07329"/>
    <w:rsid w:val="5E0E8558"/>
    <w:rsid w:val="5E105A48"/>
    <w:rsid w:val="5E119B91"/>
    <w:rsid w:val="5E159346"/>
    <w:rsid w:val="5E2659AA"/>
    <w:rsid w:val="5E606316"/>
    <w:rsid w:val="5E73BA41"/>
    <w:rsid w:val="5E7FAFE4"/>
    <w:rsid w:val="5E836B64"/>
    <w:rsid w:val="5E83F9F1"/>
    <w:rsid w:val="5E91E3DB"/>
    <w:rsid w:val="5E9D88AF"/>
    <w:rsid w:val="5EA4135E"/>
    <w:rsid w:val="5EA8F948"/>
    <w:rsid w:val="5EB75494"/>
    <w:rsid w:val="5EC6B8D3"/>
    <w:rsid w:val="5EDD6296"/>
    <w:rsid w:val="5EFED156"/>
    <w:rsid w:val="5F018315"/>
    <w:rsid w:val="5F070746"/>
    <w:rsid w:val="5F0C0F88"/>
    <w:rsid w:val="5F11BEF1"/>
    <w:rsid w:val="5F2498C6"/>
    <w:rsid w:val="5F2958A7"/>
    <w:rsid w:val="5F40076D"/>
    <w:rsid w:val="5F407ADA"/>
    <w:rsid w:val="5F465847"/>
    <w:rsid w:val="5F519336"/>
    <w:rsid w:val="5F52BC24"/>
    <w:rsid w:val="5F56A291"/>
    <w:rsid w:val="5F5E5017"/>
    <w:rsid w:val="5F6F5439"/>
    <w:rsid w:val="5F6F59D8"/>
    <w:rsid w:val="5F75019F"/>
    <w:rsid w:val="5F7ED571"/>
    <w:rsid w:val="5F8FA255"/>
    <w:rsid w:val="5F9245CA"/>
    <w:rsid w:val="5F9AFBDE"/>
    <w:rsid w:val="5FA3B3ED"/>
    <w:rsid w:val="5FA6CB46"/>
    <w:rsid w:val="5FAB107D"/>
    <w:rsid w:val="5FBEE8E1"/>
    <w:rsid w:val="5FC01239"/>
    <w:rsid w:val="5FCAD0EE"/>
    <w:rsid w:val="5FDA985F"/>
    <w:rsid w:val="5FDDA853"/>
    <w:rsid w:val="5FEDD541"/>
    <w:rsid w:val="5FFB2D80"/>
    <w:rsid w:val="5FFCB798"/>
    <w:rsid w:val="6004E21B"/>
    <w:rsid w:val="60065892"/>
    <w:rsid w:val="60097BF2"/>
    <w:rsid w:val="601E933D"/>
    <w:rsid w:val="601F6040"/>
    <w:rsid w:val="602F429F"/>
    <w:rsid w:val="60349191"/>
    <w:rsid w:val="60407245"/>
    <w:rsid w:val="604E115B"/>
    <w:rsid w:val="604E36E8"/>
    <w:rsid w:val="6069FBE3"/>
    <w:rsid w:val="607092BB"/>
    <w:rsid w:val="60713864"/>
    <w:rsid w:val="608230F5"/>
    <w:rsid w:val="6087C6A2"/>
    <w:rsid w:val="60956D45"/>
    <w:rsid w:val="60979236"/>
    <w:rsid w:val="60ACFD81"/>
    <w:rsid w:val="60BBD8A8"/>
    <w:rsid w:val="60D3D645"/>
    <w:rsid w:val="60D820A4"/>
    <w:rsid w:val="60F35E89"/>
    <w:rsid w:val="60F8605D"/>
    <w:rsid w:val="60FFF0E2"/>
    <w:rsid w:val="6103422E"/>
    <w:rsid w:val="6114A513"/>
    <w:rsid w:val="611C9BF5"/>
    <w:rsid w:val="61347D08"/>
    <w:rsid w:val="613CBE56"/>
    <w:rsid w:val="613D1E3D"/>
    <w:rsid w:val="615618C0"/>
    <w:rsid w:val="615F1A5A"/>
    <w:rsid w:val="6163A824"/>
    <w:rsid w:val="618483AE"/>
    <w:rsid w:val="618AF17C"/>
    <w:rsid w:val="618E85B8"/>
    <w:rsid w:val="619ACCC2"/>
    <w:rsid w:val="619C87BA"/>
    <w:rsid w:val="619D763E"/>
    <w:rsid w:val="61A754A0"/>
    <w:rsid w:val="61A88F10"/>
    <w:rsid w:val="61B9A86B"/>
    <w:rsid w:val="61C7C7E9"/>
    <w:rsid w:val="61D7C1B2"/>
    <w:rsid w:val="61DC0ABD"/>
    <w:rsid w:val="61DED84D"/>
    <w:rsid w:val="61FD7770"/>
    <w:rsid w:val="6200DF31"/>
    <w:rsid w:val="6201A402"/>
    <w:rsid w:val="6203C575"/>
    <w:rsid w:val="621B5679"/>
    <w:rsid w:val="621C513D"/>
    <w:rsid w:val="62219884"/>
    <w:rsid w:val="622BA24F"/>
    <w:rsid w:val="6235C1DD"/>
    <w:rsid w:val="623E6259"/>
    <w:rsid w:val="623F1D6A"/>
    <w:rsid w:val="624B01A6"/>
    <w:rsid w:val="624BBD72"/>
    <w:rsid w:val="6261FB0F"/>
    <w:rsid w:val="626AA257"/>
    <w:rsid w:val="6270F81E"/>
    <w:rsid w:val="6278D53C"/>
    <w:rsid w:val="6280C0A7"/>
    <w:rsid w:val="628BFABA"/>
    <w:rsid w:val="629B2191"/>
    <w:rsid w:val="629B7108"/>
    <w:rsid w:val="62ABD1C4"/>
    <w:rsid w:val="62B5DFF5"/>
    <w:rsid w:val="62B7A632"/>
    <w:rsid w:val="62B7CE27"/>
    <w:rsid w:val="62C6DC4D"/>
    <w:rsid w:val="62E7799F"/>
    <w:rsid w:val="62EC41C6"/>
    <w:rsid w:val="630E8118"/>
    <w:rsid w:val="6313CDD7"/>
    <w:rsid w:val="6322E852"/>
    <w:rsid w:val="632970AE"/>
    <w:rsid w:val="633B3132"/>
    <w:rsid w:val="633DFF2C"/>
    <w:rsid w:val="63432D47"/>
    <w:rsid w:val="634C21A6"/>
    <w:rsid w:val="634E8612"/>
    <w:rsid w:val="6358B949"/>
    <w:rsid w:val="636474F1"/>
    <w:rsid w:val="637B31B5"/>
    <w:rsid w:val="637D3019"/>
    <w:rsid w:val="637DBF7B"/>
    <w:rsid w:val="6384E705"/>
    <w:rsid w:val="6389EBA6"/>
    <w:rsid w:val="638A4135"/>
    <w:rsid w:val="6394D4D0"/>
    <w:rsid w:val="6396337B"/>
    <w:rsid w:val="63A63535"/>
    <w:rsid w:val="63B28D16"/>
    <w:rsid w:val="63B99E49"/>
    <w:rsid w:val="63BB1827"/>
    <w:rsid w:val="63BD87E4"/>
    <w:rsid w:val="63C73584"/>
    <w:rsid w:val="63EF10B2"/>
    <w:rsid w:val="63FE4EB2"/>
    <w:rsid w:val="640331BD"/>
    <w:rsid w:val="6404A94B"/>
    <w:rsid w:val="64078D8B"/>
    <w:rsid w:val="6417628B"/>
    <w:rsid w:val="641EDBB2"/>
    <w:rsid w:val="641FC51C"/>
    <w:rsid w:val="642E94EE"/>
    <w:rsid w:val="64315253"/>
    <w:rsid w:val="6432E17A"/>
    <w:rsid w:val="6437B462"/>
    <w:rsid w:val="6438DE10"/>
    <w:rsid w:val="6442D241"/>
    <w:rsid w:val="645258CC"/>
    <w:rsid w:val="6452D8C3"/>
    <w:rsid w:val="64587BFA"/>
    <w:rsid w:val="6469104E"/>
    <w:rsid w:val="646CD760"/>
    <w:rsid w:val="64764C88"/>
    <w:rsid w:val="647B6C97"/>
    <w:rsid w:val="64816D8A"/>
    <w:rsid w:val="64A5EE90"/>
    <w:rsid w:val="64B4BCE5"/>
    <w:rsid w:val="64BCAECC"/>
    <w:rsid w:val="64CEA399"/>
    <w:rsid w:val="64D3E33E"/>
    <w:rsid w:val="64E6E519"/>
    <w:rsid w:val="64F9B01E"/>
    <w:rsid w:val="650BBDB7"/>
    <w:rsid w:val="653289FA"/>
    <w:rsid w:val="653F372F"/>
    <w:rsid w:val="6540F498"/>
    <w:rsid w:val="65426623"/>
    <w:rsid w:val="65466BAE"/>
    <w:rsid w:val="654E5C81"/>
    <w:rsid w:val="6558EAFD"/>
    <w:rsid w:val="65720697"/>
    <w:rsid w:val="657F503F"/>
    <w:rsid w:val="6599A0B5"/>
    <w:rsid w:val="659A99DE"/>
    <w:rsid w:val="65AD0E3D"/>
    <w:rsid w:val="65BA0F83"/>
    <w:rsid w:val="65CCAD35"/>
    <w:rsid w:val="65D0A8C9"/>
    <w:rsid w:val="65DB55D6"/>
    <w:rsid w:val="65EE80E1"/>
    <w:rsid w:val="65F875CA"/>
    <w:rsid w:val="660B3CD9"/>
    <w:rsid w:val="66517887"/>
    <w:rsid w:val="66530AED"/>
    <w:rsid w:val="6666B64F"/>
    <w:rsid w:val="6666C732"/>
    <w:rsid w:val="666746D4"/>
    <w:rsid w:val="6671169E"/>
    <w:rsid w:val="667127FD"/>
    <w:rsid w:val="667E2BB3"/>
    <w:rsid w:val="6686720D"/>
    <w:rsid w:val="66A6721C"/>
    <w:rsid w:val="66A7661B"/>
    <w:rsid w:val="66ADEBE1"/>
    <w:rsid w:val="66C95844"/>
    <w:rsid w:val="66CEDC89"/>
    <w:rsid w:val="66D9F1A7"/>
    <w:rsid w:val="66E1B183"/>
    <w:rsid w:val="6703BF48"/>
    <w:rsid w:val="67042D55"/>
    <w:rsid w:val="671A94AC"/>
    <w:rsid w:val="672CCC5E"/>
    <w:rsid w:val="67483D5D"/>
    <w:rsid w:val="6748E440"/>
    <w:rsid w:val="674E2274"/>
    <w:rsid w:val="67703FED"/>
    <w:rsid w:val="67858223"/>
    <w:rsid w:val="679BF52E"/>
    <w:rsid w:val="679FBD54"/>
    <w:rsid w:val="67AF7C1F"/>
    <w:rsid w:val="67BA3A9D"/>
    <w:rsid w:val="67BC215D"/>
    <w:rsid w:val="67C7DA0D"/>
    <w:rsid w:val="67C928F6"/>
    <w:rsid w:val="67CE4BB2"/>
    <w:rsid w:val="67D1448C"/>
    <w:rsid w:val="67D6A935"/>
    <w:rsid w:val="67DCF0B8"/>
    <w:rsid w:val="67EA487B"/>
    <w:rsid w:val="67EFE6B6"/>
    <w:rsid w:val="67F1E81A"/>
    <w:rsid w:val="67FA1E84"/>
    <w:rsid w:val="680276E0"/>
    <w:rsid w:val="6813A652"/>
    <w:rsid w:val="68257350"/>
    <w:rsid w:val="682B4EB8"/>
    <w:rsid w:val="6840FD51"/>
    <w:rsid w:val="68474FB8"/>
    <w:rsid w:val="6847A0F3"/>
    <w:rsid w:val="684E19D1"/>
    <w:rsid w:val="684F8A86"/>
    <w:rsid w:val="68512628"/>
    <w:rsid w:val="685FBE97"/>
    <w:rsid w:val="68619073"/>
    <w:rsid w:val="68631CE0"/>
    <w:rsid w:val="686A5CD6"/>
    <w:rsid w:val="686E57C2"/>
    <w:rsid w:val="6871A3E7"/>
    <w:rsid w:val="687CA51B"/>
    <w:rsid w:val="68832AF9"/>
    <w:rsid w:val="68909C35"/>
    <w:rsid w:val="68935EBA"/>
    <w:rsid w:val="68A8C695"/>
    <w:rsid w:val="68AA25AA"/>
    <w:rsid w:val="68B2C61C"/>
    <w:rsid w:val="68C6B556"/>
    <w:rsid w:val="68DAE019"/>
    <w:rsid w:val="68E1617E"/>
    <w:rsid w:val="68E45C7A"/>
    <w:rsid w:val="68E55B6E"/>
    <w:rsid w:val="68ED2062"/>
    <w:rsid w:val="68F13A29"/>
    <w:rsid w:val="68FD2950"/>
    <w:rsid w:val="690E60B9"/>
    <w:rsid w:val="6927950E"/>
    <w:rsid w:val="692C7B4D"/>
    <w:rsid w:val="692E04D4"/>
    <w:rsid w:val="6931D83C"/>
    <w:rsid w:val="69351496"/>
    <w:rsid w:val="693A321B"/>
    <w:rsid w:val="694273EE"/>
    <w:rsid w:val="6956DBD2"/>
    <w:rsid w:val="695FD8FC"/>
    <w:rsid w:val="697DBB49"/>
    <w:rsid w:val="697E6536"/>
    <w:rsid w:val="6983B986"/>
    <w:rsid w:val="698E2541"/>
    <w:rsid w:val="69AD0CC5"/>
    <w:rsid w:val="69AF2331"/>
    <w:rsid w:val="69B10418"/>
    <w:rsid w:val="69B65FCC"/>
    <w:rsid w:val="69C1AC3D"/>
    <w:rsid w:val="69D18560"/>
    <w:rsid w:val="69EC08BB"/>
    <w:rsid w:val="69F843EE"/>
    <w:rsid w:val="69FC7D7D"/>
    <w:rsid w:val="6A00C0E7"/>
    <w:rsid w:val="6A0D12DB"/>
    <w:rsid w:val="6A0D5049"/>
    <w:rsid w:val="6A10EEDA"/>
    <w:rsid w:val="6A2F54B4"/>
    <w:rsid w:val="6A48BE87"/>
    <w:rsid w:val="6A520E4C"/>
    <w:rsid w:val="6A52CFFE"/>
    <w:rsid w:val="6A5EBF2B"/>
    <w:rsid w:val="6A62861B"/>
    <w:rsid w:val="6A648EDF"/>
    <w:rsid w:val="6A69E0FD"/>
    <w:rsid w:val="6A82DDB2"/>
    <w:rsid w:val="6A8331E3"/>
    <w:rsid w:val="6A8863BA"/>
    <w:rsid w:val="6A8A2DEE"/>
    <w:rsid w:val="6A8D7F5C"/>
    <w:rsid w:val="6A91A67A"/>
    <w:rsid w:val="6AA2B926"/>
    <w:rsid w:val="6AA5C142"/>
    <w:rsid w:val="6AA6981D"/>
    <w:rsid w:val="6AAA14C1"/>
    <w:rsid w:val="6ABE681F"/>
    <w:rsid w:val="6AD6129A"/>
    <w:rsid w:val="6ADFCE1A"/>
    <w:rsid w:val="6AE8F13F"/>
    <w:rsid w:val="6AF06E9D"/>
    <w:rsid w:val="6AFECAEC"/>
    <w:rsid w:val="6B067B3C"/>
    <w:rsid w:val="6B08A06A"/>
    <w:rsid w:val="6B0AE939"/>
    <w:rsid w:val="6B0FE45B"/>
    <w:rsid w:val="6B148DE6"/>
    <w:rsid w:val="6B1F8FAD"/>
    <w:rsid w:val="6B20E20E"/>
    <w:rsid w:val="6B2622F3"/>
    <w:rsid w:val="6B2F2734"/>
    <w:rsid w:val="6B3DE7E9"/>
    <w:rsid w:val="6B42C68D"/>
    <w:rsid w:val="6B484792"/>
    <w:rsid w:val="6B546AD9"/>
    <w:rsid w:val="6B58678F"/>
    <w:rsid w:val="6B677FD1"/>
    <w:rsid w:val="6B6BC0CB"/>
    <w:rsid w:val="6B6E5E87"/>
    <w:rsid w:val="6B81ABA4"/>
    <w:rsid w:val="6B8706B9"/>
    <w:rsid w:val="6B9D20FB"/>
    <w:rsid w:val="6BBF9A58"/>
    <w:rsid w:val="6BC1183A"/>
    <w:rsid w:val="6BC4B02E"/>
    <w:rsid w:val="6BD5E51C"/>
    <w:rsid w:val="6BD8C52B"/>
    <w:rsid w:val="6BDE66CA"/>
    <w:rsid w:val="6BE9AC66"/>
    <w:rsid w:val="6BEEA61D"/>
    <w:rsid w:val="6BF3DF79"/>
    <w:rsid w:val="6C01C42F"/>
    <w:rsid w:val="6C030E60"/>
    <w:rsid w:val="6C0AA5BF"/>
    <w:rsid w:val="6C11F9DA"/>
    <w:rsid w:val="6C1DFE6D"/>
    <w:rsid w:val="6C1F0F0D"/>
    <w:rsid w:val="6C29E71E"/>
    <w:rsid w:val="6C2EA02E"/>
    <w:rsid w:val="6C3B37F9"/>
    <w:rsid w:val="6C506532"/>
    <w:rsid w:val="6C5574E3"/>
    <w:rsid w:val="6C59F5E3"/>
    <w:rsid w:val="6C5C988F"/>
    <w:rsid w:val="6C692ED4"/>
    <w:rsid w:val="6C773900"/>
    <w:rsid w:val="6C812210"/>
    <w:rsid w:val="6C8468FC"/>
    <w:rsid w:val="6C867424"/>
    <w:rsid w:val="6C8DDE7F"/>
    <w:rsid w:val="6C98EA7D"/>
    <w:rsid w:val="6CA02323"/>
    <w:rsid w:val="6CB8B3E7"/>
    <w:rsid w:val="6CC165B8"/>
    <w:rsid w:val="6CC2D977"/>
    <w:rsid w:val="6CCFDC9D"/>
    <w:rsid w:val="6D0F099F"/>
    <w:rsid w:val="6D0F318A"/>
    <w:rsid w:val="6D19FE83"/>
    <w:rsid w:val="6D20A9FB"/>
    <w:rsid w:val="6D306A1E"/>
    <w:rsid w:val="6D32AB90"/>
    <w:rsid w:val="6D340F4A"/>
    <w:rsid w:val="6D47CBEA"/>
    <w:rsid w:val="6D4E81B8"/>
    <w:rsid w:val="6D4F144A"/>
    <w:rsid w:val="6D548BEF"/>
    <w:rsid w:val="6D5A9C7F"/>
    <w:rsid w:val="6D6418AD"/>
    <w:rsid w:val="6D6A010B"/>
    <w:rsid w:val="6D720203"/>
    <w:rsid w:val="6D93F613"/>
    <w:rsid w:val="6D99E402"/>
    <w:rsid w:val="6DB0B648"/>
    <w:rsid w:val="6DB0BFC7"/>
    <w:rsid w:val="6DC25819"/>
    <w:rsid w:val="6DCC803F"/>
    <w:rsid w:val="6DCE72E4"/>
    <w:rsid w:val="6DDCCA6C"/>
    <w:rsid w:val="6DDF33DE"/>
    <w:rsid w:val="6DE4E1FB"/>
    <w:rsid w:val="6DF4F0BB"/>
    <w:rsid w:val="6DF7635A"/>
    <w:rsid w:val="6DFCD258"/>
    <w:rsid w:val="6DFFB8BC"/>
    <w:rsid w:val="6E105919"/>
    <w:rsid w:val="6E31B563"/>
    <w:rsid w:val="6E36ED84"/>
    <w:rsid w:val="6E3E15CB"/>
    <w:rsid w:val="6E48E154"/>
    <w:rsid w:val="6E4F48C4"/>
    <w:rsid w:val="6E4F6FC4"/>
    <w:rsid w:val="6E8F43EA"/>
    <w:rsid w:val="6E933419"/>
    <w:rsid w:val="6E9D93E3"/>
    <w:rsid w:val="6EAAB1B6"/>
    <w:rsid w:val="6EAEFB18"/>
    <w:rsid w:val="6EB2F4CB"/>
    <w:rsid w:val="6EBFF748"/>
    <w:rsid w:val="6EC00889"/>
    <w:rsid w:val="6EC08DEE"/>
    <w:rsid w:val="6ECA0131"/>
    <w:rsid w:val="6ECB4D09"/>
    <w:rsid w:val="6ED6C514"/>
    <w:rsid w:val="6EDEB56A"/>
    <w:rsid w:val="6EF3ABB7"/>
    <w:rsid w:val="6EFA4F64"/>
    <w:rsid w:val="6F0D5868"/>
    <w:rsid w:val="6F109B52"/>
    <w:rsid w:val="6F1779B6"/>
    <w:rsid w:val="6F23FD84"/>
    <w:rsid w:val="6F2B8CC0"/>
    <w:rsid w:val="6F2DCD43"/>
    <w:rsid w:val="6F30D01E"/>
    <w:rsid w:val="6F3D9534"/>
    <w:rsid w:val="6F3F3191"/>
    <w:rsid w:val="6F3FAE51"/>
    <w:rsid w:val="6F4111AA"/>
    <w:rsid w:val="6F5004C5"/>
    <w:rsid w:val="6F587D4C"/>
    <w:rsid w:val="6F63A1D1"/>
    <w:rsid w:val="6F68569F"/>
    <w:rsid w:val="6F69B25B"/>
    <w:rsid w:val="6F73B922"/>
    <w:rsid w:val="6F744BED"/>
    <w:rsid w:val="6F82EB18"/>
    <w:rsid w:val="6F8E2B72"/>
    <w:rsid w:val="6F8EE760"/>
    <w:rsid w:val="6F91B48C"/>
    <w:rsid w:val="6FA9E292"/>
    <w:rsid w:val="6FB753C7"/>
    <w:rsid w:val="6FBE4041"/>
    <w:rsid w:val="6FCE52DF"/>
    <w:rsid w:val="6FDA2D97"/>
    <w:rsid w:val="6FE026F7"/>
    <w:rsid w:val="6FE893EF"/>
    <w:rsid w:val="6FEBFDB1"/>
    <w:rsid w:val="6FEF1ABF"/>
    <w:rsid w:val="70017942"/>
    <w:rsid w:val="700DC15B"/>
    <w:rsid w:val="700E972A"/>
    <w:rsid w:val="7011590C"/>
    <w:rsid w:val="702F5ADB"/>
    <w:rsid w:val="704297E4"/>
    <w:rsid w:val="705A4890"/>
    <w:rsid w:val="705EA911"/>
    <w:rsid w:val="70627017"/>
    <w:rsid w:val="706FEA21"/>
    <w:rsid w:val="7086227A"/>
    <w:rsid w:val="708BAF55"/>
    <w:rsid w:val="708EB07B"/>
    <w:rsid w:val="70A3097D"/>
    <w:rsid w:val="70B9671A"/>
    <w:rsid w:val="70BA7C86"/>
    <w:rsid w:val="70BAC4E0"/>
    <w:rsid w:val="70BD939E"/>
    <w:rsid w:val="70BF5C60"/>
    <w:rsid w:val="70C6D947"/>
    <w:rsid w:val="70E9AFCF"/>
    <w:rsid w:val="70EF0EE5"/>
    <w:rsid w:val="70F33FC3"/>
    <w:rsid w:val="71069537"/>
    <w:rsid w:val="71111758"/>
    <w:rsid w:val="71169C96"/>
    <w:rsid w:val="711F424A"/>
    <w:rsid w:val="713F06B4"/>
    <w:rsid w:val="717BF891"/>
    <w:rsid w:val="7193BF2B"/>
    <w:rsid w:val="719DB4AA"/>
    <w:rsid w:val="71AAF92C"/>
    <w:rsid w:val="71B02F4C"/>
    <w:rsid w:val="71B3FED8"/>
    <w:rsid w:val="71B7C3DD"/>
    <w:rsid w:val="71BE1578"/>
    <w:rsid w:val="71C4F7EC"/>
    <w:rsid w:val="71C70385"/>
    <w:rsid w:val="71C945DC"/>
    <w:rsid w:val="71D3F6B6"/>
    <w:rsid w:val="71D4BD1F"/>
    <w:rsid w:val="71D8F7FF"/>
    <w:rsid w:val="71E052CD"/>
    <w:rsid w:val="71F5A474"/>
    <w:rsid w:val="7208196B"/>
    <w:rsid w:val="72248DC5"/>
    <w:rsid w:val="7232AA28"/>
    <w:rsid w:val="724FF8BA"/>
    <w:rsid w:val="7258BCA2"/>
    <w:rsid w:val="726AD5CE"/>
    <w:rsid w:val="727296F2"/>
    <w:rsid w:val="72733080"/>
    <w:rsid w:val="727820C7"/>
    <w:rsid w:val="7284117D"/>
    <w:rsid w:val="7294747C"/>
    <w:rsid w:val="7298188A"/>
    <w:rsid w:val="72B0EE99"/>
    <w:rsid w:val="72B3BEF9"/>
    <w:rsid w:val="72B51FB2"/>
    <w:rsid w:val="72C2E5D4"/>
    <w:rsid w:val="72C66EE1"/>
    <w:rsid w:val="72CE1C17"/>
    <w:rsid w:val="72D265AA"/>
    <w:rsid w:val="72D79BF9"/>
    <w:rsid w:val="72EA886A"/>
    <w:rsid w:val="72EB770D"/>
    <w:rsid w:val="72EEA882"/>
    <w:rsid w:val="72F4D443"/>
    <w:rsid w:val="72F52293"/>
    <w:rsid w:val="72FC8BE8"/>
    <w:rsid w:val="730A9BC8"/>
    <w:rsid w:val="73135106"/>
    <w:rsid w:val="731DD5C6"/>
    <w:rsid w:val="7321C085"/>
    <w:rsid w:val="73255840"/>
    <w:rsid w:val="7332A461"/>
    <w:rsid w:val="733670A7"/>
    <w:rsid w:val="733F2835"/>
    <w:rsid w:val="73468D86"/>
    <w:rsid w:val="73577940"/>
    <w:rsid w:val="735DC318"/>
    <w:rsid w:val="735E4635"/>
    <w:rsid w:val="735E9751"/>
    <w:rsid w:val="73645D89"/>
    <w:rsid w:val="736522BA"/>
    <w:rsid w:val="736C3144"/>
    <w:rsid w:val="736D5891"/>
    <w:rsid w:val="73872A2D"/>
    <w:rsid w:val="73876C13"/>
    <w:rsid w:val="73880A00"/>
    <w:rsid w:val="738CD0BE"/>
    <w:rsid w:val="73B25496"/>
    <w:rsid w:val="73D51CB2"/>
    <w:rsid w:val="73F26737"/>
    <w:rsid w:val="73F3FE91"/>
    <w:rsid w:val="73F5E13C"/>
    <w:rsid w:val="73F6725D"/>
    <w:rsid w:val="73FAC644"/>
    <w:rsid w:val="740A918B"/>
    <w:rsid w:val="740C3866"/>
    <w:rsid w:val="741C38A6"/>
    <w:rsid w:val="7428629A"/>
    <w:rsid w:val="7443FA48"/>
    <w:rsid w:val="744F311B"/>
    <w:rsid w:val="74633676"/>
    <w:rsid w:val="7487610B"/>
    <w:rsid w:val="74908A13"/>
    <w:rsid w:val="7493407F"/>
    <w:rsid w:val="74A68894"/>
    <w:rsid w:val="74B89651"/>
    <w:rsid w:val="74C5F743"/>
    <w:rsid w:val="74CE7A05"/>
    <w:rsid w:val="74DECB53"/>
    <w:rsid w:val="74E7D2D3"/>
    <w:rsid w:val="75029BF8"/>
    <w:rsid w:val="7503F288"/>
    <w:rsid w:val="75047E68"/>
    <w:rsid w:val="7517D401"/>
    <w:rsid w:val="75250560"/>
    <w:rsid w:val="7526D31E"/>
    <w:rsid w:val="75389917"/>
    <w:rsid w:val="754A4C75"/>
    <w:rsid w:val="75563D21"/>
    <w:rsid w:val="755B5A05"/>
    <w:rsid w:val="7562293B"/>
    <w:rsid w:val="7562364C"/>
    <w:rsid w:val="7571D8F1"/>
    <w:rsid w:val="757FD518"/>
    <w:rsid w:val="758CAAFE"/>
    <w:rsid w:val="75907617"/>
    <w:rsid w:val="7592B0A3"/>
    <w:rsid w:val="75AC0949"/>
    <w:rsid w:val="75ACD6B8"/>
    <w:rsid w:val="75B04035"/>
    <w:rsid w:val="75B131C1"/>
    <w:rsid w:val="75BAB81A"/>
    <w:rsid w:val="75C081DE"/>
    <w:rsid w:val="75C2AD33"/>
    <w:rsid w:val="75C432FB"/>
    <w:rsid w:val="75C551F4"/>
    <w:rsid w:val="75D6362B"/>
    <w:rsid w:val="75DF3649"/>
    <w:rsid w:val="75E0E44A"/>
    <w:rsid w:val="75E0F13B"/>
    <w:rsid w:val="75F767F6"/>
    <w:rsid w:val="7603BEB7"/>
    <w:rsid w:val="76131CCE"/>
    <w:rsid w:val="7621BD15"/>
    <w:rsid w:val="762738EC"/>
    <w:rsid w:val="765EC3AB"/>
    <w:rsid w:val="767B0C4B"/>
    <w:rsid w:val="76806AD0"/>
    <w:rsid w:val="769D65A8"/>
    <w:rsid w:val="76A69F0B"/>
    <w:rsid w:val="76A809A8"/>
    <w:rsid w:val="76AD7694"/>
    <w:rsid w:val="76B5E5E7"/>
    <w:rsid w:val="76CA0376"/>
    <w:rsid w:val="76CC9494"/>
    <w:rsid w:val="76CEBCA2"/>
    <w:rsid w:val="76D6CC18"/>
    <w:rsid w:val="76D96096"/>
    <w:rsid w:val="76DEA8C9"/>
    <w:rsid w:val="76E1D5CB"/>
    <w:rsid w:val="76E9A55C"/>
    <w:rsid w:val="76EF117D"/>
    <w:rsid w:val="7702013B"/>
    <w:rsid w:val="7702B11A"/>
    <w:rsid w:val="7712540F"/>
    <w:rsid w:val="77173803"/>
    <w:rsid w:val="771F914A"/>
    <w:rsid w:val="774501BF"/>
    <w:rsid w:val="7748B0A5"/>
    <w:rsid w:val="774AC6AE"/>
    <w:rsid w:val="7758801B"/>
    <w:rsid w:val="775C0A89"/>
    <w:rsid w:val="775FFDD4"/>
    <w:rsid w:val="776182B3"/>
    <w:rsid w:val="77665876"/>
    <w:rsid w:val="7768D46E"/>
    <w:rsid w:val="776EF013"/>
    <w:rsid w:val="777A1A9A"/>
    <w:rsid w:val="777C8C0C"/>
    <w:rsid w:val="778023DD"/>
    <w:rsid w:val="778D1784"/>
    <w:rsid w:val="77A2677C"/>
    <w:rsid w:val="77A8A77F"/>
    <w:rsid w:val="77C72836"/>
    <w:rsid w:val="77C9E03E"/>
    <w:rsid w:val="77CE3DBE"/>
    <w:rsid w:val="77D27840"/>
    <w:rsid w:val="77E1588C"/>
    <w:rsid w:val="77EE5E7E"/>
    <w:rsid w:val="77F09928"/>
    <w:rsid w:val="77F0B96D"/>
    <w:rsid w:val="77FDB47A"/>
    <w:rsid w:val="7804523C"/>
    <w:rsid w:val="780F7B01"/>
    <w:rsid w:val="781200AA"/>
    <w:rsid w:val="7822C017"/>
    <w:rsid w:val="782443EB"/>
    <w:rsid w:val="7829BFDF"/>
    <w:rsid w:val="782EA038"/>
    <w:rsid w:val="784B4668"/>
    <w:rsid w:val="786C4E5D"/>
    <w:rsid w:val="787BD370"/>
    <w:rsid w:val="788CB879"/>
    <w:rsid w:val="78961E84"/>
    <w:rsid w:val="78AADE6A"/>
    <w:rsid w:val="78ABD742"/>
    <w:rsid w:val="78B0649D"/>
    <w:rsid w:val="78C453E5"/>
    <w:rsid w:val="78CA12BA"/>
    <w:rsid w:val="78D6207A"/>
    <w:rsid w:val="78E6AC34"/>
    <w:rsid w:val="78F13E96"/>
    <w:rsid w:val="78F171FA"/>
    <w:rsid w:val="78F2E9B8"/>
    <w:rsid w:val="79036274"/>
    <w:rsid w:val="7905CE56"/>
    <w:rsid w:val="7911B65E"/>
    <w:rsid w:val="7915BB17"/>
    <w:rsid w:val="79198274"/>
    <w:rsid w:val="791989C0"/>
    <w:rsid w:val="7921B483"/>
    <w:rsid w:val="7925C7E5"/>
    <w:rsid w:val="79295FE3"/>
    <w:rsid w:val="7931B3E7"/>
    <w:rsid w:val="7940A3D8"/>
    <w:rsid w:val="79412F53"/>
    <w:rsid w:val="794F0578"/>
    <w:rsid w:val="7953B28D"/>
    <w:rsid w:val="7958B5B3"/>
    <w:rsid w:val="795E610C"/>
    <w:rsid w:val="795FBFA3"/>
    <w:rsid w:val="79748469"/>
    <w:rsid w:val="7976EE9F"/>
    <w:rsid w:val="7976F0E6"/>
    <w:rsid w:val="798D47E2"/>
    <w:rsid w:val="798F10F4"/>
    <w:rsid w:val="799AFB36"/>
    <w:rsid w:val="79A244A6"/>
    <w:rsid w:val="79A37E97"/>
    <w:rsid w:val="79A3AB99"/>
    <w:rsid w:val="79AA21D8"/>
    <w:rsid w:val="79AAA75D"/>
    <w:rsid w:val="79B75E07"/>
    <w:rsid w:val="79BFFDE5"/>
    <w:rsid w:val="79C487A2"/>
    <w:rsid w:val="79DFCF04"/>
    <w:rsid w:val="79E60D5F"/>
    <w:rsid w:val="79F33B41"/>
    <w:rsid w:val="79F3B301"/>
    <w:rsid w:val="79F5717E"/>
    <w:rsid w:val="79F68D19"/>
    <w:rsid w:val="7A07E01F"/>
    <w:rsid w:val="7A10007D"/>
    <w:rsid w:val="7A1BA803"/>
    <w:rsid w:val="7A2380D8"/>
    <w:rsid w:val="7A24B916"/>
    <w:rsid w:val="7A2B46A1"/>
    <w:rsid w:val="7A362E56"/>
    <w:rsid w:val="7A40A80F"/>
    <w:rsid w:val="7A4759CC"/>
    <w:rsid w:val="7A4A683C"/>
    <w:rsid w:val="7A4C7EA4"/>
    <w:rsid w:val="7A4DDC86"/>
    <w:rsid w:val="7A50EC0C"/>
    <w:rsid w:val="7A58819D"/>
    <w:rsid w:val="7A5AE5FF"/>
    <w:rsid w:val="7A5F4195"/>
    <w:rsid w:val="7A6073B2"/>
    <w:rsid w:val="7A645195"/>
    <w:rsid w:val="7A6B7A34"/>
    <w:rsid w:val="7A779349"/>
    <w:rsid w:val="7A7C3BBE"/>
    <w:rsid w:val="7A7D5EF0"/>
    <w:rsid w:val="7A8F17A1"/>
    <w:rsid w:val="7A961854"/>
    <w:rsid w:val="7AA96CA9"/>
    <w:rsid w:val="7AABCE24"/>
    <w:rsid w:val="7ABCFD4D"/>
    <w:rsid w:val="7AC1B415"/>
    <w:rsid w:val="7AC40BDB"/>
    <w:rsid w:val="7AC8B606"/>
    <w:rsid w:val="7ACCD378"/>
    <w:rsid w:val="7AD6DCE5"/>
    <w:rsid w:val="7ADA90CC"/>
    <w:rsid w:val="7ADFC948"/>
    <w:rsid w:val="7AEB1928"/>
    <w:rsid w:val="7AECFBE7"/>
    <w:rsid w:val="7AF32DD3"/>
    <w:rsid w:val="7AF74DF0"/>
    <w:rsid w:val="7AF841A9"/>
    <w:rsid w:val="7B0CBFDB"/>
    <w:rsid w:val="7B124DC6"/>
    <w:rsid w:val="7B1512FA"/>
    <w:rsid w:val="7B185E14"/>
    <w:rsid w:val="7B2247F6"/>
    <w:rsid w:val="7B23F5AF"/>
    <w:rsid w:val="7B25E94F"/>
    <w:rsid w:val="7B285A2F"/>
    <w:rsid w:val="7B297F45"/>
    <w:rsid w:val="7B36A1B4"/>
    <w:rsid w:val="7B460318"/>
    <w:rsid w:val="7B482845"/>
    <w:rsid w:val="7B497FBA"/>
    <w:rsid w:val="7B52D1ED"/>
    <w:rsid w:val="7B583DA1"/>
    <w:rsid w:val="7B5D71E4"/>
    <w:rsid w:val="7B5E94B0"/>
    <w:rsid w:val="7B6836CB"/>
    <w:rsid w:val="7B7CFDA4"/>
    <w:rsid w:val="7B7EFBDD"/>
    <w:rsid w:val="7B84EAC4"/>
    <w:rsid w:val="7B97E448"/>
    <w:rsid w:val="7BB1979F"/>
    <w:rsid w:val="7BB945A1"/>
    <w:rsid w:val="7BC641C6"/>
    <w:rsid w:val="7BCD2FE5"/>
    <w:rsid w:val="7BD42378"/>
    <w:rsid w:val="7BDA54A0"/>
    <w:rsid w:val="7BE36E5A"/>
    <w:rsid w:val="7BE45C80"/>
    <w:rsid w:val="7BE98B14"/>
    <w:rsid w:val="7BFF5E83"/>
    <w:rsid w:val="7C02EFDF"/>
    <w:rsid w:val="7C085CEF"/>
    <w:rsid w:val="7C086966"/>
    <w:rsid w:val="7C0CF858"/>
    <w:rsid w:val="7C1496F4"/>
    <w:rsid w:val="7C1859E3"/>
    <w:rsid w:val="7C1DA800"/>
    <w:rsid w:val="7C1FA8DD"/>
    <w:rsid w:val="7C210B44"/>
    <w:rsid w:val="7C29B4FA"/>
    <w:rsid w:val="7C2E81E7"/>
    <w:rsid w:val="7C3A6111"/>
    <w:rsid w:val="7C5F1E62"/>
    <w:rsid w:val="7C6F0011"/>
    <w:rsid w:val="7C768FFA"/>
    <w:rsid w:val="7C78AD5A"/>
    <w:rsid w:val="7C8B7C49"/>
    <w:rsid w:val="7CA3C4F9"/>
    <w:rsid w:val="7CAAC278"/>
    <w:rsid w:val="7CB4DC28"/>
    <w:rsid w:val="7CBC0869"/>
    <w:rsid w:val="7D0B3FE7"/>
    <w:rsid w:val="7D1C8D70"/>
    <w:rsid w:val="7D231AEF"/>
    <w:rsid w:val="7D346F62"/>
    <w:rsid w:val="7D4494C1"/>
    <w:rsid w:val="7D4C638C"/>
    <w:rsid w:val="7D6009BD"/>
    <w:rsid w:val="7D600B2B"/>
    <w:rsid w:val="7D60E129"/>
    <w:rsid w:val="7D653E3B"/>
    <w:rsid w:val="7D6985C6"/>
    <w:rsid w:val="7D6CE3B1"/>
    <w:rsid w:val="7D78A453"/>
    <w:rsid w:val="7D87EA57"/>
    <w:rsid w:val="7D9B3101"/>
    <w:rsid w:val="7D9CF574"/>
    <w:rsid w:val="7DA135A3"/>
    <w:rsid w:val="7DB03683"/>
    <w:rsid w:val="7DB6BBC8"/>
    <w:rsid w:val="7DB7E89D"/>
    <w:rsid w:val="7DC82134"/>
    <w:rsid w:val="7DD13944"/>
    <w:rsid w:val="7DE0CDE1"/>
    <w:rsid w:val="7DFD1171"/>
    <w:rsid w:val="7DFEC838"/>
    <w:rsid w:val="7E02F9B4"/>
    <w:rsid w:val="7E1420AD"/>
    <w:rsid w:val="7E1FF965"/>
    <w:rsid w:val="7E296645"/>
    <w:rsid w:val="7E2D8025"/>
    <w:rsid w:val="7E2E031D"/>
    <w:rsid w:val="7E3100A8"/>
    <w:rsid w:val="7E33AA16"/>
    <w:rsid w:val="7E33AAE9"/>
    <w:rsid w:val="7E3A76E7"/>
    <w:rsid w:val="7E4304F3"/>
    <w:rsid w:val="7E48459F"/>
    <w:rsid w:val="7E629434"/>
    <w:rsid w:val="7E7AF203"/>
    <w:rsid w:val="7E7BE62A"/>
    <w:rsid w:val="7E7BFC7E"/>
    <w:rsid w:val="7E879D98"/>
    <w:rsid w:val="7E8C6F2F"/>
    <w:rsid w:val="7EADF098"/>
    <w:rsid w:val="7EBBBCF0"/>
    <w:rsid w:val="7EC8EE63"/>
    <w:rsid w:val="7EC98A67"/>
    <w:rsid w:val="7ECC5BE2"/>
    <w:rsid w:val="7ED1973D"/>
    <w:rsid w:val="7ED4BF15"/>
    <w:rsid w:val="7ED765C7"/>
    <w:rsid w:val="7ED7952D"/>
    <w:rsid w:val="7ED84BD2"/>
    <w:rsid w:val="7EEB56FE"/>
    <w:rsid w:val="7EF2706B"/>
    <w:rsid w:val="7EFDEEBE"/>
    <w:rsid w:val="7EFF86DF"/>
    <w:rsid w:val="7F145A8C"/>
    <w:rsid w:val="7F1B22F0"/>
    <w:rsid w:val="7F1B803E"/>
    <w:rsid w:val="7F2464B8"/>
    <w:rsid w:val="7F39B422"/>
    <w:rsid w:val="7F3D1932"/>
    <w:rsid w:val="7F417CF6"/>
    <w:rsid w:val="7F4DFDDE"/>
    <w:rsid w:val="7F5EFA0A"/>
    <w:rsid w:val="7F6D09A5"/>
    <w:rsid w:val="7F7D1BBF"/>
    <w:rsid w:val="7F9B4686"/>
    <w:rsid w:val="7F9DDE3D"/>
    <w:rsid w:val="7FC2CB99"/>
    <w:rsid w:val="7FC61250"/>
    <w:rsid w:val="7FC6A3DC"/>
    <w:rsid w:val="7FCDE9FD"/>
    <w:rsid w:val="7FCEEB44"/>
    <w:rsid w:val="7FE898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A9E918"/>
  <w15:chartTrackingRefBased/>
  <w15:docId w15:val="{ADCE8E15-612E-4F62-871E-E038D07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294"/>
  </w:style>
  <w:style w:type="paragraph" w:styleId="Heading1">
    <w:name w:val="heading 1"/>
    <w:basedOn w:val="Normal"/>
    <w:next w:val="Normal"/>
    <w:link w:val="Heading1Char"/>
    <w:uiPriority w:val="9"/>
    <w:qFormat/>
    <w:rsid w:val="00811D7C"/>
    <w:pPr>
      <w:keepNext/>
      <w:keepLines/>
      <w:numPr>
        <w:numId w:val="13"/>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7633D"/>
    <w:pPr>
      <w:keepNext/>
      <w:keepLines/>
      <w:numPr>
        <w:ilvl w:val="1"/>
        <w:numId w:val="13"/>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811D7C"/>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811D7C"/>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11D7C"/>
    <w:pPr>
      <w:keepNext/>
      <w:keepLines/>
      <w:numPr>
        <w:ilvl w:val="4"/>
        <w:numId w:val="1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F1224"/>
    <w:pPr>
      <w:keepNext/>
      <w:keepLines/>
      <w:numPr>
        <w:ilvl w:val="5"/>
        <w:numId w:val="1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F1224"/>
    <w:pPr>
      <w:keepNext/>
      <w:keepLines/>
      <w:numPr>
        <w:ilvl w:val="6"/>
        <w:numId w:val="1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F1224"/>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1224"/>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7C"/>
    <w:rPr>
      <w:rFonts w:asciiTheme="majorHAnsi" w:eastAsiaTheme="majorEastAsia" w:hAnsiTheme="majorHAnsi" w:cstheme="majorBidi"/>
      <w:color w:val="365F91" w:themeColor="accent1" w:themeShade="BF"/>
      <w:sz w:val="32"/>
      <w:szCs w:val="32"/>
      <w:lang w:val="ro-RO"/>
    </w:rPr>
  </w:style>
  <w:style w:type="character" w:customStyle="1" w:styleId="Heading2Char">
    <w:name w:val="Heading 2 Char"/>
    <w:basedOn w:val="DefaultParagraphFont"/>
    <w:link w:val="Heading2"/>
    <w:uiPriority w:val="9"/>
    <w:rsid w:val="00D7633D"/>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811D7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11D7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811D7C"/>
    <w:rPr>
      <w:rFonts w:asciiTheme="majorHAnsi" w:eastAsiaTheme="majorEastAsia" w:hAnsiTheme="majorHAnsi" w:cstheme="majorBidi"/>
      <w:color w:val="365F91" w:themeColor="accent1" w:themeShade="BF"/>
    </w:rPr>
  </w:style>
  <w:style w:type="character" w:customStyle="1" w:styleId="Marker">
    <w:name w:val="Marker"/>
    <w:basedOn w:val="DefaultParagraphFont"/>
    <w:rsid w:val="00811D7C"/>
    <w:rPr>
      <w:color w:val="0000FF"/>
      <w:shd w:val="clear" w:color="auto" w:fill="auto"/>
    </w:rPr>
  </w:style>
  <w:style w:type="paragraph" w:customStyle="1" w:styleId="Pagedecouverture">
    <w:name w:val="Page de couverture"/>
    <w:basedOn w:val="Normal"/>
    <w:next w:val="Normal"/>
    <w:rsid w:val="00811D7C"/>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811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D7C"/>
  </w:style>
  <w:style w:type="paragraph" w:styleId="Footer">
    <w:name w:val="footer"/>
    <w:basedOn w:val="Normal"/>
    <w:link w:val="FooterChar"/>
    <w:uiPriority w:val="99"/>
    <w:unhideWhenUsed/>
    <w:rsid w:val="00811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D7C"/>
  </w:style>
  <w:style w:type="paragraph" w:customStyle="1" w:styleId="FooterCoverPage">
    <w:name w:val="Footer Cover Page"/>
    <w:basedOn w:val="Normal"/>
    <w:link w:val="FooterCoverPageChar"/>
    <w:rsid w:val="00811D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11D7C"/>
    <w:rPr>
      <w:rFonts w:ascii="Times New Roman" w:hAnsi="Times New Roman" w:cs="Times New Roman"/>
      <w:sz w:val="24"/>
    </w:rPr>
  </w:style>
  <w:style w:type="paragraph" w:customStyle="1" w:styleId="FooterSensitivity">
    <w:name w:val="Footer Sensitivity"/>
    <w:basedOn w:val="Normal"/>
    <w:link w:val="FooterSensitivityChar"/>
    <w:rsid w:val="00811D7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11D7C"/>
    <w:rPr>
      <w:rFonts w:ascii="Times New Roman" w:hAnsi="Times New Roman" w:cs="Times New Roman"/>
      <w:b/>
      <w:sz w:val="32"/>
    </w:rPr>
  </w:style>
  <w:style w:type="paragraph" w:customStyle="1" w:styleId="HeaderCoverPage">
    <w:name w:val="Header Cover Page"/>
    <w:basedOn w:val="Normal"/>
    <w:link w:val="HeaderCoverPageChar"/>
    <w:rsid w:val="00811D7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11D7C"/>
    <w:rPr>
      <w:rFonts w:ascii="Times New Roman" w:hAnsi="Times New Roman" w:cs="Times New Roman"/>
      <w:sz w:val="24"/>
    </w:rPr>
  </w:style>
  <w:style w:type="paragraph" w:customStyle="1" w:styleId="HeaderSensitivity">
    <w:name w:val="Header Sensitivity"/>
    <w:basedOn w:val="Normal"/>
    <w:link w:val="HeaderSensitivityChar"/>
    <w:rsid w:val="00811D7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11D7C"/>
    <w:rPr>
      <w:rFonts w:ascii="Times New Roman" w:hAnsi="Times New Roman" w:cs="Times New Roman"/>
      <w:b/>
      <w:sz w:val="32"/>
    </w:rPr>
  </w:style>
  <w:style w:type="paragraph" w:styleId="TOCHeading">
    <w:name w:val="TOC Heading"/>
    <w:basedOn w:val="Heading1"/>
    <w:next w:val="Normal"/>
    <w:uiPriority w:val="39"/>
    <w:unhideWhenUsed/>
    <w:qFormat/>
    <w:rsid w:val="00811D7C"/>
    <w:pPr>
      <w:spacing w:line="259" w:lineRule="auto"/>
      <w:outlineLvl w:val="9"/>
    </w:pPr>
  </w:style>
  <w:style w:type="paragraph" w:styleId="TOC2">
    <w:name w:val="toc 2"/>
    <w:basedOn w:val="Normal"/>
    <w:next w:val="Normal"/>
    <w:autoRedefine/>
    <w:uiPriority w:val="39"/>
    <w:unhideWhenUsed/>
    <w:rsid w:val="008E10CB"/>
    <w:pPr>
      <w:tabs>
        <w:tab w:val="left" w:pos="880"/>
        <w:tab w:val="right" w:leader="dot" w:pos="9062"/>
      </w:tabs>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F42B71"/>
    <w:pPr>
      <w:tabs>
        <w:tab w:val="left" w:pos="660"/>
        <w:tab w:val="right" w:leader="dot" w:pos="9062"/>
      </w:tabs>
      <w:spacing w:after="100" w:line="259" w:lineRule="auto"/>
    </w:pPr>
    <w:rPr>
      <w:rFonts w:ascii="Times New Roman" w:eastAsiaTheme="minorEastAsia" w:hAnsi="Times New Roman" w:cs="Times New Roman"/>
      <w:b/>
      <w:bCs/>
      <w:noProof/>
    </w:rPr>
  </w:style>
  <w:style w:type="paragraph" w:styleId="TOC3">
    <w:name w:val="toc 3"/>
    <w:basedOn w:val="Normal"/>
    <w:next w:val="Normal"/>
    <w:autoRedefine/>
    <w:uiPriority w:val="39"/>
    <w:unhideWhenUsed/>
    <w:rsid w:val="00811D7C"/>
    <w:pPr>
      <w:tabs>
        <w:tab w:val="left" w:pos="1320"/>
        <w:tab w:val="right" w:leader="dot" w:pos="9062"/>
      </w:tabs>
      <w:spacing w:after="100" w:line="259" w:lineRule="auto"/>
      <w:ind w:left="440"/>
    </w:pPr>
    <w:rPr>
      <w:rFonts w:ascii="Times New Roman" w:eastAsiaTheme="minorEastAsia" w:hAnsi="Times New Roman" w:cs="Times New Roman"/>
      <w:b/>
      <w:noProof/>
      <w:sz w:val="24"/>
      <w:szCs w:val="24"/>
    </w:rPr>
  </w:style>
  <w:style w:type="paragraph" w:styleId="ListParagraph">
    <w:name w:val="List Paragraph"/>
    <w:aliases w:val="Fiche List Paragraph,Dot pt,F5 List Paragraph,List Paragraph1,No Spacing1,List Paragraph Char Char Char,Indicator Text,Numbered Para 1,Bullet Points,MAIN CONTENT,List Paragraph12,Bullet 1,OBC Bullet,Colorful List - Accent 11,3,EC,No TOC,L"/>
    <w:basedOn w:val="Normal"/>
    <w:link w:val="ListParagraphChar"/>
    <w:uiPriority w:val="34"/>
    <w:qFormat/>
    <w:rsid w:val="00811D7C"/>
    <w:pPr>
      <w:ind w:left="720"/>
      <w:contextualSpacing/>
    </w:pPr>
  </w:style>
  <w:style w:type="paragraph" w:styleId="FootnoteText">
    <w:name w:val="footnote text"/>
    <w:aliases w:val="Footnote Text Char1,Footnote Text Char Char,DTE-Voetnoottekst Char1 Char,DTE-Voetnoottekst Char Char Char,fn Char Char,footnote text Char Char,Footnotes Char Char,Footnote ak Char Char,Footnote Text Char1 Char Char,DTE-Voetnoottekst,fn,ft"/>
    <w:basedOn w:val="Normal"/>
    <w:link w:val="FootnoteTextChar"/>
    <w:uiPriority w:val="99"/>
    <w:unhideWhenUsed/>
    <w:qFormat/>
    <w:rsid w:val="00811D7C"/>
    <w:pPr>
      <w:spacing w:after="0" w:line="240" w:lineRule="auto"/>
    </w:pPr>
    <w:rPr>
      <w:sz w:val="20"/>
      <w:szCs w:val="20"/>
    </w:rPr>
  </w:style>
  <w:style w:type="character" w:customStyle="1" w:styleId="FootnoteTextChar">
    <w:name w:val="Footnote Text Char"/>
    <w:aliases w:val="Footnote Text Char1 Char,Footnote Text Char Char Char,DTE-Voetnoottekst Char1 Char Char,DTE-Voetnoottekst Char Char Char Char,fn Char Char Char,footnote text Char Char Char,Footnotes Char Char Char,Footnote ak Char Char Char,fn Char"/>
    <w:basedOn w:val="DefaultParagraphFont"/>
    <w:link w:val="FootnoteText"/>
    <w:uiPriority w:val="99"/>
    <w:qFormat/>
    <w:rsid w:val="00811D7C"/>
    <w:rPr>
      <w:sz w:val="20"/>
      <w:szCs w:val="20"/>
    </w:rPr>
  </w:style>
  <w:style w:type="character" w:styleId="FootnoteReference">
    <w:name w:val="footnote reference"/>
    <w:aliases w:val="Ref,de nota al pie,Footnote number,SUPERS,(NECG) Footnote Reference,0 PIER Footnote Reference,Footnote Reference Superscript,Footnote symbol,Footnote Reference/,Footnote Reference text,Voetnootverwijzing,footnote ref,FR,Times 10 Point"/>
    <w:basedOn w:val="DefaultParagraphFont"/>
    <w:link w:val="16Point"/>
    <w:uiPriority w:val="99"/>
    <w:unhideWhenUsed/>
    <w:qFormat/>
    <w:rsid w:val="00811D7C"/>
    <w:rPr>
      <w:vertAlign w:val="superscript"/>
    </w:rPr>
  </w:style>
  <w:style w:type="character" w:styleId="Hyperlink">
    <w:name w:val="Hyperlink"/>
    <w:basedOn w:val="DefaultParagraphFont"/>
    <w:uiPriority w:val="99"/>
    <w:unhideWhenUsed/>
    <w:rsid w:val="00811D7C"/>
    <w:rPr>
      <w:color w:val="0000FF" w:themeColor="hyperlink"/>
      <w:u w:val="single"/>
    </w:rPr>
  </w:style>
  <w:style w:type="paragraph" w:styleId="BalloonText">
    <w:name w:val="Balloon Text"/>
    <w:basedOn w:val="Normal"/>
    <w:link w:val="BalloonTextChar"/>
    <w:uiPriority w:val="99"/>
    <w:semiHidden/>
    <w:unhideWhenUsed/>
    <w:rsid w:val="00811D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D7C"/>
    <w:rPr>
      <w:rFonts w:ascii="Segoe UI" w:hAnsi="Segoe UI" w:cs="Segoe UI"/>
      <w:sz w:val="18"/>
      <w:szCs w:val="18"/>
    </w:rPr>
  </w:style>
  <w:style w:type="paragraph" w:styleId="NoSpacing">
    <w:name w:val="No Spacing"/>
    <w:uiPriority w:val="1"/>
    <w:qFormat/>
    <w:rsid w:val="00811D7C"/>
    <w:pPr>
      <w:spacing w:after="0" w:line="240" w:lineRule="auto"/>
    </w:pPr>
  </w:style>
  <w:style w:type="paragraph" w:customStyle="1" w:styleId="04aNumeration">
    <w:name w:val="04a_Numeration"/>
    <w:basedOn w:val="Normal"/>
    <w:link w:val="04aNumerationChar"/>
    <w:rsid w:val="00811D7C"/>
    <w:pPr>
      <w:numPr>
        <w:numId w:val="2"/>
      </w:numPr>
      <w:spacing w:after="250"/>
      <w:jc w:val="both"/>
    </w:pPr>
    <w:rPr>
      <w:rFonts w:ascii="Georgia" w:eastAsia="Times New Roman" w:hAnsi="Georgia" w:cs="Times New Roman"/>
      <w:sz w:val="20"/>
      <w:szCs w:val="24"/>
      <w:lang w:eastAsia="de-DE"/>
    </w:rPr>
  </w:style>
  <w:style w:type="character" w:customStyle="1" w:styleId="04aNumerationChar">
    <w:name w:val="04a_Numeration Char"/>
    <w:link w:val="04aNumeration"/>
    <w:locked/>
    <w:rsid w:val="00811D7C"/>
    <w:rPr>
      <w:rFonts w:ascii="Georgia" w:eastAsia="Times New Roman" w:hAnsi="Georgia" w:cs="Times New Roman"/>
      <w:sz w:val="20"/>
      <w:szCs w:val="24"/>
      <w:lang w:eastAsia="de-DE"/>
    </w:rPr>
  </w:style>
  <w:style w:type="character" w:styleId="CommentReference">
    <w:name w:val="annotation reference"/>
    <w:basedOn w:val="DefaultParagraphFont"/>
    <w:uiPriority w:val="99"/>
    <w:unhideWhenUsed/>
    <w:rsid w:val="00811D7C"/>
    <w:rPr>
      <w:sz w:val="16"/>
      <w:szCs w:val="16"/>
    </w:rPr>
  </w:style>
  <w:style w:type="paragraph" w:styleId="CommentText">
    <w:name w:val="annotation text"/>
    <w:basedOn w:val="Normal"/>
    <w:link w:val="CommentTextChar"/>
    <w:uiPriority w:val="99"/>
    <w:unhideWhenUsed/>
    <w:rsid w:val="00811D7C"/>
    <w:pPr>
      <w:spacing w:line="240" w:lineRule="auto"/>
    </w:pPr>
    <w:rPr>
      <w:sz w:val="20"/>
      <w:szCs w:val="20"/>
    </w:rPr>
  </w:style>
  <w:style w:type="character" w:customStyle="1" w:styleId="CommentTextChar">
    <w:name w:val="Comment Text Char"/>
    <w:basedOn w:val="DefaultParagraphFont"/>
    <w:link w:val="CommentText"/>
    <w:uiPriority w:val="99"/>
    <w:rsid w:val="00811D7C"/>
    <w:rPr>
      <w:sz w:val="20"/>
      <w:szCs w:val="20"/>
    </w:rPr>
  </w:style>
  <w:style w:type="paragraph" w:styleId="CommentSubject">
    <w:name w:val="annotation subject"/>
    <w:basedOn w:val="CommentText"/>
    <w:next w:val="CommentText"/>
    <w:link w:val="CommentSubjectChar"/>
    <w:uiPriority w:val="99"/>
    <w:semiHidden/>
    <w:unhideWhenUsed/>
    <w:rsid w:val="00811D7C"/>
    <w:rPr>
      <w:b/>
      <w:bCs/>
    </w:rPr>
  </w:style>
  <w:style w:type="character" w:customStyle="1" w:styleId="CommentSubjectChar">
    <w:name w:val="Comment Subject Char"/>
    <w:basedOn w:val="CommentTextChar"/>
    <w:link w:val="CommentSubject"/>
    <w:uiPriority w:val="99"/>
    <w:semiHidden/>
    <w:rsid w:val="00811D7C"/>
    <w:rPr>
      <w:b/>
      <w:bCs/>
      <w:sz w:val="20"/>
      <w:szCs w:val="20"/>
    </w:rPr>
  </w:style>
  <w:style w:type="paragraph" w:styleId="NormalWeb">
    <w:name w:val="Normal (Web)"/>
    <w:basedOn w:val="Normal"/>
    <w:uiPriority w:val="99"/>
    <w:unhideWhenUsed/>
    <w:rsid w:val="00811D7C"/>
    <w:pPr>
      <w:spacing w:after="0" w:line="240" w:lineRule="auto"/>
    </w:pPr>
    <w:rPr>
      <w:rFonts w:ascii="Times New Roman" w:hAnsi="Times New Roman" w:cs="Times New Roman"/>
      <w:sz w:val="24"/>
      <w:szCs w:val="24"/>
      <w:lang w:eastAsia="en-GB"/>
    </w:rPr>
  </w:style>
  <w:style w:type="paragraph" w:customStyle="1" w:styleId="0Bodytext">
    <w:name w:val="(0)Body text"/>
    <w:basedOn w:val="Normal"/>
    <w:link w:val="0BodytextZchn"/>
    <w:qFormat/>
    <w:rsid w:val="00811D7C"/>
    <w:pPr>
      <w:spacing w:before="60" w:after="120" w:line="240" w:lineRule="auto"/>
      <w:jc w:val="both"/>
    </w:pPr>
    <w:rPr>
      <w:rFonts w:ascii="Verdana" w:eastAsia="Calibri" w:hAnsi="Verdana" w:cs="Arial"/>
      <w:color w:val="333333"/>
      <w:sz w:val="20"/>
      <w:szCs w:val="20"/>
    </w:rPr>
  </w:style>
  <w:style w:type="character" w:customStyle="1" w:styleId="0BodytextZchn">
    <w:name w:val="(0)Body text Zchn"/>
    <w:link w:val="0Bodytext"/>
    <w:rsid w:val="00811D7C"/>
    <w:rPr>
      <w:rFonts w:ascii="Verdana" w:eastAsia="Calibri" w:hAnsi="Verdana" w:cs="Arial"/>
      <w:color w:val="333333"/>
      <w:sz w:val="20"/>
      <w:szCs w:val="20"/>
      <w:lang w:val="ro-RO"/>
    </w:rPr>
  </w:style>
  <w:style w:type="table" w:styleId="TableGrid">
    <w:name w:val="Table Grid"/>
    <w:aliases w:val="Table none"/>
    <w:basedOn w:val="TableNormal"/>
    <w:uiPriority w:val="39"/>
    <w:rsid w:val="00811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
    <w:name w:val="Text 3"/>
    <w:basedOn w:val="Normal"/>
    <w:qFormat/>
    <w:rsid w:val="00811D7C"/>
    <w:pPr>
      <w:spacing w:after="240" w:line="240" w:lineRule="auto"/>
      <w:ind w:left="1916"/>
      <w:jc w:val="both"/>
    </w:pPr>
    <w:rPr>
      <w:rFonts w:ascii="Times New Roman" w:eastAsia="Times New Roman" w:hAnsi="Times New Roman" w:cs="Times New Roman"/>
      <w:sz w:val="24"/>
      <w:szCs w:val="20"/>
      <w:lang w:eastAsia="en-GB"/>
    </w:rPr>
  </w:style>
  <w:style w:type="paragraph" w:customStyle="1" w:styleId="16Point">
    <w:name w:val="16 Point"/>
    <w:aliases w:val="Superscript 6 Point,Exposant 3 Point,Footnote reference number,Odwołanie przypisu,number,2001+ Fußnotenzeichen"/>
    <w:basedOn w:val="Normal"/>
    <w:link w:val="FootnoteReference"/>
    <w:uiPriority w:val="99"/>
    <w:qFormat/>
    <w:rsid w:val="00811D7C"/>
    <w:pPr>
      <w:spacing w:after="160" w:line="240" w:lineRule="exact"/>
    </w:pPr>
    <w:rPr>
      <w:vertAlign w:val="superscript"/>
    </w:rPr>
  </w:style>
  <w:style w:type="paragraph" w:customStyle="1" w:styleId="Text1">
    <w:name w:val="Text 1"/>
    <w:basedOn w:val="Normal"/>
    <w:qFormat/>
    <w:rsid w:val="00811D7C"/>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istParagraph"/>
    <w:uiPriority w:val="34"/>
    <w:qFormat/>
    <w:locked/>
    <w:rsid w:val="00811D7C"/>
  </w:style>
  <w:style w:type="paragraph" w:customStyle="1" w:styleId="Default">
    <w:name w:val="Default"/>
    <w:rsid w:val="00811D7C"/>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SecurityMarking">
    <w:name w:val="SecurityMarking"/>
    <w:basedOn w:val="Normal"/>
    <w:rsid w:val="00811D7C"/>
    <w:pPr>
      <w:spacing w:after="0"/>
      <w:ind w:left="5103"/>
    </w:pPr>
    <w:rPr>
      <w:rFonts w:ascii="Times New Roman" w:hAnsi="Times New Roman" w:cs="Times New Roman"/>
      <w:sz w:val="28"/>
    </w:rPr>
  </w:style>
  <w:style w:type="paragraph" w:customStyle="1" w:styleId="DateMarking">
    <w:name w:val="DateMarking"/>
    <w:basedOn w:val="Normal"/>
    <w:rsid w:val="00811D7C"/>
    <w:pPr>
      <w:spacing w:after="0"/>
      <w:ind w:left="5103"/>
    </w:pPr>
    <w:rPr>
      <w:rFonts w:ascii="Times New Roman" w:hAnsi="Times New Roman" w:cs="Times New Roman"/>
      <w:i/>
      <w:sz w:val="28"/>
    </w:rPr>
  </w:style>
  <w:style w:type="paragraph" w:customStyle="1" w:styleId="ReleasableTo">
    <w:name w:val="ReleasableTo"/>
    <w:basedOn w:val="Normal"/>
    <w:rsid w:val="00811D7C"/>
    <w:pPr>
      <w:spacing w:after="0"/>
      <w:ind w:left="5103"/>
    </w:pPr>
    <w:rPr>
      <w:rFonts w:ascii="Times New Roman" w:hAnsi="Times New Roman" w:cs="Times New Roman"/>
      <w:i/>
      <w:sz w:val="28"/>
    </w:rPr>
  </w:style>
  <w:style w:type="paragraph" w:customStyle="1" w:styleId="HeaderSensitivityRight">
    <w:name w:val="Header Sensitivity Right"/>
    <w:basedOn w:val="Normal"/>
    <w:rsid w:val="00811D7C"/>
    <w:pPr>
      <w:spacing w:after="120" w:line="240" w:lineRule="auto"/>
      <w:jc w:val="right"/>
    </w:pPr>
    <w:rPr>
      <w:rFonts w:ascii="Times New Roman" w:hAnsi="Times New Roman" w:cs="Times New Roman"/>
      <w:sz w:val="28"/>
    </w:rPr>
  </w:style>
  <w:style w:type="paragraph" w:styleId="TOC9">
    <w:name w:val="toc 9"/>
    <w:basedOn w:val="Normal"/>
    <w:next w:val="Normal"/>
    <w:autoRedefine/>
    <w:uiPriority w:val="39"/>
    <w:semiHidden/>
    <w:unhideWhenUsed/>
    <w:rsid w:val="00811D7C"/>
    <w:pPr>
      <w:spacing w:after="100"/>
      <w:ind w:left="1760"/>
    </w:pPr>
  </w:style>
  <w:style w:type="paragraph" w:styleId="Revision">
    <w:name w:val="Revision"/>
    <w:hidden/>
    <w:uiPriority w:val="99"/>
    <w:semiHidden/>
    <w:rsid w:val="00811D7C"/>
    <w:pPr>
      <w:spacing w:after="0" w:line="240" w:lineRule="auto"/>
    </w:pPr>
  </w:style>
  <w:style w:type="character" w:styleId="FollowedHyperlink">
    <w:name w:val="FollowedHyperlink"/>
    <w:basedOn w:val="DefaultParagraphFont"/>
    <w:uiPriority w:val="99"/>
    <w:semiHidden/>
    <w:unhideWhenUsed/>
    <w:rsid w:val="00811D7C"/>
    <w:rPr>
      <w:color w:val="800080" w:themeColor="followedHyperlink"/>
      <w:u w:val="single"/>
    </w:rPr>
  </w:style>
  <w:style w:type="paragraph" w:customStyle="1" w:styleId="Briefingtext">
    <w:name w:val="Briefing text"/>
    <w:basedOn w:val="Normal"/>
    <w:link w:val="BriefingtextChar"/>
    <w:rsid w:val="00811D7C"/>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811D7C"/>
    <w:rPr>
      <w:rFonts w:ascii="Arial" w:eastAsia="Times New Roman" w:hAnsi="Arial" w:cs="Arial"/>
      <w:szCs w:val="24"/>
    </w:rPr>
  </w:style>
  <w:style w:type="character" w:customStyle="1" w:styleId="e24kjd">
    <w:name w:val="e24kjd"/>
    <w:basedOn w:val="DefaultParagraphFont"/>
    <w:rsid w:val="00811D7C"/>
  </w:style>
  <w:style w:type="character" w:styleId="Emphasis">
    <w:name w:val="Emphasis"/>
    <w:basedOn w:val="DefaultParagraphFont"/>
    <w:uiPriority w:val="20"/>
    <w:qFormat/>
    <w:rsid w:val="00811D7C"/>
    <w:rPr>
      <w:i/>
      <w:iCs/>
    </w:rPr>
  </w:style>
  <w:style w:type="paragraph" w:customStyle="1" w:styleId="Copies">
    <w:name w:val="Copies"/>
    <w:basedOn w:val="Normal"/>
    <w:uiPriority w:val="99"/>
    <w:rsid w:val="003A43C8"/>
    <w:pPr>
      <w:tabs>
        <w:tab w:val="left" w:pos="5669"/>
      </w:tabs>
      <w:spacing w:before="480" w:after="0" w:line="240" w:lineRule="auto"/>
      <w:ind w:left="1984" w:hanging="1984"/>
      <w:contextualSpacing/>
    </w:pPr>
    <w:rPr>
      <w:rFonts w:ascii="Times New Roman" w:eastAsia="Times New Roman" w:hAnsi="Times New Roman" w:cs="Times New Roman"/>
      <w:sz w:val="24"/>
      <w:szCs w:val="20"/>
      <w:lang w:eastAsia="en-GB"/>
    </w:rPr>
  </w:style>
  <w:style w:type="table" w:styleId="MediumList2-Accent1">
    <w:name w:val="Medium List 2 Accent 1"/>
    <w:basedOn w:val="TableNormal"/>
    <w:uiPriority w:val="66"/>
    <w:rsid w:val="00F34E2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qFormat/>
    <w:rsid w:val="00F34E21"/>
    <w:pPr>
      <w:tabs>
        <w:tab w:val="decimal" w:pos="360"/>
      </w:tabs>
    </w:pPr>
    <w:rPr>
      <w:rFonts w:eastAsiaTheme="minorEastAsia" w:cs="Times New Roman"/>
    </w:rPr>
  </w:style>
  <w:style w:type="character" w:styleId="SubtleEmphasis">
    <w:name w:val="Subtle Emphasis"/>
    <w:basedOn w:val="DefaultParagraphFont"/>
    <w:uiPriority w:val="19"/>
    <w:qFormat/>
    <w:rsid w:val="00F34E21"/>
    <w:rPr>
      <w:i/>
      <w:iCs/>
    </w:rPr>
  </w:style>
  <w:style w:type="table" w:styleId="LightShading-Accent1">
    <w:name w:val="Light Shading Accent 1"/>
    <w:basedOn w:val="TableNormal"/>
    <w:uiPriority w:val="60"/>
    <w:rsid w:val="00F34E21"/>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UnresolvedMention1">
    <w:name w:val="Unresolved Mention1"/>
    <w:basedOn w:val="DefaultParagraphFont"/>
    <w:uiPriority w:val="99"/>
    <w:semiHidden/>
    <w:unhideWhenUsed/>
    <w:rsid w:val="002F3997"/>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unhideWhenUsed/>
    <w:rsid w:val="00EB28FA"/>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paragraph" w:customStyle="1" w:styleId="norm">
    <w:name w:val="norm"/>
    <w:basedOn w:val="Normal"/>
    <w:rsid w:val="00AE7C0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
    <w:name w:val="Unresolved Mention"/>
    <w:basedOn w:val="DefaultParagraphFont"/>
    <w:uiPriority w:val="99"/>
    <w:semiHidden/>
    <w:unhideWhenUsed/>
    <w:rsid w:val="00201994"/>
    <w:rPr>
      <w:color w:val="605E5C"/>
      <w:shd w:val="clear" w:color="auto" w:fill="E1DFDD"/>
    </w:rPr>
  </w:style>
  <w:style w:type="paragraph" w:styleId="Caption">
    <w:name w:val="caption"/>
    <w:basedOn w:val="Normal"/>
    <w:next w:val="Normal"/>
    <w:uiPriority w:val="35"/>
    <w:unhideWhenUsed/>
    <w:qFormat/>
    <w:rsid w:val="00E22F25"/>
    <w:pPr>
      <w:spacing w:line="240" w:lineRule="auto"/>
    </w:pPr>
    <w:rPr>
      <w:i/>
      <w:iCs/>
      <w:color w:val="1F497D" w:themeColor="text2"/>
      <w:sz w:val="18"/>
      <w:szCs w:val="18"/>
    </w:rPr>
  </w:style>
  <w:style w:type="character" w:customStyle="1" w:styleId="normaltextrun">
    <w:name w:val="normaltextrun"/>
    <w:basedOn w:val="DefaultParagraphFont"/>
    <w:rsid w:val="00910B3F"/>
  </w:style>
  <w:style w:type="character" w:styleId="Strong">
    <w:name w:val="Strong"/>
    <w:basedOn w:val="DefaultParagraphFont"/>
    <w:uiPriority w:val="22"/>
    <w:qFormat/>
    <w:rsid w:val="00A9462D"/>
    <w:rPr>
      <w:b/>
      <w:bCs/>
    </w:rPr>
  </w:style>
  <w:style w:type="character" w:customStyle="1" w:styleId="Mention">
    <w:name w:val="Mention"/>
    <w:basedOn w:val="DefaultParagraphFont"/>
    <w:uiPriority w:val="99"/>
    <w:unhideWhenUsed/>
    <w:rsid w:val="004929AB"/>
    <w:rPr>
      <w:color w:val="2B579A"/>
      <w:shd w:val="clear" w:color="auto" w:fill="E1DFDD"/>
    </w:rPr>
  </w:style>
  <w:style w:type="character" w:customStyle="1" w:styleId="Heading6Char">
    <w:name w:val="Heading 6 Char"/>
    <w:basedOn w:val="DefaultParagraphFont"/>
    <w:link w:val="Heading6"/>
    <w:uiPriority w:val="9"/>
    <w:semiHidden/>
    <w:rsid w:val="00BF122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F122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F122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1224"/>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902AA7"/>
    <w:rPr>
      <w:color w:val="666666"/>
    </w:rPr>
  </w:style>
  <w:style w:type="table" w:styleId="GridTable5Dark-Accent1">
    <w:name w:val="Grid Table 5 Dark Accent 1"/>
    <w:basedOn w:val="TableNormal"/>
    <w:uiPriority w:val="50"/>
    <w:rsid w:val="00061E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061E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Languesfaisantfoi">
    <w:name w:val="Langues faisant foi"/>
    <w:basedOn w:val="Normal"/>
    <w:next w:val="Normal"/>
    <w:rsid w:val="00844692"/>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844692"/>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844692"/>
    <w:pPr>
      <w:spacing w:after="0"/>
    </w:pPr>
  </w:style>
  <w:style w:type="paragraph" w:customStyle="1" w:styleId="IntrtEEEPagedecouverture">
    <w:name w:val="Intérêt EEE (Page de couverture)"/>
    <w:basedOn w:val="IntrtEEE"/>
    <w:next w:val="Normal"/>
    <w:rsid w:val="00844692"/>
  </w:style>
  <w:style w:type="paragraph" w:customStyle="1" w:styleId="paragraph">
    <w:name w:val="paragraph"/>
    <w:basedOn w:val="Normal"/>
    <w:rsid w:val="00CD2D2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CD2D2C"/>
  </w:style>
  <w:style w:type="character" w:customStyle="1" w:styleId="cf01">
    <w:name w:val="cf01"/>
    <w:basedOn w:val="DefaultParagraphFont"/>
    <w:rsid w:val="007C4C2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20617">
      <w:bodyDiv w:val="1"/>
      <w:marLeft w:val="0"/>
      <w:marRight w:val="0"/>
      <w:marTop w:val="0"/>
      <w:marBottom w:val="0"/>
      <w:divBdr>
        <w:top w:val="none" w:sz="0" w:space="0" w:color="auto"/>
        <w:left w:val="none" w:sz="0" w:space="0" w:color="auto"/>
        <w:bottom w:val="none" w:sz="0" w:space="0" w:color="auto"/>
        <w:right w:val="none" w:sz="0" w:space="0" w:color="auto"/>
      </w:divBdr>
    </w:div>
    <w:div w:id="150563447">
      <w:bodyDiv w:val="1"/>
      <w:marLeft w:val="0"/>
      <w:marRight w:val="0"/>
      <w:marTop w:val="0"/>
      <w:marBottom w:val="0"/>
      <w:divBdr>
        <w:top w:val="none" w:sz="0" w:space="0" w:color="auto"/>
        <w:left w:val="none" w:sz="0" w:space="0" w:color="auto"/>
        <w:bottom w:val="none" w:sz="0" w:space="0" w:color="auto"/>
        <w:right w:val="none" w:sz="0" w:space="0" w:color="auto"/>
      </w:divBdr>
      <w:divsChild>
        <w:div w:id="749735539">
          <w:marLeft w:val="600"/>
          <w:marRight w:val="0"/>
          <w:marTop w:val="0"/>
          <w:marBottom w:val="0"/>
          <w:divBdr>
            <w:top w:val="none" w:sz="0" w:space="0" w:color="auto"/>
            <w:left w:val="none" w:sz="0" w:space="0" w:color="auto"/>
            <w:bottom w:val="none" w:sz="0" w:space="0" w:color="auto"/>
            <w:right w:val="none" w:sz="0" w:space="0" w:color="auto"/>
          </w:divBdr>
        </w:div>
        <w:div w:id="1395547597">
          <w:marLeft w:val="600"/>
          <w:marRight w:val="0"/>
          <w:marTop w:val="0"/>
          <w:marBottom w:val="0"/>
          <w:divBdr>
            <w:top w:val="none" w:sz="0" w:space="0" w:color="auto"/>
            <w:left w:val="none" w:sz="0" w:space="0" w:color="auto"/>
            <w:bottom w:val="none" w:sz="0" w:space="0" w:color="auto"/>
            <w:right w:val="none" w:sz="0" w:space="0" w:color="auto"/>
          </w:divBdr>
        </w:div>
        <w:div w:id="1834637195">
          <w:marLeft w:val="720"/>
          <w:marRight w:val="0"/>
          <w:marTop w:val="0"/>
          <w:marBottom w:val="0"/>
          <w:divBdr>
            <w:top w:val="none" w:sz="0" w:space="0" w:color="auto"/>
            <w:left w:val="none" w:sz="0" w:space="0" w:color="auto"/>
            <w:bottom w:val="none" w:sz="0" w:space="0" w:color="auto"/>
            <w:right w:val="none" w:sz="0" w:space="0" w:color="auto"/>
          </w:divBdr>
        </w:div>
      </w:divsChild>
    </w:div>
    <w:div w:id="258609862">
      <w:bodyDiv w:val="1"/>
      <w:marLeft w:val="0"/>
      <w:marRight w:val="0"/>
      <w:marTop w:val="0"/>
      <w:marBottom w:val="0"/>
      <w:divBdr>
        <w:top w:val="none" w:sz="0" w:space="0" w:color="auto"/>
        <w:left w:val="none" w:sz="0" w:space="0" w:color="auto"/>
        <w:bottom w:val="none" w:sz="0" w:space="0" w:color="auto"/>
        <w:right w:val="none" w:sz="0" w:space="0" w:color="auto"/>
      </w:divBdr>
    </w:div>
    <w:div w:id="330254574">
      <w:bodyDiv w:val="1"/>
      <w:marLeft w:val="0"/>
      <w:marRight w:val="0"/>
      <w:marTop w:val="0"/>
      <w:marBottom w:val="0"/>
      <w:divBdr>
        <w:top w:val="none" w:sz="0" w:space="0" w:color="auto"/>
        <w:left w:val="none" w:sz="0" w:space="0" w:color="auto"/>
        <w:bottom w:val="none" w:sz="0" w:space="0" w:color="auto"/>
        <w:right w:val="none" w:sz="0" w:space="0" w:color="auto"/>
      </w:divBdr>
    </w:div>
    <w:div w:id="340666343">
      <w:bodyDiv w:val="1"/>
      <w:marLeft w:val="0"/>
      <w:marRight w:val="0"/>
      <w:marTop w:val="0"/>
      <w:marBottom w:val="0"/>
      <w:divBdr>
        <w:top w:val="none" w:sz="0" w:space="0" w:color="auto"/>
        <w:left w:val="none" w:sz="0" w:space="0" w:color="auto"/>
        <w:bottom w:val="none" w:sz="0" w:space="0" w:color="auto"/>
        <w:right w:val="none" w:sz="0" w:space="0" w:color="auto"/>
      </w:divBdr>
    </w:div>
    <w:div w:id="474107387">
      <w:bodyDiv w:val="1"/>
      <w:marLeft w:val="0"/>
      <w:marRight w:val="0"/>
      <w:marTop w:val="0"/>
      <w:marBottom w:val="0"/>
      <w:divBdr>
        <w:top w:val="none" w:sz="0" w:space="0" w:color="auto"/>
        <w:left w:val="none" w:sz="0" w:space="0" w:color="auto"/>
        <w:bottom w:val="none" w:sz="0" w:space="0" w:color="auto"/>
        <w:right w:val="none" w:sz="0" w:space="0" w:color="auto"/>
      </w:divBdr>
    </w:div>
    <w:div w:id="489562098">
      <w:bodyDiv w:val="1"/>
      <w:marLeft w:val="0"/>
      <w:marRight w:val="0"/>
      <w:marTop w:val="0"/>
      <w:marBottom w:val="0"/>
      <w:divBdr>
        <w:top w:val="none" w:sz="0" w:space="0" w:color="auto"/>
        <w:left w:val="none" w:sz="0" w:space="0" w:color="auto"/>
        <w:bottom w:val="none" w:sz="0" w:space="0" w:color="auto"/>
        <w:right w:val="none" w:sz="0" w:space="0" w:color="auto"/>
      </w:divBdr>
    </w:div>
    <w:div w:id="520969545">
      <w:bodyDiv w:val="1"/>
      <w:marLeft w:val="0"/>
      <w:marRight w:val="0"/>
      <w:marTop w:val="0"/>
      <w:marBottom w:val="0"/>
      <w:divBdr>
        <w:top w:val="none" w:sz="0" w:space="0" w:color="auto"/>
        <w:left w:val="none" w:sz="0" w:space="0" w:color="auto"/>
        <w:bottom w:val="none" w:sz="0" w:space="0" w:color="auto"/>
        <w:right w:val="none" w:sz="0" w:space="0" w:color="auto"/>
      </w:divBdr>
      <w:divsChild>
        <w:div w:id="1772780697">
          <w:marLeft w:val="1800"/>
          <w:marRight w:val="0"/>
          <w:marTop w:val="240"/>
          <w:marBottom w:val="0"/>
          <w:divBdr>
            <w:top w:val="none" w:sz="0" w:space="0" w:color="auto"/>
            <w:left w:val="none" w:sz="0" w:space="0" w:color="auto"/>
            <w:bottom w:val="none" w:sz="0" w:space="0" w:color="auto"/>
            <w:right w:val="none" w:sz="0" w:space="0" w:color="auto"/>
          </w:divBdr>
        </w:div>
      </w:divsChild>
    </w:div>
    <w:div w:id="542447879">
      <w:bodyDiv w:val="1"/>
      <w:marLeft w:val="0"/>
      <w:marRight w:val="0"/>
      <w:marTop w:val="0"/>
      <w:marBottom w:val="0"/>
      <w:divBdr>
        <w:top w:val="none" w:sz="0" w:space="0" w:color="auto"/>
        <w:left w:val="none" w:sz="0" w:space="0" w:color="auto"/>
        <w:bottom w:val="none" w:sz="0" w:space="0" w:color="auto"/>
        <w:right w:val="none" w:sz="0" w:space="0" w:color="auto"/>
      </w:divBdr>
    </w:div>
    <w:div w:id="581184648">
      <w:bodyDiv w:val="1"/>
      <w:marLeft w:val="0"/>
      <w:marRight w:val="0"/>
      <w:marTop w:val="0"/>
      <w:marBottom w:val="0"/>
      <w:divBdr>
        <w:top w:val="none" w:sz="0" w:space="0" w:color="auto"/>
        <w:left w:val="none" w:sz="0" w:space="0" w:color="auto"/>
        <w:bottom w:val="none" w:sz="0" w:space="0" w:color="auto"/>
        <w:right w:val="none" w:sz="0" w:space="0" w:color="auto"/>
      </w:divBdr>
    </w:div>
    <w:div w:id="696392728">
      <w:bodyDiv w:val="1"/>
      <w:marLeft w:val="0"/>
      <w:marRight w:val="0"/>
      <w:marTop w:val="0"/>
      <w:marBottom w:val="0"/>
      <w:divBdr>
        <w:top w:val="none" w:sz="0" w:space="0" w:color="auto"/>
        <w:left w:val="none" w:sz="0" w:space="0" w:color="auto"/>
        <w:bottom w:val="none" w:sz="0" w:space="0" w:color="auto"/>
        <w:right w:val="none" w:sz="0" w:space="0" w:color="auto"/>
      </w:divBdr>
    </w:div>
    <w:div w:id="770516053">
      <w:bodyDiv w:val="1"/>
      <w:marLeft w:val="0"/>
      <w:marRight w:val="0"/>
      <w:marTop w:val="0"/>
      <w:marBottom w:val="0"/>
      <w:divBdr>
        <w:top w:val="none" w:sz="0" w:space="0" w:color="auto"/>
        <w:left w:val="none" w:sz="0" w:space="0" w:color="auto"/>
        <w:bottom w:val="none" w:sz="0" w:space="0" w:color="auto"/>
        <w:right w:val="none" w:sz="0" w:space="0" w:color="auto"/>
      </w:divBdr>
    </w:div>
    <w:div w:id="778111322">
      <w:bodyDiv w:val="1"/>
      <w:marLeft w:val="0"/>
      <w:marRight w:val="0"/>
      <w:marTop w:val="0"/>
      <w:marBottom w:val="0"/>
      <w:divBdr>
        <w:top w:val="none" w:sz="0" w:space="0" w:color="auto"/>
        <w:left w:val="none" w:sz="0" w:space="0" w:color="auto"/>
        <w:bottom w:val="none" w:sz="0" w:space="0" w:color="auto"/>
        <w:right w:val="none" w:sz="0" w:space="0" w:color="auto"/>
      </w:divBdr>
    </w:div>
    <w:div w:id="788554213">
      <w:bodyDiv w:val="1"/>
      <w:marLeft w:val="0"/>
      <w:marRight w:val="0"/>
      <w:marTop w:val="0"/>
      <w:marBottom w:val="0"/>
      <w:divBdr>
        <w:top w:val="none" w:sz="0" w:space="0" w:color="auto"/>
        <w:left w:val="none" w:sz="0" w:space="0" w:color="auto"/>
        <w:bottom w:val="none" w:sz="0" w:space="0" w:color="auto"/>
        <w:right w:val="none" w:sz="0" w:space="0" w:color="auto"/>
      </w:divBdr>
    </w:div>
    <w:div w:id="810634911">
      <w:bodyDiv w:val="1"/>
      <w:marLeft w:val="0"/>
      <w:marRight w:val="0"/>
      <w:marTop w:val="0"/>
      <w:marBottom w:val="0"/>
      <w:divBdr>
        <w:top w:val="none" w:sz="0" w:space="0" w:color="auto"/>
        <w:left w:val="none" w:sz="0" w:space="0" w:color="auto"/>
        <w:bottom w:val="none" w:sz="0" w:space="0" w:color="auto"/>
        <w:right w:val="none" w:sz="0" w:space="0" w:color="auto"/>
      </w:divBdr>
    </w:div>
    <w:div w:id="887037510">
      <w:bodyDiv w:val="1"/>
      <w:marLeft w:val="0"/>
      <w:marRight w:val="0"/>
      <w:marTop w:val="0"/>
      <w:marBottom w:val="0"/>
      <w:divBdr>
        <w:top w:val="none" w:sz="0" w:space="0" w:color="auto"/>
        <w:left w:val="none" w:sz="0" w:space="0" w:color="auto"/>
        <w:bottom w:val="none" w:sz="0" w:space="0" w:color="auto"/>
        <w:right w:val="none" w:sz="0" w:space="0" w:color="auto"/>
      </w:divBdr>
    </w:div>
    <w:div w:id="952052650">
      <w:bodyDiv w:val="1"/>
      <w:marLeft w:val="0"/>
      <w:marRight w:val="0"/>
      <w:marTop w:val="0"/>
      <w:marBottom w:val="0"/>
      <w:divBdr>
        <w:top w:val="none" w:sz="0" w:space="0" w:color="auto"/>
        <w:left w:val="none" w:sz="0" w:space="0" w:color="auto"/>
        <w:bottom w:val="none" w:sz="0" w:space="0" w:color="auto"/>
        <w:right w:val="none" w:sz="0" w:space="0" w:color="auto"/>
      </w:divBdr>
    </w:div>
    <w:div w:id="1046682638">
      <w:bodyDiv w:val="1"/>
      <w:marLeft w:val="0"/>
      <w:marRight w:val="0"/>
      <w:marTop w:val="0"/>
      <w:marBottom w:val="0"/>
      <w:divBdr>
        <w:top w:val="none" w:sz="0" w:space="0" w:color="auto"/>
        <w:left w:val="none" w:sz="0" w:space="0" w:color="auto"/>
        <w:bottom w:val="none" w:sz="0" w:space="0" w:color="auto"/>
        <w:right w:val="none" w:sz="0" w:space="0" w:color="auto"/>
      </w:divBdr>
      <w:divsChild>
        <w:div w:id="1866096948">
          <w:marLeft w:val="0"/>
          <w:marRight w:val="0"/>
          <w:marTop w:val="0"/>
          <w:marBottom w:val="0"/>
          <w:divBdr>
            <w:top w:val="none" w:sz="0" w:space="0" w:color="auto"/>
            <w:left w:val="none" w:sz="0" w:space="0" w:color="auto"/>
            <w:bottom w:val="none" w:sz="0" w:space="0" w:color="auto"/>
            <w:right w:val="none" w:sz="0" w:space="0" w:color="auto"/>
          </w:divBdr>
          <w:divsChild>
            <w:div w:id="1190803639">
              <w:marLeft w:val="0"/>
              <w:marRight w:val="0"/>
              <w:marTop w:val="0"/>
              <w:marBottom w:val="0"/>
              <w:divBdr>
                <w:top w:val="none" w:sz="0" w:space="0" w:color="auto"/>
                <w:left w:val="none" w:sz="0" w:space="0" w:color="auto"/>
                <w:bottom w:val="none" w:sz="0" w:space="0" w:color="auto"/>
                <w:right w:val="none" w:sz="0" w:space="0" w:color="auto"/>
              </w:divBdr>
              <w:divsChild>
                <w:div w:id="1274901734">
                  <w:marLeft w:val="0"/>
                  <w:marRight w:val="0"/>
                  <w:marTop w:val="0"/>
                  <w:marBottom w:val="0"/>
                  <w:divBdr>
                    <w:top w:val="none" w:sz="0" w:space="0" w:color="auto"/>
                    <w:left w:val="none" w:sz="0" w:space="0" w:color="auto"/>
                    <w:bottom w:val="none" w:sz="0" w:space="0" w:color="auto"/>
                    <w:right w:val="none" w:sz="0" w:space="0" w:color="auto"/>
                  </w:divBdr>
                  <w:divsChild>
                    <w:div w:id="1246647477">
                      <w:marLeft w:val="0"/>
                      <w:marRight w:val="0"/>
                      <w:marTop w:val="0"/>
                      <w:marBottom w:val="0"/>
                      <w:divBdr>
                        <w:top w:val="none" w:sz="0" w:space="0" w:color="auto"/>
                        <w:left w:val="none" w:sz="0" w:space="0" w:color="auto"/>
                        <w:bottom w:val="none" w:sz="0" w:space="0" w:color="auto"/>
                        <w:right w:val="none" w:sz="0" w:space="0" w:color="auto"/>
                      </w:divBdr>
                      <w:divsChild>
                        <w:div w:id="1220437735">
                          <w:marLeft w:val="0"/>
                          <w:marRight w:val="0"/>
                          <w:marTop w:val="0"/>
                          <w:marBottom w:val="0"/>
                          <w:divBdr>
                            <w:top w:val="none" w:sz="0" w:space="0" w:color="auto"/>
                            <w:left w:val="none" w:sz="0" w:space="0" w:color="auto"/>
                            <w:bottom w:val="none" w:sz="0" w:space="0" w:color="auto"/>
                            <w:right w:val="none" w:sz="0" w:space="0" w:color="auto"/>
                          </w:divBdr>
                          <w:divsChild>
                            <w:div w:id="1673683550">
                              <w:marLeft w:val="0"/>
                              <w:marRight w:val="0"/>
                              <w:marTop w:val="0"/>
                              <w:marBottom w:val="0"/>
                              <w:divBdr>
                                <w:top w:val="none" w:sz="0" w:space="0" w:color="auto"/>
                                <w:left w:val="none" w:sz="0" w:space="0" w:color="auto"/>
                                <w:bottom w:val="none" w:sz="0" w:space="0" w:color="auto"/>
                                <w:right w:val="none" w:sz="0" w:space="0" w:color="auto"/>
                              </w:divBdr>
                              <w:divsChild>
                                <w:div w:id="31052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670630">
      <w:bodyDiv w:val="1"/>
      <w:marLeft w:val="0"/>
      <w:marRight w:val="0"/>
      <w:marTop w:val="0"/>
      <w:marBottom w:val="0"/>
      <w:divBdr>
        <w:top w:val="none" w:sz="0" w:space="0" w:color="auto"/>
        <w:left w:val="none" w:sz="0" w:space="0" w:color="auto"/>
        <w:bottom w:val="none" w:sz="0" w:space="0" w:color="auto"/>
        <w:right w:val="none" w:sz="0" w:space="0" w:color="auto"/>
      </w:divBdr>
    </w:div>
    <w:div w:id="1134257007">
      <w:bodyDiv w:val="1"/>
      <w:marLeft w:val="0"/>
      <w:marRight w:val="0"/>
      <w:marTop w:val="0"/>
      <w:marBottom w:val="0"/>
      <w:divBdr>
        <w:top w:val="none" w:sz="0" w:space="0" w:color="auto"/>
        <w:left w:val="none" w:sz="0" w:space="0" w:color="auto"/>
        <w:bottom w:val="none" w:sz="0" w:space="0" w:color="auto"/>
        <w:right w:val="none" w:sz="0" w:space="0" w:color="auto"/>
      </w:divBdr>
    </w:div>
    <w:div w:id="1137719877">
      <w:bodyDiv w:val="1"/>
      <w:marLeft w:val="0"/>
      <w:marRight w:val="0"/>
      <w:marTop w:val="0"/>
      <w:marBottom w:val="0"/>
      <w:divBdr>
        <w:top w:val="none" w:sz="0" w:space="0" w:color="auto"/>
        <w:left w:val="none" w:sz="0" w:space="0" w:color="auto"/>
        <w:bottom w:val="none" w:sz="0" w:space="0" w:color="auto"/>
        <w:right w:val="none" w:sz="0" w:space="0" w:color="auto"/>
      </w:divBdr>
    </w:div>
    <w:div w:id="1139299135">
      <w:bodyDiv w:val="1"/>
      <w:marLeft w:val="0"/>
      <w:marRight w:val="0"/>
      <w:marTop w:val="0"/>
      <w:marBottom w:val="0"/>
      <w:divBdr>
        <w:top w:val="none" w:sz="0" w:space="0" w:color="auto"/>
        <w:left w:val="none" w:sz="0" w:space="0" w:color="auto"/>
        <w:bottom w:val="none" w:sz="0" w:space="0" w:color="auto"/>
        <w:right w:val="none" w:sz="0" w:space="0" w:color="auto"/>
      </w:divBdr>
      <w:divsChild>
        <w:div w:id="798036001">
          <w:marLeft w:val="0"/>
          <w:marRight w:val="0"/>
          <w:marTop w:val="0"/>
          <w:marBottom w:val="0"/>
          <w:divBdr>
            <w:top w:val="none" w:sz="0" w:space="0" w:color="auto"/>
            <w:left w:val="none" w:sz="0" w:space="0" w:color="auto"/>
            <w:bottom w:val="none" w:sz="0" w:space="0" w:color="auto"/>
            <w:right w:val="none" w:sz="0" w:space="0" w:color="auto"/>
          </w:divBdr>
        </w:div>
      </w:divsChild>
    </w:div>
    <w:div w:id="1151140688">
      <w:bodyDiv w:val="1"/>
      <w:marLeft w:val="0"/>
      <w:marRight w:val="0"/>
      <w:marTop w:val="0"/>
      <w:marBottom w:val="0"/>
      <w:divBdr>
        <w:top w:val="none" w:sz="0" w:space="0" w:color="auto"/>
        <w:left w:val="none" w:sz="0" w:space="0" w:color="auto"/>
        <w:bottom w:val="none" w:sz="0" w:space="0" w:color="auto"/>
        <w:right w:val="none" w:sz="0" w:space="0" w:color="auto"/>
      </w:divBdr>
      <w:divsChild>
        <w:div w:id="190808003">
          <w:marLeft w:val="0"/>
          <w:marRight w:val="0"/>
          <w:marTop w:val="0"/>
          <w:marBottom w:val="0"/>
          <w:divBdr>
            <w:top w:val="none" w:sz="0" w:space="0" w:color="auto"/>
            <w:left w:val="none" w:sz="0" w:space="0" w:color="auto"/>
            <w:bottom w:val="none" w:sz="0" w:space="0" w:color="auto"/>
            <w:right w:val="none" w:sz="0" w:space="0" w:color="auto"/>
          </w:divBdr>
        </w:div>
        <w:div w:id="302077876">
          <w:marLeft w:val="0"/>
          <w:marRight w:val="0"/>
          <w:marTop w:val="0"/>
          <w:marBottom w:val="0"/>
          <w:divBdr>
            <w:top w:val="none" w:sz="0" w:space="0" w:color="auto"/>
            <w:left w:val="none" w:sz="0" w:space="0" w:color="auto"/>
            <w:bottom w:val="none" w:sz="0" w:space="0" w:color="auto"/>
            <w:right w:val="none" w:sz="0" w:space="0" w:color="auto"/>
          </w:divBdr>
        </w:div>
      </w:divsChild>
    </w:div>
    <w:div w:id="1162887814">
      <w:bodyDiv w:val="1"/>
      <w:marLeft w:val="0"/>
      <w:marRight w:val="0"/>
      <w:marTop w:val="0"/>
      <w:marBottom w:val="0"/>
      <w:divBdr>
        <w:top w:val="none" w:sz="0" w:space="0" w:color="auto"/>
        <w:left w:val="none" w:sz="0" w:space="0" w:color="auto"/>
        <w:bottom w:val="none" w:sz="0" w:space="0" w:color="auto"/>
        <w:right w:val="none" w:sz="0" w:space="0" w:color="auto"/>
      </w:divBdr>
    </w:div>
    <w:div w:id="1163356626">
      <w:bodyDiv w:val="1"/>
      <w:marLeft w:val="0"/>
      <w:marRight w:val="0"/>
      <w:marTop w:val="0"/>
      <w:marBottom w:val="0"/>
      <w:divBdr>
        <w:top w:val="none" w:sz="0" w:space="0" w:color="auto"/>
        <w:left w:val="none" w:sz="0" w:space="0" w:color="auto"/>
        <w:bottom w:val="none" w:sz="0" w:space="0" w:color="auto"/>
        <w:right w:val="none" w:sz="0" w:space="0" w:color="auto"/>
      </w:divBdr>
      <w:divsChild>
        <w:div w:id="1500386217">
          <w:marLeft w:val="0"/>
          <w:marRight w:val="0"/>
          <w:marTop w:val="0"/>
          <w:marBottom w:val="0"/>
          <w:divBdr>
            <w:top w:val="none" w:sz="0" w:space="0" w:color="auto"/>
            <w:left w:val="none" w:sz="0" w:space="0" w:color="auto"/>
            <w:bottom w:val="none" w:sz="0" w:space="0" w:color="auto"/>
            <w:right w:val="none" w:sz="0" w:space="0" w:color="auto"/>
          </w:divBdr>
        </w:div>
        <w:div w:id="2062902842">
          <w:marLeft w:val="0"/>
          <w:marRight w:val="0"/>
          <w:marTop w:val="0"/>
          <w:marBottom w:val="0"/>
          <w:divBdr>
            <w:top w:val="none" w:sz="0" w:space="0" w:color="auto"/>
            <w:left w:val="none" w:sz="0" w:space="0" w:color="auto"/>
            <w:bottom w:val="none" w:sz="0" w:space="0" w:color="auto"/>
            <w:right w:val="none" w:sz="0" w:space="0" w:color="auto"/>
          </w:divBdr>
        </w:div>
      </w:divsChild>
    </w:div>
    <w:div w:id="1214316918">
      <w:bodyDiv w:val="1"/>
      <w:marLeft w:val="0"/>
      <w:marRight w:val="0"/>
      <w:marTop w:val="0"/>
      <w:marBottom w:val="0"/>
      <w:divBdr>
        <w:top w:val="none" w:sz="0" w:space="0" w:color="auto"/>
        <w:left w:val="none" w:sz="0" w:space="0" w:color="auto"/>
        <w:bottom w:val="none" w:sz="0" w:space="0" w:color="auto"/>
        <w:right w:val="none" w:sz="0" w:space="0" w:color="auto"/>
      </w:divBdr>
    </w:div>
    <w:div w:id="1272132606">
      <w:bodyDiv w:val="1"/>
      <w:marLeft w:val="0"/>
      <w:marRight w:val="0"/>
      <w:marTop w:val="0"/>
      <w:marBottom w:val="0"/>
      <w:divBdr>
        <w:top w:val="none" w:sz="0" w:space="0" w:color="auto"/>
        <w:left w:val="none" w:sz="0" w:space="0" w:color="auto"/>
        <w:bottom w:val="none" w:sz="0" w:space="0" w:color="auto"/>
        <w:right w:val="none" w:sz="0" w:space="0" w:color="auto"/>
      </w:divBdr>
    </w:div>
    <w:div w:id="1285234187">
      <w:bodyDiv w:val="1"/>
      <w:marLeft w:val="0"/>
      <w:marRight w:val="0"/>
      <w:marTop w:val="0"/>
      <w:marBottom w:val="0"/>
      <w:divBdr>
        <w:top w:val="none" w:sz="0" w:space="0" w:color="auto"/>
        <w:left w:val="none" w:sz="0" w:space="0" w:color="auto"/>
        <w:bottom w:val="none" w:sz="0" w:space="0" w:color="auto"/>
        <w:right w:val="none" w:sz="0" w:space="0" w:color="auto"/>
      </w:divBdr>
    </w:div>
    <w:div w:id="1302423707">
      <w:bodyDiv w:val="1"/>
      <w:marLeft w:val="0"/>
      <w:marRight w:val="0"/>
      <w:marTop w:val="0"/>
      <w:marBottom w:val="0"/>
      <w:divBdr>
        <w:top w:val="none" w:sz="0" w:space="0" w:color="auto"/>
        <w:left w:val="none" w:sz="0" w:space="0" w:color="auto"/>
        <w:bottom w:val="none" w:sz="0" w:space="0" w:color="auto"/>
        <w:right w:val="none" w:sz="0" w:space="0" w:color="auto"/>
      </w:divBdr>
    </w:div>
    <w:div w:id="1391919990">
      <w:bodyDiv w:val="1"/>
      <w:marLeft w:val="0"/>
      <w:marRight w:val="0"/>
      <w:marTop w:val="0"/>
      <w:marBottom w:val="0"/>
      <w:divBdr>
        <w:top w:val="none" w:sz="0" w:space="0" w:color="auto"/>
        <w:left w:val="none" w:sz="0" w:space="0" w:color="auto"/>
        <w:bottom w:val="none" w:sz="0" w:space="0" w:color="auto"/>
        <w:right w:val="none" w:sz="0" w:space="0" w:color="auto"/>
      </w:divBdr>
    </w:div>
    <w:div w:id="1399982576">
      <w:bodyDiv w:val="1"/>
      <w:marLeft w:val="0"/>
      <w:marRight w:val="0"/>
      <w:marTop w:val="0"/>
      <w:marBottom w:val="0"/>
      <w:divBdr>
        <w:top w:val="none" w:sz="0" w:space="0" w:color="auto"/>
        <w:left w:val="none" w:sz="0" w:space="0" w:color="auto"/>
        <w:bottom w:val="none" w:sz="0" w:space="0" w:color="auto"/>
        <w:right w:val="none" w:sz="0" w:space="0" w:color="auto"/>
      </w:divBdr>
    </w:div>
    <w:div w:id="1493519759">
      <w:bodyDiv w:val="1"/>
      <w:marLeft w:val="0"/>
      <w:marRight w:val="0"/>
      <w:marTop w:val="0"/>
      <w:marBottom w:val="0"/>
      <w:divBdr>
        <w:top w:val="none" w:sz="0" w:space="0" w:color="auto"/>
        <w:left w:val="none" w:sz="0" w:space="0" w:color="auto"/>
        <w:bottom w:val="none" w:sz="0" w:space="0" w:color="auto"/>
        <w:right w:val="none" w:sz="0" w:space="0" w:color="auto"/>
      </w:divBdr>
    </w:div>
    <w:div w:id="1522161266">
      <w:bodyDiv w:val="1"/>
      <w:marLeft w:val="0"/>
      <w:marRight w:val="0"/>
      <w:marTop w:val="0"/>
      <w:marBottom w:val="0"/>
      <w:divBdr>
        <w:top w:val="none" w:sz="0" w:space="0" w:color="auto"/>
        <w:left w:val="none" w:sz="0" w:space="0" w:color="auto"/>
        <w:bottom w:val="none" w:sz="0" w:space="0" w:color="auto"/>
        <w:right w:val="none" w:sz="0" w:space="0" w:color="auto"/>
      </w:divBdr>
      <w:divsChild>
        <w:div w:id="414202579">
          <w:marLeft w:val="0"/>
          <w:marRight w:val="0"/>
          <w:marTop w:val="0"/>
          <w:marBottom w:val="0"/>
          <w:divBdr>
            <w:top w:val="none" w:sz="0" w:space="0" w:color="auto"/>
            <w:left w:val="none" w:sz="0" w:space="0" w:color="auto"/>
            <w:bottom w:val="none" w:sz="0" w:space="0" w:color="auto"/>
            <w:right w:val="none" w:sz="0" w:space="0" w:color="auto"/>
          </w:divBdr>
        </w:div>
        <w:div w:id="984822081">
          <w:marLeft w:val="0"/>
          <w:marRight w:val="0"/>
          <w:marTop w:val="0"/>
          <w:marBottom w:val="0"/>
          <w:divBdr>
            <w:top w:val="none" w:sz="0" w:space="0" w:color="auto"/>
            <w:left w:val="none" w:sz="0" w:space="0" w:color="auto"/>
            <w:bottom w:val="none" w:sz="0" w:space="0" w:color="auto"/>
            <w:right w:val="none" w:sz="0" w:space="0" w:color="auto"/>
          </w:divBdr>
        </w:div>
      </w:divsChild>
    </w:div>
    <w:div w:id="1552498848">
      <w:bodyDiv w:val="1"/>
      <w:marLeft w:val="0"/>
      <w:marRight w:val="0"/>
      <w:marTop w:val="0"/>
      <w:marBottom w:val="0"/>
      <w:divBdr>
        <w:top w:val="none" w:sz="0" w:space="0" w:color="auto"/>
        <w:left w:val="none" w:sz="0" w:space="0" w:color="auto"/>
        <w:bottom w:val="none" w:sz="0" w:space="0" w:color="auto"/>
        <w:right w:val="none" w:sz="0" w:space="0" w:color="auto"/>
      </w:divBdr>
    </w:div>
    <w:div w:id="1579947144">
      <w:bodyDiv w:val="1"/>
      <w:marLeft w:val="0"/>
      <w:marRight w:val="0"/>
      <w:marTop w:val="0"/>
      <w:marBottom w:val="0"/>
      <w:divBdr>
        <w:top w:val="none" w:sz="0" w:space="0" w:color="auto"/>
        <w:left w:val="none" w:sz="0" w:space="0" w:color="auto"/>
        <w:bottom w:val="none" w:sz="0" w:space="0" w:color="auto"/>
        <w:right w:val="none" w:sz="0" w:space="0" w:color="auto"/>
      </w:divBdr>
    </w:div>
    <w:div w:id="1594973168">
      <w:bodyDiv w:val="1"/>
      <w:marLeft w:val="0"/>
      <w:marRight w:val="0"/>
      <w:marTop w:val="0"/>
      <w:marBottom w:val="0"/>
      <w:divBdr>
        <w:top w:val="none" w:sz="0" w:space="0" w:color="auto"/>
        <w:left w:val="none" w:sz="0" w:space="0" w:color="auto"/>
        <w:bottom w:val="none" w:sz="0" w:space="0" w:color="auto"/>
        <w:right w:val="none" w:sz="0" w:space="0" w:color="auto"/>
      </w:divBdr>
    </w:div>
    <w:div w:id="1601375045">
      <w:bodyDiv w:val="1"/>
      <w:marLeft w:val="0"/>
      <w:marRight w:val="0"/>
      <w:marTop w:val="0"/>
      <w:marBottom w:val="0"/>
      <w:divBdr>
        <w:top w:val="none" w:sz="0" w:space="0" w:color="auto"/>
        <w:left w:val="none" w:sz="0" w:space="0" w:color="auto"/>
        <w:bottom w:val="none" w:sz="0" w:space="0" w:color="auto"/>
        <w:right w:val="none" w:sz="0" w:space="0" w:color="auto"/>
      </w:divBdr>
    </w:div>
    <w:div w:id="1605579052">
      <w:bodyDiv w:val="1"/>
      <w:marLeft w:val="0"/>
      <w:marRight w:val="0"/>
      <w:marTop w:val="0"/>
      <w:marBottom w:val="0"/>
      <w:divBdr>
        <w:top w:val="none" w:sz="0" w:space="0" w:color="auto"/>
        <w:left w:val="none" w:sz="0" w:space="0" w:color="auto"/>
        <w:bottom w:val="none" w:sz="0" w:space="0" w:color="auto"/>
        <w:right w:val="none" w:sz="0" w:space="0" w:color="auto"/>
      </w:divBdr>
    </w:div>
    <w:div w:id="1618413845">
      <w:bodyDiv w:val="1"/>
      <w:marLeft w:val="0"/>
      <w:marRight w:val="0"/>
      <w:marTop w:val="0"/>
      <w:marBottom w:val="0"/>
      <w:divBdr>
        <w:top w:val="none" w:sz="0" w:space="0" w:color="auto"/>
        <w:left w:val="none" w:sz="0" w:space="0" w:color="auto"/>
        <w:bottom w:val="none" w:sz="0" w:space="0" w:color="auto"/>
        <w:right w:val="none" w:sz="0" w:space="0" w:color="auto"/>
      </w:divBdr>
    </w:div>
    <w:div w:id="1638489426">
      <w:bodyDiv w:val="1"/>
      <w:marLeft w:val="0"/>
      <w:marRight w:val="0"/>
      <w:marTop w:val="0"/>
      <w:marBottom w:val="0"/>
      <w:divBdr>
        <w:top w:val="none" w:sz="0" w:space="0" w:color="auto"/>
        <w:left w:val="none" w:sz="0" w:space="0" w:color="auto"/>
        <w:bottom w:val="none" w:sz="0" w:space="0" w:color="auto"/>
        <w:right w:val="none" w:sz="0" w:space="0" w:color="auto"/>
      </w:divBdr>
    </w:div>
    <w:div w:id="1653558390">
      <w:bodyDiv w:val="1"/>
      <w:marLeft w:val="0"/>
      <w:marRight w:val="0"/>
      <w:marTop w:val="0"/>
      <w:marBottom w:val="0"/>
      <w:divBdr>
        <w:top w:val="none" w:sz="0" w:space="0" w:color="auto"/>
        <w:left w:val="none" w:sz="0" w:space="0" w:color="auto"/>
        <w:bottom w:val="none" w:sz="0" w:space="0" w:color="auto"/>
        <w:right w:val="none" w:sz="0" w:space="0" w:color="auto"/>
      </w:divBdr>
    </w:div>
    <w:div w:id="1676497834">
      <w:bodyDiv w:val="1"/>
      <w:marLeft w:val="0"/>
      <w:marRight w:val="0"/>
      <w:marTop w:val="0"/>
      <w:marBottom w:val="0"/>
      <w:divBdr>
        <w:top w:val="none" w:sz="0" w:space="0" w:color="auto"/>
        <w:left w:val="none" w:sz="0" w:space="0" w:color="auto"/>
        <w:bottom w:val="none" w:sz="0" w:space="0" w:color="auto"/>
        <w:right w:val="none" w:sz="0" w:space="0" w:color="auto"/>
      </w:divBdr>
    </w:div>
    <w:div w:id="1708875319">
      <w:bodyDiv w:val="1"/>
      <w:marLeft w:val="0"/>
      <w:marRight w:val="0"/>
      <w:marTop w:val="0"/>
      <w:marBottom w:val="0"/>
      <w:divBdr>
        <w:top w:val="none" w:sz="0" w:space="0" w:color="auto"/>
        <w:left w:val="none" w:sz="0" w:space="0" w:color="auto"/>
        <w:bottom w:val="none" w:sz="0" w:space="0" w:color="auto"/>
        <w:right w:val="none" w:sz="0" w:space="0" w:color="auto"/>
      </w:divBdr>
    </w:div>
    <w:div w:id="1797407507">
      <w:bodyDiv w:val="1"/>
      <w:marLeft w:val="0"/>
      <w:marRight w:val="0"/>
      <w:marTop w:val="0"/>
      <w:marBottom w:val="0"/>
      <w:divBdr>
        <w:top w:val="none" w:sz="0" w:space="0" w:color="auto"/>
        <w:left w:val="none" w:sz="0" w:space="0" w:color="auto"/>
        <w:bottom w:val="none" w:sz="0" w:space="0" w:color="auto"/>
        <w:right w:val="none" w:sz="0" w:space="0" w:color="auto"/>
      </w:divBdr>
    </w:div>
    <w:div w:id="1848979754">
      <w:bodyDiv w:val="1"/>
      <w:marLeft w:val="0"/>
      <w:marRight w:val="0"/>
      <w:marTop w:val="0"/>
      <w:marBottom w:val="0"/>
      <w:divBdr>
        <w:top w:val="none" w:sz="0" w:space="0" w:color="auto"/>
        <w:left w:val="none" w:sz="0" w:space="0" w:color="auto"/>
        <w:bottom w:val="none" w:sz="0" w:space="0" w:color="auto"/>
        <w:right w:val="none" w:sz="0" w:space="0" w:color="auto"/>
      </w:divBdr>
    </w:div>
    <w:div w:id="1887139575">
      <w:bodyDiv w:val="1"/>
      <w:marLeft w:val="0"/>
      <w:marRight w:val="0"/>
      <w:marTop w:val="0"/>
      <w:marBottom w:val="0"/>
      <w:divBdr>
        <w:top w:val="none" w:sz="0" w:space="0" w:color="auto"/>
        <w:left w:val="none" w:sz="0" w:space="0" w:color="auto"/>
        <w:bottom w:val="none" w:sz="0" w:space="0" w:color="auto"/>
        <w:right w:val="none" w:sz="0" w:space="0" w:color="auto"/>
      </w:divBdr>
    </w:div>
    <w:div w:id="1920560357">
      <w:bodyDiv w:val="1"/>
      <w:marLeft w:val="0"/>
      <w:marRight w:val="0"/>
      <w:marTop w:val="0"/>
      <w:marBottom w:val="0"/>
      <w:divBdr>
        <w:top w:val="none" w:sz="0" w:space="0" w:color="auto"/>
        <w:left w:val="none" w:sz="0" w:space="0" w:color="auto"/>
        <w:bottom w:val="none" w:sz="0" w:space="0" w:color="auto"/>
        <w:right w:val="none" w:sz="0" w:space="0" w:color="auto"/>
      </w:divBdr>
    </w:div>
    <w:div w:id="1938518998">
      <w:bodyDiv w:val="1"/>
      <w:marLeft w:val="0"/>
      <w:marRight w:val="0"/>
      <w:marTop w:val="0"/>
      <w:marBottom w:val="0"/>
      <w:divBdr>
        <w:top w:val="none" w:sz="0" w:space="0" w:color="auto"/>
        <w:left w:val="none" w:sz="0" w:space="0" w:color="auto"/>
        <w:bottom w:val="none" w:sz="0" w:space="0" w:color="auto"/>
        <w:right w:val="none" w:sz="0" w:space="0" w:color="auto"/>
      </w:divBdr>
    </w:div>
    <w:div w:id="2003315582">
      <w:bodyDiv w:val="1"/>
      <w:marLeft w:val="0"/>
      <w:marRight w:val="0"/>
      <w:marTop w:val="0"/>
      <w:marBottom w:val="0"/>
      <w:divBdr>
        <w:top w:val="none" w:sz="0" w:space="0" w:color="auto"/>
        <w:left w:val="none" w:sz="0" w:space="0" w:color="auto"/>
        <w:bottom w:val="none" w:sz="0" w:space="0" w:color="auto"/>
        <w:right w:val="none" w:sz="0" w:space="0" w:color="auto"/>
      </w:divBdr>
    </w:div>
    <w:div w:id="20052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image" Target="media/image4.png"/><Relationship Id="rId39" Type="http://schemas.openxmlformats.org/officeDocument/2006/relationships/image" Target="media/image10.png"/><Relationship Id="rId21" Type="http://schemas.openxmlformats.org/officeDocument/2006/relationships/diagramColors" Target="diagrams/colors1.xml"/><Relationship Id="rId34" Type="http://schemas.openxmlformats.org/officeDocument/2006/relationships/diagramQuickStyle" Target="diagrams/quickStyle2.xml"/><Relationship Id="rId42" Type="http://schemas.openxmlformats.org/officeDocument/2006/relationships/image" Target="media/image13.png"/><Relationship Id="rId47" Type="http://schemas.openxmlformats.org/officeDocument/2006/relationships/image" Target="media/image17.png"/><Relationship Id="rId50" Type="http://schemas.openxmlformats.org/officeDocument/2006/relationships/header" Target="header5.xm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esrb.europa.eu/pub/pdf/reports/esrb.report.210701_Issues_note_on_systemic_vulnerabilities~db0345a618.en.pdf" TargetMode="External"/><Relationship Id="rId33" Type="http://schemas.openxmlformats.org/officeDocument/2006/relationships/diagramLayout" Target="diagrams/layout2.xml"/><Relationship Id="rId38" Type="http://schemas.openxmlformats.org/officeDocument/2006/relationships/image" Target="media/image9.png"/><Relationship Id="rId46" Type="http://schemas.openxmlformats.org/officeDocument/2006/relationships/hyperlink" Target="https://www.fsb.org/uploads/P111021-2.pdf"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image" Target="media/image6.png"/><Relationship Id="rId41" Type="http://schemas.openxmlformats.org/officeDocument/2006/relationships/image" Target="media/image12.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3.png"/><Relationship Id="rId32" Type="http://schemas.openxmlformats.org/officeDocument/2006/relationships/diagramData" Target="diagrams/data2.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s://www.efama.org/sites/default/files/files/20%2011%20European%20MMFs%20%20Covid-19%20-%20EFAMA%20Final%20Report%20%28November%202020%29_0.pdf" TargetMode="External"/><Relationship Id="rId36" Type="http://schemas.microsoft.com/office/2007/relationships/diagramDrawing" Target="diagrams/drawing2.xml"/><Relationship Id="rId49"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7.png"/><Relationship Id="rId44" Type="http://schemas.openxmlformats.org/officeDocument/2006/relationships/image" Target="media/image15.png"/><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image" Target="media/image5.png"/><Relationship Id="rId30" Type="http://schemas.openxmlformats.org/officeDocument/2006/relationships/hyperlink" Target="https://www.esma.europa.eu/sites/default/files/trv_2021_1-vulnerabilities_in_money_market_funds.pdf" TargetMode="External"/><Relationship Id="rId35" Type="http://schemas.openxmlformats.org/officeDocument/2006/relationships/diagramColors" Target="diagrams/colors2.xml"/><Relationship Id="rId43" Type="http://schemas.openxmlformats.org/officeDocument/2006/relationships/image" Target="media/image14.png"/><Relationship Id="rId48" Type="http://schemas.openxmlformats.org/officeDocument/2006/relationships/image" Target="media/image18.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4.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finance.ec.europa.eu/regulation-and-supervision/consultations/finance-2022-money-market-funds_en" TargetMode="External"/><Relationship Id="rId2" Type="http://schemas.openxmlformats.org/officeDocument/2006/relationships/hyperlink" Target="https://finance.ec.europa.eu/news/commission-adopts-report-functioning-money-market-funds-regulation-mmf-2023-07-20_en" TargetMode="External"/><Relationship Id="rId1" Type="http://schemas.openxmlformats.org/officeDocument/2006/relationships/hyperlink" Target="https://eur-lex.europa.eu/legal-content/RO/TXT/?uri=celex:52023DC0452" TargetMode="External"/><Relationship Id="rId5" Type="http://schemas.openxmlformats.org/officeDocument/2006/relationships/hyperlink" Target="https://www.esma.europa.eu/sites/default/files/library/ESMA50-165-2391_MMF_market_2023.pdf" TargetMode="External"/><Relationship Id="rId4" Type="http://schemas.openxmlformats.org/officeDocument/2006/relationships/hyperlink" Target="https://finance.ec.europa.eu/regulation-and-supervision/consultations-0/targeted-consultation-assessing-adequacy-macroprudential-policies-non-bank-financial-intermediation_en"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1EC94E-D1F7-4F32-9126-B1B1036B3535}"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en-IE"/>
        </a:p>
      </dgm:t>
    </dgm:pt>
    <dgm:pt modelId="{DD2D48AC-A348-4BC5-9890-EB747936F8E9}">
      <dgm:prSet phldrT="[Text]" custT="1"/>
      <dgm:spPr/>
      <dgm:t>
        <a:bodyPr/>
        <a:lstStyle/>
        <a:p>
          <a:pPr>
            <a:lnSpc>
              <a:spcPct val="100000"/>
            </a:lnSpc>
            <a:buFont typeface="Times New Roman" panose="02020603050405020304" pitchFamily="18" charset="0"/>
            <a:buChar char="-"/>
          </a:pPr>
          <a:r>
            <a:rPr lang="ro-RO" sz="1150">
              <a:latin typeface="Times New Roman" panose="02020603050405020304" pitchFamily="18" charset="0"/>
              <a:cs typeface="Times New Roman" panose="02020603050405020304" pitchFamily="18" charset="0"/>
            </a:rPr>
            <a:t>Exprimate în EUR (~45 %), USD (~32 %) și GBP (~23 %).</a:t>
          </a:r>
        </a:p>
      </dgm:t>
    </dgm:pt>
    <dgm:pt modelId="{68208DF2-79A1-401D-AB41-7EF0D436F44A}" type="parTrans" cxnId="{D61E0E2B-E8EC-41B4-9800-5C704ED5FE92}">
      <dgm:prSet/>
      <dgm:spPr/>
      <dgm:t>
        <a:bodyPr/>
        <a:lstStyle/>
        <a:p>
          <a:endParaRPr lang="en-IE"/>
        </a:p>
      </dgm:t>
    </dgm:pt>
    <dgm:pt modelId="{994CBB54-7505-461E-BE2C-F8D39BE330FE}" type="sibTrans" cxnId="{D61E0E2B-E8EC-41B4-9800-5C704ED5FE92}">
      <dgm:prSet/>
      <dgm:spPr/>
      <dgm:t>
        <a:bodyPr/>
        <a:lstStyle/>
        <a:p>
          <a:endParaRPr lang="en-IE"/>
        </a:p>
      </dgm:t>
    </dgm:pt>
    <dgm:pt modelId="{25AB402B-E51B-4179-8943-64E440082363}">
      <dgm:prSet custT="1"/>
      <dgm:spPr/>
      <dgm:t>
        <a:bodyPr/>
        <a:lstStyle/>
        <a:p>
          <a:pPr>
            <a:lnSpc>
              <a:spcPct val="100000"/>
            </a:lnSpc>
            <a:buFont typeface="Times New Roman" panose="02020603050405020304" pitchFamily="18" charset="0"/>
            <a:buChar char="-"/>
          </a:pPr>
          <a:r>
            <a:rPr lang="ro-RO" sz="1150">
              <a:latin typeface="Times New Roman" panose="02020603050405020304" pitchFamily="18" charset="0"/>
              <a:cs typeface="Times New Roman" panose="02020603050405020304" pitchFamily="18" charset="0"/>
            </a:rPr>
            <a:t>Deținute de investitori profesionali (90 %), inclusiv investitori din afara UE pentru FPM cu sediul în Irlanda (77 %) și Luxemburg (63 %). </a:t>
          </a:r>
        </a:p>
      </dgm:t>
    </dgm:pt>
    <dgm:pt modelId="{05CE7BB3-E5F3-48DD-944C-B38FF1561915}" type="sibTrans" cxnId="{963E0263-B7A1-4D8D-9ED0-287AB5A90236}">
      <dgm:prSet/>
      <dgm:spPr/>
      <dgm:t>
        <a:bodyPr/>
        <a:lstStyle/>
        <a:p>
          <a:endParaRPr lang="en-IE"/>
        </a:p>
      </dgm:t>
    </dgm:pt>
    <dgm:pt modelId="{07527FF2-10F6-4221-9DDF-9FE376C91FD4}" type="parTrans" cxnId="{963E0263-B7A1-4D8D-9ED0-287AB5A90236}">
      <dgm:prSet/>
      <dgm:spPr/>
      <dgm:t>
        <a:bodyPr/>
        <a:lstStyle/>
        <a:p>
          <a:endParaRPr lang="en-IE"/>
        </a:p>
      </dgm:t>
    </dgm:pt>
    <dgm:pt modelId="{A1DA3607-A5A2-4980-A28A-0329ABE689D0}">
      <dgm:prSet custT="1"/>
      <dgm:spPr/>
      <dgm:t>
        <a:bodyPr/>
        <a:lstStyle/>
        <a:p>
          <a:pPr>
            <a:lnSpc>
              <a:spcPct val="100000"/>
            </a:lnSpc>
            <a:buFont typeface="Times New Roman" panose="02020603050405020304" pitchFamily="18" charset="0"/>
            <a:buChar char="-"/>
          </a:pPr>
          <a:r>
            <a:rPr lang="ro-RO" sz="1150">
              <a:latin typeface="Times New Roman" panose="02020603050405020304" pitchFamily="18" charset="0"/>
              <a:cs typeface="Times New Roman" panose="02020603050405020304" pitchFamily="18" charset="0"/>
            </a:rPr>
            <a:t>FPM cu VAN cu volatilitate scăzută (~46 %), FPM cu VAN variabilă (~43 %) și FPM cu VAN constantă (~11 % din VAN).</a:t>
          </a:r>
        </a:p>
      </dgm:t>
    </dgm:pt>
    <dgm:pt modelId="{C859744D-DA06-4458-B88F-DA59401216F5}" type="sibTrans" cxnId="{B157D564-3E86-4932-84CA-05F0A12A9CE2}">
      <dgm:prSet/>
      <dgm:spPr/>
      <dgm:t>
        <a:bodyPr/>
        <a:lstStyle/>
        <a:p>
          <a:endParaRPr lang="en-IE"/>
        </a:p>
      </dgm:t>
    </dgm:pt>
    <dgm:pt modelId="{2B397D99-2C04-4036-A231-5407DB50A7E1}" type="parTrans" cxnId="{B157D564-3E86-4932-84CA-05F0A12A9CE2}">
      <dgm:prSet/>
      <dgm:spPr/>
      <dgm:t>
        <a:bodyPr/>
        <a:lstStyle/>
        <a:p>
          <a:endParaRPr lang="en-IE"/>
        </a:p>
      </dgm:t>
    </dgm:pt>
    <dgm:pt modelId="{F4882897-933D-4AA7-92FE-A05C0942D942}">
      <dgm:prSet custT="1"/>
      <dgm:spPr/>
      <dgm:t>
        <a:bodyPr/>
        <a:lstStyle/>
        <a:p>
          <a:pPr>
            <a:lnSpc>
              <a:spcPct val="100000"/>
            </a:lnSpc>
            <a:buFont typeface="Times New Roman" panose="02020603050405020304" pitchFamily="18" charset="0"/>
            <a:buChar char="-"/>
          </a:pPr>
          <a:r>
            <a:rPr lang="ro-RO" sz="1150">
              <a:latin typeface="Times New Roman" panose="02020603050405020304" pitchFamily="18" charset="0"/>
              <a:cs typeface="Times New Roman" panose="02020603050405020304" pitchFamily="18" charset="0"/>
            </a:rPr>
            <a:t>Stabilite în Irlanda (44 %), Luxemburg (30 %) și Franța (24 %).</a:t>
          </a:r>
        </a:p>
      </dgm:t>
    </dgm:pt>
    <dgm:pt modelId="{455087D5-BE75-436E-B064-261DF5458E58}" type="sibTrans" cxnId="{38947C4A-BD8F-4352-9B1A-477EA4B22354}">
      <dgm:prSet/>
      <dgm:spPr/>
      <dgm:t>
        <a:bodyPr/>
        <a:lstStyle/>
        <a:p>
          <a:endParaRPr lang="en-IE"/>
        </a:p>
      </dgm:t>
    </dgm:pt>
    <dgm:pt modelId="{4296D8F6-EC05-41B0-B0F1-8BBA161B411A}" type="parTrans" cxnId="{38947C4A-BD8F-4352-9B1A-477EA4B22354}">
      <dgm:prSet/>
      <dgm:spPr/>
      <dgm:t>
        <a:bodyPr/>
        <a:lstStyle/>
        <a:p>
          <a:endParaRPr lang="en-IE"/>
        </a:p>
      </dgm:t>
    </dgm:pt>
    <dgm:pt modelId="{BF623C8E-C1D6-4FFF-8DED-C7B938B712F4}">
      <dgm:prSet phldrT="[Text]" custT="1"/>
      <dgm:spPr/>
      <dgm:t>
        <a:bodyPr/>
        <a:lstStyle/>
        <a:p>
          <a:pPr>
            <a:buFont typeface="Times New Roman" panose="02020603050405020304" pitchFamily="18" charset="0"/>
            <a:buChar char="-"/>
          </a:pPr>
          <a:r>
            <a:rPr lang="ro-RO" sz="1200" b="1">
              <a:latin typeface="Times New Roman" panose="02020603050405020304" pitchFamily="18" charset="0"/>
              <a:cs typeface="Times New Roman" panose="02020603050405020304" pitchFamily="18" charset="0"/>
            </a:rPr>
            <a:t>FPM din UE pe scurt</a:t>
          </a:r>
        </a:p>
      </dgm:t>
    </dgm:pt>
    <dgm:pt modelId="{CEA96BF4-6A98-435B-9C22-2435AE6E234D}" type="parTrans" cxnId="{8A119DA1-9DEF-45D9-BBCE-564904E993EC}">
      <dgm:prSet/>
      <dgm:spPr/>
      <dgm:t>
        <a:bodyPr/>
        <a:lstStyle/>
        <a:p>
          <a:endParaRPr lang="en-IE"/>
        </a:p>
      </dgm:t>
    </dgm:pt>
    <dgm:pt modelId="{6D328950-7169-4186-BBCA-96D92A1A18E3}" type="sibTrans" cxnId="{8A119DA1-9DEF-45D9-BBCE-564904E993EC}">
      <dgm:prSet/>
      <dgm:spPr/>
      <dgm:t>
        <a:bodyPr/>
        <a:lstStyle/>
        <a:p>
          <a:endParaRPr lang="en-IE"/>
        </a:p>
      </dgm:t>
    </dgm:pt>
    <dgm:pt modelId="{0FF1D125-FB60-464E-AE35-50EA421D3F2C}" type="pres">
      <dgm:prSet presAssocID="{681EC94E-D1F7-4F32-9126-B1B1036B3535}" presName="linear" presStyleCnt="0">
        <dgm:presLayoutVars>
          <dgm:dir/>
          <dgm:animLvl val="lvl"/>
          <dgm:resizeHandles val="exact"/>
        </dgm:presLayoutVars>
      </dgm:prSet>
      <dgm:spPr/>
      <dgm:t>
        <a:bodyPr/>
        <a:lstStyle/>
        <a:p>
          <a:endParaRPr lang="en-US"/>
        </a:p>
      </dgm:t>
    </dgm:pt>
    <dgm:pt modelId="{C7048711-ECAD-4D10-8690-1BE9550A0C35}" type="pres">
      <dgm:prSet presAssocID="{BF623C8E-C1D6-4FFF-8DED-C7B938B712F4}" presName="parentLin" presStyleCnt="0"/>
      <dgm:spPr/>
    </dgm:pt>
    <dgm:pt modelId="{035F7633-D2FE-40A8-9420-E4CAF4D2B06B}" type="pres">
      <dgm:prSet presAssocID="{BF623C8E-C1D6-4FFF-8DED-C7B938B712F4}" presName="parentLeftMargin" presStyleLbl="node1" presStyleIdx="0" presStyleCnt="1"/>
      <dgm:spPr/>
      <dgm:t>
        <a:bodyPr/>
        <a:lstStyle/>
        <a:p>
          <a:endParaRPr lang="en-US"/>
        </a:p>
      </dgm:t>
    </dgm:pt>
    <dgm:pt modelId="{E571C68D-FDEF-43A5-A783-B7783695D340}" type="pres">
      <dgm:prSet presAssocID="{BF623C8E-C1D6-4FFF-8DED-C7B938B712F4}" presName="parentText" presStyleLbl="node1" presStyleIdx="0" presStyleCnt="1" custScaleY="70665">
        <dgm:presLayoutVars>
          <dgm:chMax val="0"/>
          <dgm:bulletEnabled val="1"/>
        </dgm:presLayoutVars>
      </dgm:prSet>
      <dgm:spPr/>
      <dgm:t>
        <a:bodyPr/>
        <a:lstStyle/>
        <a:p>
          <a:endParaRPr lang="en-US"/>
        </a:p>
      </dgm:t>
    </dgm:pt>
    <dgm:pt modelId="{1503AF89-B143-4259-8B03-C2BF00235681}" type="pres">
      <dgm:prSet presAssocID="{BF623C8E-C1D6-4FFF-8DED-C7B938B712F4}" presName="negativeSpace" presStyleCnt="0"/>
      <dgm:spPr/>
    </dgm:pt>
    <dgm:pt modelId="{E384D107-C8A6-42B8-AC13-FC123045469E}" type="pres">
      <dgm:prSet presAssocID="{BF623C8E-C1D6-4FFF-8DED-C7B938B712F4}" presName="childText" presStyleLbl="conFgAcc1" presStyleIdx="0" presStyleCnt="1">
        <dgm:presLayoutVars>
          <dgm:bulletEnabled val="1"/>
        </dgm:presLayoutVars>
      </dgm:prSet>
      <dgm:spPr/>
      <dgm:t>
        <a:bodyPr/>
        <a:lstStyle/>
        <a:p>
          <a:endParaRPr lang="en-US"/>
        </a:p>
      </dgm:t>
    </dgm:pt>
  </dgm:ptLst>
  <dgm:cxnLst>
    <dgm:cxn modelId="{963E0263-B7A1-4D8D-9ED0-287AB5A90236}" srcId="{BF623C8E-C1D6-4FFF-8DED-C7B938B712F4}" destId="{25AB402B-E51B-4179-8943-64E440082363}" srcOrd="2" destOrd="0" parTransId="{07527FF2-10F6-4221-9DDF-9FE376C91FD4}" sibTransId="{05CE7BB3-E5F3-48DD-944C-B38FF1561915}"/>
    <dgm:cxn modelId="{D46AEED4-453C-4F0E-AA3E-2FAA3E23C621}" type="presOf" srcId="{A1DA3607-A5A2-4980-A28A-0329ABE689D0}" destId="{E384D107-C8A6-42B8-AC13-FC123045469E}" srcOrd="0" destOrd="3" presId="urn:microsoft.com/office/officeart/2005/8/layout/list1"/>
    <dgm:cxn modelId="{38947C4A-BD8F-4352-9B1A-477EA4B22354}" srcId="{BF623C8E-C1D6-4FFF-8DED-C7B938B712F4}" destId="{F4882897-933D-4AA7-92FE-A05C0942D942}" srcOrd="1" destOrd="0" parTransId="{4296D8F6-EC05-41B0-B0F1-8BBA161B411A}" sibTransId="{455087D5-BE75-436E-B064-261DF5458E58}"/>
    <dgm:cxn modelId="{D61E0E2B-E8EC-41B4-9800-5C704ED5FE92}" srcId="{BF623C8E-C1D6-4FFF-8DED-C7B938B712F4}" destId="{DD2D48AC-A348-4BC5-9890-EB747936F8E9}" srcOrd="0" destOrd="0" parTransId="{68208DF2-79A1-401D-AB41-7EF0D436F44A}" sibTransId="{994CBB54-7505-461E-BE2C-F8D39BE330FE}"/>
    <dgm:cxn modelId="{8A119DA1-9DEF-45D9-BBCE-564904E993EC}" srcId="{681EC94E-D1F7-4F32-9126-B1B1036B3535}" destId="{BF623C8E-C1D6-4FFF-8DED-C7B938B712F4}" srcOrd="0" destOrd="0" parTransId="{CEA96BF4-6A98-435B-9C22-2435AE6E234D}" sibTransId="{6D328950-7169-4186-BBCA-96D92A1A18E3}"/>
    <dgm:cxn modelId="{0B7362B9-BFC9-49E6-AC5E-4CE06608346B}" type="presOf" srcId="{BF623C8E-C1D6-4FFF-8DED-C7B938B712F4}" destId="{035F7633-D2FE-40A8-9420-E4CAF4D2B06B}" srcOrd="0" destOrd="0" presId="urn:microsoft.com/office/officeart/2005/8/layout/list1"/>
    <dgm:cxn modelId="{4CC8E5C7-00B7-4793-8403-05060A6AE3BF}" type="presOf" srcId="{681EC94E-D1F7-4F32-9126-B1B1036B3535}" destId="{0FF1D125-FB60-464E-AE35-50EA421D3F2C}" srcOrd="0" destOrd="0" presId="urn:microsoft.com/office/officeart/2005/8/layout/list1"/>
    <dgm:cxn modelId="{4A0138CB-64E1-4140-A893-9587AC066A36}" type="presOf" srcId="{25AB402B-E51B-4179-8943-64E440082363}" destId="{E384D107-C8A6-42B8-AC13-FC123045469E}" srcOrd="0" destOrd="2" presId="urn:microsoft.com/office/officeart/2005/8/layout/list1"/>
    <dgm:cxn modelId="{B157D564-3E86-4932-84CA-05F0A12A9CE2}" srcId="{BF623C8E-C1D6-4FFF-8DED-C7B938B712F4}" destId="{A1DA3607-A5A2-4980-A28A-0329ABE689D0}" srcOrd="3" destOrd="0" parTransId="{2B397D99-2C04-4036-A231-5407DB50A7E1}" sibTransId="{C859744D-DA06-4458-B88F-DA59401216F5}"/>
    <dgm:cxn modelId="{EE40F9C7-8B80-4FD6-91B2-40DB444EEC12}" type="presOf" srcId="{DD2D48AC-A348-4BC5-9890-EB747936F8E9}" destId="{E384D107-C8A6-42B8-AC13-FC123045469E}" srcOrd="0" destOrd="0" presId="urn:microsoft.com/office/officeart/2005/8/layout/list1"/>
    <dgm:cxn modelId="{D3618693-0626-4B7C-87C8-112BD16F50A0}" type="presOf" srcId="{BF623C8E-C1D6-4FFF-8DED-C7B938B712F4}" destId="{E571C68D-FDEF-43A5-A783-B7783695D340}" srcOrd="1" destOrd="0" presId="urn:microsoft.com/office/officeart/2005/8/layout/list1"/>
    <dgm:cxn modelId="{F58924EB-93BB-4C16-8318-355006AFFE37}" type="presOf" srcId="{F4882897-933D-4AA7-92FE-A05C0942D942}" destId="{E384D107-C8A6-42B8-AC13-FC123045469E}" srcOrd="0" destOrd="1" presId="urn:microsoft.com/office/officeart/2005/8/layout/list1"/>
    <dgm:cxn modelId="{F18A5E3F-E340-4DB0-A1B0-5C35817AB8A3}" type="presParOf" srcId="{0FF1D125-FB60-464E-AE35-50EA421D3F2C}" destId="{C7048711-ECAD-4D10-8690-1BE9550A0C35}" srcOrd="0" destOrd="0" presId="urn:microsoft.com/office/officeart/2005/8/layout/list1"/>
    <dgm:cxn modelId="{EC6A1368-21A5-4385-8DE8-750BCC6CA67E}" type="presParOf" srcId="{C7048711-ECAD-4D10-8690-1BE9550A0C35}" destId="{035F7633-D2FE-40A8-9420-E4CAF4D2B06B}" srcOrd="0" destOrd="0" presId="urn:microsoft.com/office/officeart/2005/8/layout/list1"/>
    <dgm:cxn modelId="{09560B93-0BBC-47A0-8344-2B2FE56D0A3A}" type="presParOf" srcId="{C7048711-ECAD-4D10-8690-1BE9550A0C35}" destId="{E571C68D-FDEF-43A5-A783-B7783695D340}" srcOrd="1" destOrd="0" presId="urn:microsoft.com/office/officeart/2005/8/layout/list1"/>
    <dgm:cxn modelId="{2A5371A1-D022-4A44-9D2C-AEFB8E58D768}" type="presParOf" srcId="{0FF1D125-FB60-464E-AE35-50EA421D3F2C}" destId="{1503AF89-B143-4259-8B03-C2BF00235681}" srcOrd="1" destOrd="0" presId="urn:microsoft.com/office/officeart/2005/8/layout/list1"/>
    <dgm:cxn modelId="{DAEB9D4C-6AE2-4DC5-A3DC-D0893B7DDD43}" type="presParOf" srcId="{0FF1D125-FB60-464E-AE35-50EA421D3F2C}" destId="{E384D107-C8A6-42B8-AC13-FC123045469E}" srcOrd="2" destOrd="0" presId="urn:microsoft.com/office/officeart/2005/8/layout/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40777C-E02F-4BE8-B512-4C4643AE0508}" type="doc">
      <dgm:prSet loTypeId="urn:microsoft.com/office/officeart/2005/8/layout/process1" loCatId="process" qsTypeId="urn:microsoft.com/office/officeart/2005/8/quickstyle/simple3" qsCatId="simple" csTypeId="urn:microsoft.com/office/officeart/2005/8/colors/colorful4" csCatId="colorful" phldr="1"/>
      <dgm:spPr/>
      <dgm:t>
        <a:bodyPr/>
        <a:lstStyle/>
        <a:p>
          <a:endParaRPr lang="en-IE"/>
        </a:p>
      </dgm:t>
    </dgm:pt>
    <dgm:pt modelId="{A9298922-FACB-404B-9B26-5FD595748C65}">
      <dgm:prSet phldrT="[Text]" custT="1"/>
      <dgm:spPr/>
      <dgm:t>
        <a:bodyPr/>
        <a:lstStyle/>
        <a:p>
          <a:pPr>
            <a:buFont typeface="Arial" panose="020B0604020202020204" pitchFamily="34" charset="0"/>
            <a:buChar char="•"/>
          </a:pPr>
          <a:r>
            <a:rPr lang="ro-RO" sz="1100" b="1">
              <a:solidFill>
                <a:srgbClr val="0070C0"/>
              </a:solidFill>
            </a:rPr>
            <a:t>1) Calibrarea unor scenarii de răscumpărare severe, dar plauzibile</a:t>
          </a:r>
        </a:p>
      </dgm:t>
    </dgm:pt>
    <dgm:pt modelId="{CDCE633A-9602-4596-9B22-3B8F23C8373E}" type="parTrans" cxnId="{088EBBBB-D44D-4E4E-A122-8EDD74D084A5}">
      <dgm:prSet/>
      <dgm:spPr/>
      <dgm:t>
        <a:bodyPr/>
        <a:lstStyle/>
        <a:p>
          <a:endParaRPr lang="en-IE" sz="1000"/>
        </a:p>
      </dgm:t>
    </dgm:pt>
    <dgm:pt modelId="{BFE8FC33-6598-49C6-B352-582BDFC2023F}" type="sibTrans" cxnId="{088EBBBB-D44D-4E4E-A122-8EDD74D084A5}">
      <dgm:prSet custT="1"/>
      <dgm:spPr/>
      <dgm:t>
        <a:bodyPr/>
        <a:lstStyle/>
        <a:p>
          <a:endParaRPr lang="en-IE" sz="1000"/>
        </a:p>
      </dgm:t>
    </dgm:pt>
    <dgm:pt modelId="{A830CE55-6DE6-4F2C-9D8D-5773A831BACA}">
      <dgm:prSet custT="1"/>
      <dgm:spPr/>
      <dgm:t>
        <a:bodyPr/>
        <a:lstStyle/>
        <a:p>
          <a:pPr>
            <a:buFont typeface="Arial" panose="020B0604020202020204" pitchFamily="34" charset="0"/>
            <a:buChar char="•"/>
          </a:pPr>
          <a:r>
            <a:rPr lang="ro-RO" sz="1000" b="0"/>
            <a:t>Percentila 1 a randamentelor, calibrată pe baza stresului de pe piață asociat pandemiei de COVID-19</a:t>
          </a:r>
        </a:p>
      </dgm:t>
    </dgm:pt>
    <dgm:pt modelId="{104E1C6B-8001-47A4-80DD-0AE5775DF896}" type="parTrans" cxnId="{28744F40-1A73-4BAA-8CED-B85EE06A2952}">
      <dgm:prSet/>
      <dgm:spPr/>
      <dgm:t>
        <a:bodyPr/>
        <a:lstStyle/>
        <a:p>
          <a:endParaRPr lang="en-IE" sz="1000"/>
        </a:p>
      </dgm:t>
    </dgm:pt>
    <dgm:pt modelId="{F1E7F009-3837-4EFF-AC67-5B115A6EE3A7}" type="sibTrans" cxnId="{28744F40-1A73-4BAA-8CED-B85EE06A2952}">
      <dgm:prSet/>
      <dgm:spPr/>
      <dgm:t>
        <a:bodyPr/>
        <a:lstStyle/>
        <a:p>
          <a:endParaRPr lang="en-IE" sz="1000"/>
        </a:p>
      </dgm:t>
    </dgm:pt>
    <dgm:pt modelId="{F6C150CE-638C-411F-BFA0-DBDDA3B23EAB}">
      <dgm:prSet custT="1"/>
      <dgm:spPr/>
      <dgm:t>
        <a:bodyPr/>
        <a:lstStyle/>
        <a:p>
          <a:pPr>
            <a:buFont typeface="Arial" panose="020B0604020202020204" pitchFamily="34" charset="0"/>
            <a:buChar char="•"/>
          </a:pPr>
          <a:r>
            <a:rPr lang="ro-RO" sz="1100" b="1">
              <a:solidFill>
                <a:srgbClr val="0070C0"/>
              </a:solidFill>
            </a:rPr>
            <a:t>2) Estimarea, pentru diferite niveluri ale WLA, a volumului de răscumpărări pe care FPM îl pot absorbi</a:t>
          </a:r>
        </a:p>
      </dgm:t>
    </dgm:pt>
    <dgm:pt modelId="{FA7E3233-027B-460E-99EE-1D770153D0AC}" type="parTrans" cxnId="{AB34A4DB-4495-4C6B-B553-C22640B8FF1D}">
      <dgm:prSet/>
      <dgm:spPr/>
      <dgm:t>
        <a:bodyPr/>
        <a:lstStyle/>
        <a:p>
          <a:endParaRPr lang="en-IE" sz="1000"/>
        </a:p>
      </dgm:t>
    </dgm:pt>
    <dgm:pt modelId="{F5CE7E47-2807-4A4E-98AC-CAE713C9919F}" type="sibTrans" cxnId="{AB34A4DB-4495-4C6B-B553-C22640B8FF1D}">
      <dgm:prSet custT="1"/>
      <dgm:spPr/>
      <dgm:t>
        <a:bodyPr/>
        <a:lstStyle/>
        <a:p>
          <a:r>
            <a:rPr lang="en-IE" sz="1000"/>
            <a:t> </a:t>
          </a:r>
        </a:p>
      </dgm:t>
    </dgm:pt>
    <dgm:pt modelId="{DB9BB79C-27FE-42B6-A8FD-9403F99E99AB}">
      <dgm:prSet custT="1"/>
      <dgm:spPr/>
      <dgm:t>
        <a:bodyPr/>
        <a:lstStyle/>
        <a:p>
          <a:pPr>
            <a:buFont typeface="Arial" panose="020B0604020202020204" pitchFamily="34" charset="0"/>
            <a:buChar char="•"/>
          </a:pPr>
          <a:r>
            <a:rPr lang="ro-RO" sz="1100" b="1">
              <a:solidFill>
                <a:srgbClr val="0070C0"/>
              </a:solidFill>
            </a:rPr>
            <a:t>Calibrarea nivelurilor de reziliență ale WLA: Nivelul minim al WLA (2) care permite FPM să facă față șocului de lichiditate (1</a:t>
          </a:r>
          <a:r>
            <a:rPr lang="ro-RO" sz="1000" b="1">
              <a:solidFill>
                <a:srgbClr val="0070C0"/>
              </a:solidFill>
            </a:rPr>
            <a:t>)</a:t>
          </a:r>
        </a:p>
      </dgm:t>
    </dgm:pt>
    <dgm:pt modelId="{582C9FC7-C611-4450-A988-6F57E67FF34F}" type="parTrans" cxnId="{6EE40523-FA6B-4B69-A787-79161FB3365E}">
      <dgm:prSet/>
      <dgm:spPr/>
      <dgm:t>
        <a:bodyPr/>
        <a:lstStyle/>
        <a:p>
          <a:endParaRPr lang="en-IE" sz="1000"/>
        </a:p>
      </dgm:t>
    </dgm:pt>
    <dgm:pt modelId="{D75C0475-5BF9-411C-95E3-326FBF71D74C}" type="sibTrans" cxnId="{6EE40523-FA6B-4B69-A787-79161FB3365E}">
      <dgm:prSet/>
      <dgm:spPr/>
      <dgm:t>
        <a:bodyPr/>
        <a:lstStyle/>
        <a:p>
          <a:endParaRPr lang="en-IE" sz="1000"/>
        </a:p>
      </dgm:t>
    </dgm:pt>
    <dgm:pt modelId="{8D1F3B8A-825E-4998-B038-FDA47D18E68E}">
      <dgm:prSet custT="1"/>
      <dgm:spPr/>
      <dgm:t>
        <a:bodyPr/>
        <a:lstStyle/>
        <a:p>
          <a:pPr>
            <a:buFont typeface="Arial" panose="020B0604020202020204" pitchFamily="34" charset="0"/>
            <a:buChar char="•"/>
          </a:pPr>
          <a:r>
            <a:rPr lang="ro-RO" sz="1000" b="0"/>
            <a:t>Pe baza unor ipoteze prudente (de exemplu, fără vânzări de active, DLA rămâne peste nivelul minim de reglementare)</a:t>
          </a:r>
        </a:p>
      </dgm:t>
    </dgm:pt>
    <dgm:pt modelId="{2774A6B3-18FD-4B75-8045-772871645521}" type="sibTrans" cxnId="{DF5486A5-91BB-451F-8D3E-7C1BAA0A638C}">
      <dgm:prSet/>
      <dgm:spPr/>
      <dgm:t>
        <a:bodyPr/>
        <a:lstStyle/>
        <a:p>
          <a:endParaRPr lang="en-IE" sz="1000"/>
        </a:p>
      </dgm:t>
    </dgm:pt>
    <dgm:pt modelId="{8229DF89-D5A9-47C3-8333-F1BCD6AF4D96}" type="parTrans" cxnId="{DF5486A5-91BB-451F-8D3E-7C1BAA0A638C}">
      <dgm:prSet/>
      <dgm:spPr/>
      <dgm:t>
        <a:bodyPr/>
        <a:lstStyle/>
        <a:p>
          <a:endParaRPr lang="en-IE" sz="1000"/>
        </a:p>
      </dgm:t>
    </dgm:pt>
    <dgm:pt modelId="{9DC668B8-8FB4-4AB5-BA69-D5FBF9A465BD}" type="pres">
      <dgm:prSet presAssocID="{0540777C-E02F-4BE8-B512-4C4643AE0508}" presName="Name0" presStyleCnt="0">
        <dgm:presLayoutVars>
          <dgm:dir/>
          <dgm:resizeHandles val="exact"/>
        </dgm:presLayoutVars>
      </dgm:prSet>
      <dgm:spPr/>
      <dgm:t>
        <a:bodyPr/>
        <a:lstStyle/>
        <a:p>
          <a:endParaRPr lang="en-US"/>
        </a:p>
      </dgm:t>
    </dgm:pt>
    <dgm:pt modelId="{99EB6E1F-E1E7-42DC-B5C5-1013D1FEE686}" type="pres">
      <dgm:prSet presAssocID="{A9298922-FACB-404B-9B26-5FD595748C65}" presName="node" presStyleLbl="node1" presStyleIdx="0" presStyleCnt="3">
        <dgm:presLayoutVars>
          <dgm:bulletEnabled val="1"/>
        </dgm:presLayoutVars>
      </dgm:prSet>
      <dgm:spPr/>
      <dgm:t>
        <a:bodyPr/>
        <a:lstStyle/>
        <a:p>
          <a:endParaRPr lang="en-US"/>
        </a:p>
      </dgm:t>
    </dgm:pt>
    <dgm:pt modelId="{EABC3C60-1892-48AB-82CD-7D42571C6703}" type="pres">
      <dgm:prSet presAssocID="{BFE8FC33-6598-49C6-B352-582BDFC2023F}" presName="sibTrans" presStyleLbl="sibTrans2D1" presStyleIdx="0" presStyleCnt="2"/>
      <dgm:spPr>
        <a:prstGeom prst="mathPlus">
          <a:avLst/>
        </a:prstGeom>
      </dgm:spPr>
      <dgm:t>
        <a:bodyPr/>
        <a:lstStyle/>
        <a:p>
          <a:endParaRPr lang="en-US"/>
        </a:p>
      </dgm:t>
    </dgm:pt>
    <dgm:pt modelId="{44A2D7EF-EEC3-45A1-9E87-F506A7262D83}" type="pres">
      <dgm:prSet presAssocID="{BFE8FC33-6598-49C6-B352-582BDFC2023F}" presName="connectorText" presStyleLbl="sibTrans2D1" presStyleIdx="0" presStyleCnt="2"/>
      <dgm:spPr/>
      <dgm:t>
        <a:bodyPr/>
        <a:lstStyle/>
        <a:p>
          <a:endParaRPr lang="en-US"/>
        </a:p>
      </dgm:t>
    </dgm:pt>
    <dgm:pt modelId="{9684DD24-6C98-41B2-9307-372EE34244D2}" type="pres">
      <dgm:prSet presAssocID="{F6C150CE-638C-411F-BFA0-DBDDA3B23EAB}" presName="node" presStyleLbl="node1" presStyleIdx="1" presStyleCnt="3">
        <dgm:presLayoutVars>
          <dgm:bulletEnabled val="1"/>
        </dgm:presLayoutVars>
      </dgm:prSet>
      <dgm:spPr/>
      <dgm:t>
        <a:bodyPr/>
        <a:lstStyle/>
        <a:p>
          <a:endParaRPr lang="en-US"/>
        </a:p>
      </dgm:t>
    </dgm:pt>
    <dgm:pt modelId="{F5E49C24-EFE2-4FD8-B3B9-C5882B0466AA}" type="pres">
      <dgm:prSet presAssocID="{F5CE7E47-2807-4A4E-98AC-CAE713C9919F}" presName="sibTrans" presStyleLbl="sibTrans2D1" presStyleIdx="1" presStyleCnt="2"/>
      <dgm:spPr/>
      <dgm:t>
        <a:bodyPr/>
        <a:lstStyle/>
        <a:p>
          <a:endParaRPr lang="en-US"/>
        </a:p>
      </dgm:t>
    </dgm:pt>
    <dgm:pt modelId="{FFE179F9-5E58-4D1A-953D-B15E5439F207}" type="pres">
      <dgm:prSet presAssocID="{F5CE7E47-2807-4A4E-98AC-CAE713C9919F}" presName="connectorText" presStyleLbl="sibTrans2D1" presStyleIdx="1" presStyleCnt="2"/>
      <dgm:spPr/>
      <dgm:t>
        <a:bodyPr/>
        <a:lstStyle/>
        <a:p>
          <a:endParaRPr lang="en-US"/>
        </a:p>
      </dgm:t>
    </dgm:pt>
    <dgm:pt modelId="{85DF50CD-79CA-437F-8F1B-8F5F5CC89F53}" type="pres">
      <dgm:prSet presAssocID="{DB9BB79C-27FE-42B6-A8FD-9403F99E99AB}" presName="node" presStyleLbl="node1" presStyleIdx="2" presStyleCnt="3">
        <dgm:presLayoutVars>
          <dgm:bulletEnabled val="1"/>
        </dgm:presLayoutVars>
      </dgm:prSet>
      <dgm:spPr/>
      <dgm:t>
        <a:bodyPr/>
        <a:lstStyle/>
        <a:p>
          <a:endParaRPr lang="en-US"/>
        </a:p>
      </dgm:t>
    </dgm:pt>
  </dgm:ptLst>
  <dgm:cxnLst>
    <dgm:cxn modelId="{FBC2FE3F-2C67-47C4-A376-67110CFDBC1B}" type="presOf" srcId="{F5CE7E47-2807-4A4E-98AC-CAE713C9919F}" destId="{FFE179F9-5E58-4D1A-953D-B15E5439F207}" srcOrd="1" destOrd="0" presId="urn:microsoft.com/office/officeart/2005/8/layout/process1"/>
    <dgm:cxn modelId="{28744F40-1A73-4BAA-8CED-B85EE06A2952}" srcId="{A9298922-FACB-404B-9B26-5FD595748C65}" destId="{A830CE55-6DE6-4F2C-9D8D-5773A831BACA}" srcOrd="0" destOrd="0" parTransId="{104E1C6B-8001-47A4-80DD-0AE5775DF896}" sibTransId="{F1E7F009-3837-4EFF-AC67-5B115A6EE3A7}"/>
    <dgm:cxn modelId="{6EE40523-FA6B-4B69-A787-79161FB3365E}" srcId="{0540777C-E02F-4BE8-B512-4C4643AE0508}" destId="{DB9BB79C-27FE-42B6-A8FD-9403F99E99AB}" srcOrd="2" destOrd="0" parTransId="{582C9FC7-C611-4450-A988-6F57E67FF34F}" sibTransId="{D75C0475-5BF9-411C-95E3-326FBF71D74C}"/>
    <dgm:cxn modelId="{088EBBBB-D44D-4E4E-A122-8EDD74D084A5}" srcId="{0540777C-E02F-4BE8-B512-4C4643AE0508}" destId="{A9298922-FACB-404B-9B26-5FD595748C65}" srcOrd="0" destOrd="0" parTransId="{CDCE633A-9602-4596-9B22-3B8F23C8373E}" sibTransId="{BFE8FC33-6598-49C6-B352-582BDFC2023F}"/>
    <dgm:cxn modelId="{DE7DA1C3-1FF9-4F03-93F5-499E034C3886}" type="presOf" srcId="{F6C150CE-638C-411F-BFA0-DBDDA3B23EAB}" destId="{9684DD24-6C98-41B2-9307-372EE34244D2}" srcOrd="0" destOrd="0" presId="urn:microsoft.com/office/officeart/2005/8/layout/process1"/>
    <dgm:cxn modelId="{C1C4D783-126D-4380-87BF-2C99469D53DC}" type="presOf" srcId="{F5CE7E47-2807-4A4E-98AC-CAE713C9919F}" destId="{F5E49C24-EFE2-4FD8-B3B9-C5882B0466AA}" srcOrd="0" destOrd="0" presId="urn:microsoft.com/office/officeart/2005/8/layout/process1"/>
    <dgm:cxn modelId="{27246FC1-DD4A-46AC-A4A3-1385D13A2D38}" type="presOf" srcId="{A830CE55-6DE6-4F2C-9D8D-5773A831BACA}" destId="{99EB6E1F-E1E7-42DC-B5C5-1013D1FEE686}" srcOrd="0" destOrd="1" presId="urn:microsoft.com/office/officeart/2005/8/layout/process1"/>
    <dgm:cxn modelId="{F27F4E62-1727-4819-AA15-47B17B687B8D}" type="presOf" srcId="{BFE8FC33-6598-49C6-B352-582BDFC2023F}" destId="{44A2D7EF-EEC3-45A1-9E87-F506A7262D83}" srcOrd="1" destOrd="0" presId="urn:microsoft.com/office/officeart/2005/8/layout/process1"/>
    <dgm:cxn modelId="{297236AC-1A48-41E7-B1EA-C2F5E05346CB}" type="presOf" srcId="{A9298922-FACB-404B-9B26-5FD595748C65}" destId="{99EB6E1F-E1E7-42DC-B5C5-1013D1FEE686}" srcOrd="0" destOrd="0" presId="urn:microsoft.com/office/officeart/2005/8/layout/process1"/>
    <dgm:cxn modelId="{AB34A4DB-4495-4C6B-B553-C22640B8FF1D}" srcId="{0540777C-E02F-4BE8-B512-4C4643AE0508}" destId="{F6C150CE-638C-411F-BFA0-DBDDA3B23EAB}" srcOrd="1" destOrd="0" parTransId="{FA7E3233-027B-460E-99EE-1D770153D0AC}" sibTransId="{F5CE7E47-2807-4A4E-98AC-CAE713C9919F}"/>
    <dgm:cxn modelId="{F0C05A96-5D01-4D31-8946-853C19A14F2D}" type="presOf" srcId="{0540777C-E02F-4BE8-B512-4C4643AE0508}" destId="{9DC668B8-8FB4-4AB5-BA69-D5FBF9A465BD}" srcOrd="0" destOrd="0" presId="urn:microsoft.com/office/officeart/2005/8/layout/process1"/>
    <dgm:cxn modelId="{EF4CDE93-9CB5-42BC-A9C7-031D8A544DB5}" type="presOf" srcId="{DB9BB79C-27FE-42B6-A8FD-9403F99E99AB}" destId="{85DF50CD-79CA-437F-8F1B-8F5F5CC89F53}" srcOrd="0" destOrd="0" presId="urn:microsoft.com/office/officeart/2005/8/layout/process1"/>
    <dgm:cxn modelId="{79C8C904-F306-41F0-A85A-BDFBDB043632}" type="presOf" srcId="{8D1F3B8A-825E-4998-B038-FDA47D18E68E}" destId="{9684DD24-6C98-41B2-9307-372EE34244D2}" srcOrd="0" destOrd="1" presId="urn:microsoft.com/office/officeart/2005/8/layout/process1"/>
    <dgm:cxn modelId="{FEC48B3B-7404-41CE-BEA7-2A6D2D011E5B}" type="presOf" srcId="{BFE8FC33-6598-49C6-B352-582BDFC2023F}" destId="{EABC3C60-1892-48AB-82CD-7D42571C6703}" srcOrd="0" destOrd="0" presId="urn:microsoft.com/office/officeart/2005/8/layout/process1"/>
    <dgm:cxn modelId="{DF5486A5-91BB-451F-8D3E-7C1BAA0A638C}" srcId="{F6C150CE-638C-411F-BFA0-DBDDA3B23EAB}" destId="{8D1F3B8A-825E-4998-B038-FDA47D18E68E}" srcOrd="0" destOrd="0" parTransId="{8229DF89-D5A9-47C3-8333-F1BCD6AF4D96}" sibTransId="{2774A6B3-18FD-4B75-8045-772871645521}"/>
    <dgm:cxn modelId="{A7C841AD-51C3-4E56-9C50-F30FAF334709}" type="presParOf" srcId="{9DC668B8-8FB4-4AB5-BA69-D5FBF9A465BD}" destId="{99EB6E1F-E1E7-42DC-B5C5-1013D1FEE686}" srcOrd="0" destOrd="0" presId="urn:microsoft.com/office/officeart/2005/8/layout/process1"/>
    <dgm:cxn modelId="{DF7356CE-73A8-4D12-BE2F-98086186B325}" type="presParOf" srcId="{9DC668B8-8FB4-4AB5-BA69-D5FBF9A465BD}" destId="{EABC3C60-1892-48AB-82CD-7D42571C6703}" srcOrd="1" destOrd="0" presId="urn:microsoft.com/office/officeart/2005/8/layout/process1"/>
    <dgm:cxn modelId="{0A57C874-728C-4A7B-BD25-720EF24DF958}" type="presParOf" srcId="{EABC3C60-1892-48AB-82CD-7D42571C6703}" destId="{44A2D7EF-EEC3-45A1-9E87-F506A7262D83}" srcOrd="0" destOrd="0" presId="urn:microsoft.com/office/officeart/2005/8/layout/process1"/>
    <dgm:cxn modelId="{1F3B37FF-F3E0-4E02-9319-97BEEC5959F4}" type="presParOf" srcId="{9DC668B8-8FB4-4AB5-BA69-D5FBF9A465BD}" destId="{9684DD24-6C98-41B2-9307-372EE34244D2}" srcOrd="2" destOrd="0" presId="urn:microsoft.com/office/officeart/2005/8/layout/process1"/>
    <dgm:cxn modelId="{0C1DEFF8-E728-4582-9CCF-C261B79EBA5A}" type="presParOf" srcId="{9DC668B8-8FB4-4AB5-BA69-D5FBF9A465BD}" destId="{F5E49C24-EFE2-4FD8-B3B9-C5882B0466AA}" srcOrd="3" destOrd="0" presId="urn:microsoft.com/office/officeart/2005/8/layout/process1"/>
    <dgm:cxn modelId="{3DBDA6CF-9E3A-4D3F-97AA-E51E61B302FF}" type="presParOf" srcId="{F5E49C24-EFE2-4FD8-B3B9-C5882B0466AA}" destId="{FFE179F9-5E58-4D1A-953D-B15E5439F207}" srcOrd="0" destOrd="0" presId="urn:microsoft.com/office/officeart/2005/8/layout/process1"/>
    <dgm:cxn modelId="{A67F6854-9391-42EC-B596-82B84B262AED}" type="presParOf" srcId="{9DC668B8-8FB4-4AB5-BA69-D5FBF9A465BD}" destId="{85DF50CD-79CA-437F-8F1B-8F5F5CC89F53}" srcOrd="4" destOrd="0" presId="urn:microsoft.com/office/officeart/2005/8/layout/process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84D107-C8A6-42B8-AC13-FC123045469E}">
      <dsp:nvSpPr>
        <dsp:cNvPr id="0" name=""/>
        <dsp:cNvSpPr/>
      </dsp:nvSpPr>
      <dsp:spPr>
        <a:xfrm>
          <a:off x="0" y="86152"/>
          <a:ext cx="5253487" cy="1436400"/>
        </a:xfrm>
        <a:prstGeom prst="rect">
          <a:avLst/>
        </a:prstGeom>
        <a:solidFill>
          <a:schemeClr val="lt2">
            <a:alpha val="9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07729" tIns="249936" rIns="407729" bIns="85344" numCol="1" spcCol="1270" anchor="t" anchorCtr="0">
          <a:noAutofit/>
        </a:bodyPr>
        <a:lstStyle/>
        <a:p>
          <a:pPr marL="57150" lvl="1" indent="-57150" algn="l" defTabSz="511175">
            <a:lnSpc>
              <a:spcPct val="100000"/>
            </a:lnSpc>
            <a:spcBef>
              <a:spcPct val="0"/>
            </a:spcBef>
            <a:spcAft>
              <a:spcPct val="15000"/>
            </a:spcAft>
            <a:buFont typeface="Times New Roman" panose="02020603050405020304" pitchFamily="18" charset="0"/>
            <a:buChar char="••"/>
          </a:pPr>
          <a:r>
            <a:rPr lang="ro-RO" sz="1150" kern="1200">
              <a:latin typeface="Times New Roman" panose="02020603050405020304" pitchFamily="18" charset="0"/>
              <a:cs typeface="Times New Roman" panose="02020603050405020304" pitchFamily="18" charset="0"/>
            </a:rPr>
            <a:t>Exprimate în EUR (~45 %), USD (~32 %) și GBP (~23 %).</a:t>
          </a:r>
        </a:p>
        <a:p>
          <a:pPr marL="57150" lvl="1" indent="-57150" algn="l" defTabSz="511175">
            <a:lnSpc>
              <a:spcPct val="100000"/>
            </a:lnSpc>
            <a:spcBef>
              <a:spcPct val="0"/>
            </a:spcBef>
            <a:spcAft>
              <a:spcPct val="15000"/>
            </a:spcAft>
            <a:buFont typeface="Times New Roman" panose="02020603050405020304" pitchFamily="18" charset="0"/>
            <a:buChar char="••"/>
          </a:pPr>
          <a:r>
            <a:rPr lang="ro-RO" sz="1150" kern="1200">
              <a:latin typeface="Times New Roman" panose="02020603050405020304" pitchFamily="18" charset="0"/>
              <a:cs typeface="Times New Roman" panose="02020603050405020304" pitchFamily="18" charset="0"/>
            </a:rPr>
            <a:t>Stabilite în Irlanda (44 %), Luxemburg (30 %) și Franța (24 %).</a:t>
          </a:r>
        </a:p>
        <a:p>
          <a:pPr marL="57150" lvl="1" indent="-57150" algn="l" defTabSz="511175">
            <a:lnSpc>
              <a:spcPct val="100000"/>
            </a:lnSpc>
            <a:spcBef>
              <a:spcPct val="0"/>
            </a:spcBef>
            <a:spcAft>
              <a:spcPct val="15000"/>
            </a:spcAft>
            <a:buFont typeface="Times New Roman" panose="02020603050405020304" pitchFamily="18" charset="0"/>
            <a:buChar char="••"/>
          </a:pPr>
          <a:r>
            <a:rPr lang="ro-RO" sz="1150" kern="1200">
              <a:latin typeface="Times New Roman" panose="02020603050405020304" pitchFamily="18" charset="0"/>
              <a:cs typeface="Times New Roman" panose="02020603050405020304" pitchFamily="18" charset="0"/>
            </a:rPr>
            <a:t>Deținute de investitori profesionali (90 %), inclusiv investitori din afara UE pentru FPM cu sediul în Irlanda (77 %) și Luxemburg (63 %). </a:t>
          </a:r>
        </a:p>
        <a:p>
          <a:pPr marL="57150" lvl="1" indent="-57150" algn="l" defTabSz="511175">
            <a:lnSpc>
              <a:spcPct val="100000"/>
            </a:lnSpc>
            <a:spcBef>
              <a:spcPct val="0"/>
            </a:spcBef>
            <a:spcAft>
              <a:spcPct val="15000"/>
            </a:spcAft>
            <a:buFont typeface="Times New Roman" panose="02020603050405020304" pitchFamily="18" charset="0"/>
            <a:buChar char="••"/>
          </a:pPr>
          <a:r>
            <a:rPr lang="ro-RO" sz="1150" kern="1200">
              <a:latin typeface="Times New Roman" panose="02020603050405020304" pitchFamily="18" charset="0"/>
              <a:cs typeface="Times New Roman" panose="02020603050405020304" pitchFamily="18" charset="0"/>
            </a:rPr>
            <a:t>FPM cu VAN cu volatilitate scăzută (~46 %), FPM cu VAN variabilă (~43 %) și FPM cu VAN constantă (~11 % din VAN).</a:t>
          </a:r>
        </a:p>
      </dsp:txBody>
      <dsp:txXfrm>
        <a:off x="0" y="86152"/>
        <a:ext cx="5253487" cy="1436400"/>
      </dsp:txXfrm>
    </dsp:sp>
    <dsp:sp modelId="{E571C68D-FDEF-43A5-A783-B7783695D340}">
      <dsp:nvSpPr>
        <dsp:cNvPr id="0" name=""/>
        <dsp:cNvSpPr/>
      </dsp:nvSpPr>
      <dsp:spPr>
        <a:xfrm>
          <a:off x="262674" y="12949"/>
          <a:ext cx="3677440" cy="250323"/>
        </a:xfrm>
        <a:prstGeom prst="round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8999" tIns="0" rIns="138999" bIns="0" numCol="1" spcCol="1270" anchor="ctr" anchorCtr="0">
          <a:noAutofit/>
        </a:bodyPr>
        <a:lstStyle/>
        <a:p>
          <a:pPr lvl="0" algn="l" defTabSz="533400">
            <a:lnSpc>
              <a:spcPct val="90000"/>
            </a:lnSpc>
            <a:spcBef>
              <a:spcPct val="0"/>
            </a:spcBef>
            <a:spcAft>
              <a:spcPct val="35000"/>
            </a:spcAft>
            <a:buFont typeface="Times New Roman" panose="02020603050405020304" pitchFamily="18" charset="0"/>
            <a:buChar char="-"/>
          </a:pPr>
          <a:r>
            <a:rPr lang="ro-RO" sz="1200" b="1" kern="1200">
              <a:latin typeface="Times New Roman" panose="02020603050405020304" pitchFamily="18" charset="0"/>
              <a:cs typeface="Times New Roman" panose="02020603050405020304" pitchFamily="18" charset="0"/>
            </a:rPr>
            <a:t>FPM din UE pe scurt</a:t>
          </a:r>
        </a:p>
      </dsp:txBody>
      <dsp:txXfrm>
        <a:off x="274894" y="25169"/>
        <a:ext cx="3653000" cy="2258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EB6E1F-E1E7-42DC-B5C5-1013D1FEE686}">
      <dsp:nvSpPr>
        <dsp:cNvPr id="0" name=""/>
        <dsp:cNvSpPr/>
      </dsp:nvSpPr>
      <dsp:spPr>
        <a:xfrm>
          <a:off x="4930" y="21100"/>
          <a:ext cx="1473779" cy="1837619"/>
        </a:xfrm>
        <a:prstGeom prst="roundRect">
          <a:avLst>
            <a:gd name="adj" fmla="val 10000"/>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buFont typeface="Arial" panose="020B0604020202020204" pitchFamily="34" charset="0"/>
            <a:buChar char="•"/>
          </a:pPr>
          <a:r>
            <a:rPr lang="ro-RO" sz="1100" b="1" kern="1200">
              <a:solidFill>
                <a:srgbClr val="0070C0"/>
              </a:solidFill>
            </a:rPr>
            <a:t>1) Calibrarea unor scenarii de răscumpărare severe, dar plauzibile</a:t>
          </a:r>
        </a:p>
        <a:p>
          <a:pPr marL="57150" lvl="1" indent="-57150" algn="l" defTabSz="444500">
            <a:lnSpc>
              <a:spcPct val="90000"/>
            </a:lnSpc>
            <a:spcBef>
              <a:spcPct val="0"/>
            </a:spcBef>
            <a:spcAft>
              <a:spcPct val="15000"/>
            </a:spcAft>
            <a:buFont typeface="Arial" panose="020B0604020202020204" pitchFamily="34" charset="0"/>
            <a:buChar char="••"/>
          </a:pPr>
          <a:r>
            <a:rPr lang="ro-RO" sz="1000" b="0" kern="1200"/>
            <a:t>Percentila 1 a randamentelor, calibrată pe baza stresului de pe piață asociat pandemiei de COVID-19</a:t>
          </a:r>
        </a:p>
      </dsp:txBody>
      <dsp:txXfrm>
        <a:off x="48096" y="64266"/>
        <a:ext cx="1387447" cy="1751287"/>
      </dsp:txXfrm>
    </dsp:sp>
    <dsp:sp modelId="{EABC3C60-1892-48AB-82CD-7D42571C6703}">
      <dsp:nvSpPr>
        <dsp:cNvPr id="0" name=""/>
        <dsp:cNvSpPr/>
      </dsp:nvSpPr>
      <dsp:spPr>
        <a:xfrm>
          <a:off x="1626088" y="757161"/>
          <a:ext cx="312441" cy="365497"/>
        </a:xfrm>
        <a:prstGeom prst="mathPlus">
          <a:avLst/>
        </a:prstGeom>
        <a:gradFill rotWithShape="0">
          <a:gsLst>
            <a:gs pos="0">
              <a:schemeClr val="accent4">
                <a:hueOff val="0"/>
                <a:satOff val="0"/>
                <a:lumOff val="0"/>
                <a:alphaOff val="0"/>
                <a:tint val="50000"/>
                <a:satMod val="300000"/>
              </a:schemeClr>
            </a:gs>
            <a:gs pos="35000">
              <a:schemeClr val="accent4">
                <a:hueOff val="0"/>
                <a:satOff val="0"/>
                <a:lumOff val="0"/>
                <a:alphaOff val="0"/>
                <a:tint val="37000"/>
                <a:satMod val="300000"/>
              </a:schemeClr>
            </a:gs>
            <a:gs pos="100000">
              <a:schemeClr val="accent4">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IE" sz="1000" kern="1200"/>
        </a:p>
      </dsp:txBody>
      <dsp:txXfrm>
        <a:off x="1626088" y="830260"/>
        <a:ext cx="218709" cy="219299"/>
      </dsp:txXfrm>
    </dsp:sp>
    <dsp:sp modelId="{9684DD24-6C98-41B2-9307-372EE34244D2}">
      <dsp:nvSpPr>
        <dsp:cNvPr id="0" name=""/>
        <dsp:cNvSpPr/>
      </dsp:nvSpPr>
      <dsp:spPr>
        <a:xfrm>
          <a:off x="2068222" y="21100"/>
          <a:ext cx="1473779" cy="1837619"/>
        </a:xfrm>
        <a:prstGeom prst="roundRect">
          <a:avLst>
            <a:gd name="adj" fmla="val 10000"/>
          </a:avLst>
        </a:prstGeom>
        <a:gradFill rotWithShape="0">
          <a:gsLst>
            <a:gs pos="0">
              <a:schemeClr val="accent4">
                <a:hueOff val="-2232385"/>
                <a:satOff val="13449"/>
                <a:lumOff val="1078"/>
                <a:alphaOff val="0"/>
                <a:tint val="50000"/>
                <a:satMod val="300000"/>
              </a:schemeClr>
            </a:gs>
            <a:gs pos="35000">
              <a:schemeClr val="accent4">
                <a:hueOff val="-2232385"/>
                <a:satOff val="13449"/>
                <a:lumOff val="1078"/>
                <a:alphaOff val="0"/>
                <a:tint val="37000"/>
                <a:satMod val="300000"/>
              </a:schemeClr>
            </a:gs>
            <a:gs pos="100000">
              <a:schemeClr val="accent4">
                <a:hueOff val="-2232385"/>
                <a:satOff val="13449"/>
                <a:lumOff val="107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t" anchorCtr="0">
          <a:noAutofit/>
        </a:bodyPr>
        <a:lstStyle/>
        <a:p>
          <a:pPr lvl="0" algn="l" defTabSz="488950">
            <a:lnSpc>
              <a:spcPct val="90000"/>
            </a:lnSpc>
            <a:spcBef>
              <a:spcPct val="0"/>
            </a:spcBef>
            <a:spcAft>
              <a:spcPct val="35000"/>
            </a:spcAft>
            <a:buFont typeface="Arial" panose="020B0604020202020204" pitchFamily="34" charset="0"/>
            <a:buChar char="•"/>
          </a:pPr>
          <a:r>
            <a:rPr lang="ro-RO" sz="1100" b="1" kern="1200">
              <a:solidFill>
                <a:srgbClr val="0070C0"/>
              </a:solidFill>
            </a:rPr>
            <a:t>2) Estimarea, pentru diferite niveluri ale WLA, a volumului de răscumpărări pe care FPM îl pot absorbi</a:t>
          </a:r>
        </a:p>
        <a:p>
          <a:pPr marL="57150" lvl="1" indent="-57150" algn="l" defTabSz="444500">
            <a:lnSpc>
              <a:spcPct val="90000"/>
            </a:lnSpc>
            <a:spcBef>
              <a:spcPct val="0"/>
            </a:spcBef>
            <a:spcAft>
              <a:spcPct val="15000"/>
            </a:spcAft>
            <a:buFont typeface="Arial" panose="020B0604020202020204" pitchFamily="34" charset="0"/>
            <a:buChar char="••"/>
          </a:pPr>
          <a:r>
            <a:rPr lang="ro-RO" sz="1000" b="0" kern="1200"/>
            <a:t>Pe baza unor ipoteze prudente (de exemplu, fără vânzări de active, DLA rămâne peste nivelul minim de reglementare)</a:t>
          </a:r>
        </a:p>
      </dsp:txBody>
      <dsp:txXfrm>
        <a:off x="2111388" y="64266"/>
        <a:ext cx="1387447" cy="1751287"/>
      </dsp:txXfrm>
    </dsp:sp>
    <dsp:sp modelId="{F5E49C24-EFE2-4FD8-B3B9-C5882B0466AA}">
      <dsp:nvSpPr>
        <dsp:cNvPr id="0" name=""/>
        <dsp:cNvSpPr/>
      </dsp:nvSpPr>
      <dsp:spPr>
        <a:xfrm>
          <a:off x="3689380" y="757161"/>
          <a:ext cx="312441" cy="365497"/>
        </a:xfrm>
        <a:prstGeom prst="rightArrow">
          <a:avLst>
            <a:gd name="adj1" fmla="val 60000"/>
            <a:gd name="adj2" fmla="val 5000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r>
            <a:rPr lang="en-IE" sz="1000" kern="1200"/>
            <a:t> </a:t>
          </a:r>
        </a:p>
      </dsp:txBody>
      <dsp:txXfrm>
        <a:off x="3689380" y="830260"/>
        <a:ext cx="218709" cy="219299"/>
      </dsp:txXfrm>
    </dsp:sp>
    <dsp:sp modelId="{85DF50CD-79CA-437F-8F1B-8F5F5CC89F53}">
      <dsp:nvSpPr>
        <dsp:cNvPr id="0" name=""/>
        <dsp:cNvSpPr/>
      </dsp:nvSpPr>
      <dsp:spPr>
        <a:xfrm>
          <a:off x="4131514" y="21100"/>
          <a:ext cx="1473779" cy="1837619"/>
        </a:xfrm>
        <a:prstGeom prst="roundRect">
          <a:avLst>
            <a:gd name="adj" fmla="val 10000"/>
          </a:avLst>
        </a:prstGeom>
        <a:gradFill rotWithShape="0">
          <a:gsLst>
            <a:gs pos="0">
              <a:schemeClr val="accent4">
                <a:hueOff val="-4464770"/>
                <a:satOff val="26899"/>
                <a:lumOff val="2156"/>
                <a:alphaOff val="0"/>
                <a:tint val="50000"/>
                <a:satMod val="300000"/>
              </a:schemeClr>
            </a:gs>
            <a:gs pos="35000">
              <a:schemeClr val="accent4">
                <a:hueOff val="-4464770"/>
                <a:satOff val="26899"/>
                <a:lumOff val="2156"/>
                <a:alphaOff val="0"/>
                <a:tint val="37000"/>
                <a:satMod val="300000"/>
              </a:schemeClr>
            </a:gs>
            <a:gs pos="100000">
              <a:schemeClr val="accent4">
                <a:hueOff val="-4464770"/>
                <a:satOff val="26899"/>
                <a:lumOff val="215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Font typeface="Arial" panose="020B0604020202020204" pitchFamily="34" charset="0"/>
            <a:buChar char="•"/>
          </a:pPr>
          <a:r>
            <a:rPr lang="ro-RO" sz="1100" b="1" kern="1200">
              <a:solidFill>
                <a:srgbClr val="0070C0"/>
              </a:solidFill>
            </a:rPr>
            <a:t>Calibrarea nivelurilor de reziliență ale WLA: Nivelul minim al WLA (2) care permite FPM să facă față șocului de lichiditate (1</a:t>
          </a:r>
          <a:r>
            <a:rPr lang="ro-RO" sz="1000" b="1" kern="1200">
              <a:solidFill>
                <a:srgbClr val="0070C0"/>
              </a:solidFill>
            </a:rPr>
            <a:t>)</a:t>
          </a:r>
        </a:p>
      </dsp:txBody>
      <dsp:txXfrm>
        <a:off x="4174680" y="64266"/>
        <a:ext cx="1387447" cy="1751287"/>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TRANSFERRED_BY xmlns="39579b5d-f307-4cba-adf0-92bbc0d34603" xsi:nil="true"/>
    <lcf76f155ced4ddcb4097134ff3c332f xmlns="a1ae7e3d-ea02-4f8b-a6ae-4ba92f54bfa6">
      <Terms xmlns="http://schemas.microsoft.com/office/infopath/2007/PartnerControls"/>
    </lcf76f155ced4ddcb4097134ff3c332f>
    <_Flow_SignoffStatus xmlns="a1ae7e3d-ea02-4f8b-a6ae-4ba92f54bfa6" xsi:nil="true"/>
    <IconOverlay xmlns="http://schemas.microsoft.com/sharepoint/v4" xsi:nil="true"/>
    <EC_ARES_DATE_TRANSFERRED xmlns="39579b5d-f307-4cba-adf0-92bbc0d34603" xsi:nil="true"/>
    <TaxCatchAll xmlns="39579b5d-f307-4cba-adf0-92bbc0d34603" xsi:nil="true"/>
    <EC_ARES_NUMBER xmlns="39579b5d-f307-4cba-adf0-92bbc0d34603">
      <Url xsi:nil="true"/>
      <Description xsi:nil="true"/>
    </EC_ARES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4DCC0AC9070440AC8F58F2A787C016" ma:contentTypeVersion="20" ma:contentTypeDescription="Create a new document." ma:contentTypeScope="" ma:versionID="7ffe3a98adf5fa445a7db4fb58975b48">
  <xsd:schema xmlns:xsd="http://www.w3.org/2001/XMLSchema" xmlns:xs="http://www.w3.org/2001/XMLSchema" xmlns:p="http://schemas.microsoft.com/office/2006/metadata/properties" xmlns:ns1="http://schemas.microsoft.com/sharepoint/v3" xmlns:ns2="a1ae7e3d-ea02-4f8b-a6ae-4ba92f54bfa6" xmlns:ns3="39579b5d-f307-4cba-adf0-92bbc0d34603" xmlns:ns4="http://schemas.microsoft.com/sharepoint/v4" targetNamespace="http://schemas.microsoft.com/office/2006/metadata/properties" ma:root="true" ma:fieldsID="d186cc494854d37a2383a1cc70b0ae5d" ns1:_="" ns2:_="" ns3:_="" ns4:_="">
    <xsd:import namespace="http://schemas.microsoft.com/sharepoint/v3"/>
    <xsd:import namespace="a1ae7e3d-ea02-4f8b-a6ae-4ba92f54bfa6"/>
    <xsd:import namespace="39579b5d-f307-4cba-adf0-92bbc0d34603"/>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Flow_SignoffStatu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9" nillable="true" ma:displayName="Declared Record" ma:hidden="true" ma:internalName="_vti_ItemDeclaredRecord" ma:readOnly="true">
      <xsd:simpleType>
        <xsd:restriction base="dms:DateTime"/>
      </xsd:simpleType>
    </xsd:element>
    <xsd:element name="_vti_ItemHoldRecordStatus" ma:index="2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ae7e3d-ea02-4f8b-a6ae-4ba92f54b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Flow_SignoffStatus" ma:index="14" nillable="true" ma:displayName="Sign-off status" ma:internalName="_x0024_Resources_x003a_core_x002c_Signoff_Status">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579b5d-f307-4cba-adf0-92bbc0d346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element name="TaxCatchAll" ma:index="24" nillable="true" ma:displayName="Taxonomy Catch All Column" ma:hidden="true" ma:list="{4fa3737e-8740-4758-ae8b-cfd8fbec2c93}" ma:internalName="TaxCatchAll" ma:showField="CatchAllData" ma:web="39579b5d-f307-4cba-adf0-92bbc0d346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24950-C16D-4C52-B831-4348091D80E9}">
  <ds:schemaRefs>
    <ds:schemaRef ds:uri="http://schemas.microsoft.com/sharepoint/v3"/>
    <ds:schemaRef ds:uri="http://schemas.openxmlformats.org/package/2006/metadata/core-properties"/>
    <ds:schemaRef ds:uri="http://www.w3.org/XML/1998/namespace"/>
    <ds:schemaRef ds:uri="http://purl.org/dc/terms/"/>
    <ds:schemaRef ds:uri="http://schemas.microsoft.com/sharepoint/v4"/>
    <ds:schemaRef ds:uri="a1ae7e3d-ea02-4f8b-a6ae-4ba92f54bfa6"/>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39579b5d-f307-4cba-adf0-92bbc0d34603"/>
  </ds:schemaRefs>
</ds:datastoreItem>
</file>

<file path=customXml/itemProps2.xml><?xml version="1.0" encoding="utf-8"?>
<ds:datastoreItem xmlns:ds="http://schemas.openxmlformats.org/officeDocument/2006/customXml" ds:itemID="{4A105CE1-803F-498B-9EEE-8570F75F89A6}">
  <ds:schemaRefs>
    <ds:schemaRef ds:uri="http://schemas.microsoft.com/sharepoint/v3/contenttype/forms"/>
  </ds:schemaRefs>
</ds:datastoreItem>
</file>

<file path=customXml/itemProps3.xml><?xml version="1.0" encoding="utf-8"?>
<ds:datastoreItem xmlns:ds="http://schemas.openxmlformats.org/officeDocument/2006/customXml" ds:itemID="{199E4956-D070-4498-BFFE-7C2FA17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ae7e3d-ea02-4f8b-a6ae-4ba92f54bfa6"/>
    <ds:schemaRef ds:uri="39579b5d-f307-4cba-adf0-92bbc0d3460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3B78C8-2856-4ADA-A005-D1350AD1B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20</Pages>
  <Words>7058</Words>
  <Characters>40237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2026-04-23T09:44:00Z</dcterms:created>
  <dcterms:modified xsi:type="dcterms:W3CDTF">2026-05-08T07:00:00Z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2026-03-10T14:20:11Z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5c699067-1d9d-4ee2-b41a-465a4ff3c9a0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y fmtid="{D5CDD505-2E9C-101B-9397-08002B2CF9AE}" pid="16" name="ContentTypeId">
    <vt:lpwstr>0x0101008B4DCC0AC9070440AC8F58F2A787C016</vt:lpwstr>
  </property>
  <property fmtid="{D5CDD505-2E9C-101B-9397-08002B2CF9AE}" pid="17" name="MediaServiceImageTags">
    <vt:lpwstr/>
  </property>
</Properties>
</file>