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4C0D1" w14:textId="280DEC95" w:rsidR="0064029C" w:rsidRPr="005C45A8" w:rsidRDefault="00FB0604" w:rsidP="00FB0604">
      <w:pPr>
        <w:pStyle w:val="Pagedecouverture"/>
        <w:rPr>
          <w:noProof/>
        </w:rPr>
      </w:pPr>
      <w:bookmarkStart w:id="0" w:name="LW_BM_COVERPAGE"/>
      <w:r>
        <w:rPr>
          <w:noProof/>
        </w:rPr>
        <w:pict w14:anchorId="75D60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D802D0-2293-415F-A75A-B69DB4758C5A" style="width:455.25pt;height:342pt">
            <v:imagedata r:id="rId11" o:title=""/>
          </v:shape>
        </w:pict>
      </w:r>
    </w:p>
    <w:bookmarkEnd w:id="0"/>
    <w:p w14:paraId="20E5C208" w14:textId="77777777" w:rsidR="0064029C" w:rsidRPr="005C45A8" w:rsidRDefault="0064029C">
      <w:pPr>
        <w:rPr>
          <w:rFonts w:ascii="Times New Roman" w:hAnsi="Times New Roman" w:cs="Times New Roman"/>
          <w:noProof/>
          <w:sz w:val="24"/>
          <w:szCs w:val="24"/>
        </w:rPr>
        <w:sectPr w:rsidR="0064029C" w:rsidRPr="005C45A8" w:rsidSect="00FB060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4531BA5" w14:textId="13587A16" w:rsidR="005C45A8" w:rsidRPr="005C45A8" w:rsidRDefault="005C45A8" w:rsidP="005C45A8">
      <w:pPr>
        <w:pStyle w:val="Typedudocument"/>
        <w:rPr>
          <w:noProof/>
        </w:rPr>
      </w:pPr>
      <w:bookmarkStart w:id="1" w:name="_GoBack"/>
      <w:bookmarkEnd w:id="1"/>
      <w:r w:rsidRPr="005C45A8">
        <w:rPr>
          <w:noProof/>
        </w:rPr>
        <w:lastRenderedPageBreak/>
        <w:t>RAPORT AL COMISIEI CĂTRE PARLAMENTUL EUROPEAN ȘI CONSILIU</w:t>
      </w:r>
    </w:p>
    <w:p w14:paraId="05A10FBE" w14:textId="17D49DD1" w:rsidR="005C45A8" w:rsidRPr="005C45A8" w:rsidRDefault="005C45A8" w:rsidP="005C45A8">
      <w:pPr>
        <w:pStyle w:val="Titreobjet"/>
        <w:rPr>
          <w:noProof/>
        </w:rPr>
      </w:pPr>
      <w:r w:rsidRPr="005C45A8">
        <w:rPr>
          <w:noProof/>
        </w:rPr>
        <w:t>privind exercitarea competenței de a adopta acte delegate conferite Comisiei în temeiul Regulamentului (UE) 2017/625 al Parlamentului European și al Consiliului privind controalele oficiale și alte activități oficiale efectuate pentru a asigura aplicarea legislației privind alimentele și furajele, a normelor privind sănătatea și bunăstarea animalelor, sănătatea plantelor și produsele de protecție a plantelor („Regulamentul privind controalele oficiale”)</w:t>
      </w:r>
    </w:p>
    <w:p w14:paraId="705D757C" w14:textId="10A0D892" w:rsidR="0064029C" w:rsidRPr="005C45A8" w:rsidRDefault="008A126D">
      <w:pPr>
        <w:pStyle w:val="ManualHeading1"/>
        <w:rPr>
          <w:noProof/>
        </w:rPr>
      </w:pPr>
      <w:r w:rsidRPr="005C45A8">
        <w:rPr>
          <w:noProof/>
        </w:rPr>
        <w:t>INTRODUCERE</w:t>
      </w:r>
    </w:p>
    <w:p w14:paraId="51FF9619" w14:textId="250B153A" w:rsidR="0064029C" w:rsidRPr="005C45A8" w:rsidRDefault="008A126D">
      <w:pPr>
        <w:spacing w:after="240" w:line="240" w:lineRule="auto"/>
        <w:jc w:val="both"/>
        <w:rPr>
          <w:rFonts w:ascii="Times New Roman" w:hAnsi="Times New Roman" w:cs="Times New Roman"/>
          <w:noProof/>
          <w:sz w:val="24"/>
          <w:szCs w:val="24"/>
        </w:rPr>
      </w:pPr>
      <w:r w:rsidRPr="005C45A8">
        <w:rPr>
          <w:rFonts w:ascii="Times New Roman" w:hAnsi="Times New Roman"/>
          <w:noProof/>
          <w:sz w:val="24"/>
        </w:rPr>
        <w:t>Regulamentul (UE) 2017/625</w:t>
      </w:r>
      <w:r w:rsidRPr="005C45A8">
        <w:rPr>
          <w:rFonts w:ascii="Times New Roman" w:hAnsi="Times New Roman" w:cs="Times New Roman"/>
          <w:noProof/>
          <w:sz w:val="24"/>
          <w:szCs w:val="24"/>
          <w:vertAlign w:val="superscript"/>
          <w:lang w:eastAsia="en-GB"/>
        </w:rPr>
        <w:footnoteReference w:id="1"/>
      </w:r>
      <w:r w:rsidRPr="005C45A8">
        <w:rPr>
          <w:rFonts w:ascii="Times New Roman" w:hAnsi="Times New Roman"/>
          <w:noProof/>
          <w:sz w:val="24"/>
        </w:rPr>
        <w:t xml:space="preserve"> este actul de bază care reglementează efectuarea controalelor oficiale al căror scop este verificarea respectării normelor UE referitoare la lanțul agroalimentar, inclusiv în cazul în care normele respective se aplică animalelor și mărfurilor care intră în UE din țări terțe. Regulamentul conferă Comisiei competența de a adopta acte delegate. </w:t>
      </w:r>
    </w:p>
    <w:p w14:paraId="62D09D50" w14:textId="77777777" w:rsidR="0064029C" w:rsidRPr="005C45A8" w:rsidRDefault="008A126D">
      <w:pPr>
        <w:pStyle w:val="ManualHeading1"/>
        <w:rPr>
          <w:noProof/>
        </w:rPr>
      </w:pPr>
      <w:r w:rsidRPr="005C45A8">
        <w:rPr>
          <w:noProof/>
        </w:rPr>
        <w:t>TEMEI JURIDIC</w:t>
      </w:r>
    </w:p>
    <w:p w14:paraId="667B35EB" w14:textId="122C6CE8" w:rsidR="00CD31FE" w:rsidRPr="005C45A8" w:rsidRDefault="00217A9F">
      <w:pPr>
        <w:spacing w:after="240" w:line="240" w:lineRule="auto"/>
        <w:jc w:val="both"/>
        <w:rPr>
          <w:rFonts w:ascii="Times New Roman" w:hAnsi="Times New Roman" w:cs="Times New Roman"/>
          <w:noProof/>
          <w:sz w:val="24"/>
          <w:szCs w:val="24"/>
        </w:rPr>
      </w:pPr>
      <w:r w:rsidRPr="005C45A8">
        <w:rPr>
          <w:rFonts w:ascii="Times New Roman" w:hAnsi="Times New Roman"/>
          <w:noProof/>
          <w:sz w:val="24"/>
        </w:rPr>
        <w:t>Prezentul raport este obligatoriu în temeiul articolului</w:t>
      </w:r>
      <w:r w:rsidRPr="005C45A8">
        <w:rPr>
          <w:rFonts w:ascii="Times New Roman" w:hAnsi="Times New Roman"/>
          <w:noProof/>
        </w:rPr>
        <w:t> </w:t>
      </w:r>
      <w:r w:rsidRPr="005C45A8">
        <w:rPr>
          <w:rFonts w:ascii="Times New Roman" w:hAnsi="Times New Roman"/>
          <w:noProof/>
          <w:sz w:val="24"/>
        </w:rPr>
        <w:t>144 alineatul (2) din Regulamentul (UE) 2017/625, potrivit căruia Comisiei i se conferă competența de a adopta acte delegate pentru o perioadă de cinci ani începând cu 28</w:t>
      </w:r>
      <w:r w:rsidRPr="005C45A8">
        <w:rPr>
          <w:rFonts w:ascii="Times New Roman" w:hAnsi="Times New Roman"/>
          <w:noProof/>
        </w:rPr>
        <w:t xml:space="preserve"> </w:t>
      </w:r>
      <w:r w:rsidRPr="005C45A8">
        <w:rPr>
          <w:rFonts w:ascii="Times New Roman" w:hAnsi="Times New Roman"/>
          <w:noProof/>
          <w:sz w:val="24"/>
        </w:rPr>
        <w:t>aprilie 2017. Delegarea de competențe se prelungește tacit cu perioade de cinci ani, cu excepția cazului în care Parlamentul European sau Consiliul se opune prelungirii respective cel târziu cu trei luni înainte de încheierea fiecărei perioade. Comisia trebuie să elaboreze un raport privind delegarea de competențe cu cel târziu nouă luni înainte de încheierea fiecărei perioade de cinci ani. Comisia și-a prezentat primul raport la 9</w:t>
      </w:r>
      <w:r w:rsidRPr="005C45A8">
        <w:rPr>
          <w:rFonts w:ascii="Times New Roman" w:hAnsi="Times New Roman"/>
          <w:noProof/>
        </w:rPr>
        <w:t xml:space="preserve"> </w:t>
      </w:r>
      <w:r w:rsidRPr="005C45A8">
        <w:rPr>
          <w:rFonts w:ascii="Times New Roman" w:hAnsi="Times New Roman"/>
          <w:noProof/>
          <w:sz w:val="24"/>
        </w:rPr>
        <w:t>iulie 2021</w:t>
      </w:r>
      <w:r w:rsidRPr="005C45A8">
        <w:rPr>
          <w:rStyle w:val="FootnoteReference"/>
          <w:rFonts w:ascii="Times New Roman" w:hAnsi="Times New Roman"/>
          <w:noProof/>
          <w:sz w:val="24"/>
          <w:szCs w:val="24"/>
          <w:lang w:eastAsia="en-GB"/>
        </w:rPr>
        <w:footnoteReference w:id="2"/>
      </w:r>
      <w:r w:rsidRPr="005C45A8">
        <w:rPr>
          <w:rFonts w:ascii="Times New Roman" w:hAnsi="Times New Roman"/>
          <w:noProof/>
          <w:sz w:val="24"/>
        </w:rPr>
        <w:t xml:space="preserve">. </w:t>
      </w:r>
    </w:p>
    <w:p w14:paraId="7A667F0E" w14:textId="393CFDA2" w:rsidR="0064029C" w:rsidRPr="005C45A8" w:rsidRDefault="008A126D" w:rsidP="004F7CF3">
      <w:pPr>
        <w:pStyle w:val="ManualHeading1"/>
        <w:jc w:val="both"/>
        <w:rPr>
          <w:noProof/>
        </w:rPr>
      </w:pPr>
      <w:r w:rsidRPr="005C45A8">
        <w:rPr>
          <w:noProof/>
        </w:rPr>
        <w:t>EXERCITAREA DELEGĂRII</w:t>
      </w:r>
    </w:p>
    <w:p w14:paraId="492537DE" w14:textId="4D7FBEE4" w:rsidR="0064029C" w:rsidRPr="005C45A8" w:rsidRDefault="008A126D" w:rsidP="002F11D0">
      <w:pPr>
        <w:pStyle w:val="ManualHeading2"/>
        <w:ind w:left="993" w:hanging="567"/>
        <w:rPr>
          <w:noProof/>
        </w:rPr>
      </w:pPr>
      <w:r w:rsidRPr="005C45A8">
        <w:rPr>
          <w:noProof/>
        </w:rPr>
        <w:t>3.1.</w:t>
      </w:r>
      <w:r w:rsidRPr="005C45A8">
        <w:rPr>
          <w:noProof/>
        </w:rPr>
        <w:tab/>
        <w:t>DELEGĂRI DE COMPETENȚE UTILIZATE PE PARCURSUL PERIOADEI DE RAPORTARE</w:t>
      </w:r>
    </w:p>
    <w:p w14:paraId="33DD1C30" w14:textId="23B1F980" w:rsidR="0064029C" w:rsidRPr="005C45A8" w:rsidRDefault="008A126D" w:rsidP="00A00E75">
      <w:pPr>
        <w:spacing w:after="240" w:line="240" w:lineRule="auto"/>
        <w:jc w:val="both"/>
        <w:rPr>
          <w:rFonts w:ascii="Times New Roman" w:hAnsi="Times New Roman" w:cs="Times New Roman"/>
          <w:noProof/>
          <w:sz w:val="24"/>
          <w:szCs w:val="24"/>
        </w:rPr>
      </w:pPr>
      <w:r w:rsidRPr="005C45A8">
        <w:rPr>
          <w:rFonts w:ascii="Times New Roman" w:hAnsi="Times New Roman"/>
          <w:noProof/>
          <w:sz w:val="24"/>
        </w:rPr>
        <w:t>În cursul perioadei de raportare</w:t>
      </w:r>
      <w:r w:rsidRPr="005C45A8">
        <w:rPr>
          <w:rStyle w:val="FootnoteReference"/>
          <w:rFonts w:ascii="Times New Roman" w:hAnsi="Times New Roman"/>
          <w:noProof/>
          <w:sz w:val="24"/>
          <w:szCs w:val="24"/>
          <w:lang w:eastAsia="en-GB"/>
        </w:rPr>
        <w:footnoteReference w:id="3"/>
      </w:r>
      <w:r w:rsidRPr="005C45A8">
        <w:rPr>
          <w:rFonts w:ascii="Times New Roman" w:hAnsi="Times New Roman"/>
          <w:noProof/>
          <w:sz w:val="24"/>
        </w:rPr>
        <w:t>, Comisia și-a exercitat competențele delegate, adoptând următoarele acte delegate</w:t>
      </w:r>
      <w:r w:rsidRPr="005C45A8">
        <w:rPr>
          <w:rStyle w:val="FootnoteReference"/>
          <w:rFonts w:ascii="Times New Roman" w:hAnsi="Times New Roman"/>
          <w:noProof/>
          <w:sz w:val="24"/>
          <w:szCs w:val="24"/>
          <w:lang w:eastAsia="en-GB"/>
        </w:rPr>
        <w:footnoteReference w:id="4"/>
      </w:r>
      <w:r w:rsidRPr="005C45A8">
        <w:rPr>
          <w:rFonts w:ascii="Times New Roman" w:hAnsi="Times New Roman"/>
          <w:noProof/>
          <w:sz w:val="24"/>
        </w:rPr>
        <w:t>:</w:t>
      </w:r>
    </w:p>
    <w:p w14:paraId="6F1AEB88" w14:textId="073941AD" w:rsidR="003F228C" w:rsidRPr="005C45A8" w:rsidRDefault="003F228C" w:rsidP="00A00E75">
      <w:pPr>
        <w:pStyle w:val="Bullet0"/>
        <w:rPr>
          <w:noProof/>
        </w:rPr>
      </w:pPr>
      <w:r w:rsidRPr="005C45A8">
        <w:rPr>
          <w:noProof/>
        </w:rPr>
        <w:t>Regulamentul delegat (UE) 2021/2156 al Comisiei din 17 septembrie 2021 de completare a Regulamentului (UE) 2017/625 al Parlamentului European și al Consiliului prin înființarea unui laborator de referință al Uniunii Europene pentru virusul febrei Văii de Rift</w:t>
      </w:r>
      <w:r w:rsidRPr="005C45A8">
        <w:rPr>
          <w:rStyle w:val="FootnoteReference"/>
          <w:noProof/>
        </w:rPr>
        <w:footnoteReference w:id="5"/>
      </w:r>
      <w:r w:rsidRPr="005C45A8">
        <w:rPr>
          <w:noProof/>
        </w:rPr>
        <w:t>, care a intrat în vigoare la 27 decembrie 2021 și la aceeași dată a fost pus în aplicare;</w:t>
      </w:r>
    </w:p>
    <w:p w14:paraId="41699350" w14:textId="57D7AA9F" w:rsidR="00012FF7" w:rsidRPr="005C45A8" w:rsidRDefault="00012FF7" w:rsidP="00A00E75">
      <w:pPr>
        <w:pStyle w:val="Bullet0"/>
        <w:rPr>
          <w:noProof/>
        </w:rPr>
      </w:pPr>
      <w:r w:rsidRPr="005C45A8">
        <w:rPr>
          <w:noProof/>
        </w:rPr>
        <w:t>Regulamentul delegat (UE) 2021/2089 al Comisiei din 21 septembrie 2021 de modificare a Regulamentului delegat (UE) 2019/2122 în ceea ce privește anumite categorii de produse care prezintă un risc mic, produse care fac parte din bagajele personale ale pasagerilor și animale de companie exceptate de la efectuarea controalelor oficiale la posturile de inspecție la frontieră, precum și de modificare a Regulamentului delegat respectiv și a Regulamentului delegat (UE) 2019/2074 în ceea ce privește trimiterile la anumite acte legislative abrogate</w:t>
      </w:r>
      <w:r w:rsidRPr="005C45A8">
        <w:rPr>
          <w:rStyle w:val="FootnoteReference"/>
          <w:noProof/>
        </w:rPr>
        <w:footnoteReference w:id="6"/>
      </w:r>
      <w:r w:rsidRPr="005C45A8">
        <w:rPr>
          <w:noProof/>
        </w:rPr>
        <w:t>, care a intrat în vigoare la 20 decembrie 2021 și la aceeași dată a fost pus în aplicare;</w:t>
      </w:r>
    </w:p>
    <w:p w14:paraId="1E12A0FD" w14:textId="485941A4" w:rsidR="00DA4B2F" w:rsidRPr="005C45A8" w:rsidRDefault="00DA4B2F" w:rsidP="00A00E75">
      <w:pPr>
        <w:pStyle w:val="Bullet0"/>
        <w:rPr>
          <w:noProof/>
        </w:rPr>
      </w:pPr>
      <w:r w:rsidRPr="005C45A8">
        <w:rPr>
          <w:noProof/>
        </w:rPr>
        <w:t>Regulamentul delegat (UE) 2021/2244 al Comisiei din 7 octombrie 2021 de completare a Regulamentului (UE) 2017/625 al Parlamentului European și al Consiliului cu norme specifice privind controalele oficiale în ceea ce privește procedurile de prelevare a probelor pentru reziduurile de pesticide din alimente și hrana pentru animale</w:t>
      </w:r>
      <w:r w:rsidRPr="005C45A8">
        <w:rPr>
          <w:rStyle w:val="FootnoteReference"/>
          <w:noProof/>
        </w:rPr>
        <w:footnoteReference w:id="7"/>
      </w:r>
      <w:r w:rsidRPr="005C45A8">
        <w:rPr>
          <w:noProof/>
        </w:rPr>
        <w:t>, care a intrat în vigoare la 6 ianuarie 2022 și a fost pus în aplicare la 15 decembrie 2022;</w:t>
      </w:r>
    </w:p>
    <w:p w14:paraId="6150E76E" w14:textId="1B5760C7" w:rsidR="00817AA7" w:rsidRPr="005C45A8" w:rsidRDefault="00B42A0F" w:rsidP="00A00E75">
      <w:pPr>
        <w:pStyle w:val="Bullet0"/>
        <w:rPr>
          <w:noProof/>
        </w:rPr>
      </w:pPr>
      <w:r w:rsidRPr="005C45A8">
        <w:rPr>
          <w:noProof/>
        </w:rPr>
        <w:t>Regulamentul delegat (UE) 2021/2305 al Comisiei din 21 octombrie 2021 de completare a Regulamentului (UE) 2017/625 al Parlamentului European și al Consiliului cu norme privind cazurile și condițiile în care produsele ecologice și produsele în conversie sunt scutite de controalele oficiale la posturile de control la frontieră, locul de efectuare a controalelor oficiale pentru astfel de produse și de modificare a Regulamentelor delegate (UE) 2019/2123 și (UE) 2019/2124 ale Comisiei</w:t>
      </w:r>
      <w:r w:rsidRPr="005C45A8">
        <w:rPr>
          <w:rStyle w:val="FootnoteReference"/>
          <w:noProof/>
        </w:rPr>
        <w:footnoteReference w:id="8"/>
      </w:r>
      <w:r w:rsidRPr="005C45A8">
        <w:rPr>
          <w:noProof/>
        </w:rPr>
        <w:t>, care a intrat în vigoare la 30</w:t>
      </w:r>
      <w:r w:rsidR="005C45A8" w:rsidRPr="005C45A8">
        <w:rPr>
          <w:noProof/>
        </w:rPr>
        <w:t> </w:t>
      </w:r>
      <w:r w:rsidRPr="005C45A8">
        <w:rPr>
          <w:noProof/>
        </w:rPr>
        <w:t>decembrie</w:t>
      </w:r>
      <w:r w:rsidR="005C45A8" w:rsidRPr="005C45A8">
        <w:rPr>
          <w:noProof/>
        </w:rPr>
        <w:t> </w:t>
      </w:r>
      <w:r w:rsidRPr="005C45A8">
        <w:rPr>
          <w:noProof/>
        </w:rPr>
        <w:t>2021 și a fost pus în aplicare la 1 ianuarie 2022;</w:t>
      </w:r>
    </w:p>
    <w:p w14:paraId="056C1405" w14:textId="11667D17" w:rsidR="00150F7B" w:rsidRPr="005C45A8" w:rsidRDefault="00150F7B" w:rsidP="00A00E75">
      <w:pPr>
        <w:pStyle w:val="Bullet0"/>
        <w:rPr>
          <w:noProof/>
        </w:rPr>
      </w:pPr>
      <w:r w:rsidRPr="005C45A8">
        <w:rPr>
          <w:noProof/>
        </w:rPr>
        <w:t>Regulamentul delegat (UE) 2022/671 al Comisiei din 4 februarie 2022 de completare a Regulamentului (UE) 2017/625 al Parlamentului European și al Consiliului în ceea ce privește normele specifice privind controalele oficiale efectuate de autoritățile competente asupra animalelor, a produselor de origine animală și a materialelor germinative, măsurile de monitorizare care trebuie luate de autoritatea competentă în caz de neconformitate cu normele de identificare și înregistrare a bovinelor, ovinelor și caprinelor sau în caz de neconformitate în timpul tranzitului pe teritoriul Uniunii al anumitor bovine și de abrogare a Regulamentului (CE) nr. 494/98 al Comisiei</w:t>
      </w:r>
      <w:r w:rsidRPr="005C45A8">
        <w:rPr>
          <w:rStyle w:val="FootnoteReference"/>
          <w:noProof/>
        </w:rPr>
        <w:footnoteReference w:id="9"/>
      </w:r>
      <w:r w:rsidRPr="005C45A8">
        <w:rPr>
          <w:noProof/>
        </w:rPr>
        <w:t>, care a intrat în vigoare la 15 mai 2022 și la aceeași dată a fost pus în aplicare;</w:t>
      </w:r>
    </w:p>
    <w:p w14:paraId="0D57FDD3" w14:textId="69333024" w:rsidR="00A9029F" w:rsidRPr="005C45A8" w:rsidRDefault="00A9029F" w:rsidP="00A00E75">
      <w:pPr>
        <w:pStyle w:val="Bullet0"/>
        <w:rPr>
          <w:noProof/>
        </w:rPr>
      </w:pPr>
      <w:r w:rsidRPr="005C45A8">
        <w:rPr>
          <w:noProof/>
        </w:rPr>
        <w:t>Regulamentul delegat (UE) 2022/931 al Comisiei din 23 martie 2022 de completare a Regulamentului (UE) 2017/625 al Parlamentului European și al Consiliului prin stabilirea unor norme privind efectuarea controalelor oficiale în ceea ce privește contaminanții din produsele alimentare</w:t>
      </w:r>
      <w:r w:rsidRPr="005C45A8">
        <w:rPr>
          <w:rStyle w:val="FootnoteReference"/>
          <w:noProof/>
        </w:rPr>
        <w:footnoteReference w:id="10"/>
      </w:r>
      <w:r w:rsidRPr="005C45A8">
        <w:rPr>
          <w:noProof/>
        </w:rPr>
        <w:t>, care a intrat în vigoare la 7 iulie 2022 și a fost pus în aplicare la 1</w:t>
      </w:r>
      <w:r w:rsidR="005C45A8" w:rsidRPr="005C45A8">
        <w:rPr>
          <w:noProof/>
        </w:rPr>
        <w:t> </w:t>
      </w:r>
      <w:r w:rsidRPr="005C45A8">
        <w:rPr>
          <w:noProof/>
        </w:rPr>
        <w:t>ianuarie 2023;</w:t>
      </w:r>
    </w:p>
    <w:p w14:paraId="48C1EBFE" w14:textId="5A23B95A" w:rsidR="005328DE" w:rsidRPr="005C45A8" w:rsidRDefault="005328DE" w:rsidP="00A00E75">
      <w:pPr>
        <w:pStyle w:val="Bullet0"/>
        <w:rPr>
          <w:noProof/>
        </w:rPr>
      </w:pPr>
      <w:r w:rsidRPr="005C45A8">
        <w:rPr>
          <w:noProof/>
        </w:rPr>
        <w:t>Regulamentul delegat (UE) 2022/887 al Comisiei din 28 martie 2022 de modificare a Regulamentului delegat (UE) 2019/625 în ceea ce privește codurile din Nomenclatura combinată și din Sistemul armonizat, precum și condițiile de import ale anumitor produse compuse, de modificare a Regulamentului delegat (UE) 2019/2122 în ceea ce privește anumite mărfuri și păsări de companie exceptate de la efectuarea controalelor oficiale la posturile de control la frontieră și de modificare a Regulamentului delegat (UE) 2021/630 în ceea ce privește cerințele pentru produsele compuse exceptate de la efectuarea controalelor oficiale la posturile de control la frontieră</w:t>
      </w:r>
      <w:r w:rsidRPr="005C45A8">
        <w:rPr>
          <w:rStyle w:val="FootnoteReference"/>
          <w:noProof/>
        </w:rPr>
        <w:footnoteReference w:id="11"/>
      </w:r>
      <w:r w:rsidRPr="005C45A8">
        <w:rPr>
          <w:noProof/>
        </w:rPr>
        <w:t>, care a intrat în vigoare la 27</w:t>
      </w:r>
      <w:r w:rsidR="005C45A8" w:rsidRPr="005C45A8">
        <w:rPr>
          <w:noProof/>
        </w:rPr>
        <w:t> </w:t>
      </w:r>
      <w:r w:rsidRPr="005C45A8">
        <w:rPr>
          <w:noProof/>
        </w:rPr>
        <w:t xml:space="preserve">iunie 2022 și la aceeași dată a fost pus în aplicare; </w:t>
      </w:r>
    </w:p>
    <w:p w14:paraId="344ADD23" w14:textId="730E1178" w:rsidR="005328DE" w:rsidRPr="005C45A8" w:rsidRDefault="001A1A52" w:rsidP="00A00E75">
      <w:pPr>
        <w:pStyle w:val="Bullet0"/>
        <w:rPr>
          <w:noProof/>
        </w:rPr>
      </w:pPr>
      <w:r w:rsidRPr="005C45A8">
        <w:rPr>
          <w:noProof/>
        </w:rPr>
        <w:t>Regulamentul delegat (UE) 2022/1615 al Comisiei din 22 aprilie 2022 de rectificare a versiunii în limba suedeză a Regulamentului delegat (UE) 2021/630 de completare a Regulamentului (UE) 2017/625 al Parlamentului European și al Consiliului în ceea ce privește anumite categorii de bunuri exceptate de la efectuarea controalelor oficiale la posturile de control la frontieră</w:t>
      </w:r>
      <w:r w:rsidRPr="005C45A8">
        <w:rPr>
          <w:rStyle w:val="FootnoteReference"/>
          <w:noProof/>
        </w:rPr>
        <w:footnoteReference w:id="12"/>
      </w:r>
      <w:r w:rsidRPr="005C45A8">
        <w:rPr>
          <w:noProof/>
        </w:rPr>
        <w:t>, care a intrat în vigoare la 10 octombrie 2022 și la aceeași dată a fost pus în aplicare;</w:t>
      </w:r>
    </w:p>
    <w:p w14:paraId="5E397C97" w14:textId="5D10ED42" w:rsidR="002C576B" w:rsidRPr="005C45A8" w:rsidRDefault="002C576B" w:rsidP="00A00E75">
      <w:pPr>
        <w:pStyle w:val="Bullet0"/>
        <w:rPr>
          <w:noProof/>
        </w:rPr>
      </w:pPr>
      <w:r w:rsidRPr="005C45A8">
        <w:rPr>
          <w:noProof/>
        </w:rPr>
        <w:t>Regulamentul delegat (UE) 2022/1644 al Comisiei din 7 iulie 2022 de completare a Regulamentului (UE) 2017/625 al Parlamentului European și al Consiliului cu cerințe specifice pentru efectuarea controalelor oficiale vizând utilizarea substanțelor farmacologic active autorizate ca medicamente de uz veterinar sau ca aditivi furajeri și a substanțelor farmacologic active interzise sau neautorizate și a reziduurilor acestora</w:t>
      </w:r>
      <w:r w:rsidRPr="005C45A8">
        <w:rPr>
          <w:rStyle w:val="FootnoteReference"/>
          <w:noProof/>
        </w:rPr>
        <w:footnoteReference w:id="13"/>
      </w:r>
      <w:r w:rsidRPr="005C45A8">
        <w:rPr>
          <w:noProof/>
        </w:rPr>
        <w:t>, care a intrat în vigoare la 16 octombrie 2022 și a fost pus în aplicare la 15 decembrie 2022;</w:t>
      </w:r>
    </w:p>
    <w:p w14:paraId="04AF81E0" w14:textId="341BCE15" w:rsidR="00E80539" w:rsidRPr="005C45A8" w:rsidRDefault="00E80539" w:rsidP="00A00E75">
      <w:pPr>
        <w:pStyle w:val="Bullet0"/>
        <w:rPr>
          <w:noProof/>
        </w:rPr>
      </w:pPr>
      <w:r w:rsidRPr="005C45A8">
        <w:rPr>
          <w:noProof/>
        </w:rPr>
        <w:t>Regulamentul delegat (UE) 2022/1667 al Comisiei din 19 iulie 2022 de rectificare a anumitor versiuni lingvistice ale Regulamentului delegat (UE) 2019/2090 de completare a Regulamentului (UE) 2017/625 al Parlamentului European și al Consiliului în ceea ce privește cazurile de neconformitate suspectată sau confirmată cu normele Uniunii aplicabile utilizării sau reziduurilor substanțelor farmacologic active autorizate în medicamentele de uz veterinar sau ca aditivi pentru hrana animalelor sau cu normele Uniunii aplicabile utilizării sau reziduurilor substanțelor farmacologic active interzise sau neautorizate</w:t>
      </w:r>
      <w:r w:rsidRPr="005C45A8">
        <w:rPr>
          <w:rStyle w:val="FootnoteReference"/>
          <w:noProof/>
        </w:rPr>
        <w:footnoteReference w:id="14"/>
      </w:r>
      <w:r w:rsidRPr="005C45A8">
        <w:rPr>
          <w:noProof/>
        </w:rPr>
        <w:t>, care a intrat în vigoare la 19 decembrie 2022 și la aceeași dată a fost pus în aplicare;</w:t>
      </w:r>
    </w:p>
    <w:p w14:paraId="3F689D7C" w14:textId="41AB91BC" w:rsidR="007C07B6" w:rsidRPr="005C45A8" w:rsidRDefault="007C07B6">
      <w:pPr>
        <w:pStyle w:val="Bullet0"/>
        <w:rPr>
          <w:noProof/>
        </w:rPr>
      </w:pPr>
      <w:r w:rsidRPr="005C45A8">
        <w:rPr>
          <w:noProof/>
        </w:rPr>
        <w:t>Regulamentul delegat (UE) 2022/2292 al Comisiei din 6 septembrie 2022 de completare a Regulamentului (UE) 2017/625 al Parlamentului European și al Consiliului în ceea ce privește cerințele pentru intrarea în Uniune a transporturilor de animale de la care se obțin produse alimentare și de anumite mărfuri destinate consumului uman</w:t>
      </w:r>
      <w:r w:rsidRPr="005C45A8">
        <w:rPr>
          <w:rStyle w:val="FootnoteReference"/>
          <w:noProof/>
        </w:rPr>
        <w:footnoteReference w:id="15"/>
      </w:r>
      <w:r w:rsidRPr="005C45A8">
        <w:rPr>
          <w:noProof/>
        </w:rPr>
        <w:t xml:space="preserve">, care a intrat în vigoare la 14 decembrie 2022 și a fost pus în aplicare la 15 decembrie 2022; </w:t>
      </w:r>
    </w:p>
    <w:p w14:paraId="19ABEC03" w14:textId="7D520A28" w:rsidR="007C07B6" w:rsidRPr="005C45A8" w:rsidRDefault="007C07B6">
      <w:pPr>
        <w:pStyle w:val="Bullet0"/>
        <w:rPr>
          <w:noProof/>
        </w:rPr>
      </w:pPr>
      <w:r w:rsidRPr="005C45A8">
        <w:rPr>
          <w:noProof/>
        </w:rPr>
        <w:t>Regulamentul delegat (UE) 2022/2258 al Comisiei din 9 septembrie 2022 de modificare și rectificare a anexei III la Regulamentul (CE) nr. 853/2004 al Parlamentului European și al Consiliului privind cerințele specifice de igienă care se aplică alimentelor de origine animală în ceea ce privește produsele pescărești, ouăle și anumite produse înalt rafinate și de modificare a Regulamentului delegat (UE) 2019/624 al Comisiei în ceea ce privește anumite moluște bivalve</w:t>
      </w:r>
      <w:r w:rsidRPr="005C45A8">
        <w:rPr>
          <w:rStyle w:val="FootnoteReference"/>
          <w:noProof/>
        </w:rPr>
        <w:footnoteReference w:id="16"/>
      </w:r>
      <w:r w:rsidRPr="005C45A8">
        <w:rPr>
          <w:noProof/>
        </w:rPr>
        <w:t>, care a intrat în vigoare la 8 decembrie 2022 și la aceeași dată a fost pus în aplicare;</w:t>
      </w:r>
    </w:p>
    <w:p w14:paraId="26EDCF8D" w14:textId="44C7F6FB" w:rsidR="0034452E" w:rsidRPr="005C45A8" w:rsidRDefault="0034452E">
      <w:pPr>
        <w:pStyle w:val="Bullet0"/>
        <w:rPr>
          <w:noProof/>
        </w:rPr>
      </w:pPr>
      <w:r w:rsidRPr="005C45A8">
        <w:rPr>
          <w:noProof/>
        </w:rPr>
        <w:t>Regulamentul delegat (UE) 2023/182 al Comisiei din 23 noiembrie 2022 de rectificare a anumitor versiuni lingvistice ale anexei III la Regulamentul delegat (UE) 2019/2122 de completare a Regulamentului (UE) 2017/625 al Parlamentului European și al Consiliului în ceea ce privește anumite categorii de animale și de mărfuri exceptate de la efectuarea controalelor oficiale la posturile de inspecție la frontieră, controalele specifice privind bagajele personale ale pasagerilor și transporturile mici de bunuri expediate către persoane fizice, care nu sunt destinate introducerii pe piață</w:t>
      </w:r>
      <w:r w:rsidRPr="005C45A8">
        <w:rPr>
          <w:rStyle w:val="FootnoteReference"/>
          <w:noProof/>
        </w:rPr>
        <w:footnoteReference w:id="17"/>
      </w:r>
      <w:r w:rsidRPr="005C45A8">
        <w:rPr>
          <w:noProof/>
        </w:rPr>
        <w:t>, care a intrat în vigoare la 19 februarie 2023 și la aceeași dată a fost pus în aplicare;</w:t>
      </w:r>
    </w:p>
    <w:p w14:paraId="536DA5F6" w14:textId="6ADF50DB" w:rsidR="0034452E" w:rsidRPr="005C45A8" w:rsidRDefault="0034452E">
      <w:pPr>
        <w:pStyle w:val="Bullet0"/>
        <w:rPr>
          <w:noProof/>
        </w:rPr>
      </w:pPr>
      <w:r w:rsidRPr="005C45A8">
        <w:rPr>
          <w:noProof/>
        </w:rPr>
        <w:t>Regulamentul delegat (UE) 2023/842 al Comisiei din 17 februarie 2023 de completare a Regulamentului (UE) 2017/625 al Parlamentului European și al Consiliului în ceea ce privește normele pentru efectuarea controalelor oficiale în vederea verificării respectării cerințelor privind bunăstarea animalelor pentru transportul cu nave destinate transportului de animale vii</w:t>
      </w:r>
      <w:r w:rsidRPr="005C45A8">
        <w:rPr>
          <w:rStyle w:val="FootnoteReference"/>
          <w:noProof/>
        </w:rPr>
        <w:footnoteReference w:id="18"/>
      </w:r>
      <w:r w:rsidRPr="005C45A8">
        <w:rPr>
          <w:noProof/>
        </w:rPr>
        <w:t>, care a intrat în vigoare la 14 mai 2023 și la aceeași dată a fost pus în aplicare;</w:t>
      </w:r>
    </w:p>
    <w:p w14:paraId="495626EB" w14:textId="480A2326" w:rsidR="00295DC4" w:rsidRPr="005C45A8" w:rsidRDefault="00295DC4">
      <w:pPr>
        <w:pStyle w:val="Bullet0"/>
        <w:rPr>
          <w:noProof/>
        </w:rPr>
      </w:pPr>
      <w:r w:rsidRPr="005C45A8">
        <w:rPr>
          <w:noProof/>
        </w:rPr>
        <w:t>Regulamentul delegat (UE) 2023/1149 al Comisiei din 5 aprilie 2023 de rectificare a versiunii în limba polonă a Regulamentului delegat (UE) 2022/2292 de completare a Regulamentului (UE) 2017/625 al Parlamentului European și al Consiliului în ceea ce privește cerințele pentru intrarea în Uniune a transporturilor de animale de la care se obțin produse alimentare și de anumite mărfuri destinate consumului uman</w:t>
      </w:r>
      <w:r w:rsidRPr="005C45A8">
        <w:rPr>
          <w:rStyle w:val="FootnoteReference"/>
          <w:noProof/>
        </w:rPr>
        <w:footnoteReference w:id="19"/>
      </w:r>
      <w:r w:rsidRPr="005C45A8">
        <w:rPr>
          <w:noProof/>
        </w:rPr>
        <w:t>, care a intrat în vigoare la 3 iulie 2023 și la aceeași dată a fost pus în aplicare;</w:t>
      </w:r>
    </w:p>
    <w:p w14:paraId="49DFBD29" w14:textId="175E6B6B" w:rsidR="00295DC4" w:rsidRPr="005C45A8" w:rsidRDefault="00295DC4">
      <w:pPr>
        <w:pStyle w:val="Bullet0"/>
        <w:rPr>
          <w:noProof/>
        </w:rPr>
      </w:pPr>
      <w:r w:rsidRPr="005C45A8">
        <w:rPr>
          <w:noProof/>
        </w:rPr>
        <w:t>Regulamentul delegat (UE) 2023/1674 al Comisiei din 19 iunie 2023 de modificare a Regulamentului delegat (UE) 2021/630 în ceea ce privește includerea anumitor produse tartinabile care conțin cacao și preparate care conțin cacao utilizate pentru prepararea băuturilor, a anumitor alimente preparate obținute din cereale sau produse pe bază de cereale, a anumitor alimente preparate obținute din orez și din alte cereale, a anumitor chipsuri și a anumitor sosuri și condimente în lista produselor compuse exceptate de la controalele oficiale la posturile de control la frontieră și de modificare a anexelor I și III la Regulamentul delegat (UE) 2019/2122</w:t>
      </w:r>
      <w:r w:rsidRPr="005C45A8">
        <w:rPr>
          <w:rStyle w:val="FootnoteReference"/>
          <w:noProof/>
        </w:rPr>
        <w:footnoteReference w:id="20"/>
      </w:r>
      <w:r w:rsidRPr="005C45A8">
        <w:rPr>
          <w:noProof/>
        </w:rPr>
        <w:t>, care a intrat în vigoare la 21 septembrie 2023 și la aceeași dată a fost pus în aplicare;</w:t>
      </w:r>
    </w:p>
    <w:p w14:paraId="4765889C" w14:textId="4BA67CAB" w:rsidR="00295DC4" w:rsidRPr="005C45A8" w:rsidRDefault="00295DC4">
      <w:pPr>
        <w:pStyle w:val="Bullet0"/>
        <w:rPr>
          <w:noProof/>
        </w:rPr>
      </w:pPr>
      <w:r w:rsidRPr="005C45A8">
        <w:rPr>
          <w:noProof/>
        </w:rPr>
        <w:t>Regulamentul delegat (UE) 2023/2652 al Comisiei din 15 septembrie 2023 de modificare și rectificare a Regulamentului delegat (UE) 2022/2292 în ceea ce privește cerințele pentru intrarea în Uniune a mierii, a cărnii, a produselor înalt rafinate, a capsulelor de gelatină, a produselor pescărești și cerințele referitoare la atestatele private și de modificare a Regulamentului delegat (UE) 2021/630 în ceea ce privește cerințele referitoare la atestatele private pentru produsele compuse exceptate de la efectuarea controalelor oficiale la posturile de control la frontieră</w:t>
      </w:r>
      <w:r w:rsidRPr="005C45A8">
        <w:rPr>
          <w:rStyle w:val="FootnoteReference"/>
          <w:noProof/>
        </w:rPr>
        <w:footnoteReference w:id="21"/>
      </w:r>
      <w:r w:rsidRPr="005C45A8">
        <w:rPr>
          <w:noProof/>
        </w:rPr>
        <w:t>, care a intrat în vigoare la 18 decembrie 2023 și la aceeași dată a fost pus în aplicare;</w:t>
      </w:r>
    </w:p>
    <w:p w14:paraId="466AB572" w14:textId="525A7098" w:rsidR="00295DC4" w:rsidRPr="005C45A8" w:rsidRDefault="00295DC4">
      <w:pPr>
        <w:pStyle w:val="Bullet0"/>
        <w:rPr>
          <w:noProof/>
        </w:rPr>
      </w:pPr>
      <w:r w:rsidRPr="005C45A8">
        <w:rPr>
          <w:noProof/>
        </w:rPr>
        <w:t>Regulamentul delegat (UE) 2024/950 al Comisiei din 15 ianuarie 2024 de modificare a Regulamentului delegat (UE) 2019/1602 în ceea ce privește data de aplicare și cazurile în care autoritățile vamale au obligația de a deduce cantitățile menționate în declarația vamală din cantitatea totală permisă declarată în documentul sanitar comun de intrare (DSCI)</w:t>
      </w:r>
      <w:r w:rsidRPr="005C45A8">
        <w:rPr>
          <w:rStyle w:val="FootnoteReference"/>
          <w:noProof/>
        </w:rPr>
        <w:footnoteReference w:id="22"/>
      </w:r>
      <w:r w:rsidRPr="005C45A8">
        <w:rPr>
          <w:noProof/>
        </w:rPr>
        <w:t>, care a intrat în vigoare la 15 aprilie 2024 și la aceeași dată a fost pus în aplicare;</w:t>
      </w:r>
    </w:p>
    <w:p w14:paraId="1C9C0646" w14:textId="5575F619" w:rsidR="00E0684D" w:rsidRPr="005C45A8" w:rsidRDefault="00E0684D">
      <w:pPr>
        <w:pStyle w:val="Bullet0"/>
        <w:rPr>
          <w:noProof/>
        </w:rPr>
      </w:pPr>
      <w:r w:rsidRPr="005C45A8">
        <w:rPr>
          <w:noProof/>
        </w:rPr>
        <w:t>Regulamentul delegat (UE) 2024/1004 al Comisiei din 22 ianuarie 2024 de completare a Regulamentului (UE) 2017/625 al Parlamentului European și al Consiliului prin înființarea unui laborator de referință al Uniunii Europene pentru amelioratori alimentari</w:t>
      </w:r>
      <w:r w:rsidRPr="005C45A8">
        <w:rPr>
          <w:rStyle w:val="FootnoteReference"/>
          <w:noProof/>
        </w:rPr>
        <w:footnoteReference w:id="23"/>
      </w:r>
      <w:r w:rsidRPr="005C45A8">
        <w:rPr>
          <w:noProof/>
        </w:rPr>
        <w:t>, care a intrat în vigoare la 23 aprilie 2024 și la aceeași dată a fost pus în aplicare;</w:t>
      </w:r>
    </w:p>
    <w:p w14:paraId="127489E5" w14:textId="2790E249" w:rsidR="00BB7C34" w:rsidRPr="005C45A8" w:rsidRDefault="00BB7C34">
      <w:pPr>
        <w:pStyle w:val="Bullet0"/>
        <w:rPr>
          <w:noProof/>
        </w:rPr>
      </w:pPr>
      <w:r w:rsidRPr="005C45A8">
        <w:rPr>
          <w:noProof/>
        </w:rPr>
        <w:t>Regulamentul delegat (UE) 2024/2562 al Comisiei din 3 iunie 2024 de modificare a Regulamentului delegat (UE) 2022/1644 în ceea ce privește anumite criterii de selecție a eșantioanelor</w:t>
      </w:r>
      <w:r w:rsidRPr="005C45A8">
        <w:rPr>
          <w:rStyle w:val="FootnoteReference"/>
          <w:noProof/>
        </w:rPr>
        <w:footnoteReference w:id="24"/>
      </w:r>
      <w:r w:rsidRPr="005C45A8">
        <w:rPr>
          <w:noProof/>
        </w:rPr>
        <w:t>, care a intrat în vigoare la 17 octombrie 2024 și a fost pus în aplicare la 1 ianuarie 2025;</w:t>
      </w:r>
    </w:p>
    <w:p w14:paraId="7961BFEE" w14:textId="253F47F6" w:rsidR="0012410E" w:rsidRPr="005C45A8" w:rsidRDefault="0012410E">
      <w:pPr>
        <w:pStyle w:val="Bullet0"/>
        <w:rPr>
          <w:noProof/>
        </w:rPr>
      </w:pPr>
      <w:r w:rsidRPr="005C45A8">
        <w:rPr>
          <w:noProof/>
        </w:rPr>
        <w:t>Regulamentul delegat (UE) 2024/2104 al Comisiei din 27 iunie 2024 de completare a Regulamentului (UE) 2017/625 al Parlamentului European și al Consiliului în ceea ce privește cazurile și condițiile în care autoritățile competente pot solicita operatorilor să notifice sosirea anumitor bunuri care intră în Uniune</w:t>
      </w:r>
      <w:r w:rsidRPr="005C45A8">
        <w:rPr>
          <w:rStyle w:val="FootnoteReference"/>
          <w:noProof/>
        </w:rPr>
        <w:footnoteReference w:id="25"/>
      </w:r>
      <w:r w:rsidRPr="005C45A8">
        <w:rPr>
          <w:noProof/>
        </w:rPr>
        <w:t>, care a intrat în vigoare la 15 octombrie 2024 și a fost pus în aplicare la 3 martie 2025;</w:t>
      </w:r>
    </w:p>
    <w:p w14:paraId="767E6F73" w14:textId="3400AD7E" w:rsidR="0012410E" w:rsidRPr="005C45A8" w:rsidRDefault="0012410E">
      <w:pPr>
        <w:pStyle w:val="Bullet0"/>
        <w:rPr>
          <w:noProof/>
        </w:rPr>
      </w:pPr>
      <w:r w:rsidRPr="005C45A8">
        <w:rPr>
          <w:noProof/>
        </w:rPr>
        <w:t>Regulamentul delegat (UE) 2025/65 al Comisiei din 31 octombrie 2024 de modificare a Regulamentului delegat (UE) 2019/2123 în ceea ce privește condițiile în care se prezintă un document sanitar comun de intrare separat pentru transporturile care părăsesc un post de control la frontieră pentru un punct de control unde trebuie efectuate controale de identitate și controale fizice</w:t>
      </w:r>
      <w:r w:rsidRPr="005C45A8">
        <w:rPr>
          <w:rStyle w:val="FootnoteReference"/>
          <w:noProof/>
        </w:rPr>
        <w:footnoteReference w:id="26"/>
      </w:r>
      <w:r w:rsidRPr="005C45A8">
        <w:rPr>
          <w:noProof/>
        </w:rPr>
        <w:t>, care a intrat în vigoare la 3 februarie 2025 și la aceeași dată a fost pus în aplicare;</w:t>
      </w:r>
    </w:p>
    <w:p w14:paraId="214E8E65" w14:textId="0CC9FFB2" w:rsidR="0012410E" w:rsidRPr="005C45A8" w:rsidRDefault="004C25F3">
      <w:pPr>
        <w:pStyle w:val="Bullet0"/>
        <w:rPr>
          <w:noProof/>
        </w:rPr>
      </w:pPr>
      <w:r w:rsidRPr="005C45A8">
        <w:rPr>
          <w:noProof/>
        </w:rPr>
        <w:t>Regulamentul delegat (UE) 2025/637 al Comisiei din 29 ianuarie 2025 de modificare a Regulamentului delegat (UE) 2022/2292 în ceea ce privește cerințele pentru intrarea în Uniune a anumitor produse lactate, a anumitor aditivi alimentari derivați din animale, a membranelor de colagen, a cărnii tocate, a preparatelor din carne, a cărnii separate mecanic și a produselor compuse care conțin capsule de gelatină</w:t>
      </w:r>
      <w:r w:rsidRPr="005C45A8">
        <w:rPr>
          <w:rStyle w:val="FootnoteReference"/>
          <w:noProof/>
        </w:rPr>
        <w:footnoteReference w:id="27"/>
      </w:r>
      <w:r w:rsidRPr="005C45A8">
        <w:rPr>
          <w:noProof/>
        </w:rPr>
        <w:t>, care a intrat în vigoare la 19 mai 2025 și la aceeași dată a fost pus în aplicare;</w:t>
      </w:r>
    </w:p>
    <w:p w14:paraId="7FBA13C0" w14:textId="10185967" w:rsidR="00A13BAE" w:rsidRPr="005C45A8" w:rsidRDefault="004C25F3" w:rsidP="00C95A57">
      <w:pPr>
        <w:pStyle w:val="Bullet0"/>
        <w:rPr>
          <w:noProof/>
        </w:rPr>
      </w:pPr>
      <w:r w:rsidRPr="005C45A8">
        <w:rPr>
          <w:noProof/>
        </w:rPr>
        <w:t>Regulamentul delegat (UE) 2025/687 al Comisiei din 30 ianuarie 2025 de modificare a Regulamentului delegat (UE) 2019/624 în ceea ce privește inspecțiile ante mortem în abatoare, inspecțiile ante mortem în exploatația de proveniență și inspecțiile post mortem</w:t>
      </w:r>
      <w:r w:rsidRPr="005C45A8">
        <w:rPr>
          <w:rStyle w:val="FootnoteReference"/>
          <w:noProof/>
        </w:rPr>
        <w:footnoteReference w:id="28"/>
      </w:r>
      <w:r w:rsidRPr="005C45A8">
        <w:rPr>
          <w:noProof/>
        </w:rPr>
        <w:t>, care a intrat în vigoare la 27 aprilie 2025 și la aceeași dată a fost pus în aplicare;</w:t>
      </w:r>
    </w:p>
    <w:p w14:paraId="52D57499" w14:textId="42509DA6" w:rsidR="00C95A57" w:rsidRPr="005C45A8" w:rsidRDefault="00C95A57" w:rsidP="00C95A57">
      <w:pPr>
        <w:pStyle w:val="Bullet0"/>
        <w:rPr>
          <w:noProof/>
        </w:rPr>
      </w:pPr>
      <w:r w:rsidRPr="005C45A8">
        <w:rPr>
          <w:noProof/>
        </w:rPr>
        <w:t>Regulamentul delegat (UE) 2026/273 al Comisiei din 4 februarie 2026 de modificare și rectificare a Regulamentului delegat (UE) 2019/2122 în ceea ce privește anumite categorii de animale și de mărfuri exceptate de la efectuarea controalelor oficiale la posturile de inspecție la frontieră</w:t>
      </w:r>
      <w:r w:rsidRPr="005C45A8">
        <w:rPr>
          <w:rStyle w:val="FootnoteReference"/>
          <w:noProof/>
        </w:rPr>
        <w:footnoteReference w:id="29"/>
      </w:r>
      <w:r w:rsidRPr="005C45A8">
        <w:rPr>
          <w:noProof/>
        </w:rPr>
        <w:t xml:space="preserve">, care a intrat în vigoare la 14 aprilie 2026 și a fost pus în aplicare parțial la aceeași dată și parțial la 22 aprilie 2026. </w:t>
      </w:r>
    </w:p>
    <w:p w14:paraId="3EE00279" w14:textId="5B7EC0BF" w:rsidR="00C45D9B" w:rsidRPr="005C45A8"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5C45A8">
        <w:rPr>
          <w:rFonts w:ascii="Times New Roman" w:hAnsi="Times New Roman"/>
          <w:noProof/>
          <w:color w:val="000000"/>
          <w:sz w:val="24"/>
        </w:rPr>
        <w:t>Comisia a notificat simultan fiecare dintre aceste acte delegate Parlamentului European și Consiliului, în conformitate cu articolul</w:t>
      </w:r>
      <w:r w:rsidRPr="005C45A8">
        <w:rPr>
          <w:rFonts w:ascii="Times New Roman" w:hAnsi="Times New Roman"/>
          <w:noProof/>
        </w:rPr>
        <w:t xml:space="preserve"> </w:t>
      </w:r>
      <w:r w:rsidRPr="005C45A8">
        <w:rPr>
          <w:rFonts w:ascii="Times New Roman" w:hAnsi="Times New Roman"/>
          <w:noProof/>
          <w:color w:val="000000"/>
          <w:sz w:val="24"/>
        </w:rPr>
        <w:t>144 alineatul (5) din Regulamentul (UE) 2017/625. Nici Parlamentul European, nici Consiliul nu au formulat obiecții cu privire la niciunul dintre aceste acte.</w:t>
      </w:r>
    </w:p>
    <w:p w14:paraId="2A942517" w14:textId="48EDC8A3" w:rsidR="00F46D40" w:rsidRPr="005C45A8" w:rsidRDefault="00E3492D" w:rsidP="006026DD">
      <w:pPr>
        <w:autoSpaceDE w:val="0"/>
        <w:autoSpaceDN w:val="0"/>
        <w:adjustRightInd w:val="0"/>
        <w:spacing w:after="240" w:line="240" w:lineRule="auto"/>
        <w:jc w:val="both"/>
        <w:rPr>
          <w:rFonts w:ascii="Times New Roman" w:hAnsi="Times New Roman" w:cs="Times New Roman"/>
          <w:noProof/>
          <w:color w:val="000000"/>
          <w:sz w:val="24"/>
          <w:szCs w:val="24"/>
        </w:rPr>
      </w:pPr>
      <w:r w:rsidRPr="005C45A8">
        <w:rPr>
          <w:rFonts w:ascii="Times New Roman" w:hAnsi="Times New Roman"/>
          <w:noProof/>
          <w:color w:val="000000"/>
          <w:sz w:val="24"/>
        </w:rPr>
        <w:t xml:space="preserve">În cursul perioadei de raportare, Comisia a utilizat 12 dintre cele 38 de delegări de competențe prevăzute în Regulamentul (UE) 2017/625. Dintre aceste 12 delegări de competențe, </w:t>
      </w:r>
      <w:r w:rsidR="005C45A8" w:rsidRPr="005C45A8">
        <w:rPr>
          <w:rFonts w:ascii="Times New Roman" w:hAnsi="Times New Roman"/>
          <w:noProof/>
          <w:color w:val="000000"/>
          <w:sz w:val="24"/>
        </w:rPr>
        <w:t>opt</w:t>
      </w:r>
      <w:r w:rsidRPr="005C45A8">
        <w:rPr>
          <w:rFonts w:ascii="Times New Roman" w:hAnsi="Times New Roman"/>
          <w:noProof/>
          <w:color w:val="000000"/>
          <w:sz w:val="24"/>
        </w:rPr>
        <w:t xml:space="preserve"> au fost utilizate parțial. Unele competențe delegate au fost grupate pentru a adopta un singur act delegat</w:t>
      </w:r>
      <w:r w:rsidRPr="005C45A8">
        <w:rPr>
          <w:rFonts w:ascii="Times New Roman" w:hAnsi="Times New Roman"/>
          <w:noProof/>
          <w:sz w:val="24"/>
        </w:rPr>
        <w:t xml:space="preserve"> în care normele sunt legate în fond, în conformitate cu Acordul interinstituțional privind o mai bună legiferare</w:t>
      </w:r>
      <w:r w:rsidRPr="005C45A8">
        <w:rPr>
          <w:rStyle w:val="FootnoteReference"/>
          <w:rFonts w:ascii="Times New Roman" w:hAnsi="Times New Roman"/>
          <w:noProof/>
          <w:sz w:val="24"/>
          <w:szCs w:val="24"/>
        </w:rPr>
        <w:footnoteReference w:id="30"/>
      </w:r>
      <w:r w:rsidRPr="005C45A8">
        <w:rPr>
          <w:rFonts w:ascii="Times New Roman" w:hAnsi="Times New Roman"/>
          <w:noProof/>
          <w:color w:val="000000"/>
          <w:sz w:val="24"/>
        </w:rPr>
        <w:t>.</w:t>
      </w:r>
    </w:p>
    <w:p w14:paraId="068F988F" w14:textId="77777777" w:rsidR="0064029C" w:rsidRPr="005C45A8" w:rsidRDefault="008A126D" w:rsidP="002F11D0">
      <w:pPr>
        <w:pStyle w:val="ManualHeading2"/>
        <w:ind w:left="993" w:hanging="567"/>
        <w:rPr>
          <w:noProof/>
        </w:rPr>
      </w:pPr>
      <w:r w:rsidRPr="005C45A8">
        <w:rPr>
          <w:noProof/>
        </w:rPr>
        <w:t>3.2.</w:t>
      </w:r>
      <w:r w:rsidRPr="005C45A8">
        <w:rPr>
          <w:noProof/>
        </w:rPr>
        <w:tab/>
        <w:t xml:space="preserve">DELEGĂRI DE COMPETENȚE NEUTILIZATE PE PARCURSUL PERIOADEI DE RAPORTARE </w:t>
      </w:r>
    </w:p>
    <w:p w14:paraId="4DDC6424" w14:textId="574ABBDE" w:rsidR="0064029C" w:rsidRPr="005C45A8"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5C45A8">
        <w:rPr>
          <w:rFonts w:ascii="Times New Roman" w:hAnsi="Times New Roman"/>
          <w:noProof/>
          <w:color w:val="000000"/>
          <w:sz w:val="24"/>
        </w:rPr>
        <w:t xml:space="preserve">Anumite delegări de competențe prevăzute în Regulamentul (UE) 2017/625 nu au fost utilizate în cursul perioadei de raportare, dar rămân necesare, din motivele explicate mai jos. </w:t>
      </w:r>
    </w:p>
    <w:p w14:paraId="72B914C8" w14:textId="63A16EE4" w:rsidR="00FB30ED" w:rsidRPr="005C45A8" w:rsidRDefault="00FB30ED" w:rsidP="000F4C77">
      <w:pPr>
        <w:pStyle w:val="Bullet0"/>
        <w:rPr>
          <w:iCs/>
          <w:noProof/>
        </w:rPr>
      </w:pPr>
      <w:r w:rsidRPr="005C45A8">
        <w:rPr>
          <w:noProof/>
        </w:rPr>
        <w:t>Articolul 10</w:t>
      </w:r>
      <w:r w:rsidRPr="005C45A8">
        <w:rPr>
          <w:noProof/>
          <w:color w:val="000000"/>
        </w:rPr>
        <w:t xml:space="preserve"> </w:t>
      </w:r>
      <w:r w:rsidRPr="005C45A8">
        <w:rPr>
          <w:noProof/>
        </w:rPr>
        <w:t>alineatul (3)</w:t>
      </w:r>
    </w:p>
    <w:p w14:paraId="3FD287FD" w14:textId="5C5814BD" w:rsidR="00FB30ED" w:rsidRPr="005C45A8" w:rsidRDefault="0029412C" w:rsidP="0029412C">
      <w:pPr>
        <w:autoSpaceDE w:val="0"/>
        <w:autoSpaceDN w:val="0"/>
        <w:adjustRightInd w:val="0"/>
        <w:spacing w:after="240" w:line="240" w:lineRule="auto"/>
        <w:jc w:val="both"/>
        <w:rPr>
          <w:rFonts w:ascii="Times New Roman" w:hAnsi="Times New Roman" w:cs="Times New Roman"/>
          <w:iCs/>
          <w:noProof/>
          <w:sz w:val="24"/>
          <w:szCs w:val="24"/>
        </w:rPr>
      </w:pPr>
      <w:r w:rsidRPr="005C45A8">
        <w:rPr>
          <w:rFonts w:ascii="Times New Roman" w:hAnsi="Times New Roman"/>
          <w:noProof/>
          <w:sz w:val="24"/>
        </w:rPr>
        <w:t>Comisia evaluează în permanență necesitatea de a modifica normele care definesc categoriile de operatori care sunt scutiți de includerea pe lista operatorilor întocmită de autoritățile competente, în cazul în care includerea lor pe o astfel de listă ar constitui o sarcină administrativă disproporționată pentru aceștia comparativ cu riscurile legate de activitățile lor.</w:t>
      </w:r>
    </w:p>
    <w:p w14:paraId="2C48E563" w14:textId="148C41CA" w:rsidR="00FB30ED" w:rsidRPr="005C45A8" w:rsidRDefault="00841CF4" w:rsidP="00392F02">
      <w:pPr>
        <w:pStyle w:val="Bullet0"/>
        <w:rPr>
          <w:iCs/>
          <w:noProof/>
        </w:rPr>
      </w:pPr>
      <w:r w:rsidRPr="005C45A8">
        <w:rPr>
          <w:noProof/>
        </w:rPr>
        <w:t>Articolul</w:t>
      </w:r>
      <w:r w:rsidRPr="005C45A8">
        <w:rPr>
          <w:noProof/>
          <w:color w:val="000000"/>
        </w:rPr>
        <w:t xml:space="preserve"> </w:t>
      </w:r>
      <w:r w:rsidRPr="005C45A8">
        <w:rPr>
          <w:noProof/>
        </w:rPr>
        <w:t>18 alineatul (7) literele</w:t>
      </w:r>
      <w:r w:rsidRPr="005C45A8">
        <w:rPr>
          <w:noProof/>
          <w:color w:val="000000"/>
        </w:rPr>
        <w:t xml:space="preserve"> </w:t>
      </w:r>
      <w:r w:rsidRPr="005C45A8">
        <w:rPr>
          <w:noProof/>
        </w:rPr>
        <w:t>(b), (c), (f) și (h)-(k), articolul 19 alineatul (2) litera</w:t>
      </w:r>
      <w:r w:rsidRPr="005C45A8">
        <w:rPr>
          <w:noProof/>
          <w:color w:val="000000"/>
        </w:rPr>
        <w:t xml:space="preserve"> </w:t>
      </w:r>
      <w:r w:rsidRPr="005C45A8">
        <w:rPr>
          <w:noProof/>
        </w:rPr>
        <w:t>(c), articolul 20 alineatul (2) litera</w:t>
      </w:r>
      <w:r w:rsidRPr="005C45A8">
        <w:rPr>
          <w:noProof/>
          <w:color w:val="000000"/>
        </w:rPr>
        <w:t xml:space="preserve"> </w:t>
      </w:r>
      <w:r w:rsidRPr="005C45A8">
        <w:rPr>
          <w:noProof/>
        </w:rPr>
        <w:t>(b), articolul 21 alineatul (8) literele</w:t>
      </w:r>
      <w:r w:rsidRPr="005C45A8">
        <w:rPr>
          <w:noProof/>
          <w:color w:val="000000"/>
        </w:rPr>
        <w:t xml:space="preserve"> </w:t>
      </w:r>
      <w:r w:rsidRPr="005C45A8">
        <w:rPr>
          <w:noProof/>
        </w:rPr>
        <w:t>(b), (d) și (e), articolul</w:t>
      </w:r>
      <w:r w:rsidR="005C45A8" w:rsidRPr="005C45A8">
        <w:rPr>
          <w:noProof/>
        </w:rPr>
        <w:t> </w:t>
      </w:r>
      <w:r w:rsidRPr="005C45A8">
        <w:rPr>
          <w:noProof/>
        </w:rPr>
        <w:t>22 alineatul (2), articolul 23 alineatul (2), articolul 24 alineatul (3), articolul 26 alineatul</w:t>
      </w:r>
      <w:r w:rsidR="005C45A8" w:rsidRPr="005C45A8">
        <w:rPr>
          <w:noProof/>
        </w:rPr>
        <w:t> </w:t>
      </w:r>
      <w:r w:rsidRPr="005C45A8">
        <w:rPr>
          <w:noProof/>
        </w:rPr>
        <w:t>(2) și articolul 27 alineatul (1)</w:t>
      </w:r>
    </w:p>
    <w:p w14:paraId="315F6ADE" w14:textId="386615F7" w:rsidR="00B64612" w:rsidRPr="005C45A8" w:rsidRDefault="00BA2CCA" w:rsidP="001F796A">
      <w:pPr>
        <w:autoSpaceDE w:val="0"/>
        <w:autoSpaceDN w:val="0"/>
        <w:adjustRightInd w:val="0"/>
        <w:spacing w:after="240" w:line="240" w:lineRule="auto"/>
        <w:jc w:val="both"/>
        <w:rPr>
          <w:rFonts w:ascii="Times New Roman" w:hAnsi="Times New Roman" w:cs="Times New Roman"/>
          <w:iCs/>
          <w:noProof/>
          <w:sz w:val="24"/>
          <w:szCs w:val="24"/>
        </w:rPr>
      </w:pPr>
      <w:r w:rsidRPr="005C45A8">
        <w:rPr>
          <w:rFonts w:ascii="Times New Roman" w:hAnsi="Times New Roman"/>
          <w:noProof/>
          <w:sz w:val="24"/>
        </w:rPr>
        <w:t xml:space="preserve">Comisia evaluează în permanență necesitatea de a stabili și/sau de a modifica norme privind cerințele specifice pentru efectuarea controalelor oficiale și pentru măsurile care trebuie luate în urma unor astfel de controale, având în vedere experiența dobândită în punerea în aplicare a normelor privind controalele oficiale prevăzute în Regulamentul (UE) 2017/625 și în actele conexe, pentru a aborda neconformitatea și posibilele practici divergente de la un stat membru la altul în ceea ce privește asigurarea respectării legislației. </w:t>
      </w:r>
    </w:p>
    <w:p w14:paraId="359F49B2" w14:textId="7A60E0DC" w:rsidR="00DD58C4" w:rsidRPr="005C45A8" w:rsidRDefault="099FFBD0" w:rsidP="68C1E06B">
      <w:pPr>
        <w:pStyle w:val="Bullet0"/>
        <w:rPr>
          <w:iCs/>
          <w:noProof/>
        </w:rPr>
      </w:pPr>
      <w:r w:rsidRPr="005C45A8">
        <w:rPr>
          <w:noProof/>
        </w:rPr>
        <w:t>Articolul</w:t>
      </w:r>
      <w:r w:rsidRPr="005C45A8">
        <w:rPr>
          <w:noProof/>
          <w:color w:val="000000"/>
        </w:rPr>
        <w:t xml:space="preserve"> </w:t>
      </w:r>
      <w:r w:rsidRPr="005C45A8">
        <w:rPr>
          <w:noProof/>
        </w:rPr>
        <w:t>41</w:t>
      </w:r>
    </w:p>
    <w:p w14:paraId="7BF22882" w14:textId="34B90A60" w:rsidR="00DD58C4" w:rsidRPr="005C45A8" w:rsidRDefault="56CF8D19" w:rsidP="68C1E06B">
      <w:pPr>
        <w:pStyle w:val="Bullet0"/>
        <w:numPr>
          <w:ilvl w:val="0"/>
          <w:numId w:val="0"/>
        </w:numPr>
        <w:rPr>
          <w:iCs/>
          <w:noProof/>
        </w:rPr>
      </w:pPr>
      <w:r w:rsidRPr="005C45A8">
        <w:rPr>
          <w:noProof/>
        </w:rPr>
        <w:t>Comisia pregătește un act delegat pe baza delegării de competențe prevăzute la articolul</w:t>
      </w:r>
      <w:r w:rsidRPr="005C45A8">
        <w:rPr>
          <w:noProof/>
          <w:color w:val="000000"/>
        </w:rPr>
        <w:t xml:space="preserve"> </w:t>
      </w:r>
      <w:r w:rsidRPr="005C45A8">
        <w:rPr>
          <w:noProof/>
        </w:rPr>
        <w:t>41</w:t>
      </w:r>
      <w:r w:rsidRPr="005C45A8">
        <w:rPr>
          <w:rStyle w:val="FootnoteReference"/>
          <w:iCs/>
          <w:noProof/>
        </w:rPr>
        <w:footnoteReference w:id="31"/>
      </w:r>
      <w:r w:rsidRPr="005C45A8">
        <w:rPr>
          <w:noProof/>
        </w:rPr>
        <w:t xml:space="preserve"> pentru a stabili condițiile de desemnare a laboratoarelor de referință care nu îndeplinesc unele dintre condițiile definite în Regulamentul (UE) 2017/625 în ceea ce privește toate metodele pe care le utilizează pentru controalele oficiale și în ceea ce privește standardele în conformitate cu care funcționează. </w:t>
      </w:r>
    </w:p>
    <w:p w14:paraId="14FF7672" w14:textId="301C653D" w:rsidR="00DD58C4" w:rsidRPr="005C45A8" w:rsidRDefault="00DD58C4">
      <w:pPr>
        <w:pStyle w:val="Bullet0"/>
        <w:rPr>
          <w:iCs/>
          <w:noProof/>
        </w:rPr>
      </w:pPr>
      <w:r w:rsidRPr="005C45A8">
        <w:rPr>
          <w:noProof/>
        </w:rPr>
        <w:t>Articolul</w:t>
      </w:r>
      <w:r w:rsidRPr="005C45A8">
        <w:rPr>
          <w:noProof/>
          <w:color w:val="000000"/>
        </w:rPr>
        <w:t xml:space="preserve"> </w:t>
      </w:r>
      <w:r w:rsidRPr="005C45A8">
        <w:rPr>
          <w:noProof/>
        </w:rPr>
        <w:t>47 alineatul (3)</w:t>
      </w:r>
    </w:p>
    <w:p w14:paraId="276FA9BB" w14:textId="42295305" w:rsidR="00DD58C4" w:rsidRPr="005C45A8" w:rsidRDefault="00A42EF7" w:rsidP="00A42EF7">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Comisia evaluează în permanență necesitatea de a modifica Regulamentul (UE) 2017/625 în ceea ce privește categoriile de transporturi de animale și de mărfuri care fac obiectul controalelor oficiale la posturile de control la frontieră, pentru a include produsele care prezintă un risc nou identificat sau crescut în mod semnificativ.</w:t>
      </w:r>
    </w:p>
    <w:p w14:paraId="292C7974" w14:textId="3BBC367B" w:rsidR="0064029C" w:rsidRPr="005C45A8" w:rsidRDefault="008A126D">
      <w:pPr>
        <w:pStyle w:val="Bullet0"/>
        <w:rPr>
          <w:iCs/>
          <w:noProof/>
        </w:rPr>
      </w:pPr>
      <w:r w:rsidRPr="005C45A8">
        <w:rPr>
          <w:noProof/>
        </w:rPr>
        <w:t>Articolul</w:t>
      </w:r>
      <w:r w:rsidRPr="005C45A8">
        <w:rPr>
          <w:noProof/>
          <w:color w:val="000000"/>
        </w:rPr>
        <w:t xml:space="preserve"> </w:t>
      </w:r>
      <w:r w:rsidRPr="005C45A8">
        <w:rPr>
          <w:noProof/>
        </w:rPr>
        <w:t>48 literele</w:t>
      </w:r>
      <w:r w:rsidRPr="005C45A8">
        <w:rPr>
          <w:noProof/>
          <w:color w:val="000000"/>
        </w:rPr>
        <w:t xml:space="preserve"> </w:t>
      </w:r>
      <w:r w:rsidRPr="005C45A8">
        <w:rPr>
          <w:noProof/>
        </w:rPr>
        <w:t>(a) și (g)</w:t>
      </w:r>
    </w:p>
    <w:p w14:paraId="2A3C2A8A" w14:textId="3D711CEC" w:rsidR="0064029C" w:rsidRPr="005C45A8" w:rsidRDefault="00892ABE">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Aceste delegări de competențe sunt necesare pentru a permite Comisiei să adopte și/sau să modifice norme pentru a stabili cazurile și condițiile în care bunurile trimise ca eșantioane comerciale sau ca articole de prezentare pentru expoziții și bunurile care au fost supuse unui tratament specific sunt exceptate de la efectuarea controalelor oficiale la posturile de control la frontieră.</w:t>
      </w:r>
    </w:p>
    <w:p w14:paraId="461FBF20" w14:textId="39634FBB" w:rsidR="00901981" w:rsidRPr="005C45A8" w:rsidRDefault="00901981">
      <w:pPr>
        <w:pStyle w:val="Bullet0"/>
        <w:rPr>
          <w:noProof/>
        </w:rPr>
      </w:pPr>
      <w:r w:rsidRPr="005C45A8">
        <w:rPr>
          <w:noProof/>
        </w:rPr>
        <w:t>Articolul</w:t>
      </w:r>
      <w:r w:rsidRPr="005C45A8">
        <w:rPr>
          <w:noProof/>
          <w:color w:val="000000"/>
        </w:rPr>
        <w:t xml:space="preserve"> </w:t>
      </w:r>
      <w:r w:rsidRPr="005C45A8">
        <w:rPr>
          <w:noProof/>
        </w:rPr>
        <w:t>49 alineatul (5)</w:t>
      </w:r>
    </w:p>
    <w:p w14:paraId="613BF751" w14:textId="77187818" w:rsidR="00EB1E6A" w:rsidRPr="005C45A8" w:rsidRDefault="007D067F" w:rsidP="007D067F">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Comisia evaluează în permanență necesitatea de a stabili cerințe specifice de formare în ceea ce privește efectuarea controalelor fizice la posturile de control la frontieră.</w:t>
      </w:r>
    </w:p>
    <w:p w14:paraId="6138A9FA" w14:textId="69854495" w:rsidR="0064029C" w:rsidRPr="005C45A8" w:rsidRDefault="008A126D">
      <w:pPr>
        <w:pStyle w:val="Bullet0"/>
        <w:rPr>
          <w:noProof/>
        </w:rPr>
      </w:pPr>
      <w:r w:rsidRPr="005C45A8">
        <w:rPr>
          <w:noProof/>
        </w:rPr>
        <w:t>Articolul</w:t>
      </w:r>
      <w:r w:rsidRPr="005C45A8">
        <w:rPr>
          <w:noProof/>
          <w:color w:val="000000"/>
        </w:rPr>
        <w:t xml:space="preserve"> </w:t>
      </w:r>
      <w:r w:rsidRPr="005C45A8">
        <w:rPr>
          <w:noProof/>
        </w:rPr>
        <w:t>51 alineatul (1) literele</w:t>
      </w:r>
      <w:r w:rsidRPr="005C45A8">
        <w:rPr>
          <w:noProof/>
          <w:color w:val="000000"/>
        </w:rPr>
        <w:t xml:space="preserve"> </w:t>
      </w:r>
      <w:r w:rsidRPr="005C45A8">
        <w:rPr>
          <w:noProof/>
        </w:rPr>
        <w:t>(b)-(e)</w:t>
      </w:r>
    </w:p>
    <w:p w14:paraId="55DDBE5A" w14:textId="5B9E4599" w:rsidR="0064029C" w:rsidRPr="005C45A8" w:rsidRDefault="00664D30">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 xml:space="preserve">Comisia evaluează în permanență necesitatea de a stabili termene și modalități de efectuare a controalelor, precum și norme privind cazurile și condițiile în care pot fi efectuate controalele de identitate și fizice ale transporturilor transbordate și ale animalelor care sosesc pe calea aeriană sau maritimă și care rămân la bordul acelorași mijloace de transport în vederea continuării călătoriei, la un alt post de control la frontieră decât cel de primă sosire, norme privind tranzitul transporturilor de animale și mărfuri și derogări de la normele privind controalele de identitate și controalele fizice în ceea ce privește transbordarea și tranzitul transporturilor. </w:t>
      </w:r>
    </w:p>
    <w:p w14:paraId="7FF4014B" w14:textId="3093DF5C" w:rsidR="00F37E5C" w:rsidRPr="005C45A8" w:rsidRDefault="00F37E5C" w:rsidP="00F37E5C">
      <w:pPr>
        <w:pStyle w:val="Bullet0"/>
        <w:rPr>
          <w:noProof/>
        </w:rPr>
      </w:pPr>
      <w:r w:rsidRPr="005C45A8">
        <w:rPr>
          <w:noProof/>
        </w:rPr>
        <w:t>Articolul</w:t>
      </w:r>
      <w:r w:rsidRPr="005C45A8">
        <w:rPr>
          <w:noProof/>
          <w:color w:val="000000"/>
        </w:rPr>
        <w:t xml:space="preserve"> </w:t>
      </w:r>
      <w:r w:rsidRPr="005C45A8">
        <w:rPr>
          <w:noProof/>
        </w:rPr>
        <w:t>51 alineatul (2)</w:t>
      </w:r>
    </w:p>
    <w:p w14:paraId="0834FF3C" w14:textId="61E0DBB7" w:rsidR="00ED1BCD" w:rsidRPr="005C45A8" w:rsidRDefault="00F37E5C" w:rsidP="003A2C6E">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Comisia evaluează în permanență necesitatea de a preciza cazurile și condițiile în care se aplică derogări de la normele privind controalele documentare în ceea ce privește transporturile transbordate și tranzitul transporturilor pentru care este necesar un certificat fitosanitar în scopul introducerii în UE.</w:t>
      </w:r>
    </w:p>
    <w:p w14:paraId="36DC5711" w14:textId="2C057D82" w:rsidR="0064029C" w:rsidRPr="005C45A8" w:rsidRDefault="008A126D">
      <w:pPr>
        <w:pStyle w:val="Bullet0"/>
        <w:rPr>
          <w:noProof/>
        </w:rPr>
      </w:pPr>
      <w:r w:rsidRPr="005C45A8">
        <w:rPr>
          <w:noProof/>
        </w:rPr>
        <w:t>Articolul</w:t>
      </w:r>
      <w:r w:rsidRPr="005C45A8">
        <w:rPr>
          <w:noProof/>
          <w:color w:val="000000"/>
        </w:rPr>
        <w:t xml:space="preserve"> </w:t>
      </w:r>
      <w:r w:rsidRPr="005C45A8">
        <w:rPr>
          <w:noProof/>
        </w:rPr>
        <w:t>53 alineatul (1) literele</w:t>
      </w:r>
      <w:r w:rsidRPr="005C45A8">
        <w:rPr>
          <w:noProof/>
          <w:color w:val="000000"/>
        </w:rPr>
        <w:t xml:space="preserve"> </w:t>
      </w:r>
      <w:r w:rsidRPr="005C45A8">
        <w:rPr>
          <w:noProof/>
        </w:rPr>
        <w:t>(b) și (c) și litera (d) punctele</w:t>
      </w:r>
      <w:r w:rsidRPr="005C45A8">
        <w:rPr>
          <w:noProof/>
          <w:color w:val="000000"/>
        </w:rPr>
        <w:t xml:space="preserve"> </w:t>
      </w:r>
      <w:r w:rsidRPr="005C45A8">
        <w:rPr>
          <w:noProof/>
        </w:rPr>
        <w:t xml:space="preserve">(i) și (iii) </w:t>
      </w:r>
    </w:p>
    <w:p w14:paraId="5E327ED3" w14:textId="28A42250" w:rsidR="00012A68" w:rsidRPr="005C45A8" w:rsidRDefault="00F75E5D">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Comisia evaluează în permanență necesitatea de a stabili și/sau de a modifica normele privind controalele oficiale care nu sunt efectuate la postul de control la frontiera de primă sosire în UE, în contextul experienței dobândite în punerea în aplicare a Regulamentului (UE) 2017/625. Atunci când evaluează necesitatea unor norme privind sarcinile specifice de control care pot fi îndeplinite de autoritățile vamale sau de alte autorități publice, Comisia ia în considerare responsabilitățile în ceea ce privește controalele oficiale conferite autorităților vamale prin alte acte ale UE</w:t>
      </w:r>
      <w:r w:rsidRPr="005C45A8">
        <w:rPr>
          <w:rStyle w:val="FootnoteReference"/>
          <w:rFonts w:ascii="Times New Roman" w:hAnsi="Times New Roman"/>
          <w:iCs/>
          <w:noProof/>
          <w:sz w:val="24"/>
          <w:szCs w:val="24"/>
        </w:rPr>
        <w:footnoteReference w:id="32"/>
      </w:r>
      <w:r w:rsidRPr="005C45A8">
        <w:rPr>
          <w:rFonts w:ascii="Times New Roman" w:hAnsi="Times New Roman"/>
          <w:noProof/>
          <w:sz w:val="24"/>
        </w:rPr>
        <w:t>.</w:t>
      </w:r>
    </w:p>
    <w:p w14:paraId="3911E497" w14:textId="21CE474F" w:rsidR="00DD58C4" w:rsidRPr="005C45A8" w:rsidRDefault="00DD58C4">
      <w:pPr>
        <w:pStyle w:val="Bullet0"/>
        <w:rPr>
          <w:noProof/>
        </w:rPr>
      </w:pPr>
      <w:r w:rsidRPr="005C45A8">
        <w:rPr>
          <w:noProof/>
        </w:rPr>
        <w:t>Articolul</w:t>
      </w:r>
      <w:r w:rsidRPr="005C45A8">
        <w:rPr>
          <w:noProof/>
          <w:color w:val="000000"/>
        </w:rPr>
        <w:t xml:space="preserve"> </w:t>
      </w:r>
      <w:r w:rsidRPr="005C45A8">
        <w:rPr>
          <w:noProof/>
        </w:rPr>
        <w:t>62 alineatul (3) și articolul 64 alineatele (2) și (5)</w:t>
      </w:r>
    </w:p>
    <w:p w14:paraId="2271855A" w14:textId="135FC8B8" w:rsidR="00C4080C" w:rsidRPr="005C45A8" w:rsidRDefault="009D6AA3" w:rsidP="00214F77">
      <w:pPr>
        <w:pStyle w:val="Bullet0"/>
        <w:numPr>
          <w:ilvl w:val="0"/>
          <w:numId w:val="0"/>
        </w:numPr>
        <w:rPr>
          <w:noProof/>
        </w:rPr>
      </w:pPr>
      <w:r w:rsidRPr="005C45A8">
        <w:rPr>
          <w:noProof/>
        </w:rPr>
        <w:t>Comisia evaluează în permanență necesitatea de a stabili și/sau de a modifica derogările de la normele privind desemnarea posturilor de control la frontieră și cerințele minime pentru posturile de control la frontieră, având în vedere experiența dobândită în punerea în aplicare a Regulamentului delegat (UE) 2019/1012 al Comisiei</w:t>
      </w:r>
      <w:r w:rsidRPr="005C45A8">
        <w:rPr>
          <w:rStyle w:val="FootnoteReference"/>
          <w:iCs/>
          <w:noProof/>
        </w:rPr>
        <w:footnoteReference w:id="33"/>
      </w:r>
      <w:r w:rsidRPr="005C45A8">
        <w:rPr>
          <w:noProof/>
        </w:rPr>
        <w:t xml:space="preserve">. </w:t>
      </w:r>
    </w:p>
    <w:p w14:paraId="4231C2C9" w14:textId="008FEDD6" w:rsidR="00FB30ED" w:rsidRPr="005C45A8" w:rsidRDefault="00FB30ED">
      <w:pPr>
        <w:pStyle w:val="Bullet0"/>
        <w:rPr>
          <w:noProof/>
        </w:rPr>
      </w:pPr>
      <w:r w:rsidRPr="005C45A8">
        <w:rPr>
          <w:noProof/>
        </w:rPr>
        <w:t>Articolul</w:t>
      </w:r>
      <w:r w:rsidRPr="005C45A8">
        <w:rPr>
          <w:noProof/>
          <w:color w:val="000000"/>
        </w:rPr>
        <w:t xml:space="preserve"> </w:t>
      </w:r>
      <w:r w:rsidRPr="005C45A8">
        <w:rPr>
          <w:noProof/>
        </w:rPr>
        <w:t>71 alineatul (3)</w:t>
      </w:r>
    </w:p>
    <w:p w14:paraId="69779A1C" w14:textId="71882169" w:rsidR="00FB30ED" w:rsidRPr="005C45A8" w:rsidRDefault="004930D1" w:rsidP="00FB30ED">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Comisia evaluează în permanență necesitatea de a stabili și/sau de a modifica cerințele și condițiile aplicabile tratamentului special al transporturilor.</w:t>
      </w:r>
    </w:p>
    <w:p w14:paraId="5E4D276C" w14:textId="5D1B4644" w:rsidR="0064029C" w:rsidRPr="005C45A8" w:rsidRDefault="008A126D">
      <w:pPr>
        <w:pStyle w:val="Bullet0"/>
        <w:rPr>
          <w:noProof/>
        </w:rPr>
      </w:pPr>
      <w:r w:rsidRPr="005C45A8">
        <w:rPr>
          <w:noProof/>
        </w:rPr>
        <w:t>Articolul</w:t>
      </w:r>
      <w:r w:rsidRPr="005C45A8">
        <w:rPr>
          <w:noProof/>
          <w:color w:val="000000"/>
        </w:rPr>
        <w:t xml:space="preserve"> </w:t>
      </w:r>
      <w:r w:rsidRPr="005C45A8">
        <w:rPr>
          <w:noProof/>
        </w:rPr>
        <w:t>77 alineatul (1) literele</w:t>
      </w:r>
      <w:r w:rsidRPr="005C45A8">
        <w:rPr>
          <w:noProof/>
          <w:color w:val="000000"/>
        </w:rPr>
        <w:t xml:space="preserve"> </w:t>
      </w:r>
      <w:r w:rsidRPr="005C45A8">
        <w:rPr>
          <w:noProof/>
        </w:rPr>
        <w:t>(a)-(g), (i) și (j) și articolul 77 alineatul (2)</w:t>
      </w:r>
    </w:p>
    <w:p w14:paraId="7946FFDF" w14:textId="3F92A4F3" w:rsidR="00225A7A" w:rsidRPr="005C45A8" w:rsidRDefault="007E36E1">
      <w:pPr>
        <w:autoSpaceDE w:val="0"/>
        <w:autoSpaceDN w:val="0"/>
        <w:adjustRightInd w:val="0"/>
        <w:spacing w:after="240" w:line="240" w:lineRule="auto"/>
        <w:jc w:val="both"/>
        <w:rPr>
          <w:rFonts w:ascii="Times New Roman" w:hAnsi="Times New Roman" w:cs="Times New Roman"/>
          <w:noProof/>
          <w:sz w:val="24"/>
          <w:szCs w:val="24"/>
        </w:rPr>
      </w:pPr>
      <w:r w:rsidRPr="005C45A8">
        <w:rPr>
          <w:rFonts w:ascii="Times New Roman" w:hAnsi="Times New Roman"/>
          <w:noProof/>
          <w:sz w:val="24"/>
        </w:rPr>
        <w:t xml:space="preserve">Comisia evaluează în permanență necesitatea de a stabili și/sau de a modifica normele pentru controalele oficiale specifice și pentru măsurile care trebuie luate în urma efectuării controalelor, precum și în ceea ce privește condițiile de monitorizare a transportului și a sosirii transporturilor de anumite animale și mărfuri, având în vedere experiența dobândită în punerea în aplicare a normelor privind controalele oficiale asupra animalelor și mărfurilor care intră în UE, astfel cum se prevede în Regulamentul (UE) 2017/625 și în actele conexe. </w:t>
      </w:r>
    </w:p>
    <w:p w14:paraId="5D398F9B" w14:textId="3AF08EFD" w:rsidR="0064029C" w:rsidRPr="005C45A8" w:rsidRDefault="008A126D">
      <w:pPr>
        <w:pStyle w:val="Bullet0"/>
        <w:rPr>
          <w:iCs/>
          <w:noProof/>
        </w:rPr>
      </w:pPr>
      <w:r w:rsidRPr="005C45A8">
        <w:rPr>
          <w:noProof/>
        </w:rPr>
        <w:t>Articolul</w:t>
      </w:r>
      <w:r w:rsidRPr="005C45A8">
        <w:rPr>
          <w:noProof/>
          <w:color w:val="000000"/>
        </w:rPr>
        <w:t xml:space="preserve"> </w:t>
      </w:r>
      <w:r w:rsidRPr="005C45A8">
        <w:rPr>
          <w:noProof/>
        </w:rPr>
        <w:t xml:space="preserve">99 alineatul (2) </w:t>
      </w:r>
    </w:p>
    <w:p w14:paraId="044727AC" w14:textId="503BABE2" w:rsidR="0064029C" w:rsidRPr="005C45A8" w:rsidRDefault="00BA2CCA">
      <w:pPr>
        <w:autoSpaceDE w:val="0"/>
        <w:autoSpaceDN w:val="0"/>
        <w:adjustRightInd w:val="0"/>
        <w:spacing w:after="240" w:line="240" w:lineRule="auto"/>
        <w:jc w:val="both"/>
        <w:rPr>
          <w:rFonts w:ascii="Times New Roman" w:hAnsi="Times New Roman" w:cs="Times New Roman"/>
          <w:iCs/>
          <w:noProof/>
          <w:sz w:val="24"/>
          <w:szCs w:val="24"/>
        </w:rPr>
      </w:pPr>
      <w:r w:rsidRPr="005C45A8">
        <w:rPr>
          <w:rFonts w:ascii="Times New Roman" w:hAnsi="Times New Roman"/>
          <w:noProof/>
          <w:sz w:val="24"/>
        </w:rPr>
        <w:t xml:space="preserve">Această delegare de competențe se limitează la situații justificate de riscuri noi sau emergente, boli noi sau emergente ale animalelor sau organisme noi sau emergente dăunătoare plantelor sau în cazul în care noi cerințe legale justifică acest lucru. Nu au intervenit încă astfel de situații sau cerințe, însă în viitor ar putea să intervină. </w:t>
      </w:r>
    </w:p>
    <w:p w14:paraId="38C9965A" w14:textId="7F6CAD92" w:rsidR="0064029C" w:rsidRPr="005C45A8" w:rsidRDefault="008A126D">
      <w:pPr>
        <w:pStyle w:val="Bullet0"/>
        <w:rPr>
          <w:noProof/>
        </w:rPr>
      </w:pPr>
      <w:r w:rsidRPr="005C45A8">
        <w:rPr>
          <w:noProof/>
        </w:rPr>
        <w:t>Articolul</w:t>
      </w:r>
      <w:r w:rsidRPr="005C45A8">
        <w:rPr>
          <w:noProof/>
          <w:color w:val="000000"/>
        </w:rPr>
        <w:t xml:space="preserve"> </w:t>
      </w:r>
      <w:r w:rsidRPr="005C45A8">
        <w:rPr>
          <w:noProof/>
        </w:rPr>
        <w:t>100 alineatul (6) și articolul 101 alineatul (2)</w:t>
      </w:r>
    </w:p>
    <w:p w14:paraId="5A0574D9" w14:textId="0BDBC82F" w:rsidR="00B01EA0" w:rsidRPr="005C45A8" w:rsidRDefault="2EF5F054" w:rsidP="00FC1BFF">
      <w:pPr>
        <w:pStyle w:val="Bullet0"/>
        <w:numPr>
          <w:ilvl w:val="0"/>
          <w:numId w:val="0"/>
        </w:numPr>
        <w:rPr>
          <w:noProof/>
        </w:rPr>
      </w:pPr>
      <w:r w:rsidRPr="005C45A8">
        <w:rPr>
          <w:noProof/>
        </w:rPr>
        <w:t>În prezent, Comisia pregătește un act delegat pe baza delegării de competențe prevăzute la articolul</w:t>
      </w:r>
      <w:r w:rsidRPr="005C45A8">
        <w:rPr>
          <w:noProof/>
          <w:color w:val="000000"/>
        </w:rPr>
        <w:t xml:space="preserve"> </w:t>
      </w:r>
      <w:r w:rsidRPr="005C45A8">
        <w:rPr>
          <w:noProof/>
        </w:rPr>
        <w:t>100 alineatul (6)</w:t>
      </w:r>
      <w:r w:rsidRPr="005C45A8">
        <w:rPr>
          <w:rStyle w:val="FootnoteReference"/>
          <w:noProof/>
        </w:rPr>
        <w:footnoteReference w:id="34"/>
      </w:r>
      <w:r w:rsidRPr="005C45A8">
        <w:rPr>
          <w:noProof/>
        </w:rPr>
        <w:t xml:space="preserve"> privind cerințele pentru desemnarea laboratoarelor naționale de referință. De asemenea, Comisia evaluează în permanență necesitatea de a stabili responsabilități și sarcini pentru laboratoarele naționale de referință pentru a asigura coerența cu orice responsabilități și atribuții suplimentare adoptate în conformitate cu articolul</w:t>
      </w:r>
      <w:r w:rsidRPr="005C45A8">
        <w:rPr>
          <w:noProof/>
          <w:color w:val="000000"/>
        </w:rPr>
        <w:t> </w:t>
      </w:r>
      <w:r w:rsidRPr="005C45A8">
        <w:rPr>
          <w:noProof/>
        </w:rPr>
        <w:t xml:space="preserve">99 alineatul (2). </w:t>
      </w:r>
    </w:p>
    <w:p w14:paraId="29ABC450" w14:textId="196C71BE" w:rsidR="00FB30ED" w:rsidRPr="005C45A8" w:rsidRDefault="00FB30ED">
      <w:pPr>
        <w:pStyle w:val="Bullet0"/>
        <w:rPr>
          <w:iCs/>
          <w:noProof/>
        </w:rPr>
      </w:pPr>
      <w:r w:rsidRPr="005C45A8">
        <w:rPr>
          <w:noProof/>
        </w:rPr>
        <w:t>Articolul</w:t>
      </w:r>
      <w:r w:rsidRPr="005C45A8">
        <w:rPr>
          <w:noProof/>
          <w:color w:val="000000"/>
        </w:rPr>
        <w:t xml:space="preserve"> </w:t>
      </w:r>
      <w:r w:rsidRPr="005C45A8">
        <w:rPr>
          <w:noProof/>
        </w:rPr>
        <w:t>108 alineatul (3)</w:t>
      </w:r>
    </w:p>
    <w:p w14:paraId="6D919971" w14:textId="03E62344" w:rsidR="00FB30ED" w:rsidRPr="005C45A8" w:rsidRDefault="00211232" w:rsidP="00211232">
      <w:pPr>
        <w:pStyle w:val="Bullet0"/>
        <w:numPr>
          <w:ilvl w:val="0"/>
          <w:numId w:val="0"/>
        </w:numPr>
        <w:rPr>
          <w:noProof/>
        </w:rPr>
      </w:pPr>
      <w:r w:rsidRPr="005C45A8">
        <w:rPr>
          <w:noProof/>
        </w:rPr>
        <w:t>Comisia evaluează în permanență necesitatea de a stabili și/sau de a modifica normele privind schimbul rapid de informații atunci când autoritățile competente din statele membre nu sunt în măsură să convină asupra unor măsuri adecvate de remediere a neconformității.</w:t>
      </w:r>
    </w:p>
    <w:p w14:paraId="2CD80758" w14:textId="353837D5" w:rsidR="0064029C" w:rsidRPr="005C45A8" w:rsidRDefault="008A126D">
      <w:pPr>
        <w:pStyle w:val="Bullet0"/>
        <w:rPr>
          <w:iCs/>
          <w:noProof/>
        </w:rPr>
      </w:pPr>
      <w:r w:rsidRPr="005C45A8">
        <w:rPr>
          <w:noProof/>
        </w:rPr>
        <w:t>Articolul</w:t>
      </w:r>
      <w:r w:rsidRPr="005C45A8">
        <w:rPr>
          <w:noProof/>
          <w:color w:val="000000"/>
        </w:rPr>
        <w:t xml:space="preserve"> </w:t>
      </w:r>
      <w:r w:rsidRPr="005C45A8">
        <w:rPr>
          <w:noProof/>
        </w:rPr>
        <w:t xml:space="preserve">142 alineatul (1) </w:t>
      </w:r>
    </w:p>
    <w:p w14:paraId="769E8CDD" w14:textId="2891EE38" w:rsidR="0064029C" w:rsidRPr="005C45A8" w:rsidRDefault="00225A7A">
      <w:pPr>
        <w:autoSpaceDE w:val="0"/>
        <w:autoSpaceDN w:val="0"/>
        <w:adjustRightInd w:val="0"/>
        <w:spacing w:after="240" w:line="240" w:lineRule="auto"/>
        <w:jc w:val="both"/>
        <w:rPr>
          <w:rFonts w:ascii="Times New Roman" w:hAnsi="Times New Roman" w:cs="Times New Roman"/>
          <w:iCs/>
          <w:noProof/>
          <w:sz w:val="24"/>
          <w:szCs w:val="24"/>
        </w:rPr>
      </w:pPr>
      <w:r w:rsidRPr="005C45A8">
        <w:rPr>
          <w:rFonts w:ascii="Times New Roman" w:hAnsi="Times New Roman"/>
          <w:noProof/>
          <w:sz w:val="24"/>
        </w:rPr>
        <w:t>Această delegare de competențe se limitează la modificarea Regulamentului (UE) 2017/625 în ceea ce privește modificarea anexelor</w:t>
      </w:r>
      <w:r w:rsidRPr="005C45A8">
        <w:rPr>
          <w:rFonts w:ascii="Times New Roman" w:hAnsi="Times New Roman"/>
          <w:noProof/>
          <w:color w:val="000000"/>
          <w:sz w:val="24"/>
        </w:rPr>
        <w:t xml:space="preserve"> </w:t>
      </w:r>
      <w:r w:rsidRPr="005C45A8">
        <w:rPr>
          <w:rFonts w:ascii="Times New Roman" w:hAnsi="Times New Roman"/>
          <w:noProof/>
          <w:sz w:val="24"/>
        </w:rPr>
        <w:t>II și III la acesta, pentru a ține seama de modificările normelor menționate la articolul</w:t>
      </w:r>
      <w:r w:rsidRPr="005C45A8">
        <w:rPr>
          <w:rFonts w:ascii="Times New Roman" w:hAnsi="Times New Roman"/>
          <w:noProof/>
          <w:color w:val="000000"/>
          <w:sz w:val="24"/>
        </w:rPr>
        <w:t xml:space="preserve"> </w:t>
      </w:r>
      <w:r w:rsidRPr="005C45A8">
        <w:rPr>
          <w:rFonts w:ascii="Times New Roman" w:hAnsi="Times New Roman"/>
          <w:noProof/>
          <w:sz w:val="24"/>
        </w:rPr>
        <w:t xml:space="preserve">1 alineatul (2), de progresele tehnice sau de evoluțiile științifice. În cursul perioadei de raportare, nu au existat modificări sau progrese care să justifice modificări ale acestor anexe. </w:t>
      </w:r>
    </w:p>
    <w:p w14:paraId="3B8EE895" w14:textId="19682870" w:rsidR="0064029C" w:rsidRPr="005C45A8" w:rsidRDefault="008A126D">
      <w:pPr>
        <w:pStyle w:val="Bullet0"/>
        <w:rPr>
          <w:iCs/>
          <w:noProof/>
        </w:rPr>
      </w:pPr>
      <w:r w:rsidRPr="005C45A8">
        <w:rPr>
          <w:noProof/>
        </w:rPr>
        <w:t>Articolul</w:t>
      </w:r>
      <w:r w:rsidRPr="005C45A8">
        <w:rPr>
          <w:noProof/>
          <w:color w:val="000000"/>
        </w:rPr>
        <w:t xml:space="preserve"> </w:t>
      </w:r>
      <w:r w:rsidRPr="005C45A8">
        <w:rPr>
          <w:noProof/>
        </w:rPr>
        <w:t xml:space="preserve">142 alineatul (2) </w:t>
      </w:r>
    </w:p>
    <w:p w14:paraId="747D5DFD" w14:textId="39FDDA29" w:rsidR="0064029C" w:rsidRPr="005C45A8" w:rsidRDefault="008678B1">
      <w:pPr>
        <w:autoSpaceDE w:val="0"/>
        <w:autoSpaceDN w:val="0"/>
        <w:adjustRightInd w:val="0"/>
        <w:spacing w:after="240" w:line="240" w:lineRule="auto"/>
        <w:jc w:val="both"/>
        <w:rPr>
          <w:rFonts w:ascii="Times New Roman" w:hAnsi="Times New Roman" w:cs="Times New Roman"/>
          <w:iCs/>
          <w:noProof/>
          <w:sz w:val="24"/>
          <w:szCs w:val="24"/>
        </w:rPr>
      </w:pPr>
      <w:r w:rsidRPr="005C45A8">
        <w:rPr>
          <w:rFonts w:ascii="Times New Roman" w:hAnsi="Times New Roman"/>
          <w:noProof/>
          <w:sz w:val="24"/>
        </w:rPr>
        <w:t xml:space="preserve">În cursul perioadei de raportare, Comitetul European de Standardizare („CEN”) nu a efectuat nicio modificare relevantă a standardelor europene la care se referă această delegare de competențe. Cu toate acestea, orice modificări viitoare efectuate de CEN pot necesita adoptarea unui act delegat. </w:t>
      </w:r>
    </w:p>
    <w:p w14:paraId="52CFB147" w14:textId="7C2FCA88" w:rsidR="00DD58C4" w:rsidRPr="005C45A8" w:rsidRDefault="00DD58C4">
      <w:pPr>
        <w:pStyle w:val="Bullet0"/>
        <w:rPr>
          <w:iCs/>
          <w:noProof/>
        </w:rPr>
      </w:pPr>
      <w:r w:rsidRPr="005C45A8">
        <w:rPr>
          <w:noProof/>
        </w:rPr>
        <w:t>Articolul 149</w:t>
      </w:r>
      <w:r w:rsidRPr="005C45A8">
        <w:rPr>
          <w:noProof/>
          <w:color w:val="000000"/>
        </w:rPr>
        <w:t xml:space="preserve"> </w:t>
      </w:r>
      <w:r w:rsidRPr="005C45A8">
        <w:rPr>
          <w:noProof/>
        </w:rPr>
        <w:t>alineatul (2), articolul 150 alineatul (3), articolul 154 alineatul (3), articolul 155 alineatul (3) și articolul 165 alineatul (3)</w:t>
      </w:r>
    </w:p>
    <w:p w14:paraId="474ADA10" w14:textId="733E4955" w:rsidR="001119C4" w:rsidRPr="005C45A8" w:rsidRDefault="0039029E" w:rsidP="001119C4">
      <w:pPr>
        <w:autoSpaceDE w:val="0"/>
        <w:autoSpaceDN w:val="0"/>
        <w:adjustRightInd w:val="0"/>
        <w:spacing w:after="240" w:line="240" w:lineRule="auto"/>
        <w:jc w:val="both"/>
        <w:rPr>
          <w:rFonts w:ascii="Times New Roman" w:hAnsi="Times New Roman" w:cs="Times New Roman"/>
          <w:noProof/>
          <w:color w:val="000000"/>
          <w:sz w:val="24"/>
          <w:szCs w:val="24"/>
        </w:rPr>
      </w:pPr>
      <w:r w:rsidRPr="005C45A8">
        <w:rPr>
          <w:rFonts w:ascii="Times New Roman" w:hAnsi="Times New Roman"/>
          <w:noProof/>
          <w:color w:val="000000"/>
          <w:sz w:val="24"/>
        </w:rPr>
        <w:t>Aceste delegări de competențe permit Comisiei să adopte acte delegate pentru a modifica Regulamentul (UE) 2017/625 în ceea ce privește datele menționate la articolul 149 alineatul</w:t>
      </w:r>
      <w:r w:rsidR="005C45A8" w:rsidRPr="005C45A8">
        <w:rPr>
          <w:rFonts w:ascii="Times New Roman" w:hAnsi="Times New Roman"/>
          <w:noProof/>
          <w:color w:val="000000"/>
          <w:sz w:val="24"/>
        </w:rPr>
        <w:t> </w:t>
      </w:r>
      <w:r w:rsidRPr="005C45A8">
        <w:rPr>
          <w:rFonts w:ascii="Times New Roman" w:hAnsi="Times New Roman"/>
          <w:noProof/>
          <w:color w:val="000000"/>
          <w:sz w:val="24"/>
        </w:rPr>
        <w:t>(1)</w:t>
      </w:r>
      <w:bookmarkStart w:id="5" w:name="_Hlk224744115"/>
      <w:r w:rsidRPr="005C45A8">
        <w:rPr>
          <w:rFonts w:ascii="Times New Roman" w:hAnsi="Times New Roman"/>
          <w:noProof/>
          <w:color w:val="000000"/>
          <w:sz w:val="24"/>
        </w:rPr>
        <w:t>,</w:t>
      </w:r>
      <w:bookmarkEnd w:id="5"/>
      <w:r w:rsidRPr="005C45A8">
        <w:rPr>
          <w:rFonts w:ascii="Times New Roman" w:hAnsi="Times New Roman"/>
          <w:noProof/>
          <w:color w:val="000000"/>
          <w:sz w:val="24"/>
        </w:rPr>
        <w:t xml:space="preserve"> articolul 150 alineatele (1) și (2), articolul 154 alineatul (2), articolul 155 alineatul (2) și articolul 165 alineatul (2). Comisia nu a fost nevoită să utilizeze aceste delegări de competențe în cursul perioadei de raportare.</w:t>
      </w:r>
    </w:p>
    <w:p w14:paraId="057F09B0" w14:textId="77777777" w:rsidR="0064029C" w:rsidRPr="005C45A8" w:rsidRDefault="008A126D">
      <w:pPr>
        <w:pStyle w:val="Bullet0"/>
        <w:numPr>
          <w:ilvl w:val="0"/>
          <w:numId w:val="0"/>
        </w:numPr>
        <w:spacing w:after="240"/>
        <w:rPr>
          <w:b/>
          <w:noProof/>
        </w:rPr>
      </w:pPr>
      <w:r w:rsidRPr="005C45A8">
        <w:rPr>
          <w:b/>
          <w:noProof/>
        </w:rPr>
        <w:t>CONCLUZIE</w:t>
      </w:r>
    </w:p>
    <w:p w14:paraId="75A35E8E" w14:textId="64C8F3BA" w:rsidR="0064029C" w:rsidRPr="005C45A8"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5C45A8">
        <w:rPr>
          <w:rFonts w:ascii="Times New Roman" w:hAnsi="Times New Roman"/>
          <w:noProof/>
          <w:color w:val="000000"/>
          <w:sz w:val="24"/>
        </w:rPr>
        <w:t xml:space="preserve">Comisia consideră necesară prelungirea tacită cu încă cinci ani a competenței de a adopta acte delegate prevăzută în Regulamentul (UE) 2017/625, în conformitate cu articolul 144 alineatul (2). Va fi în continuare necesar să se elaboreze norme pe baza acestor delegări de competențe și este important să se asigure flexibilitatea necesară a cadrului juridic, astfel încât acesta să poată fi completat și adaptat periodic la cele mai recente standarde științifice și să i se permită Comisiei să acționeze în domeniile în care nu a acționat în cursul perioadei de raportare. </w:t>
      </w:r>
    </w:p>
    <w:p w14:paraId="176F6194" w14:textId="522EE3EA" w:rsidR="0064029C" w:rsidRPr="005C45A8"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5C45A8">
        <w:rPr>
          <w:rFonts w:ascii="Times New Roman" w:hAnsi="Times New Roman"/>
          <w:noProof/>
          <w:color w:val="000000"/>
          <w:sz w:val="24"/>
        </w:rPr>
        <w:t>Prin prezentul raport, Comisia își îndeplinește obligația de raportare prevăzută la articolul 144 alineatul (2) din Regulamentul (UE) 2017/625.</w:t>
      </w:r>
    </w:p>
    <w:p w14:paraId="3BD11824" w14:textId="51D3959E" w:rsidR="000D7B38" w:rsidRPr="005C45A8" w:rsidRDefault="008A126D" w:rsidP="00356825">
      <w:pPr>
        <w:autoSpaceDE w:val="0"/>
        <w:autoSpaceDN w:val="0"/>
        <w:adjustRightInd w:val="0"/>
        <w:spacing w:after="240" w:line="240" w:lineRule="auto"/>
        <w:jc w:val="both"/>
        <w:rPr>
          <w:rFonts w:ascii="Times New Roman" w:hAnsi="Times New Roman" w:cs="Times New Roman"/>
          <w:noProof/>
          <w:color w:val="000000"/>
          <w:sz w:val="24"/>
          <w:szCs w:val="24"/>
        </w:rPr>
      </w:pPr>
      <w:r w:rsidRPr="005C45A8">
        <w:rPr>
          <w:rFonts w:ascii="Times New Roman" w:hAnsi="Times New Roman"/>
          <w:noProof/>
          <w:color w:val="000000"/>
          <w:sz w:val="24"/>
        </w:rPr>
        <w:t>Comisia invită Parlamentul European și Consiliul să ia act de prezentul raport.</w:t>
      </w:r>
    </w:p>
    <w:sectPr w:rsidR="000D7B38" w:rsidRPr="005C45A8" w:rsidSect="00D54ED3">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EB221" w14:textId="77777777" w:rsidR="003E5CCE" w:rsidRDefault="003E5CCE">
      <w:pPr>
        <w:spacing w:after="0" w:line="240" w:lineRule="auto"/>
      </w:pPr>
      <w:r>
        <w:separator/>
      </w:r>
    </w:p>
  </w:endnote>
  <w:endnote w:type="continuationSeparator" w:id="0">
    <w:p w14:paraId="7AA6A58A" w14:textId="77777777" w:rsidR="003E5CCE" w:rsidRDefault="003E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6CEBD" w14:textId="26FA3B7C" w:rsidR="00FB0604" w:rsidRPr="00FB0604" w:rsidRDefault="00FB0604" w:rsidP="00FB0604">
    <w:pPr>
      <w:pStyle w:val="FooterCoverPage"/>
      <w:rPr>
        <w:rFonts w:ascii="Arial" w:hAnsi="Arial" w:cs="Arial"/>
        <w:b/>
        <w:sz w:val="48"/>
      </w:rPr>
    </w:pPr>
    <w:r w:rsidRPr="00FB0604">
      <w:rPr>
        <w:rFonts w:ascii="Arial" w:hAnsi="Arial" w:cs="Arial"/>
        <w:b/>
        <w:sz w:val="48"/>
      </w:rPr>
      <w:t>RO</w:t>
    </w:r>
    <w:r w:rsidRPr="00FB0604">
      <w:rPr>
        <w:rFonts w:ascii="Arial" w:hAnsi="Arial" w:cs="Arial"/>
        <w:b/>
        <w:sz w:val="48"/>
      </w:rPr>
      <w:tab/>
    </w:r>
    <w:r w:rsidRPr="00FB0604">
      <w:rPr>
        <w:rFonts w:ascii="Arial" w:hAnsi="Arial" w:cs="Arial"/>
        <w:b/>
        <w:sz w:val="48"/>
      </w:rPr>
      <w:tab/>
    </w:r>
    <w:r w:rsidRPr="00FB0604">
      <w:tab/>
    </w:r>
    <w:r w:rsidRPr="00FB060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401AC" w14:textId="055F987F" w:rsidR="00FB0604" w:rsidRPr="00FB0604" w:rsidRDefault="00FB0604" w:rsidP="00FB0604">
    <w:pPr>
      <w:pStyle w:val="FooterCoverPage"/>
      <w:rPr>
        <w:rFonts w:ascii="Arial" w:hAnsi="Arial" w:cs="Arial"/>
        <w:b/>
        <w:sz w:val="48"/>
      </w:rPr>
    </w:pPr>
    <w:r w:rsidRPr="00FB0604">
      <w:rPr>
        <w:rFonts w:ascii="Arial" w:hAnsi="Arial" w:cs="Arial"/>
        <w:b/>
        <w:sz w:val="48"/>
      </w:rPr>
      <w:t>RO</w:t>
    </w:r>
    <w:r w:rsidRPr="00FB0604">
      <w:rPr>
        <w:rFonts w:ascii="Arial" w:hAnsi="Arial" w:cs="Arial"/>
        <w:b/>
        <w:sz w:val="48"/>
      </w:rPr>
      <w:tab/>
    </w:r>
    <w:r w:rsidRPr="00FB0604">
      <w:rPr>
        <w:rFonts w:ascii="Arial" w:hAnsi="Arial" w:cs="Arial"/>
        <w:b/>
        <w:sz w:val="48"/>
      </w:rPr>
      <w:tab/>
    </w:r>
    <w:r w:rsidRPr="00FB0604">
      <w:tab/>
    </w:r>
    <w:r w:rsidRPr="00FB060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71D02" w14:textId="77777777" w:rsidR="00FB0604" w:rsidRPr="00FB0604" w:rsidRDefault="00FB0604" w:rsidP="00FB06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1B7AF" w14:textId="77777777" w:rsidR="0064029C" w:rsidRDefault="006402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80310"/>
      <w:docPartObj>
        <w:docPartGallery w:val="Page Numbers (Bottom of Page)"/>
        <w:docPartUnique/>
      </w:docPartObj>
    </w:sdtPr>
    <w:sdtEndPr>
      <w:rPr>
        <w:rFonts w:ascii="Times New Roman" w:hAnsi="Times New Roman" w:cs="Times New Roman"/>
        <w:noProof/>
        <w:sz w:val="24"/>
        <w:szCs w:val="24"/>
      </w:rPr>
    </w:sdtEndPr>
    <w:sdtContent>
      <w:p w14:paraId="48EBF624" w14:textId="2B0D1E42" w:rsidR="0064029C" w:rsidRPr="00AF0E15" w:rsidRDefault="008A126D" w:rsidP="00AF0E15">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FB0604">
          <w:rPr>
            <w:rFonts w:ascii="Times New Roman" w:hAnsi="Times New Roman" w:cs="Times New Roman"/>
            <w:noProof/>
            <w:sz w:val="24"/>
          </w:rPr>
          <w:t>1</w:t>
        </w:r>
        <w:r>
          <w:rPr>
            <w:rFonts w:ascii="Times New Roman" w:hAnsi="Times New Roman" w:cs="Times New Roman"/>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EBAEB" w14:textId="77777777" w:rsidR="0064029C" w:rsidRDefault="0064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9A26E" w14:textId="77777777" w:rsidR="003E5CCE" w:rsidRDefault="003E5CCE">
      <w:pPr>
        <w:spacing w:after="0" w:line="240" w:lineRule="auto"/>
      </w:pPr>
      <w:r>
        <w:separator/>
      </w:r>
    </w:p>
  </w:footnote>
  <w:footnote w:type="continuationSeparator" w:id="0">
    <w:p w14:paraId="04498646" w14:textId="77777777" w:rsidR="003E5CCE" w:rsidRDefault="003E5CCE">
      <w:pPr>
        <w:spacing w:after="0" w:line="240" w:lineRule="auto"/>
      </w:pPr>
      <w:r>
        <w:continuationSeparator/>
      </w:r>
    </w:p>
  </w:footnote>
  <w:footnote w:id="1">
    <w:p w14:paraId="3891A8B2" w14:textId="57073E37" w:rsidR="0064029C" w:rsidRPr="0012148C" w:rsidRDefault="008A126D" w:rsidP="00AF0E15">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Regulamentul (UE) </w:t>
      </w:r>
      <w:r w:rsidRPr="005C45A8">
        <w:rPr>
          <w:rFonts w:ascii="Times New Roman" w:hAnsi="Times New Roman"/>
        </w:rPr>
        <w:t>2017</w:t>
      </w:r>
      <w:r>
        <w:rPr>
          <w:rFonts w:ascii="Times New Roman" w:hAnsi="Times New Roman"/>
        </w:rPr>
        <w:t>/</w:t>
      </w:r>
      <w:r w:rsidRPr="005C45A8">
        <w:rPr>
          <w:rFonts w:ascii="Times New Roman" w:hAnsi="Times New Roman"/>
        </w:rPr>
        <w:t>625</w:t>
      </w:r>
      <w:r>
        <w:rPr>
          <w:rFonts w:ascii="Times New Roman" w:hAnsi="Times New Roman"/>
        </w:rPr>
        <w:t xml:space="preserve"> al Parlamentului European și al Consiliului din </w:t>
      </w:r>
      <w:r w:rsidRPr="005C45A8">
        <w:rPr>
          <w:rFonts w:ascii="Times New Roman" w:hAnsi="Times New Roman"/>
        </w:rPr>
        <w:t>15</w:t>
      </w:r>
      <w:r>
        <w:rPr>
          <w:rFonts w:ascii="Times New Roman" w:hAnsi="Times New Roman"/>
        </w:rPr>
        <w:t xml:space="preserve"> martie </w:t>
      </w:r>
      <w:r w:rsidRPr="005C45A8">
        <w:rPr>
          <w:rFonts w:ascii="Times New Roman" w:hAnsi="Times New Roman"/>
        </w:rPr>
        <w:t>2017</w:t>
      </w:r>
      <w:r>
        <w:rPr>
          <w:rFonts w:ascii="Times New Roman" w:hAnsi="Times New Roman"/>
        </w:rPr>
        <w:t xml:space="preserve">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w:t>
      </w:r>
      <w:r w:rsidRPr="005C45A8">
        <w:rPr>
          <w:rFonts w:ascii="Times New Roman" w:hAnsi="Times New Roman"/>
        </w:rPr>
        <w:t>999</w:t>
      </w:r>
      <w:r>
        <w:rPr>
          <w:rFonts w:ascii="Times New Roman" w:hAnsi="Times New Roman"/>
        </w:rPr>
        <w:t>/</w:t>
      </w:r>
      <w:r w:rsidRPr="005C45A8">
        <w:rPr>
          <w:rFonts w:ascii="Times New Roman" w:hAnsi="Times New Roman"/>
        </w:rPr>
        <w:t>2001</w:t>
      </w:r>
      <w:r>
        <w:rPr>
          <w:rFonts w:ascii="Times New Roman" w:hAnsi="Times New Roman"/>
        </w:rPr>
        <w:t>, (CE) nr. </w:t>
      </w:r>
      <w:r w:rsidRPr="005C45A8">
        <w:rPr>
          <w:rFonts w:ascii="Times New Roman" w:hAnsi="Times New Roman"/>
        </w:rPr>
        <w:t>396</w:t>
      </w:r>
      <w:r>
        <w:rPr>
          <w:rFonts w:ascii="Times New Roman" w:hAnsi="Times New Roman"/>
        </w:rPr>
        <w:t>/</w:t>
      </w:r>
      <w:r w:rsidRPr="005C45A8">
        <w:rPr>
          <w:rFonts w:ascii="Times New Roman" w:hAnsi="Times New Roman"/>
        </w:rPr>
        <w:t>2005</w:t>
      </w:r>
      <w:r>
        <w:rPr>
          <w:rFonts w:ascii="Times New Roman" w:hAnsi="Times New Roman"/>
        </w:rPr>
        <w:t>, (CE) nr.</w:t>
      </w:r>
      <w:bookmarkStart w:id="2" w:name="_Hlk231457663"/>
      <w:r>
        <w:rPr>
          <w:rFonts w:ascii="Times New Roman" w:hAnsi="Times New Roman"/>
        </w:rPr>
        <w:t> </w:t>
      </w:r>
      <w:bookmarkEnd w:id="2"/>
      <w:r w:rsidRPr="005C45A8">
        <w:rPr>
          <w:rFonts w:ascii="Times New Roman" w:hAnsi="Times New Roman"/>
        </w:rPr>
        <w:t>1069</w:t>
      </w:r>
      <w:r>
        <w:rPr>
          <w:rFonts w:ascii="Times New Roman" w:hAnsi="Times New Roman"/>
        </w:rPr>
        <w:t>/</w:t>
      </w:r>
      <w:r w:rsidRPr="005C45A8">
        <w:rPr>
          <w:rFonts w:ascii="Times New Roman" w:hAnsi="Times New Roman"/>
        </w:rPr>
        <w:t>2009</w:t>
      </w:r>
      <w:r>
        <w:rPr>
          <w:rFonts w:ascii="Times New Roman" w:hAnsi="Times New Roman"/>
        </w:rPr>
        <w:t>, (CE) nr. </w:t>
      </w:r>
      <w:r w:rsidRPr="005C45A8">
        <w:rPr>
          <w:rFonts w:ascii="Times New Roman" w:hAnsi="Times New Roman"/>
        </w:rPr>
        <w:t>1107</w:t>
      </w:r>
      <w:r>
        <w:rPr>
          <w:rFonts w:ascii="Times New Roman" w:hAnsi="Times New Roman"/>
        </w:rPr>
        <w:t>/</w:t>
      </w:r>
      <w:r w:rsidRPr="005C45A8">
        <w:rPr>
          <w:rFonts w:ascii="Times New Roman" w:hAnsi="Times New Roman"/>
        </w:rPr>
        <w:t>2009</w:t>
      </w:r>
      <w:r>
        <w:rPr>
          <w:rFonts w:ascii="Times New Roman" w:hAnsi="Times New Roman"/>
        </w:rPr>
        <w:t>, (UE) nr. </w:t>
      </w:r>
      <w:r w:rsidRPr="005C45A8">
        <w:rPr>
          <w:rFonts w:ascii="Times New Roman" w:hAnsi="Times New Roman"/>
        </w:rPr>
        <w:t>1151</w:t>
      </w:r>
      <w:r>
        <w:rPr>
          <w:rFonts w:ascii="Times New Roman" w:hAnsi="Times New Roman"/>
        </w:rPr>
        <w:t>/</w:t>
      </w:r>
      <w:r w:rsidRPr="005C45A8">
        <w:rPr>
          <w:rFonts w:ascii="Times New Roman" w:hAnsi="Times New Roman"/>
        </w:rPr>
        <w:t>2012</w:t>
      </w:r>
      <w:r>
        <w:rPr>
          <w:rFonts w:ascii="Times New Roman" w:hAnsi="Times New Roman"/>
        </w:rPr>
        <w:t>, (UE) nr. </w:t>
      </w:r>
      <w:r w:rsidRPr="005C45A8">
        <w:rPr>
          <w:rFonts w:ascii="Times New Roman" w:hAnsi="Times New Roman"/>
        </w:rPr>
        <w:t>652</w:t>
      </w:r>
      <w:r>
        <w:rPr>
          <w:rFonts w:ascii="Times New Roman" w:hAnsi="Times New Roman"/>
        </w:rPr>
        <w:t>/</w:t>
      </w:r>
      <w:r w:rsidRPr="005C45A8">
        <w:rPr>
          <w:rFonts w:ascii="Times New Roman" w:hAnsi="Times New Roman"/>
        </w:rPr>
        <w:t>2014</w:t>
      </w:r>
      <w:r>
        <w:rPr>
          <w:rFonts w:ascii="Times New Roman" w:hAnsi="Times New Roman"/>
        </w:rPr>
        <w:t xml:space="preserve">, (UE) </w:t>
      </w:r>
      <w:r w:rsidRPr="005C45A8">
        <w:rPr>
          <w:rFonts w:ascii="Times New Roman" w:hAnsi="Times New Roman"/>
        </w:rPr>
        <w:t>2016</w:t>
      </w:r>
      <w:r>
        <w:rPr>
          <w:rFonts w:ascii="Times New Roman" w:hAnsi="Times New Roman"/>
        </w:rPr>
        <w:t>/</w:t>
      </w:r>
      <w:r w:rsidRPr="005C45A8">
        <w:rPr>
          <w:rFonts w:ascii="Times New Roman" w:hAnsi="Times New Roman"/>
        </w:rPr>
        <w:t>429</w:t>
      </w:r>
      <w:r>
        <w:rPr>
          <w:rFonts w:ascii="Times New Roman" w:hAnsi="Times New Roman"/>
        </w:rPr>
        <w:t xml:space="preserve"> și (UE) </w:t>
      </w:r>
      <w:r w:rsidRPr="005C45A8">
        <w:rPr>
          <w:rFonts w:ascii="Times New Roman" w:hAnsi="Times New Roman"/>
        </w:rPr>
        <w:t>2016</w:t>
      </w:r>
      <w:r>
        <w:rPr>
          <w:rFonts w:ascii="Times New Roman" w:hAnsi="Times New Roman"/>
        </w:rPr>
        <w:t>/</w:t>
      </w:r>
      <w:r w:rsidRPr="005C45A8">
        <w:rPr>
          <w:rFonts w:ascii="Times New Roman" w:hAnsi="Times New Roman"/>
        </w:rPr>
        <w:t>2031</w:t>
      </w:r>
      <w:r>
        <w:rPr>
          <w:rFonts w:ascii="Times New Roman" w:hAnsi="Times New Roman"/>
        </w:rPr>
        <w:t xml:space="preserve"> ale Parlamentului European și ale Consiliului, a Regulamentelor (CE) nr. </w:t>
      </w:r>
      <w:r w:rsidRPr="005C45A8">
        <w:rPr>
          <w:rFonts w:ascii="Times New Roman" w:hAnsi="Times New Roman"/>
        </w:rPr>
        <w:t>1</w:t>
      </w:r>
      <w:r>
        <w:rPr>
          <w:rFonts w:ascii="Times New Roman" w:hAnsi="Times New Roman"/>
        </w:rPr>
        <w:t>/</w:t>
      </w:r>
      <w:r w:rsidRPr="005C45A8">
        <w:rPr>
          <w:rFonts w:ascii="Times New Roman" w:hAnsi="Times New Roman"/>
        </w:rPr>
        <w:t>2005</w:t>
      </w:r>
      <w:r>
        <w:rPr>
          <w:rFonts w:ascii="Times New Roman" w:hAnsi="Times New Roman"/>
        </w:rPr>
        <w:t xml:space="preserve"> și (CE) nr. </w:t>
      </w:r>
      <w:r w:rsidRPr="005C45A8">
        <w:rPr>
          <w:rFonts w:ascii="Times New Roman" w:hAnsi="Times New Roman"/>
        </w:rPr>
        <w:t>1099</w:t>
      </w:r>
      <w:r>
        <w:rPr>
          <w:rFonts w:ascii="Times New Roman" w:hAnsi="Times New Roman"/>
        </w:rPr>
        <w:t>/</w:t>
      </w:r>
      <w:r w:rsidRPr="005C45A8">
        <w:rPr>
          <w:rFonts w:ascii="Times New Roman" w:hAnsi="Times New Roman"/>
        </w:rPr>
        <w:t>2009</w:t>
      </w:r>
      <w:r>
        <w:rPr>
          <w:rFonts w:ascii="Times New Roman" w:hAnsi="Times New Roman"/>
        </w:rPr>
        <w:t xml:space="preserve"> ale Consiliului și a Directivelor </w:t>
      </w:r>
      <w:r w:rsidRPr="005C45A8">
        <w:rPr>
          <w:rFonts w:ascii="Times New Roman" w:hAnsi="Times New Roman"/>
        </w:rPr>
        <w:t>98</w:t>
      </w:r>
      <w:r>
        <w:rPr>
          <w:rFonts w:ascii="Times New Roman" w:hAnsi="Times New Roman"/>
        </w:rPr>
        <w:t>/</w:t>
      </w:r>
      <w:r w:rsidRPr="005C45A8">
        <w:rPr>
          <w:rFonts w:ascii="Times New Roman" w:hAnsi="Times New Roman"/>
        </w:rPr>
        <w:t>58</w:t>
      </w:r>
      <w:r>
        <w:rPr>
          <w:rFonts w:ascii="Times New Roman" w:hAnsi="Times New Roman"/>
        </w:rPr>
        <w:t xml:space="preserve">/CE, </w:t>
      </w:r>
      <w:r w:rsidRPr="005C45A8">
        <w:rPr>
          <w:rFonts w:ascii="Times New Roman" w:hAnsi="Times New Roman"/>
        </w:rPr>
        <w:t>1999</w:t>
      </w:r>
      <w:r>
        <w:rPr>
          <w:rFonts w:ascii="Times New Roman" w:hAnsi="Times New Roman"/>
        </w:rPr>
        <w:t>/</w:t>
      </w:r>
      <w:r w:rsidRPr="005C45A8">
        <w:rPr>
          <w:rFonts w:ascii="Times New Roman" w:hAnsi="Times New Roman"/>
        </w:rPr>
        <w:t>74</w:t>
      </w:r>
      <w:r>
        <w:rPr>
          <w:rFonts w:ascii="Times New Roman" w:hAnsi="Times New Roman"/>
        </w:rPr>
        <w:t xml:space="preserve">/CE, </w:t>
      </w:r>
      <w:r w:rsidRPr="005C45A8">
        <w:rPr>
          <w:rFonts w:ascii="Times New Roman" w:hAnsi="Times New Roman"/>
        </w:rPr>
        <w:t>2007</w:t>
      </w:r>
      <w:r>
        <w:rPr>
          <w:rFonts w:ascii="Times New Roman" w:hAnsi="Times New Roman"/>
        </w:rPr>
        <w:t>/</w:t>
      </w:r>
      <w:r w:rsidRPr="005C45A8">
        <w:rPr>
          <w:rFonts w:ascii="Times New Roman" w:hAnsi="Times New Roman"/>
        </w:rPr>
        <w:t>43</w:t>
      </w:r>
      <w:r>
        <w:rPr>
          <w:rFonts w:ascii="Times New Roman" w:hAnsi="Times New Roman"/>
        </w:rPr>
        <w:t xml:space="preserve">/CE, </w:t>
      </w:r>
      <w:r w:rsidRPr="005C45A8">
        <w:rPr>
          <w:rFonts w:ascii="Times New Roman" w:hAnsi="Times New Roman"/>
        </w:rPr>
        <w:t>2008</w:t>
      </w:r>
      <w:r>
        <w:rPr>
          <w:rFonts w:ascii="Times New Roman" w:hAnsi="Times New Roman"/>
        </w:rPr>
        <w:t>/</w:t>
      </w:r>
      <w:r w:rsidRPr="005C45A8">
        <w:rPr>
          <w:rFonts w:ascii="Times New Roman" w:hAnsi="Times New Roman"/>
        </w:rPr>
        <w:t>119</w:t>
      </w:r>
      <w:r>
        <w:rPr>
          <w:rFonts w:ascii="Times New Roman" w:hAnsi="Times New Roman"/>
        </w:rPr>
        <w:t xml:space="preserve">/CE și </w:t>
      </w:r>
      <w:r w:rsidRPr="005C45A8">
        <w:rPr>
          <w:rFonts w:ascii="Times New Roman" w:hAnsi="Times New Roman"/>
        </w:rPr>
        <w:t>2008</w:t>
      </w:r>
      <w:r>
        <w:rPr>
          <w:rFonts w:ascii="Times New Roman" w:hAnsi="Times New Roman"/>
        </w:rPr>
        <w:t>/</w:t>
      </w:r>
      <w:r w:rsidRPr="005C45A8">
        <w:rPr>
          <w:rFonts w:ascii="Times New Roman" w:hAnsi="Times New Roman"/>
        </w:rPr>
        <w:t>120</w:t>
      </w:r>
      <w:r>
        <w:rPr>
          <w:rFonts w:ascii="Times New Roman" w:hAnsi="Times New Roman"/>
        </w:rPr>
        <w:t>/CE ale Consiliului și de abrogare a Regulamentelor (CE) nr. </w:t>
      </w:r>
      <w:r w:rsidRPr="005C45A8">
        <w:rPr>
          <w:rFonts w:ascii="Times New Roman" w:hAnsi="Times New Roman"/>
        </w:rPr>
        <w:t>854</w:t>
      </w:r>
      <w:r>
        <w:rPr>
          <w:rFonts w:ascii="Times New Roman" w:hAnsi="Times New Roman"/>
        </w:rPr>
        <w:t>/</w:t>
      </w:r>
      <w:r w:rsidRPr="005C45A8">
        <w:rPr>
          <w:rFonts w:ascii="Times New Roman" w:hAnsi="Times New Roman"/>
        </w:rPr>
        <w:t>2004</w:t>
      </w:r>
      <w:r>
        <w:rPr>
          <w:rFonts w:ascii="Times New Roman" w:hAnsi="Times New Roman"/>
        </w:rPr>
        <w:t xml:space="preserve"> și (CE) nr. </w:t>
      </w:r>
      <w:r w:rsidRPr="005C45A8">
        <w:rPr>
          <w:rFonts w:ascii="Times New Roman" w:hAnsi="Times New Roman"/>
        </w:rPr>
        <w:t>882</w:t>
      </w:r>
      <w:r>
        <w:rPr>
          <w:rFonts w:ascii="Times New Roman" w:hAnsi="Times New Roman"/>
        </w:rPr>
        <w:t>/</w:t>
      </w:r>
      <w:r w:rsidRPr="005C45A8">
        <w:rPr>
          <w:rFonts w:ascii="Times New Roman" w:hAnsi="Times New Roman"/>
        </w:rPr>
        <w:t>2004</w:t>
      </w:r>
      <w:r>
        <w:rPr>
          <w:rFonts w:ascii="Times New Roman" w:hAnsi="Times New Roman"/>
        </w:rPr>
        <w:t xml:space="preserve"> ale Parlamentului European și ale Consiliului, precum și a Directivelor </w:t>
      </w:r>
      <w:r w:rsidRPr="005C45A8">
        <w:rPr>
          <w:rFonts w:ascii="Times New Roman" w:hAnsi="Times New Roman"/>
        </w:rPr>
        <w:t>89</w:t>
      </w:r>
      <w:r>
        <w:rPr>
          <w:rFonts w:ascii="Times New Roman" w:hAnsi="Times New Roman"/>
        </w:rPr>
        <w:t>/</w:t>
      </w:r>
      <w:r w:rsidRPr="005C45A8">
        <w:rPr>
          <w:rFonts w:ascii="Times New Roman" w:hAnsi="Times New Roman"/>
        </w:rPr>
        <w:t>608</w:t>
      </w:r>
      <w:r>
        <w:rPr>
          <w:rFonts w:ascii="Times New Roman" w:hAnsi="Times New Roman"/>
        </w:rPr>
        <w:t xml:space="preserve">/CEE, </w:t>
      </w:r>
      <w:r w:rsidRPr="005C45A8">
        <w:rPr>
          <w:rFonts w:ascii="Times New Roman" w:hAnsi="Times New Roman"/>
        </w:rPr>
        <w:t>89</w:t>
      </w:r>
      <w:r>
        <w:rPr>
          <w:rFonts w:ascii="Times New Roman" w:hAnsi="Times New Roman"/>
        </w:rPr>
        <w:t>/</w:t>
      </w:r>
      <w:r w:rsidRPr="005C45A8">
        <w:rPr>
          <w:rFonts w:ascii="Times New Roman" w:hAnsi="Times New Roman"/>
        </w:rPr>
        <w:t>662</w:t>
      </w:r>
      <w:r>
        <w:rPr>
          <w:rFonts w:ascii="Times New Roman" w:hAnsi="Times New Roman"/>
        </w:rPr>
        <w:t xml:space="preserve">/CEE, </w:t>
      </w:r>
      <w:r w:rsidRPr="005C45A8">
        <w:rPr>
          <w:rFonts w:ascii="Times New Roman" w:hAnsi="Times New Roman"/>
        </w:rPr>
        <w:t>90</w:t>
      </w:r>
      <w:r>
        <w:rPr>
          <w:rFonts w:ascii="Times New Roman" w:hAnsi="Times New Roman"/>
        </w:rPr>
        <w:t>/</w:t>
      </w:r>
      <w:r w:rsidRPr="005C45A8">
        <w:rPr>
          <w:rFonts w:ascii="Times New Roman" w:hAnsi="Times New Roman"/>
        </w:rPr>
        <w:t>425</w:t>
      </w:r>
      <w:r>
        <w:rPr>
          <w:rFonts w:ascii="Times New Roman" w:hAnsi="Times New Roman"/>
        </w:rPr>
        <w:t xml:space="preserve">/CEE, </w:t>
      </w:r>
      <w:r w:rsidRPr="005C45A8">
        <w:rPr>
          <w:rFonts w:ascii="Times New Roman" w:hAnsi="Times New Roman"/>
        </w:rPr>
        <w:t>91</w:t>
      </w:r>
      <w:r>
        <w:rPr>
          <w:rFonts w:ascii="Times New Roman" w:hAnsi="Times New Roman"/>
        </w:rPr>
        <w:t>/</w:t>
      </w:r>
      <w:r w:rsidRPr="005C45A8">
        <w:rPr>
          <w:rFonts w:ascii="Times New Roman" w:hAnsi="Times New Roman"/>
        </w:rPr>
        <w:t>496</w:t>
      </w:r>
      <w:r>
        <w:rPr>
          <w:rFonts w:ascii="Times New Roman" w:hAnsi="Times New Roman"/>
        </w:rPr>
        <w:t xml:space="preserve">/CEE, </w:t>
      </w:r>
      <w:r w:rsidRPr="005C45A8">
        <w:rPr>
          <w:rFonts w:ascii="Times New Roman" w:hAnsi="Times New Roman"/>
        </w:rPr>
        <w:t>96</w:t>
      </w:r>
      <w:r>
        <w:rPr>
          <w:rFonts w:ascii="Times New Roman" w:hAnsi="Times New Roman"/>
        </w:rPr>
        <w:t>/</w:t>
      </w:r>
      <w:r w:rsidRPr="005C45A8">
        <w:rPr>
          <w:rFonts w:ascii="Times New Roman" w:hAnsi="Times New Roman"/>
        </w:rPr>
        <w:t>23</w:t>
      </w:r>
      <w:r>
        <w:rPr>
          <w:rFonts w:ascii="Times New Roman" w:hAnsi="Times New Roman"/>
        </w:rPr>
        <w:t xml:space="preserve">/CE, </w:t>
      </w:r>
      <w:r w:rsidRPr="005C45A8">
        <w:rPr>
          <w:rFonts w:ascii="Times New Roman" w:hAnsi="Times New Roman"/>
        </w:rPr>
        <w:t>96</w:t>
      </w:r>
      <w:r>
        <w:rPr>
          <w:rFonts w:ascii="Times New Roman" w:hAnsi="Times New Roman"/>
        </w:rPr>
        <w:t>/</w:t>
      </w:r>
      <w:r w:rsidRPr="005C45A8">
        <w:rPr>
          <w:rFonts w:ascii="Times New Roman" w:hAnsi="Times New Roman"/>
        </w:rPr>
        <w:t>93</w:t>
      </w:r>
      <w:r>
        <w:rPr>
          <w:rFonts w:ascii="Times New Roman" w:hAnsi="Times New Roman"/>
        </w:rPr>
        <w:t xml:space="preserve">/CE și </w:t>
      </w:r>
      <w:r w:rsidRPr="005C45A8">
        <w:rPr>
          <w:rFonts w:ascii="Times New Roman" w:hAnsi="Times New Roman"/>
        </w:rPr>
        <w:t>97</w:t>
      </w:r>
      <w:r>
        <w:rPr>
          <w:rFonts w:ascii="Times New Roman" w:hAnsi="Times New Roman"/>
        </w:rPr>
        <w:t>/</w:t>
      </w:r>
      <w:r w:rsidRPr="005C45A8">
        <w:rPr>
          <w:rFonts w:ascii="Times New Roman" w:hAnsi="Times New Roman"/>
        </w:rPr>
        <w:t>78</w:t>
      </w:r>
      <w:r>
        <w:rPr>
          <w:rFonts w:ascii="Times New Roman" w:hAnsi="Times New Roman"/>
        </w:rPr>
        <w:t xml:space="preserve">/CE ale Consiliului și a Deciziei </w:t>
      </w:r>
      <w:r w:rsidRPr="005C45A8">
        <w:rPr>
          <w:rFonts w:ascii="Times New Roman" w:hAnsi="Times New Roman"/>
        </w:rPr>
        <w:t>92</w:t>
      </w:r>
      <w:r>
        <w:rPr>
          <w:rFonts w:ascii="Times New Roman" w:hAnsi="Times New Roman"/>
        </w:rPr>
        <w:t>/</w:t>
      </w:r>
      <w:r w:rsidRPr="005C45A8">
        <w:rPr>
          <w:rFonts w:ascii="Times New Roman" w:hAnsi="Times New Roman"/>
        </w:rPr>
        <w:t>438</w:t>
      </w:r>
      <w:r>
        <w:rPr>
          <w:rFonts w:ascii="Times New Roman" w:hAnsi="Times New Roman"/>
        </w:rPr>
        <w:t xml:space="preserve">/CEE a Consiliului (Regulamentul privind controalele oficiale) (JO L </w:t>
      </w:r>
      <w:r w:rsidRPr="005C45A8">
        <w:rPr>
          <w:rFonts w:ascii="Times New Roman" w:hAnsi="Times New Roman"/>
        </w:rPr>
        <w:t>095</w:t>
      </w:r>
      <w:r>
        <w:rPr>
          <w:rFonts w:ascii="Times New Roman" w:hAnsi="Times New Roman"/>
        </w:rPr>
        <w:t xml:space="preserve">, </w:t>
      </w:r>
      <w:r w:rsidRPr="005C45A8">
        <w:rPr>
          <w:rFonts w:ascii="Times New Roman" w:hAnsi="Times New Roman"/>
        </w:rPr>
        <w:t>7</w:t>
      </w:r>
      <w:r>
        <w:rPr>
          <w:rFonts w:ascii="Times New Roman" w:hAnsi="Times New Roman"/>
        </w:rPr>
        <w:t>.</w:t>
      </w:r>
      <w:r w:rsidRPr="005C45A8">
        <w:rPr>
          <w:rFonts w:ascii="Times New Roman" w:hAnsi="Times New Roman"/>
        </w:rPr>
        <w:t>4</w:t>
      </w:r>
      <w:r>
        <w:rPr>
          <w:rFonts w:ascii="Times New Roman" w:hAnsi="Times New Roman"/>
        </w:rPr>
        <w:t>.</w:t>
      </w:r>
      <w:r w:rsidRPr="005C45A8">
        <w:rPr>
          <w:rFonts w:ascii="Times New Roman" w:hAnsi="Times New Roman"/>
        </w:rPr>
        <w:t>2017</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1" w:history="1">
        <w:r>
          <w:rPr>
            <w:rStyle w:val="Hyperlink"/>
            <w:rFonts w:ascii="Times New Roman" w:hAnsi="Times New Roman"/>
          </w:rPr>
          <w:t>http://data.europa.eu/eli/reg/</w:t>
        </w:r>
        <w:r w:rsidRPr="005C45A8">
          <w:rPr>
            <w:rStyle w:val="Hyperlink"/>
            <w:rFonts w:ascii="Times New Roman" w:hAnsi="Times New Roman"/>
          </w:rPr>
          <w:t>2017</w:t>
        </w:r>
        <w:r>
          <w:rPr>
            <w:rStyle w:val="Hyperlink"/>
            <w:rFonts w:ascii="Times New Roman" w:hAnsi="Times New Roman"/>
          </w:rPr>
          <w:t>/</w:t>
        </w:r>
        <w:r w:rsidRPr="005C45A8">
          <w:rPr>
            <w:rStyle w:val="Hyperlink"/>
            <w:rFonts w:ascii="Times New Roman" w:hAnsi="Times New Roman"/>
          </w:rPr>
          <w:t>625</w:t>
        </w:r>
        <w:r>
          <w:rPr>
            <w:rStyle w:val="Hyperlink"/>
            <w:rFonts w:ascii="Times New Roman" w:hAnsi="Times New Roman"/>
          </w:rPr>
          <w:t>/oj</w:t>
        </w:r>
      </w:hyperlink>
      <w:r>
        <w:rPr>
          <w:rFonts w:ascii="Times New Roman" w:hAnsi="Times New Roman"/>
        </w:rPr>
        <w:t>).</w:t>
      </w:r>
    </w:p>
  </w:footnote>
  <w:footnote w:id="2">
    <w:p w14:paraId="7B24078B" w14:textId="4849EC9E" w:rsidR="00751C5A" w:rsidRPr="0012148C" w:rsidRDefault="00751C5A" w:rsidP="00AF0E15">
      <w:pPr>
        <w:pStyle w:val="FootnoteText"/>
        <w:suppressAutoHyphens/>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Raport al Comisiei către Parlamentul European și Consiliu privind exercitarea competenței de a adopta acte delegate conferite Comisiei în temeiul Regulamentului (UE) </w:t>
      </w:r>
      <w:r w:rsidRPr="005C45A8">
        <w:rPr>
          <w:rFonts w:ascii="Times New Roman" w:hAnsi="Times New Roman"/>
        </w:rPr>
        <w:t>2017</w:t>
      </w:r>
      <w:r>
        <w:rPr>
          <w:rFonts w:ascii="Times New Roman" w:hAnsi="Times New Roman"/>
        </w:rPr>
        <w:t>/</w:t>
      </w:r>
      <w:r w:rsidRPr="005C45A8">
        <w:rPr>
          <w:rFonts w:ascii="Times New Roman" w:hAnsi="Times New Roman"/>
        </w:rPr>
        <w:t>625</w:t>
      </w:r>
      <w:r>
        <w:rPr>
          <w:rFonts w:ascii="Times New Roman" w:hAnsi="Times New Roman"/>
        </w:rPr>
        <w:t xml:space="preserve"> al Parlamentului European și al Consiliului privind controalele oficiale și alte activități oficiale efectuate pentru a asigura aplicarea legislației privind alimentele și furajele, a normelor privind sănătatea și bunăstarea animalelor, sănătatea plantelor și produsele de protecție a plantelor („Regulamentul privind controalele oficiale”), COM/</w:t>
      </w:r>
      <w:r w:rsidRPr="005C45A8">
        <w:rPr>
          <w:rFonts w:ascii="Times New Roman" w:hAnsi="Times New Roman"/>
        </w:rPr>
        <w:t>2021</w:t>
      </w:r>
      <w:r>
        <w:rPr>
          <w:rFonts w:ascii="Times New Roman" w:hAnsi="Times New Roman"/>
        </w:rPr>
        <w:t>/</w:t>
      </w:r>
      <w:r w:rsidRPr="005C45A8">
        <w:rPr>
          <w:rFonts w:ascii="Times New Roman" w:hAnsi="Times New Roman"/>
        </w:rPr>
        <w:t>383</w:t>
      </w:r>
      <w:r>
        <w:rPr>
          <w:rFonts w:ascii="Times New Roman" w:hAnsi="Times New Roman"/>
        </w:rPr>
        <w:t xml:space="preserve"> final, </w:t>
      </w:r>
      <w:hyperlink r:id="rId2" w:history="1">
        <w:r>
          <w:rPr>
            <w:rStyle w:val="Hyperlink"/>
            <w:rFonts w:ascii="Times New Roman" w:hAnsi="Times New Roman"/>
          </w:rPr>
          <w:t>https://eur-lex.europa.eu/legal-content/RO/TXT/?uri=CELEX:</w:t>
        </w:r>
        <w:r w:rsidRPr="005C45A8">
          <w:rPr>
            <w:rStyle w:val="Hyperlink"/>
            <w:rFonts w:ascii="Times New Roman" w:hAnsi="Times New Roman"/>
          </w:rPr>
          <w:t>52021</w:t>
        </w:r>
        <w:r>
          <w:rPr>
            <w:rStyle w:val="Hyperlink"/>
            <w:rFonts w:ascii="Times New Roman" w:hAnsi="Times New Roman"/>
          </w:rPr>
          <w:t>DC</w:t>
        </w:r>
        <w:r w:rsidRPr="005C45A8">
          <w:rPr>
            <w:rStyle w:val="Hyperlink"/>
            <w:rFonts w:ascii="Times New Roman" w:hAnsi="Times New Roman"/>
          </w:rPr>
          <w:t>0383</w:t>
        </w:r>
      </w:hyperlink>
      <w:r>
        <w:rPr>
          <w:rFonts w:ascii="Times New Roman" w:hAnsi="Times New Roman"/>
        </w:rPr>
        <w:t>.</w:t>
      </w:r>
    </w:p>
  </w:footnote>
  <w:footnote w:id="3">
    <w:p w14:paraId="3AAC2066" w14:textId="02287DC0" w:rsidR="0064029C" w:rsidRPr="0012148C" w:rsidRDefault="008A126D" w:rsidP="00AF0E15">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Întrucât data-limită pentru includerea în primul raport a fost </w:t>
      </w:r>
      <w:r w:rsidRPr="005C45A8">
        <w:rPr>
          <w:rFonts w:ascii="Times New Roman" w:hAnsi="Times New Roman"/>
        </w:rPr>
        <w:t>15</w:t>
      </w:r>
      <w:r>
        <w:rPr>
          <w:rFonts w:ascii="Times New Roman" w:hAnsi="Times New Roman"/>
        </w:rPr>
        <w:t xml:space="preserve"> iunie </w:t>
      </w:r>
      <w:r w:rsidRPr="005C45A8">
        <w:rPr>
          <w:rFonts w:ascii="Times New Roman" w:hAnsi="Times New Roman"/>
        </w:rPr>
        <w:t>2021</w:t>
      </w:r>
      <w:r>
        <w:rPr>
          <w:rFonts w:ascii="Times New Roman" w:hAnsi="Times New Roman"/>
        </w:rPr>
        <w:t xml:space="preserve">, perioada vizată de prezentul raport este </w:t>
      </w:r>
      <w:r w:rsidRPr="005C45A8">
        <w:rPr>
          <w:rFonts w:ascii="Times New Roman" w:hAnsi="Times New Roman"/>
        </w:rPr>
        <w:t>16</w:t>
      </w:r>
      <w:r>
        <w:rPr>
          <w:rFonts w:ascii="Times New Roman" w:hAnsi="Times New Roman"/>
        </w:rPr>
        <w:t xml:space="preserve"> iunie </w:t>
      </w:r>
      <w:r w:rsidRPr="005C45A8">
        <w:rPr>
          <w:rFonts w:ascii="Times New Roman" w:hAnsi="Times New Roman"/>
        </w:rPr>
        <w:t>2021</w:t>
      </w:r>
      <w:r>
        <w:rPr>
          <w:rFonts w:ascii="Times New Roman" w:hAnsi="Times New Roman"/>
        </w:rPr>
        <w:t>-</w:t>
      </w:r>
      <w:r w:rsidRPr="005C45A8">
        <w:rPr>
          <w:rFonts w:ascii="Times New Roman" w:hAnsi="Times New Roman"/>
        </w:rPr>
        <w:t>15</w:t>
      </w:r>
      <w:r>
        <w:rPr>
          <w:rFonts w:ascii="Times New Roman" w:hAnsi="Times New Roman"/>
        </w:rPr>
        <w:t xml:space="preserve"> iunie </w:t>
      </w:r>
      <w:r w:rsidRPr="005C45A8">
        <w:rPr>
          <w:rFonts w:ascii="Times New Roman" w:hAnsi="Times New Roman"/>
        </w:rPr>
        <w:t>2026</w:t>
      </w:r>
      <w:r>
        <w:rPr>
          <w:rFonts w:ascii="Times New Roman" w:hAnsi="Times New Roman"/>
        </w:rPr>
        <w:t xml:space="preserve">. </w:t>
      </w:r>
    </w:p>
  </w:footnote>
  <w:footnote w:id="4">
    <w:p w14:paraId="6C446EC5" w14:textId="666CDEDA" w:rsidR="000E3FA0" w:rsidRPr="0012148C" w:rsidRDefault="000E3FA0"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Actele delegate sunt enumerate în ordinea cronologică a adoptării. </w:t>
      </w:r>
    </w:p>
  </w:footnote>
  <w:footnote w:id="5">
    <w:p w14:paraId="32E7A6AE" w14:textId="79AE4290" w:rsidR="003F228C" w:rsidRPr="00264A0C" w:rsidRDefault="003F228C"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436</w:t>
      </w:r>
      <w:r>
        <w:rPr>
          <w:rFonts w:ascii="Times New Roman" w:hAnsi="Times New Roman"/>
        </w:rPr>
        <w:t xml:space="preserve">, </w:t>
      </w:r>
      <w:r w:rsidRPr="005C45A8">
        <w:rPr>
          <w:rFonts w:ascii="Times New Roman" w:hAnsi="Times New Roman"/>
        </w:rPr>
        <w:t>7</w:t>
      </w:r>
      <w:r>
        <w:rPr>
          <w:rFonts w:ascii="Times New Roman" w:hAnsi="Times New Roman"/>
        </w:rPr>
        <w:t>.</w:t>
      </w:r>
      <w:r w:rsidRPr="005C45A8">
        <w:rPr>
          <w:rFonts w:ascii="Times New Roman" w:hAnsi="Times New Roman"/>
        </w:rPr>
        <w:t>12</w:t>
      </w:r>
      <w:r>
        <w:rPr>
          <w:rFonts w:ascii="Times New Roman" w:hAnsi="Times New Roman"/>
        </w:rPr>
        <w:t>.</w:t>
      </w:r>
      <w:r w:rsidRPr="005C45A8">
        <w:rPr>
          <w:rFonts w:ascii="Times New Roman" w:hAnsi="Times New Roman"/>
        </w:rPr>
        <w:t>2021</w:t>
      </w:r>
      <w:r>
        <w:rPr>
          <w:rFonts w:ascii="Times New Roman" w:hAnsi="Times New Roman"/>
        </w:rPr>
        <w:t>, p. </w:t>
      </w:r>
      <w:r w:rsidRPr="005C45A8">
        <w:rPr>
          <w:rFonts w:ascii="Times New Roman" w:hAnsi="Times New Roman"/>
        </w:rPr>
        <w:t>26</w:t>
      </w:r>
      <w:r>
        <w:rPr>
          <w:rFonts w:ascii="Times New Roman" w:hAnsi="Times New Roman"/>
        </w:rPr>
        <w:t xml:space="preserve">, ELI: </w:t>
      </w:r>
      <w:hyperlink r:id="rId3" w:history="1">
        <w:r>
          <w:rPr>
            <w:rStyle w:val="Hyperlink"/>
            <w:rFonts w:ascii="Times New Roman" w:hAnsi="Times New Roman"/>
          </w:rPr>
          <w:t>http://data.europa.eu/eli/reg_del/</w:t>
        </w:r>
        <w:r w:rsidRPr="005C45A8">
          <w:rPr>
            <w:rStyle w:val="Hyperlink"/>
            <w:rFonts w:ascii="Times New Roman" w:hAnsi="Times New Roman"/>
          </w:rPr>
          <w:t>2021</w:t>
        </w:r>
        <w:r>
          <w:rPr>
            <w:rStyle w:val="Hyperlink"/>
            <w:rFonts w:ascii="Times New Roman" w:hAnsi="Times New Roman"/>
          </w:rPr>
          <w:t>/</w:t>
        </w:r>
        <w:r w:rsidRPr="005C45A8">
          <w:rPr>
            <w:rStyle w:val="Hyperlink"/>
            <w:rFonts w:ascii="Times New Roman" w:hAnsi="Times New Roman"/>
          </w:rPr>
          <w:t>2156</w:t>
        </w:r>
        <w:r>
          <w:rPr>
            <w:rStyle w:val="Hyperlink"/>
            <w:rFonts w:ascii="Times New Roman" w:hAnsi="Times New Roman"/>
          </w:rPr>
          <w:t>/oj</w:t>
        </w:r>
      </w:hyperlink>
      <w:r>
        <w:rPr>
          <w:rFonts w:ascii="Times New Roman" w:hAnsi="Times New Roman"/>
        </w:rPr>
        <w:t>.</w:t>
      </w:r>
    </w:p>
  </w:footnote>
  <w:footnote w:id="6">
    <w:p w14:paraId="1DB426AB" w14:textId="2D3C7856" w:rsidR="00012FF7" w:rsidRPr="00264A0C" w:rsidRDefault="00012FF7"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427</w:t>
      </w:r>
      <w:r>
        <w:rPr>
          <w:rFonts w:ascii="Times New Roman" w:hAnsi="Times New Roman"/>
        </w:rPr>
        <w:t xml:space="preserve">, </w:t>
      </w:r>
      <w:r w:rsidRPr="005C45A8">
        <w:rPr>
          <w:rFonts w:ascii="Times New Roman" w:hAnsi="Times New Roman"/>
        </w:rPr>
        <w:t>30</w:t>
      </w:r>
      <w:r>
        <w:rPr>
          <w:rFonts w:ascii="Times New Roman" w:hAnsi="Times New Roman"/>
        </w:rPr>
        <w:t>.</w:t>
      </w:r>
      <w:r w:rsidRPr="005C45A8">
        <w:rPr>
          <w:rFonts w:ascii="Times New Roman" w:hAnsi="Times New Roman"/>
        </w:rPr>
        <w:t>11</w:t>
      </w:r>
      <w:r>
        <w:rPr>
          <w:rFonts w:ascii="Times New Roman" w:hAnsi="Times New Roman"/>
        </w:rPr>
        <w:t>.</w:t>
      </w:r>
      <w:r w:rsidRPr="005C45A8">
        <w:rPr>
          <w:rFonts w:ascii="Times New Roman" w:hAnsi="Times New Roman"/>
        </w:rPr>
        <w:t>2021</w:t>
      </w:r>
      <w:r>
        <w:rPr>
          <w:rFonts w:ascii="Times New Roman" w:hAnsi="Times New Roman"/>
        </w:rPr>
        <w:t>, p. </w:t>
      </w:r>
      <w:r w:rsidRPr="005C45A8">
        <w:rPr>
          <w:rFonts w:ascii="Times New Roman" w:hAnsi="Times New Roman"/>
        </w:rPr>
        <w:t>149</w:t>
      </w:r>
      <w:r>
        <w:rPr>
          <w:rFonts w:ascii="Times New Roman" w:hAnsi="Times New Roman"/>
        </w:rPr>
        <w:t xml:space="preserve">, ELI: </w:t>
      </w:r>
      <w:hyperlink r:id="rId4" w:history="1">
        <w:r>
          <w:rPr>
            <w:rStyle w:val="Hyperlink"/>
            <w:rFonts w:ascii="Times New Roman" w:hAnsi="Times New Roman"/>
          </w:rPr>
          <w:t>http://data.europa.eu/eli/reg_del/</w:t>
        </w:r>
        <w:r w:rsidRPr="005C45A8">
          <w:rPr>
            <w:rStyle w:val="Hyperlink"/>
            <w:rFonts w:ascii="Times New Roman" w:hAnsi="Times New Roman"/>
          </w:rPr>
          <w:t>2021</w:t>
        </w:r>
        <w:r>
          <w:rPr>
            <w:rStyle w:val="Hyperlink"/>
            <w:rFonts w:ascii="Times New Roman" w:hAnsi="Times New Roman"/>
          </w:rPr>
          <w:t>/</w:t>
        </w:r>
        <w:r w:rsidRPr="005C45A8">
          <w:rPr>
            <w:rStyle w:val="Hyperlink"/>
            <w:rFonts w:ascii="Times New Roman" w:hAnsi="Times New Roman"/>
          </w:rPr>
          <w:t>2089</w:t>
        </w:r>
        <w:r>
          <w:rPr>
            <w:rStyle w:val="Hyperlink"/>
            <w:rFonts w:ascii="Times New Roman" w:hAnsi="Times New Roman"/>
          </w:rPr>
          <w:t>/oj</w:t>
        </w:r>
      </w:hyperlink>
      <w:r>
        <w:rPr>
          <w:rFonts w:ascii="Times New Roman" w:hAnsi="Times New Roman"/>
        </w:rPr>
        <w:t>.</w:t>
      </w:r>
    </w:p>
  </w:footnote>
  <w:footnote w:id="7">
    <w:p w14:paraId="37C11D83" w14:textId="03E155FC" w:rsidR="00DA4B2F" w:rsidRPr="00DA4B2F" w:rsidRDefault="00DA4B2F" w:rsidP="00D54ED3">
      <w:pPr>
        <w:pStyle w:val="FootnoteText"/>
        <w:ind w:left="426" w:hanging="426"/>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453</w:t>
      </w:r>
      <w:r>
        <w:rPr>
          <w:rFonts w:ascii="Times New Roman" w:hAnsi="Times New Roman"/>
        </w:rPr>
        <w:t xml:space="preserve">, </w:t>
      </w:r>
      <w:r w:rsidRPr="005C45A8">
        <w:rPr>
          <w:rFonts w:ascii="Times New Roman" w:hAnsi="Times New Roman"/>
        </w:rPr>
        <w:t>17</w:t>
      </w:r>
      <w:r>
        <w:rPr>
          <w:rFonts w:ascii="Times New Roman" w:hAnsi="Times New Roman"/>
        </w:rPr>
        <w:t>.</w:t>
      </w:r>
      <w:r w:rsidRPr="005C45A8">
        <w:rPr>
          <w:rFonts w:ascii="Times New Roman" w:hAnsi="Times New Roman"/>
        </w:rPr>
        <w:t>12</w:t>
      </w:r>
      <w:r>
        <w:rPr>
          <w:rFonts w:ascii="Times New Roman" w:hAnsi="Times New Roman"/>
        </w:rPr>
        <w:t>.</w:t>
      </w:r>
      <w:r w:rsidRPr="005C45A8">
        <w:rPr>
          <w:rFonts w:ascii="Times New Roman" w:hAnsi="Times New Roman"/>
        </w:rPr>
        <w:t>2021</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5" w:history="1">
        <w:r>
          <w:rPr>
            <w:rStyle w:val="Hyperlink"/>
            <w:rFonts w:ascii="Times New Roman" w:hAnsi="Times New Roman"/>
          </w:rPr>
          <w:t>http://data.europa.eu/eli/reg_del/</w:t>
        </w:r>
        <w:r w:rsidRPr="005C45A8">
          <w:rPr>
            <w:rStyle w:val="Hyperlink"/>
            <w:rFonts w:ascii="Times New Roman" w:hAnsi="Times New Roman"/>
          </w:rPr>
          <w:t>2021</w:t>
        </w:r>
        <w:r>
          <w:rPr>
            <w:rStyle w:val="Hyperlink"/>
            <w:rFonts w:ascii="Times New Roman" w:hAnsi="Times New Roman"/>
          </w:rPr>
          <w:t>/</w:t>
        </w:r>
        <w:r w:rsidRPr="005C45A8">
          <w:rPr>
            <w:rStyle w:val="Hyperlink"/>
            <w:rFonts w:ascii="Times New Roman" w:hAnsi="Times New Roman"/>
          </w:rPr>
          <w:t>2244</w:t>
        </w:r>
        <w:r>
          <w:rPr>
            <w:rStyle w:val="Hyperlink"/>
            <w:rFonts w:ascii="Times New Roman" w:hAnsi="Times New Roman"/>
          </w:rPr>
          <w:t>/oj</w:t>
        </w:r>
      </w:hyperlink>
      <w:r>
        <w:rPr>
          <w:rFonts w:ascii="Times New Roman" w:hAnsi="Times New Roman"/>
        </w:rPr>
        <w:t xml:space="preserve">. </w:t>
      </w:r>
    </w:p>
  </w:footnote>
  <w:footnote w:id="8">
    <w:p w14:paraId="16666CCD" w14:textId="76AC56BF" w:rsidR="00B42A0F" w:rsidRPr="00264A0C" w:rsidRDefault="00B42A0F"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461</w:t>
      </w:r>
      <w:r>
        <w:rPr>
          <w:rFonts w:ascii="Times New Roman" w:hAnsi="Times New Roman"/>
        </w:rPr>
        <w:t xml:space="preserve">, </w:t>
      </w:r>
      <w:r w:rsidRPr="005C45A8">
        <w:rPr>
          <w:rFonts w:ascii="Times New Roman" w:hAnsi="Times New Roman"/>
        </w:rPr>
        <w:t>27</w:t>
      </w:r>
      <w:r>
        <w:rPr>
          <w:rFonts w:ascii="Times New Roman" w:hAnsi="Times New Roman"/>
        </w:rPr>
        <w:t>.</w:t>
      </w:r>
      <w:r w:rsidRPr="005C45A8">
        <w:rPr>
          <w:rFonts w:ascii="Times New Roman" w:hAnsi="Times New Roman"/>
        </w:rPr>
        <w:t>12</w:t>
      </w:r>
      <w:r>
        <w:rPr>
          <w:rFonts w:ascii="Times New Roman" w:hAnsi="Times New Roman"/>
        </w:rPr>
        <w:t>.</w:t>
      </w:r>
      <w:r w:rsidRPr="005C45A8">
        <w:rPr>
          <w:rFonts w:ascii="Times New Roman" w:hAnsi="Times New Roman"/>
        </w:rPr>
        <w:t>2021</w:t>
      </w:r>
      <w:r>
        <w:rPr>
          <w:rFonts w:ascii="Times New Roman" w:hAnsi="Times New Roman"/>
        </w:rPr>
        <w:t>, p. </w:t>
      </w:r>
      <w:r w:rsidRPr="005C45A8">
        <w:rPr>
          <w:rFonts w:ascii="Times New Roman" w:hAnsi="Times New Roman"/>
        </w:rPr>
        <w:t>5</w:t>
      </w:r>
      <w:r>
        <w:rPr>
          <w:rFonts w:ascii="Times New Roman" w:hAnsi="Times New Roman"/>
        </w:rPr>
        <w:t xml:space="preserve">, ELI: </w:t>
      </w:r>
      <w:hyperlink r:id="rId6" w:history="1">
        <w:r>
          <w:rPr>
            <w:rStyle w:val="Hyperlink"/>
            <w:rFonts w:ascii="Times New Roman" w:hAnsi="Times New Roman"/>
          </w:rPr>
          <w:t>http://data.europa.eu/eli/reg_del/</w:t>
        </w:r>
        <w:r w:rsidRPr="005C45A8">
          <w:rPr>
            <w:rStyle w:val="Hyperlink"/>
            <w:rFonts w:ascii="Times New Roman" w:hAnsi="Times New Roman"/>
          </w:rPr>
          <w:t>2021</w:t>
        </w:r>
        <w:r>
          <w:rPr>
            <w:rStyle w:val="Hyperlink"/>
            <w:rFonts w:ascii="Times New Roman" w:hAnsi="Times New Roman"/>
          </w:rPr>
          <w:t>/</w:t>
        </w:r>
        <w:r w:rsidRPr="005C45A8">
          <w:rPr>
            <w:rStyle w:val="Hyperlink"/>
            <w:rFonts w:ascii="Times New Roman" w:hAnsi="Times New Roman"/>
          </w:rPr>
          <w:t>2305</w:t>
        </w:r>
        <w:r>
          <w:rPr>
            <w:rStyle w:val="Hyperlink"/>
            <w:rFonts w:ascii="Times New Roman" w:hAnsi="Times New Roman"/>
          </w:rPr>
          <w:t>/oj</w:t>
        </w:r>
      </w:hyperlink>
      <w:r>
        <w:rPr>
          <w:rFonts w:ascii="Times New Roman" w:hAnsi="Times New Roman"/>
        </w:rPr>
        <w:t>.</w:t>
      </w:r>
    </w:p>
  </w:footnote>
  <w:footnote w:id="9">
    <w:p w14:paraId="76F975F5" w14:textId="4C88D20D" w:rsidR="00150F7B" w:rsidRPr="00150F7B" w:rsidRDefault="00150F7B" w:rsidP="00D54ED3">
      <w:pPr>
        <w:pStyle w:val="FootnoteText"/>
        <w:ind w:left="426" w:hanging="426"/>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122</w:t>
      </w:r>
      <w:r>
        <w:rPr>
          <w:rFonts w:ascii="Times New Roman" w:hAnsi="Times New Roman"/>
        </w:rPr>
        <w:t xml:space="preserve">, </w:t>
      </w:r>
      <w:r w:rsidRPr="005C45A8">
        <w:rPr>
          <w:rFonts w:ascii="Times New Roman" w:hAnsi="Times New Roman"/>
        </w:rPr>
        <w:t>25</w:t>
      </w:r>
      <w:r>
        <w:rPr>
          <w:rFonts w:ascii="Times New Roman" w:hAnsi="Times New Roman"/>
        </w:rPr>
        <w:t>.</w:t>
      </w:r>
      <w:r w:rsidRPr="005C45A8">
        <w:rPr>
          <w:rFonts w:ascii="Times New Roman" w:hAnsi="Times New Roman"/>
        </w:rPr>
        <w:t>4</w:t>
      </w:r>
      <w:r>
        <w:rPr>
          <w:rFonts w:ascii="Times New Roman" w:hAnsi="Times New Roman"/>
        </w:rPr>
        <w:t>.</w:t>
      </w:r>
      <w:r w:rsidRPr="005C45A8">
        <w:rPr>
          <w:rFonts w:ascii="Times New Roman" w:hAnsi="Times New Roman"/>
        </w:rPr>
        <w:t>2022</w:t>
      </w:r>
      <w:r>
        <w:rPr>
          <w:rFonts w:ascii="Times New Roman" w:hAnsi="Times New Roman"/>
        </w:rPr>
        <w:t>, p. </w:t>
      </w:r>
      <w:r w:rsidRPr="005C45A8">
        <w:rPr>
          <w:rFonts w:ascii="Times New Roman" w:hAnsi="Times New Roman"/>
        </w:rPr>
        <w:t>17</w:t>
      </w:r>
      <w:r>
        <w:rPr>
          <w:rFonts w:ascii="Times New Roman" w:hAnsi="Times New Roman"/>
        </w:rPr>
        <w:t xml:space="preserve">, ELI: </w:t>
      </w:r>
      <w:hyperlink r:id="rId7"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671</w:t>
        </w:r>
        <w:r>
          <w:rPr>
            <w:rStyle w:val="Hyperlink"/>
            <w:rFonts w:ascii="Times New Roman" w:hAnsi="Times New Roman"/>
          </w:rPr>
          <w:t>/oj</w:t>
        </w:r>
      </w:hyperlink>
      <w:r>
        <w:rPr>
          <w:rFonts w:ascii="Times New Roman" w:hAnsi="Times New Roman"/>
        </w:rPr>
        <w:t xml:space="preserve">. </w:t>
      </w:r>
    </w:p>
  </w:footnote>
  <w:footnote w:id="10">
    <w:p w14:paraId="13EEE3CF" w14:textId="278A95BA" w:rsidR="00A9029F" w:rsidRPr="005932C6" w:rsidRDefault="00A9029F" w:rsidP="00D54ED3">
      <w:pPr>
        <w:pStyle w:val="FootnoteText"/>
        <w:ind w:left="426" w:hanging="426"/>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162</w:t>
      </w:r>
      <w:r>
        <w:rPr>
          <w:rFonts w:ascii="Times New Roman" w:hAnsi="Times New Roman"/>
        </w:rPr>
        <w:t xml:space="preserve">, </w:t>
      </w:r>
      <w:r w:rsidRPr="005C45A8">
        <w:rPr>
          <w:rFonts w:ascii="Times New Roman" w:hAnsi="Times New Roman"/>
        </w:rPr>
        <w:t>17</w:t>
      </w:r>
      <w:r>
        <w:rPr>
          <w:rFonts w:ascii="Times New Roman" w:hAnsi="Times New Roman"/>
        </w:rPr>
        <w:t>.</w:t>
      </w:r>
      <w:r w:rsidRPr="005C45A8">
        <w:rPr>
          <w:rFonts w:ascii="Times New Roman" w:hAnsi="Times New Roman"/>
        </w:rPr>
        <w:t>6</w:t>
      </w:r>
      <w:r>
        <w:rPr>
          <w:rFonts w:ascii="Times New Roman" w:hAnsi="Times New Roman"/>
        </w:rPr>
        <w:t>.</w:t>
      </w:r>
      <w:r w:rsidRPr="005C45A8">
        <w:rPr>
          <w:rFonts w:ascii="Times New Roman" w:hAnsi="Times New Roman"/>
        </w:rPr>
        <w:t>2022</w:t>
      </w:r>
      <w:r>
        <w:rPr>
          <w:rFonts w:ascii="Times New Roman" w:hAnsi="Times New Roman"/>
        </w:rPr>
        <w:t>, p. </w:t>
      </w:r>
      <w:r w:rsidRPr="005C45A8">
        <w:rPr>
          <w:rFonts w:ascii="Times New Roman" w:hAnsi="Times New Roman"/>
        </w:rPr>
        <w:t>7</w:t>
      </w:r>
      <w:r>
        <w:rPr>
          <w:rFonts w:ascii="Times New Roman" w:hAnsi="Times New Roman"/>
        </w:rPr>
        <w:t xml:space="preserve">, ELI: </w:t>
      </w:r>
      <w:hyperlink r:id="rId8"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931</w:t>
        </w:r>
        <w:r>
          <w:rPr>
            <w:rStyle w:val="Hyperlink"/>
            <w:rFonts w:ascii="Times New Roman" w:hAnsi="Times New Roman"/>
          </w:rPr>
          <w:t>/oj</w:t>
        </w:r>
      </w:hyperlink>
      <w:r>
        <w:rPr>
          <w:rFonts w:ascii="Times New Roman" w:hAnsi="Times New Roman"/>
        </w:rPr>
        <w:t>.</w:t>
      </w:r>
    </w:p>
  </w:footnote>
  <w:footnote w:id="11">
    <w:p w14:paraId="4BB83D6D" w14:textId="0A9EC6DB" w:rsidR="005328DE" w:rsidRPr="0012148C" w:rsidRDefault="005328D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154</w:t>
      </w:r>
      <w:r>
        <w:rPr>
          <w:rFonts w:ascii="Times New Roman" w:hAnsi="Times New Roman"/>
        </w:rPr>
        <w:t xml:space="preserve">, </w:t>
      </w:r>
      <w:r w:rsidRPr="005C45A8">
        <w:rPr>
          <w:rFonts w:ascii="Times New Roman" w:hAnsi="Times New Roman"/>
        </w:rPr>
        <w:t>7</w:t>
      </w:r>
      <w:r>
        <w:rPr>
          <w:rFonts w:ascii="Times New Roman" w:hAnsi="Times New Roman"/>
        </w:rPr>
        <w:t>.</w:t>
      </w:r>
      <w:r w:rsidRPr="005C45A8">
        <w:rPr>
          <w:rFonts w:ascii="Times New Roman" w:hAnsi="Times New Roman"/>
        </w:rPr>
        <w:t>6</w:t>
      </w:r>
      <w:r>
        <w:rPr>
          <w:rFonts w:ascii="Times New Roman" w:hAnsi="Times New Roman"/>
        </w:rPr>
        <w:t>.</w:t>
      </w:r>
      <w:r w:rsidRPr="005C45A8">
        <w:rPr>
          <w:rFonts w:ascii="Times New Roman" w:hAnsi="Times New Roman"/>
        </w:rPr>
        <w:t>2022</w:t>
      </w:r>
      <w:r>
        <w:rPr>
          <w:rFonts w:ascii="Times New Roman" w:hAnsi="Times New Roman"/>
        </w:rPr>
        <w:t>, p.</w:t>
      </w:r>
      <w:bookmarkStart w:id="3" w:name="_Hlk231460693"/>
      <w:r>
        <w:rPr>
          <w:rFonts w:ascii="Times New Roman" w:hAnsi="Times New Roman"/>
        </w:rPr>
        <w:t> </w:t>
      </w:r>
      <w:bookmarkEnd w:id="3"/>
      <w:r w:rsidRPr="005C45A8">
        <w:rPr>
          <w:rFonts w:ascii="Times New Roman" w:hAnsi="Times New Roman"/>
        </w:rPr>
        <w:t>23</w:t>
      </w:r>
      <w:r>
        <w:rPr>
          <w:rFonts w:ascii="Times New Roman" w:hAnsi="Times New Roman"/>
        </w:rPr>
        <w:t xml:space="preserve">, ELI: </w:t>
      </w:r>
      <w:hyperlink r:id="rId9"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887</w:t>
        </w:r>
        <w:r>
          <w:rPr>
            <w:rStyle w:val="Hyperlink"/>
            <w:rFonts w:ascii="Times New Roman" w:hAnsi="Times New Roman"/>
          </w:rPr>
          <w:t>/oj</w:t>
        </w:r>
      </w:hyperlink>
      <w:r>
        <w:rPr>
          <w:rFonts w:ascii="Times New Roman" w:hAnsi="Times New Roman"/>
        </w:rPr>
        <w:t>.</w:t>
      </w:r>
    </w:p>
  </w:footnote>
  <w:footnote w:id="12">
    <w:p w14:paraId="6E0981A8" w14:textId="083F8193" w:rsidR="001A1A52" w:rsidRPr="0012148C" w:rsidRDefault="001A1A52"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243</w:t>
      </w:r>
      <w:r>
        <w:rPr>
          <w:rFonts w:ascii="Times New Roman" w:hAnsi="Times New Roman"/>
        </w:rPr>
        <w:t xml:space="preserve">, </w:t>
      </w:r>
      <w:r w:rsidRPr="005C45A8">
        <w:rPr>
          <w:rFonts w:ascii="Times New Roman" w:hAnsi="Times New Roman"/>
        </w:rPr>
        <w:t>20</w:t>
      </w:r>
      <w:r>
        <w:rPr>
          <w:rFonts w:ascii="Times New Roman" w:hAnsi="Times New Roman"/>
        </w:rPr>
        <w:t>.</w:t>
      </w:r>
      <w:r w:rsidRPr="005C45A8">
        <w:rPr>
          <w:rFonts w:ascii="Times New Roman" w:hAnsi="Times New Roman"/>
        </w:rPr>
        <w:t>9</w:t>
      </w:r>
      <w:r>
        <w:rPr>
          <w:rFonts w:ascii="Times New Roman" w:hAnsi="Times New Roman"/>
        </w:rPr>
        <w:t>.</w:t>
      </w:r>
      <w:r w:rsidRPr="005C45A8">
        <w:rPr>
          <w:rFonts w:ascii="Times New Roman" w:hAnsi="Times New Roman"/>
        </w:rPr>
        <w:t>2022</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10"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1615</w:t>
        </w:r>
        <w:r>
          <w:rPr>
            <w:rStyle w:val="Hyperlink"/>
            <w:rFonts w:ascii="Times New Roman" w:hAnsi="Times New Roman"/>
          </w:rPr>
          <w:t>/oj</w:t>
        </w:r>
      </w:hyperlink>
      <w:r>
        <w:rPr>
          <w:rFonts w:ascii="Times New Roman" w:hAnsi="Times New Roman"/>
        </w:rPr>
        <w:t>.</w:t>
      </w:r>
    </w:p>
  </w:footnote>
  <w:footnote w:id="13">
    <w:p w14:paraId="6FC13B8E" w14:textId="075A98DB" w:rsidR="002C576B" w:rsidRPr="002C576B" w:rsidRDefault="002C576B" w:rsidP="00D54ED3">
      <w:pPr>
        <w:pStyle w:val="FootnoteText"/>
        <w:ind w:left="426" w:hanging="426"/>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248</w:t>
      </w:r>
      <w:r>
        <w:rPr>
          <w:rFonts w:ascii="Times New Roman" w:hAnsi="Times New Roman"/>
        </w:rPr>
        <w:t xml:space="preserve">, </w:t>
      </w:r>
      <w:r w:rsidRPr="005C45A8">
        <w:rPr>
          <w:rFonts w:ascii="Times New Roman" w:hAnsi="Times New Roman"/>
        </w:rPr>
        <w:t>26</w:t>
      </w:r>
      <w:r>
        <w:rPr>
          <w:rFonts w:ascii="Times New Roman" w:hAnsi="Times New Roman"/>
        </w:rPr>
        <w:t>.</w:t>
      </w:r>
      <w:r w:rsidRPr="005C45A8">
        <w:rPr>
          <w:rFonts w:ascii="Times New Roman" w:hAnsi="Times New Roman"/>
        </w:rPr>
        <w:t>9</w:t>
      </w:r>
      <w:r>
        <w:rPr>
          <w:rFonts w:ascii="Times New Roman" w:hAnsi="Times New Roman"/>
        </w:rPr>
        <w:t>.</w:t>
      </w:r>
      <w:r w:rsidRPr="005C45A8">
        <w:rPr>
          <w:rFonts w:ascii="Times New Roman" w:hAnsi="Times New Roman"/>
        </w:rPr>
        <w:t>2022</w:t>
      </w:r>
      <w:r>
        <w:rPr>
          <w:rFonts w:ascii="Times New Roman" w:hAnsi="Times New Roman"/>
        </w:rPr>
        <w:t>, p. </w:t>
      </w:r>
      <w:r w:rsidRPr="005C45A8">
        <w:rPr>
          <w:rFonts w:ascii="Times New Roman" w:hAnsi="Times New Roman"/>
        </w:rPr>
        <w:t>3</w:t>
      </w:r>
      <w:r>
        <w:rPr>
          <w:rFonts w:ascii="Times New Roman" w:hAnsi="Times New Roman"/>
        </w:rPr>
        <w:t xml:space="preserve">, ELI: </w:t>
      </w:r>
      <w:hyperlink r:id="rId11"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1644</w:t>
        </w:r>
        <w:r>
          <w:rPr>
            <w:rStyle w:val="Hyperlink"/>
            <w:rFonts w:ascii="Times New Roman" w:hAnsi="Times New Roman"/>
          </w:rPr>
          <w:t>/oj</w:t>
        </w:r>
      </w:hyperlink>
      <w:r>
        <w:rPr>
          <w:rFonts w:ascii="Times New Roman" w:hAnsi="Times New Roman"/>
        </w:rPr>
        <w:t>.</w:t>
      </w:r>
    </w:p>
  </w:footnote>
  <w:footnote w:id="14">
    <w:p w14:paraId="2CF8D97C" w14:textId="39A6C2BB" w:rsidR="00E80539" w:rsidRPr="00726C37" w:rsidRDefault="00E80539" w:rsidP="00D54ED3">
      <w:pPr>
        <w:pStyle w:val="FootnoteText"/>
        <w:ind w:left="426" w:hanging="426"/>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251</w:t>
      </w:r>
      <w:r>
        <w:rPr>
          <w:rFonts w:ascii="Times New Roman" w:hAnsi="Times New Roman"/>
        </w:rPr>
        <w:t xml:space="preserve">, </w:t>
      </w:r>
      <w:r w:rsidRPr="005C45A8">
        <w:rPr>
          <w:rFonts w:ascii="Times New Roman" w:hAnsi="Times New Roman"/>
        </w:rPr>
        <w:t>29</w:t>
      </w:r>
      <w:r>
        <w:rPr>
          <w:rFonts w:ascii="Times New Roman" w:hAnsi="Times New Roman"/>
        </w:rPr>
        <w:t>.</w:t>
      </w:r>
      <w:r w:rsidRPr="005C45A8">
        <w:rPr>
          <w:rFonts w:ascii="Times New Roman" w:hAnsi="Times New Roman"/>
        </w:rPr>
        <w:t>9</w:t>
      </w:r>
      <w:r>
        <w:rPr>
          <w:rFonts w:ascii="Times New Roman" w:hAnsi="Times New Roman"/>
        </w:rPr>
        <w:t>.</w:t>
      </w:r>
      <w:r w:rsidRPr="005C45A8">
        <w:rPr>
          <w:rFonts w:ascii="Times New Roman" w:hAnsi="Times New Roman"/>
        </w:rPr>
        <w:t>2022</w:t>
      </w:r>
      <w:r>
        <w:rPr>
          <w:rFonts w:ascii="Times New Roman" w:hAnsi="Times New Roman"/>
        </w:rPr>
        <w:t>, p. </w:t>
      </w:r>
      <w:r w:rsidRPr="005C45A8">
        <w:rPr>
          <w:rFonts w:ascii="Times New Roman" w:hAnsi="Times New Roman"/>
        </w:rPr>
        <w:t>4</w:t>
      </w:r>
      <w:r>
        <w:rPr>
          <w:rFonts w:ascii="Times New Roman" w:hAnsi="Times New Roman"/>
        </w:rPr>
        <w:t xml:space="preserve">, ELI: </w:t>
      </w:r>
      <w:hyperlink r:id="rId12"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1667</w:t>
        </w:r>
        <w:r>
          <w:rPr>
            <w:rStyle w:val="Hyperlink"/>
            <w:rFonts w:ascii="Times New Roman" w:hAnsi="Times New Roman"/>
          </w:rPr>
          <w:t>/oj</w:t>
        </w:r>
      </w:hyperlink>
      <w:r>
        <w:rPr>
          <w:rFonts w:ascii="Times New Roman" w:hAnsi="Times New Roman"/>
        </w:rPr>
        <w:t xml:space="preserve">. </w:t>
      </w:r>
    </w:p>
  </w:footnote>
  <w:footnote w:id="15">
    <w:p w14:paraId="2315530D" w14:textId="4D894A1D" w:rsidR="007C07B6" w:rsidRPr="00726C37" w:rsidRDefault="007C07B6"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304</w:t>
      </w:r>
      <w:r>
        <w:rPr>
          <w:rFonts w:ascii="Times New Roman" w:hAnsi="Times New Roman"/>
        </w:rPr>
        <w:t xml:space="preserve">, </w:t>
      </w:r>
      <w:r w:rsidRPr="005C45A8">
        <w:rPr>
          <w:rFonts w:ascii="Times New Roman" w:hAnsi="Times New Roman"/>
        </w:rPr>
        <w:t>24</w:t>
      </w:r>
      <w:r>
        <w:rPr>
          <w:rFonts w:ascii="Times New Roman" w:hAnsi="Times New Roman"/>
        </w:rPr>
        <w:t>.</w:t>
      </w:r>
      <w:r w:rsidRPr="005C45A8">
        <w:rPr>
          <w:rFonts w:ascii="Times New Roman" w:hAnsi="Times New Roman"/>
        </w:rPr>
        <w:t>11</w:t>
      </w:r>
      <w:r>
        <w:rPr>
          <w:rFonts w:ascii="Times New Roman" w:hAnsi="Times New Roman"/>
        </w:rPr>
        <w:t>.</w:t>
      </w:r>
      <w:r w:rsidRPr="005C45A8">
        <w:rPr>
          <w:rFonts w:ascii="Times New Roman" w:hAnsi="Times New Roman"/>
        </w:rPr>
        <w:t>2022</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13"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2292</w:t>
        </w:r>
        <w:r>
          <w:rPr>
            <w:rStyle w:val="Hyperlink"/>
            <w:rFonts w:ascii="Times New Roman" w:hAnsi="Times New Roman"/>
          </w:rPr>
          <w:t>/oj</w:t>
        </w:r>
      </w:hyperlink>
      <w:r>
        <w:rPr>
          <w:rFonts w:ascii="Times New Roman" w:hAnsi="Times New Roman"/>
        </w:rPr>
        <w:t>.</w:t>
      </w:r>
    </w:p>
  </w:footnote>
  <w:footnote w:id="16">
    <w:p w14:paraId="7B2A05EE" w14:textId="26ED0DA2" w:rsidR="007C07B6" w:rsidRPr="00726C37" w:rsidRDefault="007C07B6"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299</w:t>
      </w:r>
      <w:r>
        <w:rPr>
          <w:rFonts w:ascii="Times New Roman" w:hAnsi="Times New Roman"/>
        </w:rPr>
        <w:t xml:space="preserve">, </w:t>
      </w:r>
      <w:r w:rsidRPr="005C45A8">
        <w:rPr>
          <w:rFonts w:ascii="Times New Roman" w:hAnsi="Times New Roman"/>
        </w:rPr>
        <w:t>18</w:t>
      </w:r>
      <w:r>
        <w:rPr>
          <w:rFonts w:ascii="Times New Roman" w:hAnsi="Times New Roman"/>
        </w:rPr>
        <w:t>.</w:t>
      </w:r>
      <w:r w:rsidRPr="005C45A8">
        <w:rPr>
          <w:rFonts w:ascii="Times New Roman" w:hAnsi="Times New Roman"/>
        </w:rPr>
        <w:t>11</w:t>
      </w:r>
      <w:r>
        <w:rPr>
          <w:rFonts w:ascii="Times New Roman" w:hAnsi="Times New Roman"/>
        </w:rPr>
        <w:t>.</w:t>
      </w:r>
      <w:r w:rsidRPr="005C45A8">
        <w:rPr>
          <w:rFonts w:ascii="Times New Roman" w:hAnsi="Times New Roman"/>
        </w:rPr>
        <w:t>2022</w:t>
      </w:r>
      <w:r>
        <w:rPr>
          <w:rFonts w:ascii="Times New Roman" w:hAnsi="Times New Roman"/>
        </w:rPr>
        <w:t>, p. </w:t>
      </w:r>
      <w:r w:rsidRPr="005C45A8">
        <w:rPr>
          <w:rFonts w:ascii="Times New Roman" w:hAnsi="Times New Roman"/>
        </w:rPr>
        <w:t>5</w:t>
      </w:r>
      <w:r>
        <w:rPr>
          <w:rFonts w:ascii="Times New Roman" w:hAnsi="Times New Roman"/>
        </w:rPr>
        <w:t xml:space="preserve">, ELI: </w:t>
      </w:r>
      <w:hyperlink r:id="rId14" w:history="1">
        <w:r>
          <w:rPr>
            <w:rStyle w:val="Hyperlink"/>
            <w:rFonts w:ascii="Times New Roman" w:hAnsi="Times New Roman"/>
          </w:rPr>
          <w:t>http://data.europa.eu/eli/reg_del/</w:t>
        </w:r>
        <w:r w:rsidRPr="005C45A8">
          <w:rPr>
            <w:rStyle w:val="Hyperlink"/>
            <w:rFonts w:ascii="Times New Roman" w:hAnsi="Times New Roman"/>
          </w:rPr>
          <w:t>2022</w:t>
        </w:r>
        <w:r>
          <w:rPr>
            <w:rStyle w:val="Hyperlink"/>
            <w:rFonts w:ascii="Times New Roman" w:hAnsi="Times New Roman"/>
          </w:rPr>
          <w:t>/</w:t>
        </w:r>
        <w:r w:rsidRPr="005C45A8">
          <w:rPr>
            <w:rStyle w:val="Hyperlink"/>
            <w:rFonts w:ascii="Times New Roman" w:hAnsi="Times New Roman"/>
          </w:rPr>
          <w:t>2258</w:t>
        </w:r>
        <w:r>
          <w:rPr>
            <w:rStyle w:val="Hyperlink"/>
            <w:rFonts w:ascii="Times New Roman" w:hAnsi="Times New Roman"/>
          </w:rPr>
          <w:t>/oj</w:t>
        </w:r>
      </w:hyperlink>
      <w:r>
        <w:rPr>
          <w:rFonts w:ascii="Times New Roman" w:hAnsi="Times New Roman"/>
        </w:rPr>
        <w:t>.</w:t>
      </w:r>
    </w:p>
  </w:footnote>
  <w:footnote w:id="17">
    <w:p w14:paraId="56FB643A" w14:textId="6F30C42F" w:rsidR="0034452E" w:rsidRPr="00264A0C" w:rsidRDefault="0034452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26</w:t>
      </w:r>
      <w:r>
        <w:rPr>
          <w:rFonts w:ascii="Times New Roman" w:hAnsi="Times New Roman"/>
        </w:rPr>
        <w:t xml:space="preserve">, </w:t>
      </w:r>
      <w:r w:rsidRPr="005C45A8">
        <w:rPr>
          <w:rFonts w:ascii="Times New Roman" w:hAnsi="Times New Roman"/>
        </w:rPr>
        <w:t>30</w:t>
      </w:r>
      <w:r>
        <w:rPr>
          <w:rFonts w:ascii="Times New Roman" w:hAnsi="Times New Roman"/>
        </w:rPr>
        <w:t>.</w:t>
      </w:r>
      <w:r w:rsidRPr="005C45A8">
        <w:rPr>
          <w:rFonts w:ascii="Times New Roman" w:hAnsi="Times New Roman"/>
        </w:rPr>
        <w:t>1</w:t>
      </w:r>
      <w:r>
        <w:rPr>
          <w:rFonts w:ascii="Times New Roman" w:hAnsi="Times New Roman"/>
        </w:rPr>
        <w:t>.</w:t>
      </w:r>
      <w:r w:rsidRPr="005C45A8">
        <w:rPr>
          <w:rFonts w:ascii="Times New Roman" w:hAnsi="Times New Roman"/>
        </w:rPr>
        <w:t>2023</w:t>
      </w:r>
      <w:r>
        <w:rPr>
          <w:rFonts w:ascii="Times New Roman" w:hAnsi="Times New Roman"/>
        </w:rPr>
        <w:t>, p. </w:t>
      </w:r>
      <w:r w:rsidRPr="005C45A8">
        <w:rPr>
          <w:rFonts w:ascii="Times New Roman" w:hAnsi="Times New Roman"/>
        </w:rPr>
        <w:t>5</w:t>
      </w:r>
      <w:r>
        <w:rPr>
          <w:rFonts w:ascii="Times New Roman" w:hAnsi="Times New Roman"/>
        </w:rPr>
        <w:t xml:space="preserve">, ELI: </w:t>
      </w:r>
      <w:hyperlink r:id="rId15" w:history="1">
        <w:r>
          <w:rPr>
            <w:rStyle w:val="Hyperlink"/>
            <w:rFonts w:ascii="Times New Roman" w:hAnsi="Times New Roman"/>
          </w:rPr>
          <w:t>http://data.europa.eu/eli/reg_del/</w:t>
        </w:r>
        <w:r w:rsidRPr="005C45A8">
          <w:rPr>
            <w:rStyle w:val="Hyperlink"/>
            <w:rFonts w:ascii="Times New Roman" w:hAnsi="Times New Roman"/>
          </w:rPr>
          <w:t>2023</w:t>
        </w:r>
        <w:r>
          <w:rPr>
            <w:rStyle w:val="Hyperlink"/>
            <w:rFonts w:ascii="Times New Roman" w:hAnsi="Times New Roman"/>
          </w:rPr>
          <w:t>/</w:t>
        </w:r>
        <w:r w:rsidRPr="005C45A8">
          <w:rPr>
            <w:rStyle w:val="Hyperlink"/>
            <w:rFonts w:ascii="Times New Roman" w:hAnsi="Times New Roman"/>
          </w:rPr>
          <w:t>182</w:t>
        </w:r>
        <w:r>
          <w:rPr>
            <w:rStyle w:val="Hyperlink"/>
            <w:rFonts w:ascii="Times New Roman" w:hAnsi="Times New Roman"/>
          </w:rPr>
          <w:t>/oj</w:t>
        </w:r>
      </w:hyperlink>
      <w:r>
        <w:rPr>
          <w:rFonts w:ascii="Times New Roman" w:hAnsi="Times New Roman"/>
        </w:rPr>
        <w:t>.</w:t>
      </w:r>
    </w:p>
  </w:footnote>
  <w:footnote w:id="18">
    <w:p w14:paraId="25099B72" w14:textId="3CE33217" w:rsidR="0034452E" w:rsidRPr="00264A0C" w:rsidRDefault="0034452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109</w:t>
      </w:r>
      <w:r>
        <w:rPr>
          <w:rFonts w:ascii="Times New Roman" w:hAnsi="Times New Roman"/>
        </w:rPr>
        <w:t xml:space="preserve">, </w:t>
      </w:r>
      <w:r w:rsidRPr="005C45A8">
        <w:rPr>
          <w:rFonts w:ascii="Times New Roman" w:hAnsi="Times New Roman"/>
        </w:rPr>
        <w:t>24</w:t>
      </w:r>
      <w:r>
        <w:rPr>
          <w:rFonts w:ascii="Times New Roman" w:hAnsi="Times New Roman"/>
        </w:rPr>
        <w:t>.</w:t>
      </w:r>
      <w:r w:rsidRPr="005C45A8">
        <w:rPr>
          <w:rFonts w:ascii="Times New Roman" w:hAnsi="Times New Roman"/>
        </w:rPr>
        <w:t>4</w:t>
      </w:r>
      <w:r>
        <w:rPr>
          <w:rFonts w:ascii="Times New Roman" w:hAnsi="Times New Roman"/>
        </w:rPr>
        <w:t>.</w:t>
      </w:r>
      <w:r w:rsidRPr="005C45A8">
        <w:rPr>
          <w:rFonts w:ascii="Times New Roman" w:hAnsi="Times New Roman"/>
        </w:rPr>
        <w:t>2023</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16" w:history="1">
        <w:r>
          <w:rPr>
            <w:rStyle w:val="Hyperlink"/>
            <w:rFonts w:ascii="Times New Roman" w:hAnsi="Times New Roman"/>
          </w:rPr>
          <w:t>http://data.europa.eu/eli/reg_del/</w:t>
        </w:r>
        <w:r w:rsidRPr="005C45A8">
          <w:rPr>
            <w:rStyle w:val="Hyperlink"/>
            <w:rFonts w:ascii="Times New Roman" w:hAnsi="Times New Roman"/>
          </w:rPr>
          <w:t>2023</w:t>
        </w:r>
        <w:r>
          <w:rPr>
            <w:rStyle w:val="Hyperlink"/>
            <w:rFonts w:ascii="Times New Roman" w:hAnsi="Times New Roman"/>
          </w:rPr>
          <w:t>/</w:t>
        </w:r>
        <w:r w:rsidRPr="005C45A8">
          <w:rPr>
            <w:rStyle w:val="Hyperlink"/>
            <w:rFonts w:ascii="Times New Roman" w:hAnsi="Times New Roman"/>
          </w:rPr>
          <w:t>842</w:t>
        </w:r>
        <w:r>
          <w:rPr>
            <w:rStyle w:val="Hyperlink"/>
            <w:rFonts w:ascii="Times New Roman" w:hAnsi="Times New Roman"/>
          </w:rPr>
          <w:t>/oj</w:t>
        </w:r>
      </w:hyperlink>
      <w:r>
        <w:rPr>
          <w:rFonts w:ascii="Times New Roman" w:hAnsi="Times New Roman"/>
        </w:rPr>
        <w:t>.</w:t>
      </w:r>
    </w:p>
  </w:footnote>
  <w:footnote w:id="19">
    <w:p w14:paraId="04267168" w14:textId="73056F4C"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152</w:t>
      </w:r>
      <w:r>
        <w:rPr>
          <w:rFonts w:ascii="Times New Roman" w:hAnsi="Times New Roman"/>
        </w:rPr>
        <w:t xml:space="preserve">, </w:t>
      </w:r>
      <w:r w:rsidRPr="005C45A8">
        <w:rPr>
          <w:rFonts w:ascii="Times New Roman" w:hAnsi="Times New Roman"/>
        </w:rPr>
        <w:t>13</w:t>
      </w:r>
      <w:r>
        <w:rPr>
          <w:rFonts w:ascii="Times New Roman" w:hAnsi="Times New Roman"/>
        </w:rPr>
        <w:t>.</w:t>
      </w:r>
      <w:r w:rsidRPr="005C45A8">
        <w:rPr>
          <w:rFonts w:ascii="Times New Roman" w:hAnsi="Times New Roman"/>
        </w:rPr>
        <w:t>6</w:t>
      </w:r>
      <w:r>
        <w:rPr>
          <w:rFonts w:ascii="Times New Roman" w:hAnsi="Times New Roman"/>
        </w:rPr>
        <w:t>.</w:t>
      </w:r>
      <w:r w:rsidRPr="005C45A8">
        <w:rPr>
          <w:rFonts w:ascii="Times New Roman" w:hAnsi="Times New Roman"/>
        </w:rPr>
        <w:t>2023</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17" w:history="1">
        <w:r>
          <w:rPr>
            <w:rStyle w:val="Hyperlink"/>
            <w:rFonts w:ascii="Times New Roman" w:hAnsi="Times New Roman"/>
          </w:rPr>
          <w:t>http://data.europa.eu/eli/reg_del/</w:t>
        </w:r>
        <w:r w:rsidRPr="005C45A8">
          <w:rPr>
            <w:rStyle w:val="Hyperlink"/>
            <w:rFonts w:ascii="Times New Roman" w:hAnsi="Times New Roman"/>
          </w:rPr>
          <w:t>2023</w:t>
        </w:r>
        <w:r>
          <w:rPr>
            <w:rStyle w:val="Hyperlink"/>
            <w:rFonts w:ascii="Times New Roman" w:hAnsi="Times New Roman"/>
          </w:rPr>
          <w:t>/</w:t>
        </w:r>
        <w:r w:rsidRPr="005C45A8">
          <w:rPr>
            <w:rStyle w:val="Hyperlink"/>
            <w:rFonts w:ascii="Times New Roman" w:hAnsi="Times New Roman"/>
          </w:rPr>
          <w:t>1149</w:t>
        </w:r>
        <w:r>
          <w:rPr>
            <w:rStyle w:val="Hyperlink"/>
            <w:rFonts w:ascii="Times New Roman" w:hAnsi="Times New Roman"/>
          </w:rPr>
          <w:t>/oj</w:t>
        </w:r>
      </w:hyperlink>
      <w:r>
        <w:rPr>
          <w:rFonts w:ascii="Times New Roman" w:hAnsi="Times New Roman"/>
        </w:rPr>
        <w:t>.</w:t>
      </w:r>
    </w:p>
  </w:footnote>
  <w:footnote w:id="20">
    <w:p w14:paraId="2EA6F87F" w14:textId="328BB9BC"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216</w:t>
      </w:r>
      <w:r>
        <w:rPr>
          <w:rFonts w:ascii="Times New Roman" w:hAnsi="Times New Roman"/>
        </w:rPr>
        <w:t xml:space="preserve">, </w:t>
      </w:r>
      <w:r w:rsidRPr="005C45A8">
        <w:rPr>
          <w:rFonts w:ascii="Times New Roman" w:hAnsi="Times New Roman"/>
        </w:rPr>
        <w:t>1</w:t>
      </w:r>
      <w:r>
        <w:rPr>
          <w:rFonts w:ascii="Times New Roman" w:hAnsi="Times New Roman"/>
        </w:rPr>
        <w:t>.</w:t>
      </w:r>
      <w:r w:rsidRPr="005C45A8">
        <w:rPr>
          <w:rFonts w:ascii="Times New Roman" w:hAnsi="Times New Roman"/>
        </w:rPr>
        <w:t>9</w:t>
      </w:r>
      <w:r>
        <w:rPr>
          <w:rFonts w:ascii="Times New Roman" w:hAnsi="Times New Roman"/>
        </w:rPr>
        <w:t>.</w:t>
      </w:r>
      <w:r w:rsidRPr="005C45A8">
        <w:rPr>
          <w:rFonts w:ascii="Times New Roman" w:hAnsi="Times New Roman"/>
        </w:rPr>
        <w:t>2023</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18" w:history="1">
        <w:r>
          <w:rPr>
            <w:rStyle w:val="Hyperlink"/>
            <w:rFonts w:ascii="Times New Roman" w:hAnsi="Times New Roman"/>
          </w:rPr>
          <w:t>http://data.europa.eu/eli/reg_del/</w:t>
        </w:r>
        <w:r w:rsidRPr="005C45A8">
          <w:rPr>
            <w:rStyle w:val="Hyperlink"/>
            <w:rFonts w:ascii="Times New Roman" w:hAnsi="Times New Roman"/>
          </w:rPr>
          <w:t>2023</w:t>
        </w:r>
        <w:r>
          <w:rPr>
            <w:rStyle w:val="Hyperlink"/>
            <w:rFonts w:ascii="Times New Roman" w:hAnsi="Times New Roman"/>
          </w:rPr>
          <w:t>/</w:t>
        </w:r>
        <w:r w:rsidRPr="005C45A8">
          <w:rPr>
            <w:rStyle w:val="Hyperlink"/>
            <w:rFonts w:ascii="Times New Roman" w:hAnsi="Times New Roman"/>
          </w:rPr>
          <w:t>1674</w:t>
        </w:r>
        <w:r>
          <w:rPr>
            <w:rStyle w:val="Hyperlink"/>
            <w:rFonts w:ascii="Times New Roman" w:hAnsi="Times New Roman"/>
          </w:rPr>
          <w:t>/oj</w:t>
        </w:r>
      </w:hyperlink>
      <w:r>
        <w:rPr>
          <w:rFonts w:ascii="Times New Roman" w:hAnsi="Times New Roman"/>
        </w:rPr>
        <w:t>.</w:t>
      </w:r>
    </w:p>
  </w:footnote>
  <w:footnote w:id="21">
    <w:p w14:paraId="0170EFA0" w14:textId="35613657" w:rsidR="00295DC4" w:rsidRPr="0012148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2023</w:t>
      </w:r>
      <w:r>
        <w:rPr>
          <w:rFonts w:ascii="Times New Roman" w:hAnsi="Times New Roman"/>
        </w:rPr>
        <w:t>/</w:t>
      </w:r>
      <w:r w:rsidRPr="005C45A8">
        <w:rPr>
          <w:rFonts w:ascii="Times New Roman" w:hAnsi="Times New Roman"/>
        </w:rPr>
        <w:t>2652</w:t>
      </w:r>
      <w:r>
        <w:rPr>
          <w:rFonts w:ascii="Times New Roman" w:hAnsi="Times New Roman"/>
        </w:rPr>
        <w:t xml:space="preserve">, </w:t>
      </w:r>
      <w:r w:rsidRPr="005C45A8">
        <w:rPr>
          <w:rFonts w:ascii="Times New Roman" w:hAnsi="Times New Roman"/>
        </w:rPr>
        <w:t>28</w:t>
      </w:r>
      <w:r>
        <w:rPr>
          <w:rFonts w:ascii="Times New Roman" w:hAnsi="Times New Roman"/>
        </w:rPr>
        <w:t>.</w:t>
      </w:r>
      <w:r w:rsidRPr="005C45A8">
        <w:rPr>
          <w:rFonts w:ascii="Times New Roman" w:hAnsi="Times New Roman"/>
        </w:rPr>
        <w:t>11</w:t>
      </w:r>
      <w:r>
        <w:rPr>
          <w:rFonts w:ascii="Times New Roman" w:hAnsi="Times New Roman"/>
        </w:rPr>
        <w:t>.</w:t>
      </w:r>
      <w:r w:rsidRPr="005C45A8">
        <w:rPr>
          <w:rFonts w:ascii="Times New Roman" w:hAnsi="Times New Roman"/>
        </w:rPr>
        <w:t>2023</w:t>
      </w:r>
      <w:r>
        <w:rPr>
          <w:rFonts w:ascii="Times New Roman" w:hAnsi="Times New Roman"/>
        </w:rPr>
        <w:t xml:space="preserve">, ELI: </w:t>
      </w:r>
      <w:hyperlink r:id="rId19" w:history="1">
        <w:r>
          <w:rPr>
            <w:rStyle w:val="Hyperlink"/>
            <w:rFonts w:ascii="Times New Roman" w:hAnsi="Times New Roman"/>
          </w:rPr>
          <w:t>http://data.europa.eu/eli/reg_del/</w:t>
        </w:r>
        <w:r w:rsidRPr="005C45A8">
          <w:rPr>
            <w:rStyle w:val="Hyperlink"/>
            <w:rFonts w:ascii="Times New Roman" w:hAnsi="Times New Roman"/>
          </w:rPr>
          <w:t>2023</w:t>
        </w:r>
        <w:r>
          <w:rPr>
            <w:rStyle w:val="Hyperlink"/>
            <w:rFonts w:ascii="Times New Roman" w:hAnsi="Times New Roman"/>
          </w:rPr>
          <w:t>/</w:t>
        </w:r>
        <w:r w:rsidRPr="005C45A8">
          <w:rPr>
            <w:rStyle w:val="Hyperlink"/>
            <w:rFonts w:ascii="Times New Roman" w:hAnsi="Times New Roman"/>
          </w:rPr>
          <w:t>2652</w:t>
        </w:r>
        <w:r>
          <w:rPr>
            <w:rStyle w:val="Hyperlink"/>
            <w:rFonts w:ascii="Times New Roman" w:hAnsi="Times New Roman"/>
          </w:rPr>
          <w:t>/oj</w:t>
        </w:r>
      </w:hyperlink>
      <w:r>
        <w:rPr>
          <w:rFonts w:ascii="Times New Roman" w:hAnsi="Times New Roman"/>
        </w:rPr>
        <w:t>.</w:t>
      </w:r>
    </w:p>
  </w:footnote>
  <w:footnote w:id="22">
    <w:p w14:paraId="5DB14DB0" w14:textId="6D6E87A9"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2024</w:t>
      </w:r>
      <w:r>
        <w:rPr>
          <w:rFonts w:ascii="Times New Roman" w:hAnsi="Times New Roman"/>
        </w:rPr>
        <w:t>/</w:t>
      </w:r>
      <w:r w:rsidRPr="005C45A8">
        <w:rPr>
          <w:rFonts w:ascii="Times New Roman" w:hAnsi="Times New Roman"/>
        </w:rPr>
        <w:t>950</w:t>
      </w:r>
      <w:r>
        <w:rPr>
          <w:rFonts w:ascii="Times New Roman" w:hAnsi="Times New Roman"/>
        </w:rPr>
        <w:t xml:space="preserve">, </w:t>
      </w:r>
      <w:r w:rsidRPr="005C45A8">
        <w:rPr>
          <w:rFonts w:ascii="Times New Roman" w:hAnsi="Times New Roman"/>
        </w:rPr>
        <w:t>26</w:t>
      </w:r>
      <w:r>
        <w:rPr>
          <w:rFonts w:ascii="Times New Roman" w:hAnsi="Times New Roman"/>
        </w:rPr>
        <w:t>.</w:t>
      </w:r>
      <w:r w:rsidRPr="005C45A8">
        <w:rPr>
          <w:rFonts w:ascii="Times New Roman" w:hAnsi="Times New Roman"/>
        </w:rPr>
        <w:t>3</w:t>
      </w:r>
      <w:r>
        <w:rPr>
          <w:rFonts w:ascii="Times New Roman" w:hAnsi="Times New Roman"/>
        </w:rPr>
        <w:t>.</w:t>
      </w:r>
      <w:r w:rsidRPr="005C45A8">
        <w:rPr>
          <w:rFonts w:ascii="Times New Roman" w:hAnsi="Times New Roman"/>
        </w:rPr>
        <w:t>2024</w:t>
      </w:r>
      <w:r>
        <w:rPr>
          <w:rFonts w:ascii="Times New Roman" w:hAnsi="Times New Roman"/>
        </w:rPr>
        <w:t xml:space="preserve">, ELI: </w:t>
      </w:r>
      <w:hyperlink r:id="rId20" w:history="1">
        <w:r>
          <w:rPr>
            <w:rStyle w:val="Hyperlink"/>
            <w:rFonts w:ascii="Times New Roman" w:hAnsi="Times New Roman"/>
          </w:rPr>
          <w:t>http://data.europa.eu/eli/reg_del/</w:t>
        </w:r>
        <w:r w:rsidRPr="005C45A8">
          <w:rPr>
            <w:rStyle w:val="Hyperlink"/>
            <w:rFonts w:ascii="Times New Roman" w:hAnsi="Times New Roman"/>
          </w:rPr>
          <w:t>2024</w:t>
        </w:r>
        <w:r>
          <w:rPr>
            <w:rStyle w:val="Hyperlink"/>
            <w:rFonts w:ascii="Times New Roman" w:hAnsi="Times New Roman"/>
          </w:rPr>
          <w:t>/</w:t>
        </w:r>
        <w:r w:rsidRPr="005C45A8">
          <w:rPr>
            <w:rStyle w:val="Hyperlink"/>
            <w:rFonts w:ascii="Times New Roman" w:hAnsi="Times New Roman"/>
          </w:rPr>
          <w:t>950</w:t>
        </w:r>
        <w:r>
          <w:rPr>
            <w:rStyle w:val="Hyperlink"/>
            <w:rFonts w:ascii="Times New Roman" w:hAnsi="Times New Roman"/>
          </w:rPr>
          <w:t>/oj</w:t>
        </w:r>
      </w:hyperlink>
      <w:r>
        <w:rPr>
          <w:rFonts w:ascii="Times New Roman" w:hAnsi="Times New Roman"/>
        </w:rPr>
        <w:t>.</w:t>
      </w:r>
    </w:p>
  </w:footnote>
  <w:footnote w:id="23">
    <w:p w14:paraId="476A747D" w14:textId="4457595A" w:rsidR="00E0684D" w:rsidRPr="00264A0C" w:rsidRDefault="00E0684D"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2024</w:t>
      </w:r>
      <w:r>
        <w:rPr>
          <w:rFonts w:ascii="Times New Roman" w:hAnsi="Times New Roman"/>
        </w:rPr>
        <w:t>/</w:t>
      </w:r>
      <w:r w:rsidRPr="005C45A8">
        <w:rPr>
          <w:rFonts w:ascii="Times New Roman" w:hAnsi="Times New Roman"/>
        </w:rPr>
        <w:t>1004</w:t>
      </w:r>
      <w:r>
        <w:rPr>
          <w:rFonts w:ascii="Times New Roman" w:hAnsi="Times New Roman"/>
        </w:rPr>
        <w:t xml:space="preserve">, </w:t>
      </w:r>
      <w:r w:rsidRPr="005C45A8">
        <w:rPr>
          <w:rFonts w:ascii="Times New Roman" w:hAnsi="Times New Roman"/>
        </w:rPr>
        <w:t>3</w:t>
      </w:r>
      <w:r>
        <w:rPr>
          <w:rFonts w:ascii="Times New Roman" w:hAnsi="Times New Roman"/>
        </w:rPr>
        <w:t>.</w:t>
      </w:r>
      <w:r w:rsidRPr="005C45A8">
        <w:rPr>
          <w:rFonts w:ascii="Times New Roman" w:hAnsi="Times New Roman"/>
        </w:rPr>
        <w:t>4</w:t>
      </w:r>
      <w:r>
        <w:rPr>
          <w:rFonts w:ascii="Times New Roman" w:hAnsi="Times New Roman"/>
        </w:rPr>
        <w:t>.</w:t>
      </w:r>
      <w:r w:rsidRPr="005C45A8">
        <w:rPr>
          <w:rFonts w:ascii="Times New Roman" w:hAnsi="Times New Roman"/>
        </w:rPr>
        <w:t>2024</w:t>
      </w:r>
      <w:r>
        <w:rPr>
          <w:rFonts w:ascii="Times New Roman" w:hAnsi="Times New Roman"/>
        </w:rPr>
        <w:t xml:space="preserve">, ELI: </w:t>
      </w:r>
      <w:hyperlink r:id="rId21" w:history="1">
        <w:r>
          <w:rPr>
            <w:rStyle w:val="Hyperlink"/>
            <w:rFonts w:ascii="Times New Roman" w:hAnsi="Times New Roman"/>
          </w:rPr>
          <w:t>http://data.europa.eu/eli/reg_del/</w:t>
        </w:r>
        <w:r w:rsidRPr="005C45A8">
          <w:rPr>
            <w:rStyle w:val="Hyperlink"/>
            <w:rFonts w:ascii="Times New Roman" w:hAnsi="Times New Roman"/>
          </w:rPr>
          <w:t>2024</w:t>
        </w:r>
        <w:r>
          <w:rPr>
            <w:rStyle w:val="Hyperlink"/>
            <w:rFonts w:ascii="Times New Roman" w:hAnsi="Times New Roman"/>
          </w:rPr>
          <w:t>/</w:t>
        </w:r>
        <w:r w:rsidRPr="005C45A8">
          <w:rPr>
            <w:rStyle w:val="Hyperlink"/>
            <w:rFonts w:ascii="Times New Roman" w:hAnsi="Times New Roman"/>
          </w:rPr>
          <w:t>1004</w:t>
        </w:r>
        <w:r>
          <w:rPr>
            <w:rStyle w:val="Hyperlink"/>
            <w:rFonts w:ascii="Times New Roman" w:hAnsi="Times New Roman"/>
          </w:rPr>
          <w:t>/oj</w:t>
        </w:r>
      </w:hyperlink>
      <w:r>
        <w:rPr>
          <w:rFonts w:ascii="Times New Roman" w:hAnsi="Times New Roman"/>
        </w:rPr>
        <w:t>.</w:t>
      </w:r>
    </w:p>
  </w:footnote>
  <w:footnote w:id="24">
    <w:p w14:paraId="4A76CB59" w14:textId="660BAE61" w:rsidR="00BB7C34" w:rsidRPr="00BB7C34" w:rsidRDefault="00BB7C34" w:rsidP="00D54ED3">
      <w:pPr>
        <w:pStyle w:val="FootnoteText"/>
        <w:ind w:left="426" w:hanging="426"/>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2024</w:t>
      </w:r>
      <w:r>
        <w:rPr>
          <w:rFonts w:ascii="Times New Roman" w:hAnsi="Times New Roman"/>
        </w:rPr>
        <w:t>/</w:t>
      </w:r>
      <w:r w:rsidRPr="005C45A8">
        <w:rPr>
          <w:rFonts w:ascii="Times New Roman" w:hAnsi="Times New Roman"/>
        </w:rPr>
        <w:t>2562</w:t>
      </w:r>
      <w:r>
        <w:rPr>
          <w:rFonts w:ascii="Times New Roman" w:hAnsi="Times New Roman"/>
        </w:rPr>
        <w:t xml:space="preserve">, </w:t>
      </w:r>
      <w:r w:rsidRPr="005C45A8">
        <w:rPr>
          <w:rFonts w:ascii="Times New Roman" w:hAnsi="Times New Roman"/>
        </w:rPr>
        <w:t>27</w:t>
      </w:r>
      <w:r>
        <w:rPr>
          <w:rFonts w:ascii="Times New Roman" w:hAnsi="Times New Roman"/>
        </w:rPr>
        <w:t>.</w:t>
      </w:r>
      <w:r w:rsidRPr="005C45A8">
        <w:rPr>
          <w:rFonts w:ascii="Times New Roman" w:hAnsi="Times New Roman"/>
        </w:rPr>
        <w:t>9</w:t>
      </w:r>
      <w:r>
        <w:rPr>
          <w:rFonts w:ascii="Times New Roman" w:hAnsi="Times New Roman"/>
        </w:rPr>
        <w:t>.</w:t>
      </w:r>
      <w:r w:rsidRPr="005C45A8">
        <w:rPr>
          <w:rFonts w:ascii="Times New Roman" w:hAnsi="Times New Roman"/>
        </w:rPr>
        <w:t>2024</w:t>
      </w:r>
      <w:r>
        <w:rPr>
          <w:rFonts w:ascii="Times New Roman" w:hAnsi="Times New Roman"/>
        </w:rPr>
        <w:t xml:space="preserve">, ELI: </w:t>
      </w:r>
      <w:hyperlink r:id="rId22" w:history="1">
        <w:r>
          <w:rPr>
            <w:rStyle w:val="Hyperlink"/>
            <w:rFonts w:ascii="Times New Roman" w:hAnsi="Times New Roman"/>
          </w:rPr>
          <w:t>http://data.europa.eu/eli/reg_del/</w:t>
        </w:r>
        <w:r w:rsidRPr="005C45A8">
          <w:rPr>
            <w:rStyle w:val="Hyperlink"/>
            <w:rFonts w:ascii="Times New Roman" w:hAnsi="Times New Roman"/>
          </w:rPr>
          <w:t>2024</w:t>
        </w:r>
        <w:r>
          <w:rPr>
            <w:rStyle w:val="Hyperlink"/>
            <w:rFonts w:ascii="Times New Roman" w:hAnsi="Times New Roman"/>
          </w:rPr>
          <w:t>/</w:t>
        </w:r>
        <w:r w:rsidRPr="005C45A8">
          <w:rPr>
            <w:rStyle w:val="Hyperlink"/>
            <w:rFonts w:ascii="Times New Roman" w:hAnsi="Times New Roman"/>
          </w:rPr>
          <w:t>2562</w:t>
        </w:r>
        <w:r>
          <w:rPr>
            <w:rStyle w:val="Hyperlink"/>
            <w:rFonts w:ascii="Times New Roman" w:hAnsi="Times New Roman"/>
          </w:rPr>
          <w:t>/oj</w:t>
        </w:r>
      </w:hyperlink>
      <w:r>
        <w:rPr>
          <w:rFonts w:ascii="Times New Roman" w:hAnsi="Times New Roman"/>
        </w:rPr>
        <w:t>.</w:t>
      </w:r>
    </w:p>
  </w:footnote>
  <w:footnote w:id="25">
    <w:p w14:paraId="2CF86AEA" w14:textId="692DB386" w:rsidR="0012410E" w:rsidRPr="00264A0C" w:rsidRDefault="0012410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2024</w:t>
      </w:r>
      <w:r>
        <w:rPr>
          <w:rFonts w:ascii="Times New Roman" w:hAnsi="Times New Roman"/>
        </w:rPr>
        <w:t>/</w:t>
      </w:r>
      <w:r w:rsidRPr="005C45A8">
        <w:rPr>
          <w:rFonts w:ascii="Times New Roman" w:hAnsi="Times New Roman"/>
        </w:rPr>
        <w:t>2104</w:t>
      </w:r>
      <w:r>
        <w:rPr>
          <w:rFonts w:ascii="Times New Roman" w:hAnsi="Times New Roman"/>
        </w:rPr>
        <w:t xml:space="preserve">, </w:t>
      </w:r>
      <w:r w:rsidRPr="005C45A8">
        <w:rPr>
          <w:rFonts w:ascii="Times New Roman" w:hAnsi="Times New Roman"/>
        </w:rPr>
        <w:t>25</w:t>
      </w:r>
      <w:r>
        <w:rPr>
          <w:rFonts w:ascii="Times New Roman" w:hAnsi="Times New Roman"/>
        </w:rPr>
        <w:t>.</w:t>
      </w:r>
      <w:r w:rsidRPr="005C45A8">
        <w:rPr>
          <w:rFonts w:ascii="Times New Roman" w:hAnsi="Times New Roman"/>
        </w:rPr>
        <w:t>9</w:t>
      </w:r>
      <w:r>
        <w:rPr>
          <w:rFonts w:ascii="Times New Roman" w:hAnsi="Times New Roman"/>
        </w:rPr>
        <w:t>.</w:t>
      </w:r>
      <w:r w:rsidRPr="005C45A8">
        <w:rPr>
          <w:rFonts w:ascii="Times New Roman" w:hAnsi="Times New Roman"/>
        </w:rPr>
        <w:t>2024</w:t>
      </w:r>
      <w:r>
        <w:rPr>
          <w:rFonts w:ascii="Times New Roman" w:hAnsi="Times New Roman"/>
        </w:rPr>
        <w:t xml:space="preserve">, ELI: </w:t>
      </w:r>
      <w:hyperlink r:id="rId23" w:history="1">
        <w:r>
          <w:rPr>
            <w:rStyle w:val="Hyperlink"/>
            <w:rFonts w:ascii="Times New Roman" w:hAnsi="Times New Roman"/>
          </w:rPr>
          <w:t>http://data.europa.eu/eli/reg_del/</w:t>
        </w:r>
        <w:r w:rsidRPr="005C45A8">
          <w:rPr>
            <w:rStyle w:val="Hyperlink"/>
            <w:rFonts w:ascii="Times New Roman" w:hAnsi="Times New Roman"/>
          </w:rPr>
          <w:t>2024</w:t>
        </w:r>
        <w:r>
          <w:rPr>
            <w:rStyle w:val="Hyperlink"/>
            <w:rFonts w:ascii="Times New Roman" w:hAnsi="Times New Roman"/>
          </w:rPr>
          <w:t>/</w:t>
        </w:r>
        <w:r w:rsidRPr="005C45A8">
          <w:rPr>
            <w:rStyle w:val="Hyperlink"/>
            <w:rFonts w:ascii="Times New Roman" w:hAnsi="Times New Roman"/>
          </w:rPr>
          <w:t>2104</w:t>
        </w:r>
        <w:r>
          <w:rPr>
            <w:rStyle w:val="Hyperlink"/>
            <w:rFonts w:ascii="Times New Roman" w:hAnsi="Times New Roman"/>
          </w:rPr>
          <w:t>/oj</w:t>
        </w:r>
      </w:hyperlink>
      <w:r>
        <w:rPr>
          <w:rFonts w:ascii="Times New Roman" w:hAnsi="Times New Roman"/>
        </w:rPr>
        <w:t>.</w:t>
      </w:r>
    </w:p>
  </w:footnote>
  <w:footnote w:id="26">
    <w:p w14:paraId="11AE4E3D" w14:textId="194D184A" w:rsidR="0012410E" w:rsidRPr="00264A0C" w:rsidRDefault="0012410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2025</w:t>
      </w:r>
      <w:r>
        <w:rPr>
          <w:rFonts w:ascii="Times New Roman" w:hAnsi="Times New Roman"/>
        </w:rPr>
        <w:t>/</w:t>
      </w:r>
      <w:r w:rsidRPr="005C45A8">
        <w:rPr>
          <w:rFonts w:ascii="Times New Roman" w:hAnsi="Times New Roman"/>
        </w:rPr>
        <w:t>65</w:t>
      </w:r>
      <w:r>
        <w:rPr>
          <w:rFonts w:ascii="Times New Roman" w:hAnsi="Times New Roman"/>
        </w:rPr>
        <w:t xml:space="preserve">, </w:t>
      </w:r>
      <w:r w:rsidRPr="005C45A8">
        <w:rPr>
          <w:rFonts w:ascii="Times New Roman" w:hAnsi="Times New Roman"/>
        </w:rPr>
        <w:t>14</w:t>
      </w:r>
      <w:r>
        <w:rPr>
          <w:rFonts w:ascii="Times New Roman" w:hAnsi="Times New Roman"/>
        </w:rPr>
        <w:t>.</w:t>
      </w:r>
      <w:r w:rsidRPr="005C45A8">
        <w:rPr>
          <w:rFonts w:ascii="Times New Roman" w:hAnsi="Times New Roman"/>
        </w:rPr>
        <w:t>1</w:t>
      </w:r>
      <w:r>
        <w:rPr>
          <w:rFonts w:ascii="Times New Roman" w:hAnsi="Times New Roman"/>
        </w:rPr>
        <w:t>.</w:t>
      </w:r>
      <w:r w:rsidRPr="005C45A8">
        <w:rPr>
          <w:rFonts w:ascii="Times New Roman" w:hAnsi="Times New Roman"/>
        </w:rPr>
        <w:t>2025</w:t>
      </w:r>
      <w:r>
        <w:rPr>
          <w:rFonts w:ascii="Times New Roman" w:hAnsi="Times New Roman"/>
        </w:rPr>
        <w:t xml:space="preserve">, ELI: </w:t>
      </w:r>
      <w:hyperlink r:id="rId24" w:history="1">
        <w:r>
          <w:rPr>
            <w:rStyle w:val="Hyperlink"/>
            <w:rFonts w:ascii="Times New Roman" w:hAnsi="Times New Roman"/>
          </w:rPr>
          <w:t>http://data.europa.eu/eli/reg_del/</w:t>
        </w:r>
        <w:r w:rsidRPr="005C45A8">
          <w:rPr>
            <w:rStyle w:val="Hyperlink"/>
            <w:rFonts w:ascii="Times New Roman" w:hAnsi="Times New Roman"/>
          </w:rPr>
          <w:t>2025</w:t>
        </w:r>
        <w:r>
          <w:rPr>
            <w:rStyle w:val="Hyperlink"/>
            <w:rFonts w:ascii="Times New Roman" w:hAnsi="Times New Roman"/>
          </w:rPr>
          <w:t>/</w:t>
        </w:r>
        <w:r w:rsidRPr="005C45A8">
          <w:rPr>
            <w:rStyle w:val="Hyperlink"/>
            <w:rFonts w:ascii="Times New Roman" w:hAnsi="Times New Roman"/>
          </w:rPr>
          <w:t>65</w:t>
        </w:r>
        <w:r>
          <w:rPr>
            <w:rStyle w:val="Hyperlink"/>
            <w:rFonts w:ascii="Times New Roman" w:hAnsi="Times New Roman"/>
          </w:rPr>
          <w:t>/oj</w:t>
        </w:r>
      </w:hyperlink>
      <w:r>
        <w:rPr>
          <w:rFonts w:ascii="Times New Roman" w:hAnsi="Times New Roman"/>
        </w:rPr>
        <w:t>.</w:t>
      </w:r>
    </w:p>
  </w:footnote>
  <w:footnote w:id="27">
    <w:p w14:paraId="69B2FB88" w14:textId="3DA984FB" w:rsidR="004C25F3" w:rsidRPr="00264A0C" w:rsidRDefault="004C25F3"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2025</w:t>
      </w:r>
      <w:r>
        <w:rPr>
          <w:rFonts w:ascii="Times New Roman" w:hAnsi="Times New Roman"/>
        </w:rPr>
        <w:t>/</w:t>
      </w:r>
      <w:r w:rsidRPr="005C45A8">
        <w:rPr>
          <w:rFonts w:ascii="Times New Roman" w:hAnsi="Times New Roman"/>
        </w:rPr>
        <w:t>637</w:t>
      </w:r>
      <w:r>
        <w:rPr>
          <w:rFonts w:ascii="Times New Roman" w:hAnsi="Times New Roman"/>
        </w:rPr>
        <w:t xml:space="preserve">, </w:t>
      </w:r>
      <w:r w:rsidRPr="005C45A8">
        <w:rPr>
          <w:rFonts w:ascii="Times New Roman" w:hAnsi="Times New Roman"/>
        </w:rPr>
        <w:t>29</w:t>
      </w:r>
      <w:r>
        <w:rPr>
          <w:rFonts w:ascii="Times New Roman" w:hAnsi="Times New Roman"/>
        </w:rPr>
        <w:t>.</w:t>
      </w:r>
      <w:r w:rsidRPr="005C45A8">
        <w:rPr>
          <w:rFonts w:ascii="Times New Roman" w:hAnsi="Times New Roman"/>
        </w:rPr>
        <w:t>4</w:t>
      </w:r>
      <w:r>
        <w:rPr>
          <w:rFonts w:ascii="Times New Roman" w:hAnsi="Times New Roman"/>
        </w:rPr>
        <w:t>.</w:t>
      </w:r>
      <w:r w:rsidRPr="005C45A8">
        <w:rPr>
          <w:rFonts w:ascii="Times New Roman" w:hAnsi="Times New Roman"/>
        </w:rPr>
        <w:t>2025</w:t>
      </w:r>
      <w:r>
        <w:rPr>
          <w:rFonts w:ascii="Times New Roman" w:hAnsi="Times New Roman"/>
        </w:rPr>
        <w:t xml:space="preserve">, ELI: </w:t>
      </w:r>
      <w:hyperlink r:id="rId25" w:history="1">
        <w:r>
          <w:rPr>
            <w:rStyle w:val="Hyperlink"/>
            <w:rFonts w:ascii="Times New Roman" w:hAnsi="Times New Roman"/>
          </w:rPr>
          <w:t>http://data.europa.eu/eli/reg_del/</w:t>
        </w:r>
        <w:r w:rsidRPr="005C45A8">
          <w:rPr>
            <w:rStyle w:val="Hyperlink"/>
            <w:rFonts w:ascii="Times New Roman" w:hAnsi="Times New Roman"/>
          </w:rPr>
          <w:t>2025</w:t>
        </w:r>
        <w:r>
          <w:rPr>
            <w:rStyle w:val="Hyperlink"/>
            <w:rFonts w:ascii="Times New Roman" w:hAnsi="Times New Roman"/>
          </w:rPr>
          <w:t>/</w:t>
        </w:r>
        <w:r w:rsidRPr="005C45A8">
          <w:rPr>
            <w:rStyle w:val="Hyperlink"/>
            <w:rFonts w:ascii="Times New Roman" w:hAnsi="Times New Roman"/>
          </w:rPr>
          <w:t>637</w:t>
        </w:r>
        <w:r>
          <w:rPr>
            <w:rStyle w:val="Hyperlink"/>
            <w:rFonts w:ascii="Times New Roman" w:hAnsi="Times New Roman"/>
          </w:rPr>
          <w:t>/oj</w:t>
        </w:r>
      </w:hyperlink>
      <w:r>
        <w:rPr>
          <w:rFonts w:ascii="Times New Roman" w:hAnsi="Times New Roman"/>
        </w:rPr>
        <w:t>.</w:t>
      </w:r>
    </w:p>
  </w:footnote>
  <w:footnote w:id="28">
    <w:p w14:paraId="79894E3C" w14:textId="63C49CC0" w:rsidR="004C25F3" w:rsidRPr="00264A0C" w:rsidRDefault="004C25F3"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2025</w:t>
      </w:r>
      <w:r>
        <w:rPr>
          <w:rFonts w:ascii="Times New Roman" w:hAnsi="Times New Roman"/>
        </w:rPr>
        <w:t>/</w:t>
      </w:r>
      <w:r w:rsidRPr="005C45A8">
        <w:rPr>
          <w:rFonts w:ascii="Times New Roman" w:hAnsi="Times New Roman"/>
        </w:rPr>
        <w:t>687</w:t>
      </w:r>
      <w:r>
        <w:rPr>
          <w:rFonts w:ascii="Times New Roman" w:hAnsi="Times New Roman"/>
        </w:rPr>
        <w:t xml:space="preserve">, </w:t>
      </w:r>
      <w:r w:rsidRPr="005C45A8">
        <w:rPr>
          <w:rFonts w:ascii="Times New Roman" w:hAnsi="Times New Roman"/>
        </w:rPr>
        <w:t>7</w:t>
      </w:r>
      <w:r>
        <w:rPr>
          <w:rFonts w:ascii="Times New Roman" w:hAnsi="Times New Roman"/>
        </w:rPr>
        <w:t>.</w:t>
      </w:r>
      <w:r w:rsidRPr="005C45A8">
        <w:rPr>
          <w:rFonts w:ascii="Times New Roman" w:hAnsi="Times New Roman"/>
        </w:rPr>
        <w:t>4</w:t>
      </w:r>
      <w:r>
        <w:rPr>
          <w:rFonts w:ascii="Times New Roman" w:hAnsi="Times New Roman"/>
        </w:rPr>
        <w:t>.</w:t>
      </w:r>
      <w:r w:rsidRPr="005C45A8">
        <w:rPr>
          <w:rFonts w:ascii="Times New Roman" w:hAnsi="Times New Roman"/>
        </w:rPr>
        <w:t>2025</w:t>
      </w:r>
      <w:r>
        <w:rPr>
          <w:rFonts w:ascii="Times New Roman" w:hAnsi="Times New Roman"/>
        </w:rPr>
        <w:t xml:space="preserve">, ELI: </w:t>
      </w:r>
      <w:hyperlink r:id="rId26" w:history="1">
        <w:r>
          <w:rPr>
            <w:rStyle w:val="Hyperlink"/>
            <w:rFonts w:ascii="Times New Roman" w:hAnsi="Times New Roman"/>
          </w:rPr>
          <w:t>http://data.europa.eu/eli/reg_del/</w:t>
        </w:r>
        <w:r w:rsidRPr="005C45A8">
          <w:rPr>
            <w:rStyle w:val="Hyperlink"/>
            <w:rFonts w:ascii="Times New Roman" w:hAnsi="Times New Roman"/>
          </w:rPr>
          <w:t>2025</w:t>
        </w:r>
        <w:r>
          <w:rPr>
            <w:rStyle w:val="Hyperlink"/>
            <w:rFonts w:ascii="Times New Roman" w:hAnsi="Times New Roman"/>
          </w:rPr>
          <w:t>/</w:t>
        </w:r>
        <w:r w:rsidRPr="005C45A8">
          <w:rPr>
            <w:rStyle w:val="Hyperlink"/>
            <w:rFonts w:ascii="Times New Roman" w:hAnsi="Times New Roman"/>
          </w:rPr>
          <w:t>687</w:t>
        </w:r>
        <w:r>
          <w:rPr>
            <w:rStyle w:val="Hyperlink"/>
            <w:rFonts w:ascii="Times New Roman" w:hAnsi="Times New Roman"/>
          </w:rPr>
          <w:t>/oj</w:t>
        </w:r>
      </w:hyperlink>
      <w:r>
        <w:rPr>
          <w:rFonts w:ascii="Times New Roman" w:hAnsi="Times New Roman"/>
        </w:rPr>
        <w:t>.</w:t>
      </w:r>
    </w:p>
  </w:footnote>
  <w:footnote w:id="29">
    <w:p w14:paraId="104CE6C6" w14:textId="576B9141" w:rsidR="00E75DBC" w:rsidRPr="00E75DBC" w:rsidRDefault="00E75DBC" w:rsidP="00D54ED3">
      <w:pPr>
        <w:pStyle w:val="FootnoteText"/>
        <w:ind w:left="426" w:hanging="426"/>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JO L, </w:t>
      </w:r>
      <w:r w:rsidRPr="005C45A8">
        <w:rPr>
          <w:rFonts w:ascii="Times New Roman" w:hAnsi="Times New Roman"/>
        </w:rPr>
        <w:t>2026</w:t>
      </w:r>
      <w:r>
        <w:rPr>
          <w:rFonts w:ascii="Times New Roman" w:hAnsi="Times New Roman"/>
        </w:rPr>
        <w:t>/</w:t>
      </w:r>
      <w:r w:rsidRPr="005C45A8">
        <w:rPr>
          <w:rFonts w:ascii="Times New Roman" w:hAnsi="Times New Roman"/>
        </w:rPr>
        <w:t>273</w:t>
      </w:r>
      <w:r>
        <w:rPr>
          <w:rFonts w:ascii="Times New Roman" w:hAnsi="Times New Roman"/>
        </w:rPr>
        <w:t xml:space="preserve">, </w:t>
      </w:r>
      <w:r w:rsidRPr="005C45A8">
        <w:rPr>
          <w:rFonts w:ascii="Times New Roman" w:hAnsi="Times New Roman"/>
        </w:rPr>
        <w:t>13</w:t>
      </w:r>
      <w:r>
        <w:rPr>
          <w:rFonts w:ascii="Times New Roman" w:hAnsi="Times New Roman"/>
        </w:rPr>
        <w:t>.</w:t>
      </w:r>
      <w:r w:rsidRPr="005C45A8">
        <w:rPr>
          <w:rFonts w:ascii="Times New Roman" w:hAnsi="Times New Roman"/>
        </w:rPr>
        <w:t>4</w:t>
      </w:r>
      <w:r>
        <w:rPr>
          <w:rFonts w:ascii="Times New Roman" w:hAnsi="Times New Roman"/>
        </w:rPr>
        <w:t>.</w:t>
      </w:r>
      <w:r w:rsidRPr="005C45A8">
        <w:rPr>
          <w:rFonts w:ascii="Times New Roman" w:hAnsi="Times New Roman"/>
        </w:rPr>
        <w:t>2026</w:t>
      </w:r>
      <w:r>
        <w:rPr>
          <w:rFonts w:ascii="Times New Roman" w:hAnsi="Times New Roman"/>
        </w:rPr>
        <w:t xml:space="preserve">, ELI: </w:t>
      </w:r>
      <w:hyperlink r:id="rId27" w:history="1">
        <w:r>
          <w:rPr>
            <w:rStyle w:val="Hyperlink"/>
            <w:rFonts w:ascii="Times New Roman" w:hAnsi="Times New Roman"/>
          </w:rPr>
          <w:t>http://data.europa.eu/eli/reg_del/</w:t>
        </w:r>
        <w:r w:rsidRPr="005C45A8">
          <w:rPr>
            <w:rStyle w:val="Hyperlink"/>
            <w:rFonts w:ascii="Times New Roman" w:hAnsi="Times New Roman"/>
          </w:rPr>
          <w:t>2026</w:t>
        </w:r>
        <w:r>
          <w:rPr>
            <w:rStyle w:val="Hyperlink"/>
            <w:rFonts w:ascii="Times New Roman" w:hAnsi="Times New Roman"/>
          </w:rPr>
          <w:t>/</w:t>
        </w:r>
        <w:r w:rsidRPr="005C45A8">
          <w:rPr>
            <w:rStyle w:val="Hyperlink"/>
            <w:rFonts w:ascii="Times New Roman" w:hAnsi="Times New Roman"/>
          </w:rPr>
          <w:t>273</w:t>
        </w:r>
        <w:r>
          <w:rPr>
            <w:rStyle w:val="Hyperlink"/>
            <w:rFonts w:ascii="Times New Roman" w:hAnsi="Times New Roman"/>
          </w:rPr>
          <w:t>/oj</w:t>
        </w:r>
      </w:hyperlink>
      <w:r>
        <w:rPr>
          <w:rFonts w:ascii="Times New Roman" w:hAnsi="Times New Roman"/>
        </w:rPr>
        <w:t>.</w:t>
      </w:r>
    </w:p>
  </w:footnote>
  <w:footnote w:id="30">
    <w:p w14:paraId="2A1E8020" w14:textId="0A43B08E" w:rsidR="0064029C" w:rsidRPr="0012148C" w:rsidRDefault="008A126D"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Acordul interinstituțional dintre Parlamentul European, Consiliul Uniunii Europene și Comisia Europeană privind o mai bună legiferare din </w:t>
      </w:r>
      <w:r w:rsidRPr="005C45A8">
        <w:rPr>
          <w:rFonts w:ascii="Times New Roman" w:hAnsi="Times New Roman"/>
        </w:rPr>
        <w:t>13</w:t>
      </w:r>
      <w:r>
        <w:rPr>
          <w:rFonts w:ascii="Times New Roman" w:hAnsi="Times New Roman"/>
        </w:rPr>
        <w:t xml:space="preserve"> aprilie </w:t>
      </w:r>
      <w:r w:rsidRPr="005C45A8">
        <w:rPr>
          <w:rFonts w:ascii="Times New Roman" w:hAnsi="Times New Roman"/>
        </w:rPr>
        <w:t>2016</w:t>
      </w:r>
      <w:r>
        <w:rPr>
          <w:rFonts w:ascii="Times New Roman" w:hAnsi="Times New Roman"/>
        </w:rPr>
        <w:t xml:space="preserve"> (JO L </w:t>
      </w:r>
      <w:r w:rsidRPr="005C45A8">
        <w:rPr>
          <w:rFonts w:ascii="Times New Roman" w:hAnsi="Times New Roman"/>
        </w:rPr>
        <w:t>123</w:t>
      </w:r>
      <w:r>
        <w:rPr>
          <w:rFonts w:ascii="Times New Roman" w:hAnsi="Times New Roman"/>
        </w:rPr>
        <w:t xml:space="preserve">, </w:t>
      </w:r>
      <w:r w:rsidRPr="005C45A8">
        <w:rPr>
          <w:rFonts w:ascii="Times New Roman" w:hAnsi="Times New Roman"/>
        </w:rPr>
        <w:t>12</w:t>
      </w:r>
      <w:r>
        <w:rPr>
          <w:rFonts w:ascii="Times New Roman" w:hAnsi="Times New Roman"/>
        </w:rPr>
        <w:t>.</w:t>
      </w:r>
      <w:r w:rsidRPr="005C45A8">
        <w:rPr>
          <w:rFonts w:ascii="Times New Roman" w:hAnsi="Times New Roman"/>
        </w:rPr>
        <w:t>5</w:t>
      </w:r>
      <w:r>
        <w:rPr>
          <w:rFonts w:ascii="Times New Roman" w:hAnsi="Times New Roman"/>
        </w:rPr>
        <w:t>.</w:t>
      </w:r>
      <w:r w:rsidRPr="005C45A8">
        <w:rPr>
          <w:rFonts w:ascii="Times New Roman" w:hAnsi="Times New Roman"/>
        </w:rPr>
        <w:t>2016</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28" w:history="1">
        <w:r>
          <w:rPr>
            <w:rStyle w:val="Hyperlink"/>
            <w:rFonts w:ascii="Times New Roman" w:hAnsi="Times New Roman"/>
          </w:rPr>
          <w:t>http://data.europa.eu/eli/agree_interinstit/</w:t>
        </w:r>
        <w:r w:rsidRPr="005C45A8">
          <w:rPr>
            <w:rStyle w:val="Hyperlink"/>
            <w:rFonts w:ascii="Times New Roman" w:hAnsi="Times New Roman"/>
          </w:rPr>
          <w:t>2016</w:t>
        </w:r>
        <w:r>
          <w:rPr>
            <w:rStyle w:val="Hyperlink"/>
            <w:rFonts w:ascii="Times New Roman" w:hAnsi="Times New Roman"/>
          </w:rPr>
          <w:t>/</w:t>
        </w:r>
        <w:r w:rsidRPr="005C45A8">
          <w:rPr>
            <w:rStyle w:val="Hyperlink"/>
            <w:rFonts w:ascii="Times New Roman" w:hAnsi="Times New Roman"/>
          </w:rPr>
          <w:t>512</w:t>
        </w:r>
        <w:r>
          <w:rPr>
            <w:rStyle w:val="Hyperlink"/>
            <w:rFonts w:ascii="Times New Roman" w:hAnsi="Times New Roman"/>
          </w:rPr>
          <w:t>/oj</w:t>
        </w:r>
      </w:hyperlink>
      <w:r>
        <w:rPr>
          <w:rFonts w:ascii="Times New Roman" w:hAnsi="Times New Roman"/>
        </w:rPr>
        <w:t>), secțiunea</w:t>
      </w:r>
      <w:r>
        <w:rPr>
          <w:rFonts w:ascii="Times New Roman" w:hAnsi="Times New Roman"/>
          <w:color w:val="000000"/>
          <w:sz w:val="24"/>
        </w:rPr>
        <w:t xml:space="preserve"> </w:t>
      </w:r>
      <w:r>
        <w:rPr>
          <w:rFonts w:ascii="Times New Roman" w:hAnsi="Times New Roman"/>
        </w:rPr>
        <w:t>V, punctul</w:t>
      </w:r>
      <w:r>
        <w:rPr>
          <w:rFonts w:ascii="Times New Roman" w:hAnsi="Times New Roman"/>
          <w:color w:val="000000"/>
          <w:sz w:val="24"/>
        </w:rPr>
        <w:t xml:space="preserve"> </w:t>
      </w:r>
      <w:r w:rsidRPr="005C45A8">
        <w:rPr>
          <w:rFonts w:ascii="Times New Roman" w:hAnsi="Times New Roman"/>
        </w:rPr>
        <w:t>31</w:t>
      </w:r>
      <w:r>
        <w:rPr>
          <w:rFonts w:ascii="Times New Roman" w:hAnsi="Times New Roman"/>
        </w:rPr>
        <w:t>.</w:t>
      </w:r>
    </w:p>
  </w:footnote>
  <w:footnote w:id="31">
    <w:p w14:paraId="74072886" w14:textId="54B04D11" w:rsidR="00BA1C85" w:rsidRPr="0012148C" w:rsidRDefault="00BA1C85"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bookmarkStart w:id="4" w:name="_Hlk230786030"/>
      <w:r>
        <w:tab/>
      </w:r>
      <w:r>
        <w:rPr>
          <w:rFonts w:ascii="Times New Roman" w:hAnsi="Times New Roman"/>
        </w:rPr>
        <w:t>Actul delegat se va baza, printre altele, pe versiunea modificată a articolului </w:t>
      </w:r>
      <w:r w:rsidRPr="005C45A8">
        <w:rPr>
          <w:rFonts w:ascii="Times New Roman" w:hAnsi="Times New Roman"/>
        </w:rPr>
        <w:t>41</w:t>
      </w:r>
      <w:r>
        <w:rPr>
          <w:rFonts w:ascii="Times New Roman" w:hAnsi="Times New Roman"/>
        </w:rPr>
        <w:t xml:space="preserve">, dacă se adoptă modificarea propusă de Comisie în propunerea sa de regulament de modificare, printre altele, a Regulamentului (UE) </w:t>
      </w:r>
      <w:r w:rsidRPr="005C45A8">
        <w:rPr>
          <w:rFonts w:ascii="Times New Roman" w:hAnsi="Times New Roman"/>
        </w:rPr>
        <w:t>2017</w:t>
      </w:r>
      <w:r>
        <w:rPr>
          <w:rFonts w:ascii="Times New Roman" w:hAnsi="Times New Roman"/>
        </w:rPr>
        <w:t>/</w:t>
      </w:r>
      <w:r w:rsidRPr="005C45A8">
        <w:rPr>
          <w:rFonts w:ascii="Times New Roman" w:hAnsi="Times New Roman"/>
        </w:rPr>
        <w:t>625</w:t>
      </w:r>
      <w:r>
        <w:rPr>
          <w:rFonts w:ascii="Times New Roman" w:hAnsi="Times New Roman"/>
        </w:rPr>
        <w:t xml:space="preserve"> [COM(</w:t>
      </w:r>
      <w:r w:rsidRPr="005C45A8">
        <w:rPr>
          <w:rFonts w:ascii="Times New Roman" w:hAnsi="Times New Roman"/>
        </w:rPr>
        <w:t>2025</w:t>
      </w:r>
      <w:r>
        <w:rPr>
          <w:rFonts w:ascii="Times New Roman" w:hAnsi="Times New Roman"/>
        </w:rPr>
        <w:t xml:space="preserve">) </w:t>
      </w:r>
      <w:r w:rsidRPr="005C45A8">
        <w:rPr>
          <w:rFonts w:ascii="Times New Roman" w:hAnsi="Times New Roman"/>
        </w:rPr>
        <w:t>1030</w:t>
      </w:r>
      <w:r>
        <w:rPr>
          <w:rFonts w:ascii="Times New Roman" w:hAnsi="Times New Roman"/>
        </w:rPr>
        <w:t xml:space="preserve"> final].</w:t>
      </w:r>
    </w:p>
    <w:bookmarkEnd w:id="4"/>
  </w:footnote>
  <w:footnote w:id="32">
    <w:p w14:paraId="7198DF9C" w14:textId="0A8978F2" w:rsidR="008358FA" w:rsidRPr="0012148C" w:rsidRDefault="008358FA"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De exemplu, Regulamentul (UE) nr. </w:t>
      </w:r>
      <w:r w:rsidRPr="005C45A8">
        <w:rPr>
          <w:rFonts w:ascii="Times New Roman" w:hAnsi="Times New Roman"/>
        </w:rPr>
        <w:t>952</w:t>
      </w:r>
      <w:r>
        <w:rPr>
          <w:rFonts w:ascii="Times New Roman" w:hAnsi="Times New Roman"/>
        </w:rPr>
        <w:t>/</w:t>
      </w:r>
      <w:r w:rsidRPr="005C45A8">
        <w:rPr>
          <w:rFonts w:ascii="Times New Roman" w:hAnsi="Times New Roman"/>
        </w:rPr>
        <w:t>2013</w:t>
      </w:r>
      <w:r>
        <w:rPr>
          <w:rFonts w:ascii="Times New Roman" w:hAnsi="Times New Roman"/>
        </w:rPr>
        <w:t xml:space="preserve"> al Parlamentului European și al Consiliului din </w:t>
      </w:r>
      <w:r w:rsidRPr="005C45A8">
        <w:rPr>
          <w:rFonts w:ascii="Times New Roman" w:hAnsi="Times New Roman"/>
        </w:rPr>
        <w:t>9</w:t>
      </w:r>
      <w:r>
        <w:rPr>
          <w:rFonts w:ascii="Times New Roman" w:hAnsi="Times New Roman"/>
        </w:rPr>
        <w:t xml:space="preserve"> octombrie </w:t>
      </w:r>
      <w:r w:rsidRPr="005C45A8">
        <w:rPr>
          <w:rFonts w:ascii="Times New Roman" w:hAnsi="Times New Roman"/>
        </w:rPr>
        <w:t>2013</w:t>
      </w:r>
      <w:r>
        <w:rPr>
          <w:rFonts w:ascii="Times New Roman" w:hAnsi="Times New Roman"/>
        </w:rPr>
        <w:t xml:space="preserve"> de stabilire a Codului vamal al Uniunii (JO L </w:t>
      </w:r>
      <w:r w:rsidRPr="005C45A8">
        <w:rPr>
          <w:rFonts w:ascii="Times New Roman" w:hAnsi="Times New Roman"/>
        </w:rPr>
        <w:t>269</w:t>
      </w:r>
      <w:r>
        <w:rPr>
          <w:rFonts w:ascii="Times New Roman" w:hAnsi="Times New Roman"/>
        </w:rPr>
        <w:t xml:space="preserve">, </w:t>
      </w:r>
      <w:r w:rsidRPr="005C45A8">
        <w:rPr>
          <w:rFonts w:ascii="Times New Roman" w:hAnsi="Times New Roman"/>
        </w:rPr>
        <w:t>10</w:t>
      </w:r>
      <w:r>
        <w:rPr>
          <w:rFonts w:ascii="Times New Roman" w:hAnsi="Times New Roman"/>
        </w:rPr>
        <w:t>.</w:t>
      </w:r>
      <w:r w:rsidRPr="005C45A8">
        <w:rPr>
          <w:rFonts w:ascii="Times New Roman" w:hAnsi="Times New Roman"/>
        </w:rPr>
        <w:t>10</w:t>
      </w:r>
      <w:r>
        <w:rPr>
          <w:rFonts w:ascii="Times New Roman" w:hAnsi="Times New Roman"/>
        </w:rPr>
        <w:t>.</w:t>
      </w:r>
      <w:r w:rsidRPr="005C45A8">
        <w:rPr>
          <w:rFonts w:ascii="Times New Roman" w:hAnsi="Times New Roman"/>
        </w:rPr>
        <w:t>2013</w:t>
      </w:r>
      <w:r>
        <w:rPr>
          <w:rFonts w:ascii="Times New Roman" w:hAnsi="Times New Roman"/>
        </w:rPr>
        <w:t>, p. </w:t>
      </w:r>
      <w:r w:rsidRPr="005C45A8">
        <w:rPr>
          <w:rFonts w:ascii="Times New Roman" w:hAnsi="Times New Roman"/>
        </w:rPr>
        <w:t>1</w:t>
      </w:r>
      <w:r>
        <w:rPr>
          <w:rFonts w:ascii="Times New Roman" w:hAnsi="Times New Roman"/>
        </w:rPr>
        <w:t xml:space="preserve">, ELI: </w:t>
      </w:r>
      <w:hyperlink r:id="rId29" w:history="1">
        <w:r>
          <w:rPr>
            <w:rStyle w:val="Hyperlink"/>
            <w:rFonts w:ascii="Times New Roman" w:hAnsi="Times New Roman"/>
          </w:rPr>
          <w:t>http://data.europa.eu/eli/reg/</w:t>
        </w:r>
        <w:r w:rsidRPr="005C45A8">
          <w:rPr>
            <w:rStyle w:val="Hyperlink"/>
            <w:rFonts w:ascii="Times New Roman" w:hAnsi="Times New Roman"/>
          </w:rPr>
          <w:t>2013</w:t>
        </w:r>
        <w:r>
          <w:rPr>
            <w:rStyle w:val="Hyperlink"/>
            <w:rFonts w:ascii="Times New Roman" w:hAnsi="Times New Roman"/>
          </w:rPr>
          <w:t>/</w:t>
        </w:r>
        <w:r w:rsidRPr="005C45A8">
          <w:rPr>
            <w:rStyle w:val="Hyperlink"/>
            <w:rFonts w:ascii="Times New Roman" w:hAnsi="Times New Roman"/>
          </w:rPr>
          <w:t>952</w:t>
        </w:r>
        <w:r>
          <w:rPr>
            <w:rStyle w:val="Hyperlink"/>
            <w:rFonts w:ascii="Times New Roman" w:hAnsi="Times New Roman"/>
          </w:rPr>
          <w:t>/oj</w:t>
        </w:r>
      </w:hyperlink>
      <w:r>
        <w:rPr>
          <w:rFonts w:ascii="Times New Roman" w:hAnsi="Times New Roman"/>
        </w:rPr>
        <w:t xml:space="preserve">). </w:t>
      </w:r>
    </w:p>
  </w:footnote>
  <w:footnote w:id="33">
    <w:p w14:paraId="271E1396" w14:textId="56F18161" w:rsidR="00214F77" w:rsidRPr="00CB5E62" w:rsidRDefault="00214F77"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Regulamentul delegat (UE) </w:t>
      </w:r>
      <w:r w:rsidRPr="005C45A8">
        <w:rPr>
          <w:rFonts w:ascii="Times New Roman" w:hAnsi="Times New Roman"/>
        </w:rPr>
        <w:t>2019</w:t>
      </w:r>
      <w:r>
        <w:rPr>
          <w:rFonts w:ascii="Times New Roman" w:hAnsi="Times New Roman"/>
        </w:rPr>
        <w:t>/</w:t>
      </w:r>
      <w:r w:rsidRPr="005C45A8">
        <w:rPr>
          <w:rFonts w:ascii="Times New Roman" w:hAnsi="Times New Roman"/>
        </w:rPr>
        <w:t>1012</w:t>
      </w:r>
      <w:r>
        <w:rPr>
          <w:rFonts w:ascii="Times New Roman" w:hAnsi="Times New Roman"/>
        </w:rPr>
        <w:t xml:space="preserve"> al Comisiei din </w:t>
      </w:r>
      <w:r w:rsidRPr="005C45A8">
        <w:rPr>
          <w:rFonts w:ascii="Times New Roman" w:hAnsi="Times New Roman"/>
        </w:rPr>
        <w:t>12</w:t>
      </w:r>
      <w:r>
        <w:rPr>
          <w:rFonts w:ascii="Times New Roman" w:hAnsi="Times New Roman"/>
        </w:rPr>
        <w:t xml:space="preserve"> martie </w:t>
      </w:r>
      <w:r w:rsidRPr="005C45A8">
        <w:rPr>
          <w:rFonts w:ascii="Times New Roman" w:hAnsi="Times New Roman"/>
        </w:rPr>
        <w:t>2019</w:t>
      </w:r>
      <w:r>
        <w:rPr>
          <w:rFonts w:ascii="Times New Roman" w:hAnsi="Times New Roman"/>
        </w:rPr>
        <w:t xml:space="preserve"> de completare a Regulamentului (UE) </w:t>
      </w:r>
      <w:r w:rsidRPr="005C45A8">
        <w:rPr>
          <w:rFonts w:ascii="Times New Roman" w:hAnsi="Times New Roman"/>
        </w:rPr>
        <w:t>2017</w:t>
      </w:r>
      <w:r>
        <w:rPr>
          <w:rFonts w:ascii="Times New Roman" w:hAnsi="Times New Roman"/>
        </w:rPr>
        <w:t>/</w:t>
      </w:r>
      <w:r w:rsidRPr="005C45A8">
        <w:rPr>
          <w:rFonts w:ascii="Times New Roman" w:hAnsi="Times New Roman"/>
        </w:rPr>
        <w:t>625</w:t>
      </w:r>
      <w:r>
        <w:rPr>
          <w:rFonts w:ascii="Times New Roman" w:hAnsi="Times New Roman"/>
        </w:rPr>
        <w:t xml:space="preserve"> al Parlamentului European și al Consiliului prin derogare de la normele privind desemnarea punctelor de inspecție și de la cerințele minime pentru posturile de inspecție la frontieră (JO L </w:t>
      </w:r>
      <w:r w:rsidRPr="005C45A8">
        <w:rPr>
          <w:rFonts w:ascii="Times New Roman" w:hAnsi="Times New Roman"/>
        </w:rPr>
        <w:t>165</w:t>
      </w:r>
      <w:r>
        <w:rPr>
          <w:rFonts w:ascii="Times New Roman" w:hAnsi="Times New Roman"/>
        </w:rPr>
        <w:t xml:space="preserve">, </w:t>
      </w:r>
      <w:r w:rsidRPr="005C45A8">
        <w:rPr>
          <w:rFonts w:ascii="Times New Roman" w:hAnsi="Times New Roman"/>
        </w:rPr>
        <w:t>21</w:t>
      </w:r>
      <w:r>
        <w:rPr>
          <w:rFonts w:ascii="Times New Roman" w:hAnsi="Times New Roman"/>
        </w:rPr>
        <w:t>.</w:t>
      </w:r>
      <w:r w:rsidRPr="005C45A8">
        <w:rPr>
          <w:rFonts w:ascii="Times New Roman" w:hAnsi="Times New Roman"/>
        </w:rPr>
        <w:t>6</w:t>
      </w:r>
      <w:r>
        <w:rPr>
          <w:rFonts w:ascii="Times New Roman" w:hAnsi="Times New Roman"/>
        </w:rPr>
        <w:t>.</w:t>
      </w:r>
      <w:r w:rsidRPr="005C45A8">
        <w:rPr>
          <w:rFonts w:ascii="Times New Roman" w:hAnsi="Times New Roman"/>
        </w:rPr>
        <w:t>2019</w:t>
      </w:r>
      <w:r>
        <w:rPr>
          <w:rFonts w:ascii="Times New Roman" w:hAnsi="Times New Roman"/>
        </w:rPr>
        <w:t>, p. </w:t>
      </w:r>
      <w:r w:rsidRPr="005C45A8">
        <w:rPr>
          <w:rFonts w:ascii="Times New Roman" w:hAnsi="Times New Roman"/>
        </w:rPr>
        <w:t>4</w:t>
      </w:r>
      <w:r>
        <w:rPr>
          <w:rFonts w:ascii="Times New Roman" w:hAnsi="Times New Roman"/>
        </w:rPr>
        <w:t xml:space="preserve">, ELI: </w:t>
      </w:r>
      <w:hyperlink r:id="rId30" w:history="1">
        <w:r>
          <w:rPr>
            <w:rStyle w:val="Hyperlink"/>
            <w:rFonts w:ascii="Times New Roman" w:hAnsi="Times New Roman"/>
          </w:rPr>
          <w:t>http://data.europa.eu/eli/reg_del/</w:t>
        </w:r>
        <w:r w:rsidRPr="005C45A8">
          <w:rPr>
            <w:rStyle w:val="Hyperlink"/>
            <w:rFonts w:ascii="Times New Roman" w:hAnsi="Times New Roman"/>
          </w:rPr>
          <w:t>2019</w:t>
        </w:r>
        <w:r>
          <w:rPr>
            <w:rStyle w:val="Hyperlink"/>
            <w:rFonts w:ascii="Times New Roman" w:hAnsi="Times New Roman"/>
          </w:rPr>
          <w:t>/</w:t>
        </w:r>
        <w:r w:rsidRPr="005C45A8">
          <w:rPr>
            <w:rStyle w:val="Hyperlink"/>
            <w:rFonts w:ascii="Times New Roman" w:hAnsi="Times New Roman"/>
          </w:rPr>
          <w:t>1012</w:t>
        </w:r>
        <w:r>
          <w:rPr>
            <w:rStyle w:val="Hyperlink"/>
            <w:rFonts w:ascii="Times New Roman" w:hAnsi="Times New Roman"/>
          </w:rPr>
          <w:t>/oj</w:t>
        </w:r>
      </w:hyperlink>
      <w:r>
        <w:rPr>
          <w:rFonts w:ascii="Times New Roman" w:hAnsi="Times New Roman"/>
        </w:rPr>
        <w:t>).</w:t>
      </w:r>
    </w:p>
  </w:footnote>
  <w:footnote w:id="34">
    <w:p w14:paraId="58781BE7" w14:textId="09FD3930" w:rsidR="00803ADC" w:rsidRPr="0012148C" w:rsidRDefault="00FC1BFF"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Actul delegat se va baza, printre altele, pe versiunea modificată a articolului </w:t>
      </w:r>
      <w:r w:rsidRPr="005C45A8">
        <w:rPr>
          <w:rFonts w:ascii="Times New Roman" w:hAnsi="Times New Roman"/>
        </w:rPr>
        <w:t>100</w:t>
      </w:r>
      <w:r>
        <w:rPr>
          <w:rFonts w:ascii="Times New Roman" w:hAnsi="Times New Roman"/>
        </w:rPr>
        <w:t xml:space="preserve"> alineatul (</w:t>
      </w:r>
      <w:r w:rsidRPr="005C45A8">
        <w:rPr>
          <w:rFonts w:ascii="Times New Roman" w:hAnsi="Times New Roman"/>
        </w:rPr>
        <w:t>6</w:t>
      </w:r>
      <w:r>
        <w:rPr>
          <w:rFonts w:ascii="Times New Roman" w:hAnsi="Times New Roman"/>
        </w:rPr>
        <w:t xml:space="preserve">), dacă se adoptă modificarea propusă de Comisie în propunerea sa de regulament de modificare, printre altele, a Regulamentului (UE) </w:t>
      </w:r>
      <w:r w:rsidRPr="005C45A8">
        <w:rPr>
          <w:rFonts w:ascii="Times New Roman" w:hAnsi="Times New Roman"/>
        </w:rPr>
        <w:t>2017</w:t>
      </w:r>
      <w:r>
        <w:rPr>
          <w:rFonts w:ascii="Times New Roman" w:hAnsi="Times New Roman"/>
        </w:rPr>
        <w:t>/</w:t>
      </w:r>
      <w:r w:rsidRPr="005C45A8">
        <w:rPr>
          <w:rFonts w:ascii="Times New Roman" w:hAnsi="Times New Roman"/>
        </w:rPr>
        <w:t>625</w:t>
      </w:r>
      <w:r>
        <w:rPr>
          <w:rFonts w:ascii="Times New Roman" w:hAnsi="Times New Roman"/>
        </w:rPr>
        <w:t xml:space="preserve"> [COM(</w:t>
      </w:r>
      <w:r w:rsidRPr="005C45A8">
        <w:rPr>
          <w:rFonts w:ascii="Times New Roman" w:hAnsi="Times New Roman"/>
        </w:rPr>
        <w:t>2025</w:t>
      </w:r>
      <w:r>
        <w:rPr>
          <w:rFonts w:ascii="Times New Roman" w:hAnsi="Times New Roman"/>
        </w:rPr>
        <w:t xml:space="preserve">) </w:t>
      </w:r>
      <w:r w:rsidRPr="005C45A8">
        <w:rPr>
          <w:rFonts w:ascii="Times New Roman" w:hAnsi="Times New Roman"/>
        </w:rPr>
        <w:t>1030</w:t>
      </w:r>
      <w:r>
        <w:rPr>
          <w:rFonts w:ascii="Times New Roman" w:hAnsi="Times New Roman"/>
        </w:rPr>
        <w:t xml:space="preserv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18BF5" w14:textId="77777777" w:rsidR="00FB0604" w:rsidRPr="00FB0604" w:rsidRDefault="00FB0604" w:rsidP="00FB060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FE9CB" w14:textId="77777777" w:rsidR="00FB0604" w:rsidRPr="00FB0604" w:rsidRDefault="00FB0604" w:rsidP="00FB06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51C56" w14:textId="77777777" w:rsidR="00FB0604" w:rsidRPr="00FB0604" w:rsidRDefault="00FB0604" w:rsidP="00FB06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4D86" w14:textId="77777777" w:rsidR="0064029C" w:rsidRDefault="00640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1EFB" w14:textId="77777777" w:rsidR="0064029C" w:rsidRPr="002F11D0" w:rsidRDefault="0064029C">
    <w:pPr>
      <w:pStyle w:val="Header"/>
      <w:rPr>
        <w:rFonts w:ascii="Times New Roman" w:hAnsi="Times New Roman" w:cs="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BBC58" w14:textId="77777777" w:rsidR="0064029C" w:rsidRDefault="00640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7AA4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8C69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680E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E620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E8F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EAD4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345F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469C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AC76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38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151C93"/>
    <w:multiLevelType w:val="hybridMultilevel"/>
    <w:tmpl w:val="47200D60"/>
    <w:lvl w:ilvl="0" w:tplc="A1548A2C">
      <w:start w:val="1"/>
      <w:numFmt w:val="bullet"/>
      <w:pStyle w:val="Bullet0"/>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216557"/>
    <w:multiLevelType w:val="hybridMultilevel"/>
    <w:tmpl w:val="C5C0F164"/>
    <w:lvl w:ilvl="0" w:tplc="2A18245C">
      <w:start w:val="1"/>
      <w:numFmt w:val="decimal"/>
      <w:pStyle w:val="ManualHeading1"/>
      <w:lvlText w:val="%1."/>
      <w:lvlJc w:val="left"/>
      <w:pPr>
        <w:ind w:left="360" w:hanging="360"/>
      </w:pPr>
      <w:rPr>
        <w:rFonts w:hint="default"/>
        <w:b/>
      </w:rPr>
    </w:lvl>
    <w:lvl w:ilvl="1" w:tplc="0809000F">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AE85FC7"/>
    <w:multiLevelType w:val="hybridMultilevel"/>
    <w:tmpl w:val="373EBB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1"/>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CD802D0-2293-415F-A75A-B69DB4758C5A"/>
    <w:docVar w:name="LW_COVERPAGE_TYPE" w:val="1"/>
    <w:docVar w:name="LW_CROSSREFERENCE" w:val="&lt;UNUSED&gt;"/>
    <w:docVar w:name="LW_DocType" w:val="NORMAL"/>
    <w:docVar w:name="LW_EMISSION" w:val="8.7.2026"/>
    <w:docVar w:name="LW_EMISSION_ISODATE" w:val="2026-07-0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competen\u539?ei de a adopta acte delegate conferite Comisiei în temeiul Regulamentului (UE) 2017/625 al Parlamentului European \u537?i al Consiliului privind controalele oficiale \u537?i alte activit\u259?\u539?i oficiale efectuate pentru a asigura aplicarea legisla\u539?iei privind alimentele \u537?i furajele, a normelor privind s\u259?n\u259?tatea \u537?i bun\u259?starea animalelor, s\u259?n\u259?tatea plantelor \u537?i produsele de protec\u539?ie a plantelor (\u8222?Regulamentul privind controalele oficiale\u8221?)"/>
    <w:docVar w:name="LW_TYPE.DOC.CP" w:val="RAPORT AL COMISIEI C\u258?TRE PARLAMENTUL EUROPEAN \u536?I CONSILIU"/>
    <w:docVar w:name="LwApiVersions" w:val="LW4CoDe 1.24.5.0; LW 9.2, Build 20251112"/>
  </w:docVars>
  <w:rsids>
    <w:rsidRoot w:val="0064029C"/>
    <w:rsid w:val="00005E7C"/>
    <w:rsid w:val="00010A89"/>
    <w:rsid w:val="00012A68"/>
    <w:rsid w:val="00012FF7"/>
    <w:rsid w:val="0001481A"/>
    <w:rsid w:val="00014E8A"/>
    <w:rsid w:val="000166AF"/>
    <w:rsid w:val="00021FB5"/>
    <w:rsid w:val="000306A1"/>
    <w:rsid w:val="00030A6F"/>
    <w:rsid w:val="00030A7E"/>
    <w:rsid w:val="00035CB2"/>
    <w:rsid w:val="00047191"/>
    <w:rsid w:val="000478BD"/>
    <w:rsid w:val="00047C3B"/>
    <w:rsid w:val="00054076"/>
    <w:rsid w:val="00057FEC"/>
    <w:rsid w:val="00062092"/>
    <w:rsid w:val="0006399F"/>
    <w:rsid w:val="00064E7E"/>
    <w:rsid w:val="00072BDD"/>
    <w:rsid w:val="0007431C"/>
    <w:rsid w:val="00076973"/>
    <w:rsid w:val="00076EAB"/>
    <w:rsid w:val="00077D21"/>
    <w:rsid w:val="00086650"/>
    <w:rsid w:val="00087A35"/>
    <w:rsid w:val="000904FF"/>
    <w:rsid w:val="00095D89"/>
    <w:rsid w:val="00097438"/>
    <w:rsid w:val="000A43E5"/>
    <w:rsid w:val="000A5427"/>
    <w:rsid w:val="000A5756"/>
    <w:rsid w:val="000A65E7"/>
    <w:rsid w:val="000B28C0"/>
    <w:rsid w:val="000B76D6"/>
    <w:rsid w:val="000C26D9"/>
    <w:rsid w:val="000C6172"/>
    <w:rsid w:val="000D07A6"/>
    <w:rsid w:val="000D679B"/>
    <w:rsid w:val="000D7B38"/>
    <w:rsid w:val="000E3B20"/>
    <w:rsid w:val="000E3FA0"/>
    <w:rsid w:val="000E3FA8"/>
    <w:rsid w:val="000E74C0"/>
    <w:rsid w:val="000E7A5D"/>
    <w:rsid w:val="000F0B3B"/>
    <w:rsid w:val="000F3A94"/>
    <w:rsid w:val="000F4C77"/>
    <w:rsid w:val="000F528A"/>
    <w:rsid w:val="000F5767"/>
    <w:rsid w:val="000F59B2"/>
    <w:rsid w:val="000F661E"/>
    <w:rsid w:val="000F795B"/>
    <w:rsid w:val="00105F9D"/>
    <w:rsid w:val="00110663"/>
    <w:rsid w:val="001119C4"/>
    <w:rsid w:val="001135A5"/>
    <w:rsid w:val="0012148C"/>
    <w:rsid w:val="00123670"/>
    <w:rsid w:val="0012410E"/>
    <w:rsid w:val="00125C99"/>
    <w:rsid w:val="00135FF5"/>
    <w:rsid w:val="001361D5"/>
    <w:rsid w:val="00141F9B"/>
    <w:rsid w:val="001428D3"/>
    <w:rsid w:val="001505CF"/>
    <w:rsid w:val="00150C03"/>
    <w:rsid w:val="00150F7B"/>
    <w:rsid w:val="001525E2"/>
    <w:rsid w:val="0015381C"/>
    <w:rsid w:val="00154C02"/>
    <w:rsid w:val="00154D0E"/>
    <w:rsid w:val="0015589A"/>
    <w:rsid w:val="001566CA"/>
    <w:rsid w:val="001569FF"/>
    <w:rsid w:val="00161B9D"/>
    <w:rsid w:val="001626E6"/>
    <w:rsid w:val="00166068"/>
    <w:rsid w:val="001667A7"/>
    <w:rsid w:val="0017280F"/>
    <w:rsid w:val="001736BC"/>
    <w:rsid w:val="001737A8"/>
    <w:rsid w:val="0017584C"/>
    <w:rsid w:val="00180F8B"/>
    <w:rsid w:val="0018105C"/>
    <w:rsid w:val="0018198E"/>
    <w:rsid w:val="00183B88"/>
    <w:rsid w:val="00184B90"/>
    <w:rsid w:val="00184F63"/>
    <w:rsid w:val="00186D7D"/>
    <w:rsid w:val="00186E18"/>
    <w:rsid w:val="001906CA"/>
    <w:rsid w:val="00190879"/>
    <w:rsid w:val="00190C80"/>
    <w:rsid w:val="001927A9"/>
    <w:rsid w:val="00193D61"/>
    <w:rsid w:val="001940B9"/>
    <w:rsid w:val="00195D6D"/>
    <w:rsid w:val="001974C7"/>
    <w:rsid w:val="001977AA"/>
    <w:rsid w:val="001A0A67"/>
    <w:rsid w:val="001A1A52"/>
    <w:rsid w:val="001A337D"/>
    <w:rsid w:val="001A5493"/>
    <w:rsid w:val="001A5776"/>
    <w:rsid w:val="001B3C7E"/>
    <w:rsid w:val="001B4A37"/>
    <w:rsid w:val="001B5C8F"/>
    <w:rsid w:val="001C17CF"/>
    <w:rsid w:val="001C1E4D"/>
    <w:rsid w:val="001C28B2"/>
    <w:rsid w:val="001C7413"/>
    <w:rsid w:val="001C7F02"/>
    <w:rsid w:val="001D0B9C"/>
    <w:rsid w:val="001D2928"/>
    <w:rsid w:val="001D37CF"/>
    <w:rsid w:val="001D687F"/>
    <w:rsid w:val="001D7F40"/>
    <w:rsid w:val="001E1DAA"/>
    <w:rsid w:val="001E3986"/>
    <w:rsid w:val="001E57CE"/>
    <w:rsid w:val="001E60AD"/>
    <w:rsid w:val="001E7695"/>
    <w:rsid w:val="001E7FD1"/>
    <w:rsid w:val="001F001B"/>
    <w:rsid w:val="001F1B2B"/>
    <w:rsid w:val="001F60D9"/>
    <w:rsid w:val="001F793A"/>
    <w:rsid w:val="001F796A"/>
    <w:rsid w:val="00202CF5"/>
    <w:rsid w:val="002062F1"/>
    <w:rsid w:val="00210F78"/>
    <w:rsid w:val="00211232"/>
    <w:rsid w:val="00213629"/>
    <w:rsid w:val="00213EF2"/>
    <w:rsid w:val="00214F77"/>
    <w:rsid w:val="00216029"/>
    <w:rsid w:val="00216244"/>
    <w:rsid w:val="002178B8"/>
    <w:rsid w:val="00217A9F"/>
    <w:rsid w:val="00225A7A"/>
    <w:rsid w:val="00230988"/>
    <w:rsid w:val="00233D67"/>
    <w:rsid w:val="00233E93"/>
    <w:rsid w:val="0024604C"/>
    <w:rsid w:val="00247AA9"/>
    <w:rsid w:val="00247B48"/>
    <w:rsid w:val="00251289"/>
    <w:rsid w:val="00253BE6"/>
    <w:rsid w:val="0026010F"/>
    <w:rsid w:val="00261013"/>
    <w:rsid w:val="00262AB8"/>
    <w:rsid w:val="00264A0C"/>
    <w:rsid w:val="00264A75"/>
    <w:rsid w:val="00270F2A"/>
    <w:rsid w:val="00271A9C"/>
    <w:rsid w:val="00272043"/>
    <w:rsid w:val="002730CE"/>
    <w:rsid w:val="00274C28"/>
    <w:rsid w:val="00276D86"/>
    <w:rsid w:val="00282FB3"/>
    <w:rsid w:val="00286EE3"/>
    <w:rsid w:val="00287908"/>
    <w:rsid w:val="00290024"/>
    <w:rsid w:val="00291A82"/>
    <w:rsid w:val="0029412C"/>
    <w:rsid w:val="002947E7"/>
    <w:rsid w:val="00295DC4"/>
    <w:rsid w:val="00296519"/>
    <w:rsid w:val="0029700A"/>
    <w:rsid w:val="002A327D"/>
    <w:rsid w:val="002A3E67"/>
    <w:rsid w:val="002A5BCE"/>
    <w:rsid w:val="002A6C1E"/>
    <w:rsid w:val="002C2348"/>
    <w:rsid w:val="002C576B"/>
    <w:rsid w:val="002C75CF"/>
    <w:rsid w:val="002D0588"/>
    <w:rsid w:val="002D1D9F"/>
    <w:rsid w:val="002D48D7"/>
    <w:rsid w:val="002D49E9"/>
    <w:rsid w:val="002D51CF"/>
    <w:rsid w:val="002E1199"/>
    <w:rsid w:val="002E316E"/>
    <w:rsid w:val="002E3E70"/>
    <w:rsid w:val="002F11D0"/>
    <w:rsid w:val="002F5AAC"/>
    <w:rsid w:val="002F5F0F"/>
    <w:rsid w:val="002F603A"/>
    <w:rsid w:val="002F6C60"/>
    <w:rsid w:val="002F7A54"/>
    <w:rsid w:val="003006FD"/>
    <w:rsid w:val="00300DF2"/>
    <w:rsid w:val="00301482"/>
    <w:rsid w:val="003019E3"/>
    <w:rsid w:val="0030278E"/>
    <w:rsid w:val="0030386A"/>
    <w:rsid w:val="00303E99"/>
    <w:rsid w:val="00304C74"/>
    <w:rsid w:val="00307C18"/>
    <w:rsid w:val="00313B82"/>
    <w:rsid w:val="003148D1"/>
    <w:rsid w:val="003153AE"/>
    <w:rsid w:val="00315DD2"/>
    <w:rsid w:val="003169CB"/>
    <w:rsid w:val="00322476"/>
    <w:rsid w:val="00325B89"/>
    <w:rsid w:val="003269AF"/>
    <w:rsid w:val="00326C9C"/>
    <w:rsid w:val="00327B11"/>
    <w:rsid w:val="003316BF"/>
    <w:rsid w:val="00343FBC"/>
    <w:rsid w:val="0034452E"/>
    <w:rsid w:val="00345682"/>
    <w:rsid w:val="003466BF"/>
    <w:rsid w:val="0034731A"/>
    <w:rsid w:val="00355239"/>
    <w:rsid w:val="00356825"/>
    <w:rsid w:val="00361882"/>
    <w:rsid w:val="003623E2"/>
    <w:rsid w:val="003626E9"/>
    <w:rsid w:val="00364D0D"/>
    <w:rsid w:val="003652E8"/>
    <w:rsid w:val="00372B74"/>
    <w:rsid w:val="00374BE9"/>
    <w:rsid w:val="003818D0"/>
    <w:rsid w:val="00382B3C"/>
    <w:rsid w:val="0038355F"/>
    <w:rsid w:val="00384181"/>
    <w:rsid w:val="0039029E"/>
    <w:rsid w:val="00394146"/>
    <w:rsid w:val="0039492D"/>
    <w:rsid w:val="003A020C"/>
    <w:rsid w:val="003A050E"/>
    <w:rsid w:val="003A2C6E"/>
    <w:rsid w:val="003A2DA8"/>
    <w:rsid w:val="003A7994"/>
    <w:rsid w:val="003A7CC5"/>
    <w:rsid w:val="003B56A0"/>
    <w:rsid w:val="003B6D44"/>
    <w:rsid w:val="003C50E8"/>
    <w:rsid w:val="003D4588"/>
    <w:rsid w:val="003D4821"/>
    <w:rsid w:val="003D5D30"/>
    <w:rsid w:val="003D7237"/>
    <w:rsid w:val="003D7250"/>
    <w:rsid w:val="003D7259"/>
    <w:rsid w:val="003D764B"/>
    <w:rsid w:val="003D7AF6"/>
    <w:rsid w:val="003E4420"/>
    <w:rsid w:val="003E5CCE"/>
    <w:rsid w:val="003F15A7"/>
    <w:rsid w:val="003F228C"/>
    <w:rsid w:val="003F4D95"/>
    <w:rsid w:val="003F5561"/>
    <w:rsid w:val="003F66DB"/>
    <w:rsid w:val="003F7806"/>
    <w:rsid w:val="00407A89"/>
    <w:rsid w:val="00417323"/>
    <w:rsid w:val="004211BD"/>
    <w:rsid w:val="0042123E"/>
    <w:rsid w:val="00421430"/>
    <w:rsid w:val="00422768"/>
    <w:rsid w:val="00423E50"/>
    <w:rsid w:val="00426A73"/>
    <w:rsid w:val="004274A7"/>
    <w:rsid w:val="0043102F"/>
    <w:rsid w:val="00431DDD"/>
    <w:rsid w:val="00432AF3"/>
    <w:rsid w:val="00442FB4"/>
    <w:rsid w:val="00450267"/>
    <w:rsid w:val="00450E4F"/>
    <w:rsid w:val="00451B74"/>
    <w:rsid w:val="00453BAF"/>
    <w:rsid w:val="00454A56"/>
    <w:rsid w:val="00456127"/>
    <w:rsid w:val="004568CD"/>
    <w:rsid w:val="00464245"/>
    <w:rsid w:val="00466063"/>
    <w:rsid w:val="00466FDB"/>
    <w:rsid w:val="004670DD"/>
    <w:rsid w:val="004723AC"/>
    <w:rsid w:val="00473B37"/>
    <w:rsid w:val="0048015A"/>
    <w:rsid w:val="004930D1"/>
    <w:rsid w:val="0049375B"/>
    <w:rsid w:val="004959BF"/>
    <w:rsid w:val="00497E78"/>
    <w:rsid w:val="004A01AD"/>
    <w:rsid w:val="004A6CB5"/>
    <w:rsid w:val="004B0A55"/>
    <w:rsid w:val="004B3085"/>
    <w:rsid w:val="004B3656"/>
    <w:rsid w:val="004C0D3D"/>
    <w:rsid w:val="004C25F3"/>
    <w:rsid w:val="004C3696"/>
    <w:rsid w:val="004C37B2"/>
    <w:rsid w:val="004C6985"/>
    <w:rsid w:val="004D1175"/>
    <w:rsid w:val="004D3E3C"/>
    <w:rsid w:val="004D4AAB"/>
    <w:rsid w:val="004D576B"/>
    <w:rsid w:val="004E4F08"/>
    <w:rsid w:val="004E5488"/>
    <w:rsid w:val="004F1545"/>
    <w:rsid w:val="004F1732"/>
    <w:rsid w:val="004F500F"/>
    <w:rsid w:val="004F7CF3"/>
    <w:rsid w:val="00502F39"/>
    <w:rsid w:val="00503C84"/>
    <w:rsid w:val="00506AD0"/>
    <w:rsid w:val="005104DE"/>
    <w:rsid w:val="00513143"/>
    <w:rsid w:val="0051434E"/>
    <w:rsid w:val="005173BA"/>
    <w:rsid w:val="005203D0"/>
    <w:rsid w:val="005328DE"/>
    <w:rsid w:val="00540E02"/>
    <w:rsid w:val="005419C8"/>
    <w:rsid w:val="00541A29"/>
    <w:rsid w:val="00545A37"/>
    <w:rsid w:val="00553D59"/>
    <w:rsid w:val="00556212"/>
    <w:rsid w:val="00556D92"/>
    <w:rsid w:val="00557D4D"/>
    <w:rsid w:val="005632E0"/>
    <w:rsid w:val="005657E2"/>
    <w:rsid w:val="00565C83"/>
    <w:rsid w:val="005667A5"/>
    <w:rsid w:val="005675B0"/>
    <w:rsid w:val="00567AB2"/>
    <w:rsid w:val="00571B7C"/>
    <w:rsid w:val="00573633"/>
    <w:rsid w:val="005827B3"/>
    <w:rsid w:val="00583E2E"/>
    <w:rsid w:val="005932C6"/>
    <w:rsid w:val="005945BD"/>
    <w:rsid w:val="005975D9"/>
    <w:rsid w:val="005A4803"/>
    <w:rsid w:val="005B1C9F"/>
    <w:rsid w:val="005B31C9"/>
    <w:rsid w:val="005B4FA7"/>
    <w:rsid w:val="005B4FF3"/>
    <w:rsid w:val="005B57B1"/>
    <w:rsid w:val="005B5BF3"/>
    <w:rsid w:val="005B7DEF"/>
    <w:rsid w:val="005C45A8"/>
    <w:rsid w:val="005C6710"/>
    <w:rsid w:val="005C7C0B"/>
    <w:rsid w:val="005D02A2"/>
    <w:rsid w:val="005D04B1"/>
    <w:rsid w:val="005D08B5"/>
    <w:rsid w:val="005D1457"/>
    <w:rsid w:val="005D1956"/>
    <w:rsid w:val="005D5432"/>
    <w:rsid w:val="005D54AF"/>
    <w:rsid w:val="005E009E"/>
    <w:rsid w:val="005E22CA"/>
    <w:rsid w:val="005E3426"/>
    <w:rsid w:val="005E7AC6"/>
    <w:rsid w:val="005F6265"/>
    <w:rsid w:val="006026DD"/>
    <w:rsid w:val="00610861"/>
    <w:rsid w:val="006271FF"/>
    <w:rsid w:val="00630E8B"/>
    <w:rsid w:val="00633790"/>
    <w:rsid w:val="00635A93"/>
    <w:rsid w:val="0064029C"/>
    <w:rsid w:val="00645F63"/>
    <w:rsid w:val="00653D0B"/>
    <w:rsid w:val="00654D13"/>
    <w:rsid w:val="0065517D"/>
    <w:rsid w:val="006552AA"/>
    <w:rsid w:val="00657D65"/>
    <w:rsid w:val="00662FAC"/>
    <w:rsid w:val="00664D30"/>
    <w:rsid w:val="006659FF"/>
    <w:rsid w:val="006663F0"/>
    <w:rsid w:val="00666778"/>
    <w:rsid w:val="00674C80"/>
    <w:rsid w:val="00677424"/>
    <w:rsid w:val="006774DC"/>
    <w:rsid w:val="00680449"/>
    <w:rsid w:val="00684F53"/>
    <w:rsid w:val="00685446"/>
    <w:rsid w:val="006866BE"/>
    <w:rsid w:val="006875EF"/>
    <w:rsid w:val="00694D44"/>
    <w:rsid w:val="00695FAC"/>
    <w:rsid w:val="00696191"/>
    <w:rsid w:val="006961D2"/>
    <w:rsid w:val="006978E6"/>
    <w:rsid w:val="006A05E5"/>
    <w:rsid w:val="006A0E67"/>
    <w:rsid w:val="006A2C37"/>
    <w:rsid w:val="006A7FCF"/>
    <w:rsid w:val="006C69F4"/>
    <w:rsid w:val="006D0345"/>
    <w:rsid w:val="006D1092"/>
    <w:rsid w:val="006D2358"/>
    <w:rsid w:val="006D3E62"/>
    <w:rsid w:val="006D5F04"/>
    <w:rsid w:val="006D5F55"/>
    <w:rsid w:val="006E1B8C"/>
    <w:rsid w:val="006E3164"/>
    <w:rsid w:val="006E3462"/>
    <w:rsid w:val="006E3569"/>
    <w:rsid w:val="006E47F3"/>
    <w:rsid w:val="006E4E0A"/>
    <w:rsid w:val="006E5438"/>
    <w:rsid w:val="006E60B1"/>
    <w:rsid w:val="006F0F44"/>
    <w:rsid w:val="00700816"/>
    <w:rsid w:val="00704A72"/>
    <w:rsid w:val="00705E37"/>
    <w:rsid w:val="00713486"/>
    <w:rsid w:val="00713B30"/>
    <w:rsid w:val="00715B34"/>
    <w:rsid w:val="00720EBE"/>
    <w:rsid w:val="00721E5B"/>
    <w:rsid w:val="007246F6"/>
    <w:rsid w:val="00724737"/>
    <w:rsid w:val="00725633"/>
    <w:rsid w:val="00726C37"/>
    <w:rsid w:val="00730E17"/>
    <w:rsid w:val="00731EC6"/>
    <w:rsid w:val="00733685"/>
    <w:rsid w:val="0073414F"/>
    <w:rsid w:val="00734DFD"/>
    <w:rsid w:val="0073556B"/>
    <w:rsid w:val="0073758A"/>
    <w:rsid w:val="007428FB"/>
    <w:rsid w:val="00745462"/>
    <w:rsid w:val="00751C5A"/>
    <w:rsid w:val="00752A71"/>
    <w:rsid w:val="007533B6"/>
    <w:rsid w:val="0075567C"/>
    <w:rsid w:val="0075667B"/>
    <w:rsid w:val="00760C97"/>
    <w:rsid w:val="0076124F"/>
    <w:rsid w:val="007618E1"/>
    <w:rsid w:val="007620AF"/>
    <w:rsid w:val="0076418D"/>
    <w:rsid w:val="00766403"/>
    <w:rsid w:val="0077666E"/>
    <w:rsid w:val="00790DC8"/>
    <w:rsid w:val="00791C99"/>
    <w:rsid w:val="00791FD3"/>
    <w:rsid w:val="00792184"/>
    <w:rsid w:val="007A05E2"/>
    <w:rsid w:val="007A1086"/>
    <w:rsid w:val="007A153D"/>
    <w:rsid w:val="007A267B"/>
    <w:rsid w:val="007A6014"/>
    <w:rsid w:val="007A7330"/>
    <w:rsid w:val="007A77E9"/>
    <w:rsid w:val="007A7DBF"/>
    <w:rsid w:val="007A7F09"/>
    <w:rsid w:val="007B629B"/>
    <w:rsid w:val="007C05EE"/>
    <w:rsid w:val="007C07B6"/>
    <w:rsid w:val="007C1095"/>
    <w:rsid w:val="007C3405"/>
    <w:rsid w:val="007C3D0F"/>
    <w:rsid w:val="007C7AA4"/>
    <w:rsid w:val="007D067F"/>
    <w:rsid w:val="007E2A00"/>
    <w:rsid w:val="007E36E1"/>
    <w:rsid w:val="007E43B6"/>
    <w:rsid w:val="007E4D23"/>
    <w:rsid w:val="007E51C9"/>
    <w:rsid w:val="007E6111"/>
    <w:rsid w:val="007E697F"/>
    <w:rsid w:val="007E76D0"/>
    <w:rsid w:val="007F02A5"/>
    <w:rsid w:val="007F2A37"/>
    <w:rsid w:val="007F5EF3"/>
    <w:rsid w:val="00803483"/>
    <w:rsid w:val="008036B9"/>
    <w:rsid w:val="00803ADC"/>
    <w:rsid w:val="008119B4"/>
    <w:rsid w:val="00811C7D"/>
    <w:rsid w:val="00817AA7"/>
    <w:rsid w:val="00821496"/>
    <w:rsid w:val="00825588"/>
    <w:rsid w:val="008266FF"/>
    <w:rsid w:val="008358FA"/>
    <w:rsid w:val="00836751"/>
    <w:rsid w:val="008400C8"/>
    <w:rsid w:val="008408AD"/>
    <w:rsid w:val="00841524"/>
    <w:rsid w:val="00841CF4"/>
    <w:rsid w:val="008420DA"/>
    <w:rsid w:val="00850B43"/>
    <w:rsid w:val="008558DC"/>
    <w:rsid w:val="008565EA"/>
    <w:rsid w:val="00861DEC"/>
    <w:rsid w:val="00864C92"/>
    <w:rsid w:val="008678B1"/>
    <w:rsid w:val="00872C94"/>
    <w:rsid w:val="008730FC"/>
    <w:rsid w:val="00873C70"/>
    <w:rsid w:val="008802B3"/>
    <w:rsid w:val="00880EDD"/>
    <w:rsid w:val="008813F8"/>
    <w:rsid w:val="008814BE"/>
    <w:rsid w:val="00882534"/>
    <w:rsid w:val="00883D2A"/>
    <w:rsid w:val="0088586E"/>
    <w:rsid w:val="00892350"/>
    <w:rsid w:val="00892ABE"/>
    <w:rsid w:val="00894E3B"/>
    <w:rsid w:val="00896AB8"/>
    <w:rsid w:val="008A126D"/>
    <w:rsid w:val="008A178A"/>
    <w:rsid w:val="008A223C"/>
    <w:rsid w:val="008A6D30"/>
    <w:rsid w:val="008B244D"/>
    <w:rsid w:val="008B2613"/>
    <w:rsid w:val="008B29E9"/>
    <w:rsid w:val="008B44DB"/>
    <w:rsid w:val="008B679A"/>
    <w:rsid w:val="008C3BCC"/>
    <w:rsid w:val="008C5151"/>
    <w:rsid w:val="008C6E56"/>
    <w:rsid w:val="008D43DB"/>
    <w:rsid w:val="008D5107"/>
    <w:rsid w:val="008D6437"/>
    <w:rsid w:val="008E0B39"/>
    <w:rsid w:val="008E1964"/>
    <w:rsid w:val="008E41D8"/>
    <w:rsid w:val="008E54E5"/>
    <w:rsid w:val="008E62BC"/>
    <w:rsid w:val="008F0109"/>
    <w:rsid w:val="008F1D3A"/>
    <w:rsid w:val="008F6167"/>
    <w:rsid w:val="008F6266"/>
    <w:rsid w:val="008F6D67"/>
    <w:rsid w:val="0090010E"/>
    <w:rsid w:val="00901981"/>
    <w:rsid w:val="0090403E"/>
    <w:rsid w:val="00904431"/>
    <w:rsid w:val="00905B5F"/>
    <w:rsid w:val="009118D8"/>
    <w:rsid w:val="0091273E"/>
    <w:rsid w:val="0091324B"/>
    <w:rsid w:val="0091384F"/>
    <w:rsid w:val="00917CE2"/>
    <w:rsid w:val="00922BC1"/>
    <w:rsid w:val="00923088"/>
    <w:rsid w:val="0092565A"/>
    <w:rsid w:val="00925D8D"/>
    <w:rsid w:val="00932816"/>
    <w:rsid w:val="00934769"/>
    <w:rsid w:val="00937021"/>
    <w:rsid w:val="00941FD4"/>
    <w:rsid w:val="00946B64"/>
    <w:rsid w:val="00951053"/>
    <w:rsid w:val="0095217D"/>
    <w:rsid w:val="0095257A"/>
    <w:rsid w:val="00953300"/>
    <w:rsid w:val="0096053A"/>
    <w:rsid w:val="0096101A"/>
    <w:rsid w:val="00961144"/>
    <w:rsid w:val="0096261B"/>
    <w:rsid w:val="00962CC4"/>
    <w:rsid w:val="009644D8"/>
    <w:rsid w:val="0096742E"/>
    <w:rsid w:val="009708AB"/>
    <w:rsid w:val="00972FC4"/>
    <w:rsid w:val="009743D6"/>
    <w:rsid w:val="009747AB"/>
    <w:rsid w:val="009765D6"/>
    <w:rsid w:val="00981146"/>
    <w:rsid w:val="009849F3"/>
    <w:rsid w:val="00984B80"/>
    <w:rsid w:val="00985C02"/>
    <w:rsid w:val="00986594"/>
    <w:rsid w:val="00993834"/>
    <w:rsid w:val="00995396"/>
    <w:rsid w:val="00995F4A"/>
    <w:rsid w:val="009A47BA"/>
    <w:rsid w:val="009A5EA3"/>
    <w:rsid w:val="009A6207"/>
    <w:rsid w:val="009C16F4"/>
    <w:rsid w:val="009C3363"/>
    <w:rsid w:val="009C3B68"/>
    <w:rsid w:val="009C3D1E"/>
    <w:rsid w:val="009C6323"/>
    <w:rsid w:val="009C6AAF"/>
    <w:rsid w:val="009C6E8A"/>
    <w:rsid w:val="009C7D16"/>
    <w:rsid w:val="009D1025"/>
    <w:rsid w:val="009D3FF4"/>
    <w:rsid w:val="009D47D0"/>
    <w:rsid w:val="009D4EA4"/>
    <w:rsid w:val="009D6AA3"/>
    <w:rsid w:val="009E01DB"/>
    <w:rsid w:val="009E3DEB"/>
    <w:rsid w:val="009E5ACF"/>
    <w:rsid w:val="009F09A7"/>
    <w:rsid w:val="009F0E2A"/>
    <w:rsid w:val="009F13F0"/>
    <w:rsid w:val="009F3A93"/>
    <w:rsid w:val="009F5884"/>
    <w:rsid w:val="009F70B0"/>
    <w:rsid w:val="00A00E75"/>
    <w:rsid w:val="00A00F58"/>
    <w:rsid w:val="00A00FC2"/>
    <w:rsid w:val="00A0374E"/>
    <w:rsid w:val="00A03DDF"/>
    <w:rsid w:val="00A06211"/>
    <w:rsid w:val="00A062EE"/>
    <w:rsid w:val="00A07AEE"/>
    <w:rsid w:val="00A12502"/>
    <w:rsid w:val="00A13A3A"/>
    <w:rsid w:val="00A13A5D"/>
    <w:rsid w:val="00A13BAE"/>
    <w:rsid w:val="00A16303"/>
    <w:rsid w:val="00A23A69"/>
    <w:rsid w:val="00A272C6"/>
    <w:rsid w:val="00A274B4"/>
    <w:rsid w:val="00A34D39"/>
    <w:rsid w:val="00A41667"/>
    <w:rsid w:val="00A42549"/>
    <w:rsid w:val="00A42EF7"/>
    <w:rsid w:val="00A50FE1"/>
    <w:rsid w:val="00A514F4"/>
    <w:rsid w:val="00A5231A"/>
    <w:rsid w:val="00A53C41"/>
    <w:rsid w:val="00A54559"/>
    <w:rsid w:val="00A54FFD"/>
    <w:rsid w:val="00A6151F"/>
    <w:rsid w:val="00A61D15"/>
    <w:rsid w:val="00A62A79"/>
    <w:rsid w:val="00A64317"/>
    <w:rsid w:val="00A71941"/>
    <w:rsid w:val="00A83B9B"/>
    <w:rsid w:val="00A86369"/>
    <w:rsid w:val="00A87BB1"/>
    <w:rsid w:val="00A9029F"/>
    <w:rsid w:val="00A971BB"/>
    <w:rsid w:val="00AA0708"/>
    <w:rsid w:val="00AA3AFB"/>
    <w:rsid w:val="00AA60AE"/>
    <w:rsid w:val="00AB1F59"/>
    <w:rsid w:val="00AB2C34"/>
    <w:rsid w:val="00AB4C04"/>
    <w:rsid w:val="00AB73AE"/>
    <w:rsid w:val="00AC7E9D"/>
    <w:rsid w:val="00AD0571"/>
    <w:rsid w:val="00AD585D"/>
    <w:rsid w:val="00AE2436"/>
    <w:rsid w:val="00AE244F"/>
    <w:rsid w:val="00AE473B"/>
    <w:rsid w:val="00AE47F3"/>
    <w:rsid w:val="00AF0E15"/>
    <w:rsid w:val="00AF4A3D"/>
    <w:rsid w:val="00AF4E25"/>
    <w:rsid w:val="00AF6D03"/>
    <w:rsid w:val="00B01E44"/>
    <w:rsid w:val="00B01EA0"/>
    <w:rsid w:val="00B10A50"/>
    <w:rsid w:val="00B11216"/>
    <w:rsid w:val="00B114DD"/>
    <w:rsid w:val="00B11533"/>
    <w:rsid w:val="00B145D4"/>
    <w:rsid w:val="00B17266"/>
    <w:rsid w:val="00B21C62"/>
    <w:rsid w:val="00B22F9E"/>
    <w:rsid w:val="00B25ED2"/>
    <w:rsid w:val="00B36829"/>
    <w:rsid w:val="00B369EE"/>
    <w:rsid w:val="00B36DAC"/>
    <w:rsid w:val="00B412F5"/>
    <w:rsid w:val="00B413D2"/>
    <w:rsid w:val="00B42A0F"/>
    <w:rsid w:val="00B52295"/>
    <w:rsid w:val="00B52E36"/>
    <w:rsid w:val="00B557CA"/>
    <w:rsid w:val="00B55BFC"/>
    <w:rsid w:val="00B57825"/>
    <w:rsid w:val="00B60916"/>
    <w:rsid w:val="00B6458C"/>
    <w:rsid w:val="00B64612"/>
    <w:rsid w:val="00B65590"/>
    <w:rsid w:val="00B6655C"/>
    <w:rsid w:val="00B66F64"/>
    <w:rsid w:val="00B67DD9"/>
    <w:rsid w:val="00B70D1D"/>
    <w:rsid w:val="00B7196F"/>
    <w:rsid w:val="00B7357B"/>
    <w:rsid w:val="00B803E3"/>
    <w:rsid w:val="00B81E0E"/>
    <w:rsid w:val="00B90A4F"/>
    <w:rsid w:val="00B93DA7"/>
    <w:rsid w:val="00B97EA4"/>
    <w:rsid w:val="00B97F97"/>
    <w:rsid w:val="00BA124E"/>
    <w:rsid w:val="00BA1C85"/>
    <w:rsid w:val="00BA2CCA"/>
    <w:rsid w:val="00BA490F"/>
    <w:rsid w:val="00BA7842"/>
    <w:rsid w:val="00BB0A83"/>
    <w:rsid w:val="00BB3E9C"/>
    <w:rsid w:val="00BB5442"/>
    <w:rsid w:val="00BB597B"/>
    <w:rsid w:val="00BB59CD"/>
    <w:rsid w:val="00BB7463"/>
    <w:rsid w:val="00BB7A41"/>
    <w:rsid w:val="00BB7C34"/>
    <w:rsid w:val="00BB7EE5"/>
    <w:rsid w:val="00BC74CB"/>
    <w:rsid w:val="00BD10A0"/>
    <w:rsid w:val="00BD3267"/>
    <w:rsid w:val="00BD45F3"/>
    <w:rsid w:val="00BD5EDF"/>
    <w:rsid w:val="00BE0844"/>
    <w:rsid w:val="00BE1980"/>
    <w:rsid w:val="00BE267A"/>
    <w:rsid w:val="00BE547B"/>
    <w:rsid w:val="00BF295A"/>
    <w:rsid w:val="00BF3300"/>
    <w:rsid w:val="00BF352E"/>
    <w:rsid w:val="00BF3613"/>
    <w:rsid w:val="00BF6180"/>
    <w:rsid w:val="00BF6C72"/>
    <w:rsid w:val="00BF7FE6"/>
    <w:rsid w:val="00C01CEF"/>
    <w:rsid w:val="00C10CF4"/>
    <w:rsid w:val="00C10D4B"/>
    <w:rsid w:val="00C16404"/>
    <w:rsid w:val="00C21BC9"/>
    <w:rsid w:val="00C22D57"/>
    <w:rsid w:val="00C23FDA"/>
    <w:rsid w:val="00C2495C"/>
    <w:rsid w:val="00C2630D"/>
    <w:rsid w:val="00C32CDC"/>
    <w:rsid w:val="00C34390"/>
    <w:rsid w:val="00C3477B"/>
    <w:rsid w:val="00C34A69"/>
    <w:rsid w:val="00C36F92"/>
    <w:rsid w:val="00C4080C"/>
    <w:rsid w:val="00C41478"/>
    <w:rsid w:val="00C451A7"/>
    <w:rsid w:val="00C4587F"/>
    <w:rsid w:val="00C45D9B"/>
    <w:rsid w:val="00C47511"/>
    <w:rsid w:val="00C50437"/>
    <w:rsid w:val="00C522AF"/>
    <w:rsid w:val="00C57BC6"/>
    <w:rsid w:val="00C61925"/>
    <w:rsid w:val="00C63907"/>
    <w:rsid w:val="00C73DF7"/>
    <w:rsid w:val="00C81756"/>
    <w:rsid w:val="00C818A7"/>
    <w:rsid w:val="00C82179"/>
    <w:rsid w:val="00C855B7"/>
    <w:rsid w:val="00C85AAA"/>
    <w:rsid w:val="00C87AA9"/>
    <w:rsid w:val="00C92334"/>
    <w:rsid w:val="00C92359"/>
    <w:rsid w:val="00C92C71"/>
    <w:rsid w:val="00C95A57"/>
    <w:rsid w:val="00CA46AD"/>
    <w:rsid w:val="00CA522E"/>
    <w:rsid w:val="00CA7184"/>
    <w:rsid w:val="00CB0666"/>
    <w:rsid w:val="00CB0EB6"/>
    <w:rsid w:val="00CB25CE"/>
    <w:rsid w:val="00CB5E62"/>
    <w:rsid w:val="00CC4C31"/>
    <w:rsid w:val="00CD1406"/>
    <w:rsid w:val="00CD2340"/>
    <w:rsid w:val="00CD31FE"/>
    <w:rsid w:val="00CD34F2"/>
    <w:rsid w:val="00CD3AB0"/>
    <w:rsid w:val="00CD5C31"/>
    <w:rsid w:val="00CE0B25"/>
    <w:rsid w:val="00CE3235"/>
    <w:rsid w:val="00CE4A9A"/>
    <w:rsid w:val="00CE5B1A"/>
    <w:rsid w:val="00CE7B9A"/>
    <w:rsid w:val="00D02EED"/>
    <w:rsid w:val="00D04CB4"/>
    <w:rsid w:val="00D1170E"/>
    <w:rsid w:val="00D12508"/>
    <w:rsid w:val="00D13AE4"/>
    <w:rsid w:val="00D16001"/>
    <w:rsid w:val="00D16ECA"/>
    <w:rsid w:val="00D21016"/>
    <w:rsid w:val="00D21318"/>
    <w:rsid w:val="00D22CC7"/>
    <w:rsid w:val="00D260AC"/>
    <w:rsid w:val="00D27CE1"/>
    <w:rsid w:val="00D27F20"/>
    <w:rsid w:val="00D311CA"/>
    <w:rsid w:val="00D355A0"/>
    <w:rsid w:val="00D372E1"/>
    <w:rsid w:val="00D40CAC"/>
    <w:rsid w:val="00D43296"/>
    <w:rsid w:val="00D43448"/>
    <w:rsid w:val="00D5036F"/>
    <w:rsid w:val="00D52564"/>
    <w:rsid w:val="00D5460B"/>
    <w:rsid w:val="00D54ED3"/>
    <w:rsid w:val="00D564B4"/>
    <w:rsid w:val="00D6168C"/>
    <w:rsid w:val="00D63719"/>
    <w:rsid w:val="00D7120C"/>
    <w:rsid w:val="00D72615"/>
    <w:rsid w:val="00D72D01"/>
    <w:rsid w:val="00D75ECE"/>
    <w:rsid w:val="00D76081"/>
    <w:rsid w:val="00D817BF"/>
    <w:rsid w:val="00D83615"/>
    <w:rsid w:val="00D8706E"/>
    <w:rsid w:val="00D95BF1"/>
    <w:rsid w:val="00D97078"/>
    <w:rsid w:val="00DA1D62"/>
    <w:rsid w:val="00DA3B99"/>
    <w:rsid w:val="00DA4AEC"/>
    <w:rsid w:val="00DA4B2F"/>
    <w:rsid w:val="00DB10B2"/>
    <w:rsid w:val="00DB18C6"/>
    <w:rsid w:val="00DB18D3"/>
    <w:rsid w:val="00DB434A"/>
    <w:rsid w:val="00DB4757"/>
    <w:rsid w:val="00DB4BFE"/>
    <w:rsid w:val="00DB5C23"/>
    <w:rsid w:val="00DB69DB"/>
    <w:rsid w:val="00DB6E8D"/>
    <w:rsid w:val="00DB7ADA"/>
    <w:rsid w:val="00DC1A7C"/>
    <w:rsid w:val="00DC3AA8"/>
    <w:rsid w:val="00DC5535"/>
    <w:rsid w:val="00DD1A90"/>
    <w:rsid w:val="00DD20DF"/>
    <w:rsid w:val="00DD2D33"/>
    <w:rsid w:val="00DD52BB"/>
    <w:rsid w:val="00DD554A"/>
    <w:rsid w:val="00DD58C4"/>
    <w:rsid w:val="00DE32C8"/>
    <w:rsid w:val="00DE3A4E"/>
    <w:rsid w:val="00DE4650"/>
    <w:rsid w:val="00DE4B48"/>
    <w:rsid w:val="00DE4FF9"/>
    <w:rsid w:val="00DE7ACE"/>
    <w:rsid w:val="00DF2959"/>
    <w:rsid w:val="00DF3CB7"/>
    <w:rsid w:val="00DF4616"/>
    <w:rsid w:val="00DF5AE7"/>
    <w:rsid w:val="00DF6FBD"/>
    <w:rsid w:val="00E03F7A"/>
    <w:rsid w:val="00E0684D"/>
    <w:rsid w:val="00E07E21"/>
    <w:rsid w:val="00E1051D"/>
    <w:rsid w:val="00E10FBF"/>
    <w:rsid w:val="00E12874"/>
    <w:rsid w:val="00E13358"/>
    <w:rsid w:val="00E142FD"/>
    <w:rsid w:val="00E151AB"/>
    <w:rsid w:val="00E23E41"/>
    <w:rsid w:val="00E25603"/>
    <w:rsid w:val="00E25A65"/>
    <w:rsid w:val="00E26F2F"/>
    <w:rsid w:val="00E31766"/>
    <w:rsid w:val="00E342DE"/>
    <w:rsid w:val="00E343A9"/>
    <w:rsid w:val="00E343AE"/>
    <w:rsid w:val="00E3492D"/>
    <w:rsid w:val="00E3572A"/>
    <w:rsid w:val="00E40FA9"/>
    <w:rsid w:val="00E4258F"/>
    <w:rsid w:val="00E42AD0"/>
    <w:rsid w:val="00E442D6"/>
    <w:rsid w:val="00E44923"/>
    <w:rsid w:val="00E47730"/>
    <w:rsid w:val="00E51E47"/>
    <w:rsid w:val="00E53911"/>
    <w:rsid w:val="00E61CBE"/>
    <w:rsid w:val="00E62786"/>
    <w:rsid w:val="00E63E62"/>
    <w:rsid w:val="00E70BDC"/>
    <w:rsid w:val="00E73686"/>
    <w:rsid w:val="00E7450A"/>
    <w:rsid w:val="00E75DBC"/>
    <w:rsid w:val="00E80539"/>
    <w:rsid w:val="00E82097"/>
    <w:rsid w:val="00E906F5"/>
    <w:rsid w:val="00E91242"/>
    <w:rsid w:val="00E967A8"/>
    <w:rsid w:val="00E96B1D"/>
    <w:rsid w:val="00EA0F2E"/>
    <w:rsid w:val="00EA141C"/>
    <w:rsid w:val="00EA3A23"/>
    <w:rsid w:val="00EA3CB5"/>
    <w:rsid w:val="00EA5A25"/>
    <w:rsid w:val="00EA5D32"/>
    <w:rsid w:val="00EA5DD7"/>
    <w:rsid w:val="00EB03D4"/>
    <w:rsid w:val="00EB1E6A"/>
    <w:rsid w:val="00EB1FCF"/>
    <w:rsid w:val="00EB4A16"/>
    <w:rsid w:val="00EC20B4"/>
    <w:rsid w:val="00EC4031"/>
    <w:rsid w:val="00EC4A32"/>
    <w:rsid w:val="00EC6570"/>
    <w:rsid w:val="00EC6EE8"/>
    <w:rsid w:val="00ED1BCD"/>
    <w:rsid w:val="00ED66C0"/>
    <w:rsid w:val="00EE1080"/>
    <w:rsid w:val="00EE30E2"/>
    <w:rsid w:val="00EE3331"/>
    <w:rsid w:val="00EE3DF4"/>
    <w:rsid w:val="00EE63C9"/>
    <w:rsid w:val="00EF2AFD"/>
    <w:rsid w:val="00EF36DA"/>
    <w:rsid w:val="00EF4C19"/>
    <w:rsid w:val="00F07A31"/>
    <w:rsid w:val="00F07D16"/>
    <w:rsid w:val="00F13FDF"/>
    <w:rsid w:val="00F14201"/>
    <w:rsid w:val="00F17309"/>
    <w:rsid w:val="00F20956"/>
    <w:rsid w:val="00F21BD6"/>
    <w:rsid w:val="00F25AAC"/>
    <w:rsid w:val="00F3337E"/>
    <w:rsid w:val="00F33722"/>
    <w:rsid w:val="00F37E5C"/>
    <w:rsid w:val="00F43D16"/>
    <w:rsid w:val="00F45808"/>
    <w:rsid w:val="00F46D40"/>
    <w:rsid w:val="00F51034"/>
    <w:rsid w:val="00F52CA8"/>
    <w:rsid w:val="00F53403"/>
    <w:rsid w:val="00F64CC5"/>
    <w:rsid w:val="00F64DD1"/>
    <w:rsid w:val="00F66EF3"/>
    <w:rsid w:val="00F67286"/>
    <w:rsid w:val="00F70366"/>
    <w:rsid w:val="00F70C90"/>
    <w:rsid w:val="00F73F47"/>
    <w:rsid w:val="00F75E5D"/>
    <w:rsid w:val="00F76CE0"/>
    <w:rsid w:val="00F8079F"/>
    <w:rsid w:val="00F815DB"/>
    <w:rsid w:val="00F8163D"/>
    <w:rsid w:val="00F81BF2"/>
    <w:rsid w:val="00F84968"/>
    <w:rsid w:val="00F85C83"/>
    <w:rsid w:val="00F877C4"/>
    <w:rsid w:val="00F93569"/>
    <w:rsid w:val="00F95235"/>
    <w:rsid w:val="00F96D81"/>
    <w:rsid w:val="00FA40C2"/>
    <w:rsid w:val="00FB0604"/>
    <w:rsid w:val="00FB30ED"/>
    <w:rsid w:val="00FB5300"/>
    <w:rsid w:val="00FC1BFF"/>
    <w:rsid w:val="00FC6AA9"/>
    <w:rsid w:val="00FC6B04"/>
    <w:rsid w:val="00FC6FF5"/>
    <w:rsid w:val="00FC7407"/>
    <w:rsid w:val="00FD012F"/>
    <w:rsid w:val="00FD19AA"/>
    <w:rsid w:val="00FD28AF"/>
    <w:rsid w:val="00FD436D"/>
    <w:rsid w:val="00FD5436"/>
    <w:rsid w:val="00FD69EC"/>
    <w:rsid w:val="00FD77BF"/>
    <w:rsid w:val="00FD7B73"/>
    <w:rsid w:val="00FE0797"/>
    <w:rsid w:val="00FE6679"/>
    <w:rsid w:val="00FF0F6D"/>
    <w:rsid w:val="00FF2968"/>
    <w:rsid w:val="00FF2B81"/>
    <w:rsid w:val="00FF56F6"/>
    <w:rsid w:val="00FF75FF"/>
    <w:rsid w:val="05D2B3F5"/>
    <w:rsid w:val="07777493"/>
    <w:rsid w:val="0797032A"/>
    <w:rsid w:val="099FFBD0"/>
    <w:rsid w:val="13D02A1B"/>
    <w:rsid w:val="169B5EE8"/>
    <w:rsid w:val="1AE1D5A8"/>
    <w:rsid w:val="1BA0285F"/>
    <w:rsid w:val="20246245"/>
    <w:rsid w:val="2B6FC6F1"/>
    <w:rsid w:val="2EF5F054"/>
    <w:rsid w:val="451054DB"/>
    <w:rsid w:val="4B5BA839"/>
    <w:rsid w:val="53874635"/>
    <w:rsid w:val="56CF8D19"/>
    <w:rsid w:val="68C1E06B"/>
    <w:rsid w:val="6CFA4841"/>
    <w:rsid w:val="6FDC607C"/>
    <w:rsid w:val="73F2AC87"/>
    <w:rsid w:val="75C22C9B"/>
    <w:rsid w:val="7AAA946D"/>
    <w:rsid w:val="7E9A8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400457"/>
  <w15:docId w15:val="{9DB13524-40F3-4EF6-9C77-116BA17D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ro-RO"/>
    </w:rPr>
  </w:style>
  <w:style w:type="character" w:styleId="Emphasis">
    <w:name w:val="Emphasis"/>
    <w:uiPriority w:val="20"/>
    <w:qFormat/>
    <w:rPr>
      <w:i/>
      <w:i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DE7AC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
    <w:name w:val="Typ"/>
    <w:basedOn w:val="Normal"/>
    <w:pPr>
      <w:spacing w:after="200" w:line="276" w:lineRule="auto"/>
      <w:contextualSpacing/>
      <w:jc w:val="center"/>
    </w:pPr>
    <w:rPr>
      <w:rFonts w:ascii="Times New Roman" w:hAnsi="Times New Roman" w:cs="Times New Roman"/>
      <w:b/>
      <w:sz w:val="24"/>
      <w:szCs w:val="24"/>
    </w:rPr>
  </w:style>
  <w:style w:type="paragraph" w:customStyle="1" w:styleId="Type">
    <w:name w:val="Type"/>
    <w:basedOn w:val="Typ"/>
  </w:style>
  <w:style w:type="paragraph" w:customStyle="1" w:styleId="Titreobjet">
    <w:name w:val="Titre objet"/>
    <w:basedOn w:val="Normal"/>
    <w:pPr>
      <w:spacing w:before="360" w:after="360" w:line="240" w:lineRule="auto"/>
      <w:jc w:val="center"/>
    </w:pPr>
    <w:rPr>
      <w:rFonts w:ascii="Times New Roman" w:hAnsi="Times New Roman" w:cs="Times New Roman"/>
      <w:b/>
      <w:sz w:val="24"/>
    </w:rPr>
  </w:style>
  <w:style w:type="paragraph" w:customStyle="1" w:styleId="ManualHeading1">
    <w:name w:val="Manual Heading 1"/>
    <w:basedOn w:val="Normal"/>
    <w:pPr>
      <w:numPr>
        <w:numId w:val="1"/>
      </w:numPr>
      <w:spacing w:before="360" w:after="240" w:line="240" w:lineRule="auto"/>
    </w:pPr>
    <w:rPr>
      <w:rFonts w:ascii="Times New Roman" w:hAnsi="Times New Roman" w:cs="Times New Roman"/>
      <w:b/>
      <w:sz w:val="24"/>
      <w:szCs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ManualHeading2">
    <w:name w:val="Manual Heading 2"/>
    <w:basedOn w:val="Normal"/>
    <w:pPr>
      <w:spacing w:after="240" w:line="240" w:lineRule="auto"/>
      <w:jc w:val="both"/>
    </w:pPr>
    <w:rPr>
      <w:rFonts w:ascii="Times New Roman" w:hAnsi="Times New Roman" w:cs="Times New Roman"/>
      <w:b/>
      <w:sz w:val="24"/>
      <w:szCs w:val="24"/>
      <w:lang w:eastAsia="en-GB"/>
    </w:rPr>
  </w:style>
  <w:style w:type="paragraph" w:customStyle="1" w:styleId="Bullet0">
    <w:name w:val="Bullet 0"/>
    <w:basedOn w:val="Normal"/>
    <w:pPr>
      <w:numPr>
        <w:numId w:val="2"/>
      </w:numPr>
      <w:spacing w:before="100" w:beforeAutospacing="1" w:after="200" w:line="240" w:lineRule="auto"/>
      <w:jc w:val="both"/>
    </w:pPr>
    <w:rPr>
      <w:rFonts w:ascii="Times New Roman" w:hAnsi="Times New Roman" w:cs="Times New Roman"/>
      <w:sz w:val="24"/>
      <w:szCs w:val="24"/>
    </w:rPr>
  </w:style>
  <w:style w:type="paragraph" w:customStyle="1" w:styleId="SecurityMarking">
    <w:name w:val="SecurityMarking"/>
    <w:basedOn w:val="Normal"/>
    <w:rsid w:val="00DE7ACE"/>
    <w:pPr>
      <w:spacing w:after="0" w:line="276" w:lineRule="auto"/>
      <w:ind w:left="5103"/>
    </w:pPr>
    <w:rPr>
      <w:rFonts w:ascii="Times New Roman" w:hAnsi="Times New Roman" w:cs="Times New Roman"/>
      <w:sz w:val="28"/>
    </w:rPr>
  </w:style>
  <w:style w:type="paragraph" w:customStyle="1" w:styleId="DateMarking">
    <w:name w:val="DateMarking"/>
    <w:basedOn w:val="Normal"/>
    <w:rsid w:val="00DE7AC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E7ACE"/>
    <w:pPr>
      <w:spacing w:after="0" w:line="276" w:lineRule="auto"/>
      <w:ind w:left="5103"/>
    </w:pPr>
    <w:rPr>
      <w:rFonts w:ascii="Times New Roman" w:hAnsi="Times New Roman" w:cs="Times New Roman"/>
      <w:i/>
      <w:sz w:val="28"/>
    </w:rPr>
  </w:style>
  <w:style w:type="paragraph" w:customStyle="1" w:styleId="Languesfaisantfoi">
    <w:name w:val="Langues faisant foi"/>
    <w:basedOn w:val="Normal"/>
    <w:next w:val="Normal"/>
    <w:rsid w:val="00DE7AC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DE7AC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DE7ACE"/>
    <w:pPr>
      <w:spacing w:after="0"/>
    </w:pPr>
  </w:style>
  <w:style w:type="paragraph" w:customStyle="1" w:styleId="IntrtEEEPagedecouverture">
    <w:name w:val="Intérêt EEE (Page de couverture)"/>
    <w:basedOn w:val="IntrtEEE"/>
    <w:next w:val="Normal"/>
    <w:rsid w:val="00DE7ACE"/>
  </w:style>
  <w:style w:type="character" w:styleId="Hyperlink">
    <w:name w:val="Hyperlink"/>
    <w:basedOn w:val="DefaultParagraphFont"/>
    <w:uiPriority w:val="99"/>
    <w:unhideWhenUsed/>
    <w:rsid w:val="00751C5A"/>
    <w:rPr>
      <w:color w:val="0563C1" w:themeColor="hyperlink"/>
      <w:u w:val="single"/>
    </w:rPr>
  </w:style>
  <w:style w:type="character" w:customStyle="1" w:styleId="UnresolvedMention">
    <w:name w:val="Unresolved Mention"/>
    <w:basedOn w:val="DefaultParagraphFont"/>
    <w:uiPriority w:val="99"/>
    <w:semiHidden/>
    <w:unhideWhenUsed/>
    <w:rsid w:val="00751C5A"/>
    <w:rPr>
      <w:color w:val="605E5C"/>
      <w:shd w:val="clear" w:color="auto" w:fill="E1DFDD"/>
    </w:rPr>
  </w:style>
  <w:style w:type="character" w:styleId="FollowedHyperlink">
    <w:name w:val="FollowedHyperlink"/>
    <w:basedOn w:val="DefaultParagraphFont"/>
    <w:uiPriority w:val="99"/>
    <w:semiHidden/>
    <w:unhideWhenUsed/>
    <w:rsid w:val="00751C5A"/>
    <w:rPr>
      <w:color w:val="954F72" w:themeColor="followedHyperlink"/>
      <w:u w:val="single"/>
    </w:rPr>
  </w:style>
  <w:style w:type="paragraph" w:styleId="Revision">
    <w:name w:val="Revision"/>
    <w:hidden/>
    <w:uiPriority w:val="99"/>
    <w:semiHidden/>
    <w:rsid w:val="00AF4A3D"/>
    <w:pPr>
      <w:spacing w:after="0" w:line="240" w:lineRule="auto"/>
    </w:pPr>
  </w:style>
  <w:style w:type="character" w:customStyle="1" w:styleId="Mention">
    <w:name w:val="Mention"/>
    <w:basedOn w:val="DefaultParagraphFont"/>
    <w:uiPriority w:val="99"/>
    <w:unhideWhenUsed/>
    <w:rsid w:val="002178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558474">
      <w:bodyDiv w:val="1"/>
      <w:marLeft w:val="0"/>
      <w:marRight w:val="0"/>
      <w:marTop w:val="0"/>
      <w:marBottom w:val="0"/>
      <w:divBdr>
        <w:top w:val="none" w:sz="0" w:space="0" w:color="auto"/>
        <w:left w:val="none" w:sz="0" w:space="0" w:color="auto"/>
        <w:bottom w:val="none" w:sz="0" w:space="0" w:color="auto"/>
        <w:right w:val="none" w:sz="0" w:space="0" w:color="auto"/>
      </w:divBdr>
      <w:divsChild>
        <w:div w:id="757949236">
          <w:marLeft w:val="0"/>
          <w:marRight w:val="0"/>
          <w:marTop w:val="0"/>
          <w:marBottom w:val="0"/>
          <w:divBdr>
            <w:top w:val="none" w:sz="0" w:space="0" w:color="auto"/>
            <w:left w:val="none" w:sz="0" w:space="0" w:color="auto"/>
            <w:bottom w:val="none" w:sz="0" w:space="0" w:color="auto"/>
            <w:right w:val="none" w:sz="0" w:space="0" w:color="auto"/>
          </w:divBdr>
          <w:divsChild>
            <w:div w:id="13790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2/931/oj" TargetMode="External"/><Relationship Id="rId13" Type="http://schemas.openxmlformats.org/officeDocument/2006/relationships/hyperlink" Target="http://data.europa.eu/eli/reg_del/2022/2292/oj" TargetMode="External"/><Relationship Id="rId18" Type="http://schemas.openxmlformats.org/officeDocument/2006/relationships/hyperlink" Target="http://data.europa.eu/eli/reg_del/2023/1674/oj" TargetMode="External"/><Relationship Id="rId26" Type="http://schemas.openxmlformats.org/officeDocument/2006/relationships/hyperlink" Target="http://data.europa.eu/eli/reg_del/2025/687/oj" TargetMode="External"/><Relationship Id="rId3" Type="http://schemas.openxmlformats.org/officeDocument/2006/relationships/hyperlink" Target="http://data.europa.eu/eli/reg_del/2021/2156/oj" TargetMode="External"/><Relationship Id="rId21" Type="http://schemas.openxmlformats.org/officeDocument/2006/relationships/hyperlink" Target="http://data.europa.eu/eli/reg_del/2024/1004/oj" TargetMode="External"/><Relationship Id="rId7" Type="http://schemas.openxmlformats.org/officeDocument/2006/relationships/hyperlink" Target="http://data.europa.eu/eli/reg_del/2022/671/oj" TargetMode="External"/><Relationship Id="rId12" Type="http://schemas.openxmlformats.org/officeDocument/2006/relationships/hyperlink" Target="http://data.europa.eu/eli/reg_del/2022/1667/oj" TargetMode="External"/><Relationship Id="rId17" Type="http://schemas.openxmlformats.org/officeDocument/2006/relationships/hyperlink" Target="http://data.europa.eu/eli/reg_del/2023/1149/oj" TargetMode="External"/><Relationship Id="rId25" Type="http://schemas.openxmlformats.org/officeDocument/2006/relationships/hyperlink" Target="http://data.europa.eu/eli/reg_del/2025/637/oj" TargetMode="External"/><Relationship Id="rId2" Type="http://schemas.openxmlformats.org/officeDocument/2006/relationships/hyperlink" Target="https://eur-lex.europa.eu/legal-content/RO/TXT/?uri=CELEX:52021DC0383" TargetMode="External"/><Relationship Id="rId16" Type="http://schemas.openxmlformats.org/officeDocument/2006/relationships/hyperlink" Target="http://data.europa.eu/eli/reg_del/2023/842/oj" TargetMode="External"/><Relationship Id="rId20" Type="http://schemas.openxmlformats.org/officeDocument/2006/relationships/hyperlink" Target="http://data.europa.eu/eli/reg_del/2024/950/oj" TargetMode="External"/><Relationship Id="rId29" Type="http://schemas.openxmlformats.org/officeDocument/2006/relationships/hyperlink" Target="http://data.europa.eu/eli/reg/2013/952/oj" TargetMode="External"/><Relationship Id="rId1" Type="http://schemas.openxmlformats.org/officeDocument/2006/relationships/hyperlink" Target="http://data.europa.eu/eli/reg/2017/625/oj" TargetMode="External"/><Relationship Id="rId6" Type="http://schemas.openxmlformats.org/officeDocument/2006/relationships/hyperlink" Target="http://data.europa.eu/eli/reg_del/2021/2305/oj" TargetMode="External"/><Relationship Id="rId11" Type="http://schemas.openxmlformats.org/officeDocument/2006/relationships/hyperlink" Target="http://data.europa.eu/eli/reg_del/2022/1644/oj" TargetMode="External"/><Relationship Id="rId24" Type="http://schemas.openxmlformats.org/officeDocument/2006/relationships/hyperlink" Target="http://data.europa.eu/eli/reg_del/2025/65/oj" TargetMode="External"/><Relationship Id="rId5" Type="http://schemas.openxmlformats.org/officeDocument/2006/relationships/hyperlink" Target="http://data.europa.eu/eli/reg_del/2021/2244/oj" TargetMode="External"/><Relationship Id="rId15" Type="http://schemas.openxmlformats.org/officeDocument/2006/relationships/hyperlink" Target="http://data.europa.eu/eli/reg_del/2023/182/oj" TargetMode="External"/><Relationship Id="rId23" Type="http://schemas.openxmlformats.org/officeDocument/2006/relationships/hyperlink" Target="http://data.europa.eu/eli/reg_del/2024/2104/oj" TargetMode="External"/><Relationship Id="rId28" Type="http://schemas.openxmlformats.org/officeDocument/2006/relationships/hyperlink" Target="http://data.europa.eu/eli/agree_interinstit/2016/512/oj" TargetMode="External"/><Relationship Id="rId10" Type="http://schemas.openxmlformats.org/officeDocument/2006/relationships/hyperlink" Target="http://data.europa.eu/eli/reg_del/2022/1615/oj" TargetMode="External"/><Relationship Id="rId19" Type="http://schemas.openxmlformats.org/officeDocument/2006/relationships/hyperlink" Target="http://data.europa.eu/eli/reg_del/2023/2652/oj" TargetMode="External"/><Relationship Id="rId4" Type="http://schemas.openxmlformats.org/officeDocument/2006/relationships/hyperlink" Target="http://data.europa.eu/eli/reg_del/2021/2089/oj" TargetMode="External"/><Relationship Id="rId9" Type="http://schemas.openxmlformats.org/officeDocument/2006/relationships/hyperlink" Target="http://data.europa.eu/eli/reg_del/2022/887/oj" TargetMode="External"/><Relationship Id="rId14" Type="http://schemas.openxmlformats.org/officeDocument/2006/relationships/hyperlink" Target="http://data.europa.eu/eli/reg_del/2022/2258/oj" TargetMode="External"/><Relationship Id="rId22" Type="http://schemas.openxmlformats.org/officeDocument/2006/relationships/hyperlink" Target="http://data.europa.eu/eli/reg_del/2024/2562/oj" TargetMode="External"/><Relationship Id="rId27" Type="http://schemas.openxmlformats.org/officeDocument/2006/relationships/hyperlink" Target="http://data.europa.eu/eli/reg_del/2026/273/oj" TargetMode="External"/><Relationship Id="rId30" Type="http://schemas.openxmlformats.org/officeDocument/2006/relationships/hyperlink" Target="http://data.europa.eu/eli/reg_del/2019/1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0DC13EB184F4EBE5AA21BE9F247DB" ma:contentTypeVersion="8" ma:contentTypeDescription="Create a new document." ma:contentTypeScope="" ma:versionID="484ca318a997d898c1948fda2aef86d9">
  <xsd:schema xmlns:xsd="http://www.w3.org/2001/XMLSchema" xmlns:xs="http://www.w3.org/2001/XMLSchema" xmlns:p="http://schemas.microsoft.com/office/2006/metadata/properties" xmlns:ns2="00b59672-fe45-4cd1-beac-f346117953eb" targetNamespace="http://schemas.microsoft.com/office/2006/metadata/properties" ma:root="true" ma:fieldsID="181f8231f4d3562681503cd1bae3090e" ns2:_="">
    <xsd:import namespace="00b59672-fe45-4cd1-beac-f346117953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9672-fe45-4cd1-beac-f34611795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2997F-43D6-43AB-B4CD-35F7D6FF5F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4B12AE-A211-4303-B485-353E56110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b59672-fe45-4cd1-beac-f34611795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68A3CE-761C-4A93-BBAF-5A7D746E65CA}">
  <ds:schemaRefs>
    <ds:schemaRef ds:uri="http://schemas.microsoft.com/sharepoint/v3/contenttype/forms"/>
  </ds:schemaRefs>
</ds:datastoreItem>
</file>

<file path=customXml/itemProps4.xml><?xml version="1.0" encoding="utf-8"?>
<ds:datastoreItem xmlns:ds="http://schemas.openxmlformats.org/officeDocument/2006/customXml" ds:itemID="{E2311D03-459D-47F2-80F5-36005260C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3655</Words>
  <Characters>20835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24442</CharactersWithSpaces>
  <SharedDoc>false</SharedDoc>
  <HLinks>
    <vt:vector size="66" baseType="variant">
      <vt:variant>
        <vt:i4>8126492</vt:i4>
      </vt:variant>
      <vt:variant>
        <vt:i4>27</vt:i4>
      </vt:variant>
      <vt:variant>
        <vt:i4>0</vt:i4>
      </vt:variant>
      <vt:variant>
        <vt:i4>5</vt:i4>
      </vt:variant>
      <vt:variant>
        <vt:lpwstr>http://data.europa.eu/eli/reg_del/2025/687/oj</vt:lpwstr>
      </vt:variant>
      <vt:variant>
        <vt:lpwstr/>
      </vt:variant>
      <vt:variant>
        <vt:i4>8126487</vt:i4>
      </vt:variant>
      <vt:variant>
        <vt:i4>24</vt:i4>
      </vt:variant>
      <vt:variant>
        <vt:i4>0</vt:i4>
      </vt:variant>
      <vt:variant>
        <vt:i4>5</vt:i4>
      </vt:variant>
      <vt:variant>
        <vt:lpwstr>http://data.europa.eu/eli/reg_del/2025/637/oj</vt:lpwstr>
      </vt:variant>
      <vt:variant>
        <vt:lpwstr/>
      </vt:variant>
      <vt:variant>
        <vt:i4>6357073</vt:i4>
      </vt:variant>
      <vt:variant>
        <vt:i4>21</vt:i4>
      </vt:variant>
      <vt:variant>
        <vt:i4>0</vt:i4>
      </vt:variant>
      <vt:variant>
        <vt:i4>5</vt:i4>
      </vt:variant>
      <vt:variant>
        <vt:lpwstr>http://data.europa.eu/eli/reg_del/2025/65/oj</vt:lpwstr>
      </vt:variant>
      <vt:variant>
        <vt:lpwstr/>
      </vt:variant>
      <vt:variant>
        <vt:i4>5505121</vt:i4>
      </vt:variant>
      <vt:variant>
        <vt:i4>18</vt:i4>
      </vt:variant>
      <vt:variant>
        <vt:i4>0</vt:i4>
      </vt:variant>
      <vt:variant>
        <vt:i4>5</vt:i4>
      </vt:variant>
      <vt:variant>
        <vt:lpwstr>http://data.europa.eu/eli/reg_del/2024/2104/oj</vt:lpwstr>
      </vt:variant>
      <vt:variant>
        <vt:lpwstr/>
      </vt:variant>
      <vt:variant>
        <vt:i4>5701728</vt:i4>
      </vt:variant>
      <vt:variant>
        <vt:i4>15</vt:i4>
      </vt:variant>
      <vt:variant>
        <vt:i4>0</vt:i4>
      </vt:variant>
      <vt:variant>
        <vt:i4>5</vt:i4>
      </vt:variant>
      <vt:variant>
        <vt:lpwstr>http://data.europa.eu/eli/reg_del/2024/1004/oj</vt:lpwstr>
      </vt:variant>
      <vt:variant>
        <vt:lpwstr/>
      </vt:variant>
      <vt:variant>
        <vt:i4>7667729</vt:i4>
      </vt:variant>
      <vt:variant>
        <vt:i4>12</vt:i4>
      </vt:variant>
      <vt:variant>
        <vt:i4>0</vt:i4>
      </vt:variant>
      <vt:variant>
        <vt:i4>5</vt:i4>
      </vt:variant>
      <vt:variant>
        <vt:lpwstr>http://data.europa.eu/eli/reg_del/2024/950/oj</vt:lpwstr>
      </vt:variant>
      <vt:variant>
        <vt:lpwstr/>
      </vt:variant>
      <vt:variant>
        <vt:i4>5636192</vt:i4>
      </vt:variant>
      <vt:variant>
        <vt:i4>9</vt:i4>
      </vt:variant>
      <vt:variant>
        <vt:i4>0</vt:i4>
      </vt:variant>
      <vt:variant>
        <vt:i4>5</vt:i4>
      </vt:variant>
      <vt:variant>
        <vt:lpwstr>http://data.europa.eu/eli/reg_del/2023/2652/oj</vt:lpwstr>
      </vt:variant>
      <vt:variant>
        <vt:lpwstr/>
      </vt:variant>
      <vt:variant>
        <vt:i4>8126487</vt:i4>
      </vt:variant>
      <vt:variant>
        <vt:i4>6</vt:i4>
      </vt:variant>
      <vt:variant>
        <vt:i4>0</vt:i4>
      </vt:variant>
      <vt:variant>
        <vt:i4>5</vt:i4>
      </vt:variant>
      <vt:variant>
        <vt:lpwstr>http://data.europa.eu/eli/reg_del/2025/637/oj</vt:lpwstr>
      </vt:variant>
      <vt:variant>
        <vt:lpwstr/>
      </vt:variant>
      <vt:variant>
        <vt:i4>5636192</vt:i4>
      </vt:variant>
      <vt:variant>
        <vt:i4>3</vt:i4>
      </vt:variant>
      <vt:variant>
        <vt:i4>0</vt:i4>
      </vt:variant>
      <vt:variant>
        <vt:i4>5</vt:i4>
      </vt:variant>
      <vt:variant>
        <vt:lpwstr>http://data.europa.eu/eli/reg_del/2023/2652/oj</vt:lpwstr>
      </vt:variant>
      <vt:variant>
        <vt:lpwstr/>
      </vt:variant>
      <vt:variant>
        <vt:i4>327685</vt:i4>
      </vt:variant>
      <vt:variant>
        <vt:i4>0</vt:i4>
      </vt:variant>
      <vt:variant>
        <vt:i4>0</vt:i4>
      </vt:variant>
      <vt:variant>
        <vt:i4>5</vt:i4>
      </vt:variant>
      <vt:variant>
        <vt:lpwstr>https://eur-lex.europa.eu/legal-content/EN/TXT/?uri=CELEX%3A52021DC0383&amp;qid=1773055507529</vt:lpwstr>
      </vt:variant>
      <vt:variant>
        <vt:lpwstr/>
      </vt:variant>
      <vt:variant>
        <vt:i4>2293763</vt:i4>
      </vt:variant>
      <vt:variant>
        <vt:i4>0</vt:i4>
      </vt:variant>
      <vt:variant>
        <vt:i4>0</vt:i4>
      </vt:variant>
      <vt:variant>
        <vt:i4>5</vt:i4>
      </vt:variant>
      <vt:variant>
        <vt:lpwstr>mailto:Rolanas.KLIUCINSKAS@ec.europa.eu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2021-06-10T09:44:00Z</cp:lastPrinted>
  <dcterms:created xsi:type="dcterms:W3CDTF">2026-06-09T14:46:00Z</dcterms:created>
  <dcterms:modified xsi:type="dcterms:W3CDTF">2026-07-08T08:25:00Z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OP_sanitized">
    <vt:lpwstr>True</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2026-01-28T10:26:41Z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a78a3003-4bc6-4dea-9a92-d68336759dc8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0x010100A640DC13EB184F4EBE5AA21BE9F247DB</vt:lpwstr>
  </property>
</Properties>
</file>