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9390A5" w14:textId="02140F04" w:rsidR="0029533F" w:rsidRDefault="00E50570" w:rsidP="00E50570">
      <w:pPr>
        <w:pStyle w:val="Pagedecouverture"/>
        <w:rPr>
          <w:noProof/>
        </w:rPr>
      </w:pPr>
      <w:r>
        <w:rPr>
          <w:noProof/>
        </w:rPr>
        <w:pict w14:anchorId="716E88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0FC009E-DCBE-4A7B-A146-A297DFDAE49C" style="width:455.25pt;height:421.5pt">
            <v:imagedata r:id="rId7" o:title=""/>
          </v:shape>
        </w:pict>
      </w:r>
    </w:p>
    <w:p w14:paraId="0220F8EA" w14:textId="77777777" w:rsidR="002573BC" w:rsidRPr="00A179B5" w:rsidRDefault="002573BC">
      <w:pPr>
        <w:rPr>
          <w:noProof/>
        </w:rPr>
        <w:sectPr w:rsidR="002573BC" w:rsidRPr="00A179B5" w:rsidSect="00E50570">
          <w:footerReference w:type="even" r:id="rId8"/>
          <w:footerReference w:type="default" r:id="rId9"/>
          <w:pgSz w:w="11907" w:h="16839"/>
          <w:pgMar w:top="1134" w:right="1417" w:bottom="1134" w:left="1417" w:header="709" w:footer="709" w:gutter="0"/>
          <w:pgNumType w:start="0"/>
          <w:cols w:space="720"/>
          <w:docGrid w:linePitch="360"/>
        </w:sectPr>
      </w:pPr>
    </w:p>
    <w:p w14:paraId="45F9DCDC" w14:textId="3EAA4155" w:rsidR="002573BC" w:rsidRPr="002573BC" w:rsidRDefault="00F34D63" w:rsidP="00F34D63">
      <w:pPr>
        <w:pStyle w:val="Rfrenceinterinstitutionnelle"/>
        <w:rPr>
          <w:noProof/>
        </w:rPr>
      </w:pPr>
      <w:bookmarkStart w:id="0" w:name="_GoBack"/>
      <w:bookmarkEnd w:id="0"/>
      <w:r>
        <w:rPr>
          <w:noProof/>
        </w:rPr>
        <w:lastRenderedPageBreak/>
        <w:t>2025/0429 (COD)</w:t>
      </w:r>
    </w:p>
    <w:p w14:paraId="1D9AB214" w14:textId="3188A329" w:rsidR="002573BC" w:rsidRPr="00A179B5" w:rsidRDefault="00F34D63" w:rsidP="00F34D63">
      <w:pPr>
        <w:pStyle w:val="Typedudocument"/>
        <w:rPr>
          <w:noProof/>
        </w:rPr>
      </w:pPr>
      <w:r w:rsidRPr="00F34D63">
        <w:rPr>
          <w:noProof/>
        </w:rPr>
        <w:t>COMMUNICATION FROM THE COMMISSION</w:t>
      </w:r>
      <w:r w:rsidRPr="00F34D63">
        <w:rPr>
          <w:noProof/>
        </w:rPr>
        <w:br/>
        <w:t>TO THE EUROPEAN PARLIAMENT</w:t>
      </w:r>
      <w:r w:rsidRPr="00F34D63">
        <w:rPr>
          <w:noProof/>
        </w:rPr>
        <w:br/>
      </w:r>
      <w:r w:rsidRPr="00F34D63">
        <w:rPr>
          <w:noProof/>
        </w:rPr>
        <w:br/>
        <w:t>pursuant to Article 294(6) of the Treaty on the Functioning of the European Union</w:t>
      </w:r>
      <w:r w:rsidRPr="00F34D63">
        <w:rPr>
          <w:noProof/>
        </w:rPr>
        <w:br/>
      </w:r>
      <w:r w:rsidRPr="00F34D63">
        <w:rPr>
          <w:noProof/>
        </w:rPr>
        <w:br/>
        <w:t>concerning the</w:t>
      </w:r>
    </w:p>
    <w:p w14:paraId="52AE5EB0" w14:textId="6A98FF14" w:rsidR="002573BC" w:rsidRPr="00A179B5" w:rsidRDefault="00F34D63" w:rsidP="00F34D63">
      <w:pPr>
        <w:pStyle w:val="Titreobjet"/>
        <w:rPr>
          <w:noProof/>
        </w:rPr>
      </w:pPr>
      <w:r w:rsidRPr="00F34D63">
        <w:rPr>
          <w:noProof/>
        </w:rPr>
        <w:t>position of the Council on the adoption of a Regulation of the European Parliament and the Council on a temporary derogation from certain provisions of Directive 2002/58/EC as regards the use of technologies by providers of number-independent interpersonal communications services for the processing of personal and other data for the purpose of combating online child sexual abuse</w:t>
      </w:r>
    </w:p>
    <w:p w14:paraId="06737356" w14:textId="77777777" w:rsidR="002573BC" w:rsidRPr="00A179B5" w:rsidRDefault="002573BC" w:rsidP="001704B9">
      <w:pPr>
        <w:pStyle w:val="ManualHeading1"/>
        <w:rPr>
          <w:noProof/>
          <w:sz w:val="22"/>
        </w:rPr>
      </w:pPr>
      <w:r w:rsidRPr="00A179B5">
        <w:rPr>
          <w:noProof/>
        </w:rPr>
        <w:t>1.</w:t>
      </w:r>
      <w:r w:rsidRPr="00A179B5">
        <w:rPr>
          <w:noProof/>
        </w:rPr>
        <w:tab/>
        <w:t>Background</w:t>
      </w:r>
    </w:p>
    <w:tbl>
      <w:tblPr>
        <w:tblW w:w="0" w:type="auto"/>
        <w:tblLayout w:type="fixed"/>
        <w:tblLook w:val="0000" w:firstRow="0" w:lastRow="0" w:firstColumn="0" w:lastColumn="0" w:noHBand="0" w:noVBand="0"/>
      </w:tblPr>
      <w:tblGrid>
        <w:gridCol w:w="6804"/>
        <w:gridCol w:w="2483"/>
      </w:tblGrid>
      <w:tr w:rsidR="002573BC" w:rsidRPr="00A179B5" w14:paraId="3B145769" w14:textId="77777777" w:rsidTr="00FC48CE">
        <w:tc>
          <w:tcPr>
            <w:tcW w:w="6804" w:type="dxa"/>
          </w:tcPr>
          <w:p w14:paraId="161C6537" w14:textId="7DEED64A" w:rsidR="002573BC" w:rsidRPr="00A179B5" w:rsidRDefault="002573BC" w:rsidP="00FC48CE">
            <w:pPr>
              <w:jc w:val="left"/>
              <w:rPr>
                <w:noProof/>
              </w:rPr>
            </w:pPr>
            <w:r w:rsidRPr="002573BC">
              <w:rPr>
                <w:noProof/>
                <w:lang w:val="en-US"/>
              </w:rPr>
              <w:t xml:space="preserve">Date of transmission of the </w:t>
            </w:r>
            <w:r w:rsidR="00913837">
              <w:rPr>
                <w:noProof/>
                <w:lang w:val="en-US"/>
              </w:rPr>
              <w:t>Commission P</w:t>
            </w:r>
            <w:r w:rsidR="00913837" w:rsidRPr="002573BC">
              <w:rPr>
                <w:noProof/>
                <w:lang w:val="en-US"/>
              </w:rPr>
              <w:t xml:space="preserve">roposal </w:t>
            </w:r>
            <w:r w:rsidRPr="002573BC">
              <w:rPr>
                <w:noProof/>
                <w:lang w:val="en-US"/>
              </w:rPr>
              <w:t xml:space="preserve">to the European Parliament and to the Council </w:t>
            </w:r>
            <w:r w:rsidR="004D6F90" w:rsidRPr="004D6F90">
              <w:rPr>
                <w:noProof/>
                <w:lang w:val="en-US"/>
              </w:rPr>
              <w:t xml:space="preserve">19 December 2025 </w:t>
            </w:r>
            <w:r w:rsidRPr="002573BC">
              <w:rPr>
                <w:noProof/>
                <w:lang w:val="en-US"/>
              </w:rPr>
              <w:t>(document COM/2025/797 final – 2025/0429(COD)</w:t>
            </w:r>
            <w:r w:rsidRPr="00A179B5">
              <w:rPr>
                <w:noProof/>
              </w:rPr>
              <w:t>:</w:t>
            </w:r>
          </w:p>
        </w:tc>
        <w:tc>
          <w:tcPr>
            <w:tcW w:w="2483" w:type="dxa"/>
          </w:tcPr>
          <w:p w14:paraId="5A63A095" w14:textId="1F6521B4" w:rsidR="002573BC" w:rsidRPr="00C74215" w:rsidRDefault="002573BC" w:rsidP="00FC48CE">
            <w:pPr>
              <w:jc w:val="left"/>
              <w:rPr>
                <w:noProof/>
              </w:rPr>
            </w:pPr>
          </w:p>
        </w:tc>
      </w:tr>
      <w:tr w:rsidR="002573BC" w:rsidRPr="00A179B5" w14:paraId="5D73FAFE" w14:textId="77777777" w:rsidTr="00FC48CE">
        <w:tc>
          <w:tcPr>
            <w:tcW w:w="6804" w:type="dxa"/>
          </w:tcPr>
          <w:p w14:paraId="166A2479" w14:textId="77777777" w:rsidR="002573BC" w:rsidRPr="00A179B5" w:rsidRDefault="002573BC" w:rsidP="00FC48CE">
            <w:pPr>
              <w:rPr>
                <w:noProof/>
              </w:rPr>
            </w:pPr>
            <w:r w:rsidRPr="00A179B5">
              <w:rPr>
                <w:noProof/>
              </w:rPr>
              <w:t>Date of the opinion of the European Economic and Social Committee:</w:t>
            </w:r>
          </w:p>
        </w:tc>
        <w:tc>
          <w:tcPr>
            <w:tcW w:w="2483" w:type="dxa"/>
          </w:tcPr>
          <w:p w14:paraId="0105FAD2" w14:textId="77777777" w:rsidR="002573BC" w:rsidRPr="00C74215" w:rsidRDefault="002573BC" w:rsidP="00FC48CE">
            <w:pPr>
              <w:jc w:val="left"/>
              <w:rPr>
                <w:noProof/>
              </w:rPr>
            </w:pPr>
            <w:r w:rsidRPr="003B3609">
              <w:rPr>
                <w:noProof/>
              </w:rPr>
              <w:t>21 January 2026</w:t>
            </w:r>
          </w:p>
        </w:tc>
      </w:tr>
      <w:tr w:rsidR="002573BC" w:rsidRPr="00A179B5" w14:paraId="27EE8524" w14:textId="77777777" w:rsidTr="00FC48CE">
        <w:tc>
          <w:tcPr>
            <w:tcW w:w="6804" w:type="dxa"/>
          </w:tcPr>
          <w:p w14:paraId="4570BEA9" w14:textId="77777777" w:rsidR="002573BC" w:rsidRPr="00A179B5" w:rsidRDefault="002573BC" w:rsidP="00FC48CE">
            <w:pPr>
              <w:rPr>
                <w:noProof/>
              </w:rPr>
            </w:pPr>
            <w:r w:rsidRPr="00A179B5">
              <w:rPr>
                <w:noProof/>
              </w:rPr>
              <w:t>Date of the p</w:t>
            </w:r>
            <w:r>
              <w:rPr>
                <w:noProof/>
              </w:rPr>
              <w:t>osit</w:t>
            </w:r>
            <w:r w:rsidRPr="00A179B5">
              <w:rPr>
                <w:noProof/>
              </w:rPr>
              <w:t>ion of the European Parliament, first reading:</w:t>
            </w:r>
          </w:p>
        </w:tc>
        <w:tc>
          <w:tcPr>
            <w:tcW w:w="2483" w:type="dxa"/>
          </w:tcPr>
          <w:p w14:paraId="114F3D47" w14:textId="77777777" w:rsidR="002573BC" w:rsidRPr="00C74215" w:rsidRDefault="002573BC" w:rsidP="00FC48CE">
            <w:pPr>
              <w:jc w:val="left"/>
              <w:rPr>
                <w:noProof/>
              </w:rPr>
            </w:pPr>
            <w:r w:rsidRPr="003B3609">
              <w:rPr>
                <w:noProof/>
              </w:rPr>
              <w:t>11 March 2026</w:t>
            </w:r>
          </w:p>
        </w:tc>
      </w:tr>
      <w:tr w:rsidR="002573BC" w:rsidRPr="00A179B5" w14:paraId="3D4B0221" w14:textId="77777777" w:rsidTr="00FC48CE">
        <w:tc>
          <w:tcPr>
            <w:tcW w:w="6804" w:type="dxa"/>
          </w:tcPr>
          <w:p w14:paraId="04768056" w14:textId="77777777" w:rsidR="002573BC" w:rsidRPr="00A179B5" w:rsidRDefault="002573BC" w:rsidP="00FC48CE">
            <w:pPr>
              <w:rPr>
                <w:noProof/>
              </w:rPr>
            </w:pPr>
            <w:r w:rsidRPr="00A179B5">
              <w:rPr>
                <w:noProof/>
              </w:rPr>
              <w:t>Date of transmission of the amended proposal:</w:t>
            </w:r>
          </w:p>
        </w:tc>
        <w:tc>
          <w:tcPr>
            <w:tcW w:w="2483" w:type="dxa"/>
          </w:tcPr>
          <w:p w14:paraId="512616F1" w14:textId="1A5D0F9E" w:rsidR="002573BC" w:rsidRPr="004A6027" w:rsidRDefault="0074158F" w:rsidP="00FC48CE">
            <w:pPr>
              <w:jc w:val="left"/>
              <w:rPr>
                <w:noProof/>
              </w:rPr>
            </w:pPr>
            <w:r w:rsidRPr="00083BFC">
              <w:rPr>
                <w:noProof/>
              </w:rPr>
              <w:t>N/A</w:t>
            </w:r>
          </w:p>
        </w:tc>
      </w:tr>
      <w:tr w:rsidR="002573BC" w:rsidRPr="00A179B5" w14:paraId="3A736906" w14:textId="77777777" w:rsidTr="00FC48CE">
        <w:tc>
          <w:tcPr>
            <w:tcW w:w="6804" w:type="dxa"/>
          </w:tcPr>
          <w:p w14:paraId="019D7905" w14:textId="77777777" w:rsidR="002573BC" w:rsidRPr="00A179B5" w:rsidRDefault="002573BC" w:rsidP="00FC48CE">
            <w:pPr>
              <w:rPr>
                <w:noProof/>
              </w:rPr>
            </w:pPr>
            <w:r w:rsidRPr="00A179B5">
              <w:rPr>
                <w:noProof/>
              </w:rPr>
              <w:t>Date of adoption of the position of the Council:</w:t>
            </w:r>
          </w:p>
        </w:tc>
        <w:tc>
          <w:tcPr>
            <w:tcW w:w="2483" w:type="dxa"/>
          </w:tcPr>
          <w:p w14:paraId="11385DCE" w14:textId="7F2CD3CC" w:rsidR="002573BC" w:rsidRPr="004A6027" w:rsidRDefault="00BE6996" w:rsidP="00FC48CE">
            <w:pPr>
              <w:jc w:val="left"/>
              <w:rPr>
                <w:noProof/>
              </w:rPr>
            </w:pPr>
            <w:r w:rsidRPr="00083BFC">
              <w:rPr>
                <w:noProof/>
              </w:rPr>
              <w:t>2 July 2026</w:t>
            </w:r>
          </w:p>
        </w:tc>
      </w:tr>
    </w:tbl>
    <w:p w14:paraId="7890F191" w14:textId="77777777" w:rsidR="002573BC" w:rsidRPr="00090C0A" w:rsidRDefault="002573BC" w:rsidP="001704B9">
      <w:pPr>
        <w:pStyle w:val="ManualHeading1"/>
        <w:rPr>
          <w:noProof/>
        </w:rPr>
      </w:pPr>
      <w:r w:rsidRPr="00090C0A">
        <w:rPr>
          <w:noProof/>
        </w:rPr>
        <w:t>2.</w:t>
      </w:r>
      <w:r w:rsidRPr="00090C0A">
        <w:rPr>
          <w:noProof/>
        </w:rPr>
        <w:tab/>
        <w:t>Objective of the proposal from the Commission</w:t>
      </w:r>
    </w:p>
    <w:p w14:paraId="6B903CDC" w14:textId="6A184A26" w:rsidR="001D0882" w:rsidRDefault="001D0882" w:rsidP="00447CD2">
      <w:pPr>
        <w:pStyle w:val="BodyText"/>
        <w:spacing w:before="88"/>
        <w:jc w:val="both"/>
        <w:rPr>
          <w:noProof/>
        </w:rPr>
      </w:pPr>
      <w:r>
        <w:rPr>
          <w:noProof/>
        </w:rPr>
        <w:t xml:space="preserve">Online child sexual abuse, including the dissemination of child sexual abuse material and the solicitation of children through online services, shows </w:t>
      </w:r>
      <w:r w:rsidR="00B20B70">
        <w:rPr>
          <w:noProof/>
        </w:rPr>
        <w:t>that</w:t>
      </w:r>
      <w:r>
        <w:rPr>
          <w:noProof/>
        </w:rPr>
        <w:t xml:space="preserve"> digital communication services can be misused to commit, facilitate and perpetuate serious offences against children.</w:t>
      </w:r>
      <w:r w:rsidR="00B20B70">
        <w:rPr>
          <w:noProof/>
        </w:rPr>
        <w:t xml:space="preserve"> </w:t>
      </w:r>
      <w:r>
        <w:rPr>
          <w:noProof/>
        </w:rPr>
        <w:t>Regulation (EU) 2021/1232</w:t>
      </w:r>
      <w:r w:rsidR="00F536AA">
        <w:rPr>
          <w:noProof/>
        </w:rPr>
        <w:t xml:space="preserve"> (hereinafter  ‘</w:t>
      </w:r>
      <w:r w:rsidR="00A54FC0">
        <w:rPr>
          <w:noProof/>
        </w:rPr>
        <w:t xml:space="preserve">the </w:t>
      </w:r>
      <w:r w:rsidR="00F536AA">
        <w:rPr>
          <w:noProof/>
        </w:rPr>
        <w:t>Interim Regulation’)</w:t>
      </w:r>
      <w:r>
        <w:rPr>
          <w:noProof/>
        </w:rPr>
        <w:t xml:space="preserve"> established a temporary derogation from </w:t>
      </w:r>
      <w:r w:rsidR="00B20B70">
        <w:rPr>
          <w:noProof/>
        </w:rPr>
        <w:t>some</w:t>
      </w:r>
      <w:r>
        <w:rPr>
          <w:noProof/>
        </w:rPr>
        <w:t xml:space="preserve"> obligations under Directive 2002/58/EC</w:t>
      </w:r>
      <w:r>
        <w:rPr>
          <w:rStyle w:val="FootnoteReference"/>
          <w:noProof/>
        </w:rPr>
        <w:footnoteReference w:id="1"/>
      </w:r>
      <w:r>
        <w:rPr>
          <w:noProof/>
        </w:rPr>
        <w:t>, allowing providers of certain number-independent interpersonal communications services to continue, on a voluntary basis and subject to strict conditions,  us</w:t>
      </w:r>
      <w:r w:rsidR="00A54FC0">
        <w:rPr>
          <w:noProof/>
        </w:rPr>
        <w:t>ing</w:t>
      </w:r>
      <w:r>
        <w:rPr>
          <w:noProof/>
        </w:rPr>
        <w:t xml:space="preserve"> specific technologies for the processing of personal and other data, to the extent strictly necessary to detect and report online child sexual abuse and to remove online child sexual abuse material from their services. </w:t>
      </w:r>
    </w:p>
    <w:p w14:paraId="177BC76D" w14:textId="2C823D4D" w:rsidR="002573BC" w:rsidRPr="00C74215" w:rsidRDefault="002573BC" w:rsidP="0076178C">
      <w:pPr>
        <w:rPr>
          <w:noProof/>
        </w:rPr>
      </w:pPr>
      <w:r w:rsidRPr="003B3609">
        <w:rPr>
          <w:noProof/>
        </w:rPr>
        <w:t>The Commission</w:t>
      </w:r>
      <w:r w:rsidR="00A54FC0">
        <w:rPr>
          <w:noProof/>
        </w:rPr>
        <w:t>’s</w:t>
      </w:r>
      <w:r w:rsidRPr="003B3609">
        <w:rPr>
          <w:noProof/>
        </w:rPr>
        <w:t xml:space="preserve"> proposal to amend </w:t>
      </w:r>
      <w:r w:rsidR="00A54FC0">
        <w:rPr>
          <w:noProof/>
        </w:rPr>
        <w:t xml:space="preserve">the Interim </w:t>
      </w:r>
      <w:r w:rsidR="00304B9E" w:rsidRPr="003B3609">
        <w:rPr>
          <w:noProof/>
        </w:rPr>
        <w:t>Regulation sought</w:t>
      </w:r>
      <w:r w:rsidRPr="003B3609">
        <w:rPr>
          <w:noProof/>
        </w:rPr>
        <w:t xml:space="preserve"> to avoid a legal gap while negotiations continue</w:t>
      </w:r>
      <w:r w:rsidR="001410B4" w:rsidRPr="003B3609">
        <w:rPr>
          <w:noProof/>
        </w:rPr>
        <w:t>d</w:t>
      </w:r>
      <w:r w:rsidRPr="003B3609">
        <w:rPr>
          <w:noProof/>
        </w:rPr>
        <w:t xml:space="preserve"> on a long-term Regulation to prevent and combat child sexual abuse online</w:t>
      </w:r>
      <w:r w:rsidRPr="00C74215">
        <w:rPr>
          <w:rStyle w:val="FootnoteReference"/>
          <w:noProof/>
        </w:rPr>
        <w:footnoteReference w:id="2"/>
      </w:r>
      <w:r w:rsidRPr="003B3609">
        <w:rPr>
          <w:noProof/>
        </w:rPr>
        <w:t>. It therefore provide</w:t>
      </w:r>
      <w:r w:rsidR="001410B4" w:rsidRPr="003B3609">
        <w:rPr>
          <w:noProof/>
        </w:rPr>
        <w:t>d</w:t>
      </w:r>
      <w:r w:rsidRPr="003B3609">
        <w:rPr>
          <w:noProof/>
        </w:rPr>
        <w:t xml:space="preserve"> for a further limited extension of the period of application </w:t>
      </w:r>
      <w:r w:rsidRPr="003B3609">
        <w:rPr>
          <w:noProof/>
        </w:rPr>
        <w:lastRenderedPageBreak/>
        <w:t xml:space="preserve">of the Interim </w:t>
      </w:r>
      <w:r w:rsidR="004A6027" w:rsidRPr="003B3609">
        <w:rPr>
          <w:noProof/>
        </w:rPr>
        <w:t xml:space="preserve">Regulation, </w:t>
      </w:r>
      <w:r w:rsidR="004A6027">
        <w:rPr>
          <w:noProof/>
        </w:rPr>
        <w:t>without</w:t>
      </w:r>
      <w:r w:rsidRPr="003B3609">
        <w:rPr>
          <w:noProof/>
        </w:rPr>
        <w:t xml:space="preserve"> otherwise altering its substance</w:t>
      </w:r>
      <w:r w:rsidR="00381AAA" w:rsidRPr="003B3609">
        <w:rPr>
          <w:noProof/>
        </w:rPr>
        <w:t xml:space="preserve"> and its safeguards</w:t>
      </w:r>
      <w:r w:rsidRPr="003B3609">
        <w:rPr>
          <w:noProof/>
        </w:rPr>
        <w:t xml:space="preserve">. The purpose of that extension </w:t>
      </w:r>
      <w:r w:rsidR="001410B4" w:rsidRPr="003B3609">
        <w:rPr>
          <w:noProof/>
        </w:rPr>
        <w:t>was</w:t>
      </w:r>
      <w:r w:rsidRPr="003B3609">
        <w:rPr>
          <w:noProof/>
        </w:rPr>
        <w:t xml:space="preserve"> to ensure that voluntary activities carried out in compliance with Union law </w:t>
      </w:r>
      <w:r w:rsidR="001410B4" w:rsidRPr="003B3609">
        <w:rPr>
          <w:noProof/>
        </w:rPr>
        <w:t>could</w:t>
      </w:r>
      <w:r w:rsidRPr="003B3609">
        <w:rPr>
          <w:noProof/>
        </w:rPr>
        <w:t xml:space="preserve"> continue without interruption until the long-term legal framework </w:t>
      </w:r>
      <w:r w:rsidR="001410B4" w:rsidRPr="003B3609">
        <w:rPr>
          <w:noProof/>
        </w:rPr>
        <w:t>was</w:t>
      </w:r>
      <w:r w:rsidRPr="003B3609">
        <w:rPr>
          <w:noProof/>
        </w:rPr>
        <w:t xml:space="preserve"> agreed and bec</w:t>
      </w:r>
      <w:r w:rsidR="001410B4" w:rsidRPr="003B3609">
        <w:rPr>
          <w:noProof/>
        </w:rPr>
        <w:t>omes</w:t>
      </w:r>
      <w:r w:rsidRPr="003B3609">
        <w:rPr>
          <w:noProof/>
        </w:rPr>
        <w:t xml:space="preserve"> applicable.</w:t>
      </w:r>
    </w:p>
    <w:p w14:paraId="029E4BAF" w14:textId="77777777" w:rsidR="002573BC" w:rsidRPr="00090C0A" w:rsidRDefault="002573BC" w:rsidP="001704B9">
      <w:pPr>
        <w:pStyle w:val="ManualHeading1"/>
        <w:rPr>
          <w:noProof/>
        </w:rPr>
      </w:pPr>
      <w:r w:rsidRPr="00090C0A">
        <w:rPr>
          <w:noProof/>
        </w:rPr>
        <w:t>3.</w:t>
      </w:r>
      <w:r w:rsidRPr="00090C0A">
        <w:rPr>
          <w:noProof/>
        </w:rPr>
        <w:tab/>
        <w:t>Comments on the position of the Council</w:t>
      </w:r>
    </w:p>
    <w:p w14:paraId="0DCA3D10" w14:textId="2AC8FE7B" w:rsidR="002573BC" w:rsidRDefault="002573BC" w:rsidP="002573BC">
      <w:pPr>
        <w:widowControl w:val="0"/>
        <w:rPr>
          <w:noProof/>
        </w:rPr>
      </w:pPr>
      <w:r>
        <w:rPr>
          <w:noProof/>
        </w:rPr>
        <w:t xml:space="preserve">The Council's position </w:t>
      </w:r>
      <w:r w:rsidR="00A54FC0">
        <w:rPr>
          <w:noProof/>
        </w:rPr>
        <w:t>in</w:t>
      </w:r>
      <w:r>
        <w:rPr>
          <w:noProof/>
        </w:rPr>
        <w:t xml:space="preserve"> first reading is the result of the recent interinstitutional exchanges on the </w:t>
      </w:r>
      <w:r w:rsidR="005B0730">
        <w:rPr>
          <w:noProof/>
        </w:rPr>
        <w:t xml:space="preserve">Commission </w:t>
      </w:r>
      <w:r w:rsidR="004A6027">
        <w:rPr>
          <w:noProof/>
        </w:rPr>
        <w:t>Proposal,</w:t>
      </w:r>
      <w:r w:rsidR="005B0730">
        <w:rPr>
          <w:noProof/>
        </w:rPr>
        <w:t xml:space="preserve"> which</w:t>
      </w:r>
      <w:r w:rsidR="00794DC0">
        <w:rPr>
          <w:noProof/>
        </w:rPr>
        <w:t xml:space="preserve"> reflect</w:t>
      </w:r>
      <w:r>
        <w:rPr>
          <w:noProof/>
        </w:rPr>
        <w:t xml:space="preserve"> the shared objective of ensuring continuity of the temporary framework</w:t>
      </w:r>
      <w:r w:rsidR="00510616">
        <w:rPr>
          <w:noProof/>
        </w:rPr>
        <w:t xml:space="preserve"> for the future</w:t>
      </w:r>
      <w:r>
        <w:rPr>
          <w:noProof/>
        </w:rPr>
        <w:t>, pending the completion of the negotiations on the long-term legal framework.</w:t>
      </w:r>
    </w:p>
    <w:p w14:paraId="2295430B" w14:textId="5E3228B1" w:rsidR="00447CD2" w:rsidRDefault="00447CD2" w:rsidP="002573BC">
      <w:pPr>
        <w:widowControl w:val="0"/>
        <w:rPr>
          <w:noProof/>
        </w:rPr>
      </w:pPr>
      <w:r w:rsidRPr="00447CD2">
        <w:rPr>
          <w:noProof/>
        </w:rPr>
        <w:t xml:space="preserve">In </w:t>
      </w:r>
      <w:r w:rsidR="00A54FC0">
        <w:rPr>
          <w:noProof/>
        </w:rPr>
        <w:t>its</w:t>
      </w:r>
      <w:r w:rsidRPr="00447CD2">
        <w:rPr>
          <w:noProof/>
        </w:rPr>
        <w:t xml:space="preserve"> address to the European Council of 18 June 2026</w:t>
      </w:r>
      <w:r w:rsidR="00A54FC0">
        <w:rPr>
          <w:noProof/>
        </w:rPr>
        <w:t>,</w:t>
      </w:r>
      <w:r w:rsidRPr="00447CD2">
        <w:rPr>
          <w:noProof/>
        </w:rPr>
        <w:t xml:space="preserve"> the European Parliament stressed the need to advance the Interim Regulation without further delay</w:t>
      </w:r>
      <w:r w:rsidR="008C5779">
        <w:rPr>
          <w:noProof/>
        </w:rPr>
        <w:t xml:space="preserve"> and</w:t>
      </w:r>
      <w:r w:rsidRPr="00447CD2">
        <w:rPr>
          <w:noProof/>
        </w:rPr>
        <w:t xml:space="preserve"> explore the conditions for reaching political agreement at second reading. On this basis, the Permanent Representatives Committee, on 26 June 2026, provided guidance to the</w:t>
      </w:r>
      <w:r w:rsidR="00A54FC0">
        <w:rPr>
          <w:noProof/>
        </w:rPr>
        <w:t xml:space="preserve"> Council</w:t>
      </w:r>
      <w:r w:rsidRPr="00447CD2">
        <w:rPr>
          <w:noProof/>
        </w:rPr>
        <w:t xml:space="preserve"> Presidency and agreed that the adoption of a Council position </w:t>
      </w:r>
      <w:r w:rsidR="00A54FC0">
        <w:rPr>
          <w:noProof/>
        </w:rPr>
        <w:t>in</w:t>
      </w:r>
      <w:r w:rsidRPr="00447CD2">
        <w:rPr>
          <w:noProof/>
        </w:rPr>
        <w:t xml:space="preserve"> first reading should be pursued as a matter of urgency.</w:t>
      </w:r>
    </w:p>
    <w:p w14:paraId="4324C4FB" w14:textId="6BD9CC83" w:rsidR="00913837" w:rsidRPr="00A179B5" w:rsidRDefault="002573BC" w:rsidP="004139D4">
      <w:pPr>
        <w:widowControl w:val="0"/>
        <w:rPr>
          <w:noProof/>
        </w:rPr>
      </w:pPr>
      <w:r>
        <w:rPr>
          <w:noProof/>
        </w:rPr>
        <w:t xml:space="preserve">Against this background, </w:t>
      </w:r>
      <w:r w:rsidR="00913837" w:rsidRPr="00913837">
        <w:rPr>
          <w:noProof/>
        </w:rPr>
        <w:t>and faithful to the objective</w:t>
      </w:r>
      <w:r w:rsidR="00510616">
        <w:rPr>
          <w:noProof/>
        </w:rPr>
        <w:t>s</w:t>
      </w:r>
      <w:r w:rsidR="00913837" w:rsidRPr="00913837">
        <w:rPr>
          <w:noProof/>
        </w:rPr>
        <w:t xml:space="preserve"> of the Commission </w:t>
      </w:r>
      <w:r w:rsidR="005729ED">
        <w:rPr>
          <w:noProof/>
        </w:rPr>
        <w:t>P</w:t>
      </w:r>
      <w:r w:rsidR="00913837" w:rsidRPr="00913837">
        <w:rPr>
          <w:noProof/>
        </w:rPr>
        <w:t>roposal</w:t>
      </w:r>
      <w:r w:rsidR="00913837">
        <w:rPr>
          <w:noProof/>
        </w:rPr>
        <w:t xml:space="preserve">, </w:t>
      </w:r>
      <w:r>
        <w:rPr>
          <w:noProof/>
        </w:rPr>
        <w:t xml:space="preserve">the Council adopted its position </w:t>
      </w:r>
      <w:r w:rsidR="00A54FC0">
        <w:rPr>
          <w:noProof/>
        </w:rPr>
        <w:t>in</w:t>
      </w:r>
      <w:r>
        <w:rPr>
          <w:noProof/>
        </w:rPr>
        <w:t xml:space="preserve"> first reading on </w:t>
      </w:r>
      <w:r w:rsidR="00862F9E">
        <w:rPr>
          <w:noProof/>
        </w:rPr>
        <w:t>2 July 2026</w:t>
      </w:r>
      <w:r>
        <w:rPr>
          <w:noProof/>
        </w:rPr>
        <w:t xml:space="preserve">. The </w:t>
      </w:r>
      <w:r w:rsidR="00AF7080">
        <w:rPr>
          <w:noProof/>
        </w:rPr>
        <w:t xml:space="preserve">Council </w:t>
      </w:r>
      <w:r>
        <w:rPr>
          <w:noProof/>
        </w:rPr>
        <w:t>position preserves the substance of the Commission proposal</w:t>
      </w:r>
      <w:r w:rsidR="00510616">
        <w:rPr>
          <w:noProof/>
        </w:rPr>
        <w:t xml:space="preserve"> </w:t>
      </w:r>
      <w:r w:rsidR="00510616" w:rsidRPr="00510616">
        <w:rPr>
          <w:noProof/>
        </w:rPr>
        <w:t xml:space="preserve">by </w:t>
      </w:r>
      <w:r w:rsidR="004A6027" w:rsidRPr="00510616">
        <w:rPr>
          <w:noProof/>
        </w:rPr>
        <w:t>establishing</w:t>
      </w:r>
      <w:r w:rsidR="004A6027">
        <w:rPr>
          <w:noProof/>
        </w:rPr>
        <w:t xml:space="preserve"> a</w:t>
      </w:r>
      <w:r w:rsidR="00510616" w:rsidRPr="00510616">
        <w:rPr>
          <w:noProof/>
        </w:rPr>
        <w:t xml:space="preserve"> temporary framework reproducing the rules of </w:t>
      </w:r>
      <w:r w:rsidR="00510616">
        <w:rPr>
          <w:noProof/>
        </w:rPr>
        <w:t xml:space="preserve">the Interim </w:t>
      </w:r>
      <w:r w:rsidR="00510616" w:rsidRPr="00510616">
        <w:rPr>
          <w:noProof/>
        </w:rPr>
        <w:t>Regulation</w:t>
      </w:r>
      <w:r w:rsidR="00510616">
        <w:rPr>
          <w:noProof/>
        </w:rPr>
        <w:t xml:space="preserve">. Ultimately, </w:t>
      </w:r>
      <w:r w:rsidR="00AF7080">
        <w:rPr>
          <w:noProof/>
        </w:rPr>
        <w:t>this</w:t>
      </w:r>
      <w:r w:rsidR="00510616">
        <w:rPr>
          <w:noProof/>
        </w:rPr>
        <w:t xml:space="preserve"> </w:t>
      </w:r>
      <w:r w:rsidR="00AF7080">
        <w:rPr>
          <w:noProof/>
        </w:rPr>
        <w:t xml:space="preserve">position </w:t>
      </w:r>
      <w:r w:rsidR="00510616">
        <w:rPr>
          <w:noProof/>
        </w:rPr>
        <w:t>restor</w:t>
      </w:r>
      <w:r w:rsidR="00AF7080">
        <w:rPr>
          <w:noProof/>
        </w:rPr>
        <w:t>es</w:t>
      </w:r>
      <w:r w:rsidR="008B6F7E">
        <w:rPr>
          <w:noProof/>
        </w:rPr>
        <w:t xml:space="preserve">, </w:t>
      </w:r>
      <w:r w:rsidR="008B6F7E" w:rsidRPr="008B6F7E">
        <w:rPr>
          <w:noProof/>
        </w:rPr>
        <w:t>without retroactive effect</w:t>
      </w:r>
      <w:r w:rsidR="008B6F7E">
        <w:rPr>
          <w:noProof/>
        </w:rPr>
        <w:t>,</w:t>
      </w:r>
      <w:r w:rsidR="00510616">
        <w:rPr>
          <w:noProof/>
        </w:rPr>
        <w:t xml:space="preserve"> </w:t>
      </w:r>
      <w:r w:rsidR="00C75F8D" w:rsidRPr="00C75F8D">
        <w:rPr>
          <w:noProof/>
        </w:rPr>
        <w:t>the derogation from Articles 5(1) and 6</w:t>
      </w:r>
      <w:r w:rsidR="00BF7A24">
        <w:rPr>
          <w:noProof/>
        </w:rPr>
        <w:t>(1)</w:t>
      </w:r>
      <w:r w:rsidR="00C75F8D" w:rsidRPr="00C75F8D">
        <w:rPr>
          <w:noProof/>
        </w:rPr>
        <w:t xml:space="preserve"> of Directive 2002/58/EC that enables the voluntary activities concerned, subject to specific conditions and without prejudice to the General Data Protection Regulation</w:t>
      </w:r>
      <w:r w:rsidR="00C75F8D">
        <w:rPr>
          <w:noProof/>
        </w:rPr>
        <w:t>.</w:t>
      </w:r>
      <w:r w:rsidR="00C75F8D" w:rsidRPr="00C75F8D">
        <w:rPr>
          <w:noProof/>
        </w:rPr>
        <w:t xml:space="preserve"> </w:t>
      </w:r>
      <w:r w:rsidR="00C75F8D">
        <w:rPr>
          <w:noProof/>
        </w:rPr>
        <w:t xml:space="preserve">It </w:t>
      </w:r>
      <w:r w:rsidR="00BF7A24">
        <w:rPr>
          <w:noProof/>
        </w:rPr>
        <w:t xml:space="preserve">aims to </w:t>
      </w:r>
      <w:r>
        <w:rPr>
          <w:noProof/>
        </w:rPr>
        <w:t>avoid a</w:t>
      </w:r>
      <w:r w:rsidR="00510616">
        <w:rPr>
          <w:noProof/>
        </w:rPr>
        <w:t>ny further</w:t>
      </w:r>
      <w:r>
        <w:rPr>
          <w:noProof/>
        </w:rPr>
        <w:t xml:space="preserve"> gap in the temporary framework pending the finali</w:t>
      </w:r>
      <w:r w:rsidR="00A54FC0">
        <w:rPr>
          <w:noProof/>
        </w:rPr>
        <w:t>s</w:t>
      </w:r>
      <w:r>
        <w:rPr>
          <w:noProof/>
        </w:rPr>
        <w:t>ation of the negotiations of the long-term framework to prevent and combat child sexual abuse online.</w:t>
      </w:r>
    </w:p>
    <w:p w14:paraId="685ED62D" w14:textId="77777777" w:rsidR="002573BC" w:rsidRPr="00090C0A" w:rsidRDefault="002573BC" w:rsidP="001704B9">
      <w:pPr>
        <w:pStyle w:val="ManualHeading1"/>
        <w:rPr>
          <w:noProof/>
        </w:rPr>
      </w:pPr>
      <w:r w:rsidRPr="00090C0A">
        <w:rPr>
          <w:noProof/>
        </w:rPr>
        <w:t>4.</w:t>
      </w:r>
      <w:r w:rsidRPr="00090C0A">
        <w:rPr>
          <w:noProof/>
        </w:rPr>
        <w:tab/>
        <w:t>Conclusion</w:t>
      </w:r>
    </w:p>
    <w:p w14:paraId="08207943" w14:textId="77777777" w:rsidR="00507EC5" w:rsidRDefault="002573BC" w:rsidP="001704B9">
      <w:pPr>
        <w:rPr>
          <w:noProof/>
        </w:rPr>
      </w:pPr>
      <w:r w:rsidRPr="003B3609">
        <w:rPr>
          <w:noProof/>
        </w:rPr>
        <w:t>The Commission accepts the position taken by the Council.</w:t>
      </w:r>
    </w:p>
    <w:p w14:paraId="194B7582" w14:textId="0A660D7F" w:rsidR="002573BC" w:rsidRPr="003B3609" w:rsidRDefault="002573BC" w:rsidP="001704B9">
      <w:pPr>
        <w:rPr>
          <w:noProof/>
        </w:rPr>
      </w:pPr>
    </w:p>
    <w:sectPr w:rsidR="002573BC" w:rsidRPr="003B3609" w:rsidSect="00E50570">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A6DB4C" w14:textId="77777777" w:rsidR="0098768F" w:rsidRDefault="0098768F" w:rsidP="002573BC">
      <w:pPr>
        <w:spacing w:before="0" w:after="0"/>
      </w:pPr>
      <w:r>
        <w:separator/>
      </w:r>
    </w:p>
  </w:endnote>
  <w:endnote w:type="continuationSeparator" w:id="0">
    <w:p w14:paraId="613D9758" w14:textId="77777777" w:rsidR="0098768F" w:rsidRDefault="0098768F" w:rsidP="002573B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B5AC3" w14:textId="3720888F" w:rsidR="00E50570" w:rsidRPr="00E50570" w:rsidRDefault="00E50570" w:rsidP="00E50570">
    <w:pPr>
      <w:pStyle w:val="Footer"/>
      <w:rPr>
        <w:rFonts w:ascii="Arial" w:hAnsi="Arial" w:cs="Arial"/>
        <w:b/>
        <w:sz w:val="48"/>
      </w:rPr>
    </w:pPr>
    <w:r w:rsidRPr="00E50570">
      <w:rPr>
        <w:rFonts w:ascii="Arial" w:hAnsi="Arial" w:cs="Arial"/>
        <w:b/>
        <w:sz w:val="48"/>
      </w:rPr>
      <w:t>EN</w:t>
    </w:r>
    <w:r w:rsidRPr="00E50570">
      <w:rPr>
        <w:rFonts w:ascii="Arial" w:hAnsi="Arial" w:cs="Arial"/>
        <w:b/>
        <w:sz w:val="48"/>
      </w:rPr>
      <w:tab/>
    </w:r>
    <w:r w:rsidRPr="00E50570">
      <w:rPr>
        <w:rFonts w:ascii="Arial" w:hAnsi="Arial" w:cs="Arial"/>
        <w:b/>
        <w:sz w:val="48"/>
      </w:rPr>
      <w:tab/>
    </w:r>
    <w:r w:rsidRPr="00E50570">
      <w:tab/>
    </w:r>
    <w:r w:rsidRPr="00E5057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2056F" w14:textId="2AC08F70" w:rsidR="00E50570" w:rsidRPr="00E50570" w:rsidRDefault="00E50570" w:rsidP="00E50570">
    <w:pPr>
      <w:pStyle w:val="Footer"/>
      <w:rPr>
        <w:rFonts w:ascii="Arial" w:hAnsi="Arial" w:cs="Arial"/>
        <w:b/>
        <w:sz w:val="48"/>
      </w:rPr>
    </w:pPr>
    <w:r w:rsidRPr="00E50570">
      <w:rPr>
        <w:rFonts w:ascii="Arial" w:hAnsi="Arial" w:cs="Arial"/>
        <w:b/>
        <w:sz w:val="48"/>
      </w:rPr>
      <w:t>EN</w:t>
    </w:r>
    <w:r w:rsidRPr="00E50570">
      <w:rPr>
        <w:rFonts w:ascii="Arial" w:hAnsi="Arial" w:cs="Arial"/>
        <w:b/>
        <w:sz w:val="48"/>
      </w:rPr>
      <w:tab/>
    </w:r>
    <w:r w:rsidRPr="00E50570">
      <w:rPr>
        <w:rFonts w:ascii="Arial" w:hAnsi="Arial" w:cs="Arial"/>
        <w:b/>
        <w:sz w:val="48"/>
      </w:rPr>
      <w:tab/>
    </w:r>
    <w:r w:rsidRPr="00E50570">
      <w:tab/>
    </w:r>
    <w:r w:rsidRPr="00E5057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CDEBD" w14:textId="77777777" w:rsidR="00E50570" w:rsidRDefault="00E505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64F65" w14:textId="6E2EE95D" w:rsidR="00E50570" w:rsidRPr="00E50570" w:rsidRDefault="00E50570" w:rsidP="00E50570">
    <w:pPr>
      <w:pStyle w:val="Footer"/>
      <w:rPr>
        <w:rFonts w:ascii="Arial" w:hAnsi="Arial" w:cs="Arial"/>
        <w:b/>
        <w:sz w:val="48"/>
      </w:rPr>
    </w:pPr>
    <w:r w:rsidRPr="00E50570">
      <w:rPr>
        <w:rFonts w:ascii="Arial" w:hAnsi="Arial" w:cs="Arial"/>
        <w:b/>
        <w:sz w:val="48"/>
      </w:rPr>
      <w:t>EN</w:t>
    </w:r>
    <w:r w:rsidRPr="00E50570">
      <w:rPr>
        <w:rFonts w:ascii="Arial" w:hAnsi="Arial" w:cs="Arial"/>
        <w:b/>
        <w:sz w:val="48"/>
      </w:rPr>
      <w:tab/>
    </w:r>
    <w:r>
      <w:fldChar w:fldCharType="begin"/>
    </w:r>
    <w:r>
      <w:instrText xml:space="preserve"> PAGE  \* MERGEFORMAT </w:instrText>
    </w:r>
    <w:r>
      <w:fldChar w:fldCharType="separate"/>
    </w:r>
    <w:r w:rsidR="00507EC5">
      <w:rPr>
        <w:noProof/>
      </w:rPr>
      <w:t>2</w:t>
    </w:r>
    <w:r>
      <w:fldChar w:fldCharType="end"/>
    </w:r>
    <w:r>
      <w:tab/>
    </w:r>
    <w:r w:rsidRPr="00E50570">
      <w:tab/>
    </w:r>
    <w:r w:rsidRPr="00E50570">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47D5B" w14:textId="77777777" w:rsidR="00E50570" w:rsidRDefault="00E50570" w:rsidP="00E505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38ED53" w14:textId="77777777" w:rsidR="0098768F" w:rsidRDefault="0098768F" w:rsidP="002573BC">
      <w:pPr>
        <w:spacing w:before="0" w:after="0"/>
      </w:pPr>
      <w:r>
        <w:separator/>
      </w:r>
    </w:p>
  </w:footnote>
  <w:footnote w:type="continuationSeparator" w:id="0">
    <w:p w14:paraId="1F62A44C" w14:textId="77777777" w:rsidR="0098768F" w:rsidRDefault="0098768F" w:rsidP="002573BC">
      <w:pPr>
        <w:spacing w:before="0" w:after="0"/>
      </w:pPr>
      <w:r>
        <w:continuationSeparator/>
      </w:r>
    </w:p>
  </w:footnote>
  <w:footnote w:id="1">
    <w:p w14:paraId="301CC800" w14:textId="440D0987" w:rsidR="001D0882" w:rsidRPr="00F44266" w:rsidRDefault="001D0882" w:rsidP="001D0882">
      <w:pPr>
        <w:pStyle w:val="FootnoteText"/>
        <w:rPr>
          <w:lang w:val="en-IE"/>
        </w:rPr>
      </w:pPr>
      <w:r w:rsidRPr="003B3609">
        <w:rPr>
          <w:rStyle w:val="FootnoteReference"/>
        </w:rPr>
        <w:footnoteRef/>
      </w:r>
      <w:r w:rsidR="003B3609">
        <w:tab/>
      </w:r>
      <w:r>
        <w:t>Directive 2002/58/EC of the European Parliament and of the Council of 12 July 2002 concerning the processing of personal data and the protection of privacy in the electronic communications sector (Directive on privacy and electronic communications) (OJ L 201, 31.7.2002, pp. 37–47).</w:t>
      </w:r>
    </w:p>
  </w:footnote>
  <w:footnote w:id="2">
    <w:p w14:paraId="5B317D44" w14:textId="14BF7E8B" w:rsidR="002573BC" w:rsidRPr="002573BC" w:rsidRDefault="002573BC">
      <w:pPr>
        <w:pStyle w:val="FootnoteText"/>
        <w:rPr>
          <w:lang w:val="en-IE"/>
        </w:rPr>
      </w:pPr>
      <w:r w:rsidRPr="003B3609">
        <w:rPr>
          <w:rStyle w:val="FootnoteReference"/>
        </w:rPr>
        <w:footnoteRef/>
      </w:r>
      <w:r w:rsidR="003B3609">
        <w:tab/>
      </w:r>
      <w:r w:rsidRPr="00765557">
        <w:t>Proposal for a Regulation of the European Parliament and of the Council laying down rules to prevent and combat child sexual abuse, COM/2022/209 final.</w:t>
      </w:r>
      <w:r>
        <w:rPr>
          <w:lang w:val="en-IE"/>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FD50E" w14:textId="77777777" w:rsidR="00E50570" w:rsidRDefault="00E505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02F92" w14:textId="77777777" w:rsidR="00E50570" w:rsidRDefault="00E505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6D4EB3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36A9C6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80F828D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9B43BD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772389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E005E6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CB0CE48"/>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020836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03 09:46:3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0FC009E-DCBE-4A7B-A146-A297DFDAE49C"/>
    <w:docVar w:name="LW_COVERPAGE_TYPE" w:val="1"/>
    <w:docVar w:name="LW_CreatedUtc" w:val="2026-06-29T10:11:15.7465468Z"/>
    <w:docVar w:name="LW_CROSSREFERENCE" w:val="&lt;UNUSED&gt;"/>
    <w:docVar w:name="LW_DocType" w:val="COM"/>
    <w:docVar w:name="LW_EMISSION" w:val="3.7.2026"/>
    <w:docVar w:name="LW_EMISSION_ISODATE" w:val="2026-07-03"/>
    <w:docVar w:name="LW_EMISSION_LOCATION" w:val="BRX"/>
    <w:docVar w:name="LW_EMISSION_PREFIX" w:val="Brussels, "/>
    <w:docVar w:name="LW_EMISSION_SUFFIX" w:val=" "/>
    <w:docVar w:name="LW_ID_DOCMODEL" w:val="SJ-028"/>
    <w:docVar w:name="LW_ID_DOCSTRUCTURE" w:val="COM/PL/CODEC"/>
    <w:docVar w:name="LW_ID_DOCTYPE" w:val="SJ-028"/>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429"/>
    <w:docVar w:name="LW_REF.II.NEW.CP_YEAR" w:val="2025"/>
    <w:docVar w:name="LW_REF.INST.NEW" w:val="COM"/>
    <w:docVar w:name="LW_REF.INST.NEW_ADOPTED" w:val="final"/>
    <w:docVar w:name="LW_REF.INST.NEW_TEXT" w:val="(2026) 35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sition of the Council on the adoption of a Regulation of the European Parliament and the Council on a temporary derogation from certain provisions of Directive 2002/58/EC as regards the use of technologies by providers of number-independent interpersonal communications services for the processing of personal and other data for the purpose of combating online child sexual abuse"/>
    <w:docVar w:name="LW_TYPE.DOC.CP" w:val="COMMUNICATION FROM THE COMMISSION_x000b_TO THE EUROPEAN PARLIAMENT_x000b__x000b_pursuant to Article 294(6) of the Treaty on the Functioning of the European Union_x000b__x000b_concerning the"/>
    <w:docVar w:name="LwApiVersions" w:val="LW4CoDe 1.24.5.0; LW 9.2, Build 20251112"/>
  </w:docVars>
  <w:rsids>
    <w:rsidRoot w:val="002573BC"/>
    <w:rsid w:val="0005132A"/>
    <w:rsid w:val="00083BFC"/>
    <w:rsid w:val="0008540E"/>
    <w:rsid w:val="00097DF8"/>
    <w:rsid w:val="001065F5"/>
    <w:rsid w:val="001238EF"/>
    <w:rsid w:val="001410B4"/>
    <w:rsid w:val="00197613"/>
    <w:rsid w:val="001B1A9D"/>
    <w:rsid w:val="001D0882"/>
    <w:rsid w:val="00205541"/>
    <w:rsid w:val="00221C79"/>
    <w:rsid w:val="00224E30"/>
    <w:rsid w:val="00233DC7"/>
    <w:rsid w:val="00247779"/>
    <w:rsid w:val="002573BC"/>
    <w:rsid w:val="00260CD5"/>
    <w:rsid w:val="002648E1"/>
    <w:rsid w:val="00285BEE"/>
    <w:rsid w:val="0029533F"/>
    <w:rsid w:val="002B30AF"/>
    <w:rsid w:val="002B4272"/>
    <w:rsid w:val="002D41C8"/>
    <w:rsid w:val="002F22EC"/>
    <w:rsid w:val="00304B9E"/>
    <w:rsid w:val="003054D3"/>
    <w:rsid w:val="0033344A"/>
    <w:rsid w:val="003357FB"/>
    <w:rsid w:val="00381AAA"/>
    <w:rsid w:val="00393022"/>
    <w:rsid w:val="003B3609"/>
    <w:rsid w:val="003D7B04"/>
    <w:rsid w:val="004139D4"/>
    <w:rsid w:val="0042648E"/>
    <w:rsid w:val="00430F5C"/>
    <w:rsid w:val="00447CD2"/>
    <w:rsid w:val="00476E04"/>
    <w:rsid w:val="004936D2"/>
    <w:rsid w:val="004A354C"/>
    <w:rsid w:val="004A6027"/>
    <w:rsid w:val="004D6E1E"/>
    <w:rsid w:val="004D6F90"/>
    <w:rsid w:val="004E380E"/>
    <w:rsid w:val="00507EC5"/>
    <w:rsid w:val="00510616"/>
    <w:rsid w:val="00563581"/>
    <w:rsid w:val="005729ED"/>
    <w:rsid w:val="005765C3"/>
    <w:rsid w:val="005A2997"/>
    <w:rsid w:val="005B0730"/>
    <w:rsid w:val="005B1EB6"/>
    <w:rsid w:val="005D1F90"/>
    <w:rsid w:val="005E3EC4"/>
    <w:rsid w:val="0063708B"/>
    <w:rsid w:val="00642C62"/>
    <w:rsid w:val="0067603D"/>
    <w:rsid w:val="00702B56"/>
    <w:rsid w:val="0074158F"/>
    <w:rsid w:val="007532C0"/>
    <w:rsid w:val="0076178C"/>
    <w:rsid w:val="00773331"/>
    <w:rsid w:val="00782F58"/>
    <w:rsid w:val="007932EF"/>
    <w:rsid w:val="00794347"/>
    <w:rsid w:val="00794DC0"/>
    <w:rsid w:val="007A4FB8"/>
    <w:rsid w:val="007C496A"/>
    <w:rsid w:val="007E05B0"/>
    <w:rsid w:val="007E2F35"/>
    <w:rsid w:val="008606D8"/>
    <w:rsid w:val="00862F9E"/>
    <w:rsid w:val="0087073B"/>
    <w:rsid w:val="00874D22"/>
    <w:rsid w:val="008A2914"/>
    <w:rsid w:val="008B3D51"/>
    <w:rsid w:val="008B6F7E"/>
    <w:rsid w:val="008C5779"/>
    <w:rsid w:val="008E22A6"/>
    <w:rsid w:val="008E4D8E"/>
    <w:rsid w:val="0090722F"/>
    <w:rsid w:val="0091358E"/>
    <w:rsid w:val="00913837"/>
    <w:rsid w:val="00921A2E"/>
    <w:rsid w:val="00936DCD"/>
    <w:rsid w:val="00973BA0"/>
    <w:rsid w:val="0098768F"/>
    <w:rsid w:val="00995D3B"/>
    <w:rsid w:val="009B3FED"/>
    <w:rsid w:val="009D19E8"/>
    <w:rsid w:val="009E365C"/>
    <w:rsid w:val="009E4E08"/>
    <w:rsid w:val="00A0045C"/>
    <w:rsid w:val="00A126C5"/>
    <w:rsid w:val="00A429BD"/>
    <w:rsid w:val="00A54FC0"/>
    <w:rsid w:val="00A55E3F"/>
    <w:rsid w:val="00A81583"/>
    <w:rsid w:val="00A97443"/>
    <w:rsid w:val="00AF7080"/>
    <w:rsid w:val="00B20B70"/>
    <w:rsid w:val="00B91625"/>
    <w:rsid w:val="00BE2F4A"/>
    <w:rsid w:val="00BE6996"/>
    <w:rsid w:val="00BF491B"/>
    <w:rsid w:val="00BF7A24"/>
    <w:rsid w:val="00C12301"/>
    <w:rsid w:val="00C44FCE"/>
    <w:rsid w:val="00C55146"/>
    <w:rsid w:val="00C74215"/>
    <w:rsid w:val="00C75F8D"/>
    <w:rsid w:val="00CA2192"/>
    <w:rsid w:val="00CA63A9"/>
    <w:rsid w:val="00CC362B"/>
    <w:rsid w:val="00CC7DED"/>
    <w:rsid w:val="00CE5FF1"/>
    <w:rsid w:val="00D20381"/>
    <w:rsid w:val="00D4054D"/>
    <w:rsid w:val="00D56FA4"/>
    <w:rsid w:val="00D602EF"/>
    <w:rsid w:val="00D640B1"/>
    <w:rsid w:val="00D76D35"/>
    <w:rsid w:val="00E50570"/>
    <w:rsid w:val="00E56FA3"/>
    <w:rsid w:val="00E664ED"/>
    <w:rsid w:val="00E9696F"/>
    <w:rsid w:val="00E970D5"/>
    <w:rsid w:val="00F34D63"/>
    <w:rsid w:val="00F536AA"/>
    <w:rsid w:val="00F9323C"/>
    <w:rsid w:val="00F94CE4"/>
    <w:rsid w:val="00FC38F8"/>
    <w:rsid w:val="00FC5B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9097EB8"/>
  <w15:docId w15:val="{66B5C5D5-86E0-4A03-86EB-0376A60DD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1D0882"/>
    <w:pPr>
      <w:numPr>
        <w:numId w:val="1"/>
      </w:numPr>
      <w:contextualSpacing/>
    </w:pPr>
  </w:style>
  <w:style w:type="paragraph" w:styleId="ListBullet2">
    <w:name w:val="List Bullet 2"/>
    <w:basedOn w:val="Normal"/>
    <w:uiPriority w:val="99"/>
    <w:semiHidden/>
    <w:unhideWhenUsed/>
    <w:rsid w:val="001D0882"/>
    <w:pPr>
      <w:numPr>
        <w:numId w:val="2"/>
      </w:numPr>
      <w:contextualSpacing/>
    </w:pPr>
  </w:style>
  <w:style w:type="paragraph" w:styleId="ListBullet3">
    <w:name w:val="List Bullet 3"/>
    <w:basedOn w:val="Normal"/>
    <w:uiPriority w:val="99"/>
    <w:semiHidden/>
    <w:unhideWhenUsed/>
    <w:rsid w:val="001D0882"/>
    <w:pPr>
      <w:numPr>
        <w:numId w:val="3"/>
      </w:numPr>
      <w:contextualSpacing/>
    </w:pPr>
  </w:style>
  <w:style w:type="paragraph" w:styleId="ListBullet4">
    <w:name w:val="List Bullet 4"/>
    <w:basedOn w:val="Normal"/>
    <w:uiPriority w:val="99"/>
    <w:semiHidden/>
    <w:unhideWhenUsed/>
    <w:rsid w:val="001D0882"/>
    <w:pPr>
      <w:numPr>
        <w:numId w:val="4"/>
      </w:numPr>
      <w:contextualSpacing/>
    </w:pPr>
  </w:style>
  <w:style w:type="paragraph" w:styleId="BodyText">
    <w:name w:val="Body Text"/>
    <w:basedOn w:val="Normal"/>
    <w:link w:val="BodyTextChar"/>
    <w:uiPriority w:val="1"/>
    <w:qFormat/>
    <w:rsid w:val="001D0882"/>
    <w:pPr>
      <w:widowControl w:val="0"/>
      <w:autoSpaceDE w:val="0"/>
      <w:autoSpaceDN w:val="0"/>
      <w:spacing w:before="0" w:after="0"/>
      <w:jc w:val="left"/>
    </w:pPr>
    <w:rPr>
      <w:rFonts w:eastAsia="Times New Roman"/>
      <w:szCs w:val="24"/>
      <w:lang w:val="en-US"/>
    </w:rPr>
  </w:style>
  <w:style w:type="character" w:customStyle="1" w:styleId="BodyTextChar">
    <w:name w:val="Body Text Char"/>
    <w:basedOn w:val="DefaultParagraphFont"/>
    <w:link w:val="BodyText"/>
    <w:uiPriority w:val="1"/>
    <w:rsid w:val="001D0882"/>
    <w:rPr>
      <w:rFonts w:ascii="Times New Roman" w:eastAsia="Times New Roman" w:hAnsi="Times New Roman" w:cs="Times New Roman"/>
      <w:sz w:val="24"/>
      <w:szCs w:val="24"/>
    </w:rPr>
  </w:style>
  <w:style w:type="paragraph" w:styleId="Revision">
    <w:name w:val="Revision"/>
    <w:hidden/>
    <w:uiPriority w:val="99"/>
    <w:semiHidden/>
    <w:rsid w:val="00381AAA"/>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1410B4"/>
    <w:rPr>
      <w:sz w:val="16"/>
      <w:szCs w:val="16"/>
    </w:rPr>
  </w:style>
  <w:style w:type="paragraph" w:styleId="CommentText">
    <w:name w:val="annotation text"/>
    <w:basedOn w:val="Normal"/>
    <w:link w:val="CommentTextChar"/>
    <w:uiPriority w:val="99"/>
    <w:unhideWhenUsed/>
    <w:rsid w:val="001410B4"/>
    <w:rPr>
      <w:sz w:val="20"/>
      <w:szCs w:val="20"/>
    </w:rPr>
  </w:style>
  <w:style w:type="character" w:customStyle="1" w:styleId="CommentTextChar">
    <w:name w:val="Comment Text Char"/>
    <w:basedOn w:val="DefaultParagraphFont"/>
    <w:link w:val="CommentText"/>
    <w:uiPriority w:val="99"/>
    <w:rsid w:val="001410B4"/>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1410B4"/>
    <w:rPr>
      <w:b/>
      <w:bCs/>
    </w:rPr>
  </w:style>
  <w:style w:type="character" w:customStyle="1" w:styleId="CommentSubjectChar">
    <w:name w:val="Comment Subject Char"/>
    <w:basedOn w:val="CommentTextChar"/>
    <w:link w:val="CommentSubject"/>
    <w:uiPriority w:val="99"/>
    <w:semiHidden/>
    <w:rsid w:val="001410B4"/>
    <w:rPr>
      <w:rFonts w:ascii="Times New Roman" w:hAnsi="Times New Roman" w:cs="Times New Roman"/>
      <w:b/>
      <w:bCs/>
      <w:sz w:val="20"/>
      <w:szCs w:val="20"/>
      <w:lang w:val="en-GB"/>
    </w:rPr>
  </w:style>
  <w:style w:type="paragraph" w:styleId="Caption">
    <w:name w:val="caption"/>
    <w:basedOn w:val="Normal"/>
    <w:next w:val="Normal"/>
    <w:uiPriority w:val="35"/>
    <w:semiHidden/>
    <w:unhideWhenUsed/>
    <w:qFormat/>
    <w:rsid w:val="00393022"/>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93022"/>
    <w:pPr>
      <w:spacing w:after="0"/>
    </w:pPr>
  </w:style>
  <w:style w:type="paragraph" w:styleId="ListNumber">
    <w:name w:val="List Number"/>
    <w:basedOn w:val="Normal"/>
    <w:uiPriority w:val="99"/>
    <w:semiHidden/>
    <w:unhideWhenUsed/>
    <w:rsid w:val="00393022"/>
    <w:pPr>
      <w:numPr>
        <w:numId w:val="5"/>
      </w:numPr>
      <w:contextualSpacing/>
    </w:pPr>
  </w:style>
  <w:style w:type="paragraph" w:styleId="ListNumber2">
    <w:name w:val="List Number 2"/>
    <w:basedOn w:val="Normal"/>
    <w:uiPriority w:val="99"/>
    <w:semiHidden/>
    <w:unhideWhenUsed/>
    <w:rsid w:val="00393022"/>
    <w:pPr>
      <w:numPr>
        <w:numId w:val="6"/>
      </w:numPr>
      <w:contextualSpacing/>
    </w:pPr>
  </w:style>
  <w:style w:type="paragraph" w:styleId="ListNumber3">
    <w:name w:val="List Number 3"/>
    <w:basedOn w:val="Normal"/>
    <w:uiPriority w:val="99"/>
    <w:semiHidden/>
    <w:unhideWhenUsed/>
    <w:rsid w:val="00393022"/>
    <w:pPr>
      <w:numPr>
        <w:numId w:val="7"/>
      </w:numPr>
      <w:contextualSpacing/>
    </w:pPr>
  </w:style>
  <w:style w:type="paragraph" w:styleId="ListNumber4">
    <w:name w:val="List Number 4"/>
    <w:basedOn w:val="Normal"/>
    <w:uiPriority w:val="99"/>
    <w:semiHidden/>
    <w:unhideWhenUsed/>
    <w:rsid w:val="00393022"/>
    <w:pPr>
      <w:numPr>
        <w:numId w:val="8"/>
      </w:numPr>
      <w:contextualSpacing/>
    </w:pPr>
  </w:style>
  <w:style w:type="character" w:styleId="Hyperlink">
    <w:name w:val="Hyperlink"/>
    <w:basedOn w:val="DefaultParagraphFont"/>
    <w:uiPriority w:val="99"/>
    <w:unhideWhenUsed/>
    <w:rsid w:val="002B4272"/>
    <w:rPr>
      <w:color w:val="0000FF" w:themeColor="hyperlink"/>
      <w:u w:val="single"/>
    </w:rPr>
  </w:style>
  <w:style w:type="character" w:customStyle="1" w:styleId="UnresolvedMention">
    <w:name w:val="Unresolved Mention"/>
    <w:basedOn w:val="DefaultParagraphFont"/>
    <w:uiPriority w:val="99"/>
    <w:semiHidden/>
    <w:unhideWhenUsed/>
    <w:rsid w:val="00083BFC"/>
    <w:rPr>
      <w:color w:val="605E5C"/>
      <w:shd w:val="clear" w:color="auto" w:fill="E1DFDD"/>
    </w:rPr>
  </w:style>
  <w:style w:type="character" w:customStyle="1" w:styleId="HeaderChar">
    <w:name w:val="Header Char"/>
    <w:basedOn w:val="DefaultParagraphFont"/>
    <w:link w:val="Header"/>
    <w:uiPriority w:val="99"/>
    <w:rsid w:val="00E50570"/>
    <w:rPr>
      <w:rFonts w:ascii="Times New Roman" w:hAnsi="Times New Roman" w:cs="Times New Roman"/>
      <w:sz w:val="24"/>
      <w:lang w:val="en-GB"/>
    </w:rPr>
  </w:style>
  <w:style w:type="character" w:customStyle="1" w:styleId="FooterChar">
    <w:name w:val="Footer Char"/>
    <w:basedOn w:val="DefaultParagraphFont"/>
    <w:link w:val="Footer"/>
    <w:uiPriority w:val="99"/>
    <w:rsid w:val="00E50570"/>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5057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50570"/>
    <w:pPr>
      <w:spacing w:before="0"/>
      <w:jc w:val="right"/>
    </w:pPr>
    <w:rPr>
      <w:sz w:val="28"/>
    </w:rPr>
  </w:style>
  <w:style w:type="paragraph" w:customStyle="1" w:styleId="FooterSensitivity">
    <w:name w:val="Footer Sensitivity"/>
    <w:basedOn w:val="Normal"/>
    <w:rsid w:val="00E5057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50570"/>
    <w:pPr>
      <w:tabs>
        <w:tab w:val="center" w:pos="4535"/>
        <w:tab w:val="right" w:pos="9071"/>
      </w:tabs>
      <w:spacing w:before="0"/>
    </w:pPr>
  </w:style>
  <w:style w:type="paragraph" w:customStyle="1" w:styleId="HeaderLandscape">
    <w:name w:val="HeaderLandscape"/>
    <w:basedOn w:val="Normal"/>
    <w:rsid w:val="00E50570"/>
    <w:pPr>
      <w:tabs>
        <w:tab w:val="center" w:pos="7285"/>
        <w:tab w:val="right" w:pos="14003"/>
      </w:tabs>
      <w:spacing w:before="0"/>
    </w:pPr>
  </w:style>
  <w:style w:type="paragraph" w:styleId="Footer">
    <w:name w:val="footer"/>
    <w:basedOn w:val="Normal"/>
    <w:link w:val="FooterChar"/>
    <w:uiPriority w:val="99"/>
    <w:unhideWhenUsed/>
    <w:rsid w:val="00E5057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5057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21</TotalTime>
  <Pages>3</Pages>
  <Words>610</Words>
  <Characters>3482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cp:lastPrinted>2026-06-30T10:22:00Z</cp:lastPrinted>
  <dcterms:created xsi:type="dcterms:W3CDTF">2026-07-01T08:29:00Z</dcterms:created>
  <dcterms:modified xsi:type="dcterms:W3CDTF">2026-07-03T07:46:00Z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2026-06-29T10:16:42Z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0e3fb6b0-6b33-49b6-ab90-2bcf3752f335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