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34C9B" w14:textId="4C06F6D3" w:rsidR="00616AD6" w:rsidRPr="00E71741" w:rsidRDefault="00484B0E" w:rsidP="00484B0E">
      <w:pPr>
        <w:pStyle w:val="Pagedecouverture"/>
        <w:rPr>
          <w:noProof/>
        </w:rPr>
      </w:pPr>
      <w:r>
        <w:rPr>
          <w:noProof/>
        </w:rPr>
        <w:pict w14:anchorId="40944C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FA90A33-94DA-4FF6-B449-56C553B45DC7" style="width:455.25pt;height:354.75pt">
            <v:imagedata r:id="rId10" o:title=""/>
          </v:shape>
        </w:pict>
      </w:r>
    </w:p>
    <w:p w14:paraId="477EB578" w14:textId="77777777" w:rsidR="00616AD6" w:rsidRPr="00E71741" w:rsidRDefault="00616AD6" w:rsidP="00616AD6">
      <w:pPr>
        <w:rPr>
          <w:noProof/>
        </w:rPr>
        <w:sectPr w:rsidR="00616AD6" w:rsidRPr="00E71741" w:rsidSect="00484B0E">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19F5D8A6" w14:textId="761608BC" w:rsidR="001B5138" w:rsidRPr="00E71741" w:rsidRDefault="001B5138" w:rsidP="001B5138">
      <w:pPr>
        <w:pStyle w:val="Annexetitre"/>
        <w:rPr>
          <w:noProof/>
        </w:rPr>
      </w:pPr>
      <w:bookmarkStart w:id="0" w:name="_GoBack"/>
      <w:bookmarkEnd w:id="0"/>
      <w:r w:rsidRPr="00E71741">
        <w:rPr>
          <w:noProof/>
        </w:rPr>
        <w:lastRenderedPageBreak/>
        <w:t>ANNEXE</w:t>
      </w:r>
    </w:p>
    <w:p w14:paraId="695A9D8A" w14:textId="06D0F93A" w:rsidR="00BC10F1" w:rsidRPr="00E71741" w:rsidRDefault="008244D7" w:rsidP="003B25CB">
      <w:pPr>
        <w:rPr>
          <w:noProof/>
        </w:rPr>
      </w:pPr>
      <w:r w:rsidRPr="00E71741">
        <w:rPr>
          <w:noProof/>
        </w:rPr>
        <w:t>Les projets suivants sont recensés en tant que projets de défense européens d’intérêt commun (EDPCI):</w:t>
      </w:r>
    </w:p>
    <w:tbl>
      <w:tblPr>
        <w:tblStyle w:val="TableGrid"/>
        <w:tblW w:w="0" w:type="auto"/>
        <w:tblLook w:val="04A0" w:firstRow="1" w:lastRow="0" w:firstColumn="1" w:lastColumn="0" w:noHBand="0" w:noVBand="1"/>
      </w:tblPr>
      <w:tblGrid>
        <w:gridCol w:w="2518"/>
        <w:gridCol w:w="6771"/>
      </w:tblGrid>
      <w:tr w:rsidR="00BC10F1" w:rsidRPr="00E71741" w14:paraId="38F5F206" w14:textId="77777777">
        <w:tc>
          <w:tcPr>
            <w:tcW w:w="9289" w:type="dxa"/>
            <w:gridSpan w:val="2"/>
            <w:tcBorders>
              <w:left w:val="single" w:sz="4" w:space="0" w:color="auto"/>
            </w:tcBorders>
            <w:shd w:val="clear" w:color="auto" w:fill="F2F2F2" w:themeFill="background1" w:themeFillShade="F2"/>
          </w:tcPr>
          <w:p w14:paraId="748F4FD1" w14:textId="179BF9B5" w:rsidR="00154BDB" w:rsidRPr="00E71741" w:rsidRDefault="00BC10F1" w:rsidP="00EA747F">
            <w:pPr>
              <w:spacing w:before="0"/>
              <w:jc w:val="center"/>
              <w:rPr>
                <w:b/>
                <w:bCs/>
                <w:noProof/>
              </w:rPr>
            </w:pPr>
            <w:r w:rsidRPr="00E71741">
              <w:rPr>
                <w:b/>
                <w:noProof/>
              </w:rPr>
              <w:t>Utilisation défensive des drones et lutte antidrones (DECODER)</w:t>
            </w:r>
          </w:p>
        </w:tc>
      </w:tr>
      <w:tr w:rsidR="00BC10F1" w:rsidRPr="00E71741" w14:paraId="242C398B" w14:textId="77777777" w:rsidTr="00CE6551">
        <w:tc>
          <w:tcPr>
            <w:tcW w:w="2518" w:type="dxa"/>
            <w:tcBorders>
              <w:left w:val="nil"/>
            </w:tcBorders>
          </w:tcPr>
          <w:p w14:paraId="4E5295A3" w14:textId="77777777" w:rsidR="00BC10F1" w:rsidRPr="00E71741" w:rsidRDefault="00BC10F1">
            <w:pPr>
              <w:jc w:val="left"/>
              <w:rPr>
                <w:noProof/>
              </w:rPr>
            </w:pPr>
            <w:r w:rsidRPr="00E71741">
              <w:rPr>
                <w:noProof/>
              </w:rPr>
              <w:t>Objectifs et caractéristiques de l’EDPCI</w:t>
            </w:r>
          </w:p>
        </w:tc>
        <w:tc>
          <w:tcPr>
            <w:tcW w:w="6771" w:type="dxa"/>
            <w:tcBorders>
              <w:right w:val="nil"/>
            </w:tcBorders>
          </w:tcPr>
          <w:p w14:paraId="6AE007A1" w14:textId="11B56B44" w:rsidR="00BC10F1" w:rsidRPr="00E71741" w:rsidRDefault="00053440">
            <w:pPr>
              <w:rPr>
                <w:noProof/>
              </w:rPr>
            </w:pPr>
            <w:r w:rsidRPr="00E71741">
              <w:rPr>
                <w:noProof/>
              </w:rPr>
              <w:t xml:space="preserve">DECODER vise à permettre le développement, l’expansion et le déploiement coordonnés des capacités des systèmes européens sans pilote et de lutte antidrones afin de combler les lacunes en matière de capacités critiques dans les États membres. Il vise à doter les forces armées européennes de drones et de systèmes antidrones modernes, adaptables, modulables et interopérables, fonctionnant dans tous les domaines. Cet EDPCI préservera et renforcera la souveraineté technologique et la résilience industrielle européennes. Plus précisément, cet EDPCI soutiendra l’acquisition conjointe des capacités nécessaires des systèmes sans pilote et de lutte antidrones, étendra les capacités de production industrielle pertinentes et mettra en place un réseau européen des pôles technologiques dans le domaine des drones destiné à faciliter les essais, à accélérer l’innovation et à soutenir la modernisation rapide des forces. </w:t>
            </w:r>
          </w:p>
          <w:p w14:paraId="1A71E395" w14:textId="749832C4" w:rsidR="00C668F3" w:rsidRPr="00E71741" w:rsidRDefault="003F14CD">
            <w:pPr>
              <w:rPr>
                <w:rFonts w:eastAsia="Calibri"/>
                <w:noProof/>
                <w:szCs w:val="24"/>
              </w:rPr>
            </w:pPr>
            <w:r w:rsidRPr="00E71741">
              <w:rPr>
                <w:noProof/>
              </w:rPr>
              <w:t>Pour les raisons exposées ci-après, le projet remplit les critères énoncés à l’article 35, paragraphe 2, du règlement (UE) 2025/2643.</w:t>
            </w:r>
          </w:p>
          <w:p w14:paraId="73C55656" w14:textId="03F2EF53" w:rsidR="00EA747F" w:rsidRPr="00E71741" w:rsidRDefault="00EA747F" w:rsidP="00EA747F">
            <w:pPr>
              <w:pStyle w:val="Point0number"/>
              <w:numPr>
                <w:ilvl w:val="0"/>
                <w:numId w:val="0"/>
              </w:numPr>
              <w:rPr>
                <w:noProof/>
              </w:rPr>
            </w:pPr>
            <w:r w:rsidRPr="00E71741">
              <w:rPr>
                <w:noProof/>
              </w:rPr>
              <w:t xml:space="preserve">La proposition porte sur le renforcement de la compétitivité et de la capacité d’innovation de la BITDE dans une perspective à long terme, elle contribue à l’intégration du marché, à la réduction des dépendances stratégiques et l’amélioration de l’interopérabilité. Elle démontre la contribution importante du projet aux capacités militaires critiques pour les intérêts de l’Union en matière de sécurité et de défense. La proposition porte également sur la coopération civile et militaire et les technologies à double usage. Elle tient compte des initiatives de la CSP et de l’AED ainsi que des activités pertinentes de l’OTAN. </w:t>
            </w:r>
          </w:p>
          <w:p w14:paraId="514376AA" w14:textId="74459553" w:rsidR="00E85B42" w:rsidRPr="00E71741" w:rsidRDefault="00EA747F" w:rsidP="00EA747F">
            <w:pPr>
              <w:pStyle w:val="Point0number"/>
              <w:numPr>
                <w:ilvl w:val="0"/>
                <w:numId w:val="0"/>
              </w:numPr>
              <w:rPr>
                <w:noProof/>
              </w:rPr>
            </w:pPr>
            <w:r w:rsidRPr="00E71741">
              <w:rPr>
                <w:noProof/>
              </w:rPr>
              <w:t xml:space="preserve">La proposition fournit des arguments solides et bien étayés démontrant que les avantages que le projet procure s’étendent à une plus grande partie de l’Union et associe 26 États membres, ainsi que d’autres pays. Elle apporte en outre des éléments permettant d’attester l’importance de sa portée, laquelle tient compte à la fois de la complexité technique et de la diversité des activités opérationnelles et industrielles, ainsi que son ambition stratégique à long terme et l’importance de sa taille financière globale estimée. </w:t>
            </w:r>
          </w:p>
        </w:tc>
      </w:tr>
      <w:tr w:rsidR="00BC10F1" w:rsidRPr="00E71741" w14:paraId="7C7DF114" w14:textId="77777777" w:rsidTr="00CE6551">
        <w:tc>
          <w:tcPr>
            <w:tcW w:w="2518" w:type="dxa"/>
            <w:tcBorders>
              <w:left w:val="nil"/>
            </w:tcBorders>
          </w:tcPr>
          <w:p w14:paraId="4FA83E8B" w14:textId="6740A961" w:rsidR="00BC10F1" w:rsidRPr="00E71741" w:rsidRDefault="00BC10F1">
            <w:pPr>
              <w:jc w:val="left"/>
              <w:rPr>
                <w:noProof/>
              </w:rPr>
            </w:pPr>
            <w:r w:rsidRPr="00E71741">
              <w:rPr>
                <w:noProof/>
              </w:rPr>
              <w:t>Liste des pays participant à l’EDPCI à la date d’adoption de l’acte d’exécution</w:t>
            </w:r>
          </w:p>
        </w:tc>
        <w:tc>
          <w:tcPr>
            <w:tcW w:w="6771" w:type="dxa"/>
            <w:tcBorders>
              <w:right w:val="nil"/>
            </w:tcBorders>
          </w:tcPr>
          <w:p w14:paraId="04744B6B" w14:textId="77777777" w:rsidR="00BC10F1" w:rsidRPr="00E71741" w:rsidRDefault="00BC10F1">
            <w:pPr>
              <w:rPr>
                <w:noProof/>
              </w:rPr>
            </w:pPr>
            <w:r w:rsidRPr="00E71741">
              <w:rPr>
                <w:noProof/>
              </w:rPr>
              <w:t>Belgique, Bulgarie, Tchéquie, Danemark, Allemagne, Estonie, Irlande, Grèce, Espagne, France, Croatie, Italie, Chypre, Lettonie, Lituanie, Luxembourg, Hongrie, Pays-Bas, Autriche, Pologne, Portugal, Roumanie, Slovénie, Slovaquie, Finlande, Suède, Norvège et Ukraine.</w:t>
            </w:r>
          </w:p>
        </w:tc>
      </w:tr>
      <w:tr w:rsidR="00BC10F1" w:rsidRPr="00E71741" w14:paraId="4387A06E" w14:textId="77777777" w:rsidTr="00E22A7E">
        <w:trPr>
          <w:trHeight w:val="617"/>
        </w:trPr>
        <w:tc>
          <w:tcPr>
            <w:tcW w:w="2518" w:type="dxa"/>
            <w:tcBorders>
              <w:left w:val="nil"/>
            </w:tcBorders>
          </w:tcPr>
          <w:p w14:paraId="069688BA" w14:textId="77777777" w:rsidR="00BC10F1" w:rsidRPr="00E71741" w:rsidRDefault="00BC10F1">
            <w:pPr>
              <w:jc w:val="left"/>
              <w:rPr>
                <w:noProof/>
              </w:rPr>
            </w:pPr>
            <w:r w:rsidRPr="00E71741">
              <w:rPr>
                <w:noProof/>
              </w:rPr>
              <w:t>Participation de la Commission européenne</w:t>
            </w:r>
          </w:p>
        </w:tc>
        <w:tc>
          <w:tcPr>
            <w:tcW w:w="6771" w:type="dxa"/>
            <w:tcBorders>
              <w:right w:val="nil"/>
            </w:tcBorders>
          </w:tcPr>
          <w:p w14:paraId="5807EFCE" w14:textId="77777777" w:rsidR="00BC10F1" w:rsidRPr="00E71741" w:rsidRDefault="00BC10F1">
            <w:pPr>
              <w:rPr>
                <w:noProof/>
              </w:rPr>
            </w:pPr>
            <w:r w:rsidRPr="00E71741">
              <w:rPr>
                <w:noProof/>
              </w:rPr>
              <w:t>Oui</w:t>
            </w:r>
          </w:p>
        </w:tc>
      </w:tr>
      <w:tr w:rsidR="00BC10F1" w:rsidRPr="00E71741" w14:paraId="5A1BE625" w14:textId="77777777" w:rsidTr="00CE6551">
        <w:tc>
          <w:tcPr>
            <w:tcW w:w="2518" w:type="dxa"/>
            <w:tcBorders>
              <w:left w:val="nil"/>
            </w:tcBorders>
          </w:tcPr>
          <w:p w14:paraId="452279B2" w14:textId="77777777" w:rsidR="00BC10F1" w:rsidRPr="00E71741" w:rsidRDefault="00BC10F1">
            <w:pPr>
              <w:jc w:val="left"/>
              <w:rPr>
                <w:noProof/>
              </w:rPr>
            </w:pPr>
            <w:r w:rsidRPr="00E71741">
              <w:rPr>
                <w:noProof/>
              </w:rPr>
              <w:lastRenderedPageBreak/>
              <w:t>Participation du HR/de l’AED en tant qu’observateurs</w:t>
            </w:r>
          </w:p>
        </w:tc>
        <w:tc>
          <w:tcPr>
            <w:tcW w:w="6771" w:type="dxa"/>
            <w:tcBorders>
              <w:right w:val="nil"/>
            </w:tcBorders>
          </w:tcPr>
          <w:p w14:paraId="56A3846B" w14:textId="77777777" w:rsidR="00BC10F1" w:rsidRPr="00E71741" w:rsidRDefault="00BC10F1">
            <w:pPr>
              <w:rPr>
                <w:noProof/>
              </w:rPr>
            </w:pPr>
            <w:r w:rsidRPr="00E71741">
              <w:rPr>
                <w:noProof/>
              </w:rPr>
              <w:t>Oui</w:t>
            </w:r>
          </w:p>
        </w:tc>
      </w:tr>
      <w:tr w:rsidR="00BC10F1" w:rsidRPr="00E71741" w14:paraId="7FE126FF" w14:textId="77777777" w:rsidTr="00CE6551">
        <w:tc>
          <w:tcPr>
            <w:tcW w:w="2518" w:type="dxa"/>
            <w:tcBorders>
              <w:left w:val="nil"/>
            </w:tcBorders>
          </w:tcPr>
          <w:p w14:paraId="7B58FB25" w14:textId="0EB012EA" w:rsidR="00BC10F1" w:rsidRPr="00E71741" w:rsidRDefault="00BD68EF">
            <w:pPr>
              <w:jc w:val="left"/>
              <w:rPr>
                <w:noProof/>
              </w:rPr>
            </w:pPr>
            <w:r w:rsidRPr="00E71741">
              <w:rPr>
                <w:noProof/>
              </w:rPr>
              <w:t xml:space="preserve">Taille financière globale estimée de l’EDPCI </w:t>
            </w:r>
          </w:p>
        </w:tc>
        <w:tc>
          <w:tcPr>
            <w:tcW w:w="6771" w:type="dxa"/>
            <w:tcBorders>
              <w:right w:val="nil"/>
            </w:tcBorders>
          </w:tcPr>
          <w:p w14:paraId="1FA7B540" w14:textId="77777777" w:rsidR="00BC10F1" w:rsidRPr="00E71741" w:rsidRDefault="00BC10F1">
            <w:pPr>
              <w:rPr>
                <w:noProof/>
              </w:rPr>
            </w:pPr>
            <w:r w:rsidRPr="00E71741">
              <w:rPr>
                <w:noProof/>
              </w:rPr>
              <w:t>3,5 à 5 milliards d’EUR d’ici 2033</w:t>
            </w:r>
          </w:p>
        </w:tc>
      </w:tr>
    </w:tbl>
    <w:p w14:paraId="5C94842E" w14:textId="77777777" w:rsidR="00154BDB" w:rsidRPr="00E71741" w:rsidRDefault="00154BDB" w:rsidP="008F5D32">
      <w:pPr>
        <w:pStyle w:val="ListParagraph"/>
        <w:rPr>
          <w:b/>
          <w:bCs/>
          <w:noProof/>
        </w:rPr>
      </w:pPr>
    </w:p>
    <w:tbl>
      <w:tblPr>
        <w:tblStyle w:val="TableGrid"/>
        <w:tblW w:w="0" w:type="auto"/>
        <w:tblLook w:val="04A0" w:firstRow="1" w:lastRow="0" w:firstColumn="1" w:lastColumn="0" w:noHBand="0" w:noVBand="1"/>
      </w:tblPr>
      <w:tblGrid>
        <w:gridCol w:w="2518"/>
        <w:gridCol w:w="6771"/>
      </w:tblGrid>
      <w:tr w:rsidR="00AE17A3" w:rsidRPr="00E71741" w14:paraId="41BBEC6C" w14:textId="77777777" w:rsidTr="5722A851">
        <w:tc>
          <w:tcPr>
            <w:tcW w:w="9289" w:type="dxa"/>
            <w:gridSpan w:val="2"/>
            <w:tcBorders>
              <w:left w:val="single" w:sz="4" w:space="0" w:color="auto"/>
            </w:tcBorders>
            <w:shd w:val="clear" w:color="auto" w:fill="F2F2F2" w:themeFill="background1" w:themeFillShade="F2"/>
          </w:tcPr>
          <w:p w14:paraId="24DCB296" w14:textId="74CD8592" w:rsidR="00154BDB" w:rsidRPr="00E71741" w:rsidRDefault="00AE17A3" w:rsidP="007C73CD">
            <w:pPr>
              <w:spacing w:before="0"/>
              <w:jc w:val="center"/>
              <w:rPr>
                <w:b/>
                <w:bCs/>
                <w:noProof/>
              </w:rPr>
            </w:pPr>
            <w:r w:rsidRPr="00E71741">
              <w:rPr>
                <w:b/>
                <w:noProof/>
              </w:rPr>
              <w:t>Défense intégrée du domaine maritime et des fonds marins</w:t>
            </w:r>
          </w:p>
        </w:tc>
      </w:tr>
      <w:tr w:rsidR="00480DBB" w:rsidRPr="00E71741" w14:paraId="055BBACE" w14:textId="77777777" w:rsidTr="5722A851">
        <w:tc>
          <w:tcPr>
            <w:tcW w:w="2518" w:type="dxa"/>
            <w:tcBorders>
              <w:left w:val="nil"/>
            </w:tcBorders>
          </w:tcPr>
          <w:p w14:paraId="6169D375" w14:textId="43749B95" w:rsidR="00480DBB" w:rsidRPr="00E71741" w:rsidRDefault="00480DBB" w:rsidP="00480DBB">
            <w:pPr>
              <w:jc w:val="left"/>
              <w:rPr>
                <w:noProof/>
              </w:rPr>
            </w:pPr>
            <w:r w:rsidRPr="00E71741">
              <w:rPr>
                <w:noProof/>
              </w:rPr>
              <w:t>Objectifs et caractéristiques de l’EDPCI</w:t>
            </w:r>
          </w:p>
        </w:tc>
        <w:tc>
          <w:tcPr>
            <w:tcW w:w="6771" w:type="dxa"/>
            <w:tcBorders>
              <w:right w:val="nil"/>
            </w:tcBorders>
          </w:tcPr>
          <w:p w14:paraId="1B71A653" w14:textId="5D534D39" w:rsidR="00480DBB" w:rsidRPr="00E71741" w:rsidRDefault="00053440" w:rsidP="5722A851">
            <w:pPr>
              <w:rPr>
                <w:noProof/>
              </w:rPr>
            </w:pPr>
            <w:r w:rsidRPr="00E71741">
              <w:rPr>
                <w:noProof/>
              </w:rPr>
              <w:t xml:space="preserve">Le projet relatif à la défense intégrée du domaine maritime et des fonds marins vise à mettre en place une architecture européenne fédérée et interopérable de défense maritime et de défense des fonds marins, capable de renforcer la capacité de l’Union à prévenir, détecter et décourager les menaces dans l’ensemble du domaine maritime et à y répondre. Il repose sur l’intégration de trois piliers fondamentaux qui se renforcent mutuellement: l’appréciation de la situation maritime, le combat naval et l’interdiction maritime ainsi que la guerre sous-marine et des fonds marins. </w:t>
            </w:r>
          </w:p>
          <w:p w14:paraId="08077C52" w14:textId="790DA091" w:rsidR="00480DBB" w:rsidRPr="00E71741" w:rsidRDefault="0072204B" w:rsidP="5722A851">
            <w:pPr>
              <w:rPr>
                <w:noProof/>
              </w:rPr>
            </w:pPr>
            <w:r w:rsidRPr="00E71741">
              <w:rPr>
                <w:noProof/>
              </w:rPr>
              <w:t>Plus précisément, le projet renforcera l’appréciation commune de la situation maritime grâce à une architecture interopérable et intégrée de partage d’informations au niveau de l’UE et soutiendra le développement industriel coordonné, l’expansion et l’acquisition conjointe de plateformes navales, de systèmes sous-marins, de systèmes sans pilote, d’outils de renseignement, de surveillance et de reconnaissance (ISR) et de capacités de guerre sous-marine. Le projet couvrira également la coopération avec les autorités civiles, en mettant en œuvre l’action phare du pacte européen pour l’Océan relative à l’appréciation de la situation maritime, notamment les capacités sans pilote.</w:t>
            </w:r>
          </w:p>
          <w:p w14:paraId="34369EDA" w14:textId="3B08C38C" w:rsidR="00480DBB" w:rsidRPr="00E71741" w:rsidRDefault="0038540D" w:rsidP="5722A851">
            <w:pPr>
              <w:rPr>
                <w:noProof/>
              </w:rPr>
            </w:pPr>
            <w:r w:rsidRPr="00E71741">
              <w:rPr>
                <w:noProof/>
              </w:rPr>
              <w:t xml:space="preserve">À terme, il renforcera la protection des infrastructures critiques maritimes et dans les fonds marins, notamment les ports, les installations en mer, les câbles sous-marins et les gazoducs. </w:t>
            </w:r>
          </w:p>
          <w:p w14:paraId="2A9C802E" w14:textId="161ED24C" w:rsidR="005E42B3" w:rsidRPr="00E71741" w:rsidRDefault="003F14CD" w:rsidP="5722A851">
            <w:pPr>
              <w:rPr>
                <w:noProof/>
              </w:rPr>
            </w:pPr>
            <w:r w:rsidRPr="00E71741">
              <w:rPr>
                <w:noProof/>
              </w:rPr>
              <w:t>Pour les raisons exposées ci-après, le projet remplit les critères énoncés à l’article 35, paragraphe 2, du règlement (UE) 2025/2643.</w:t>
            </w:r>
          </w:p>
          <w:p w14:paraId="16BC9DB9" w14:textId="77777777" w:rsidR="007C73CD" w:rsidRPr="00E71741" w:rsidRDefault="007C73CD" w:rsidP="007C73CD">
            <w:pPr>
              <w:pStyle w:val="Point0number"/>
              <w:numPr>
                <w:ilvl w:val="0"/>
                <w:numId w:val="0"/>
              </w:numPr>
              <w:rPr>
                <w:noProof/>
              </w:rPr>
            </w:pPr>
            <w:r w:rsidRPr="00E71741">
              <w:rPr>
                <w:noProof/>
              </w:rPr>
              <w:t xml:space="preserve">La proposition porte sur le renforcement de la compétitivité et de la capacité d’innovation de la BITDE et devrait contribuer à étendre la coopération transfrontière, à réduire la forte fragmentation au sein du marché européen de la défense maritime et à générer des retombées positives pour le secteur civil. Elle contribue à répondre aux besoins en capacités critiques pour les intérêts de l’Union en matière de sécurité et de défense en soutenant l’appréciation de la situation maritime, la protection des infrastructures sous-marines critiques, les architectures navales interopérables et les capacités de guerre sous-marine et des fonds marins. </w:t>
            </w:r>
          </w:p>
          <w:p w14:paraId="33E222BF" w14:textId="319396D4" w:rsidR="00E85B42" w:rsidRPr="00E71741" w:rsidRDefault="007C73CD" w:rsidP="007C73CD">
            <w:pPr>
              <w:pStyle w:val="Point0number"/>
              <w:numPr>
                <w:ilvl w:val="0"/>
                <w:numId w:val="0"/>
              </w:numPr>
              <w:rPr>
                <w:noProof/>
              </w:rPr>
            </w:pPr>
            <w:r w:rsidRPr="00E71741">
              <w:rPr>
                <w:noProof/>
              </w:rPr>
              <w:t xml:space="preserve">Le projet s’appuie sur plusieurs initiatives en cours de la CSP et de l’AED et tient compte des activités pertinentes de l’OTAN. Il </w:t>
            </w:r>
            <w:r w:rsidRPr="00E71741">
              <w:rPr>
                <w:noProof/>
              </w:rPr>
              <w:lastRenderedPageBreak/>
              <w:t>démontre la participation d’un grand nombre de pays (17) et les avantages qu’il procure s’étendent à une plus grande partie de l’UE. Le projet est d’une portée et d’une taille financière globale estimée importantes.</w:t>
            </w:r>
          </w:p>
        </w:tc>
      </w:tr>
      <w:tr w:rsidR="00480DBB" w:rsidRPr="00E71741" w14:paraId="061F168F" w14:textId="77777777" w:rsidTr="5722A851">
        <w:trPr>
          <w:trHeight w:val="1110"/>
        </w:trPr>
        <w:tc>
          <w:tcPr>
            <w:tcW w:w="2518" w:type="dxa"/>
            <w:tcBorders>
              <w:left w:val="nil"/>
            </w:tcBorders>
          </w:tcPr>
          <w:p w14:paraId="75B5D4C1" w14:textId="00FC8EA7" w:rsidR="00480DBB" w:rsidRPr="00E71741" w:rsidRDefault="002E60BF" w:rsidP="00480DBB">
            <w:pPr>
              <w:jc w:val="left"/>
              <w:rPr>
                <w:noProof/>
              </w:rPr>
            </w:pPr>
            <w:r w:rsidRPr="00E71741">
              <w:rPr>
                <w:noProof/>
              </w:rPr>
              <w:lastRenderedPageBreak/>
              <w:t>Liste des pays participant à l’EDPCI à la date d’adoption de l’acte d’exécution</w:t>
            </w:r>
          </w:p>
        </w:tc>
        <w:tc>
          <w:tcPr>
            <w:tcW w:w="6771" w:type="dxa"/>
            <w:tcBorders>
              <w:right w:val="nil"/>
            </w:tcBorders>
          </w:tcPr>
          <w:p w14:paraId="5BAFE633" w14:textId="7841ED28" w:rsidR="00480DBB" w:rsidRPr="00E71741" w:rsidRDefault="00480DBB" w:rsidP="00480DBB">
            <w:pPr>
              <w:rPr>
                <w:noProof/>
              </w:rPr>
            </w:pPr>
            <w:r w:rsidRPr="00E71741">
              <w:rPr>
                <w:noProof/>
              </w:rPr>
              <w:t>Belgique, Bulgarie, Allemagne, Grèce, Espagne, France, Irlande, Italie, Chypre, Pays-Bas, Pologne, Portugal, Roumanie, Finlande, Suède, Norvège, Ukraine.</w:t>
            </w:r>
          </w:p>
        </w:tc>
      </w:tr>
      <w:tr w:rsidR="00480DBB" w:rsidRPr="00E71741" w14:paraId="6EFBDE15" w14:textId="77777777" w:rsidTr="5722A851">
        <w:tc>
          <w:tcPr>
            <w:tcW w:w="2518" w:type="dxa"/>
            <w:tcBorders>
              <w:left w:val="nil"/>
            </w:tcBorders>
          </w:tcPr>
          <w:p w14:paraId="300C1166" w14:textId="77777777" w:rsidR="00480DBB" w:rsidRPr="00E71741" w:rsidRDefault="00480DBB" w:rsidP="00480DBB">
            <w:pPr>
              <w:jc w:val="left"/>
              <w:rPr>
                <w:noProof/>
              </w:rPr>
            </w:pPr>
            <w:r w:rsidRPr="00E71741">
              <w:rPr>
                <w:noProof/>
              </w:rPr>
              <w:t>Participation de la Commission européenne</w:t>
            </w:r>
          </w:p>
        </w:tc>
        <w:tc>
          <w:tcPr>
            <w:tcW w:w="6771" w:type="dxa"/>
            <w:tcBorders>
              <w:right w:val="nil"/>
            </w:tcBorders>
          </w:tcPr>
          <w:p w14:paraId="5A043897" w14:textId="77777777" w:rsidR="00480DBB" w:rsidRPr="00E71741" w:rsidRDefault="00480DBB" w:rsidP="00480DBB">
            <w:pPr>
              <w:rPr>
                <w:noProof/>
              </w:rPr>
            </w:pPr>
            <w:r w:rsidRPr="00E71741">
              <w:rPr>
                <w:noProof/>
              </w:rPr>
              <w:t>Oui</w:t>
            </w:r>
          </w:p>
        </w:tc>
      </w:tr>
      <w:tr w:rsidR="00480DBB" w:rsidRPr="00E71741" w14:paraId="33BEC7A4" w14:textId="77777777" w:rsidTr="5722A851">
        <w:tc>
          <w:tcPr>
            <w:tcW w:w="2518" w:type="dxa"/>
            <w:tcBorders>
              <w:left w:val="nil"/>
            </w:tcBorders>
          </w:tcPr>
          <w:p w14:paraId="4F83B4AE" w14:textId="77777777" w:rsidR="00480DBB" w:rsidRPr="00E71741" w:rsidRDefault="00480DBB" w:rsidP="00480DBB">
            <w:pPr>
              <w:jc w:val="left"/>
              <w:rPr>
                <w:noProof/>
              </w:rPr>
            </w:pPr>
            <w:r w:rsidRPr="00E71741">
              <w:rPr>
                <w:noProof/>
              </w:rPr>
              <w:t>Participation du HR/de l’AED en tant qu’observateurs</w:t>
            </w:r>
          </w:p>
        </w:tc>
        <w:tc>
          <w:tcPr>
            <w:tcW w:w="6771" w:type="dxa"/>
            <w:tcBorders>
              <w:right w:val="nil"/>
            </w:tcBorders>
          </w:tcPr>
          <w:p w14:paraId="0AB7442A" w14:textId="77777777" w:rsidR="00480DBB" w:rsidRPr="00E71741" w:rsidRDefault="00480DBB" w:rsidP="00480DBB">
            <w:pPr>
              <w:rPr>
                <w:noProof/>
              </w:rPr>
            </w:pPr>
            <w:r w:rsidRPr="00E71741">
              <w:rPr>
                <w:noProof/>
              </w:rPr>
              <w:t>Oui</w:t>
            </w:r>
          </w:p>
        </w:tc>
      </w:tr>
      <w:tr w:rsidR="00480DBB" w:rsidRPr="00E71741" w14:paraId="10768517" w14:textId="77777777" w:rsidTr="5722A851">
        <w:tc>
          <w:tcPr>
            <w:tcW w:w="2518" w:type="dxa"/>
            <w:tcBorders>
              <w:left w:val="nil"/>
            </w:tcBorders>
          </w:tcPr>
          <w:p w14:paraId="71B1323B" w14:textId="22709576" w:rsidR="00480DBB" w:rsidRPr="00E71741" w:rsidRDefault="00BD68EF" w:rsidP="00480DBB">
            <w:pPr>
              <w:jc w:val="left"/>
              <w:rPr>
                <w:noProof/>
              </w:rPr>
            </w:pPr>
            <w:r w:rsidRPr="00E71741">
              <w:rPr>
                <w:noProof/>
              </w:rPr>
              <w:t>Taille financière globale estimée de l’EDPCI</w:t>
            </w:r>
          </w:p>
        </w:tc>
        <w:tc>
          <w:tcPr>
            <w:tcW w:w="6771" w:type="dxa"/>
            <w:tcBorders>
              <w:right w:val="nil"/>
            </w:tcBorders>
          </w:tcPr>
          <w:p w14:paraId="35E0E9CF" w14:textId="4351CF0F" w:rsidR="00480DBB" w:rsidRPr="00E71741" w:rsidRDefault="00480DBB" w:rsidP="00480DBB">
            <w:pPr>
              <w:rPr>
                <w:noProof/>
              </w:rPr>
            </w:pPr>
            <w:r w:rsidRPr="00E71741">
              <w:rPr>
                <w:noProof/>
              </w:rPr>
              <w:t>43 à 72 milliards d’EUR d’ici 2045</w:t>
            </w:r>
          </w:p>
        </w:tc>
      </w:tr>
    </w:tbl>
    <w:p w14:paraId="4583B9BE" w14:textId="77777777" w:rsidR="00E85B42" w:rsidRPr="00E71741" w:rsidRDefault="00E85B42" w:rsidP="00616AD6">
      <w:pPr>
        <w:rPr>
          <w:noProof/>
        </w:rPr>
      </w:pPr>
    </w:p>
    <w:tbl>
      <w:tblPr>
        <w:tblStyle w:val="TableGrid"/>
        <w:tblW w:w="0" w:type="auto"/>
        <w:tblLook w:val="04A0" w:firstRow="1" w:lastRow="0" w:firstColumn="1" w:lastColumn="0" w:noHBand="0" w:noVBand="1"/>
      </w:tblPr>
      <w:tblGrid>
        <w:gridCol w:w="2518"/>
        <w:gridCol w:w="6771"/>
      </w:tblGrid>
      <w:tr w:rsidR="00BC10F1" w:rsidRPr="00E71741" w14:paraId="53DED353" w14:textId="77777777" w:rsidTr="7748087A">
        <w:tc>
          <w:tcPr>
            <w:tcW w:w="9289" w:type="dxa"/>
            <w:gridSpan w:val="2"/>
            <w:tcBorders>
              <w:left w:val="single" w:sz="4" w:space="0" w:color="auto"/>
            </w:tcBorders>
            <w:shd w:val="clear" w:color="auto" w:fill="F2F2F2" w:themeFill="background1" w:themeFillShade="F2"/>
          </w:tcPr>
          <w:p w14:paraId="3E3A0BAD" w14:textId="434605F0" w:rsidR="00E85B42" w:rsidRPr="00E71741" w:rsidRDefault="00E85B42" w:rsidP="007C73CD">
            <w:pPr>
              <w:spacing w:before="0"/>
              <w:jc w:val="center"/>
              <w:rPr>
                <w:b/>
                <w:bCs/>
                <w:noProof/>
              </w:rPr>
            </w:pPr>
            <w:r w:rsidRPr="00E71741">
              <w:rPr>
                <w:noProof/>
              </w:rPr>
              <w:br w:type="page"/>
            </w:r>
            <w:r w:rsidRPr="00E71741">
              <w:rPr>
                <w:b/>
                <w:noProof/>
              </w:rPr>
              <w:t>SPACE</w:t>
            </w:r>
          </w:p>
        </w:tc>
      </w:tr>
      <w:tr w:rsidR="00BC10F1" w:rsidRPr="00E71741" w14:paraId="0C499CF2" w14:textId="77777777" w:rsidTr="7748087A">
        <w:tc>
          <w:tcPr>
            <w:tcW w:w="2518" w:type="dxa"/>
            <w:tcBorders>
              <w:left w:val="nil"/>
            </w:tcBorders>
          </w:tcPr>
          <w:p w14:paraId="265DEB13" w14:textId="77777777" w:rsidR="00BC10F1" w:rsidRPr="00E71741" w:rsidRDefault="00BC10F1">
            <w:pPr>
              <w:jc w:val="left"/>
              <w:rPr>
                <w:noProof/>
              </w:rPr>
            </w:pPr>
            <w:r w:rsidRPr="00E71741">
              <w:rPr>
                <w:noProof/>
              </w:rPr>
              <w:t>Objectifs et caractéristiques de l’EDPCI</w:t>
            </w:r>
          </w:p>
        </w:tc>
        <w:tc>
          <w:tcPr>
            <w:tcW w:w="6771" w:type="dxa"/>
            <w:tcBorders>
              <w:right w:val="nil"/>
            </w:tcBorders>
          </w:tcPr>
          <w:p w14:paraId="41F29740" w14:textId="28DD300C" w:rsidR="00E85B42" w:rsidRPr="00E71741" w:rsidRDefault="00053440" w:rsidP="00C15F81">
            <w:pPr>
              <w:rPr>
                <w:noProof/>
              </w:rPr>
            </w:pPr>
            <w:r w:rsidRPr="00E71741">
              <w:rPr>
                <w:noProof/>
              </w:rPr>
              <w:t xml:space="preserve">Le projet SPACE vise à renforcer, grâce à une approche multi-missions, les capacités spatiales européennes dans les domaines de la détection lointaine depuis l’espace, des communications par satellite, du renseignement, de la surveillance et de la reconnaissance (ISR), y compris le renseignement d’origine électromagnétique (SIGINT), de la surveillance du domaine spatial (SDA), du positionnement, de la navigation et de la synchronisation (PNS) de la guerre de la navigation (NAVWAR) et des systèmes spatiaux réactifs. </w:t>
            </w:r>
          </w:p>
          <w:p w14:paraId="2BBB0AE0" w14:textId="0BF3BF43" w:rsidR="00BC10F1" w:rsidRPr="00E71741" w:rsidRDefault="00C15F81" w:rsidP="00C15F81">
            <w:pPr>
              <w:rPr>
                <w:noProof/>
              </w:rPr>
            </w:pPr>
            <w:r w:rsidRPr="00E71741">
              <w:rPr>
                <w:noProof/>
              </w:rPr>
              <w:t>Afin de regrouper les différentes missions décrites ci-dessus, l’EDPCI propose d’étudier l’élaboration d’une constellation multi-missions. En particulier, le projet se concentre sur l’acquisition conjointe de produits de défense, notamment les infrastructures nécessaires, afin de soutenir les outils communs de planification militaire pour le partage des communications par satellite (SATCOM), les services de PNS, les capacités ISR ainsi que les capacités de détection et de neutralisation dans le domaine de la guerre navale (NAVWAR). Il prévoit également la poursuite du développement des capacités spatiales, qui sont essentielles pour assurer l’indépendance de la prise de décision.</w:t>
            </w:r>
          </w:p>
          <w:p w14:paraId="47A49F04" w14:textId="37766CDA" w:rsidR="003F14CD" w:rsidRPr="00E71741" w:rsidRDefault="003F14CD" w:rsidP="003F14CD">
            <w:pPr>
              <w:rPr>
                <w:noProof/>
              </w:rPr>
            </w:pPr>
            <w:r w:rsidRPr="00E71741">
              <w:rPr>
                <w:noProof/>
              </w:rPr>
              <w:t>Pour les raisons exposées ci-après, le projet remplit les critères énoncés à l’article 35, paragraphe 2, du règlement (UE) 2025/2643.</w:t>
            </w:r>
          </w:p>
          <w:p w14:paraId="3F5DDA6B" w14:textId="1CB65CF3" w:rsidR="00C51581" w:rsidRPr="00E71741" w:rsidRDefault="00C51581" w:rsidP="00C51581">
            <w:pPr>
              <w:pStyle w:val="Point0number"/>
              <w:numPr>
                <w:ilvl w:val="0"/>
                <w:numId w:val="0"/>
              </w:numPr>
              <w:rPr>
                <w:noProof/>
              </w:rPr>
            </w:pPr>
            <w:r w:rsidRPr="00E71741">
              <w:rPr>
                <w:noProof/>
              </w:rPr>
              <w:t xml:space="preserve">La proposition porte sur le renforcement de la compétitivité et de la capacité d’innovation de la BITDE; elle soutient la transformation de la recherche et développement arrivée à maturité en capacités opérationnelles souveraines qu’aucun État membre ne peut développer seul, élargit les partenariats transfrontières, crée de nouveaux débouchés commerciaux et contribue à la réduction de la dépendance structurelle dans le domaine spatial. Le projet est hautement pertinent d’un point de vue militaire et opérationnel et constitue une contribution directe et structurelle au bouclier spatial européen. </w:t>
            </w:r>
          </w:p>
          <w:p w14:paraId="7C0FFC29" w14:textId="1F56F496" w:rsidR="00E85B42" w:rsidRPr="00E71741" w:rsidRDefault="00C51581" w:rsidP="00C51581">
            <w:pPr>
              <w:pStyle w:val="Point0number"/>
              <w:numPr>
                <w:ilvl w:val="0"/>
                <w:numId w:val="0"/>
              </w:numPr>
              <w:rPr>
                <w:noProof/>
              </w:rPr>
            </w:pPr>
            <w:r w:rsidRPr="00E71741">
              <w:rPr>
                <w:noProof/>
              </w:rPr>
              <w:t xml:space="preserve">Le projet tient compte des projets pertinents de la CSP et vise à renforcer les capacités et l’interopérabilité des États membres en cohérence avec les activités de l’OTAN. Il démontre la participation d’un grand nombre de pays (16). Sa portée et sa taille financière globale estimée sont importantes et les avantages qu’il procure s’étendent à une grande partie de l’Europe grâce à la couverture inhérente des capacités spatiales à l’échelle de l’Union. </w:t>
            </w:r>
          </w:p>
        </w:tc>
      </w:tr>
      <w:tr w:rsidR="00BC10F1" w:rsidRPr="00E71741" w14:paraId="2EF0C67A" w14:textId="77777777" w:rsidTr="7748087A">
        <w:tc>
          <w:tcPr>
            <w:tcW w:w="2518" w:type="dxa"/>
            <w:tcBorders>
              <w:left w:val="nil"/>
            </w:tcBorders>
          </w:tcPr>
          <w:p w14:paraId="7F16A0B0" w14:textId="3BDE0BA3" w:rsidR="00BC10F1" w:rsidRPr="00E71741" w:rsidRDefault="002E60BF">
            <w:pPr>
              <w:jc w:val="left"/>
              <w:rPr>
                <w:noProof/>
              </w:rPr>
            </w:pPr>
            <w:r w:rsidRPr="00E71741">
              <w:rPr>
                <w:noProof/>
              </w:rPr>
              <w:t>Liste des pays participant à l’EDPCI à la date d’adoption de l’acte d’exécution</w:t>
            </w:r>
          </w:p>
        </w:tc>
        <w:tc>
          <w:tcPr>
            <w:tcW w:w="6771" w:type="dxa"/>
            <w:tcBorders>
              <w:right w:val="nil"/>
            </w:tcBorders>
          </w:tcPr>
          <w:p w14:paraId="221F89A8" w14:textId="77777777" w:rsidR="00BC10F1" w:rsidRPr="00E71741" w:rsidRDefault="00BC10F1">
            <w:pPr>
              <w:rPr>
                <w:noProof/>
              </w:rPr>
            </w:pPr>
            <w:r w:rsidRPr="00E71741">
              <w:rPr>
                <w:noProof/>
              </w:rPr>
              <w:t>Belgique, Tchéquie, Danemark, Allemagne, Irlande, Grèce, Espagne, France, Italie, Luxembourg, Pays-Bas, Pologne, Roumanie, Finlande, Suède et Norvège.</w:t>
            </w:r>
          </w:p>
        </w:tc>
      </w:tr>
      <w:tr w:rsidR="00BC10F1" w:rsidRPr="00E71741" w14:paraId="6F7DE05B" w14:textId="77777777" w:rsidTr="7748087A">
        <w:tc>
          <w:tcPr>
            <w:tcW w:w="2518" w:type="dxa"/>
            <w:tcBorders>
              <w:left w:val="nil"/>
            </w:tcBorders>
          </w:tcPr>
          <w:p w14:paraId="65FB04FE" w14:textId="77777777" w:rsidR="00BC10F1" w:rsidRPr="00E71741" w:rsidRDefault="00BC10F1">
            <w:pPr>
              <w:jc w:val="left"/>
              <w:rPr>
                <w:noProof/>
              </w:rPr>
            </w:pPr>
            <w:r w:rsidRPr="00E71741">
              <w:rPr>
                <w:noProof/>
              </w:rPr>
              <w:t>Participation de la Commission européenne</w:t>
            </w:r>
          </w:p>
        </w:tc>
        <w:tc>
          <w:tcPr>
            <w:tcW w:w="6771" w:type="dxa"/>
            <w:tcBorders>
              <w:right w:val="nil"/>
            </w:tcBorders>
          </w:tcPr>
          <w:p w14:paraId="69FB79D5" w14:textId="77777777" w:rsidR="00BC10F1" w:rsidRPr="00E71741" w:rsidRDefault="00BC10F1">
            <w:pPr>
              <w:rPr>
                <w:i/>
                <w:iCs/>
                <w:noProof/>
              </w:rPr>
            </w:pPr>
            <w:r w:rsidRPr="00E71741">
              <w:rPr>
                <w:noProof/>
              </w:rPr>
              <w:t>Oui</w:t>
            </w:r>
          </w:p>
        </w:tc>
      </w:tr>
      <w:tr w:rsidR="00BC10F1" w:rsidRPr="00E71741" w14:paraId="6803F5C5" w14:textId="77777777" w:rsidTr="7748087A">
        <w:tc>
          <w:tcPr>
            <w:tcW w:w="2518" w:type="dxa"/>
            <w:tcBorders>
              <w:left w:val="nil"/>
            </w:tcBorders>
          </w:tcPr>
          <w:p w14:paraId="4B14E630" w14:textId="77777777" w:rsidR="00BC10F1" w:rsidRPr="00E71741" w:rsidRDefault="00BC10F1">
            <w:pPr>
              <w:jc w:val="left"/>
              <w:rPr>
                <w:noProof/>
              </w:rPr>
            </w:pPr>
            <w:r w:rsidRPr="00E71741">
              <w:rPr>
                <w:noProof/>
              </w:rPr>
              <w:t>Participation du HR/de l’AED en tant qu’observateurs</w:t>
            </w:r>
          </w:p>
        </w:tc>
        <w:tc>
          <w:tcPr>
            <w:tcW w:w="6771" w:type="dxa"/>
            <w:tcBorders>
              <w:right w:val="nil"/>
            </w:tcBorders>
          </w:tcPr>
          <w:p w14:paraId="7BCFA543" w14:textId="77777777" w:rsidR="00BC10F1" w:rsidRPr="00E71741" w:rsidRDefault="00BC10F1">
            <w:pPr>
              <w:rPr>
                <w:noProof/>
              </w:rPr>
            </w:pPr>
            <w:r w:rsidRPr="00E71741">
              <w:rPr>
                <w:noProof/>
              </w:rPr>
              <w:t>Oui</w:t>
            </w:r>
          </w:p>
        </w:tc>
      </w:tr>
      <w:tr w:rsidR="00BC10F1" w:rsidRPr="00E71741" w14:paraId="30EF71A2" w14:textId="77777777" w:rsidTr="7748087A">
        <w:tc>
          <w:tcPr>
            <w:tcW w:w="2518" w:type="dxa"/>
            <w:tcBorders>
              <w:left w:val="nil"/>
            </w:tcBorders>
          </w:tcPr>
          <w:p w14:paraId="7AF87F46" w14:textId="4F5427C1" w:rsidR="00BC10F1" w:rsidRPr="00E71741" w:rsidRDefault="00BD68EF">
            <w:pPr>
              <w:jc w:val="left"/>
              <w:rPr>
                <w:noProof/>
              </w:rPr>
            </w:pPr>
            <w:r w:rsidRPr="00E71741">
              <w:rPr>
                <w:noProof/>
              </w:rPr>
              <w:t>Taille financière globale estimée de l’EDPCI</w:t>
            </w:r>
          </w:p>
        </w:tc>
        <w:tc>
          <w:tcPr>
            <w:tcW w:w="6771" w:type="dxa"/>
            <w:tcBorders>
              <w:right w:val="nil"/>
            </w:tcBorders>
          </w:tcPr>
          <w:p w14:paraId="55E25D3C" w14:textId="77777777" w:rsidR="00BC10F1" w:rsidRPr="00E71741" w:rsidRDefault="003F4319">
            <w:pPr>
              <w:rPr>
                <w:noProof/>
              </w:rPr>
            </w:pPr>
            <w:r w:rsidRPr="00E71741">
              <w:rPr>
                <w:noProof/>
              </w:rPr>
              <w:t>Jusqu’à 24 milliards d’EUR d’ici à 2034</w:t>
            </w:r>
          </w:p>
          <w:p w14:paraId="1FCCE59D" w14:textId="77777777" w:rsidR="00444001" w:rsidRPr="00E71741" w:rsidRDefault="00444001">
            <w:pPr>
              <w:rPr>
                <w:noProof/>
              </w:rPr>
            </w:pPr>
          </w:p>
          <w:p w14:paraId="2A37922C" w14:textId="545D932C" w:rsidR="00444001" w:rsidRPr="00E71741" w:rsidRDefault="00444001">
            <w:pPr>
              <w:rPr>
                <w:noProof/>
              </w:rPr>
            </w:pPr>
          </w:p>
        </w:tc>
      </w:tr>
    </w:tbl>
    <w:p w14:paraId="4DCEAFD3" w14:textId="77777777" w:rsidR="005907DE" w:rsidRPr="00E71741" w:rsidRDefault="005907DE" w:rsidP="004D7E42">
      <w:pPr>
        <w:tabs>
          <w:tab w:val="left" w:pos="2266"/>
        </w:tabs>
        <w:rPr>
          <w:noProof/>
        </w:rPr>
      </w:pPr>
    </w:p>
    <w:p w14:paraId="53D6AF57" w14:textId="77777777" w:rsidR="005907DE" w:rsidRPr="00E71741" w:rsidRDefault="005907DE" w:rsidP="004D7E42">
      <w:pPr>
        <w:tabs>
          <w:tab w:val="left" w:pos="2266"/>
        </w:tabs>
        <w:rPr>
          <w:noProof/>
        </w:rPr>
      </w:pPr>
    </w:p>
    <w:tbl>
      <w:tblPr>
        <w:tblStyle w:val="TableGrid"/>
        <w:tblW w:w="0" w:type="auto"/>
        <w:tblLook w:val="04A0" w:firstRow="1" w:lastRow="0" w:firstColumn="1" w:lastColumn="0" w:noHBand="0" w:noVBand="1"/>
      </w:tblPr>
      <w:tblGrid>
        <w:gridCol w:w="2518"/>
        <w:gridCol w:w="6771"/>
      </w:tblGrid>
      <w:tr w:rsidR="005907DE" w:rsidRPr="00E71741" w14:paraId="34CD936C" w14:textId="77777777" w:rsidTr="00B555DE">
        <w:tc>
          <w:tcPr>
            <w:tcW w:w="9289" w:type="dxa"/>
            <w:gridSpan w:val="2"/>
            <w:tcBorders>
              <w:left w:val="single" w:sz="4" w:space="0" w:color="auto"/>
            </w:tcBorders>
            <w:shd w:val="clear" w:color="auto" w:fill="F2F2F2" w:themeFill="background1" w:themeFillShade="F2"/>
          </w:tcPr>
          <w:p w14:paraId="6E11862D" w14:textId="77777777" w:rsidR="005907DE" w:rsidRPr="00E71741" w:rsidRDefault="005907DE" w:rsidP="00B555DE">
            <w:pPr>
              <w:spacing w:before="0"/>
              <w:jc w:val="center"/>
              <w:rPr>
                <w:b/>
                <w:bCs/>
                <w:noProof/>
              </w:rPr>
            </w:pPr>
            <w:r w:rsidRPr="00E71741">
              <w:rPr>
                <w:noProof/>
              </w:rPr>
              <w:br w:type="page"/>
            </w:r>
            <w:r w:rsidRPr="00E71741">
              <w:rPr>
                <w:b/>
                <w:noProof/>
              </w:rPr>
              <w:t>Défense aérienne et antimissile intégrée fédérée de l’UE, y compris la détection lointaine</w:t>
            </w:r>
          </w:p>
          <w:p w14:paraId="315569EE" w14:textId="77777777" w:rsidR="005907DE" w:rsidRPr="00E71741" w:rsidRDefault="005907DE" w:rsidP="00B555DE">
            <w:pPr>
              <w:spacing w:before="0"/>
              <w:jc w:val="center"/>
              <w:rPr>
                <w:b/>
                <w:bCs/>
                <w:noProof/>
              </w:rPr>
            </w:pPr>
          </w:p>
        </w:tc>
      </w:tr>
      <w:tr w:rsidR="005907DE" w:rsidRPr="00E71741" w14:paraId="71F5DFEF" w14:textId="77777777" w:rsidTr="00B555DE">
        <w:tc>
          <w:tcPr>
            <w:tcW w:w="2518" w:type="dxa"/>
            <w:tcBorders>
              <w:left w:val="nil"/>
            </w:tcBorders>
          </w:tcPr>
          <w:p w14:paraId="4D9D6668" w14:textId="77777777" w:rsidR="005907DE" w:rsidRPr="00E71741" w:rsidRDefault="005907DE" w:rsidP="00B555DE">
            <w:pPr>
              <w:jc w:val="left"/>
              <w:rPr>
                <w:noProof/>
              </w:rPr>
            </w:pPr>
            <w:r w:rsidRPr="00E71741">
              <w:rPr>
                <w:noProof/>
              </w:rPr>
              <w:t xml:space="preserve">Objectifs et caractéristiques de l’EDPCI </w:t>
            </w:r>
          </w:p>
        </w:tc>
        <w:tc>
          <w:tcPr>
            <w:tcW w:w="6771" w:type="dxa"/>
            <w:tcBorders>
              <w:right w:val="nil"/>
            </w:tcBorders>
          </w:tcPr>
          <w:p w14:paraId="2A6E8B42" w14:textId="572D0DF0" w:rsidR="005907DE" w:rsidRPr="00E71741" w:rsidRDefault="00053440" w:rsidP="00B555DE">
            <w:pPr>
              <w:rPr>
                <w:noProof/>
              </w:rPr>
            </w:pPr>
            <w:r w:rsidRPr="00E71741">
              <w:rPr>
                <w:noProof/>
              </w:rPr>
              <w:t xml:space="preserve">L’UE-DAAIF vise à doter les États membres d’une défense aérienne et antimissile intégrée, collective et efficace, (IAMD), comprenant notamment des informations fournies par une détection lointaine et des considérations relatives au commandement et au contrôle. Ce projet vise à permettre aux pays de disposer, en temps utile, des capacités pertinentes pour l’IAMD, avec le niveau de qualité requis et en quantité suffisante, et à faire en sorte que diverses solutions nationales puissent être combinées efficacement et employées conjointement, y compris des capteurs, des effecteurs et des environnements de commandement et de contrôle. Plus précisément, le projet vise à mettre en place une architecture commune globale au niveau des entreprises et des capacités, à accroître la capacité de production industrielle des systèmes existants et à procéder à l’acquisition conjointe de produits de défense. </w:t>
            </w:r>
          </w:p>
          <w:p w14:paraId="6DE136E5" w14:textId="77777777" w:rsidR="005907DE" w:rsidRPr="00E71741" w:rsidRDefault="005907DE" w:rsidP="00B555DE">
            <w:pPr>
              <w:rPr>
                <w:noProof/>
              </w:rPr>
            </w:pPr>
            <w:r w:rsidRPr="00E71741">
              <w:rPr>
                <w:noProof/>
              </w:rPr>
              <w:t>Il se concentrera également sur le développement à l’appui des technologies critiques qui sous-tendent l’IAMD, ainsi que sur l’utilisation d’infrastructures et d’environnements de certification permettant les essais, la validation et la formation en vue de la future fédération opérationnelle. En outre, l’architecture vise le plein respect des priorités, des besoins en capacités et des exigences en matière d’interopérabilité définis dans les cadres de l’OTAN.</w:t>
            </w:r>
          </w:p>
          <w:p w14:paraId="7403D9D0" w14:textId="553AA65C" w:rsidR="005907DE" w:rsidRPr="00E71741" w:rsidRDefault="005907DE" w:rsidP="00B555DE">
            <w:pPr>
              <w:rPr>
                <w:noProof/>
              </w:rPr>
            </w:pPr>
            <w:r w:rsidRPr="00E71741">
              <w:rPr>
                <w:noProof/>
              </w:rPr>
              <w:t>Pour les raisons exposées ci-après, le projet remplit les critères énoncés à l’article 35, paragraphe 2, du règlement (UE) 2025/2643.</w:t>
            </w:r>
          </w:p>
          <w:p w14:paraId="52C7ECAF" w14:textId="77777777" w:rsidR="005907DE" w:rsidRPr="00E71741" w:rsidRDefault="005907DE" w:rsidP="00B555DE">
            <w:pPr>
              <w:pStyle w:val="Point0number"/>
              <w:numPr>
                <w:ilvl w:val="0"/>
                <w:numId w:val="0"/>
              </w:numPr>
              <w:rPr>
                <w:noProof/>
              </w:rPr>
            </w:pPr>
            <w:r w:rsidRPr="00E71741">
              <w:rPr>
                <w:noProof/>
              </w:rPr>
              <w:t xml:space="preserve">La proposition porte sur le renforcement de la compétitivité et de la capacité d’innovation de la BITDE et soutient la mise en place et le développement de la coopération entre les entreprises européennes. Elle contribuera à la création d’un système fédéré regroupant différents systèmes qui dotera les États membres de capacités militaires critiques, à savoir une défense aérienne et antimissile intégrée (IAMD) et collective. Elle tient compte des initiatives de la CSP et de l’AED ainsi que des activités pertinentes de l’OTAN. </w:t>
            </w:r>
          </w:p>
          <w:p w14:paraId="5ACFD39C" w14:textId="668F5B87" w:rsidR="005907DE" w:rsidRPr="00E71741" w:rsidRDefault="005907DE" w:rsidP="00B555DE">
            <w:pPr>
              <w:pStyle w:val="Point0number"/>
              <w:numPr>
                <w:ilvl w:val="0"/>
                <w:numId w:val="0"/>
              </w:numPr>
              <w:rPr>
                <w:noProof/>
              </w:rPr>
            </w:pPr>
            <w:r w:rsidRPr="00E71741">
              <w:rPr>
                <w:noProof/>
              </w:rPr>
              <w:t xml:space="preserve">Le projet démontre la participation d’un grand nombre de pays (16). Il contribue directement au renforcement de la résilience collective de l’Union grâce au renforcement de l’IAMD, au renforcement de la protection des infrastructures critiques, à l’amélioration de la coordination opérationnelle des forces armées et au renforcement des capacités industrielles dans les secteurs critiques liés à la défense aérienne et antimissile. Le projet est d’une portée et d’une taille financière globale estimée importantes. </w:t>
            </w:r>
          </w:p>
        </w:tc>
      </w:tr>
      <w:tr w:rsidR="005907DE" w:rsidRPr="00E71741" w14:paraId="65E246C5" w14:textId="77777777" w:rsidTr="00B555DE">
        <w:tc>
          <w:tcPr>
            <w:tcW w:w="2518" w:type="dxa"/>
            <w:tcBorders>
              <w:left w:val="nil"/>
            </w:tcBorders>
          </w:tcPr>
          <w:p w14:paraId="009CD2FB" w14:textId="77777777" w:rsidR="005907DE" w:rsidRPr="00E71741" w:rsidRDefault="005907DE" w:rsidP="00B555DE">
            <w:pPr>
              <w:jc w:val="left"/>
              <w:rPr>
                <w:noProof/>
              </w:rPr>
            </w:pPr>
            <w:r w:rsidRPr="00E71741">
              <w:rPr>
                <w:noProof/>
              </w:rPr>
              <w:t>Liste des pays participant à l’EDPCI à la date d’adoption de l’acte d’exécution</w:t>
            </w:r>
          </w:p>
        </w:tc>
        <w:tc>
          <w:tcPr>
            <w:tcW w:w="6771" w:type="dxa"/>
            <w:tcBorders>
              <w:right w:val="nil"/>
            </w:tcBorders>
          </w:tcPr>
          <w:p w14:paraId="1B56A41A" w14:textId="77777777" w:rsidR="005907DE" w:rsidRPr="00E71741" w:rsidRDefault="005907DE" w:rsidP="00B555DE">
            <w:pPr>
              <w:rPr>
                <w:noProof/>
              </w:rPr>
            </w:pPr>
            <w:r w:rsidRPr="00E71741">
              <w:rPr>
                <w:noProof/>
              </w:rPr>
              <w:t>Tchéquie, Danemark, Allemagne, Grèce, Espagne, France, Italie, Chypre, Pays-Bas, Pologne, Portugal, Roumanie, Finlande, Suède, Norvège, Ukraine.</w:t>
            </w:r>
          </w:p>
        </w:tc>
      </w:tr>
      <w:tr w:rsidR="005907DE" w:rsidRPr="00E71741" w14:paraId="2E468051" w14:textId="77777777" w:rsidTr="00B555DE">
        <w:tc>
          <w:tcPr>
            <w:tcW w:w="2518" w:type="dxa"/>
            <w:tcBorders>
              <w:left w:val="nil"/>
            </w:tcBorders>
          </w:tcPr>
          <w:p w14:paraId="34C1EA4B" w14:textId="77777777" w:rsidR="005907DE" w:rsidRPr="00E71741" w:rsidRDefault="005907DE" w:rsidP="00B555DE">
            <w:pPr>
              <w:jc w:val="left"/>
              <w:rPr>
                <w:noProof/>
              </w:rPr>
            </w:pPr>
            <w:r w:rsidRPr="00E71741">
              <w:rPr>
                <w:noProof/>
              </w:rPr>
              <w:t>Participation de la Commission européenne</w:t>
            </w:r>
          </w:p>
        </w:tc>
        <w:tc>
          <w:tcPr>
            <w:tcW w:w="6771" w:type="dxa"/>
            <w:tcBorders>
              <w:right w:val="nil"/>
            </w:tcBorders>
          </w:tcPr>
          <w:p w14:paraId="0E45FEA4" w14:textId="77777777" w:rsidR="005907DE" w:rsidRPr="00E71741" w:rsidRDefault="005907DE" w:rsidP="00B555DE">
            <w:pPr>
              <w:rPr>
                <w:noProof/>
              </w:rPr>
            </w:pPr>
            <w:r w:rsidRPr="00E71741">
              <w:rPr>
                <w:noProof/>
              </w:rPr>
              <w:t>Oui</w:t>
            </w:r>
          </w:p>
        </w:tc>
      </w:tr>
      <w:tr w:rsidR="005907DE" w:rsidRPr="00E71741" w14:paraId="159DAA68" w14:textId="77777777" w:rsidTr="00B555DE">
        <w:tc>
          <w:tcPr>
            <w:tcW w:w="2518" w:type="dxa"/>
            <w:tcBorders>
              <w:left w:val="nil"/>
            </w:tcBorders>
          </w:tcPr>
          <w:p w14:paraId="61B579BE" w14:textId="77777777" w:rsidR="005907DE" w:rsidRPr="00E71741" w:rsidRDefault="005907DE" w:rsidP="00B555DE">
            <w:pPr>
              <w:jc w:val="left"/>
              <w:rPr>
                <w:noProof/>
              </w:rPr>
            </w:pPr>
            <w:r w:rsidRPr="00E71741">
              <w:rPr>
                <w:noProof/>
              </w:rPr>
              <w:t>Participation du HR/de l’AED en tant qu’observateurs</w:t>
            </w:r>
          </w:p>
        </w:tc>
        <w:tc>
          <w:tcPr>
            <w:tcW w:w="6771" w:type="dxa"/>
            <w:tcBorders>
              <w:right w:val="nil"/>
            </w:tcBorders>
          </w:tcPr>
          <w:p w14:paraId="0A0C5175" w14:textId="77777777" w:rsidR="005907DE" w:rsidRPr="00E71741" w:rsidRDefault="005907DE" w:rsidP="00B555DE">
            <w:pPr>
              <w:rPr>
                <w:noProof/>
              </w:rPr>
            </w:pPr>
            <w:r w:rsidRPr="00E71741">
              <w:rPr>
                <w:noProof/>
              </w:rPr>
              <w:t>Oui</w:t>
            </w:r>
          </w:p>
        </w:tc>
      </w:tr>
      <w:tr w:rsidR="005907DE" w:rsidRPr="00E71741" w14:paraId="37D0945B" w14:textId="77777777" w:rsidTr="00B555DE">
        <w:tc>
          <w:tcPr>
            <w:tcW w:w="2518" w:type="dxa"/>
            <w:tcBorders>
              <w:left w:val="nil"/>
            </w:tcBorders>
          </w:tcPr>
          <w:p w14:paraId="5C9F1466" w14:textId="77777777" w:rsidR="005907DE" w:rsidRPr="00E71741" w:rsidRDefault="005907DE" w:rsidP="00B555DE">
            <w:pPr>
              <w:jc w:val="left"/>
              <w:rPr>
                <w:noProof/>
              </w:rPr>
            </w:pPr>
            <w:r w:rsidRPr="00E71741">
              <w:rPr>
                <w:noProof/>
              </w:rPr>
              <w:t>Taille financière globale estimée de l’EDPCI</w:t>
            </w:r>
          </w:p>
        </w:tc>
        <w:tc>
          <w:tcPr>
            <w:tcW w:w="6771" w:type="dxa"/>
            <w:tcBorders>
              <w:right w:val="nil"/>
            </w:tcBorders>
          </w:tcPr>
          <w:p w14:paraId="5DDE64DF" w14:textId="77777777" w:rsidR="005907DE" w:rsidRPr="00E71741" w:rsidRDefault="005907DE" w:rsidP="00B555DE">
            <w:pPr>
              <w:rPr>
                <w:noProof/>
              </w:rPr>
            </w:pPr>
            <w:r w:rsidRPr="00E71741">
              <w:rPr>
                <w:noProof/>
              </w:rPr>
              <w:t>55 à 80 milliards d’EUR d’ici 2040</w:t>
            </w:r>
          </w:p>
        </w:tc>
      </w:tr>
    </w:tbl>
    <w:p w14:paraId="0AAACCFD" w14:textId="0D3C0D4B" w:rsidR="00E85B42" w:rsidRPr="00E71741" w:rsidRDefault="00BE286C" w:rsidP="004D7E42">
      <w:pPr>
        <w:tabs>
          <w:tab w:val="left" w:pos="2266"/>
        </w:tabs>
        <w:rPr>
          <w:noProof/>
        </w:rPr>
      </w:pPr>
      <w:r w:rsidRPr="00E71741">
        <w:rPr>
          <w:noProof/>
        </w:rPr>
        <w:tab/>
      </w:r>
    </w:p>
    <w:tbl>
      <w:tblPr>
        <w:tblStyle w:val="TableGrid"/>
        <w:tblW w:w="0" w:type="auto"/>
        <w:tblLook w:val="04A0" w:firstRow="1" w:lastRow="0" w:firstColumn="1" w:lastColumn="0" w:noHBand="0" w:noVBand="1"/>
      </w:tblPr>
      <w:tblGrid>
        <w:gridCol w:w="2518"/>
        <w:gridCol w:w="6771"/>
      </w:tblGrid>
      <w:tr w:rsidR="003D438F" w:rsidRPr="00E71741" w14:paraId="335CC734" w14:textId="77777777">
        <w:tc>
          <w:tcPr>
            <w:tcW w:w="9289" w:type="dxa"/>
            <w:gridSpan w:val="2"/>
            <w:tcBorders>
              <w:left w:val="single" w:sz="4" w:space="0" w:color="auto"/>
            </w:tcBorders>
            <w:shd w:val="clear" w:color="auto" w:fill="F2F2F2" w:themeFill="background1" w:themeFillShade="F2"/>
          </w:tcPr>
          <w:p w14:paraId="77F955C8" w14:textId="282DC6D3" w:rsidR="00E85B42" w:rsidRPr="00E71741" w:rsidRDefault="003D438F" w:rsidP="004D7E42">
            <w:pPr>
              <w:spacing w:before="0"/>
              <w:jc w:val="center"/>
              <w:rPr>
                <w:b/>
                <w:bCs/>
                <w:noProof/>
              </w:rPr>
            </w:pPr>
            <w:r w:rsidRPr="00E71741">
              <w:rPr>
                <w:b/>
                <w:noProof/>
              </w:rPr>
              <w:t>Surveillance du flanc oriental</w:t>
            </w:r>
          </w:p>
        </w:tc>
      </w:tr>
      <w:tr w:rsidR="003D438F" w:rsidRPr="00E71741" w14:paraId="68D82E30" w14:textId="77777777" w:rsidTr="00CE6551">
        <w:tc>
          <w:tcPr>
            <w:tcW w:w="2518" w:type="dxa"/>
            <w:tcBorders>
              <w:left w:val="nil"/>
            </w:tcBorders>
          </w:tcPr>
          <w:p w14:paraId="0952DEF3" w14:textId="77777777" w:rsidR="003D438F" w:rsidRPr="00E71741" w:rsidRDefault="003D438F">
            <w:pPr>
              <w:jc w:val="left"/>
              <w:rPr>
                <w:noProof/>
              </w:rPr>
            </w:pPr>
            <w:r w:rsidRPr="00E71741">
              <w:rPr>
                <w:noProof/>
              </w:rPr>
              <w:t>Objectifs et caractéristiques de l’EDPCI</w:t>
            </w:r>
          </w:p>
        </w:tc>
        <w:tc>
          <w:tcPr>
            <w:tcW w:w="6771" w:type="dxa"/>
            <w:tcBorders>
              <w:right w:val="nil"/>
            </w:tcBorders>
          </w:tcPr>
          <w:p w14:paraId="020BF6CB" w14:textId="443D9E26" w:rsidR="005B6F41" w:rsidRPr="00E71741" w:rsidRDefault="00053440">
            <w:pPr>
              <w:rPr>
                <w:noProof/>
              </w:rPr>
            </w:pPr>
            <w:r w:rsidRPr="00E71741">
              <w:rPr>
                <w:noProof/>
              </w:rPr>
              <w:t xml:space="preserve">La surveillance du flanc oriental vise à fournir un effort global dans plusieurs domaines afin de renforcer la sécurité de la frontière orientale de l’Union, d’assurer la protection de l’ensemble du territoire de cette dernière et, partant, de renforcer sa préparation en matière de défense. </w:t>
            </w:r>
          </w:p>
          <w:p w14:paraId="0A5D09E2" w14:textId="02D55C6A" w:rsidR="003D438F" w:rsidRPr="00E71741" w:rsidRDefault="007A0463">
            <w:pPr>
              <w:rPr>
                <w:noProof/>
              </w:rPr>
            </w:pPr>
            <w:r w:rsidRPr="00E71741">
              <w:rPr>
                <w:noProof/>
              </w:rPr>
              <w:t xml:space="preserve">Les activités à mener dans un premier temps cibleront six piliers capacitaires: le combat au sol, la défense antidrones, C4ISTAR, la contre-mobilité, la mobilité militaire et les systèmes de défense aérienne et antimissile. Le projet prévoit l’acquisition conjointe de produits, de services et d’infrastructures à l’appui de ces capacités, ainsi que l’expansion des capacités et installations de production pertinentes. Les essais, la validation et la formation des plateformes opérationnelles pertinentes à l’appui de l’initiative de SFO sont également attendus. Le projet prévoit des actions immédiates à court terme ainsi que des développements à moyen terme. </w:t>
            </w:r>
          </w:p>
          <w:p w14:paraId="61809868" w14:textId="46605DE6" w:rsidR="003F14CD" w:rsidRPr="00E71741" w:rsidRDefault="003F14CD" w:rsidP="003F14CD">
            <w:pPr>
              <w:rPr>
                <w:noProof/>
              </w:rPr>
            </w:pPr>
            <w:r w:rsidRPr="00E71741">
              <w:rPr>
                <w:noProof/>
              </w:rPr>
              <w:t>Pour les raisons exposées ci-après, le projet remplit les critères énoncés à l’article 35, paragraphe 2, du règlement (UE) 2025/2643.</w:t>
            </w:r>
          </w:p>
          <w:p w14:paraId="32E166AC" w14:textId="77777777" w:rsidR="004D7E42" w:rsidRPr="00E71741" w:rsidRDefault="004D7E42" w:rsidP="004D7E42">
            <w:pPr>
              <w:pStyle w:val="Point0number"/>
              <w:numPr>
                <w:ilvl w:val="0"/>
                <w:numId w:val="0"/>
              </w:numPr>
              <w:rPr>
                <w:noProof/>
              </w:rPr>
            </w:pPr>
            <w:r w:rsidRPr="00E71741">
              <w:rPr>
                <w:noProof/>
              </w:rPr>
              <w:t xml:space="preserve">La proposition est axée sur le renforcement de la compétitivité et de la capacité d’innovation de la BITDE, l’intégration du marché, l’intégration des PME et des entreprises à moyenne capitalisation par la diversification de la chaîne d’approvisionnement ainsi que la réduction des dépendances stratégiques. Elle porte sur des domaines de capacités critiques, tels que le combat au sol, le C4ISTAR, la défense aérienne et antimissile, les drones et systèmes antidrones ainsi que la mobilité militaire. Elle tient compte des initiatives de la CSP et de l’AED; elle s’appuie sur les activités pertinentes de l’OTAN et y contribue. </w:t>
            </w:r>
          </w:p>
          <w:p w14:paraId="4B3FC793" w14:textId="5D430412" w:rsidR="00E85B42" w:rsidRPr="00E71741" w:rsidRDefault="004D7E42" w:rsidP="004D7E42">
            <w:pPr>
              <w:pStyle w:val="Point0number"/>
              <w:numPr>
                <w:ilvl w:val="0"/>
                <w:numId w:val="0"/>
              </w:numPr>
              <w:rPr>
                <w:noProof/>
              </w:rPr>
            </w:pPr>
            <w:r w:rsidRPr="00E71741">
              <w:rPr>
                <w:noProof/>
              </w:rPr>
              <w:t xml:space="preserve">Le projet démontre la participation d’un grand nombre de pays (15). La proposition est structurée comme une initiative multi-domaines de développement des capacités et, bien qu’elle soit géographiquement axée sur la frontière orientale de l’Union, elle bénéficie à l’ensemble des États membres face à des menaces concrètes pour la sécurité et reste ouverte à l’extension de son périmètre géographique d’intérêt. Le projet est d’une portée et d’une taille financière globale estimée importantes, et affiche une ambition à long terme. </w:t>
            </w:r>
          </w:p>
        </w:tc>
      </w:tr>
      <w:tr w:rsidR="003D438F" w:rsidRPr="00E71741" w14:paraId="79D0AE14" w14:textId="77777777" w:rsidTr="00CE6551">
        <w:tc>
          <w:tcPr>
            <w:tcW w:w="2518" w:type="dxa"/>
            <w:tcBorders>
              <w:left w:val="nil"/>
            </w:tcBorders>
          </w:tcPr>
          <w:p w14:paraId="4870D4D5" w14:textId="6DCEE490" w:rsidR="003D438F" w:rsidRPr="00E71741" w:rsidRDefault="002E60BF">
            <w:pPr>
              <w:jc w:val="left"/>
              <w:rPr>
                <w:noProof/>
              </w:rPr>
            </w:pPr>
            <w:r w:rsidRPr="00E71741">
              <w:rPr>
                <w:noProof/>
              </w:rPr>
              <w:t>Liste des pays participant à l’EDPCI à la date d’adoption de l’acte d’exécution</w:t>
            </w:r>
          </w:p>
        </w:tc>
        <w:tc>
          <w:tcPr>
            <w:tcW w:w="6771" w:type="dxa"/>
            <w:tcBorders>
              <w:right w:val="nil"/>
            </w:tcBorders>
          </w:tcPr>
          <w:p w14:paraId="2BA1D0B6" w14:textId="200E8BEC" w:rsidR="003D438F" w:rsidRPr="00E71741" w:rsidRDefault="003D438F">
            <w:pPr>
              <w:rPr>
                <w:noProof/>
              </w:rPr>
            </w:pPr>
            <w:r w:rsidRPr="00E71741">
              <w:rPr>
                <w:noProof/>
              </w:rPr>
              <w:t xml:space="preserve">Belgique, Tchéquie, Allemagne, Estonie, Chypre, Lettonie, Lituanie, Pays-Bas, Pologne, Roumanie, Slovaquie, Finlande, Suède, Norvège, Ukraine. </w:t>
            </w:r>
          </w:p>
        </w:tc>
      </w:tr>
      <w:tr w:rsidR="003D438F" w:rsidRPr="00E71741" w14:paraId="71361E2F" w14:textId="77777777" w:rsidTr="00CE6551">
        <w:tc>
          <w:tcPr>
            <w:tcW w:w="2518" w:type="dxa"/>
            <w:tcBorders>
              <w:left w:val="nil"/>
            </w:tcBorders>
          </w:tcPr>
          <w:p w14:paraId="55B33EE8" w14:textId="77777777" w:rsidR="003D438F" w:rsidRPr="00E71741" w:rsidRDefault="003D438F">
            <w:pPr>
              <w:jc w:val="left"/>
              <w:rPr>
                <w:noProof/>
              </w:rPr>
            </w:pPr>
            <w:r w:rsidRPr="00E71741">
              <w:rPr>
                <w:noProof/>
              </w:rPr>
              <w:t>Participation de la Commission européenne</w:t>
            </w:r>
          </w:p>
        </w:tc>
        <w:tc>
          <w:tcPr>
            <w:tcW w:w="6771" w:type="dxa"/>
            <w:tcBorders>
              <w:right w:val="nil"/>
            </w:tcBorders>
          </w:tcPr>
          <w:p w14:paraId="58813E0B" w14:textId="77777777" w:rsidR="003D438F" w:rsidRPr="00E71741" w:rsidRDefault="003D438F">
            <w:pPr>
              <w:rPr>
                <w:noProof/>
              </w:rPr>
            </w:pPr>
            <w:r w:rsidRPr="00E71741">
              <w:rPr>
                <w:noProof/>
              </w:rPr>
              <w:t>Oui</w:t>
            </w:r>
          </w:p>
        </w:tc>
      </w:tr>
      <w:tr w:rsidR="003D438F" w:rsidRPr="00E71741" w14:paraId="48113A8D" w14:textId="77777777" w:rsidTr="00CE6551">
        <w:tc>
          <w:tcPr>
            <w:tcW w:w="2518" w:type="dxa"/>
            <w:tcBorders>
              <w:left w:val="nil"/>
            </w:tcBorders>
          </w:tcPr>
          <w:p w14:paraId="4430EA62" w14:textId="77777777" w:rsidR="003D438F" w:rsidRPr="00E71741" w:rsidRDefault="003D438F">
            <w:pPr>
              <w:jc w:val="left"/>
              <w:rPr>
                <w:noProof/>
              </w:rPr>
            </w:pPr>
            <w:r w:rsidRPr="00E71741">
              <w:rPr>
                <w:noProof/>
              </w:rPr>
              <w:t>Participation du HR/de l’AED en tant qu’observateurs</w:t>
            </w:r>
          </w:p>
        </w:tc>
        <w:tc>
          <w:tcPr>
            <w:tcW w:w="6771" w:type="dxa"/>
            <w:tcBorders>
              <w:right w:val="nil"/>
            </w:tcBorders>
          </w:tcPr>
          <w:p w14:paraId="239C8E71" w14:textId="77777777" w:rsidR="003D438F" w:rsidRPr="00E71741" w:rsidRDefault="003D438F">
            <w:pPr>
              <w:rPr>
                <w:noProof/>
              </w:rPr>
            </w:pPr>
            <w:r w:rsidRPr="00E71741">
              <w:rPr>
                <w:noProof/>
              </w:rPr>
              <w:t>Oui</w:t>
            </w:r>
          </w:p>
        </w:tc>
      </w:tr>
      <w:tr w:rsidR="003D438F" w:rsidRPr="00E71741" w14:paraId="76FE43B5" w14:textId="77777777" w:rsidTr="00CE6551">
        <w:tc>
          <w:tcPr>
            <w:tcW w:w="2518" w:type="dxa"/>
            <w:tcBorders>
              <w:left w:val="nil"/>
            </w:tcBorders>
          </w:tcPr>
          <w:p w14:paraId="58000139" w14:textId="1E92F81C" w:rsidR="003D438F" w:rsidRPr="00E71741" w:rsidRDefault="00BD68EF">
            <w:pPr>
              <w:jc w:val="left"/>
              <w:rPr>
                <w:noProof/>
              </w:rPr>
            </w:pPr>
            <w:r w:rsidRPr="00E71741">
              <w:rPr>
                <w:noProof/>
              </w:rPr>
              <w:t>Taille financière globale estimée de l’EDPCI</w:t>
            </w:r>
          </w:p>
        </w:tc>
        <w:tc>
          <w:tcPr>
            <w:tcW w:w="6771" w:type="dxa"/>
            <w:tcBorders>
              <w:right w:val="nil"/>
            </w:tcBorders>
          </w:tcPr>
          <w:p w14:paraId="133BC4EC" w14:textId="77777777" w:rsidR="003D438F" w:rsidRPr="00E71741" w:rsidRDefault="003D438F">
            <w:pPr>
              <w:rPr>
                <w:noProof/>
              </w:rPr>
            </w:pPr>
            <w:r w:rsidRPr="00E71741">
              <w:rPr>
                <w:noProof/>
              </w:rPr>
              <w:t>60 à 100 milliards d’EUR d’ici 2036</w:t>
            </w:r>
          </w:p>
        </w:tc>
      </w:tr>
    </w:tbl>
    <w:p w14:paraId="444A903A" w14:textId="77777777" w:rsidR="003D438F" w:rsidRPr="00E71741" w:rsidRDefault="003D438F" w:rsidP="00616AD6">
      <w:pPr>
        <w:rPr>
          <w:noProof/>
        </w:rPr>
      </w:pPr>
    </w:p>
    <w:p w14:paraId="4014C5E9" w14:textId="77777777" w:rsidR="003D438F" w:rsidRPr="00E71741" w:rsidRDefault="003D438F" w:rsidP="00616AD6">
      <w:pPr>
        <w:rPr>
          <w:noProof/>
        </w:rPr>
      </w:pPr>
    </w:p>
    <w:p w14:paraId="78AAE158" w14:textId="2C338970" w:rsidR="00616AD6" w:rsidRPr="00E71741" w:rsidRDefault="00616AD6" w:rsidP="00172732">
      <w:pPr>
        <w:rPr>
          <w:noProof/>
        </w:rPr>
      </w:pPr>
    </w:p>
    <w:sectPr w:rsidR="00616AD6" w:rsidRPr="00E71741" w:rsidSect="00484B0E">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E9C6F" w14:textId="77777777" w:rsidR="002778F9" w:rsidRDefault="002778F9" w:rsidP="00616AD6">
      <w:pPr>
        <w:spacing w:before="0" w:after="0"/>
      </w:pPr>
      <w:r>
        <w:separator/>
      </w:r>
    </w:p>
  </w:endnote>
  <w:endnote w:type="continuationSeparator" w:id="0">
    <w:p w14:paraId="52C17FAF" w14:textId="77777777" w:rsidR="002778F9" w:rsidRDefault="002778F9" w:rsidP="00616AD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4F8B9" w14:textId="06477125" w:rsidR="00484B0E" w:rsidRPr="00484B0E" w:rsidRDefault="00484B0E" w:rsidP="00484B0E">
    <w:pPr>
      <w:pStyle w:val="Footer"/>
      <w:rPr>
        <w:rFonts w:ascii="Arial" w:hAnsi="Arial" w:cs="Arial"/>
        <w:b/>
        <w:sz w:val="48"/>
      </w:rPr>
    </w:pPr>
    <w:r w:rsidRPr="00484B0E">
      <w:rPr>
        <w:rFonts w:ascii="Arial" w:hAnsi="Arial" w:cs="Arial"/>
        <w:b/>
        <w:sz w:val="48"/>
      </w:rPr>
      <w:t>FR</w:t>
    </w:r>
    <w:r w:rsidRPr="00484B0E">
      <w:rPr>
        <w:rFonts w:ascii="Arial" w:hAnsi="Arial" w:cs="Arial"/>
        <w:b/>
        <w:sz w:val="48"/>
      </w:rPr>
      <w:tab/>
    </w:r>
    <w:r w:rsidRPr="00484B0E">
      <w:rPr>
        <w:rFonts w:ascii="Arial" w:hAnsi="Arial" w:cs="Arial"/>
        <w:b/>
        <w:sz w:val="48"/>
      </w:rPr>
      <w:tab/>
    </w:r>
    <w:r w:rsidRPr="00484B0E">
      <w:tab/>
    </w:r>
    <w:r w:rsidRPr="00484B0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56B5F" w14:textId="07B44266" w:rsidR="00484B0E" w:rsidRPr="00484B0E" w:rsidRDefault="00484B0E" w:rsidP="00484B0E">
    <w:pPr>
      <w:pStyle w:val="Footer"/>
      <w:rPr>
        <w:rFonts w:ascii="Arial" w:hAnsi="Arial" w:cs="Arial"/>
        <w:b/>
        <w:sz w:val="48"/>
      </w:rPr>
    </w:pPr>
    <w:r w:rsidRPr="00484B0E">
      <w:rPr>
        <w:rFonts w:ascii="Arial" w:hAnsi="Arial" w:cs="Arial"/>
        <w:b/>
        <w:sz w:val="48"/>
      </w:rPr>
      <w:t>FR</w:t>
    </w:r>
    <w:r w:rsidRPr="00484B0E">
      <w:rPr>
        <w:rFonts w:ascii="Arial" w:hAnsi="Arial" w:cs="Arial"/>
        <w:b/>
        <w:sz w:val="48"/>
      </w:rPr>
      <w:tab/>
    </w:r>
    <w:r w:rsidRPr="00484B0E">
      <w:rPr>
        <w:rFonts w:ascii="Arial" w:hAnsi="Arial" w:cs="Arial"/>
        <w:b/>
        <w:sz w:val="48"/>
      </w:rPr>
      <w:tab/>
    </w:r>
    <w:r w:rsidRPr="00484B0E">
      <w:tab/>
    </w:r>
    <w:r w:rsidRPr="00484B0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F738F" w14:textId="77777777" w:rsidR="00484B0E" w:rsidRPr="00484B0E" w:rsidRDefault="00484B0E" w:rsidP="00484B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977F1" w14:textId="77777777" w:rsidR="00484B0E" w:rsidRDefault="00484B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1EADB" w14:textId="250AE3AF" w:rsidR="00484B0E" w:rsidRPr="00484B0E" w:rsidRDefault="00484B0E" w:rsidP="00484B0E">
    <w:pPr>
      <w:pStyle w:val="Footer"/>
      <w:rPr>
        <w:rFonts w:ascii="Arial" w:hAnsi="Arial" w:cs="Arial"/>
        <w:b/>
        <w:sz w:val="48"/>
      </w:rPr>
    </w:pPr>
    <w:r w:rsidRPr="00484B0E">
      <w:rPr>
        <w:rFonts w:ascii="Arial" w:hAnsi="Arial" w:cs="Arial"/>
        <w:b/>
        <w:sz w:val="48"/>
      </w:rPr>
      <w:t>FR</w:t>
    </w:r>
    <w:r w:rsidRPr="00484B0E">
      <w:rPr>
        <w:rFonts w:ascii="Arial" w:hAnsi="Arial" w:cs="Arial"/>
        <w:b/>
        <w:sz w:val="48"/>
      </w:rPr>
      <w:tab/>
    </w:r>
    <w:r>
      <w:fldChar w:fldCharType="begin"/>
    </w:r>
    <w:r>
      <w:instrText xml:space="preserve"> PAGE  \* MERGEFORMAT </w:instrText>
    </w:r>
    <w:r>
      <w:fldChar w:fldCharType="separate"/>
    </w:r>
    <w:r w:rsidR="009008FB">
      <w:rPr>
        <w:noProof/>
      </w:rPr>
      <w:t>1</w:t>
    </w:r>
    <w:r>
      <w:fldChar w:fldCharType="end"/>
    </w:r>
    <w:r>
      <w:tab/>
    </w:r>
    <w:r w:rsidRPr="00484B0E">
      <w:tab/>
    </w:r>
    <w:r w:rsidRPr="00484B0E">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B0BFF" w14:textId="77777777" w:rsidR="00484B0E" w:rsidRDefault="00484B0E" w:rsidP="00484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4ED7E" w14:textId="77777777" w:rsidR="002778F9" w:rsidRDefault="002778F9" w:rsidP="00616AD6">
      <w:pPr>
        <w:spacing w:before="0" w:after="0"/>
      </w:pPr>
      <w:r>
        <w:separator/>
      </w:r>
    </w:p>
  </w:footnote>
  <w:footnote w:type="continuationSeparator" w:id="0">
    <w:p w14:paraId="3044FA32" w14:textId="77777777" w:rsidR="002778F9" w:rsidRDefault="002778F9" w:rsidP="00616AD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1C99C" w14:textId="77777777" w:rsidR="00484B0E" w:rsidRPr="00484B0E" w:rsidRDefault="00484B0E" w:rsidP="00484B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15A96" w14:textId="77777777" w:rsidR="00484B0E" w:rsidRPr="00484B0E" w:rsidRDefault="00484B0E" w:rsidP="00484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33CBE" w14:textId="77777777" w:rsidR="00484B0E" w:rsidRPr="00484B0E" w:rsidRDefault="00484B0E" w:rsidP="00484B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8EC69" w14:textId="77777777" w:rsidR="00484B0E" w:rsidRDefault="00484B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F78C4" w14:textId="77777777" w:rsidR="00484B0E" w:rsidRDefault="00484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6B4D3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102836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5907E2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4943B9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8-04 09:56: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0FA90A33-94DA-4FF6-B449-56C553B45DC7"/>
    <w:docVar w:name="LW_COVERPAGE_TYPE" w:val="1"/>
    <w:docVar w:name="LW_CreatedUtc" w:val="2026-04-09T12:35:21.2153134Z"/>
    <w:docVar w:name="LW_CROSSREFERENCE" w:val="&lt;UNUSED&gt;"/>
    <w:docVar w:name="LW_DocType" w:val="ANNEX"/>
    <w:docVar w:name="LW_EMISSION" w:val="3.7.2026"/>
    <w:docVar w:name="LW_EMISSION_ISODATE" w:val="2026-07-0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au recensement des projets de défense européens d\u8217?intérêt commun au titre du règlement (UE) 2025/2643 du Parlement européen et du Conseil"/>
    <w:docVar w:name="LW_OBJETACTEPRINCIPAL.CP" w:val="relative au recensement des projets de défense européens d\u8217?intérêt commun au titre du règlement (UE) 2025/2643 du Parlement européen et du Conseil"/>
    <w:docVar w:name="LW_PART_NBR" w:val="1"/>
    <w:docVar w:name="LW_PART_NBR_TOTAL" w:val="1"/>
    <w:docVar w:name="LW_REF.INST.NEW" w:val="COM"/>
    <w:docVar w:name="LW_REF.INST.NEW_ADOPTED" w:val="final"/>
    <w:docVar w:name="LW_REF.INST.NEW_TEXT" w:val="(2026) 3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8217?exécution du Conseil présentée par la Commission"/>
    <w:docVar w:name="LW_TYPEACTEPRINCIPAL.CP" w:val="proposition de décision d\u8217?exécution du Conseil présentée par la Commission"/>
    <w:docVar w:name="LwApiVersions" w:val="LW4CoDe 1.24.5.0; LW 9.2, Build 20251112"/>
  </w:docVars>
  <w:rsids>
    <w:rsidRoot w:val="00616AD6"/>
    <w:rsid w:val="00000CC1"/>
    <w:rsid w:val="0000217B"/>
    <w:rsid w:val="000039D3"/>
    <w:rsid w:val="00005443"/>
    <w:rsid w:val="00006D14"/>
    <w:rsid w:val="000125FA"/>
    <w:rsid w:val="00014960"/>
    <w:rsid w:val="00015587"/>
    <w:rsid w:val="00017F24"/>
    <w:rsid w:val="00020A7D"/>
    <w:rsid w:val="000214E9"/>
    <w:rsid w:val="00021D06"/>
    <w:rsid w:val="00022EC9"/>
    <w:rsid w:val="00032E8B"/>
    <w:rsid w:val="0003427D"/>
    <w:rsid w:val="00035FA0"/>
    <w:rsid w:val="00040947"/>
    <w:rsid w:val="000426AB"/>
    <w:rsid w:val="0004373E"/>
    <w:rsid w:val="000470D1"/>
    <w:rsid w:val="00050E20"/>
    <w:rsid w:val="0005105C"/>
    <w:rsid w:val="00052974"/>
    <w:rsid w:val="00053440"/>
    <w:rsid w:val="00053947"/>
    <w:rsid w:val="00055E99"/>
    <w:rsid w:val="0005606A"/>
    <w:rsid w:val="00056D99"/>
    <w:rsid w:val="0006033C"/>
    <w:rsid w:val="00062F04"/>
    <w:rsid w:val="00063B49"/>
    <w:rsid w:val="00065D23"/>
    <w:rsid w:val="00067C3B"/>
    <w:rsid w:val="00067C58"/>
    <w:rsid w:val="00080453"/>
    <w:rsid w:val="000807C9"/>
    <w:rsid w:val="0008103F"/>
    <w:rsid w:val="000815EA"/>
    <w:rsid w:val="00083594"/>
    <w:rsid w:val="000951D3"/>
    <w:rsid w:val="00096A4D"/>
    <w:rsid w:val="00097DA8"/>
    <w:rsid w:val="000A74D3"/>
    <w:rsid w:val="000B546F"/>
    <w:rsid w:val="000C3CA8"/>
    <w:rsid w:val="000C597D"/>
    <w:rsid w:val="000C6B78"/>
    <w:rsid w:val="000C7EAF"/>
    <w:rsid w:val="000D0577"/>
    <w:rsid w:val="000D2B82"/>
    <w:rsid w:val="000D2D3C"/>
    <w:rsid w:val="000E1BC0"/>
    <w:rsid w:val="000F4529"/>
    <w:rsid w:val="000F7F9C"/>
    <w:rsid w:val="00101074"/>
    <w:rsid w:val="00104115"/>
    <w:rsid w:val="0010573E"/>
    <w:rsid w:val="00106500"/>
    <w:rsid w:val="00113195"/>
    <w:rsid w:val="001217DE"/>
    <w:rsid w:val="00122218"/>
    <w:rsid w:val="00124BDC"/>
    <w:rsid w:val="00131591"/>
    <w:rsid w:val="001321BC"/>
    <w:rsid w:val="00133681"/>
    <w:rsid w:val="001346E2"/>
    <w:rsid w:val="0013476E"/>
    <w:rsid w:val="00136D38"/>
    <w:rsid w:val="00144B53"/>
    <w:rsid w:val="00145660"/>
    <w:rsid w:val="00145A58"/>
    <w:rsid w:val="0014773C"/>
    <w:rsid w:val="0014780A"/>
    <w:rsid w:val="00150E69"/>
    <w:rsid w:val="00150FB9"/>
    <w:rsid w:val="001513A6"/>
    <w:rsid w:val="00154794"/>
    <w:rsid w:val="001547A4"/>
    <w:rsid w:val="00154BDB"/>
    <w:rsid w:val="0015506B"/>
    <w:rsid w:val="00161692"/>
    <w:rsid w:val="0016198E"/>
    <w:rsid w:val="00162DFD"/>
    <w:rsid w:val="00165C4F"/>
    <w:rsid w:val="00170787"/>
    <w:rsid w:val="00170F02"/>
    <w:rsid w:val="00172493"/>
    <w:rsid w:val="00172732"/>
    <w:rsid w:val="00173D3D"/>
    <w:rsid w:val="00174963"/>
    <w:rsid w:val="00174A74"/>
    <w:rsid w:val="0017530C"/>
    <w:rsid w:val="001754E8"/>
    <w:rsid w:val="001759ED"/>
    <w:rsid w:val="00176D70"/>
    <w:rsid w:val="001827FD"/>
    <w:rsid w:val="00184AAE"/>
    <w:rsid w:val="00186215"/>
    <w:rsid w:val="00194EA3"/>
    <w:rsid w:val="001961CF"/>
    <w:rsid w:val="001963B2"/>
    <w:rsid w:val="001973AF"/>
    <w:rsid w:val="00197931"/>
    <w:rsid w:val="00197A58"/>
    <w:rsid w:val="001A131D"/>
    <w:rsid w:val="001A74C9"/>
    <w:rsid w:val="001A7908"/>
    <w:rsid w:val="001B2D53"/>
    <w:rsid w:val="001B2FD0"/>
    <w:rsid w:val="001B33E3"/>
    <w:rsid w:val="001B5138"/>
    <w:rsid w:val="001B7D7D"/>
    <w:rsid w:val="001C4299"/>
    <w:rsid w:val="001C7AD0"/>
    <w:rsid w:val="001D0D6A"/>
    <w:rsid w:val="001D20AF"/>
    <w:rsid w:val="001D26C6"/>
    <w:rsid w:val="001E0B54"/>
    <w:rsid w:val="001E49C3"/>
    <w:rsid w:val="001F10DC"/>
    <w:rsid w:val="001F33B6"/>
    <w:rsid w:val="001F343E"/>
    <w:rsid w:val="001F3E69"/>
    <w:rsid w:val="001F4010"/>
    <w:rsid w:val="001F4405"/>
    <w:rsid w:val="001F4BF3"/>
    <w:rsid w:val="001F7CFF"/>
    <w:rsid w:val="00202BBE"/>
    <w:rsid w:val="002100EB"/>
    <w:rsid w:val="00213B50"/>
    <w:rsid w:val="0021694B"/>
    <w:rsid w:val="0022080D"/>
    <w:rsid w:val="002255FD"/>
    <w:rsid w:val="00226AA5"/>
    <w:rsid w:val="00226BCD"/>
    <w:rsid w:val="002310B2"/>
    <w:rsid w:val="0023173C"/>
    <w:rsid w:val="00231B7D"/>
    <w:rsid w:val="00234974"/>
    <w:rsid w:val="00237FE0"/>
    <w:rsid w:val="00241737"/>
    <w:rsid w:val="00244A53"/>
    <w:rsid w:val="0024769D"/>
    <w:rsid w:val="00247DE1"/>
    <w:rsid w:val="00256C31"/>
    <w:rsid w:val="00257639"/>
    <w:rsid w:val="002618C8"/>
    <w:rsid w:val="00266474"/>
    <w:rsid w:val="00276F6A"/>
    <w:rsid w:val="002775FA"/>
    <w:rsid w:val="002778F9"/>
    <w:rsid w:val="00277D43"/>
    <w:rsid w:val="00280283"/>
    <w:rsid w:val="00281BCA"/>
    <w:rsid w:val="00282EC3"/>
    <w:rsid w:val="00285604"/>
    <w:rsid w:val="00285DCF"/>
    <w:rsid w:val="00286598"/>
    <w:rsid w:val="00291036"/>
    <w:rsid w:val="0029538F"/>
    <w:rsid w:val="00296B17"/>
    <w:rsid w:val="002979CE"/>
    <w:rsid w:val="002A05C1"/>
    <w:rsid w:val="002A05CA"/>
    <w:rsid w:val="002B1DA4"/>
    <w:rsid w:val="002B763F"/>
    <w:rsid w:val="002C1523"/>
    <w:rsid w:val="002C348E"/>
    <w:rsid w:val="002C365B"/>
    <w:rsid w:val="002C3788"/>
    <w:rsid w:val="002C46DF"/>
    <w:rsid w:val="002D0B16"/>
    <w:rsid w:val="002E4B35"/>
    <w:rsid w:val="002E4F0A"/>
    <w:rsid w:val="002E50F7"/>
    <w:rsid w:val="002E60BF"/>
    <w:rsid w:val="002E7C1C"/>
    <w:rsid w:val="002F087D"/>
    <w:rsid w:val="00304284"/>
    <w:rsid w:val="00304B5F"/>
    <w:rsid w:val="00306DBB"/>
    <w:rsid w:val="00307BC5"/>
    <w:rsid w:val="00307F9A"/>
    <w:rsid w:val="00313D03"/>
    <w:rsid w:val="003141DC"/>
    <w:rsid w:val="00316E17"/>
    <w:rsid w:val="00316E57"/>
    <w:rsid w:val="00317537"/>
    <w:rsid w:val="00322A7A"/>
    <w:rsid w:val="0032315B"/>
    <w:rsid w:val="00324EA7"/>
    <w:rsid w:val="00326631"/>
    <w:rsid w:val="003275E4"/>
    <w:rsid w:val="00331DA8"/>
    <w:rsid w:val="00331DB4"/>
    <w:rsid w:val="00333D08"/>
    <w:rsid w:val="00337066"/>
    <w:rsid w:val="003374E7"/>
    <w:rsid w:val="003530AD"/>
    <w:rsid w:val="00353240"/>
    <w:rsid w:val="0035383A"/>
    <w:rsid w:val="003571D2"/>
    <w:rsid w:val="00362FDF"/>
    <w:rsid w:val="00364E03"/>
    <w:rsid w:val="003705F5"/>
    <w:rsid w:val="00371599"/>
    <w:rsid w:val="00371ACB"/>
    <w:rsid w:val="00372FD6"/>
    <w:rsid w:val="00373FD6"/>
    <w:rsid w:val="003743CC"/>
    <w:rsid w:val="0038169C"/>
    <w:rsid w:val="00382E79"/>
    <w:rsid w:val="0038540D"/>
    <w:rsid w:val="003858F5"/>
    <w:rsid w:val="003904B5"/>
    <w:rsid w:val="00392AF9"/>
    <w:rsid w:val="0039647C"/>
    <w:rsid w:val="003A1407"/>
    <w:rsid w:val="003A3717"/>
    <w:rsid w:val="003A5009"/>
    <w:rsid w:val="003A53BD"/>
    <w:rsid w:val="003B00C1"/>
    <w:rsid w:val="003B0A53"/>
    <w:rsid w:val="003B0AEA"/>
    <w:rsid w:val="003B0DBE"/>
    <w:rsid w:val="003B1464"/>
    <w:rsid w:val="003B25CB"/>
    <w:rsid w:val="003C1B00"/>
    <w:rsid w:val="003C3B13"/>
    <w:rsid w:val="003C6AF7"/>
    <w:rsid w:val="003D04D6"/>
    <w:rsid w:val="003D09D0"/>
    <w:rsid w:val="003D3B29"/>
    <w:rsid w:val="003D438F"/>
    <w:rsid w:val="003D741B"/>
    <w:rsid w:val="003E5CDF"/>
    <w:rsid w:val="003E5EED"/>
    <w:rsid w:val="003F14CD"/>
    <w:rsid w:val="003F207C"/>
    <w:rsid w:val="003F21CB"/>
    <w:rsid w:val="003F2B1C"/>
    <w:rsid w:val="003F2F35"/>
    <w:rsid w:val="003F4044"/>
    <w:rsid w:val="003F4319"/>
    <w:rsid w:val="003F4F72"/>
    <w:rsid w:val="003F7FE9"/>
    <w:rsid w:val="00400B37"/>
    <w:rsid w:val="00402121"/>
    <w:rsid w:val="0040333B"/>
    <w:rsid w:val="00405062"/>
    <w:rsid w:val="004059B9"/>
    <w:rsid w:val="00410CB1"/>
    <w:rsid w:val="004112A9"/>
    <w:rsid w:val="00412A20"/>
    <w:rsid w:val="00415208"/>
    <w:rsid w:val="00415B70"/>
    <w:rsid w:val="004203DE"/>
    <w:rsid w:val="00420ACC"/>
    <w:rsid w:val="0042148E"/>
    <w:rsid w:val="00421F08"/>
    <w:rsid w:val="00422108"/>
    <w:rsid w:val="004233C0"/>
    <w:rsid w:val="004275B1"/>
    <w:rsid w:val="00427639"/>
    <w:rsid w:val="00427CFA"/>
    <w:rsid w:val="00432F68"/>
    <w:rsid w:val="00433DFB"/>
    <w:rsid w:val="00434401"/>
    <w:rsid w:val="004360C5"/>
    <w:rsid w:val="00436FEF"/>
    <w:rsid w:val="004374F5"/>
    <w:rsid w:val="00444001"/>
    <w:rsid w:val="00446CDB"/>
    <w:rsid w:val="004549F9"/>
    <w:rsid w:val="00454A8D"/>
    <w:rsid w:val="00455317"/>
    <w:rsid w:val="00456014"/>
    <w:rsid w:val="00456752"/>
    <w:rsid w:val="00457803"/>
    <w:rsid w:val="00457E73"/>
    <w:rsid w:val="0046273A"/>
    <w:rsid w:val="00464333"/>
    <w:rsid w:val="00466B6C"/>
    <w:rsid w:val="00466D78"/>
    <w:rsid w:val="004716AA"/>
    <w:rsid w:val="0047519B"/>
    <w:rsid w:val="0047544E"/>
    <w:rsid w:val="00480DBB"/>
    <w:rsid w:val="004819FD"/>
    <w:rsid w:val="004829D7"/>
    <w:rsid w:val="0048376D"/>
    <w:rsid w:val="00484B0E"/>
    <w:rsid w:val="004851B2"/>
    <w:rsid w:val="004861E0"/>
    <w:rsid w:val="00487D92"/>
    <w:rsid w:val="00490C39"/>
    <w:rsid w:val="00492EB7"/>
    <w:rsid w:val="00493981"/>
    <w:rsid w:val="00494978"/>
    <w:rsid w:val="004A1961"/>
    <w:rsid w:val="004A2346"/>
    <w:rsid w:val="004B246E"/>
    <w:rsid w:val="004B252E"/>
    <w:rsid w:val="004B308E"/>
    <w:rsid w:val="004B56AC"/>
    <w:rsid w:val="004C2306"/>
    <w:rsid w:val="004C30E3"/>
    <w:rsid w:val="004C57B8"/>
    <w:rsid w:val="004D269E"/>
    <w:rsid w:val="004D51DF"/>
    <w:rsid w:val="004D7E42"/>
    <w:rsid w:val="004E26F4"/>
    <w:rsid w:val="004E3369"/>
    <w:rsid w:val="004E3D08"/>
    <w:rsid w:val="004E55AC"/>
    <w:rsid w:val="004E571E"/>
    <w:rsid w:val="004F2497"/>
    <w:rsid w:val="004F279A"/>
    <w:rsid w:val="004F5882"/>
    <w:rsid w:val="004F7F4A"/>
    <w:rsid w:val="00507198"/>
    <w:rsid w:val="00510ED8"/>
    <w:rsid w:val="00513377"/>
    <w:rsid w:val="00514A23"/>
    <w:rsid w:val="00516773"/>
    <w:rsid w:val="0051778C"/>
    <w:rsid w:val="0052050B"/>
    <w:rsid w:val="00522859"/>
    <w:rsid w:val="005232DB"/>
    <w:rsid w:val="00524794"/>
    <w:rsid w:val="00525ACC"/>
    <w:rsid w:val="00525D3A"/>
    <w:rsid w:val="0053073B"/>
    <w:rsid w:val="0053137E"/>
    <w:rsid w:val="00531CE3"/>
    <w:rsid w:val="0053400D"/>
    <w:rsid w:val="00536362"/>
    <w:rsid w:val="0054102C"/>
    <w:rsid w:val="00542D25"/>
    <w:rsid w:val="00544F2B"/>
    <w:rsid w:val="00553600"/>
    <w:rsid w:val="00556423"/>
    <w:rsid w:val="00557CB3"/>
    <w:rsid w:val="00560978"/>
    <w:rsid w:val="005613D1"/>
    <w:rsid w:val="00570A43"/>
    <w:rsid w:val="00573008"/>
    <w:rsid w:val="00574E25"/>
    <w:rsid w:val="0057684C"/>
    <w:rsid w:val="005805C3"/>
    <w:rsid w:val="00582290"/>
    <w:rsid w:val="00583C26"/>
    <w:rsid w:val="0058431F"/>
    <w:rsid w:val="00584951"/>
    <w:rsid w:val="005851F6"/>
    <w:rsid w:val="0058722E"/>
    <w:rsid w:val="005907DE"/>
    <w:rsid w:val="00590B1D"/>
    <w:rsid w:val="005A0F86"/>
    <w:rsid w:val="005A10F1"/>
    <w:rsid w:val="005B2068"/>
    <w:rsid w:val="005B43C4"/>
    <w:rsid w:val="005B6F41"/>
    <w:rsid w:val="005B70F0"/>
    <w:rsid w:val="005B774A"/>
    <w:rsid w:val="005C2C98"/>
    <w:rsid w:val="005C4E7D"/>
    <w:rsid w:val="005C5A7A"/>
    <w:rsid w:val="005C748E"/>
    <w:rsid w:val="005D2B44"/>
    <w:rsid w:val="005D2BF9"/>
    <w:rsid w:val="005D3037"/>
    <w:rsid w:val="005D3C1B"/>
    <w:rsid w:val="005E1155"/>
    <w:rsid w:val="005E1C0B"/>
    <w:rsid w:val="005E42B3"/>
    <w:rsid w:val="005E5837"/>
    <w:rsid w:val="005E7CB2"/>
    <w:rsid w:val="005E7D62"/>
    <w:rsid w:val="005E7E39"/>
    <w:rsid w:val="005F25F5"/>
    <w:rsid w:val="00603E55"/>
    <w:rsid w:val="00604BDB"/>
    <w:rsid w:val="006120F2"/>
    <w:rsid w:val="00614116"/>
    <w:rsid w:val="00615E80"/>
    <w:rsid w:val="00616AD6"/>
    <w:rsid w:val="00617D0E"/>
    <w:rsid w:val="0062253F"/>
    <w:rsid w:val="00626E37"/>
    <w:rsid w:val="00630FC8"/>
    <w:rsid w:val="00641160"/>
    <w:rsid w:val="00644E83"/>
    <w:rsid w:val="00645262"/>
    <w:rsid w:val="0064538F"/>
    <w:rsid w:val="00652C1F"/>
    <w:rsid w:val="006543A5"/>
    <w:rsid w:val="00655C26"/>
    <w:rsid w:val="00656FBC"/>
    <w:rsid w:val="00661564"/>
    <w:rsid w:val="00662CDA"/>
    <w:rsid w:val="00664524"/>
    <w:rsid w:val="00667FF5"/>
    <w:rsid w:val="006709AD"/>
    <w:rsid w:val="00670A1C"/>
    <w:rsid w:val="00670C10"/>
    <w:rsid w:val="00671E5E"/>
    <w:rsid w:val="00680785"/>
    <w:rsid w:val="0068177F"/>
    <w:rsid w:val="00691407"/>
    <w:rsid w:val="00691DED"/>
    <w:rsid w:val="00696043"/>
    <w:rsid w:val="006A27FB"/>
    <w:rsid w:val="006A3A03"/>
    <w:rsid w:val="006A5932"/>
    <w:rsid w:val="006A69E1"/>
    <w:rsid w:val="006A6BCB"/>
    <w:rsid w:val="006B03A3"/>
    <w:rsid w:val="006B2BCE"/>
    <w:rsid w:val="006B3849"/>
    <w:rsid w:val="006B713A"/>
    <w:rsid w:val="006C0313"/>
    <w:rsid w:val="006C19A7"/>
    <w:rsid w:val="006C1AC8"/>
    <w:rsid w:val="006C5471"/>
    <w:rsid w:val="006C5CE3"/>
    <w:rsid w:val="006C66BF"/>
    <w:rsid w:val="006C73EA"/>
    <w:rsid w:val="006D1B9E"/>
    <w:rsid w:val="006D3535"/>
    <w:rsid w:val="006D66BC"/>
    <w:rsid w:val="006D6B49"/>
    <w:rsid w:val="006D7B28"/>
    <w:rsid w:val="006E110B"/>
    <w:rsid w:val="006E11C7"/>
    <w:rsid w:val="006E4F16"/>
    <w:rsid w:val="006E5AA7"/>
    <w:rsid w:val="006E6C1F"/>
    <w:rsid w:val="006E74AD"/>
    <w:rsid w:val="006F7C15"/>
    <w:rsid w:val="006F7E5F"/>
    <w:rsid w:val="0070372D"/>
    <w:rsid w:val="007037BE"/>
    <w:rsid w:val="00703A79"/>
    <w:rsid w:val="00706AF0"/>
    <w:rsid w:val="00707630"/>
    <w:rsid w:val="007113D6"/>
    <w:rsid w:val="007201A4"/>
    <w:rsid w:val="0072204B"/>
    <w:rsid w:val="00722615"/>
    <w:rsid w:val="00723C99"/>
    <w:rsid w:val="007240A0"/>
    <w:rsid w:val="00724586"/>
    <w:rsid w:val="007252B0"/>
    <w:rsid w:val="0072702F"/>
    <w:rsid w:val="0073072D"/>
    <w:rsid w:val="00732BFC"/>
    <w:rsid w:val="0073450E"/>
    <w:rsid w:val="0074525A"/>
    <w:rsid w:val="0074546E"/>
    <w:rsid w:val="00746523"/>
    <w:rsid w:val="00746649"/>
    <w:rsid w:val="00752D63"/>
    <w:rsid w:val="00753D85"/>
    <w:rsid w:val="0075411B"/>
    <w:rsid w:val="007561BD"/>
    <w:rsid w:val="00756C60"/>
    <w:rsid w:val="00757BCD"/>
    <w:rsid w:val="0076088B"/>
    <w:rsid w:val="0076165A"/>
    <w:rsid w:val="007618C9"/>
    <w:rsid w:val="0076750A"/>
    <w:rsid w:val="0077114B"/>
    <w:rsid w:val="007806E3"/>
    <w:rsid w:val="00781DB1"/>
    <w:rsid w:val="00782A61"/>
    <w:rsid w:val="00784FBC"/>
    <w:rsid w:val="00785628"/>
    <w:rsid w:val="007868D3"/>
    <w:rsid w:val="00787344"/>
    <w:rsid w:val="00787F3E"/>
    <w:rsid w:val="00787FD1"/>
    <w:rsid w:val="0079013D"/>
    <w:rsid w:val="00795A2E"/>
    <w:rsid w:val="0079732A"/>
    <w:rsid w:val="007A0463"/>
    <w:rsid w:val="007A109C"/>
    <w:rsid w:val="007A3AD0"/>
    <w:rsid w:val="007A42F5"/>
    <w:rsid w:val="007A653D"/>
    <w:rsid w:val="007A703F"/>
    <w:rsid w:val="007B1428"/>
    <w:rsid w:val="007B19D4"/>
    <w:rsid w:val="007B6990"/>
    <w:rsid w:val="007C088A"/>
    <w:rsid w:val="007C17CB"/>
    <w:rsid w:val="007C1A10"/>
    <w:rsid w:val="007C26DE"/>
    <w:rsid w:val="007C3C6B"/>
    <w:rsid w:val="007C6140"/>
    <w:rsid w:val="007C73CD"/>
    <w:rsid w:val="007C76A3"/>
    <w:rsid w:val="007D2940"/>
    <w:rsid w:val="007D5F6D"/>
    <w:rsid w:val="007D6CB1"/>
    <w:rsid w:val="007E1C2D"/>
    <w:rsid w:val="007E7063"/>
    <w:rsid w:val="007E720D"/>
    <w:rsid w:val="007F3860"/>
    <w:rsid w:val="008024E8"/>
    <w:rsid w:val="00802AD8"/>
    <w:rsid w:val="00804FD1"/>
    <w:rsid w:val="0080581A"/>
    <w:rsid w:val="00812C0F"/>
    <w:rsid w:val="00812EDD"/>
    <w:rsid w:val="008141D8"/>
    <w:rsid w:val="00814F02"/>
    <w:rsid w:val="008211F9"/>
    <w:rsid w:val="008244D7"/>
    <w:rsid w:val="00827458"/>
    <w:rsid w:val="00830701"/>
    <w:rsid w:val="008311F9"/>
    <w:rsid w:val="00831A71"/>
    <w:rsid w:val="00832268"/>
    <w:rsid w:val="008322BC"/>
    <w:rsid w:val="00836573"/>
    <w:rsid w:val="008405A6"/>
    <w:rsid w:val="00840B01"/>
    <w:rsid w:val="00841F53"/>
    <w:rsid w:val="008453FF"/>
    <w:rsid w:val="00846BF4"/>
    <w:rsid w:val="00846E9E"/>
    <w:rsid w:val="00850C23"/>
    <w:rsid w:val="00851741"/>
    <w:rsid w:val="00854634"/>
    <w:rsid w:val="008567DC"/>
    <w:rsid w:val="00860270"/>
    <w:rsid w:val="00860F89"/>
    <w:rsid w:val="00861507"/>
    <w:rsid w:val="00864177"/>
    <w:rsid w:val="00872D4B"/>
    <w:rsid w:val="008742A0"/>
    <w:rsid w:val="00882C82"/>
    <w:rsid w:val="00883506"/>
    <w:rsid w:val="0088466F"/>
    <w:rsid w:val="00890334"/>
    <w:rsid w:val="00890C3F"/>
    <w:rsid w:val="00891D44"/>
    <w:rsid w:val="00892285"/>
    <w:rsid w:val="00893533"/>
    <w:rsid w:val="00893816"/>
    <w:rsid w:val="0089582B"/>
    <w:rsid w:val="00896146"/>
    <w:rsid w:val="008972F5"/>
    <w:rsid w:val="00897A09"/>
    <w:rsid w:val="008A2252"/>
    <w:rsid w:val="008A371B"/>
    <w:rsid w:val="008A53DF"/>
    <w:rsid w:val="008A62CC"/>
    <w:rsid w:val="008A6334"/>
    <w:rsid w:val="008B04CB"/>
    <w:rsid w:val="008B0E40"/>
    <w:rsid w:val="008B1104"/>
    <w:rsid w:val="008B6CB5"/>
    <w:rsid w:val="008C064F"/>
    <w:rsid w:val="008C3AE7"/>
    <w:rsid w:val="008C6398"/>
    <w:rsid w:val="008C6B4C"/>
    <w:rsid w:val="008D222A"/>
    <w:rsid w:val="008D241B"/>
    <w:rsid w:val="008D3CA5"/>
    <w:rsid w:val="008D5D04"/>
    <w:rsid w:val="008D6398"/>
    <w:rsid w:val="008D7FB6"/>
    <w:rsid w:val="008E2B32"/>
    <w:rsid w:val="008E40D6"/>
    <w:rsid w:val="008E5D06"/>
    <w:rsid w:val="008E7737"/>
    <w:rsid w:val="008F2AFF"/>
    <w:rsid w:val="008F3940"/>
    <w:rsid w:val="008F5D32"/>
    <w:rsid w:val="008F6656"/>
    <w:rsid w:val="009006BA"/>
    <w:rsid w:val="009008FB"/>
    <w:rsid w:val="00900DB0"/>
    <w:rsid w:val="00902063"/>
    <w:rsid w:val="00905D22"/>
    <w:rsid w:val="00905FFC"/>
    <w:rsid w:val="009076DB"/>
    <w:rsid w:val="00913213"/>
    <w:rsid w:val="00914D89"/>
    <w:rsid w:val="0091624E"/>
    <w:rsid w:val="00917321"/>
    <w:rsid w:val="009202DF"/>
    <w:rsid w:val="00922A89"/>
    <w:rsid w:val="009270F7"/>
    <w:rsid w:val="009301E4"/>
    <w:rsid w:val="0093622E"/>
    <w:rsid w:val="00937431"/>
    <w:rsid w:val="00940FC0"/>
    <w:rsid w:val="0094120A"/>
    <w:rsid w:val="009418CF"/>
    <w:rsid w:val="00941C93"/>
    <w:rsid w:val="00943649"/>
    <w:rsid w:val="00944623"/>
    <w:rsid w:val="0094571F"/>
    <w:rsid w:val="00950FE3"/>
    <w:rsid w:val="009536C8"/>
    <w:rsid w:val="009538D3"/>
    <w:rsid w:val="00953BA3"/>
    <w:rsid w:val="00954959"/>
    <w:rsid w:val="00957C9C"/>
    <w:rsid w:val="009630A8"/>
    <w:rsid w:val="00965027"/>
    <w:rsid w:val="009658F6"/>
    <w:rsid w:val="00965BD6"/>
    <w:rsid w:val="00971729"/>
    <w:rsid w:val="009726C8"/>
    <w:rsid w:val="00972C33"/>
    <w:rsid w:val="00973168"/>
    <w:rsid w:val="009744DE"/>
    <w:rsid w:val="00977259"/>
    <w:rsid w:val="00980ED6"/>
    <w:rsid w:val="00981140"/>
    <w:rsid w:val="009850EA"/>
    <w:rsid w:val="00986C4D"/>
    <w:rsid w:val="00992F07"/>
    <w:rsid w:val="009A0571"/>
    <w:rsid w:val="009A0BDC"/>
    <w:rsid w:val="009A0DE2"/>
    <w:rsid w:val="009A1AFF"/>
    <w:rsid w:val="009A2A2F"/>
    <w:rsid w:val="009A42AA"/>
    <w:rsid w:val="009A4C85"/>
    <w:rsid w:val="009A5974"/>
    <w:rsid w:val="009A67E3"/>
    <w:rsid w:val="009A6AD0"/>
    <w:rsid w:val="009B28C8"/>
    <w:rsid w:val="009B3E45"/>
    <w:rsid w:val="009B4C07"/>
    <w:rsid w:val="009B5D2C"/>
    <w:rsid w:val="009B6D74"/>
    <w:rsid w:val="009B788B"/>
    <w:rsid w:val="009B7F18"/>
    <w:rsid w:val="009C21E2"/>
    <w:rsid w:val="009C3A28"/>
    <w:rsid w:val="009C3F73"/>
    <w:rsid w:val="009C4488"/>
    <w:rsid w:val="009C6234"/>
    <w:rsid w:val="009D20B1"/>
    <w:rsid w:val="009D380F"/>
    <w:rsid w:val="009D4E2E"/>
    <w:rsid w:val="009E2178"/>
    <w:rsid w:val="009E2326"/>
    <w:rsid w:val="009E282A"/>
    <w:rsid w:val="009E2FD7"/>
    <w:rsid w:val="009E5F3A"/>
    <w:rsid w:val="009E649C"/>
    <w:rsid w:val="009E6513"/>
    <w:rsid w:val="009E6A30"/>
    <w:rsid w:val="009F3D13"/>
    <w:rsid w:val="009F46FC"/>
    <w:rsid w:val="009F743E"/>
    <w:rsid w:val="009F78B5"/>
    <w:rsid w:val="00A02E95"/>
    <w:rsid w:val="00A10359"/>
    <w:rsid w:val="00A15F39"/>
    <w:rsid w:val="00A20565"/>
    <w:rsid w:val="00A2539A"/>
    <w:rsid w:val="00A255A9"/>
    <w:rsid w:val="00A25611"/>
    <w:rsid w:val="00A258E7"/>
    <w:rsid w:val="00A270ED"/>
    <w:rsid w:val="00A3089A"/>
    <w:rsid w:val="00A31953"/>
    <w:rsid w:val="00A41531"/>
    <w:rsid w:val="00A43E26"/>
    <w:rsid w:val="00A44A09"/>
    <w:rsid w:val="00A5377B"/>
    <w:rsid w:val="00A53A0E"/>
    <w:rsid w:val="00A53D02"/>
    <w:rsid w:val="00A55B6E"/>
    <w:rsid w:val="00A56003"/>
    <w:rsid w:val="00A562E8"/>
    <w:rsid w:val="00A6243B"/>
    <w:rsid w:val="00A64893"/>
    <w:rsid w:val="00A710C2"/>
    <w:rsid w:val="00A71F6D"/>
    <w:rsid w:val="00A72216"/>
    <w:rsid w:val="00A81BA0"/>
    <w:rsid w:val="00A82314"/>
    <w:rsid w:val="00A83EC6"/>
    <w:rsid w:val="00A84736"/>
    <w:rsid w:val="00A8597E"/>
    <w:rsid w:val="00A877B1"/>
    <w:rsid w:val="00A87ABC"/>
    <w:rsid w:val="00A95368"/>
    <w:rsid w:val="00AA03FE"/>
    <w:rsid w:val="00AA23DA"/>
    <w:rsid w:val="00AA30A7"/>
    <w:rsid w:val="00AA3917"/>
    <w:rsid w:val="00AA57B7"/>
    <w:rsid w:val="00AA74A5"/>
    <w:rsid w:val="00AB1DFC"/>
    <w:rsid w:val="00AB313B"/>
    <w:rsid w:val="00AB46B6"/>
    <w:rsid w:val="00AB57BC"/>
    <w:rsid w:val="00AC7C7E"/>
    <w:rsid w:val="00AD0E43"/>
    <w:rsid w:val="00AD178E"/>
    <w:rsid w:val="00AD50E8"/>
    <w:rsid w:val="00AD6FCA"/>
    <w:rsid w:val="00AD7602"/>
    <w:rsid w:val="00AE0416"/>
    <w:rsid w:val="00AE17A3"/>
    <w:rsid w:val="00AE1CE9"/>
    <w:rsid w:val="00AE30E6"/>
    <w:rsid w:val="00AE40CA"/>
    <w:rsid w:val="00AE55C0"/>
    <w:rsid w:val="00AE79B0"/>
    <w:rsid w:val="00AF0A7C"/>
    <w:rsid w:val="00AF50D3"/>
    <w:rsid w:val="00AF57FD"/>
    <w:rsid w:val="00AF66AC"/>
    <w:rsid w:val="00B00F51"/>
    <w:rsid w:val="00B04AA5"/>
    <w:rsid w:val="00B058EC"/>
    <w:rsid w:val="00B06288"/>
    <w:rsid w:val="00B20591"/>
    <w:rsid w:val="00B2181F"/>
    <w:rsid w:val="00B24CA5"/>
    <w:rsid w:val="00B25FC4"/>
    <w:rsid w:val="00B267FE"/>
    <w:rsid w:val="00B272F8"/>
    <w:rsid w:val="00B3013D"/>
    <w:rsid w:val="00B31A6D"/>
    <w:rsid w:val="00B330A7"/>
    <w:rsid w:val="00B345A4"/>
    <w:rsid w:val="00B34C82"/>
    <w:rsid w:val="00B433B3"/>
    <w:rsid w:val="00B47B19"/>
    <w:rsid w:val="00B50D67"/>
    <w:rsid w:val="00B51916"/>
    <w:rsid w:val="00B5197E"/>
    <w:rsid w:val="00B55303"/>
    <w:rsid w:val="00B6006B"/>
    <w:rsid w:val="00B61D60"/>
    <w:rsid w:val="00B62674"/>
    <w:rsid w:val="00B62DAE"/>
    <w:rsid w:val="00B65883"/>
    <w:rsid w:val="00B67CDF"/>
    <w:rsid w:val="00B70173"/>
    <w:rsid w:val="00B7071F"/>
    <w:rsid w:val="00B7560F"/>
    <w:rsid w:val="00B7656E"/>
    <w:rsid w:val="00B765F0"/>
    <w:rsid w:val="00B766C8"/>
    <w:rsid w:val="00B87A24"/>
    <w:rsid w:val="00B9080F"/>
    <w:rsid w:val="00B95AF0"/>
    <w:rsid w:val="00BA04F8"/>
    <w:rsid w:val="00BA0B11"/>
    <w:rsid w:val="00BA2E20"/>
    <w:rsid w:val="00BA33CC"/>
    <w:rsid w:val="00BA4254"/>
    <w:rsid w:val="00BA4F3C"/>
    <w:rsid w:val="00BA5AF6"/>
    <w:rsid w:val="00BA79FA"/>
    <w:rsid w:val="00BB0DF9"/>
    <w:rsid w:val="00BB30BC"/>
    <w:rsid w:val="00BB53B6"/>
    <w:rsid w:val="00BB5A20"/>
    <w:rsid w:val="00BB69C4"/>
    <w:rsid w:val="00BB7C7E"/>
    <w:rsid w:val="00BB7D0B"/>
    <w:rsid w:val="00BB7FE7"/>
    <w:rsid w:val="00BC10F1"/>
    <w:rsid w:val="00BC1871"/>
    <w:rsid w:val="00BC5D2E"/>
    <w:rsid w:val="00BD0612"/>
    <w:rsid w:val="00BD0C9B"/>
    <w:rsid w:val="00BD68EF"/>
    <w:rsid w:val="00BE07EC"/>
    <w:rsid w:val="00BE1712"/>
    <w:rsid w:val="00BE286C"/>
    <w:rsid w:val="00BE2F8B"/>
    <w:rsid w:val="00BE3874"/>
    <w:rsid w:val="00BE39CD"/>
    <w:rsid w:val="00BE5E33"/>
    <w:rsid w:val="00BE6F83"/>
    <w:rsid w:val="00BE7406"/>
    <w:rsid w:val="00BF2A57"/>
    <w:rsid w:val="00BF33C5"/>
    <w:rsid w:val="00BF614E"/>
    <w:rsid w:val="00BF7465"/>
    <w:rsid w:val="00C00A17"/>
    <w:rsid w:val="00C032E6"/>
    <w:rsid w:val="00C06C7A"/>
    <w:rsid w:val="00C076BF"/>
    <w:rsid w:val="00C078E4"/>
    <w:rsid w:val="00C1087D"/>
    <w:rsid w:val="00C118DC"/>
    <w:rsid w:val="00C1301B"/>
    <w:rsid w:val="00C140BB"/>
    <w:rsid w:val="00C15F81"/>
    <w:rsid w:val="00C160AD"/>
    <w:rsid w:val="00C16964"/>
    <w:rsid w:val="00C2039E"/>
    <w:rsid w:val="00C2188B"/>
    <w:rsid w:val="00C26F3F"/>
    <w:rsid w:val="00C33DF2"/>
    <w:rsid w:val="00C345EE"/>
    <w:rsid w:val="00C40ABB"/>
    <w:rsid w:val="00C42612"/>
    <w:rsid w:val="00C50633"/>
    <w:rsid w:val="00C50641"/>
    <w:rsid w:val="00C51581"/>
    <w:rsid w:val="00C54A1B"/>
    <w:rsid w:val="00C668F3"/>
    <w:rsid w:val="00C66BF3"/>
    <w:rsid w:val="00C7429F"/>
    <w:rsid w:val="00C748C4"/>
    <w:rsid w:val="00C80FF0"/>
    <w:rsid w:val="00C839BB"/>
    <w:rsid w:val="00C84B05"/>
    <w:rsid w:val="00C85C80"/>
    <w:rsid w:val="00C902D2"/>
    <w:rsid w:val="00C918DF"/>
    <w:rsid w:val="00C921D6"/>
    <w:rsid w:val="00C94B1B"/>
    <w:rsid w:val="00C953CA"/>
    <w:rsid w:val="00C95D7C"/>
    <w:rsid w:val="00C97FD5"/>
    <w:rsid w:val="00CA1083"/>
    <w:rsid w:val="00CB2C98"/>
    <w:rsid w:val="00CB3F0C"/>
    <w:rsid w:val="00CC0888"/>
    <w:rsid w:val="00CC0ADF"/>
    <w:rsid w:val="00CC3408"/>
    <w:rsid w:val="00CC501A"/>
    <w:rsid w:val="00CC60BF"/>
    <w:rsid w:val="00CD3D8B"/>
    <w:rsid w:val="00CD4F16"/>
    <w:rsid w:val="00CE09C5"/>
    <w:rsid w:val="00CE3C63"/>
    <w:rsid w:val="00CE6551"/>
    <w:rsid w:val="00CE6A0E"/>
    <w:rsid w:val="00CF2A98"/>
    <w:rsid w:val="00CF2E5F"/>
    <w:rsid w:val="00D01732"/>
    <w:rsid w:val="00D01763"/>
    <w:rsid w:val="00D1392A"/>
    <w:rsid w:val="00D16747"/>
    <w:rsid w:val="00D20031"/>
    <w:rsid w:val="00D20C79"/>
    <w:rsid w:val="00D22DB4"/>
    <w:rsid w:val="00D23D6E"/>
    <w:rsid w:val="00D31943"/>
    <w:rsid w:val="00D328C4"/>
    <w:rsid w:val="00D329AC"/>
    <w:rsid w:val="00D33986"/>
    <w:rsid w:val="00D343E9"/>
    <w:rsid w:val="00D344ED"/>
    <w:rsid w:val="00D34625"/>
    <w:rsid w:val="00D4132D"/>
    <w:rsid w:val="00D4445F"/>
    <w:rsid w:val="00D47DC4"/>
    <w:rsid w:val="00D523D0"/>
    <w:rsid w:val="00D5326A"/>
    <w:rsid w:val="00D53CC5"/>
    <w:rsid w:val="00D568F7"/>
    <w:rsid w:val="00D67848"/>
    <w:rsid w:val="00D71F2D"/>
    <w:rsid w:val="00D73766"/>
    <w:rsid w:val="00D73A26"/>
    <w:rsid w:val="00D74576"/>
    <w:rsid w:val="00D756FD"/>
    <w:rsid w:val="00D76EF8"/>
    <w:rsid w:val="00D81A11"/>
    <w:rsid w:val="00D902E6"/>
    <w:rsid w:val="00D9034C"/>
    <w:rsid w:val="00D920B7"/>
    <w:rsid w:val="00D92347"/>
    <w:rsid w:val="00DA1120"/>
    <w:rsid w:val="00DA1BC0"/>
    <w:rsid w:val="00DA289A"/>
    <w:rsid w:val="00DA521C"/>
    <w:rsid w:val="00DA775A"/>
    <w:rsid w:val="00DA792A"/>
    <w:rsid w:val="00DB0EDA"/>
    <w:rsid w:val="00DB6C7E"/>
    <w:rsid w:val="00DC519B"/>
    <w:rsid w:val="00DC72BE"/>
    <w:rsid w:val="00DD1478"/>
    <w:rsid w:val="00DD290A"/>
    <w:rsid w:val="00DD4163"/>
    <w:rsid w:val="00DD4C5A"/>
    <w:rsid w:val="00DD55C3"/>
    <w:rsid w:val="00DE3EF7"/>
    <w:rsid w:val="00DE712C"/>
    <w:rsid w:val="00DE734F"/>
    <w:rsid w:val="00DF5715"/>
    <w:rsid w:val="00E03FE7"/>
    <w:rsid w:val="00E04C8D"/>
    <w:rsid w:val="00E11015"/>
    <w:rsid w:val="00E12802"/>
    <w:rsid w:val="00E12E52"/>
    <w:rsid w:val="00E14C07"/>
    <w:rsid w:val="00E22A7E"/>
    <w:rsid w:val="00E25A80"/>
    <w:rsid w:val="00E3110C"/>
    <w:rsid w:val="00E33539"/>
    <w:rsid w:val="00E33D8D"/>
    <w:rsid w:val="00E349B4"/>
    <w:rsid w:val="00E411F8"/>
    <w:rsid w:val="00E42EE2"/>
    <w:rsid w:val="00E44C31"/>
    <w:rsid w:val="00E45092"/>
    <w:rsid w:val="00E53FAE"/>
    <w:rsid w:val="00E5428D"/>
    <w:rsid w:val="00E56833"/>
    <w:rsid w:val="00E5759A"/>
    <w:rsid w:val="00E64903"/>
    <w:rsid w:val="00E659E7"/>
    <w:rsid w:val="00E66079"/>
    <w:rsid w:val="00E66459"/>
    <w:rsid w:val="00E66BA7"/>
    <w:rsid w:val="00E71741"/>
    <w:rsid w:val="00E7253A"/>
    <w:rsid w:val="00E72E15"/>
    <w:rsid w:val="00E85B42"/>
    <w:rsid w:val="00E85D7C"/>
    <w:rsid w:val="00E94160"/>
    <w:rsid w:val="00E95595"/>
    <w:rsid w:val="00E96133"/>
    <w:rsid w:val="00EA1BF6"/>
    <w:rsid w:val="00EA1CD0"/>
    <w:rsid w:val="00EA3507"/>
    <w:rsid w:val="00EA3DA2"/>
    <w:rsid w:val="00EA70E7"/>
    <w:rsid w:val="00EA737D"/>
    <w:rsid w:val="00EA747F"/>
    <w:rsid w:val="00EB0FEB"/>
    <w:rsid w:val="00EB1ACC"/>
    <w:rsid w:val="00EB2EF0"/>
    <w:rsid w:val="00EB67ED"/>
    <w:rsid w:val="00EC0D61"/>
    <w:rsid w:val="00EC266F"/>
    <w:rsid w:val="00EC3B3C"/>
    <w:rsid w:val="00EC6849"/>
    <w:rsid w:val="00ED15C9"/>
    <w:rsid w:val="00ED172E"/>
    <w:rsid w:val="00ED23E1"/>
    <w:rsid w:val="00ED2C49"/>
    <w:rsid w:val="00ED4A41"/>
    <w:rsid w:val="00ED5AD7"/>
    <w:rsid w:val="00ED732C"/>
    <w:rsid w:val="00EE04B4"/>
    <w:rsid w:val="00EE05F5"/>
    <w:rsid w:val="00EE216B"/>
    <w:rsid w:val="00EE2523"/>
    <w:rsid w:val="00EE6AB4"/>
    <w:rsid w:val="00EF013B"/>
    <w:rsid w:val="00EF0303"/>
    <w:rsid w:val="00EF618D"/>
    <w:rsid w:val="00EF77D7"/>
    <w:rsid w:val="00F04031"/>
    <w:rsid w:val="00F14143"/>
    <w:rsid w:val="00F144DE"/>
    <w:rsid w:val="00F15BD5"/>
    <w:rsid w:val="00F20A9F"/>
    <w:rsid w:val="00F2528D"/>
    <w:rsid w:val="00F27D6B"/>
    <w:rsid w:val="00F317C1"/>
    <w:rsid w:val="00F33B9F"/>
    <w:rsid w:val="00F344E9"/>
    <w:rsid w:val="00F36516"/>
    <w:rsid w:val="00F37CE9"/>
    <w:rsid w:val="00F40539"/>
    <w:rsid w:val="00F46936"/>
    <w:rsid w:val="00F46DC3"/>
    <w:rsid w:val="00F47D0C"/>
    <w:rsid w:val="00F51BEC"/>
    <w:rsid w:val="00F521FA"/>
    <w:rsid w:val="00F52580"/>
    <w:rsid w:val="00F526F4"/>
    <w:rsid w:val="00F55F8D"/>
    <w:rsid w:val="00F61537"/>
    <w:rsid w:val="00F65913"/>
    <w:rsid w:val="00F67109"/>
    <w:rsid w:val="00F7024E"/>
    <w:rsid w:val="00F721AB"/>
    <w:rsid w:val="00F727C3"/>
    <w:rsid w:val="00F742CD"/>
    <w:rsid w:val="00F8004F"/>
    <w:rsid w:val="00F81C46"/>
    <w:rsid w:val="00F82260"/>
    <w:rsid w:val="00F83B77"/>
    <w:rsid w:val="00F84D3D"/>
    <w:rsid w:val="00F854A9"/>
    <w:rsid w:val="00F863B1"/>
    <w:rsid w:val="00F86EAC"/>
    <w:rsid w:val="00F904E7"/>
    <w:rsid w:val="00F92E62"/>
    <w:rsid w:val="00F95550"/>
    <w:rsid w:val="00F961DC"/>
    <w:rsid w:val="00F96709"/>
    <w:rsid w:val="00F97530"/>
    <w:rsid w:val="00F97BEB"/>
    <w:rsid w:val="00FA01DD"/>
    <w:rsid w:val="00FA1E8E"/>
    <w:rsid w:val="00FA7044"/>
    <w:rsid w:val="00FB1F9E"/>
    <w:rsid w:val="00FB6965"/>
    <w:rsid w:val="00FB6985"/>
    <w:rsid w:val="00FC3E4B"/>
    <w:rsid w:val="00FC7FC3"/>
    <w:rsid w:val="00FD2DB3"/>
    <w:rsid w:val="00FD4CC4"/>
    <w:rsid w:val="00FD5B56"/>
    <w:rsid w:val="00FD6B4F"/>
    <w:rsid w:val="00FD7A7C"/>
    <w:rsid w:val="00FE17F8"/>
    <w:rsid w:val="00FE4EB1"/>
    <w:rsid w:val="00FE5CD1"/>
    <w:rsid w:val="00FE7AA8"/>
    <w:rsid w:val="00FE7CA4"/>
    <w:rsid w:val="00FF201E"/>
    <w:rsid w:val="00FF2A69"/>
    <w:rsid w:val="00FF3AFA"/>
    <w:rsid w:val="00FF433C"/>
    <w:rsid w:val="00FF649D"/>
    <w:rsid w:val="00FF7CBA"/>
    <w:rsid w:val="0229C0E8"/>
    <w:rsid w:val="0339863B"/>
    <w:rsid w:val="0343CF27"/>
    <w:rsid w:val="041B89B4"/>
    <w:rsid w:val="04DF980A"/>
    <w:rsid w:val="04FD5585"/>
    <w:rsid w:val="05D729C2"/>
    <w:rsid w:val="0760678A"/>
    <w:rsid w:val="08240883"/>
    <w:rsid w:val="08B0E450"/>
    <w:rsid w:val="09069204"/>
    <w:rsid w:val="0A293EDE"/>
    <w:rsid w:val="0BA61D63"/>
    <w:rsid w:val="0BC5B0C9"/>
    <w:rsid w:val="0BD74C2C"/>
    <w:rsid w:val="0C5F85B3"/>
    <w:rsid w:val="0CDF4B75"/>
    <w:rsid w:val="0CEE784E"/>
    <w:rsid w:val="0D07D349"/>
    <w:rsid w:val="0D7E431D"/>
    <w:rsid w:val="112A33BA"/>
    <w:rsid w:val="11E9BA8E"/>
    <w:rsid w:val="126880E7"/>
    <w:rsid w:val="1287F3E0"/>
    <w:rsid w:val="1288DC5E"/>
    <w:rsid w:val="1437D8DE"/>
    <w:rsid w:val="157EC094"/>
    <w:rsid w:val="15B48E15"/>
    <w:rsid w:val="15B90B2B"/>
    <w:rsid w:val="165E59D4"/>
    <w:rsid w:val="16733696"/>
    <w:rsid w:val="169E27A5"/>
    <w:rsid w:val="175B2C58"/>
    <w:rsid w:val="1832FC93"/>
    <w:rsid w:val="199834A7"/>
    <w:rsid w:val="19C3F3BA"/>
    <w:rsid w:val="1A24F0A8"/>
    <w:rsid w:val="1A457716"/>
    <w:rsid w:val="1AE1FDE0"/>
    <w:rsid w:val="1B30C1CB"/>
    <w:rsid w:val="1B4BAC93"/>
    <w:rsid w:val="1BD6DCCB"/>
    <w:rsid w:val="1C0712BB"/>
    <w:rsid w:val="1C89ED83"/>
    <w:rsid w:val="1CBC7E10"/>
    <w:rsid w:val="1DDEA603"/>
    <w:rsid w:val="1E2A8719"/>
    <w:rsid w:val="1E4B3136"/>
    <w:rsid w:val="1E81642C"/>
    <w:rsid w:val="1EF6D15C"/>
    <w:rsid w:val="1F5321DF"/>
    <w:rsid w:val="1FAF4D4A"/>
    <w:rsid w:val="20E96EF1"/>
    <w:rsid w:val="211DA278"/>
    <w:rsid w:val="2257D93E"/>
    <w:rsid w:val="22CE4785"/>
    <w:rsid w:val="22E75482"/>
    <w:rsid w:val="22F4816C"/>
    <w:rsid w:val="23311765"/>
    <w:rsid w:val="25F94A6F"/>
    <w:rsid w:val="263F6D86"/>
    <w:rsid w:val="266CD598"/>
    <w:rsid w:val="28520C6C"/>
    <w:rsid w:val="28B734DC"/>
    <w:rsid w:val="28D97D4A"/>
    <w:rsid w:val="2A0A79F0"/>
    <w:rsid w:val="2B68875D"/>
    <w:rsid w:val="2B712A69"/>
    <w:rsid w:val="2BB82B59"/>
    <w:rsid w:val="2BD93C44"/>
    <w:rsid w:val="2D2352DE"/>
    <w:rsid w:val="2D3CECEE"/>
    <w:rsid w:val="2D454C70"/>
    <w:rsid w:val="2D64AA49"/>
    <w:rsid w:val="2D74E0DC"/>
    <w:rsid w:val="2D811E5A"/>
    <w:rsid w:val="2F29858E"/>
    <w:rsid w:val="2F30D335"/>
    <w:rsid w:val="310006F5"/>
    <w:rsid w:val="315E87DE"/>
    <w:rsid w:val="316E8FCF"/>
    <w:rsid w:val="3172C576"/>
    <w:rsid w:val="31B329C0"/>
    <w:rsid w:val="33131BC0"/>
    <w:rsid w:val="33622A19"/>
    <w:rsid w:val="371F240D"/>
    <w:rsid w:val="37403FC9"/>
    <w:rsid w:val="3792CCAA"/>
    <w:rsid w:val="3836FFF7"/>
    <w:rsid w:val="3A67AF70"/>
    <w:rsid w:val="3A951421"/>
    <w:rsid w:val="3AC5EA6D"/>
    <w:rsid w:val="3BD3AE0C"/>
    <w:rsid w:val="3CA9C57C"/>
    <w:rsid w:val="3CFE0EA8"/>
    <w:rsid w:val="3D4F9DC6"/>
    <w:rsid w:val="3D93A134"/>
    <w:rsid w:val="3E444CFD"/>
    <w:rsid w:val="3EACAB58"/>
    <w:rsid w:val="3F0CD9FA"/>
    <w:rsid w:val="40E09A20"/>
    <w:rsid w:val="41451372"/>
    <w:rsid w:val="41BAAE41"/>
    <w:rsid w:val="422F380B"/>
    <w:rsid w:val="423EAD59"/>
    <w:rsid w:val="4349D72F"/>
    <w:rsid w:val="43ACF12B"/>
    <w:rsid w:val="464A29CD"/>
    <w:rsid w:val="470674C2"/>
    <w:rsid w:val="472C1754"/>
    <w:rsid w:val="472D30C3"/>
    <w:rsid w:val="4731CFB4"/>
    <w:rsid w:val="4750F67B"/>
    <w:rsid w:val="47A46D21"/>
    <w:rsid w:val="497F373C"/>
    <w:rsid w:val="4A861A83"/>
    <w:rsid w:val="4ADA2C8B"/>
    <w:rsid w:val="4D05FE64"/>
    <w:rsid w:val="4D07C937"/>
    <w:rsid w:val="4D99403D"/>
    <w:rsid w:val="4EB7A45C"/>
    <w:rsid w:val="5061CB26"/>
    <w:rsid w:val="508E1E46"/>
    <w:rsid w:val="508EEEFF"/>
    <w:rsid w:val="50A99C48"/>
    <w:rsid w:val="50CAD619"/>
    <w:rsid w:val="51B65487"/>
    <w:rsid w:val="5231AB81"/>
    <w:rsid w:val="525CA0BB"/>
    <w:rsid w:val="5274CE6E"/>
    <w:rsid w:val="527BDA99"/>
    <w:rsid w:val="5309BE10"/>
    <w:rsid w:val="531F083C"/>
    <w:rsid w:val="534C694E"/>
    <w:rsid w:val="54337EC0"/>
    <w:rsid w:val="548E76E2"/>
    <w:rsid w:val="5521B9D1"/>
    <w:rsid w:val="55728A8D"/>
    <w:rsid w:val="55A6DCFC"/>
    <w:rsid w:val="561D2D7F"/>
    <w:rsid w:val="56637AE6"/>
    <w:rsid w:val="5697CE68"/>
    <w:rsid w:val="5704361B"/>
    <w:rsid w:val="571C20C7"/>
    <w:rsid w:val="5722A851"/>
    <w:rsid w:val="595D24A1"/>
    <w:rsid w:val="5986C431"/>
    <w:rsid w:val="59EBB724"/>
    <w:rsid w:val="5B003C03"/>
    <w:rsid w:val="5B335AD1"/>
    <w:rsid w:val="5B420EE0"/>
    <w:rsid w:val="5C480A45"/>
    <w:rsid w:val="5C65464D"/>
    <w:rsid w:val="5CCE396D"/>
    <w:rsid w:val="5CF71394"/>
    <w:rsid w:val="5D42031C"/>
    <w:rsid w:val="5DD109B7"/>
    <w:rsid w:val="5DD9A500"/>
    <w:rsid w:val="5E8B436E"/>
    <w:rsid w:val="5F913B33"/>
    <w:rsid w:val="60E083A7"/>
    <w:rsid w:val="6168A0F1"/>
    <w:rsid w:val="626EBEB3"/>
    <w:rsid w:val="6339A4D2"/>
    <w:rsid w:val="636A4BDC"/>
    <w:rsid w:val="641AC2D2"/>
    <w:rsid w:val="65563041"/>
    <w:rsid w:val="659A7806"/>
    <w:rsid w:val="660E6B63"/>
    <w:rsid w:val="66350228"/>
    <w:rsid w:val="666A6181"/>
    <w:rsid w:val="6701D11E"/>
    <w:rsid w:val="67D9B699"/>
    <w:rsid w:val="683506BF"/>
    <w:rsid w:val="6AA43A7D"/>
    <w:rsid w:val="6AF4348D"/>
    <w:rsid w:val="6BBCF49C"/>
    <w:rsid w:val="6CDBD953"/>
    <w:rsid w:val="6D4E9D5E"/>
    <w:rsid w:val="710A5603"/>
    <w:rsid w:val="714602E7"/>
    <w:rsid w:val="71BDA884"/>
    <w:rsid w:val="732DEAF7"/>
    <w:rsid w:val="73D57E8F"/>
    <w:rsid w:val="740B4C89"/>
    <w:rsid w:val="7649E57B"/>
    <w:rsid w:val="766E9F8C"/>
    <w:rsid w:val="76F48ACE"/>
    <w:rsid w:val="7748087A"/>
    <w:rsid w:val="774B5B18"/>
    <w:rsid w:val="77F61B88"/>
    <w:rsid w:val="792C2126"/>
    <w:rsid w:val="79906445"/>
    <w:rsid w:val="7BA06EE2"/>
    <w:rsid w:val="7BD453A1"/>
    <w:rsid w:val="7BE96527"/>
    <w:rsid w:val="7C3CA942"/>
    <w:rsid w:val="7E19C38A"/>
    <w:rsid w:val="7E31B599"/>
    <w:rsid w:val="7F98BE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6F1279"/>
  <w15:docId w15:val="{F4D1DB50-C594-46B2-B03C-CE328E916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5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5D32"/>
    <w:pPr>
      <w:ind w:left="720"/>
      <w:contextualSpacing/>
    </w:pPr>
  </w:style>
  <w:style w:type="character" w:styleId="CommentReference">
    <w:name w:val="annotation reference"/>
    <w:basedOn w:val="DefaultParagraphFont"/>
    <w:uiPriority w:val="99"/>
    <w:semiHidden/>
    <w:unhideWhenUsed/>
    <w:rsid w:val="003743CC"/>
    <w:rPr>
      <w:sz w:val="16"/>
      <w:szCs w:val="16"/>
    </w:rPr>
  </w:style>
  <w:style w:type="paragraph" w:styleId="CommentText">
    <w:name w:val="annotation text"/>
    <w:basedOn w:val="Normal"/>
    <w:link w:val="CommentTextChar"/>
    <w:uiPriority w:val="99"/>
    <w:unhideWhenUsed/>
    <w:rsid w:val="003743CC"/>
    <w:rPr>
      <w:sz w:val="20"/>
      <w:szCs w:val="20"/>
    </w:rPr>
  </w:style>
  <w:style w:type="character" w:customStyle="1" w:styleId="CommentTextChar">
    <w:name w:val="Comment Text Char"/>
    <w:basedOn w:val="DefaultParagraphFont"/>
    <w:link w:val="CommentText"/>
    <w:uiPriority w:val="99"/>
    <w:rsid w:val="003743CC"/>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3743CC"/>
    <w:rPr>
      <w:b/>
      <w:bCs/>
    </w:rPr>
  </w:style>
  <w:style w:type="character" w:customStyle="1" w:styleId="CommentSubjectChar">
    <w:name w:val="Comment Subject Char"/>
    <w:basedOn w:val="CommentTextChar"/>
    <w:link w:val="CommentSubject"/>
    <w:uiPriority w:val="99"/>
    <w:semiHidden/>
    <w:rsid w:val="003743CC"/>
    <w:rPr>
      <w:rFonts w:ascii="Times New Roman" w:hAnsi="Times New Roman" w:cs="Times New Roman"/>
      <w:b/>
      <w:bCs/>
      <w:sz w:val="20"/>
      <w:szCs w:val="20"/>
      <w:lang w:val="fr-FR"/>
    </w:rPr>
  </w:style>
  <w:style w:type="paragraph" w:styleId="Revision">
    <w:name w:val="Revision"/>
    <w:hidden/>
    <w:uiPriority w:val="99"/>
    <w:semiHidden/>
    <w:rsid w:val="007561BD"/>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8244D7"/>
    <w:pPr>
      <w:numPr>
        <w:numId w:val="1"/>
      </w:numPr>
      <w:contextualSpacing/>
    </w:pPr>
  </w:style>
  <w:style w:type="paragraph" w:styleId="ListBullet2">
    <w:name w:val="List Bullet 2"/>
    <w:basedOn w:val="Normal"/>
    <w:uiPriority w:val="99"/>
    <w:semiHidden/>
    <w:unhideWhenUsed/>
    <w:rsid w:val="008244D7"/>
    <w:pPr>
      <w:numPr>
        <w:numId w:val="2"/>
      </w:numPr>
      <w:contextualSpacing/>
    </w:pPr>
  </w:style>
  <w:style w:type="paragraph" w:styleId="ListBullet3">
    <w:name w:val="List Bullet 3"/>
    <w:basedOn w:val="Normal"/>
    <w:uiPriority w:val="99"/>
    <w:semiHidden/>
    <w:unhideWhenUsed/>
    <w:rsid w:val="008244D7"/>
    <w:pPr>
      <w:numPr>
        <w:numId w:val="3"/>
      </w:numPr>
      <w:contextualSpacing/>
    </w:pPr>
  </w:style>
  <w:style w:type="paragraph" w:styleId="ListBullet4">
    <w:name w:val="List Bullet 4"/>
    <w:basedOn w:val="Normal"/>
    <w:uiPriority w:val="99"/>
    <w:semiHidden/>
    <w:unhideWhenUsed/>
    <w:rsid w:val="008244D7"/>
    <w:pPr>
      <w:numPr>
        <w:numId w:val="4"/>
      </w:numPr>
      <w:contextualSpacing/>
    </w:pPr>
  </w:style>
  <w:style w:type="character" w:styleId="Hyperlink">
    <w:name w:val="Hyperlink"/>
    <w:basedOn w:val="DefaultParagraphFont"/>
    <w:uiPriority w:val="99"/>
    <w:unhideWhenUsed/>
    <w:rsid w:val="001B5138"/>
    <w:rPr>
      <w:color w:val="0000FF" w:themeColor="hyperlink"/>
      <w:u w:val="single"/>
    </w:rPr>
  </w:style>
  <w:style w:type="character" w:customStyle="1" w:styleId="UnresolvedMention">
    <w:name w:val="Unresolved Mention"/>
    <w:basedOn w:val="DefaultParagraphFont"/>
    <w:uiPriority w:val="99"/>
    <w:semiHidden/>
    <w:unhideWhenUsed/>
    <w:rsid w:val="001B5138"/>
    <w:rPr>
      <w:color w:val="605E5C"/>
      <w:shd w:val="clear" w:color="auto" w:fill="E1DFDD"/>
    </w:rPr>
  </w:style>
  <w:style w:type="character" w:customStyle="1" w:styleId="HeaderChar">
    <w:name w:val="Header Char"/>
    <w:basedOn w:val="DefaultParagraphFont"/>
    <w:link w:val="Header"/>
    <w:uiPriority w:val="99"/>
    <w:rsid w:val="00484B0E"/>
    <w:rPr>
      <w:rFonts w:ascii="Times New Roman" w:hAnsi="Times New Roman" w:cs="Times New Roman"/>
      <w:sz w:val="24"/>
      <w:lang w:val="fr-FR"/>
    </w:rPr>
  </w:style>
  <w:style w:type="character" w:customStyle="1" w:styleId="FooterChar">
    <w:name w:val="Footer Char"/>
    <w:basedOn w:val="DefaultParagraphFont"/>
    <w:link w:val="Footer"/>
    <w:uiPriority w:val="99"/>
    <w:rsid w:val="00484B0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84B0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84B0E"/>
    <w:pPr>
      <w:spacing w:before="0"/>
      <w:jc w:val="right"/>
    </w:pPr>
    <w:rPr>
      <w:sz w:val="28"/>
    </w:rPr>
  </w:style>
  <w:style w:type="paragraph" w:customStyle="1" w:styleId="FooterSensitivity">
    <w:name w:val="Footer Sensitivity"/>
    <w:basedOn w:val="Normal"/>
    <w:rsid w:val="00484B0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484B0E"/>
    <w:pPr>
      <w:tabs>
        <w:tab w:val="center" w:pos="4535"/>
        <w:tab w:val="right" w:pos="9071"/>
      </w:tabs>
      <w:spacing w:before="0"/>
    </w:pPr>
  </w:style>
  <w:style w:type="paragraph" w:customStyle="1" w:styleId="HeaderLandscape">
    <w:name w:val="HeaderLandscape"/>
    <w:basedOn w:val="Normal"/>
    <w:rsid w:val="00484B0E"/>
    <w:pPr>
      <w:tabs>
        <w:tab w:val="center" w:pos="7285"/>
        <w:tab w:val="right" w:pos="14003"/>
      </w:tabs>
      <w:spacing w:before="0"/>
    </w:pPr>
  </w:style>
  <w:style w:type="paragraph" w:styleId="Footer">
    <w:name w:val="footer"/>
    <w:basedOn w:val="Normal"/>
    <w:link w:val="FooterChar"/>
    <w:uiPriority w:val="99"/>
    <w:unhideWhenUsed/>
    <w:rsid w:val="00484B0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84B0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542544">
      <w:bodyDiv w:val="1"/>
      <w:marLeft w:val="0"/>
      <w:marRight w:val="0"/>
      <w:marTop w:val="0"/>
      <w:marBottom w:val="0"/>
      <w:divBdr>
        <w:top w:val="none" w:sz="0" w:space="0" w:color="auto"/>
        <w:left w:val="none" w:sz="0" w:space="0" w:color="auto"/>
        <w:bottom w:val="none" w:sz="0" w:space="0" w:color="auto"/>
        <w:right w:val="none" w:sz="0" w:space="0" w:color="auto"/>
      </w:divBdr>
    </w:div>
    <w:div w:id="1475415624">
      <w:bodyDiv w:val="1"/>
      <w:marLeft w:val="0"/>
      <w:marRight w:val="0"/>
      <w:marTop w:val="0"/>
      <w:marBottom w:val="0"/>
      <w:divBdr>
        <w:top w:val="none" w:sz="0" w:space="0" w:color="auto"/>
        <w:left w:val="none" w:sz="0" w:space="0" w:color="auto"/>
        <w:bottom w:val="none" w:sz="0" w:space="0" w:color="auto"/>
        <w:right w:val="none" w:sz="0" w:space="0" w:color="auto"/>
      </w:divBdr>
    </w:div>
    <w:div w:id="1542092658">
      <w:bodyDiv w:val="1"/>
      <w:marLeft w:val="0"/>
      <w:marRight w:val="0"/>
      <w:marTop w:val="0"/>
      <w:marBottom w:val="0"/>
      <w:divBdr>
        <w:top w:val="none" w:sz="0" w:space="0" w:color="auto"/>
        <w:left w:val="none" w:sz="0" w:space="0" w:color="auto"/>
        <w:bottom w:val="none" w:sz="0" w:space="0" w:color="auto"/>
        <w:right w:val="none" w:sz="0" w:space="0" w:color="auto"/>
      </w:divBdr>
    </w:div>
    <w:div w:id="2005355017">
      <w:bodyDiv w:val="1"/>
      <w:marLeft w:val="0"/>
      <w:marRight w:val="0"/>
      <w:marTop w:val="0"/>
      <w:marBottom w:val="0"/>
      <w:divBdr>
        <w:top w:val="none" w:sz="0" w:space="0" w:color="auto"/>
        <w:left w:val="none" w:sz="0" w:space="0" w:color="auto"/>
        <w:bottom w:val="none" w:sz="0" w:space="0" w:color="auto"/>
        <w:right w:val="none" w:sz="0" w:space="0" w:color="auto"/>
      </w:divBdr>
    </w:div>
    <w:div w:id="211320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7792870D9CFF4C91BFD4828B009132" ma:contentTypeVersion="3" ma:contentTypeDescription="Create a new document." ma:contentTypeScope="" ma:versionID="7549d85e0e9e7ffadaf40b42fae2d304">
  <xsd:schema xmlns:xsd="http://www.w3.org/2001/XMLSchema" xmlns:xs="http://www.w3.org/2001/XMLSchema" xmlns:p="http://schemas.microsoft.com/office/2006/metadata/properties" xmlns:ns2="d3620702-34ba-484e-bd5e-bf40cc0d0ccd" targetNamespace="http://schemas.microsoft.com/office/2006/metadata/properties" ma:root="true" ma:fieldsID="fe45252b22b37e02c1c182143d7082cc" ns2:_="">
    <xsd:import namespace="d3620702-34ba-484e-bd5e-bf40cc0d0c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20702-34ba-484e-bd5e-bf40cc0d0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7C1AC6-7C65-41DC-9C86-73351A0D3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20702-34ba-484e-bd5e-bf40cc0d0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A792C3-E405-4835-88E4-A01192FEDC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79EAFD-03D6-4E2A-A801-F6D4D40D3B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104</TotalTime>
  <Pages>8</Pages>
  <Words>2208</Words>
  <Characters>12589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52</cp:revision>
  <cp:lastPrinted>2026-06-30T15:00:00Z</cp:lastPrinted>
  <dcterms:created xsi:type="dcterms:W3CDTF">2026-06-24T18:58:00Z</dcterms:created>
  <dcterms:modified xsi:type="dcterms:W3CDTF">2026-08-04T07:56:00Z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2026-04-09T13:32:24Z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fd761719-a028-4a46-831e-0a3645dfc783</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0x0101000F7792870D9CFF4C91BFD4828B009132</vt:lpwstr>
  </property>
  <property fmtid="{D5CDD505-2E9C-101B-9397-08002B2CF9AE}" pid="22" name="DQCStatus">
    <vt:lpwstr>Green (DQC version 03)</vt:lpwstr>
  </property>
</Properties>
</file>