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4B1D7B" w:rsidRDefault="00CD7DDF" w:rsidP="00CD7DD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3EBDA6D-83AB-4B80-97BE-587B4B1C4AB1" style="width:455.25pt;height:357.75pt">
            <v:imagedata r:id="rId11" o:title=""/>
          </v:shape>
        </w:pict>
      </w:r>
    </w:p>
    <w:p w:rsidR="001F515E" w:rsidRPr="004B1D7B" w:rsidRDefault="001F515E" w:rsidP="001F515E">
      <w:pPr>
        <w:rPr>
          <w:noProof/>
        </w:rPr>
        <w:sectPr w:rsidR="001F515E" w:rsidRPr="004B1D7B" w:rsidSect="00CD7DD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1F515E" w:rsidRPr="004E291D" w:rsidRDefault="001F515E">
      <w:pPr>
        <w:pStyle w:val="Exposdesmotifstitre"/>
        <w:rPr>
          <w:noProof/>
        </w:rPr>
      </w:pPr>
      <w:bookmarkStart w:id="0" w:name="_GoBack"/>
      <w:bookmarkEnd w:id="0"/>
      <w:r w:rsidRPr="004E291D">
        <w:rPr>
          <w:noProof/>
        </w:rPr>
        <w:lastRenderedPageBreak/>
        <w:t>EXPUNERE DE MOTIVE</w:t>
      </w:r>
    </w:p>
    <w:p w:rsidR="000D2455" w:rsidRPr="004E291D" w:rsidRDefault="000D2455" w:rsidP="000D2455">
      <w:pPr>
        <w:pStyle w:val="ManualHeading1"/>
        <w:widowControl w:val="0"/>
        <w:shd w:val="clear" w:color="auto" w:fill="FFFFFF" w:themeFill="background1"/>
        <w:spacing w:before="230" w:after="0" w:line="269" w:lineRule="exact"/>
        <w:ind w:right="86"/>
        <w:rPr>
          <w:noProof/>
          <w:color w:val="008000"/>
        </w:rPr>
      </w:pPr>
      <w:r w:rsidRPr="004E291D">
        <w:rPr>
          <w:noProof/>
        </w:rPr>
        <w:t>(1)</w:t>
      </w:r>
      <w:r w:rsidRPr="004E291D">
        <w:rPr>
          <w:noProof/>
        </w:rPr>
        <w:tab/>
        <w:t>CONTEXTUL PROPUNERII</w:t>
      </w:r>
    </w:p>
    <w:p w:rsidR="000D2455" w:rsidRPr="004E291D" w:rsidRDefault="000D2455" w:rsidP="000D2455">
      <w:pPr>
        <w:pStyle w:val="ManualHeading2"/>
        <w:rPr>
          <w:rFonts w:eastAsia="Arial Unicode MS"/>
          <w:noProof/>
        </w:rPr>
      </w:pPr>
      <w:r w:rsidRPr="004E291D">
        <w:rPr>
          <w:noProof/>
          <w:color w:val="000000"/>
          <w:u w:color="000000"/>
          <w:bdr w:val="nil"/>
        </w:rPr>
        <w:t>•</w:t>
      </w:r>
      <w:r w:rsidRPr="004E291D">
        <w:rPr>
          <w:noProof/>
          <w:color w:val="000000"/>
          <w:u w:color="000000"/>
          <w:bdr w:val="nil"/>
        </w:rPr>
        <w:tab/>
      </w:r>
      <w:r w:rsidRPr="004E291D">
        <w:rPr>
          <w:noProof/>
        </w:rPr>
        <w:t>Motivele și obiectivele propunerii</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Regulamentul (UE) 2025/2643 al Parlamentului European și al Consiliului de stabilire a Programului privind industria europeană de apărare și a unui cadru de măsuri care să asigure disponibilitatea și aprovizionarea în timp util cu produse din domeniul apărării („Regulamentul EDIP”) prevede, la articolul 35, posibilitatea identificării unor proiecte europene de interes comun în domeniul apărării („ED</w:t>
      </w:r>
      <w:r w:rsidR="004B1D7B">
        <w:rPr>
          <w:noProof/>
        </w:rPr>
        <w:t>P</w:t>
      </w:r>
      <w:r w:rsidRPr="004B1D7B">
        <w:rPr>
          <w:noProof/>
        </w:rPr>
        <w:t>CI”).</w:t>
      </w:r>
    </w:p>
    <w:p w:rsidR="006E4899"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EDPCI constau în proiecte industriale de colaborare menite să consolideze competitivitatea EDTIB pe tot cuprinsul Uniunii, contribuind în același timp la dezvoltarea capabilităților militare ale statelor membre care sunt esențiale pentru interesele de securitate și apărare ale Uniunii, inclusiv a acelor capabilități care asigură accesul la toate domeniile operaționale.</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În temeiul articolului 35 alineatul (3) din Regulamentul (UE) 2025/2643, Consiliul, hotărând la propunerea Comisiei, poate adopta acte de punere în aplicare pentru identificarea EDPCI. Prezenta propunere îndeplinește această cerință prin stabilirea unui prim set de proiecte care îndeplinesc condițiile prevăzute în Regulamentul EDIP pentru a le identifica drept EDPCI.</w:t>
      </w:r>
    </w:p>
    <w:p w:rsidR="00A9047C" w:rsidRPr="004B1D7B" w:rsidRDefault="00A9047C" w:rsidP="00A9047C">
      <w:pPr>
        <w:pBdr>
          <w:top w:val="nil"/>
          <w:left w:val="nil"/>
          <w:bottom w:val="nil"/>
          <w:right w:val="nil"/>
          <w:between w:val="nil"/>
          <w:bar w:val="nil"/>
        </w:pBdr>
        <w:spacing w:before="0" w:after="240"/>
        <w:rPr>
          <w:rFonts w:eastAsia="Arial Unicode MS"/>
          <w:noProof/>
        </w:rPr>
      </w:pPr>
      <w:r w:rsidRPr="004B1D7B">
        <w:rPr>
          <w:noProof/>
        </w:rPr>
        <w:t>Lista proiectelor din cadrul prezentei propuneri se bazează pe o evaluare de către Comisie, cu sprijinul Înaltului Reprezentant al Uniunii pentru afaceri externe și politica de securitate (denumit în continuare „Înaltul Reprezentant”), precum și al Agenției Europene de Apărare (AEA), a conformității proiectelor prezentate de statele membre în conformitate cu articolul 35 alineatul (4) cu criteriile stabilite în Regulamentul EDIP. Se consideră că proiectele propuse pentru a fi identificate drept EDPCI aduc o contribuție substanțială la pregătirea pentru apărare a Uniunii prin promovarea dezvoltării colaborative și a achizițiilor publice, prin sprijinirea intensificării capacităților industriale acolo unde este necesar și prin îmbunătățirea interoperabilității și a standardizării în toate statele membre participante.</w:t>
      </w:r>
    </w:p>
    <w:p w:rsidR="000D2455" w:rsidRPr="004E291D" w:rsidRDefault="000D2455" w:rsidP="000D2455">
      <w:pPr>
        <w:pStyle w:val="ManualHeading1"/>
        <w:pBdr>
          <w:top w:val="nil"/>
          <w:left w:val="nil"/>
          <w:bottom w:val="nil"/>
          <w:right w:val="nil"/>
          <w:between w:val="nil"/>
          <w:bar w:val="nil"/>
        </w:pBdr>
        <w:spacing w:before="0" w:after="240"/>
        <w:rPr>
          <w:rFonts w:eastAsia="Arial Unicode MS"/>
          <w:noProof/>
        </w:rPr>
      </w:pPr>
      <w:r w:rsidRPr="004E291D">
        <w:rPr>
          <w:noProof/>
        </w:rPr>
        <w:t>(2)</w:t>
      </w:r>
      <w:r w:rsidRPr="004E291D">
        <w:rPr>
          <w:noProof/>
        </w:rPr>
        <w:tab/>
        <w:t>TEMEI JURIDIC, SUBSIDIARITATE ȘI PROPORȚIONALITATE</w:t>
      </w:r>
    </w:p>
    <w:p w:rsidR="000D2455" w:rsidRPr="004E291D" w:rsidRDefault="000D2455" w:rsidP="000D2455">
      <w:pPr>
        <w:pStyle w:val="ManualHeading2"/>
        <w:rPr>
          <w:rFonts w:eastAsia="Arial Unicode MS"/>
          <w:noProof/>
          <w:u w:color="000000"/>
          <w:bdr w:val="nil"/>
        </w:rPr>
      </w:pPr>
      <w:r w:rsidRPr="004E291D">
        <w:rPr>
          <w:noProof/>
          <w:u w:color="000000"/>
          <w:bdr w:val="nil"/>
        </w:rPr>
        <w:t>•</w:t>
      </w:r>
      <w:r w:rsidRPr="004E291D">
        <w:rPr>
          <w:noProof/>
          <w:u w:color="000000"/>
          <w:bdr w:val="nil"/>
        </w:rPr>
        <w:tab/>
        <w:t>Temei juridic</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Temeiul juridic al propunerii de decizie de punere în aplicare a Consiliului este articolul 35 alineatul (3) din Regulamentul (UE) 2025/2643. Această dispoziție împuternicește Consiliul, hotărând la propunerea Comisiei, să adopte un act de punere în aplicare care să identifice proiectele europene de interes comun în domeniul apărării.</w:t>
      </w:r>
    </w:p>
    <w:p w:rsidR="000D2455" w:rsidRPr="004B1D7B" w:rsidRDefault="000D2455" w:rsidP="000D2455">
      <w:pPr>
        <w:pBdr>
          <w:top w:val="nil"/>
          <w:left w:val="nil"/>
          <w:bottom w:val="nil"/>
          <w:right w:val="nil"/>
          <w:between w:val="nil"/>
          <w:bar w:val="nil"/>
        </w:pBdr>
        <w:spacing w:before="0" w:after="240"/>
        <w:rPr>
          <w:rFonts w:eastAsia="Arial Unicode MS"/>
          <w:noProof/>
          <w:bdr w:val="nil"/>
        </w:rPr>
      </w:pPr>
      <w:r w:rsidRPr="004B1D7B">
        <w:rPr>
          <w:noProof/>
          <w:bdr w:val="nil"/>
        </w:rPr>
        <w:t>•</w:t>
      </w:r>
      <w:r w:rsidRPr="004B1D7B">
        <w:rPr>
          <w:noProof/>
          <w:u w:color="000000"/>
          <w:bdr w:val="nil"/>
        </w:rPr>
        <w:tab/>
      </w:r>
      <w:r w:rsidRPr="004E291D">
        <w:rPr>
          <w:b/>
          <w:noProof/>
          <w:bdr w:val="nil"/>
        </w:rPr>
        <w:t>Subsidiaritate</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Propunerea se referă la un domeniu de competență partajată, în special la dimensiunea industrială a pregătirii pentru apărare a Uniunii. Statele membre acționând în mod individual nu vor putea atinge singure și la un nivel satisfăcător obiectivele urmărite de propunere.</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În temeiul articolului 35 din Regulamentul (UE) 2025/2643, identificarea EDPCI necesită o evaluare la nivelul Uniunii a proiectelor pe baza criteriilor comune prevăzute în Regulamentul EDIP și o determinare comună a faptului că proiectele servesc unui interes european comun. Este necesară o acțiune la nivelul Uniunii pentru a asigura coerența, transparența și egalitatea de tratament în identificarea unor astfel de proiecte și pentru a oferi un cadru comun pentru proiectele ale căror justificare și efecte sunt inerent transnaționale.</w:t>
      </w:r>
    </w:p>
    <w:p w:rsidR="000D2455" w:rsidRPr="004E291D" w:rsidRDefault="000D2455" w:rsidP="000D2455">
      <w:pPr>
        <w:pStyle w:val="ManualHeading2"/>
        <w:rPr>
          <w:rFonts w:eastAsia="Arial Unicode MS"/>
          <w:noProof/>
          <w:u w:color="000000"/>
          <w:bdr w:val="nil"/>
        </w:rPr>
      </w:pPr>
      <w:r w:rsidRPr="004E291D">
        <w:rPr>
          <w:noProof/>
          <w:u w:color="000000"/>
          <w:bdr w:val="nil"/>
        </w:rPr>
        <w:lastRenderedPageBreak/>
        <w:t>•</w:t>
      </w:r>
      <w:r w:rsidRPr="004E291D">
        <w:rPr>
          <w:noProof/>
          <w:u w:color="000000"/>
          <w:bdr w:val="nil"/>
        </w:rPr>
        <w:tab/>
        <w:t>Proporționalitatea</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Propunerea respectă principiul proporționalității, astfel cum este prevăzut la articolul 5 din Tratatul privind Uniunea Europeană. Aceasta se limitează la ceea ce este necesar pentru punerea în aplicare a articolului 35 alineatul (3) din Regulamentul EDIP.</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Propunerea de decizie de punere în aplicare a Consiliului nu creează obligații în plus față de cele necesare pentru identificarea EDPCI în temeiul cadrului juridic instituit prin actul de bază.</w:t>
      </w:r>
    </w:p>
    <w:p w:rsidR="000D2455" w:rsidRPr="004E291D" w:rsidRDefault="008E77C0" w:rsidP="000D2455">
      <w:pPr>
        <w:pStyle w:val="ManualHeading1"/>
        <w:rPr>
          <w:noProof/>
        </w:rPr>
      </w:pPr>
      <w:r w:rsidRPr="004E291D">
        <w:rPr>
          <w:noProof/>
        </w:rPr>
        <w:t>(3)</w:t>
      </w:r>
      <w:r w:rsidRPr="004E291D">
        <w:rPr>
          <w:noProof/>
        </w:rPr>
        <w:tab/>
        <w:t>IMPLICAȚII BUGETARE</w:t>
      </w:r>
    </w:p>
    <w:p w:rsidR="0037183B" w:rsidRPr="004B1D7B" w:rsidRDefault="0037183B" w:rsidP="0037183B">
      <w:pPr>
        <w:pBdr>
          <w:top w:val="nil"/>
          <w:left w:val="nil"/>
          <w:bottom w:val="nil"/>
          <w:right w:val="nil"/>
          <w:between w:val="nil"/>
        </w:pBdr>
        <w:spacing w:before="0" w:after="240"/>
        <w:rPr>
          <w:noProof/>
        </w:rPr>
      </w:pPr>
      <w:r w:rsidRPr="004B1D7B">
        <w:rPr>
          <w:noProof/>
        </w:rPr>
        <w:t>Finanțarea EDPCI poate fi asigurată din pachetul bugetar identificat în acest scop în programul de lucru adoptat în temeiul articolului 21 din Regulamentul privind EDIP. Prezenta decizie nu aduce atingere niciunei decizii ulterioare de acordare a unei finanțări din partea Uniunii.</w:t>
      </w:r>
    </w:p>
    <w:p w:rsidR="0037183B" w:rsidRPr="004B1D7B" w:rsidRDefault="0037183B" w:rsidP="0037183B">
      <w:pPr>
        <w:pBdr>
          <w:top w:val="nil"/>
          <w:left w:val="nil"/>
          <w:bottom w:val="nil"/>
          <w:right w:val="nil"/>
          <w:between w:val="nil"/>
        </w:pBdr>
        <w:spacing w:before="0" w:after="240"/>
        <w:rPr>
          <w:noProof/>
        </w:rPr>
      </w:pPr>
      <w:r w:rsidRPr="004B1D7B">
        <w:rPr>
          <w:noProof/>
        </w:rPr>
        <w:t>După înființare, grupul de state membre (și potențialele structuri viitoare pentru un program european de armament) care participă la un EDPCI ar fi eligibile și ar primi finanțare în temeiul articolului 35 din Regulamentul privind EDIP, în conformitate cu o procedură specifică.</w:t>
      </w:r>
    </w:p>
    <w:p w:rsidR="000D2455" w:rsidRPr="004E291D" w:rsidRDefault="008E77C0" w:rsidP="000D2455">
      <w:pPr>
        <w:pStyle w:val="ManualHeading1"/>
        <w:rPr>
          <w:noProof/>
        </w:rPr>
      </w:pPr>
      <w:r w:rsidRPr="004E291D">
        <w:rPr>
          <w:noProof/>
        </w:rPr>
        <w:t>(4)</w:t>
      </w:r>
      <w:r w:rsidRPr="004E291D">
        <w:rPr>
          <w:noProof/>
        </w:rPr>
        <w:tab/>
        <w:t>ALTE ELEMENTE</w:t>
      </w:r>
    </w:p>
    <w:p w:rsidR="000D2455" w:rsidRPr="004E291D" w:rsidRDefault="000D2455" w:rsidP="000D2455">
      <w:pPr>
        <w:pBdr>
          <w:top w:val="nil"/>
          <w:left w:val="nil"/>
          <w:bottom w:val="nil"/>
          <w:right w:val="nil"/>
          <w:between w:val="nil"/>
        </w:pBdr>
        <w:spacing w:before="0" w:after="240"/>
        <w:rPr>
          <w:rFonts w:eastAsia="Arial Unicode MS"/>
          <w:b/>
          <w:bCs/>
          <w:noProof/>
        </w:rPr>
      </w:pPr>
      <w:r w:rsidRPr="004B1D7B">
        <w:rPr>
          <w:noProof/>
        </w:rPr>
        <w:t>•</w:t>
      </w:r>
      <w:r w:rsidR="004B1D7B">
        <w:rPr>
          <w:noProof/>
        </w:rPr>
        <w:tab/>
      </w:r>
      <w:r w:rsidRPr="004E291D">
        <w:rPr>
          <w:b/>
          <w:noProof/>
        </w:rPr>
        <w:t xml:space="preserve">Etape procedurale pentru identificarea proiectelor europene de interes comun în domeniul apărării (EPDCI) </w:t>
      </w:r>
    </w:p>
    <w:p w:rsidR="000D2455" w:rsidRPr="004B1D7B" w:rsidRDefault="000D2455" w:rsidP="00641AE7">
      <w:pPr>
        <w:pStyle w:val="Point0"/>
        <w:rPr>
          <w:rFonts w:eastAsia="Times New Roman"/>
          <w:noProof/>
          <w:color w:val="000000" w:themeColor="text1"/>
          <w:szCs w:val="24"/>
        </w:rPr>
      </w:pPr>
      <w:r>
        <w:rPr>
          <w:noProof/>
        </w:rPr>
        <w:t>(1)</w:t>
      </w:r>
      <w:r>
        <w:rPr>
          <w:noProof/>
        </w:rPr>
        <w:tab/>
      </w:r>
      <w:r w:rsidRPr="004B1D7B">
        <w:rPr>
          <w:noProof/>
          <w:color w:val="000000" w:themeColor="text1"/>
        </w:rPr>
        <w:t xml:space="preserve">La 16 februarie 2026, Comisia a lansat o cerere de exprimare a interesului menită să consulte statele membre ale UE într-un mod incluziv cu privire la identificarea unor posibile proiecte europene de interes comun în domeniul apărării (EDPCI), în temeiul articolului 35 din Regulamentul (UE) 2025/2643. Până la termenul de 29 mai 2026, statele membre au prezentat nouă propuneri de proiecte pentru posibile EDPCI. </w:t>
      </w:r>
    </w:p>
    <w:p w:rsidR="00110981" w:rsidRPr="004B1D7B" w:rsidRDefault="00110981" w:rsidP="00025080">
      <w:pPr>
        <w:pStyle w:val="Point0"/>
        <w:rPr>
          <w:rFonts w:eastAsia="Times New Roman"/>
          <w:noProof/>
          <w:color w:val="000000" w:themeColor="text1"/>
          <w:szCs w:val="24"/>
        </w:rPr>
      </w:pPr>
      <w:r>
        <w:rPr>
          <w:noProof/>
        </w:rPr>
        <w:t>(2)</w:t>
      </w:r>
      <w:r>
        <w:rPr>
          <w:noProof/>
        </w:rPr>
        <w:tab/>
      </w:r>
      <w:r w:rsidRPr="004B1D7B">
        <w:rPr>
          <w:noProof/>
          <w:color w:val="000000" w:themeColor="text1"/>
        </w:rPr>
        <w:t xml:space="preserve">Comisia a invitat Înaltul Reprezentant al Uniunii pentru afaceri externe și politica de securitate (denumit în continuare „Înaltul Reprezentant”), prin intermediul Serviciului European de Acțiune Externă (SEAE), inclusiv Statul-Major al UE (EUMS), precum și Agenția Europeană de Apărare (AEA), să își furnizeze expertiza în vederea asigurării coerenței cu prioritățile și obiectivele menționate la articolul 35 alineatul (2) literele (b), (c) și (d) și să completeze informațiile furnizate de statele membre cu privire la propunerile de proiecte. </w:t>
      </w:r>
    </w:p>
    <w:p w:rsidR="000D2455" w:rsidRPr="004B1D7B" w:rsidRDefault="000D2455" w:rsidP="00025080">
      <w:pPr>
        <w:pStyle w:val="Point0"/>
        <w:rPr>
          <w:rFonts w:eastAsia="Times New Roman"/>
          <w:noProof/>
          <w:color w:val="000000" w:themeColor="text1"/>
          <w:szCs w:val="24"/>
        </w:rPr>
      </w:pPr>
      <w:r>
        <w:rPr>
          <w:noProof/>
        </w:rPr>
        <w:t>(3)</w:t>
      </w:r>
      <w:r>
        <w:rPr>
          <w:noProof/>
        </w:rPr>
        <w:tab/>
      </w:r>
      <w:r w:rsidRPr="004B1D7B">
        <w:rPr>
          <w:noProof/>
          <w:color w:val="000000" w:themeColor="text1"/>
        </w:rPr>
        <w:t>Comisia a verificat dacă toate statele membre și țările asociate și, dacă este cazul, Ucraina, au fost informate cu privire la apariția unui proiect și dacă li s-a oferit posibilitatea de a participa.</w:t>
      </w:r>
    </w:p>
    <w:p w:rsidR="000B4F45" w:rsidRPr="004B1D7B" w:rsidRDefault="000B4F45" w:rsidP="00025080">
      <w:pPr>
        <w:pStyle w:val="Point0"/>
        <w:rPr>
          <w:noProof/>
        </w:rPr>
      </w:pPr>
      <w:r>
        <w:rPr>
          <w:noProof/>
        </w:rPr>
        <w:t>(4)</w:t>
      </w:r>
      <w:r>
        <w:rPr>
          <w:noProof/>
        </w:rPr>
        <w:tab/>
      </w:r>
      <w:r w:rsidRPr="004B1D7B">
        <w:rPr>
          <w:noProof/>
        </w:rPr>
        <w:t>Comisia a verificat, luând în considerare și informațiile furnizate de SEAE, inclusiv de EUMS și de AEA, conformitatea propunerilor de proiecte pentru posibile EDPCI în cadrul cererii de exprimare a interesului cu criteriile prevăzute la articolul 35 alineatul (2) din Regulamentul (UE) 2025/2643.</w:t>
      </w:r>
    </w:p>
    <w:p w:rsidR="000D2455" w:rsidRPr="004E291D" w:rsidRDefault="000D2455" w:rsidP="000D2455">
      <w:pPr>
        <w:pStyle w:val="ManualHeading2"/>
        <w:rPr>
          <w:rFonts w:eastAsia="Arial Unicode MS"/>
          <w:noProof/>
          <w:bdr w:val="nil"/>
        </w:rPr>
      </w:pPr>
      <w:r w:rsidRPr="004E291D">
        <w:rPr>
          <w:noProof/>
          <w:bdr w:val="nil"/>
        </w:rPr>
        <w:t>•</w:t>
      </w:r>
      <w:r w:rsidRPr="004E291D">
        <w:rPr>
          <w:noProof/>
          <w:bdr w:val="nil"/>
        </w:rPr>
        <w:tab/>
        <w:t>Explicarea detaliată a dispozițiilor specifice ale propunerii</w:t>
      </w:r>
    </w:p>
    <w:p w:rsidR="000D2455"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 xml:space="preserve">Articolul 1 din propunerea Comisiei de decizie de punere în aplicare a Consiliului constituie dispoziția operativă care indică faptul că proiectele enumerate în anexă trebuie identificate ca </w:t>
      </w:r>
      <w:r w:rsidRPr="004B1D7B">
        <w:rPr>
          <w:noProof/>
        </w:rPr>
        <w:lastRenderedPageBreak/>
        <w:t>fiind primele proiecte europene de interes comun în domeniul apărării (EDPCI), în temeiul articolului 35 din Regulamentul (UE) 2025/2643.</w:t>
      </w:r>
    </w:p>
    <w:p w:rsidR="00F0184C" w:rsidRPr="004B1D7B" w:rsidRDefault="000D2455" w:rsidP="000D2455">
      <w:pPr>
        <w:pBdr>
          <w:top w:val="nil"/>
          <w:left w:val="nil"/>
          <w:bottom w:val="nil"/>
          <w:right w:val="nil"/>
          <w:between w:val="nil"/>
          <w:bar w:val="nil"/>
        </w:pBdr>
        <w:spacing w:before="0" w:after="240"/>
        <w:rPr>
          <w:rFonts w:eastAsia="Arial Unicode MS"/>
          <w:noProof/>
        </w:rPr>
      </w:pPr>
      <w:r w:rsidRPr="004B1D7B">
        <w:rPr>
          <w:noProof/>
        </w:rPr>
        <w:t xml:space="preserve">Anexa la decizie enumeră cele cinci proiecte care urmează să fie identificate drept EDPCI și stabilește, pentru fiecare dintre acestea, principalele obiective și caracteristici, țările participante și dimensiunea financiară globală estimată, astfel cum se prevede la articolul 35 alineatul (6) din Regulamentul (UE) 2025/2643. </w:t>
      </w:r>
    </w:p>
    <w:p w:rsidR="000D2455" w:rsidRPr="004B1D7B" w:rsidRDefault="00366380" w:rsidP="000D2455">
      <w:pPr>
        <w:pBdr>
          <w:top w:val="nil"/>
          <w:left w:val="nil"/>
          <w:bottom w:val="nil"/>
          <w:right w:val="nil"/>
          <w:between w:val="nil"/>
          <w:bar w:val="nil"/>
        </w:pBdr>
        <w:spacing w:before="0" w:after="240"/>
        <w:rPr>
          <w:rFonts w:eastAsia="Arial Unicode MS"/>
          <w:noProof/>
        </w:rPr>
      </w:pPr>
      <w:r w:rsidRPr="004B1D7B">
        <w:rPr>
          <w:noProof/>
        </w:rPr>
        <w:t>În plus, în conformitate cu articolul 35 alineatul (14), Comisia trebuie să fie în măsură, după caz, să participe la proiecte, iar statele membre participante pot decide să implice Înaltul Reprezentant și AEA în calitate de observatori în cadrul unui EDPCI. Prin urmare, participarea propusă a Comisiei și implicarea Înaltului Reprezentant și a AEA în calitate de observatori sunt, de asemenea, enumerate în anexă, pentru a spori transparența și a oferi claritate în ceea ce privește cadrul fiecărui EDPCI identificat.</w:t>
      </w:r>
    </w:p>
    <w:p w:rsidR="00B7126A" w:rsidRPr="004E291D" w:rsidRDefault="000D2455" w:rsidP="00A45E8A">
      <w:pPr>
        <w:pStyle w:val="ManualHeading2"/>
        <w:rPr>
          <w:rFonts w:eastAsia="Arial Unicode MS"/>
          <w:noProof/>
          <w:u w:color="000000"/>
          <w:bdr w:val="nil"/>
        </w:rPr>
      </w:pPr>
      <w:r w:rsidRPr="004E291D">
        <w:rPr>
          <w:noProof/>
          <w:bdr w:val="nil"/>
        </w:rPr>
        <w:t>•</w:t>
      </w:r>
      <w:r w:rsidRPr="004E291D">
        <w:rPr>
          <w:noProof/>
          <w:u w:color="000000"/>
          <w:bdr w:val="nil"/>
        </w:rPr>
        <w:tab/>
      </w:r>
      <w:r w:rsidRPr="004E291D">
        <w:rPr>
          <w:noProof/>
        </w:rPr>
        <w:t>Explicație detaliată privind verificarea conformității propunerilor de EDPCI cu criteriile prevăzute la articolul 35 alineatul (2) din Regulamentul (UE) 2025/2643</w:t>
      </w:r>
    </w:p>
    <w:p w:rsidR="00D14B3D" w:rsidRPr="004B1D7B" w:rsidRDefault="00D14B3D" w:rsidP="005752F4">
      <w:pPr>
        <w:rPr>
          <w:noProof/>
        </w:rPr>
      </w:pPr>
      <w:r w:rsidRPr="004B1D7B">
        <w:rPr>
          <w:noProof/>
        </w:rPr>
        <w:t>Ca urmare a procesului de verificare, în conformitate cu articolul 35 alineatul (3) din Regulamentul (UE) 2025/2643, Comisia propune identificarea drept EDPCI, în această etapă, a cinci dintre cele nouă propuneri prezentate, și anume: Angajamentul european în domeniul apărării cu drone și al soluțiilor antidrone (DECODER); Apărarea maritimă și a fundului mării integrată (IMSD); SPACE; Apărarea antiaeriană și antirachetă integrată federată a UE, inclusiv avertizarea timpurie (EU-FIAMD) și Supravegherea flancului estic (EFW).</w:t>
      </w:r>
    </w:p>
    <w:p w:rsidR="00D14B3D" w:rsidRPr="004B1D7B" w:rsidRDefault="00D14B3D" w:rsidP="005752F4">
      <w:pPr>
        <w:rPr>
          <w:rFonts w:eastAsia="Calibri"/>
          <w:noProof/>
        </w:rPr>
      </w:pPr>
      <w:r w:rsidRPr="004B1D7B">
        <w:rPr>
          <w:noProof/>
        </w:rPr>
        <w:t xml:space="preserve">Comisia a evaluat că, în ceea ce privește claritatea obiectivelor lor și nivelul lor de maturitate, cele cinci propuneri îndeplinesc pe deplin criteriile prevăzute la articolul 35 alineatul (2) din Regulamentul (UE) 2025/2643. În special, acestea au potențialul de a consolida în mod semnificativ competitivitatea, eficiența și capacitatea de inovare a EDTIB, de a contribui la dezvoltarea capabilităților militare ale statelor membre, de a ține seama de cooperarea în cadrul PESCO și al inițiativelor și proiectelor AEA, precum și de activitățile relevante desfășurate de NATO, fiind în același timp favorabile incluziunii, aducând beneficii unei părți mai largi a Uniunii, fiind semnificative ca dimensiune și domeniu de aplicare. Se consideră că beneficiile lor potențiale depășesc costul acestora. </w:t>
      </w:r>
    </w:p>
    <w:p w:rsidR="00D85F26" w:rsidRPr="004B1D7B" w:rsidRDefault="00D85F26" w:rsidP="00D85F26">
      <w:pPr>
        <w:rPr>
          <w:rFonts w:eastAsia="Arial Unicode MS"/>
          <w:noProof/>
        </w:rPr>
      </w:pPr>
      <w:r w:rsidRPr="004B1D7B">
        <w:rPr>
          <w:noProof/>
        </w:rPr>
        <w:t>Comisia consideră că, după caz și în conformitate cu Regulamentul (UE) 2025/2643, implementarea EDPCI identificate ar trebui să faciliteze cooperarea cu Ucraina și să utilizeze lecțiile învățate relevante.</w:t>
      </w:r>
    </w:p>
    <w:p w:rsidR="00F06BC8" w:rsidRPr="004E291D" w:rsidRDefault="00F06BC8" w:rsidP="005752F4">
      <w:pPr>
        <w:rPr>
          <w:b/>
          <w:bCs/>
          <w:noProof/>
          <w:u w:val="single"/>
        </w:rPr>
      </w:pPr>
      <w:r w:rsidRPr="004E291D">
        <w:rPr>
          <w:b/>
          <w:noProof/>
          <w:u w:val="single"/>
        </w:rPr>
        <w:t>Angajamentul european în domeniul apărării cu drone și al soluțiilor antidrone (DECODER)</w:t>
      </w:r>
    </w:p>
    <w:p w:rsidR="00E6537A" w:rsidRPr="004B1D7B" w:rsidRDefault="0012250C" w:rsidP="005752F4">
      <w:pPr>
        <w:rPr>
          <w:noProof/>
        </w:rPr>
      </w:pPr>
      <w:r w:rsidRPr="004B1D7B">
        <w:rPr>
          <w:noProof/>
        </w:rPr>
        <w:t xml:space="preserve">Propunerea abordează consolidarea competitivității și a capacității de inovare a EDTIB într-o perspectivă pe termen lung, sprijină integrarea pieței, reducerea dependențelor strategice și îmbunătățirea interoperabilității. Aceasta demonstrează contribuția importantă a proiectului la capabilitățile militare critice pentru interesele de securitate și apărare ale Uniunii, precum și abordarea cooperării civilo-militare și a tehnologiilor cu dublă utilizare. Acesta ține seama de inițiativele PESCO și AEA, precum și de activitățile NATO relevante. </w:t>
      </w:r>
    </w:p>
    <w:p w:rsidR="00911243" w:rsidRPr="004B1D7B" w:rsidRDefault="00984986" w:rsidP="005752F4">
      <w:pPr>
        <w:rPr>
          <w:noProof/>
        </w:rPr>
      </w:pPr>
      <w:r w:rsidRPr="004B1D7B">
        <w:rPr>
          <w:noProof/>
        </w:rPr>
        <w:t xml:space="preserve">Propunerea oferă argumente solide și bine întemeiate conform cărora s-ar crea beneficii pentru o parte mai largă a Uniunii și implică 26 de state membre, precum și alte țări. Propunerea oferă dovezi ale unui domeniu de aplicare semnificativ care abordează atât </w:t>
      </w:r>
      <w:r w:rsidRPr="004B1D7B">
        <w:rPr>
          <w:noProof/>
        </w:rPr>
        <w:lastRenderedPageBreak/>
        <w:t xml:space="preserve">complexitatea tehnică, cât și diversitatea activităților operaționale și industriale, precum și ambiția strategică pe termen lung și dimensiunea financiară globală estimată substanțială. </w:t>
      </w:r>
    </w:p>
    <w:p w:rsidR="00BE3BE6" w:rsidRPr="004E291D" w:rsidRDefault="00BE3BE6" w:rsidP="005752F4">
      <w:pPr>
        <w:rPr>
          <w:b/>
          <w:bCs/>
          <w:noProof/>
          <w:u w:val="single"/>
        </w:rPr>
      </w:pPr>
      <w:r w:rsidRPr="004E291D">
        <w:rPr>
          <w:b/>
          <w:noProof/>
          <w:u w:val="single"/>
        </w:rPr>
        <w:t>Apărarea maritimă și a fundului mării integrată (IMSD)</w:t>
      </w:r>
    </w:p>
    <w:p w:rsidR="00E6537A" w:rsidRPr="004B1D7B" w:rsidRDefault="00F31F83" w:rsidP="005752F4">
      <w:pPr>
        <w:rPr>
          <w:noProof/>
        </w:rPr>
      </w:pPr>
      <w:r w:rsidRPr="004B1D7B">
        <w:rPr>
          <w:noProof/>
        </w:rPr>
        <w:t xml:space="preserve">Propunerea abordează consolidarea competitivității și a capacității de inovare a EDTIB și se preconizează că va contribui la extinderea cooperării transfrontaliere, va reduce fragmentarea în cadrul pieței europene a apărării maritime puternic fragmentate și va genera efecte de propagare pozitive pentru sectorul civil. Proiectul va acoperi, de asemenea, cooperarea cu autoritățile civile, realizând acțiunea emblematică a Pactului european pentru oceane privind cunoașterea domeniului maritim. Acesta contribuie la abordarea capabilităților esențiale pentru interesele de securitate și apărare ale Uniunii prin sprijinirea conștientizării situației din domeniul maritim, a protecției infrastructurii subacvatice critice, a arhitecturilor navale interoperabile și a capabilităților de război subacvatic &amp; pe fundul mării. </w:t>
      </w:r>
    </w:p>
    <w:p w:rsidR="00164FC5" w:rsidRPr="004B1D7B" w:rsidRDefault="00E6537A" w:rsidP="005752F4">
      <w:pPr>
        <w:rPr>
          <w:noProof/>
        </w:rPr>
      </w:pPr>
      <w:r w:rsidRPr="004B1D7B">
        <w:rPr>
          <w:noProof/>
        </w:rPr>
        <w:t>Proiectul se bazează pe mai multe inițiative PESCO și AEA în curs și ține seama de activitățile relevante ale NATO. Acesta demonstrează implicarea unui număr mare de țări (17), iar beneficiile sale se extind la o parte mai largă a UE. Proiectul are un domeniu de aplicare semnificativ și o dimensiune financiară globală estimată substanțială.</w:t>
      </w:r>
    </w:p>
    <w:p w:rsidR="00442C07" w:rsidRPr="004E291D" w:rsidRDefault="00442C07" w:rsidP="005752F4">
      <w:pPr>
        <w:rPr>
          <w:b/>
          <w:bCs/>
          <w:noProof/>
          <w:u w:val="single"/>
        </w:rPr>
      </w:pPr>
      <w:r w:rsidRPr="004E291D">
        <w:rPr>
          <w:b/>
          <w:noProof/>
          <w:u w:val="single"/>
        </w:rPr>
        <w:t>SPACE</w:t>
      </w:r>
    </w:p>
    <w:p w:rsidR="00E6537A" w:rsidRPr="004B1D7B" w:rsidRDefault="00E97B60" w:rsidP="005752F4">
      <w:pPr>
        <w:rPr>
          <w:noProof/>
        </w:rPr>
      </w:pPr>
      <w:r w:rsidRPr="004B1D7B">
        <w:rPr>
          <w:noProof/>
        </w:rPr>
        <w:t xml:space="preserve">Propunerea abordează consolidarea competitivității și a capacității de inovare a EDTIB, sprijină transformarea cercetării și dezvoltării aflate într-un stadiu avansat în capabilități operaționale suverane pe care niciun stat membru nu le poate dezvolta singur, extinde parteneriatele transfrontaliere, creează noi oportunități de piață și abordează reducerea dependenței structurale în domeniul spațial. Proiectul este extrem de relevant din punct de vedere militar și operațional și constituie o contribuție directă și structurală la scutul european pentru apărare spațială. </w:t>
      </w:r>
    </w:p>
    <w:p w:rsidR="0048521E" w:rsidRPr="004B1D7B" w:rsidRDefault="00E6537A" w:rsidP="005752F4">
      <w:pPr>
        <w:rPr>
          <w:noProof/>
        </w:rPr>
      </w:pPr>
      <w:r w:rsidRPr="004B1D7B">
        <w:rPr>
          <w:noProof/>
        </w:rPr>
        <w:t xml:space="preserve">Proiectul ține seama de proiectele PESCO relevante și urmărește să consolideze capabilitățile și interoperabilitatea statelor membre în concordanță cu activitățile NATO. Acesta demonstrează implicarea unui număr mare de țări (16). Proiectul are un domeniu de aplicare semnificativ, o dimensiune financiară globală estimată substanțială, iar beneficiile sale se extind la o mare parte a Europei prin acoperirea inerentă la nivelul Uniunii a capacităților spațiale. </w:t>
      </w:r>
    </w:p>
    <w:p w:rsidR="0061137A" w:rsidRPr="004E291D" w:rsidRDefault="008A181D" w:rsidP="005752F4">
      <w:pPr>
        <w:rPr>
          <w:b/>
          <w:bCs/>
          <w:noProof/>
          <w:u w:val="single"/>
        </w:rPr>
      </w:pPr>
      <w:r w:rsidRPr="004E291D">
        <w:rPr>
          <w:b/>
          <w:noProof/>
          <w:u w:val="single"/>
        </w:rPr>
        <w:t>Apărarea antiaeriană și antirachetă integrată federată a UE, inclusiv avertizare timpurie</w:t>
      </w:r>
    </w:p>
    <w:p w:rsidR="008A181D" w:rsidRPr="004E291D" w:rsidRDefault="008A181D" w:rsidP="005752F4">
      <w:pPr>
        <w:rPr>
          <w:b/>
          <w:bCs/>
          <w:noProof/>
          <w:u w:val="single"/>
        </w:rPr>
      </w:pPr>
      <w:r w:rsidRPr="004E291D">
        <w:rPr>
          <w:b/>
          <w:noProof/>
          <w:u w:val="single"/>
        </w:rPr>
        <w:t>(EU-FIAMD)</w:t>
      </w:r>
    </w:p>
    <w:p w:rsidR="007D1E54" w:rsidRPr="004B1D7B" w:rsidRDefault="006A40E2" w:rsidP="005752F4">
      <w:pPr>
        <w:rPr>
          <w:noProof/>
        </w:rPr>
      </w:pPr>
      <w:r w:rsidRPr="004B1D7B">
        <w:rPr>
          <w:noProof/>
        </w:rPr>
        <w:t xml:space="preserve">Propunerea abordează consolidarea competitivității și a capacității de inovare a EDTIB și sprijină crearea și extinderea cooperării între industriile europene. Aceasta va contribui la crearea unui sistem federat de sisteme care vor furniza statelor membre capabilități militare critice, și anume apărarea antiaeriană și antirachetă colectivă și integrată (IAMD). Propunerea ține seama de inițiativele PESCO și AEA, precum și de activitățile NATO relevante. </w:t>
      </w:r>
    </w:p>
    <w:p w:rsidR="006A40E2" w:rsidRPr="004B1D7B" w:rsidRDefault="006A40E2" w:rsidP="005752F4">
      <w:pPr>
        <w:rPr>
          <w:noProof/>
        </w:rPr>
      </w:pPr>
      <w:r w:rsidRPr="004B1D7B">
        <w:rPr>
          <w:noProof/>
        </w:rPr>
        <w:t xml:space="preserve">Proiectul demonstrează implicarea unui număr mare de țări (16). Aceasta contribuie în mod direct la consolidarea rezilienței colective a UE prin consolidarea IAMD, îmbunătățirea protecției infrastructurii critice, creșterea coordonării operaționale a forțelor armate și consolidarea capacităților industriale în sectoarele critice legate de apărarea antiaeriană și antirachetă. Proiectul are un domeniu de aplicare semnificativ și o dimensiune financiară globală estimată substanțială. </w:t>
      </w:r>
    </w:p>
    <w:p w:rsidR="00AD673C" w:rsidRPr="004E291D" w:rsidRDefault="00AD673C" w:rsidP="004E291D">
      <w:pPr>
        <w:keepNext/>
        <w:keepLines/>
        <w:rPr>
          <w:b/>
          <w:bCs/>
          <w:noProof/>
          <w:u w:val="single"/>
        </w:rPr>
      </w:pPr>
      <w:r w:rsidRPr="004E291D">
        <w:rPr>
          <w:b/>
          <w:noProof/>
          <w:u w:val="single"/>
        </w:rPr>
        <w:lastRenderedPageBreak/>
        <w:t>Supravegherea flancului estic (EFW)</w:t>
      </w:r>
    </w:p>
    <w:p w:rsidR="007D1E54" w:rsidRPr="004B1D7B" w:rsidRDefault="00352901" w:rsidP="005752F4">
      <w:pPr>
        <w:rPr>
          <w:noProof/>
        </w:rPr>
      </w:pPr>
      <w:r w:rsidRPr="004B1D7B">
        <w:rPr>
          <w:noProof/>
        </w:rPr>
        <w:t xml:space="preserve">Propunerea abordează consolidarea competitivității și a capacității de inovare a EDTIB, integrarea pieței, integrarea IMM-urilor și a întreprinderilor cu capitalizare medie prin diversificarea lanțului de aprovizionare, precum și reducerea dependențelor strategice. Aceasta abordează domenii critice în materie de capabilități, cum ar fi lupta terestră, C4ISTAR, apărarea antiaeriană și antirachetă, dronele și sistemele antidrone, precum și mobilitatea militară. Aceasta ține seama de inițiativele PESCO și AEA și se bazează pe activitățile NATO relevante și contribuie la acestea. </w:t>
      </w:r>
    </w:p>
    <w:p w:rsidR="00BF2D5E" w:rsidRPr="004B1D7B" w:rsidRDefault="00180CC6" w:rsidP="005752F4">
      <w:pPr>
        <w:rPr>
          <w:noProof/>
        </w:rPr>
      </w:pPr>
      <w:r w:rsidRPr="004B1D7B">
        <w:rPr>
          <w:noProof/>
        </w:rPr>
        <w:t xml:space="preserve">Proiectul demonstrează implicarea unui număr mare de țări (15). Propunerea este structurată ca o inițiativă multisectorială de dezvoltare a capabilităților și, deși se axează din punct de vedere geografic pe frontiera estică a UE, aduce beneficii tuturor statelor membre împotriva amenințărilor concrete la adresa securității și este deschisă extinderii zonei sale geografice de interes. Proiectul are un domeniu de aplicare semnificativ și o dimensiune financiară globală estimată substanțială, precum și o ambiție de dezvoltare pe termen lung. </w:t>
      </w:r>
    </w:p>
    <w:p w:rsidR="002B6BA7" w:rsidRPr="004B1D7B" w:rsidRDefault="002B6BA7" w:rsidP="005752F4">
      <w:pPr>
        <w:rPr>
          <w:noProof/>
        </w:rPr>
      </w:pPr>
      <w:bookmarkStart w:id="1" w:name="_Hlk233731015"/>
      <w:r w:rsidRPr="004B1D7B">
        <w:rPr>
          <w:noProof/>
        </w:rPr>
        <w:t>În schimb, s-a constatat că alte patru propuneri, și anume unitățile europene de luptă robotizată pentru operațiuni terestre (ERCUL), sistemele de artilerie (ARTISYS), sistemele de platforme de operațiuni pentru domenii multiple (ARCADIA) și spațiul european al datelor din domeniul apărării pentru IA (EDDS), deși prezintă relevanță pentru consolidarea pregătirii în domeniul apărării UE, nu respectă încă pe deplin toate criteriile prevăzute la articolul 35 alineatul (2) din Regulamentul (UE) 2025/2643 din cauza insuficienței clarității cu care sunt descrise obiectivele lor și a insuficienței nivelului lor general de maturitate, inclusiv cu privire la ambiția lor de a reuni, în cadrul obiectivului comun de realizare a pregătirii pentru apărare, diversitatea actorilor industriali și a soluțiilor relevante. Sub rezerva unei maturizări ulterioare, aceste propuneri prezintă totuși un potențial solid de a fi identificate drept EDPCI în urma unei cereri ulterioare de exprimare a interesului. În acest sens, ele pot primi, prin urmare, finanțare prin EDIP pentru a li se sprijini dezvoltarea ulterioară.</w:t>
      </w:r>
    </w:p>
    <w:bookmarkEnd w:id="1"/>
    <w:p w:rsidR="002B6BA7" w:rsidRPr="004B1D7B" w:rsidRDefault="002B6BA7" w:rsidP="002B6BA7">
      <w:pPr>
        <w:ind w:left="58"/>
        <w:rPr>
          <w:noProof/>
        </w:rPr>
      </w:pPr>
    </w:p>
    <w:p w:rsidR="00B711E8" w:rsidRPr="004B1D7B" w:rsidRDefault="00B711E8" w:rsidP="00575FB7">
      <w:pPr>
        <w:ind w:left="58"/>
        <w:rPr>
          <w:noProof/>
        </w:rPr>
      </w:pPr>
    </w:p>
    <w:p w:rsidR="002B6BA7" w:rsidRPr="004B1D7B" w:rsidRDefault="002B6BA7" w:rsidP="00575FB7">
      <w:pPr>
        <w:ind w:left="58"/>
        <w:rPr>
          <w:noProof/>
        </w:rPr>
      </w:pPr>
    </w:p>
    <w:p w:rsidR="000F1E02" w:rsidRPr="004B1D7B" w:rsidRDefault="000F1E02">
      <w:pPr>
        <w:rPr>
          <w:noProof/>
        </w:rPr>
        <w:sectPr w:rsidR="000F1E02" w:rsidRPr="004B1D7B" w:rsidSect="00CD7DDF">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rsidR="00793A4C" w:rsidRDefault="0064456C">
      <w:pPr>
        <w:pStyle w:val="Rfrenceinterinstitutionnelle"/>
        <w:rPr>
          <w:noProof/>
        </w:rPr>
      </w:pPr>
      <w:r>
        <w:rPr>
          <w:noProof/>
        </w:rPr>
        <w:lastRenderedPageBreak/>
        <w:t>2026/0192 (NLE)</w:t>
      </w:r>
    </w:p>
    <w:p w:rsidR="000F1E02" w:rsidRPr="004B1D7B" w:rsidRDefault="00002BE2" w:rsidP="00002BE2">
      <w:pPr>
        <w:pStyle w:val="Statut"/>
        <w:rPr>
          <w:noProof/>
        </w:rPr>
      </w:pPr>
      <w:r w:rsidRPr="004B1D7B">
        <w:rPr>
          <w:noProof/>
        </w:rPr>
        <w:t>Propunere de</w:t>
      </w:r>
    </w:p>
    <w:p w:rsidR="000F1E02" w:rsidRPr="004E291D" w:rsidRDefault="00002BE2" w:rsidP="00002BE2">
      <w:pPr>
        <w:pStyle w:val="Typedudocument"/>
        <w:rPr>
          <w:noProof/>
        </w:rPr>
      </w:pPr>
      <w:r w:rsidRPr="004E291D">
        <w:rPr>
          <w:noProof/>
        </w:rPr>
        <w:t>DECIZIE DE PUNERE ÎN APLICARE A CONSILIULUI</w:t>
      </w:r>
    </w:p>
    <w:p w:rsidR="000F1E02" w:rsidRPr="004E291D" w:rsidRDefault="00002BE2" w:rsidP="00002BE2">
      <w:pPr>
        <w:pStyle w:val="Titreobjet"/>
        <w:rPr>
          <w:noProof/>
        </w:rPr>
      </w:pPr>
      <w:r w:rsidRPr="004E291D">
        <w:rPr>
          <w:noProof/>
        </w:rPr>
        <w:t>privind identificarea proiectelor europene de interes comun în domeniul apărării în temeiul Regulamentului (UE) 2025/2643 al Parlamentului European și al Consiliului</w:t>
      </w:r>
      <w:r w:rsidRPr="004E291D">
        <w:rPr>
          <w:noProof/>
        </w:rPr>
        <w:br/>
      </w:r>
    </w:p>
    <w:p w:rsidR="000F1E02" w:rsidRPr="004B1D7B" w:rsidRDefault="000F1E02" w:rsidP="00025080">
      <w:pPr>
        <w:rPr>
          <w:noProof/>
        </w:rPr>
      </w:pPr>
      <w:r w:rsidRPr="004B1D7B">
        <w:rPr>
          <w:noProof/>
        </w:rPr>
        <w:t>CONSILIUL UNIUNII EUROPENE,</w:t>
      </w:r>
    </w:p>
    <w:p w:rsidR="000F1E02" w:rsidRPr="004B1D7B" w:rsidRDefault="000F1E02">
      <w:pPr>
        <w:rPr>
          <w:noProof/>
        </w:rPr>
      </w:pPr>
      <w:r w:rsidRPr="004B1D7B">
        <w:rPr>
          <w:noProof/>
        </w:rPr>
        <w:t xml:space="preserve">având în vedere Tratatul privind funcționarea Uniunii Europene, </w:t>
      </w:r>
    </w:p>
    <w:p w:rsidR="000F1E02" w:rsidRPr="004B1D7B" w:rsidRDefault="000F1E02">
      <w:pPr>
        <w:rPr>
          <w:noProof/>
        </w:rPr>
      </w:pPr>
      <w:r w:rsidRPr="004B1D7B">
        <w:rPr>
          <w:noProof/>
        </w:rPr>
        <w:t>având în vedere Regulamentul (UE) 2025/2643 al Parlamentului European și al Consiliului din 16 decembrie 2025 de stabilire a Programului privind industria europeană de apărare și a unui cadru de măsuri care să asigure disponibilitatea și aprovizionarea în timp util cu produse din domeniul apărării („Regulamentul EDIP”)</w:t>
      </w:r>
      <w:r w:rsidRPr="004B1D7B">
        <w:rPr>
          <w:rStyle w:val="FootnoteReference"/>
          <w:noProof/>
        </w:rPr>
        <w:footnoteReference w:id="1"/>
      </w:r>
      <w:r w:rsidRPr="004B1D7B">
        <w:rPr>
          <w:noProof/>
        </w:rPr>
        <w:t>, în special articolul 35 alineatul (3),</w:t>
      </w:r>
    </w:p>
    <w:p w:rsidR="000F1E02" w:rsidRPr="004B1D7B" w:rsidRDefault="000F1E02">
      <w:pPr>
        <w:rPr>
          <w:noProof/>
        </w:rPr>
      </w:pPr>
      <w:r w:rsidRPr="004B1D7B">
        <w:rPr>
          <w:noProof/>
        </w:rPr>
        <w:t>având în vedere propunerea Comisiei Europene,</w:t>
      </w:r>
    </w:p>
    <w:p w:rsidR="000F1E02" w:rsidRPr="004B1D7B" w:rsidRDefault="000F1E02">
      <w:pPr>
        <w:rPr>
          <w:noProof/>
        </w:rPr>
      </w:pPr>
      <w:r w:rsidRPr="004B1D7B">
        <w:rPr>
          <w:noProof/>
        </w:rPr>
        <w:t>întrucât:</w:t>
      </w:r>
    </w:p>
    <w:p w:rsidR="000F1E02" w:rsidRPr="004B1D7B" w:rsidRDefault="000F1E02" w:rsidP="007856FE">
      <w:pPr>
        <w:pStyle w:val="Point0"/>
        <w:rPr>
          <w:noProof/>
        </w:rPr>
      </w:pPr>
      <w:r>
        <w:rPr>
          <w:noProof/>
        </w:rPr>
        <w:t>(1)</w:t>
      </w:r>
      <w:r>
        <w:rPr>
          <w:noProof/>
        </w:rPr>
        <w:tab/>
      </w:r>
      <w:r w:rsidRPr="004B1D7B">
        <w:rPr>
          <w:noProof/>
        </w:rPr>
        <w:t xml:space="preserve">La 16 februarie 2026, Comisia a lansat o cerere de exprimare a interesului menită să consulte statele membre cu privire la identificarea unor posibile proiecte europene de interes comun în domeniul apărării (EDPCI), în temeiul articolului 35 din Regulamentul (UE) 2025/2643. Până la termenul de 29 mai 2026, statele membre au prezentat nouă propuneri de proiecte pentru posibile EDPCI. </w:t>
      </w:r>
    </w:p>
    <w:p w:rsidR="000F1E02" w:rsidRPr="004B1D7B" w:rsidRDefault="1A10971B" w:rsidP="6C0CAD12">
      <w:pPr>
        <w:pStyle w:val="Point0"/>
        <w:rPr>
          <w:noProof/>
          <w:szCs w:val="24"/>
        </w:rPr>
      </w:pPr>
      <w:r>
        <w:rPr>
          <w:noProof/>
        </w:rPr>
        <w:t>(2)</w:t>
      </w:r>
      <w:r>
        <w:rPr>
          <w:noProof/>
        </w:rPr>
        <w:tab/>
      </w:r>
      <w:r w:rsidRPr="004B1D7B">
        <w:rPr>
          <w:noProof/>
        </w:rPr>
        <w:t xml:space="preserve">În conformitate cu articolul 35 alineatul (5) din Regulamentul EDIP, Comisia a invitat Înaltul Reprezentant al Uniunii pentru afaceri externe și politica de securitate (denumit în continuare „Înaltul Reprezentant”), prin intermediul Serviciului European de Acțiune Externă (SEAE), precum și Agenția Europeană de Apărare (AEA), să își furnizeze expertiza în vederea asigurării coerenței cu prioritățile și obiectivele menționate la articolul 35 alineatul (2) literele (b), (c) și (d) din regulamentul respectiv și să completeze informațiile furnizate de statele membre cu privire la propunerile de proiecte. </w:t>
      </w:r>
    </w:p>
    <w:p w:rsidR="000F1E02" w:rsidRPr="004B1D7B" w:rsidRDefault="000F1E02" w:rsidP="00582168">
      <w:pPr>
        <w:pStyle w:val="Point0"/>
        <w:rPr>
          <w:noProof/>
        </w:rPr>
      </w:pPr>
      <w:r>
        <w:rPr>
          <w:noProof/>
        </w:rPr>
        <w:t>(3)</w:t>
      </w:r>
      <w:r>
        <w:rPr>
          <w:noProof/>
        </w:rPr>
        <w:tab/>
      </w:r>
      <w:r w:rsidRPr="004B1D7B">
        <w:rPr>
          <w:noProof/>
        </w:rPr>
        <w:t>Comisia a verificat dacă toate statele membre și țările asociate și, dacă este cazul, Ucraina, au fost informate cu privire la apariția unui proiect și dacă li s-a oferit posibilitatea de a participa.</w:t>
      </w:r>
    </w:p>
    <w:p w:rsidR="000F1E02" w:rsidRPr="004B1D7B" w:rsidRDefault="000F1E02" w:rsidP="00582168">
      <w:pPr>
        <w:pStyle w:val="Point0"/>
        <w:rPr>
          <w:noProof/>
        </w:rPr>
      </w:pPr>
      <w:r>
        <w:rPr>
          <w:noProof/>
        </w:rPr>
        <w:t>(4)</w:t>
      </w:r>
      <w:r>
        <w:rPr>
          <w:noProof/>
        </w:rPr>
        <w:tab/>
      </w:r>
      <w:r w:rsidRPr="004B1D7B">
        <w:rPr>
          <w:noProof/>
        </w:rPr>
        <w:t>Luând în considerare informațiile furnizate de SEAE și de AEA, Comisia a verificat conformitatea propunerilor de proiecte pentru posibile EDPCI în cadrul cererii de exprimare a interesului, cu criteriile prevăzute la articolul 35 alineatul (2) din Regulamentul (UE) 2025/2643 și a propus identificarea a cinci propuneri ca fiind EDPCI.</w:t>
      </w:r>
    </w:p>
    <w:p w:rsidR="000E280A" w:rsidRPr="004B1D7B" w:rsidRDefault="004D44E8" w:rsidP="00582168">
      <w:pPr>
        <w:pStyle w:val="Point0"/>
        <w:rPr>
          <w:rFonts w:eastAsia="Calibri"/>
          <w:noProof/>
        </w:rPr>
      </w:pPr>
      <w:r>
        <w:rPr>
          <w:noProof/>
        </w:rPr>
        <w:t>(5)</w:t>
      </w:r>
      <w:r>
        <w:rPr>
          <w:noProof/>
        </w:rPr>
        <w:tab/>
      </w:r>
      <w:r w:rsidRPr="004B1D7B">
        <w:rPr>
          <w:noProof/>
        </w:rPr>
        <w:t xml:space="preserve">EDPCI identificate îndeplinesc criteriile prevăzute la articolul 35 alineatul (2) din Regulamentul (UE) 2025/2643. În special, acestea au potențialul de a consolida în mod semnificativ competitivitatea, eficiența și capacitatea de inovare a bazei industriale și tehnologice de apărare europene (EDTIB), de a contribui la dezvoltarea capabilităților militare ale statelor membre, de a ține seama de cooperarea din cadrul </w:t>
      </w:r>
      <w:r w:rsidRPr="004B1D7B">
        <w:rPr>
          <w:noProof/>
        </w:rPr>
        <w:lastRenderedPageBreak/>
        <w:t>cooperării structurate permanente (PESCO) și al inițiativelor și proiectelor AEA, precum și de activitățile relevante desfășurate de Tratatul Atlanticului de Nord (NATO), de a fi în același timp favorabile incluziunii, de a aduce beneficii unei părți mai largi a Uniunii, de a fi semnificative ca dimensiune și domeniu de aplicare, iar beneficiile lor potențiale depășesc costurile.</w:t>
      </w:r>
    </w:p>
    <w:p w:rsidR="000E280A" w:rsidRPr="004B1D7B" w:rsidRDefault="0091724B" w:rsidP="000E280A">
      <w:pPr>
        <w:pStyle w:val="Point0"/>
        <w:rPr>
          <w:noProof/>
          <w:sz w:val="22"/>
        </w:rPr>
      </w:pPr>
      <w:r>
        <w:rPr>
          <w:noProof/>
        </w:rPr>
        <w:t>(6)</w:t>
      </w:r>
      <w:r>
        <w:rPr>
          <w:noProof/>
        </w:rPr>
        <w:tab/>
      </w:r>
      <w:r w:rsidRPr="004B1D7B">
        <w:rPr>
          <w:noProof/>
        </w:rPr>
        <w:t>În ceea ce privește fiecare EDPCI propus pentru identificare, criteriul relevanței este constituit și, prin urmare, Comisia ar trebui să participe la toate EDPCI propuse pentru identificare în conformitate cu articolul 35 alineatul (14) din Regulamentul (UE) 2025/2643. Înaltul Reprezentant și AEA ar trebui să fie implicați în calitate de observatori în toate cele cinci EDPCI propuse pentru identificare.</w:t>
      </w:r>
    </w:p>
    <w:p w:rsidR="00D85F26" w:rsidRPr="004B1D7B" w:rsidRDefault="00D85F26" w:rsidP="000F1E02">
      <w:pPr>
        <w:rPr>
          <w:noProof/>
        </w:rPr>
      </w:pPr>
    </w:p>
    <w:p w:rsidR="000F1E02" w:rsidRPr="004B1D7B" w:rsidRDefault="000F1E02" w:rsidP="00582168">
      <w:pPr>
        <w:rPr>
          <w:noProof/>
        </w:rPr>
      </w:pPr>
      <w:r w:rsidRPr="004B1D7B">
        <w:rPr>
          <w:noProof/>
        </w:rPr>
        <w:t xml:space="preserve">ADOPTĂ PREZENTA DECIZIE: </w:t>
      </w:r>
    </w:p>
    <w:p w:rsidR="000F1E02" w:rsidRPr="004E291D" w:rsidRDefault="000F1E02">
      <w:pPr>
        <w:pStyle w:val="Titrearticle"/>
        <w:rPr>
          <w:noProof/>
        </w:rPr>
      </w:pPr>
      <w:r w:rsidRPr="004E291D">
        <w:rPr>
          <w:noProof/>
        </w:rPr>
        <w:t>Articolul 1</w:t>
      </w:r>
    </w:p>
    <w:p w:rsidR="00E2345E" w:rsidRPr="004B1D7B" w:rsidRDefault="00E2345E" w:rsidP="00E2345E">
      <w:pPr>
        <w:rPr>
          <w:rFonts w:eastAsia="Calibri"/>
          <w:noProof/>
          <w:color w:val="000000" w:themeColor="text1"/>
        </w:rPr>
      </w:pPr>
      <w:r w:rsidRPr="004B1D7B">
        <w:rPr>
          <w:noProof/>
          <w:color w:val="000000" w:themeColor="text1"/>
        </w:rPr>
        <w:t xml:space="preserve">Proiectele enumerate în anexă sunt identificate drept proiecte europene de interes comun în domeniul apărării (EDPCI). </w:t>
      </w:r>
    </w:p>
    <w:p w:rsidR="000F1E02" w:rsidRPr="004E291D" w:rsidRDefault="000F1E02">
      <w:pPr>
        <w:pStyle w:val="Titrearticle"/>
        <w:rPr>
          <w:noProof/>
        </w:rPr>
      </w:pPr>
      <w:r w:rsidRPr="004E291D">
        <w:rPr>
          <w:noProof/>
        </w:rPr>
        <w:t>Articolul 2</w:t>
      </w:r>
    </w:p>
    <w:p w:rsidR="000F1E02" w:rsidRPr="004B1D7B" w:rsidRDefault="000F1E02" w:rsidP="000F1E02">
      <w:pPr>
        <w:rPr>
          <w:rFonts w:eastAsia="Calibri"/>
          <w:noProof/>
        </w:rPr>
      </w:pPr>
      <w:r w:rsidRPr="004B1D7B">
        <w:rPr>
          <w:noProof/>
        </w:rPr>
        <w:t>Prezenta decizie se adresează statelor membre.</w:t>
      </w:r>
    </w:p>
    <w:p w:rsidR="000F1E02" w:rsidRPr="004B1D7B" w:rsidRDefault="000F1E02" w:rsidP="000F1E02">
      <w:pPr>
        <w:rPr>
          <w:noProof/>
        </w:rPr>
      </w:pPr>
    </w:p>
    <w:p w:rsidR="000F1E02" w:rsidRPr="004B1D7B" w:rsidRDefault="00002BE2" w:rsidP="00D440DB">
      <w:pPr>
        <w:pStyle w:val="Fait"/>
        <w:rPr>
          <w:noProof/>
        </w:rPr>
      </w:pPr>
      <w:r>
        <w:rPr>
          <w:noProof/>
        </w:rPr>
        <w:t>Adoptată la Bruxelles,</w:t>
      </w:r>
    </w:p>
    <w:p w:rsidR="000F1E02" w:rsidRPr="004E291D" w:rsidRDefault="000F1E02" w:rsidP="00D440DB">
      <w:pPr>
        <w:pStyle w:val="Institutionquisigne"/>
        <w:rPr>
          <w:noProof/>
        </w:rPr>
      </w:pPr>
      <w:r w:rsidRPr="004E291D">
        <w:rPr>
          <w:noProof/>
        </w:rPr>
        <w:tab/>
        <w:t>Pentru Consiliu</w:t>
      </w:r>
    </w:p>
    <w:p w:rsidR="000F1E02" w:rsidRPr="004E291D" w:rsidRDefault="000F1E02" w:rsidP="000F1E02">
      <w:pPr>
        <w:pStyle w:val="Personnequisigne"/>
        <w:rPr>
          <w:noProof/>
        </w:rPr>
      </w:pPr>
      <w:r w:rsidRPr="004E291D">
        <w:rPr>
          <w:noProof/>
        </w:rPr>
        <w:tab/>
        <w:t>Președintele</w:t>
      </w:r>
    </w:p>
    <w:sectPr w:rsidR="000F1E02" w:rsidRPr="004E291D" w:rsidSect="00CD7DDF">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79C" w:rsidRPr="004B1D7B" w:rsidRDefault="00BC079C" w:rsidP="000F1E02">
      <w:pPr>
        <w:spacing w:before="0" w:after="0"/>
      </w:pPr>
      <w:r w:rsidRPr="004B1D7B">
        <w:separator/>
      </w:r>
    </w:p>
  </w:endnote>
  <w:endnote w:type="continuationSeparator" w:id="0">
    <w:p w:rsidR="00BC079C" w:rsidRPr="004B1D7B" w:rsidRDefault="00BC079C" w:rsidP="000F1E02">
      <w:pPr>
        <w:spacing w:before="0" w:after="0"/>
      </w:pPr>
      <w:r w:rsidRPr="004B1D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Pr="00CD7DDF" w:rsidRDefault="00CD7DDF" w:rsidP="00CD7DDF">
    <w:pPr>
      <w:pStyle w:val="Footer"/>
      <w:rPr>
        <w:rFonts w:ascii="Arial" w:hAnsi="Arial" w:cs="Arial"/>
        <w:b/>
        <w:sz w:val="48"/>
      </w:rPr>
    </w:pPr>
    <w:r w:rsidRPr="00CD7DDF">
      <w:rPr>
        <w:rFonts w:ascii="Arial" w:hAnsi="Arial" w:cs="Arial"/>
        <w:b/>
        <w:sz w:val="48"/>
      </w:rPr>
      <w:t>RO</w:t>
    </w:r>
    <w:r w:rsidRPr="00CD7DDF">
      <w:rPr>
        <w:rFonts w:ascii="Arial" w:hAnsi="Arial" w:cs="Arial"/>
        <w:b/>
        <w:sz w:val="48"/>
      </w:rPr>
      <w:tab/>
    </w:r>
    <w:r w:rsidRPr="00CD7DDF">
      <w:rPr>
        <w:rFonts w:ascii="Arial" w:hAnsi="Arial" w:cs="Arial"/>
        <w:b/>
        <w:sz w:val="48"/>
      </w:rPr>
      <w:tab/>
    </w:r>
    <w:r w:rsidRPr="00CD7DDF">
      <w:tab/>
    </w:r>
    <w:r w:rsidRPr="00CD7DD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Pr="00CD7DDF" w:rsidRDefault="00CD7DDF" w:rsidP="00CD7DDF">
    <w:pPr>
      <w:pStyle w:val="Footer"/>
      <w:rPr>
        <w:rFonts w:ascii="Arial" w:hAnsi="Arial" w:cs="Arial"/>
        <w:b/>
        <w:sz w:val="48"/>
      </w:rPr>
    </w:pPr>
    <w:r w:rsidRPr="00CD7DDF">
      <w:rPr>
        <w:rFonts w:ascii="Arial" w:hAnsi="Arial" w:cs="Arial"/>
        <w:b/>
        <w:sz w:val="48"/>
      </w:rPr>
      <w:t>RO</w:t>
    </w:r>
    <w:r w:rsidRPr="00CD7DDF">
      <w:rPr>
        <w:rFonts w:ascii="Arial" w:hAnsi="Arial" w:cs="Arial"/>
        <w:b/>
        <w:sz w:val="48"/>
      </w:rPr>
      <w:tab/>
    </w:r>
    <w:r w:rsidRPr="00CD7DDF">
      <w:rPr>
        <w:rFonts w:ascii="Arial" w:hAnsi="Arial" w:cs="Arial"/>
        <w:b/>
        <w:sz w:val="48"/>
      </w:rPr>
      <w:tab/>
    </w:r>
    <w:r w:rsidRPr="00CD7DDF">
      <w:tab/>
    </w:r>
    <w:r w:rsidRPr="00CD7DD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Pr="00CD7DDF" w:rsidRDefault="00CD7DDF" w:rsidP="00CD7D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Default="00CD7D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Pr="00CD7DDF" w:rsidRDefault="00CD7DDF" w:rsidP="00CD7DDF">
    <w:pPr>
      <w:pStyle w:val="Footer"/>
      <w:rPr>
        <w:rFonts w:ascii="Arial" w:hAnsi="Arial" w:cs="Arial"/>
        <w:b/>
        <w:sz w:val="48"/>
      </w:rPr>
    </w:pPr>
    <w:r w:rsidRPr="00CD7DDF">
      <w:rPr>
        <w:rFonts w:ascii="Arial" w:hAnsi="Arial" w:cs="Arial"/>
        <w:b/>
        <w:sz w:val="48"/>
      </w:rPr>
      <w:t>RO</w:t>
    </w:r>
    <w:r w:rsidRPr="00CD7DDF">
      <w:rPr>
        <w:rFonts w:ascii="Arial" w:hAnsi="Arial" w:cs="Arial"/>
        <w:b/>
        <w:sz w:val="48"/>
      </w:rPr>
      <w:tab/>
    </w:r>
    <w:r>
      <w:fldChar w:fldCharType="begin"/>
    </w:r>
    <w:r>
      <w:instrText xml:space="preserve"> PAGE  \* MERGEFORMAT </w:instrText>
    </w:r>
    <w:r>
      <w:fldChar w:fldCharType="separate"/>
    </w:r>
    <w:r w:rsidR="00D440DB">
      <w:rPr>
        <w:noProof/>
      </w:rPr>
      <w:t>7</w:t>
    </w:r>
    <w:r>
      <w:fldChar w:fldCharType="end"/>
    </w:r>
    <w:r>
      <w:tab/>
    </w:r>
    <w:r w:rsidRPr="00CD7DDF">
      <w:tab/>
    </w:r>
    <w:r w:rsidRPr="00CD7DDF">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Default="00CD7DDF" w:rsidP="00CD7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79C" w:rsidRPr="004B1D7B" w:rsidRDefault="00BC079C" w:rsidP="000F1E02">
      <w:pPr>
        <w:spacing w:before="0" w:after="0"/>
      </w:pPr>
      <w:r w:rsidRPr="004B1D7B">
        <w:separator/>
      </w:r>
    </w:p>
  </w:footnote>
  <w:footnote w:type="continuationSeparator" w:id="0">
    <w:p w:rsidR="00BC079C" w:rsidRPr="004B1D7B" w:rsidRDefault="00BC079C" w:rsidP="000F1E02">
      <w:pPr>
        <w:spacing w:before="0" w:after="0"/>
      </w:pPr>
      <w:r w:rsidRPr="004B1D7B">
        <w:continuationSeparator/>
      </w:r>
    </w:p>
  </w:footnote>
  <w:footnote w:id="1">
    <w:p w:rsidR="000F1E02" w:rsidRPr="000F1E02" w:rsidRDefault="000F1E02">
      <w:pPr>
        <w:pStyle w:val="FootnoteText"/>
      </w:pPr>
      <w:r w:rsidRPr="004B1D7B">
        <w:rPr>
          <w:rStyle w:val="FootnoteReference"/>
        </w:rPr>
        <w:footnoteRef/>
      </w:r>
      <w:r w:rsidRPr="004B1D7B">
        <w:tab/>
        <w:t>JO</w:t>
      </w:r>
      <w:r w:rsidR="004B1D7B">
        <w:t> </w:t>
      </w:r>
      <w:r w:rsidRPr="004B1D7B">
        <w:t>L 2025/2643, 29.12.2025.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Pr="00CD7DDF" w:rsidRDefault="00CD7DDF" w:rsidP="00CD7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Pr="00CD7DDF" w:rsidRDefault="00CD7DDF" w:rsidP="00CD7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Pr="00CD7DDF" w:rsidRDefault="00CD7DDF" w:rsidP="00CD7D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Default="00CD7D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DF" w:rsidRDefault="00CD7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ADAF1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E81D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0E064D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3885C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13AF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6780E5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1BC9F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04 09:55: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3EBDA6D-83AB-4B80-97BE-587B4B1C4AB1"/>
    <w:docVar w:name="LW_COVERPAGE_TYPE" w:val="1"/>
    <w:docVar w:name="LW_CreatedUtc" w:val="2026-06-23T08:34:28.1326794Z"/>
    <w:docVar w:name="LW_CROSSREFERENCE" w:val="&lt;UNUSED&gt;"/>
    <w:docVar w:name="LW_DocType" w:val="COM"/>
    <w:docVar w:name="LW_EMISSION" w:val="3.7.2026"/>
    <w:docVar w:name="LW_EMISSION_ISODATE" w:val="2026-07-03"/>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92"/>
    <w:docVar w:name="LW_REF.II.NEW.CP_YEAR" w:val="2026"/>
    <w:docVar w:name="LW_REF.INST.NEW" w:val="COM"/>
    <w:docVar w:name="LW_REF.INST.NEW_ADOPTED" w:val="final"/>
    <w:docVar w:name="LW_REF.INST.NEW_TEXT" w:val="(2026) 3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identificarea proiectelor europene de interes comun în domeniul ap\u259?r\u259?rii în temeiul Regulamentului (UE) 2025/2643 al Parlamentului European \u537?i al Consiliului_x000b_"/>
    <w:docVar w:name="LW_TYPE.DOC.CP" w:val="DECIZIE DE PUNERE ÎN APLICARE A CONSILIULUI"/>
    <w:docVar w:name="LwApiVersions" w:val="LW4CoDe 1.24.5.0; LW 9.2, Build 20251112"/>
  </w:docVars>
  <w:rsids>
    <w:rsidRoot w:val="000F1E02"/>
    <w:rsid w:val="00002BE2"/>
    <w:rsid w:val="0001170C"/>
    <w:rsid w:val="00011A65"/>
    <w:rsid w:val="00013577"/>
    <w:rsid w:val="00013FF5"/>
    <w:rsid w:val="00014D61"/>
    <w:rsid w:val="0002398F"/>
    <w:rsid w:val="00025080"/>
    <w:rsid w:val="000435A7"/>
    <w:rsid w:val="00055468"/>
    <w:rsid w:val="00081852"/>
    <w:rsid w:val="00097D6E"/>
    <w:rsid w:val="000B4F45"/>
    <w:rsid w:val="000D2455"/>
    <w:rsid w:val="000E280A"/>
    <w:rsid w:val="000E2D70"/>
    <w:rsid w:val="000F1E02"/>
    <w:rsid w:val="0010573E"/>
    <w:rsid w:val="001065F5"/>
    <w:rsid w:val="00110981"/>
    <w:rsid w:val="0012250C"/>
    <w:rsid w:val="001238EF"/>
    <w:rsid w:val="00124BDC"/>
    <w:rsid w:val="001335B4"/>
    <w:rsid w:val="00135E24"/>
    <w:rsid w:val="00144B27"/>
    <w:rsid w:val="00152DDB"/>
    <w:rsid w:val="001531F1"/>
    <w:rsid w:val="00154698"/>
    <w:rsid w:val="00164FC5"/>
    <w:rsid w:val="001655EE"/>
    <w:rsid w:val="001747C3"/>
    <w:rsid w:val="00180CC6"/>
    <w:rsid w:val="00182FB6"/>
    <w:rsid w:val="00193E67"/>
    <w:rsid w:val="00197613"/>
    <w:rsid w:val="00197A58"/>
    <w:rsid w:val="00197E5D"/>
    <w:rsid w:val="001A3D14"/>
    <w:rsid w:val="001A4149"/>
    <w:rsid w:val="001C3806"/>
    <w:rsid w:val="001D63FD"/>
    <w:rsid w:val="001E5173"/>
    <w:rsid w:val="001F4EAE"/>
    <w:rsid w:val="001F515E"/>
    <w:rsid w:val="00202C53"/>
    <w:rsid w:val="00203489"/>
    <w:rsid w:val="00203E25"/>
    <w:rsid w:val="00205CD1"/>
    <w:rsid w:val="00206BE2"/>
    <w:rsid w:val="00207352"/>
    <w:rsid w:val="002107EE"/>
    <w:rsid w:val="00216D95"/>
    <w:rsid w:val="00233DC7"/>
    <w:rsid w:val="00247779"/>
    <w:rsid w:val="00252895"/>
    <w:rsid w:val="002562A6"/>
    <w:rsid w:val="0026366E"/>
    <w:rsid w:val="00285BEE"/>
    <w:rsid w:val="00294C79"/>
    <w:rsid w:val="0029533F"/>
    <w:rsid w:val="002A20A7"/>
    <w:rsid w:val="002B30AF"/>
    <w:rsid w:val="002B6BA7"/>
    <w:rsid w:val="002D4098"/>
    <w:rsid w:val="002E0343"/>
    <w:rsid w:val="002E5643"/>
    <w:rsid w:val="0033344A"/>
    <w:rsid w:val="00337C28"/>
    <w:rsid w:val="00346178"/>
    <w:rsid w:val="00352901"/>
    <w:rsid w:val="003553EC"/>
    <w:rsid w:val="00361164"/>
    <w:rsid w:val="00366380"/>
    <w:rsid w:val="0037183B"/>
    <w:rsid w:val="003A5233"/>
    <w:rsid w:val="003C281A"/>
    <w:rsid w:val="003D6C69"/>
    <w:rsid w:val="003D7615"/>
    <w:rsid w:val="003E61B7"/>
    <w:rsid w:val="003F3D12"/>
    <w:rsid w:val="00416DE5"/>
    <w:rsid w:val="0042648E"/>
    <w:rsid w:val="004316A6"/>
    <w:rsid w:val="00442C07"/>
    <w:rsid w:val="0044366A"/>
    <w:rsid w:val="00472BD7"/>
    <w:rsid w:val="004739F7"/>
    <w:rsid w:val="00475078"/>
    <w:rsid w:val="0048521E"/>
    <w:rsid w:val="004865EA"/>
    <w:rsid w:val="004936D2"/>
    <w:rsid w:val="004A67EC"/>
    <w:rsid w:val="004A6B98"/>
    <w:rsid w:val="004B1D7B"/>
    <w:rsid w:val="004B22BA"/>
    <w:rsid w:val="004B5E9C"/>
    <w:rsid w:val="004D44E8"/>
    <w:rsid w:val="004E263E"/>
    <w:rsid w:val="004E291D"/>
    <w:rsid w:val="004E3D08"/>
    <w:rsid w:val="004E4EA6"/>
    <w:rsid w:val="00527A93"/>
    <w:rsid w:val="00532689"/>
    <w:rsid w:val="005460CA"/>
    <w:rsid w:val="00556121"/>
    <w:rsid w:val="00564435"/>
    <w:rsid w:val="005752F4"/>
    <w:rsid w:val="00575FB7"/>
    <w:rsid w:val="00581702"/>
    <w:rsid w:val="00582168"/>
    <w:rsid w:val="00582AB4"/>
    <w:rsid w:val="00584A77"/>
    <w:rsid w:val="00587805"/>
    <w:rsid w:val="005B1EB6"/>
    <w:rsid w:val="005D1F90"/>
    <w:rsid w:val="005F46A8"/>
    <w:rsid w:val="0061137A"/>
    <w:rsid w:val="00611A9B"/>
    <w:rsid w:val="00614116"/>
    <w:rsid w:val="00616190"/>
    <w:rsid w:val="00640ACF"/>
    <w:rsid w:val="00641AE7"/>
    <w:rsid w:val="00680376"/>
    <w:rsid w:val="006848CD"/>
    <w:rsid w:val="00686A42"/>
    <w:rsid w:val="006A0C1D"/>
    <w:rsid w:val="006A2964"/>
    <w:rsid w:val="006A40E2"/>
    <w:rsid w:val="006A5E0B"/>
    <w:rsid w:val="006B284A"/>
    <w:rsid w:val="006C5058"/>
    <w:rsid w:val="006E3994"/>
    <w:rsid w:val="006E4899"/>
    <w:rsid w:val="006F2290"/>
    <w:rsid w:val="006F5797"/>
    <w:rsid w:val="00703C5A"/>
    <w:rsid w:val="007053F4"/>
    <w:rsid w:val="00706AF0"/>
    <w:rsid w:val="0070779D"/>
    <w:rsid w:val="00714F7B"/>
    <w:rsid w:val="0071520C"/>
    <w:rsid w:val="0071644B"/>
    <w:rsid w:val="0072318B"/>
    <w:rsid w:val="00755FE4"/>
    <w:rsid w:val="00763780"/>
    <w:rsid w:val="00764328"/>
    <w:rsid w:val="0077111E"/>
    <w:rsid w:val="00773331"/>
    <w:rsid w:val="00777230"/>
    <w:rsid w:val="00783059"/>
    <w:rsid w:val="007853EF"/>
    <w:rsid w:val="007856FE"/>
    <w:rsid w:val="00791317"/>
    <w:rsid w:val="007932EF"/>
    <w:rsid w:val="00793A4C"/>
    <w:rsid w:val="007A7EF0"/>
    <w:rsid w:val="007B19B9"/>
    <w:rsid w:val="007B19D4"/>
    <w:rsid w:val="007B65C8"/>
    <w:rsid w:val="007C1A10"/>
    <w:rsid w:val="007D1E54"/>
    <w:rsid w:val="007D460B"/>
    <w:rsid w:val="007D46A2"/>
    <w:rsid w:val="007E05B0"/>
    <w:rsid w:val="0080433E"/>
    <w:rsid w:val="00815513"/>
    <w:rsid w:val="00817BB9"/>
    <w:rsid w:val="00835A55"/>
    <w:rsid w:val="00862463"/>
    <w:rsid w:val="0086401A"/>
    <w:rsid w:val="008668B4"/>
    <w:rsid w:val="00874D22"/>
    <w:rsid w:val="00876B9C"/>
    <w:rsid w:val="00887BAC"/>
    <w:rsid w:val="00895952"/>
    <w:rsid w:val="008A181D"/>
    <w:rsid w:val="008A2914"/>
    <w:rsid w:val="008A319A"/>
    <w:rsid w:val="008B341D"/>
    <w:rsid w:val="008C044C"/>
    <w:rsid w:val="008C6C31"/>
    <w:rsid w:val="008C6F83"/>
    <w:rsid w:val="008E4D8E"/>
    <w:rsid w:val="008E77C0"/>
    <w:rsid w:val="008F0392"/>
    <w:rsid w:val="00911243"/>
    <w:rsid w:val="00911A93"/>
    <w:rsid w:val="0091724B"/>
    <w:rsid w:val="00917A1E"/>
    <w:rsid w:val="00960CBE"/>
    <w:rsid w:val="00975FFB"/>
    <w:rsid w:val="00981CB1"/>
    <w:rsid w:val="00984892"/>
    <w:rsid w:val="00984986"/>
    <w:rsid w:val="00986CD3"/>
    <w:rsid w:val="009A7E6C"/>
    <w:rsid w:val="009D14DE"/>
    <w:rsid w:val="009D1E07"/>
    <w:rsid w:val="009D43C2"/>
    <w:rsid w:val="009D5F73"/>
    <w:rsid w:val="009E345B"/>
    <w:rsid w:val="009E4F32"/>
    <w:rsid w:val="009E6212"/>
    <w:rsid w:val="009F3567"/>
    <w:rsid w:val="009F5211"/>
    <w:rsid w:val="009F5951"/>
    <w:rsid w:val="00A248BA"/>
    <w:rsid w:val="00A314AB"/>
    <w:rsid w:val="00A45E8A"/>
    <w:rsid w:val="00A461D6"/>
    <w:rsid w:val="00A50B45"/>
    <w:rsid w:val="00A57DF3"/>
    <w:rsid w:val="00A67227"/>
    <w:rsid w:val="00A86B69"/>
    <w:rsid w:val="00A9047C"/>
    <w:rsid w:val="00AA05F5"/>
    <w:rsid w:val="00AA2EBB"/>
    <w:rsid w:val="00AA406E"/>
    <w:rsid w:val="00AC6B96"/>
    <w:rsid w:val="00AD673C"/>
    <w:rsid w:val="00AE07AF"/>
    <w:rsid w:val="00AE41EB"/>
    <w:rsid w:val="00AE55C0"/>
    <w:rsid w:val="00AF53F8"/>
    <w:rsid w:val="00AF59C9"/>
    <w:rsid w:val="00AF6378"/>
    <w:rsid w:val="00B01B76"/>
    <w:rsid w:val="00B057ED"/>
    <w:rsid w:val="00B22396"/>
    <w:rsid w:val="00B233A0"/>
    <w:rsid w:val="00B37C0D"/>
    <w:rsid w:val="00B430DA"/>
    <w:rsid w:val="00B45970"/>
    <w:rsid w:val="00B534C4"/>
    <w:rsid w:val="00B65B6A"/>
    <w:rsid w:val="00B711E8"/>
    <w:rsid w:val="00B7126A"/>
    <w:rsid w:val="00B97FF6"/>
    <w:rsid w:val="00BC079C"/>
    <w:rsid w:val="00BC3051"/>
    <w:rsid w:val="00BC5104"/>
    <w:rsid w:val="00BD0975"/>
    <w:rsid w:val="00BD09B4"/>
    <w:rsid w:val="00BD132E"/>
    <w:rsid w:val="00BD16F9"/>
    <w:rsid w:val="00BE2E56"/>
    <w:rsid w:val="00BE3BE6"/>
    <w:rsid w:val="00BF2729"/>
    <w:rsid w:val="00BF2D5E"/>
    <w:rsid w:val="00BF5173"/>
    <w:rsid w:val="00BF6CC6"/>
    <w:rsid w:val="00C12301"/>
    <w:rsid w:val="00C24BC9"/>
    <w:rsid w:val="00C275D1"/>
    <w:rsid w:val="00C41800"/>
    <w:rsid w:val="00C4728F"/>
    <w:rsid w:val="00C531DA"/>
    <w:rsid w:val="00C55C83"/>
    <w:rsid w:val="00C76C22"/>
    <w:rsid w:val="00C937EF"/>
    <w:rsid w:val="00CA4F9C"/>
    <w:rsid w:val="00CB01B1"/>
    <w:rsid w:val="00CB1047"/>
    <w:rsid w:val="00CB17F1"/>
    <w:rsid w:val="00CC6D40"/>
    <w:rsid w:val="00CD39C2"/>
    <w:rsid w:val="00CD3E10"/>
    <w:rsid w:val="00CD5BF4"/>
    <w:rsid w:val="00CD7759"/>
    <w:rsid w:val="00CD7DDF"/>
    <w:rsid w:val="00CE0D6E"/>
    <w:rsid w:val="00CE70BF"/>
    <w:rsid w:val="00CF6D65"/>
    <w:rsid w:val="00D04E8C"/>
    <w:rsid w:val="00D134F6"/>
    <w:rsid w:val="00D14330"/>
    <w:rsid w:val="00D14B3D"/>
    <w:rsid w:val="00D20381"/>
    <w:rsid w:val="00D2316C"/>
    <w:rsid w:val="00D348A7"/>
    <w:rsid w:val="00D440DB"/>
    <w:rsid w:val="00D521C1"/>
    <w:rsid w:val="00D62A50"/>
    <w:rsid w:val="00D66EDE"/>
    <w:rsid w:val="00D80C19"/>
    <w:rsid w:val="00D83BF4"/>
    <w:rsid w:val="00D85F26"/>
    <w:rsid w:val="00DB0900"/>
    <w:rsid w:val="00DC0AF1"/>
    <w:rsid w:val="00DC2338"/>
    <w:rsid w:val="00DC5702"/>
    <w:rsid w:val="00DD0DB2"/>
    <w:rsid w:val="00DD124D"/>
    <w:rsid w:val="00DD5C07"/>
    <w:rsid w:val="00DE6C39"/>
    <w:rsid w:val="00E01D11"/>
    <w:rsid w:val="00E2345E"/>
    <w:rsid w:val="00E26F1C"/>
    <w:rsid w:val="00E56772"/>
    <w:rsid w:val="00E6537A"/>
    <w:rsid w:val="00E664ED"/>
    <w:rsid w:val="00E708EA"/>
    <w:rsid w:val="00E97B60"/>
    <w:rsid w:val="00EA3B0F"/>
    <w:rsid w:val="00EC02A7"/>
    <w:rsid w:val="00EC1EC9"/>
    <w:rsid w:val="00ED3256"/>
    <w:rsid w:val="00EE3BDE"/>
    <w:rsid w:val="00EE4164"/>
    <w:rsid w:val="00EF38E3"/>
    <w:rsid w:val="00F0184C"/>
    <w:rsid w:val="00F04970"/>
    <w:rsid w:val="00F06BC8"/>
    <w:rsid w:val="00F16E8D"/>
    <w:rsid w:val="00F251D3"/>
    <w:rsid w:val="00F31F83"/>
    <w:rsid w:val="00F342CA"/>
    <w:rsid w:val="00F36E53"/>
    <w:rsid w:val="00F44EAF"/>
    <w:rsid w:val="00F60565"/>
    <w:rsid w:val="00F617F2"/>
    <w:rsid w:val="00FA7F83"/>
    <w:rsid w:val="00FB0CFB"/>
    <w:rsid w:val="00FC38F8"/>
    <w:rsid w:val="00FC7AFB"/>
    <w:rsid w:val="00FD6F56"/>
    <w:rsid w:val="00FE01AC"/>
    <w:rsid w:val="00FF3758"/>
    <w:rsid w:val="074254D1"/>
    <w:rsid w:val="0E642408"/>
    <w:rsid w:val="1A10971B"/>
    <w:rsid w:val="26AE2AB3"/>
    <w:rsid w:val="292B2D0C"/>
    <w:rsid w:val="32DED34E"/>
    <w:rsid w:val="4E5DBF48"/>
    <w:rsid w:val="5570F538"/>
    <w:rsid w:val="64485736"/>
    <w:rsid w:val="6942B255"/>
    <w:rsid w:val="6A0AF0A2"/>
    <w:rsid w:val="6C0CAD12"/>
    <w:rsid w:val="721D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5DDA898-FAA1-4029-AC2E-546F8E4E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0F1E02"/>
    <w:pPr>
      <w:numPr>
        <w:numId w:val="1"/>
      </w:numPr>
      <w:tabs>
        <w:tab w:val="clear" w:pos="360"/>
      </w:tabs>
      <w:ind w:left="0" w:firstLine="0"/>
    </w:pPr>
    <w:rPr>
      <w:rFonts w:eastAsia="Times New Roman"/>
      <w:lang w:eastAsia="en-GB"/>
    </w:rPr>
  </w:style>
  <w:style w:type="paragraph" w:styleId="Caption">
    <w:name w:val="caption"/>
    <w:basedOn w:val="Normal"/>
    <w:next w:val="Normal"/>
    <w:uiPriority w:val="35"/>
    <w:semiHidden/>
    <w:unhideWhenUsed/>
    <w:qFormat/>
    <w:rsid w:val="00472BD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72BD7"/>
    <w:pPr>
      <w:spacing w:after="0"/>
    </w:pPr>
  </w:style>
  <w:style w:type="paragraph" w:styleId="ListBullet2">
    <w:name w:val="List Bullet 2"/>
    <w:basedOn w:val="Normal"/>
    <w:uiPriority w:val="99"/>
    <w:semiHidden/>
    <w:unhideWhenUsed/>
    <w:rsid w:val="00472BD7"/>
    <w:pPr>
      <w:numPr>
        <w:numId w:val="2"/>
      </w:numPr>
      <w:contextualSpacing/>
    </w:pPr>
  </w:style>
  <w:style w:type="paragraph" w:styleId="ListBullet3">
    <w:name w:val="List Bullet 3"/>
    <w:basedOn w:val="Normal"/>
    <w:uiPriority w:val="99"/>
    <w:semiHidden/>
    <w:unhideWhenUsed/>
    <w:rsid w:val="00472BD7"/>
    <w:pPr>
      <w:numPr>
        <w:numId w:val="3"/>
      </w:numPr>
      <w:contextualSpacing/>
    </w:pPr>
  </w:style>
  <w:style w:type="paragraph" w:styleId="ListBullet4">
    <w:name w:val="List Bullet 4"/>
    <w:basedOn w:val="Normal"/>
    <w:uiPriority w:val="99"/>
    <w:semiHidden/>
    <w:unhideWhenUsed/>
    <w:rsid w:val="00472BD7"/>
    <w:pPr>
      <w:numPr>
        <w:numId w:val="4"/>
      </w:numPr>
      <w:contextualSpacing/>
    </w:pPr>
  </w:style>
  <w:style w:type="paragraph" w:styleId="ListNumber">
    <w:name w:val="List Number"/>
    <w:basedOn w:val="Normal"/>
    <w:uiPriority w:val="99"/>
    <w:semiHidden/>
    <w:unhideWhenUsed/>
    <w:rsid w:val="00472BD7"/>
    <w:pPr>
      <w:numPr>
        <w:numId w:val="5"/>
      </w:numPr>
      <w:contextualSpacing/>
    </w:pPr>
  </w:style>
  <w:style w:type="paragraph" w:styleId="ListNumber2">
    <w:name w:val="List Number 2"/>
    <w:basedOn w:val="Normal"/>
    <w:uiPriority w:val="99"/>
    <w:semiHidden/>
    <w:unhideWhenUsed/>
    <w:rsid w:val="00472BD7"/>
    <w:pPr>
      <w:numPr>
        <w:numId w:val="6"/>
      </w:numPr>
      <w:contextualSpacing/>
    </w:pPr>
  </w:style>
  <w:style w:type="paragraph" w:styleId="ListNumber3">
    <w:name w:val="List Number 3"/>
    <w:basedOn w:val="Normal"/>
    <w:unhideWhenUsed/>
    <w:rsid w:val="00472BD7"/>
    <w:pPr>
      <w:numPr>
        <w:numId w:val="7"/>
      </w:numPr>
      <w:tabs>
        <w:tab w:val="clear" w:pos="926"/>
        <w:tab w:val="num" w:pos="360"/>
      </w:tabs>
      <w:ind w:left="0" w:firstLine="0"/>
      <w:contextualSpacing/>
    </w:pPr>
  </w:style>
  <w:style w:type="paragraph" w:styleId="ListNumber4">
    <w:name w:val="List Number 4"/>
    <w:basedOn w:val="Normal"/>
    <w:uiPriority w:val="99"/>
    <w:semiHidden/>
    <w:unhideWhenUsed/>
    <w:rsid w:val="00472BD7"/>
    <w:pPr>
      <w:numPr>
        <w:numId w:val="8"/>
      </w:numPr>
      <w:contextualSpacing/>
    </w:pPr>
  </w:style>
  <w:style w:type="character" w:styleId="CommentReference">
    <w:name w:val="annotation reference"/>
    <w:basedOn w:val="DefaultParagraphFont"/>
    <w:uiPriority w:val="99"/>
    <w:semiHidden/>
    <w:unhideWhenUsed/>
    <w:rsid w:val="00BF5173"/>
    <w:rPr>
      <w:sz w:val="16"/>
      <w:szCs w:val="16"/>
    </w:rPr>
  </w:style>
  <w:style w:type="paragraph" w:styleId="CommentText">
    <w:name w:val="annotation text"/>
    <w:basedOn w:val="Normal"/>
    <w:link w:val="CommentTextChar"/>
    <w:uiPriority w:val="99"/>
    <w:unhideWhenUsed/>
    <w:rsid w:val="00BF5173"/>
    <w:rPr>
      <w:sz w:val="20"/>
      <w:szCs w:val="20"/>
    </w:rPr>
  </w:style>
  <w:style w:type="character" w:customStyle="1" w:styleId="CommentTextChar">
    <w:name w:val="Comment Text Char"/>
    <w:basedOn w:val="DefaultParagraphFont"/>
    <w:link w:val="CommentText"/>
    <w:uiPriority w:val="99"/>
    <w:rsid w:val="00BF517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F5173"/>
    <w:rPr>
      <w:b/>
      <w:bCs/>
    </w:rPr>
  </w:style>
  <w:style w:type="character" w:customStyle="1" w:styleId="CommentSubjectChar">
    <w:name w:val="Comment Subject Char"/>
    <w:basedOn w:val="CommentTextChar"/>
    <w:link w:val="CommentSubject"/>
    <w:uiPriority w:val="99"/>
    <w:semiHidden/>
    <w:rsid w:val="00BF5173"/>
    <w:rPr>
      <w:rFonts w:ascii="Times New Roman" w:hAnsi="Times New Roman" w:cs="Times New Roman"/>
      <w:b/>
      <w:bCs/>
      <w:sz w:val="20"/>
      <w:szCs w:val="20"/>
      <w:lang w:val="ro-RO"/>
    </w:rPr>
  </w:style>
  <w:style w:type="character" w:styleId="Hyperlink">
    <w:name w:val="Hyperlink"/>
    <w:basedOn w:val="DefaultParagraphFont"/>
    <w:uiPriority w:val="99"/>
    <w:unhideWhenUsed/>
    <w:rsid w:val="00BF5173"/>
    <w:rPr>
      <w:color w:val="0000FF" w:themeColor="hyperlink"/>
      <w:u w:val="single"/>
    </w:rPr>
  </w:style>
  <w:style w:type="character" w:customStyle="1" w:styleId="UnresolvedMention">
    <w:name w:val="Unresolved Mention"/>
    <w:basedOn w:val="DefaultParagraphFont"/>
    <w:uiPriority w:val="99"/>
    <w:semiHidden/>
    <w:unhideWhenUsed/>
    <w:rsid w:val="00BF5173"/>
    <w:rPr>
      <w:color w:val="605E5C"/>
      <w:shd w:val="clear" w:color="auto" w:fill="E1DFDD"/>
    </w:rPr>
  </w:style>
  <w:style w:type="paragraph" w:styleId="ListParagraph">
    <w:name w:val="List Paragraph"/>
    <w:basedOn w:val="Normal"/>
    <w:uiPriority w:val="34"/>
    <w:qFormat/>
    <w:rsid w:val="000D2455"/>
    <w:pPr>
      <w:ind w:left="720"/>
      <w:contextualSpacing/>
    </w:pPr>
  </w:style>
  <w:style w:type="paragraph" w:styleId="Revision">
    <w:name w:val="Revision"/>
    <w:hidden/>
    <w:uiPriority w:val="99"/>
    <w:semiHidden/>
    <w:rsid w:val="00C275D1"/>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CD7DDF"/>
    <w:rPr>
      <w:rFonts w:ascii="Times New Roman" w:hAnsi="Times New Roman" w:cs="Times New Roman"/>
      <w:sz w:val="24"/>
      <w:lang w:val="ro-RO"/>
    </w:rPr>
  </w:style>
  <w:style w:type="character" w:customStyle="1" w:styleId="FooterChar">
    <w:name w:val="Footer Char"/>
    <w:basedOn w:val="DefaultParagraphFont"/>
    <w:link w:val="Footer"/>
    <w:uiPriority w:val="99"/>
    <w:rsid w:val="00CD7DD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D7D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D7DDF"/>
    <w:pPr>
      <w:spacing w:before="0"/>
      <w:jc w:val="right"/>
    </w:pPr>
    <w:rPr>
      <w:sz w:val="28"/>
    </w:rPr>
  </w:style>
  <w:style w:type="paragraph" w:customStyle="1" w:styleId="FooterSensitivity">
    <w:name w:val="Footer Sensitivity"/>
    <w:basedOn w:val="Normal"/>
    <w:rsid w:val="00CD7D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D7DDF"/>
    <w:pPr>
      <w:tabs>
        <w:tab w:val="center" w:pos="4535"/>
        <w:tab w:val="right" w:pos="9071"/>
      </w:tabs>
      <w:spacing w:before="0"/>
    </w:pPr>
  </w:style>
  <w:style w:type="paragraph" w:customStyle="1" w:styleId="HeaderLandscape">
    <w:name w:val="HeaderLandscape"/>
    <w:basedOn w:val="Normal"/>
    <w:rsid w:val="00CD7DDF"/>
    <w:pPr>
      <w:tabs>
        <w:tab w:val="center" w:pos="7285"/>
        <w:tab w:val="right" w:pos="14003"/>
      </w:tabs>
      <w:spacing w:before="0"/>
    </w:pPr>
  </w:style>
  <w:style w:type="paragraph" w:styleId="Footer">
    <w:name w:val="footer"/>
    <w:basedOn w:val="Normal"/>
    <w:link w:val="FooterChar"/>
    <w:uiPriority w:val="99"/>
    <w:unhideWhenUsed/>
    <w:rsid w:val="00CD7D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D7D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76523">
      <w:bodyDiv w:val="1"/>
      <w:marLeft w:val="0"/>
      <w:marRight w:val="0"/>
      <w:marTop w:val="0"/>
      <w:marBottom w:val="0"/>
      <w:divBdr>
        <w:top w:val="none" w:sz="0" w:space="0" w:color="auto"/>
        <w:left w:val="none" w:sz="0" w:space="0" w:color="auto"/>
        <w:bottom w:val="none" w:sz="0" w:space="0" w:color="auto"/>
        <w:right w:val="none" w:sz="0" w:space="0" w:color="auto"/>
      </w:divBdr>
    </w:div>
    <w:div w:id="858078514">
      <w:bodyDiv w:val="1"/>
      <w:marLeft w:val="0"/>
      <w:marRight w:val="0"/>
      <w:marTop w:val="0"/>
      <w:marBottom w:val="0"/>
      <w:divBdr>
        <w:top w:val="none" w:sz="0" w:space="0" w:color="auto"/>
        <w:left w:val="none" w:sz="0" w:space="0" w:color="auto"/>
        <w:bottom w:val="none" w:sz="0" w:space="0" w:color="auto"/>
        <w:right w:val="none" w:sz="0" w:space="0" w:color="auto"/>
      </w:divBdr>
    </w:div>
    <w:div w:id="178738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7792870D9CFF4C91BFD4828B009132" ma:contentTypeVersion="3" ma:contentTypeDescription="Create a new document." ma:contentTypeScope="" ma:versionID="7549d85e0e9e7ffadaf40b42fae2d304">
  <xsd:schema xmlns:xsd="http://www.w3.org/2001/XMLSchema" xmlns:xs="http://www.w3.org/2001/XMLSchema" xmlns:p="http://schemas.microsoft.com/office/2006/metadata/properties" xmlns:ns2="d3620702-34ba-484e-bd5e-bf40cc0d0ccd" targetNamespace="http://schemas.microsoft.com/office/2006/metadata/properties" ma:root="true" ma:fieldsID="fe45252b22b37e02c1c182143d7082cc" ns2:_="">
    <xsd:import namespace="d3620702-34ba-484e-bd5e-bf40cc0d0c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20702-34ba-484e-bd5e-bf40cc0d0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70E24-957C-425D-8F8C-BDA7C1AC65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903E00-F805-4A59-83EA-640DC7186DDE}">
  <ds:schemaRefs>
    <ds:schemaRef ds:uri="http://schemas.microsoft.com/sharepoint/v3/contenttype/forms"/>
  </ds:schemaRefs>
</ds:datastoreItem>
</file>

<file path=customXml/itemProps3.xml><?xml version="1.0" encoding="utf-8"?>
<ds:datastoreItem xmlns:ds="http://schemas.openxmlformats.org/officeDocument/2006/customXml" ds:itemID="{B1E1D29D-307C-471E-AF35-FFE04F71C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20702-34ba-484e-bd5e-bf40cc0d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80B79-5064-4FDF-9B3C-CD1804E60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171</TotalTime>
  <Pages>8</Pages>
  <Words>2892</Words>
  <Characters>16485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61</cp:revision>
  <cp:lastPrinted>2026-06-30T15:02:00Z</cp:lastPrinted>
  <dcterms:created xsi:type="dcterms:W3CDTF">2026-06-24T19:57:00Z</dcterms:created>
  <dcterms:modified xsi:type="dcterms:W3CDTF">2026-08-04T07:55:00Z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2026-06-23T08:43:22Z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6ed93ba2-1059-42e0-8ff2-d45858d70b89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0x0101000F7792870D9CFF4C91BFD4828B009132</vt:lpwstr>
  </property>
  <property fmtid="{D5CDD505-2E9C-101B-9397-08002B2CF9AE}" pid="19" name="DQCStatus">
    <vt:lpwstr>Green (DQC version 03)</vt:lpwstr>
  </property>
</Properties>
</file>