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34C9B" w14:textId="331DB9BA" w:rsidR="00616AD6" w:rsidRPr="00B26D5B" w:rsidRDefault="005022CF" w:rsidP="005022CF">
      <w:pPr>
        <w:pStyle w:val="Pagedecouverture"/>
        <w:rPr>
          <w:noProof/>
        </w:rPr>
      </w:pPr>
      <w:r>
        <w:rPr>
          <w:noProof/>
        </w:rPr>
        <w:pict w14:anchorId="16DE6C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BC67F3D-BDE7-4662-98AA-75A0C6AE220E" style="width:455.25pt;height:354.75pt">
            <v:imagedata r:id="rId11" o:title=""/>
          </v:shape>
        </w:pict>
      </w:r>
    </w:p>
    <w:p w14:paraId="477EB578" w14:textId="77777777" w:rsidR="00616AD6" w:rsidRPr="00B26D5B" w:rsidRDefault="00616AD6" w:rsidP="00616AD6">
      <w:pPr>
        <w:rPr>
          <w:noProof/>
        </w:rPr>
        <w:sectPr w:rsidR="00616AD6" w:rsidRPr="00B26D5B" w:rsidSect="005022C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9F5D8A6" w14:textId="2E00CE98" w:rsidR="001B5138" w:rsidRPr="00B26D5B" w:rsidRDefault="001B5138" w:rsidP="001B5138">
      <w:pPr>
        <w:pStyle w:val="Annexetitre"/>
        <w:rPr>
          <w:noProof/>
        </w:rPr>
      </w:pPr>
      <w:bookmarkStart w:id="0" w:name="_GoBack"/>
      <w:bookmarkEnd w:id="0"/>
      <w:r w:rsidRPr="00B26D5B">
        <w:rPr>
          <w:noProof/>
        </w:rPr>
        <w:lastRenderedPageBreak/>
        <w:t>ANEXĂ</w:t>
      </w:r>
    </w:p>
    <w:p w14:paraId="695A9D8A" w14:textId="06D0F93A" w:rsidR="00BC10F1" w:rsidRPr="00B26D5B" w:rsidRDefault="008244D7" w:rsidP="003B25CB">
      <w:pPr>
        <w:rPr>
          <w:noProof/>
        </w:rPr>
      </w:pPr>
      <w:r w:rsidRPr="00B26D5B">
        <w:rPr>
          <w:noProof/>
        </w:rPr>
        <w:t>Următoarele proiecte sunt identificate drept proiecte europene de interes comun în domeniul apărării (EDPCI):</w:t>
      </w:r>
    </w:p>
    <w:tbl>
      <w:tblPr>
        <w:tblStyle w:val="TableGrid"/>
        <w:tblW w:w="0" w:type="auto"/>
        <w:tblLook w:val="04A0" w:firstRow="1" w:lastRow="0" w:firstColumn="1" w:lastColumn="0" w:noHBand="0" w:noVBand="1"/>
      </w:tblPr>
      <w:tblGrid>
        <w:gridCol w:w="2518"/>
        <w:gridCol w:w="6771"/>
      </w:tblGrid>
      <w:tr w:rsidR="00BC10F1" w:rsidRPr="00B26D5B" w14:paraId="38F5F206" w14:textId="77777777">
        <w:tc>
          <w:tcPr>
            <w:tcW w:w="9289" w:type="dxa"/>
            <w:gridSpan w:val="2"/>
            <w:tcBorders>
              <w:left w:val="single" w:sz="4" w:space="0" w:color="auto"/>
            </w:tcBorders>
            <w:shd w:val="clear" w:color="auto" w:fill="F2F2F2" w:themeFill="background1" w:themeFillShade="F2"/>
          </w:tcPr>
          <w:p w14:paraId="748F4FD1" w14:textId="179BF9B5" w:rsidR="00154BDB" w:rsidRPr="00B26D5B" w:rsidRDefault="00BC10F1" w:rsidP="00EA747F">
            <w:pPr>
              <w:spacing w:before="0"/>
              <w:jc w:val="center"/>
              <w:rPr>
                <w:b/>
                <w:bCs/>
                <w:noProof/>
              </w:rPr>
            </w:pPr>
            <w:r w:rsidRPr="00B26D5B">
              <w:rPr>
                <w:b/>
                <w:noProof/>
              </w:rPr>
              <w:t>Angajamentul european în domeniul apărării cu drone și al soluțiilor antidrone (DECODER)</w:t>
            </w:r>
          </w:p>
        </w:tc>
      </w:tr>
      <w:tr w:rsidR="00BC10F1" w:rsidRPr="00B26D5B" w14:paraId="242C398B" w14:textId="77777777" w:rsidTr="00CE6551">
        <w:tc>
          <w:tcPr>
            <w:tcW w:w="2518" w:type="dxa"/>
            <w:tcBorders>
              <w:left w:val="nil"/>
            </w:tcBorders>
          </w:tcPr>
          <w:p w14:paraId="4E5295A3" w14:textId="77777777" w:rsidR="00BC10F1" w:rsidRPr="00B26D5B" w:rsidRDefault="00BC10F1">
            <w:pPr>
              <w:jc w:val="left"/>
              <w:rPr>
                <w:noProof/>
              </w:rPr>
            </w:pPr>
            <w:r w:rsidRPr="00B26D5B">
              <w:rPr>
                <w:noProof/>
              </w:rPr>
              <w:t>Obiectivele și caracteristicile EDPCI</w:t>
            </w:r>
          </w:p>
        </w:tc>
        <w:tc>
          <w:tcPr>
            <w:tcW w:w="6771" w:type="dxa"/>
            <w:tcBorders>
              <w:right w:val="nil"/>
            </w:tcBorders>
          </w:tcPr>
          <w:p w14:paraId="6AE007A1" w14:textId="11B56B44" w:rsidR="00BC10F1" w:rsidRPr="00B26D5B" w:rsidRDefault="00053440">
            <w:pPr>
              <w:rPr>
                <w:noProof/>
              </w:rPr>
            </w:pPr>
            <w:r w:rsidRPr="00B26D5B">
              <w:rPr>
                <w:noProof/>
              </w:rPr>
              <w:t xml:space="preserve">DECODER urmărește să permită dezvoltarea, extinderea și implementarea coordonată a sistemelor europene fără pilot și a capabilităților de contracarare a sistemelor fără pilot pentru a aborda lacunele critice în materie de capabilități în toate statele membre. Scopul său este de a oferi forțelor armate europene sisteme moderne, adaptabile, scalabile și interoperabile de drone și sisteme antidrone care să funcționeze în toate domeniile. EDPCI va menține și va consolida suveranitatea tehnologică și reziliența industrială europeană. Mai precis, EDPCI va sprijini achizițiile publice comune de sisteme fără pilot și de capabilități de contracarare a sistemelor fără pilot necesare, va extinde capacitatea de producție industrială relevantă și va institui o rețea europeană a centrelor tehnologice dedicate dronelor pentru a facilita testarea și pentru a accelera inovarea și modernizarea rapidă a forțelor. </w:t>
            </w:r>
          </w:p>
          <w:p w14:paraId="1A71E395" w14:textId="749832C4" w:rsidR="00C668F3" w:rsidRPr="00B26D5B" w:rsidRDefault="003F14CD">
            <w:pPr>
              <w:rPr>
                <w:rFonts w:eastAsia="Calibri"/>
                <w:noProof/>
                <w:szCs w:val="24"/>
              </w:rPr>
            </w:pPr>
            <w:r w:rsidRPr="00B26D5B">
              <w:rPr>
                <w:noProof/>
              </w:rPr>
              <w:t>Din motivele menționate mai jos, proiectul îndeplinește criteriile prevăzute la articolul 35 alineatul (2) din Regulamentul (UE) 2025/2643:</w:t>
            </w:r>
          </w:p>
          <w:p w14:paraId="73C55656" w14:textId="03F2EF53" w:rsidR="00EA747F" w:rsidRPr="00B26D5B" w:rsidRDefault="00EA747F" w:rsidP="00EA747F">
            <w:pPr>
              <w:pStyle w:val="Point0number"/>
              <w:numPr>
                <w:ilvl w:val="0"/>
                <w:numId w:val="0"/>
              </w:numPr>
              <w:rPr>
                <w:noProof/>
              </w:rPr>
            </w:pPr>
            <w:r w:rsidRPr="00B26D5B">
              <w:rPr>
                <w:noProof/>
              </w:rPr>
              <w:t xml:space="preserve">Propunerea abordează consolidarea competitivității și a capacității de inovare a EDTIB într-o perspectivă pe termen lung, sprijină integrarea pieței, reducerea dependențelor strategice și îmbunătățirea interoperabilității. Aceasta demonstrează contribuția importantă a proiectului la capabilitățile militare critice pentru interesele de securitate și apărare ale Uniunii. Propunerea abordează, de asemenea, cooperarea civil-militară și tehnologiile cu dublă utilizare. Aceasta ține seama de inițiativele PESCO și AEA, precum și de activitățile NATO relevante. </w:t>
            </w:r>
          </w:p>
          <w:p w14:paraId="514376AA" w14:textId="74459553" w:rsidR="00E85B42" w:rsidRPr="00B26D5B" w:rsidRDefault="00EA747F" w:rsidP="00EA747F">
            <w:pPr>
              <w:pStyle w:val="Point0number"/>
              <w:numPr>
                <w:ilvl w:val="0"/>
                <w:numId w:val="0"/>
              </w:numPr>
              <w:rPr>
                <w:noProof/>
              </w:rPr>
            </w:pPr>
            <w:r w:rsidRPr="00B26D5B">
              <w:rPr>
                <w:noProof/>
              </w:rPr>
              <w:t xml:space="preserve">Propunerea oferă argumente solide și bine întemeiate în favoarea unei părți mai mari a Uniunii și implică 26 de state membre, precum și alte țări. Propunerea oferă dovezi ale unui domeniu de aplicare semnificativ care abordează atât complexitatea tehnică, cât și diversitatea activităților operaționale și industriale, precum și ambiția strategică pe termen lung și dimensiunea financiară globală estimată substanțială. </w:t>
            </w:r>
          </w:p>
        </w:tc>
      </w:tr>
      <w:tr w:rsidR="00BC10F1" w:rsidRPr="00B26D5B" w14:paraId="7C7DF114" w14:textId="77777777" w:rsidTr="00CE6551">
        <w:tc>
          <w:tcPr>
            <w:tcW w:w="2518" w:type="dxa"/>
            <w:tcBorders>
              <w:left w:val="nil"/>
            </w:tcBorders>
          </w:tcPr>
          <w:p w14:paraId="4FA83E8B" w14:textId="6740A961" w:rsidR="00BC10F1" w:rsidRPr="00B26D5B" w:rsidRDefault="00BC10F1">
            <w:pPr>
              <w:jc w:val="left"/>
              <w:rPr>
                <w:noProof/>
              </w:rPr>
            </w:pPr>
            <w:r w:rsidRPr="00B26D5B">
              <w:rPr>
                <w:noProof/>
              </w:rPr>
              <w:t>Lista țărilor care participă la EDPCI de la data adoptării actului de punere în aplicare</w:t>
            </w:r>
          </w:p>
        </w:tc>
        <w:tc>
          <w:tcPr>
            <w:tcW w:w="6771" w:type="dxa"/>
            <w:tcBorders>
              <w:right w:val="nil"/>
            </w:tcBorders>
          </w:tcPr>
          <w:p w14:paraId="04744B6B" w14:textId="77777777" w:rsidR="00BC10F1" w:rsidRPr="00B26D5B" w:rsidRDefault="00BC10F1">
            <w:pPr>
              <w:rPr>
                <w:noProof/>
              </w:rPr>
            </w:pPr>
            <w:r w:rsidRPr="00B26D5B">
              <w:rPr>
                <w:noProof/>
              </w:rPr>
              <w:t>Belgia, Bulgaria, Cehia, Danemarca, Germania, Estonia, Irlanda, Grecia, Spania, Franța, Croația, Italia, Cipru, Letonia, Lituania, Luxemburg, Ungaria, Țările de Jos, Austria, Polonia, Portugalia, România, Slovenia, Slovacia, Finlanda, Suedia, Norvegia, Ucraina.</w:t>
            </w:r>
          </w:p>
        </w:tc>
      </w:tr>
      <w:tr w:rsidR="00BC10F1" w:rsidRPr="00B26D5B" w14:paraId="4387A06E" w14:textId="77777777" w:rsidTr="00E22A7E">
        <w:trPr>
          <w:trHeight w:val="617"/>
        </w:trPr>
        <w:tc>
          <w:tcPr>
            <w:tcW w:w="2518" w:type="dxa"/>
            <w:tcBorders>
              <w:left w:val="nil"/>
            </w:tcBorders>
          </w:tcPr>
          <w:p w14:paraId="069688BA" w14:textId="77777777" w:rsidR="00BC10F1" w:rsidRPr="00B26D5B" w:rsidRDefault="00BC10F1">
            <w:pPr>
              <w:jc w:val="left"/>
              <w:rPr>
                <w:noProof/>
              </w:rPr>
            </w:pPr>
            <w:r w:rsidRPr="00B26D5B">
              <w:rPr>
                <w:noProof/>
              </w:rPr>
              <w:t>Participarea Comisiei Europene</w:t>
            </w:r>
          </w:p>
        </w:tc>
        <w:tc>
          <w:tcPr>
            <w:tcW w:w="6771" w:type="dxa"/>
            <w:tcBorders>
              <w:right w:val="nil"/>
            </w:tcBorders>
          </w:tcPr>
          <w:p w14:paraId="5807EFCE" w14:textId="77777777" w:rsidR="00BC10F1" w:rsidRPr="00B26D5B" w:rsidRDefault="00BC10F1">
            <w:pPr>
              <w:rPr>
                <w:noProof/>
              </w:rPr>
            </w:pPr>
            <w:r w:rsidRPr="00B26D5B">
              <w:rPr>
                <w:noProof/>
              </w:rPr>
              <w:t>Da</w:t>
            </w:r>
          </w:p>
        </w:tc>
      </w:tr>
      <w:tr w:rsidR="00BC10F1" w:rsidRPr="00B26D5B" w14:paraId="5A1BE625" w14:textId="77777777" w:rsidTr="00CE6551">
        <w:tc>
          <w:tcPr>
            <w:tcW w:w="2518" w:type="dxa"/>
            <w:tcBorders>
              <w:left w:val="nil"/>
            </w:tcBorders>
          </w:tcPr>
          <w:p w14:paraId="452279B2" w14:textId="77777777" w:rsidR="00BC10F1" w:rsidRPr="00B26D5B" w:rsidRDefault="00BC10F1">
            <w:pPr>
              <w:jc w:val="left"/>
              <w:rPr>
                <w:noProof/>
              </w:rPr>
            </w:pPr>
            <w:r w:rsidRPr="00B26D5B">
              <w:rPr>
                <w:noProof/>
              </w:rPr>
              <w:t>Implicarea ÎR/AEA în calitate de observatori</w:t>
            </w:r>
          </w:p>
        </w:tc>
        <w:tc>
          <w:tcPr>
            <w:tcW w:w="6771" w:type="dxa"/>
            <w:tcBorders>
              <w:right w:val="nil"/>
            </w:tcBorders>
          </w:tcPr>
          <w:p w14:paraId="56A3846B" w14:textId="77777777" w:rsidR="00BC10F1" w:rsidRPr="00B26D5B" w:rsidRDefault="00BC10F1">
            <w:pPr>
              <w:rPr>
                <w:noProof/>
              </w:rPr>
            </w:pPr>
            <w:r w:rsidRPr="00B26D5B">
              <w:rPr>
                <w:noProof/>
              </w:rPr>
              <w:t>Da</w:t>
            </w:r>
          </w:p>
        </w:tc>
      </w:tr>
      <w:tr w:rsidR="00BC10F1" w:rsidRPr="00B26D5B" w14:paraId="7FE126FF" w14:textId="77777777" w:rsidTr="00CE6551">
        <w:tc>
          <w:tcPr>
            <w:tcW w:w="2518" w:type="dxa"/>
            <w:tcBorders>
              <w:left w:val="nil"/>
            </w:tcBorders>
          </w:tcPr>
          <w:p w14:paraId="7B58FB25" w14:textId="0EB012EA" w:rsidR="00BC10F1" w:rsidRPr="00B26D5B" w:rsidRDefault="00BD68EF">
            <w:pPr>
              <w:jc w:val="left"/>
              <w:rPr>
                <w:noProof/>
              </w:rPr>
            </w:pPr>
            <w:r w:rsidRPr="00B26D5B">
              <w:rPr>
                <w:noProof/>
              </w:rPr>
              <w:t xml:space="preserve">Dimensiunea financiară globală estimată a EDPCI </w:t>
            </w:r>
          </w:p>
        </w:tc>
        <w:tc>
          <w:tcPr>
            <w:tcW w:w="6771" w:type="dxa"/>
            <w:tcBorders>
              <w:right w:val="nil"/>
            </w:tcBorders>
          </w:tcPr>
          <w:p w14:paraId="1FA7B540" w14:textId="77777777" w:rsidR="00BC10F1" w:rsidRPr="00B26D5B" w:rsidRDefault="00BC10F1">
            <w:pPr>
              <w:rPr>
                <w:noProof/>
              </w:rPr>
            </w:pPr>
            <w:r w:rsidRPr="00B26D5B">
              <w:rPr>
                <w:noProof/>
              </w:rPr>
              <w:t>3,5-5 miliarde EUR până în 2033</w:t>
            </w:r>
          </w:p>
        </w:tc>
      </w:tr>
    </w:tbl>
    <w:p w14:paraId="5C94842E" w14:textId="77777777" w:rsidR="00154BDB" w:rsidRPr="00B26D5B" w:rsidRDefault="00154BDB" w:rsidP="008F5D32">
      <w:pPr>
        <w:pStyle w:val="ListParagraph"/>
        <w:rPr>
          <w:b/>
          <w:bCs/>
          <w:noProof/>
        </w:rPr>
      </w:pPr>
    </w:p>
    <w:tbl>
      <w:tblPr>
        <w:tblStyle w:val="TableGrid"/>
        <w:tblW w:w="0" w:type="auto"/>
        <w:tblLook w:val="04A0" w:firstRow="1" w:lastRow="0" w:firstColumn="1" w:lastColumn="0" w:noHBand="0" w:noVBand="1"/>
      </w:tblPr>
      <w:tblGrid>
        <w:gridCol w:w="2518"/>
        <w:gridCol w:w="6771"/>
      </w:tblGrid>
      <w:tr w:rsidR="00AE17A3" w:rsidRPr="00B26D5B" w14:paraId="41BBEC6C" w14:textId="77777777" w:rsidTr="5722A851">
        <w:tc>
          <w:tcPr>
            <w:tcW w:w="9289" w:type="dxa"/>
            <w:gridSpan w:val="2"/>
            <w:tcBorders>
              <w:left w:val="single" w:sz="4" w:space="0" w:color="auto"/>
            </w:tcBorders>
            <w:shd w:val="clear" w:color="auto" w:fill="F2F2F2" w:themeFill="background1" w:themeFillShade="F2"/>
          </w:tcPr>
          <w:p w14:paraId="24DCB296" w14:textId="74CD8592" w:rsidR="00154BDB" w:rsidRPr="00B26D5B" w:rsidRDefault="00AE17A3" w:rsidP="007C73CD">
            <w:pPr>
              <w:spacing w:before="0"/>
              <w:jc w:val="center"/>
              <w:rPr>
                <w:b/>
                <w:bCs/>
                <w:noProof/>
              </w:rPr>
            </w:pPr>
            <w:r w:rsidRPr="00B26D5B">
              <w:rPr>
                <w:b/>
                <w:noProof/>
              </w:rPr>
              <w:t>Apărare maritimă și a fundului mării integrată (IMSD)</w:t>
            </w:r>
          </w:p>
        </w:tc>
      </w:tr>
      <w:tr w:rsidR="00480DBB" w:rsidRPr="00B26D5B" w14:paraId="055BBACE" w14:textId="77777777" w:rsidTr="5722A851">
        <w:tc>
          <w:tcPr>
            <w:tcW w:w="2518" w:type="dxa"/>
            <w:tcBorders>
              <w:left w:val="nil"/>
            </w:tcBorders>
          </w:tcPr>
          <w:p w14:paraId="6169D375" w14:textId="43749B95" w:rsidR="00480DBB" w:rsidRPr="00B26D5B" w:rsidRDefault="00480DBB" w:rsidP="00480DBB">
            <w:pPr>
              <w:jc w:val="left"/>
              <w:rPr>
                <w:noProof/>
              </w:rPr>
            </w:pPr>
            <w:r w:rsidRPr="00B26D5B">
              <w:rPr>
                <w:noProof/>
              </w:rPr>
              <w:t>Obiectivele și caracteristicile EDPCI</w:t>
            </w:r>
          </w:p>
        </w:tc>
        <w:tc>
          <w:tcPr>
            <w:tcW w:w="6771" w:type="dxa"/>
            <w:tcBorders>
              <w:right w:val="nil"/>
            </w:tcBorders>
          </w:tcPr>
          <w:p w14:paraId="1B71A653" w14:textId="5D534D39" w:rsidR="00480DBB" w:rsidRPr="00B26D5B" w:rsidRDefault="00053440" w:rsidP="5722A851">
            <w:pPr>
              <w:rPr>
                <w:noProof/>
              </w:rPr>
            </w:pPr>
            <w:r w:rsidRPr="00B26D5B">
              <w:rPr>
                <w:noProof/>
              </w:rPr>
              <w:t xml:space="preserve">IMSD urmărește să instituie o arhitectură europeană federată și interoperabilă de apărare maritimă și a fundului mării, capabilă să consolideze capacitatea Uniunii de a preveni, detecta, descuraja și răspunde la amenințările din întregul domeniu maritim. Proiectul se bazează pe integrarea a trei piloni principali care se consolidează reciproc: Cunoașterea domeniului maritim, lupte navale &amp; interdicție maritimă și război maritim &amp; pe fundul mării. </w:t>
            </w:r>
          </w:p>
          <w:p w14:paraId="08077C52" w14:textId="790DA091" w:rsidR="00480DBB" w:rsidRPr="00B26D5B" w:rsidRDefault="0072204B" w:rsidP="5722A851">
            <w:pPr>
              <w:rPr>
                <w:noProof/>
              </w:rPr>
            </w:pPr>
            <w:r w:rsidRPr="00B26D5B">
              <w:rPr>
                <w:noProof/>
              </w:rPr>
              <w:t>Mai precis, proiectul va îmbunătăți cunoașterea comună a domeniului maritim prin intermediul unei arhitecturi interoperabile și integrate a UE pentru schimbul de informații și va sprijini dezvoltarea industrială coordonată, extinderea și achizițiile publice comune de platforme navale, sisteme subacvatice, sisteme fără pilot, instrumente de informații, supraveghere și recunoaștere (ISR) și capabilități de război subacvatic. Proiectul va include, de asemenea, cooperarea cu autoritățile civile, îndeplinind acțiunea emblematică a Pactului european privind oceanul planetar cu privire la cunoașterea domeniului maritim, inclusiv capabilitățile fără pilot.</w:t>
            </w:r>
          </w:p>
          <w:p w14:paraId="34369EDA" w14:textId="3B08C38C" w:rsidR="00480DBB" w:rsidRPr="00B26D5B" w:rsidRDefault="0038540D" w:rsidP="5722A851">
            <w:pPr>
              <w:rPr>
                <w:noProof/>
              </w:rPr>
            </w:pPr>
            <w:r w:rsidRPr="00B26D5B">
              <w:rPr>
                <w:noProof/>
              </w:rPr>
              <w:t xml:space="preserve">În cele din urmă, aceasta va consolida protecția infrastructurii critice maritime și de pe fundul mării, inclusiv a porturilor, a instalațiilor offshore, a cablurilor subacvatice și a conductelor. </w:t>
            </w:r>
          </w:p>
          <w:p w14:paraId="2A9C802E" w14:textId="161ED24C" w:rsidR="005E42B3" w:rsidRPr="00B26D5B" w:rsidRDefault="003F14CD" w:rsidP="5722A851">
            <w:pPr>
              <w:rPr>
                <w:noProof/>
              </w:rPr>
            </w:pPr>
            <w:r w:rsidRPr="00B26D5B">
              <w:rPr>
                <w:noProof/>
              </w:rPr>
              <w:t>Din motivele menționate mai jos, proiectul îndeplinește criteriile prevăzute la articolul 35 alineatul (2) din Regulamentul (UE) 2025/2643:</w:t>
            </w:r>
          </w:p>
          <w:p w14:paraId="16BC9DB9" w14:textId="77777777" w:rsidR="007C73CD" w:rsidRPr="00B26D5B" w:rsidRDefault="007C73CD" w:rsidP="007C73CD">
            <w:pPr>
              <w:pStyle w:val="Point0number"/>
              <w:numPr>
                <w:ilvl w:val="0"/>
                <w:numId w:val="0"/>
              </w:numPr>
              <w:rPr>
                <w:noProof/>
              </w:rPr>
            </w:pPr>
            <w:r w:rsidRPr="00B26D5B">
              <w:rPr>
                <w:noProof/>
              </w:rPr>
              <w:t xml:space="preserve">Propunerea abordează consolidarea competitivității și a capacității de inovare a EDTIB și se preconizează că va contribui la extinderea cooperării transfrontaliere, va reduce fragmentarea în cadrul pieței europene a apărării maritime puternic fragmentate și va genera efecte de propagare pozitive pentru sectorul civil. Aceasta contribuie la abordarea capabilităților esențiale pentru interesele de securitate și apărare ale Uniunii prin sprijinirea sensibilizării cu privire la domeniul maritim, a protecției infrastructurii subacvatice critice, a arhitecturilor navale interoperabile și a capabilităților de război subacvatic &amp; pe fundul mării. </w:t>
            </w:r>
          </w:p>
          <w:p w14:paraId="33E222BF" w14:textId="319396D4" w:rsidR="00E85B42" w:rsidRPr="00B26D5B" w:rsidRDefault="007C73CD" w:rsidP="007C73CD">
            <w:pPr>
              <w:pStyle w:val="Point0number"/>
              <w:numPr>
                <w:ilvl w:val="0"/>
                <w:numId w:val="0"/>
              </w:numPr>
              <w:rPr>
                <w:noProof/>
              </w:rPr>
            </w:pPr>
            <w:r w:rsidRPr="00B26D5B">
              <w:rPr>
                <w:noProof/>
              </w:rPr>
              <w:t>Proiectul se bazează pe mai multe inițiative PESCO și AEA în curs și ține seama de activitățile relevante ale NATO. Acesta demonstrează implicarea unui număr mare de țări (17), iar beneficiile sale se extind la o parte mai largă a Uniunii. Proiectul are un domeniu de aplicare semnificativ și o dimensiune financiară globală estimată substanțială.</w:t>
            </w:r>
          </w:p>
        </w:tc>
      </w:tr>
      <w:tr w:rsidR="00480DBB" w:rsidRPr="00B26D5B" w14:paraId="061F168F" w14:textId="77777777" w:rsidTr="5722A851">
        <w:trPr>
          <w:trHeight w:val="1110"/>
        </w:trPr>
        <w:tc>
          <w:tcPr>
            <w:tcW w:w="2518" w:type="dxa"/>
            <w:tcBorders>
              <w:left w:val="nil"/>
            </w:tcBorders>
          </w:tcPr>
          <w:p w14:paraId="75B5D4C1" w14:textId="00FC8EA7" w:rsidR="00480DBB" w:rsidRPr="00B26D5B" w:rsidRDefault="002E60BF" w:rsidP="00480DBB">
            <w:pPr>
              <w:jc w:val="left"/>
              <w:rPr>
                <w:noProof/>
              </w:rPr>
            </w:pPr>
            <w:r w:rsidRPr="00B26D5B">
              <w:rPr>
                <w:noProof/>
              </w:rPr>
              <w:t>Lista țărilor care participă la EDPCI de la data adoptării actului de punere în aplicare</w:t>
            </w:r>
          </w:p>
        </w:tc>
        <w:tc>
          <w:tcPr>
            <w:tcW w:w="6771" w:type="dxa"/>
            <w:tcBorders>
              <w:right w:val="nil"/>
            </w:tcBorders>
          </w:tcPr>
          <w:p w14:paraId="5BAFE633" w14:textId="7841ED28" w:rsidR="00480DBB" w:rsidRPr="00B26D5B" w:rsidRDefault="00480DBB" w:rsidP="00480DBB">
            <w:pPr>
              <w:rPr>
                <w:noProof/>
              </w:rPr>
            </w:pPr>
            <w:r w:rsidRPr="00B26D5B">
              <w:rPr>
                <w:noProof/>
              </w:rPr>
              <w:t>Belgia, Bulgaria, Germania, Grecia, Spania, Franța, Irlanda, Italia, Cipru, Țările de Jos, Polonia, Portugalia, România, Finlanda, Suedia, Norvegia, Ucraina.</w:t>
            </w:r>
          </w:p>
        </w:tc>
      </w:tr>
      <w:tr w:rsidR="00480DBB" w:rsidRPr="00B26D5B" w14:paraId="6EFBDE15" w14:textId="77777777" w:rsidTr="5722A851">
        <w:tc>
          <w:tcPr>
            <w:tcW w:w="2518" w:type="dxa"/>
            <w:tcBorders>
              <w:left w:val="nil"/>
            </w:tcBorders>
          </w:tcPr>
          <w:p w14:paraId="300C1166" w14:textId="77777777" w:rsidR="00480DBB" w:rsidRPr="00B26D5B" w:rsidRDefault="00480DBB" w:rsidP="00480DBB">
            <w:pPr>
              <w:jc w:val="left"/>
              <w:rPr>
                <w:noProof/>
              </w:rPr>
            </w:pPr>
            <w:r w:rsidRPr="00B26D5B">
              <w:rPr>
                <w:noProof/>
              </w:rPr>
              <w:t>Participarea Comisiei Europene</w:t>
            </w:r>
          </w:p>
        </w:tc>
        <w:tc>
          <w:tcPr>
            <w:tcW w:w="6771" w:type="dxa"/>
            <w:tcBorders>
              <w:right w:val="nil"/>
            </w:tcBorders>
          </w:tcPr>
          <w:p w14:paraId="5A043897" w14:textId="77777777" w:rsidR="00480DBB" w:rsidRPr="00B26D5B" w:rsidRDefault="00480DBB" w:rsidP="00480DBB">
            <w:pPr>
              <w:rPr>
                <w:noProof/>
              </w:rPr>
            </w:pPr>
            <w:r w:rsidRPr="00B26D5B">
              <w:rPr>
                <w:noProof/>
              </w:rPr>
              <w:t>Da</w:t>
            </w:r>
          </w:p>
        </w:tc>
      </w:tr>
      <w:tr w:rsidR="00480DBB" w:rsidRPr="00B26D5B" w14:paraId="33BEC7A4" w14:textId="77777777" w:rsidTr="5722A851">
        <w:tc>
          <w:tcPr>
            <w:tcW w:w="2518" w:type="dxa"/>
            <w:tcBorders>
              <w:left w:val="nil"/>
            </w:tcBorders>
          </w:tcPr>
          <w:p w14:paraId="4F83B4AE" w14:textId="77777777" w:rsidR="00480DBB" w:rsidRPr="00B26D5B" w:rsidRDefault="00480DBB" w:rsidP="00480DBB">
            <w:pPr>
              <w:jc w:val="left"/>
              <w:rPr>
                <w:noProof/>
              </w:rPr>
            </w:pPr>
            <w:r w:rsidRPr="00B26D5B">
              <w:rPr>
                <w:noProof/>
              </w:rPr>
              <w:t>Implicarea ÎR/AEA în calitate de observatori</w:t>
            </w:r>
          </w:p>
        </w:tc>
        <w:tc>
          <w:tcPr>
            <w:tcW w:w="6771" w:type="dxa"/>
            <w:tcBorders>
              <w:right w:val="nil"/>
            </w:tcBorders>
          </w:tcPr>
          <w:p w14:paraId="0AB7442A" w14:textId="77777777" w:rsidR="00480DBB" w:rsidRPr="00B26D5B" w:rsidRDefault="00480DBB" w:rsidP="00480DBB">
            <w:pPr>
              <w:rPr>
                <w:noProof/>
              </w:rPr>
            </w:pPr>
            <w:r w:rsidRPr="00B26D5B">
              <w:rPr>
                <w:noProof/>
              </w:rPr>
              <w:t>Da</w:t>
            </w:r>
          </w:p>
        </w:tc>
      </w:tr>
      <w:tr w:rsidR="00480DBB" w:rsidRPr="00B26D5B" w14:paraId="10768517" w14:textId="77777777" w:rsidTr="5722A851">
        <w:tc>
          <w:tcPr>
            <w:tcW w:w="2518" w:type="dxa"/>
            <w:tcBorders>
              <w:left w:val="nil"/>
            </w:tcBorders>
          </w:tcPr>
          <w:p w14:paraId="71B1323B" w14:textId="22709576" w:rsidR="00480DBB" w:rsidRPr="00B26D5B" w:rsidRDefault="00BD68EF" w:rsidP="00480DBB">
            <w:pPr>
              <w:jc w:val="left"/>
              <w:rPr>
                <w:noProof/>
              </w:rPr>
            </w:pPr>
            <w:r w:rsidRPr="00B26D5B">
              <w:rPr>
                <w:noProof/>
              </w:rPr>
              <w:t>Dimensiunea financiară globală estimată a EDPCI</w:t>
            </w:r>
          </w:p>
        </w:tc>
        <w:tc>
          <w:tcPr>
            <w:tcW w:w="6771" w:type="dxa"/>
            <w:tcBorders>
              <w:right w:val="nil"/>
            </w:tcBorders>
          </w:tcPr>
          <w:p w14:paraId="35E0E9CF" w14:textId="4351CF0F" w:rsidR="00480DBB" w:rsidRPr="00B26D5B" w:rsidRDefault="00480DBB" w:rsidP="00480DBB">
            <w:pPr>
              <w:rPr>
                <w:noProof/>
              </w:rPr>
            </w:pPr>
            <w:r w:rsidRPr="00B26D5B">
              <w:rPr>
                <w:noProof/>
              </w:rPr>
              <w:t>43-72 de miliarde EUR până în 2045</w:t>
            </w:r>
          </w:p>
        </w:tc>
      </w:tr>
    </w:tbl>
    <w:p w14:paraId="4583B9BE" w14:textId="77777777" w:rsidR="00E85B42" w:rsidRPr="00B26D5B" w:rsidRDefault="00E85B42" w:rsidP="00616AD6">
      <w:pPr>
        <w:rPr>
          <w:noProof/>
        </w:rPr>
      </w:pPr>
    </w:p>
    <w:tbl>
      <w:tblPr>
        <w:tblStyle w:val="TableGrid"/>
        <w:tblW w:w="0" w:type="auto"/>
        <w:tblLook w:val="04A0" w:firstRow="1" w:lastRow="0" w:firstColumn="1" w:lastColumn="0" w:noHBand="0" w:noVBand="1"/>
      </w:tblPr>
      <w:tblGrid>
        <w:gridCol w:w="2518"/>
        <w:gridCol w:w="6771"/>
      </w:tblGrid>
      <w:tr w:rsidR="00BC10F1" w:rsidRPr="00B26D5B" w14:paraId="53DED353" w14:textId="77777777" w:rsidTr="7748087A">
        <w:tc>
          <w:tcPr>
            <w:tcW w:w="9289" w:type="dxa"/>
            <w:gridSpan w:val="2"/>
            <w:tcBorders>
              <w:left w:val="single" w:sz="4" w:space="0" w:color="auto"/>
            </w:tcBorders>
            <w:shd w:val="clear" w:color="auto" w:fill="F2F2F2" w:themeFill="background1" w:themeFillShade="F2"/>
          </w:tcPr>
          <w:p w14:paraId="3E3A0BAD" w14:textId="434605F0" w:rsidR="00E85B42" w:rsidRPr="00B26D5B" w:rsidRDefault="00E85B42" w:rsidP="007C73CD">
            <w:pPr>
              <w:spacing w:before="0"/>
              <w:jc w:val="center"/>
              <w:rPr>
                <w:b/>
                <w:bCs/>
                <w:noProof/>
              </w:rPr>
            </w:pPr>
            <w:r w:rsidRPr="00B26D5B">
              <w:rPr>
                <w:noProof/>
              </w:rPr>
              <w:br w:type="page"/>
            </w:r>
            <w:r w:rsidRPr="00B26D5B">
              <w:rPr>
                <w:b/>
                <w:noProof/>
              </w:rPr>
              <w:t>SPACE</w:t>
            </w:r>
          </w:p>
        </w:tc>
      </w:tr>
      <w:tr w:rsidR="00BC10F1" w:rsidRPr="00B26D5B" w14:paraId="0C499CF2" w14:textId="77777777" w:rsidTr="7748087A">
        <w:tc>
          <w:tcPr>
            <w:tcW w:w="2518" w:type="dxa"/>
            <w:tcBorders>
              <w:left w:val="nil"/>
            </w:tcBorders>
          </w:tcPr>
          <w:p w14:paraId="265DEB13" w14:textId="77777777" w:rsidR="00BC10F1" w:rsidRPr="00B26D5B" w:rsidRDefault="00BC10F1">
            <w:pPr>
              <w:jc w:val="left"/>
              <w:rPr>
                <w:noProof/>
              </w:rPr>
            </w:pPr>
            <w:r w:rsidRPr="00B26D5B">
              <w:rPr>
                <w:noProof/>
              </w:rPr>
              <w:t>Obiectivele și caracteristicile EDPCI</w:t>
            </w:r>
          </w:p>
        </w:tc>
        <w:tc>
          <w:tcPr>
            <w:tcW w:w="6771" w:type="dxa"/>
            <w:tcBorders>
              <w:right w:val="nil"/>
            </w:tcBorders>
          </w:tcPr>
          <w:p w14:paraId="41F29740" w14:textId="28DD300C" w:rsidR="00E85B42" w:rsidRPr="00B26D5B" w:rsidRDefault="00053440" w:rsidP="00C15F81">
            <w:pPr>
              <w:rPr>
                <w:noProof/>
              </w:rPr>
            </w:pPr>
            <w:r w:rsidRPr="00B26D5B">
              <w:rPr>
                <w:noProof/>
              </w:rPr>
              <w:t xml:space="preserve">SPACE urmărește să consolideze capabilitățile spațiale europene în ceea ce privește avertizarea timpurie bazată pe capabilități spațiale (SBEW), comunicațiile prin satelit (SATCOM), informațiile, supravegherea și recunoașterea (ISR), inclusiv obținerea informațiilor secrete sub formă de semnale (SIGINT), sensibilizarea cu privire la domeniul spațial (SDA), poziționarea, navigația și sincronizarea (PNT) &amp; războiul de navigație (NAVWAR), sistemele spațiale cu capacitate de reacție rapidă (RSS) și o abordare bazată pe misiuni multiple. </w:t>
            </w:r>
          </w:p>
          <w:p w14:paraId="2BBB0AE0" w14:textId="0BF3BF43" w:rsidR="00BC10F1" w:rsidRPr="00B26D5B" w:rsidRDefault="00C15F81" w:rsidP="00C15F81">
            <w:pPr>
              <w:rPr>
                <w:noProof/>
              </w:rPr>
            </w:pPr>
            <w:r w:rsidRPr="00B26D5B">
              <w:rPr>
                <w:noProof/>
              </w:rPr>
              <w:t>Pentru a reuni diferitele misiuni prezentate mai sus, EDPCI propune explorarea dezvoltării unei constelații cu mai multe misiuni. În special, proiectul se axează pe achizițiile publice în comun de produse din domeniul apărării, inclusiv a infrastructurii necesare, în sprijinul instrumentelor comune de planificare militară pentru partajarea SATCOM, serviciile PNT, capabilitățile ISR și capabilitățile NAVWAR de detectare și protecție. Acesta prevede, de asemenea, dezvoltarea în continuare a capabilităților spațiale, care sunt esențiale pentru asigurarea unui proces decizional independent.</w:t>
            </w:r>
          </w:p>
          <w:p w14:paraId="47A49F04" w14:textId="37766CDA" w:rsidR="003F14CD" w:rsidRPr="00B26D5B" w:rsidRDefault="003F14CD" w:rsidP="003F14CD">
            <w:pPr>
              <w:rPr>
                <w:noProof/>
              </w:rPr>
            </w:pPr>
            <w:r w:rsidRPr="00B26D5B">
              <w:rPr>
                <w:noProof/>
              </w:rPr>
              <w:t>Din motivele menționate mai jos, proiectul îndeplinește criteriile prevăzute la articolul 35 alineatul (2) din Regulamentul (UE) 2025/2643:</w:t>
            </w:r>
          </w:p>
          <w:p w14:paraId="3F5DDA6B" w14:textId="1CB65CF3" w:rsidR="00C51581" w:rsidRPr="00B26D5B" w:rsidRDefault="00C51581" w:rsidP="00C51581">
            <w:pPr>
              <w:pStyle w:val="Point0number"/>
              <w:numPr>
                <w:ilvl w:val="0"/>
                <w:numId w:val="0"/>
              </w:numPr>
              <w:rPr>
                <w:noProof/>
              </w:rPr>
            </w:pPr>
            <w:r w:rsidRPr="00B26D5B">
              <w:rPr>
                <w:noProof/>
              </w:rPr>
              <w:t xml:space="preserve">Propunerea abordează consolidarea competitivității și a capacității de inovare a EDTIB, sprijină transformarea cercetării și dezvoltării aflate într-un stadiu avansat în capabilități operaționale suverane pe care niciun stat membru nu le poate dezvolta singur, extinde parteneriatele transfrontaliere, creează noi oportunități de piață și abordează chestiunea reducerii dependenței structurale în domeniul spațial. Proiectul este extrem de relevant din punct de vedere militar și operațional și constituie o contribuție directă și structurală la Scutul spațial al UE. </w:t>
            </w:r>
          </w:p>
          <w:p w14:paraId="7C0FFC29" w14:textId="1F56F496" w:rsidR="00E85B42" w:rsidRPr="00B26D5B" w:rsidRDefault="00C51581" w:rsidP="00C51581">
            <w:pPr>
              <w:pStyle w:val="Point0number"/>
              <w:numPr>
                <w:ilvl w:val="0"/>
                <w:numId w:val="0"/>
              </w:numPr>
              <w:rPr>
                <w:noProof/>
              </w:rPr>
            </w:pPr>
            <w:r w:rsidRPr="00B26D5B">
              <w:rPr>
                <w:noProof/>
              </w:rPr>
              <w:t xml:space="preserve">Proiectul ține seama de proiectele PESCO relevante și urmărește să consolideze capabilitățile și interoperabilitatea statelor membre în concordanță cu activitățile NATO. Acesta demonstrează implicarea unui număr mare de țări (16). Acesta are un domeniu de aplicare semnificativ, o dimensiune financiară globală estimată substanțială, iar beneficiile sale se extind la o mare parte a Europei prin acoperirea inerentă la nivelul Uniunii a capabilităților spațiale. </w:t>
            </w:r>
          </w:p>
        </w:tc>
      </w:tr>
      <w:tr w:rsidR="00BC10F1" w:rsidRPr="00B26D5B" w14:paraId="2EF0C67A" w14:textId="77777777" w:rsidTr="7748087A">
        <w:tc>
          <w:tcPr>
            <w:tcW w:w="2518" w:type="dxa"/>
            <w:tcBorders>
              <w:left w:val="nil"/>
            </w:tcBorders>
          </w:tcPr>
          <w:p w14:paraId="7F16A0B0" w14:textId="3BDE0BA3" w:rsidR="00BC10F1" w:rsidRPr="00B26D5B" w:rsidRDefault="002E60BF">
            <w:pPr>
              <w:jc w:val="left"/>
              <w:rPr>
                <w:noProof/>
              </w:rPr>
            </w:pPr>
            <w:r w:rsidRPr="00B26D5B">
              <w:rPr>
                <w:noProof/>
              </w:rPr>
              <w:t>Lista țărilor care participă la EDPCI de la data adoptării actului de punere în aplicare</w:t>
            </w:r>
          </w:p>
        </w:tc>
        <w:tc>
          <w:tcPr>
            <w:tcW w:w="6771" w:type="dxa"/>
            <w:tcBorders>
              <w:right w:val="nil"/>
            </w:tcBorders>
          </w:tcPr>
          <w:p w14:paraId="221F89A8" w14:textId="77777777" w:rsidR="00BC10F1" w:rsidRPr="00B26D5B" w:rsidRDefault="00BC10F1">
            <w:pPr>
              <w:rPr>
                <w:noProof/>
              </w:rPr>
            </w:pPr>
            <w:r w:rsidRPr="00B26D5B">
              <w:rPr>
                <w:noProof/>
              </w:rPr>
              <w:t>Belgia, Cehia, Danemarca, Germania, Irlanda, Grecia, Spania, Franța, Italia, Luxemburg, Țările de Jos, Polonia, România, Finlanda, Suedia, Norvegia.</w:t>
            </w:r>
          </w:p>
        </w:tc>
      </w:tr>
      <w:tr w:rsidR="00BC10F1" w:rsidRPr="00B26D5B" w14:paraId="6F7DE05B" w14:textId="77777777" w:rsidTr="7748087A">
        <w:tc>
          <w:tcPr>
            <w:tcW w:w="2518" w:type="dxa"/>
            <w:tcBorders>
              <w:left w:val="nil"/>
            </w:tcBorders>
          </w:tcPr>
          <w:p w14:paraId="65FB04FE" w14:textId="77777777" w:rsidR="00BC10F1" w:rsidRPr="00B26D5B" w:rsidRDefault="00BC10F1">
            <w:pPr>
              <w:jc w:val="left"/>
              <w:rPr>
                <w:noProof/>
              </w:rPr>
            </w:pPr>
            <w:r w:rsidRPr="00B26D5B">
              <w:rPr>
                <w:noProof/>
              </w:rPr>
              <w:t>Participarea Comisiei Europene</w:t>
            </w:r>
          </w:p>
        </w:tc>
        <w:tc>
          <w:tcPr>
            <w:tcW w:w="6771" w:type="dxa"/>
            <w:tcBorders>
              <w:right w:val="nil"/>
            </w:tcBorders>
          </w:tcPr>
          <w:p w14:paraId="69FB79D5" w14:textId="77777777" w:rsidR="00BC10F1" w:rsidRPr="00B26D5B" w:rsidRDefault="00BC10F1">
            <w:pPr>
              <w:rPr>
                <w:i/>
                <w:iCs/>
                <w:noProof/>
              </w:rPr>
            </w:pPr>
            <w:r w:rsidRPr="00B26D5B">
              <w:rPr>
                <w:noProof/>
              </w:rPr>
              <w:t>Da</w:t>
            </w:r>
          </w:p>
        </w:tc>
      </w:tr>
      <w:tr w:rsidR="00BC10F1" w:rsidRPr="00B26D5B" w14:paraId="6803F5C5" w14:textId="77777777" w:rsidTr="7748087A">
        <w:tc>
          <w:tcPr>
            <w:tcW w:w="2518" w:type="dxa"/>
            <w:tcBorders>
              <w:left w:val="nil"/>
            </w:tcBorders>
          </w:tcPr>
          <w:p w14:paraId="4B14E630" w14:textId="77777777" w:rsidR="00BC10F1" w:rsidRPr="00B26D5B" w:rsidRDefault="00BC10F1">
            <w:pPr>
              <w:jc w:val="left"/>
              <w:rPr>
                <w:noProof/>
              </w:rPr>
            </w:pPr>
            <w:r w:rsidRPr="00B26D5B">
              <w:rPr>
                <w:noProof/>
              </w:rPr>
              <w:t>Implicarea ÎR/AEA în calitate de observatori</w:t>
            </w:r>
          </w:p>
        </w:tc>
        <w:tc>
          <w:tcPr>
            <w:tcW w:w="6771" w:type="dxa"/>
            <w:tcBorders>
              <w:right w:val="nil"/>
            </w:tcBorders>
          </w:tcPr>
          <w:p w14:paraId="7BCFA543" w14:textId="77777777" w:rsidR="00BC10F1" w:rsidRPr="00B26D5B" w:rsidRDefault="00BC10F1">
            <w:pPr>
              <w:rPr>
                <w:noProof/>
              </w:rPr>
            </w:pPr>
            <w:r w:rsidRPr="00B26D5B">
              <w:rPr>
                <w:noProof/>
              </w:rPr>
              <w:t>Da</w:t>
            </w:r>
          </w:p>
        </w:tc>
      </w:tr>
      <w:tr w:rsidR="00BC10F1" w:rsidRPr="00B26D5B" w14:paraId="30EF71A2" w14:textId="77777777" w:rsidTr="7748087A">
        <w:tc>
          <w:tcPr>
            <w:tcW w:w="2518" w:type="dxa"/>
            <w:tcBorders>
              <w:left w:val="nil"/>
            </w:tcBorders>
          </w:tcPr>
          <w:p w14:paraId="7AF87F46" w14:textId="4F5427C1" w:rsidR="00BC10F1" w:rsidRPr="00B26D5B" w:rsidRDefault="00BD68EF">
            <w:pPr>
              <w:jc w:val="left"/>
              <w:rPr>
                <w:noProof/>
              </w:rPr>
            </w:pPr>
            <w:r w:rsidRPr="00B26D5B">
              <w:rPr>
                <w:noProof/>
              </w:rPr>
              <w:t>Dimensiunea financiară globală estimată a EDPCI</w:t>
            </w:r>
          </w:p>
        </w:tc>
        <w:tc>
          <w:tcPr>
            <w:tcW w:w="6771" w:type="dxa"/>
            <w:tcBorders>
              <w:right w:val="nil"/>
            </w:tcBorders>
          </w:tcPr>
          <w:p w14:paraId="55E25D3C" w14:textId="77777777" w:rsidR="00BC10F1" w:rsidRPr="00B26D5B" w:rsidRDefault="003F4319">
            <w:pPr>
              <w:rPr>
                <w:noProof/>
              </w:rPr>
            </w:pPr>
            <w:r w:rsidRPr="00B26D5B">
              <w:rPr>
                <w:noProof/>
              </w:rPr>
              <w:t>24 de miliarde EUR până în 2034</w:t>
            </w:r>
          </w:p>
          <w:p w14:paraId="1FCCE59D" w14:textId="77777777" w:rsidR="00444001" w:rsidRPr="00B26D5B" w:rsidRDefault="00444001">
            <w:pPr>
              <w:rPr>
                <w:noProof/>
              </w:rPr>
            </w:pPr>
          </w:p>
          <w:p w14:paraId="2A37922C" w14:textId="545D932C" w:rsidR="00444001" w:rsidRPr="00B26D5B" w:rsidRDefault="00444001">
            <w:pPr>
              <w:rPr>
                <w:noProof/>
              </w:rPr>
            </w:pPr>
          </w:p>
        </w:tc>
      </w:tr>
    </w:tbl>
    <w:p w14:paraId="4DCEAFD3" w14:textId="77777777" w:rsidR="005907DE" w:rsidRPr="00B26D5B" w:rsidRDefault="005907DE" w:rsidP="004D7E42">
      <w:pPr>
        <w:tabs>
          <w:tab w:val="left" w:pos="2266"/>
        </w:tabs>
        <w:rPr>
          <w:noProof/>
        </w:rPr>
      </w:pPr>
    </w:p>
    <w:p w14:paraId="53D6AF57" w14:textId="77777777" w:rsidR="005907DE" w:rsidRPr="00B26D5B" w:rsidRDefault="005907DE" w:rsidP="004D7E42">
      <w:pPr>
        <w:tabs>
          <w:tab w:val="left" w:pos="2266"/>
        </w:tabs>
        <w:rPr>
          <w:noProof/>
        </w:rPr>
      </w:pPr>
    </w:p>
    <w:tbl>
      <w:tblPr>
        <w:tblStyle w:val="TableGrid"/>
        <w:tblW w:w="0" w:type="auto"/>
        <w:tblLook w:val="04A0" w:firstRow="1" w:lastRow="0" w:firstColumn="1" w:lastColumn="0" w:noHBand="0" w:noVBand="1"/>
      </w:tblPr>
      <w:tblGrid>
        <w:gridCol w:w="2518"/>
        <w:gridCol w:w="6771"/>
      </w:tblGrid>
      <w:tr w:rsidR="005907DE" w:rsidRPr="00B26D5B" w14:paraId="34CD936C" w14:textId="77777777" w:rsidTr="00B555DE">
        <w:tc>
          <w:tcPr>
            <w:tcW w:w="9289" w:type="dxa"/>
            <w:gridSpan w:val="2"/>
            <w:tcBorders>
              <w:left w:val="single" w:sz="4" w:space="0" w:color="auto"/>
            </w:tcBorders>
            <w:shd w:val="clear" w:color="auto" w:fill="F2F2F2" w:themeFill="background1" w:themeFillShade="F2"/>
          </w:tcPr>
          <w:p w14:paraId="6E11862D" w14:textId="77777777" w:rsidR="005907DE" w:rsidRPr="00B26D5B" w:rsidRDefault="005907DE" w:rsidP="00B555DE">
            <w:pPr>
              <w:spacing w:before="0"/>
              <w:jc w:val="center"/>
              <w:rPr>
                <w:b/>
                <w:bCs/>
                <w:noProof/>
              </w:rPr>
            </w:pPr>
            <w:r w:rsidRPr="00B26D5B">
              <w:rPr>
                <w:noProof/>
              </w:rPr>
              <w:br w:type="page"/>
            </w:r>
            <w:r w:rsidRPr="00B26D5B">
              <w:rPr>
                <w:b/>
                <w:noProof/>
              </w:rPr>
              <w:t>Apărarea antiaeriană și antirachetă integrată federată a UE, inclusiv avertizarea timpurie</w:t>
            </w:r>
          </w:p>
          <w:p w14:paraId="315569EE" w14:textId="77777777" w:rsidR="005907DE" w:rsidRPr="00B26D5B" w:rsidRDefault="005907DE" w:rsidP="00B555DE">
            <w:pPr>
              <w:spacing w:before="0"/>
              <w:jc w:val="center"/>
              <w:rPr>
                <w:b/>
                <w:bCs/>
                <w:noProof/>
              </w:rPr>
            </w:pPr>
            <w:r w:rsidRPr="00B26D5B">
              <w:rPr>
                <w:b/>
                <w:noProof/>
              </w:rPr>
              <w:t>(EU-FIAMD)</w:t>
            </w:r>
          </w:p>
        </w:tc>
      </w:tr>
      <w:tr w:rsidR="005907DE" w:rsidRPr="00B26D5B" w14:paraId="71F5DFEF" w14:textId="77777777" w:rsidTr="00B555DE">
        <w:tc>
          <w:tcPr>
            <w:tcW w:w="2518" w:type="dxa"/>
            <w:tcBorders>
              <w:left w:val="nil"/>
            </w:tcBorders>
          </w:tcPr>
          <w:p w14:paraId="4D9D6668" w14:textId="77777777" w:rsidR="005907DE" w:rsidRPr="00B26D5B" w:rsidRDefault="005907DE" w:rsidP="00B555DE">
            <w:pPr>
              <w:jc w:val="left"/>
              <w:rPr>
                <w:noProof/>
              </w:rPr>
            </w:pPr>
            <w:r w:rsidRPr="00B26D5B">
              <w:rPr>
                <w:noProof/>
              </w:rPr>
              <w:t xml:space="preserve">Obiectivele și caracteristicile EDPCI </w:t>
            </w:r>
          </w:p>
        </w:tc>
        <w:tc>
          <w:tcPr>
            <w:tcW w:w="6771" w:type="dxa"/>
            <w:tcBorders>
              <w:right w:val="nil"/>
            </w:tcBorders>
          </w:tcPr>
          <w:p w14:paraId="2A6E8B42" w14:textId="572D0DF0" w:rsidR="005907DE" w:rsidRPr="00B26D5B" w:rsidRDefault="00053440" w:rsidP="00B555DE">
            <w:pPr>
              <w:rPr>
                <w:noProof/>
              </w:rPr>
            </w:pPr>
            <w:r w:rsidRPr="00B26D5B">
              <w:rPr>
                <w:noProof/>
              </w:rPr>
              <w:t xml:space="preserve">EU-FIAMD urmărește să ofere statelor membre o apărare antiaeriană și antirachetă integrată colectivă și eficace (IAMD), inclusiv informații de alertă timpurie și considerații privind comanda și controlul. Scopul său este de a permite țărilor să desfășoare capabilități relevante pentru IAMD în timp util și la calitatea și în cantitatea necesare, precum și de a se asigura că diversele soluții naționale pot fi combinate și utilizate în comun în mod eficace, inclusiv senzorii, efectorii și mediile de comandă &amp; control. Mai precis, proiectul se axează pe crearea unei arhitecturi comune generale la nivel de întreprindere și de capabilități, pe accelerarea producției industriale a sistemelor existente și pe achizițiile publice în comun de produse din domeniul apărării. </w:t>
            </w:r>
          </w:p>
          <w:p w14:paraId="6DE136E5" w14:textId="77777777" w:rsidR="005907DE" w:rsidRPr="00B26D5B" w:rsidRDefault="005907DE" w:rsidP="00B555DE">
            <w:pPr>
              <w:rPr>
                <w:noProof/>
              </w:rPr>
            </w:pPr>
            <w:r w:rsidRPr="00B26D5B">
              <w:rPr>
                <w:noProof/>
              </w:rPr>
              <w:t>Proiectul se va axa, de asemenea, pe dezvoltarea tehnologiilor critice care stau la baza IAMD, precum și pe utilizarea infrastructurii și a mediilor de certificare care permit testarea, validarea și formarea viitoarei federații operaționale. În plus, arhitectura vizează respectarea deplină a priorităților, a nevoilor în materie de capabilități și a cerințelor de interoperabilitate identificate în cadrele NATO.</w:t>
            </w:r>
          </w:p>
          <w:p w14:paraId="7403D9D0" w14:textId="553AA65C" w:rsidR="005907DE" w:rsidRPr="00B26D5B" w:rsidRDefault="005907DE" w:rsidP="00B555DE">
            <w:pPr>
              <w:rPr>
                <w:noProof/>
              </w:rPr>
            </w:pPr>
            <w:r w:rsidRPr="00B26D5B">
              <w:rPr>
                <w:noProof/>
              </w:rPr>
              <w:t>Din motivele menționate mai jos, proiectul îndeplinește criteriile prevăzute la articolul 35 alineatul (2) din Regulamentul (UE) 2025/2643:</w:t>
            </w:r>
          </w:p>
          <w:p w14:paraId="52C7ECAF" w14:textId="77777777" w:rsidR="005907DE" w:rsidRPr="00B26D5B" w:rsidRDefault="005907DE" w:rsidP="00B555DE">
            <w:pPr>
              <w:pStyle w:val="Point0number"/>
              <w:numPr>
                <w:ilvl w:val="0"/>
                <w:numId w:val="0"/>
              </w:numPr>
              <w:rPr>
                <w:noProof/>
              </w:rPr>
            </w:pPr>
            <w:r w:rsidRPr="00B26D5B">
              <w:rPr>
                <w:noProof/>
              </w:rPr>
              <w:t xml:space="preserve">Propunerea abordează consolidarea competitivității și a capacității de inovare a EDTIB și sprijină crearea și extinderea cooperării în cadrul industriei europene. Aceasta va contribui la crearea unui sistem federat de sisteme care vor furniza statelor membre capabilități militare critice, și anume apărarea aeriană și antirachetă colectivă și integrată (IAMD). Aceasta ține seama de inițiativele PESCO și AEA, precum și de activitățile NATO relevante. </w:t>
            </w:r>
          </w:p>
          <w:p w14:paraId="5ACFD39C" w14:textId="668F5B87" w:rsidR="005907DE" w:rsidRPr="00B26D5B" w:rsidRDefault="005907DE" w:rsidP="00B555DE">
            <w:pPr>
              <w:pStyle w:val="Point0number"/>
              <w:numPr>
                <w:ilvl w:val="0"/>
                <w:numId w:val="0"/>
              </w:numPr>
              <w:rPr>
                <w:noProof/>
              </w:rPr>
            </w:pPr>
            <w:r w:rsidRPr="00B26D5B">
              <w:rPr>
                <w:noProof/>
              </w:rPr>
              <w:t xml:space="preserve">Proiectul demonstrează implicarea unui număr mare de țări (16). Acesta contribuie în mod direct la consolidarea rezilienței colective a Uniunii prin consolidarea IAMD, îmbunătățirea protecției infrastructurii critice, creșterea coordonării operaționale a forțelor armate și consolidarea capacităților industriale în sectoarele critice legate de apărarea antiaeriană și antirachetă. Proiectul are un domeniu de aplicare semnificativ și o dimensiune financiară globală estimată substanțială. </w:t>
            </w:r>
          </w:p>
        </w:tc>
      </w:tr>
      <w:tr w:rsidR="005907DE" w:rsidRPr="00B26D5B" w14:paraId="65E246C5" w14:textId="77777777" w:rsidTr="00B555DE">
        <w:tc>
          <w:tcPr>
            <w:tcW w:w="2518" w:type="dxa"/>
            <w:tcBorders>
              <w:left w:val="nil"/>
            </w:tcBorders>
          </w:tcPr>
          <w:p w14:paraId="009CD2FB" w14:textId="77777777" w:rsidR="005907DE" w:rsidRPr="00B26D5B" w:rsidRDefault="005907DE" w:rsidP="00B555DE">
            <w:pPr>
              <w:jc w:val="left"/>
              <w:rPr>
                <w:noProof/>
              </w:rPr>
            </w:pPr>
            <w:r w:rsidRPr="00B26D5B">
              <w:rPr>
                <w:noProof/>
              </w:rPr>
              <w:t>Lista țărilor care participă la EDPCI de la data adoptării actului de punere în aplicare</w:t>
            </w:r>
          </w:p>
        </w:tc>
        <w:tc>
          <w:tcPr>
            <w:tcW w:w="6771" w:type="dxa"/>
            <w:tcBorders>
              <w:right w:val="nil"/>
            </w:tcBorders>
          </w:tcPr>
          <w:p w14:paraId="1B56A41A" w14:textId="77777777" w:rsidR="005907DE" w:rsidRPr="00B26D5B" w:rsidRDefault="005907DE" w:rsidP="00B555DE">
            <w:pPr>
              <w:rPr>
                <w:noProof/>
              </w:rPr>
            </w:pPr>
            <w:r w:rsidRPr="00B26D5B">
              <w:rPr>
                <w:noProof/>
              </w:rPr>
              <w:t>Cehia, Danemarca, Germania, Grecia, Spania, Franța, Italia, Cipru, Țările de Jos, Polonia, Portugalia, România, Finlanda, Suedia, Norvegia, Ucraina.</w:t>
            </w:r>
          </w:p>
        </w:tc>
      </w:tr>
      <w:tr w:rsidR="005907DE" w:rsidRPr="00B26D5B" w14:paraId="2E468051" w14:textId="77777777" w:rsidTr="00B555DE">
        <w:tc>
          <w:tcPr>
            <w:tcW w:w="2518" w:type="dxa"/>
            <w:tcBorders>
              <w:left w:val="nil"/>
            </w:tcBorders>
          </w:tcPr>
          <w:p w14:paraId="34C1EA4B" w14:textId="77777777" w:rsidR="005907DE" w:rsidRPr="00B26D5B" w:rsidRDefault="005907DE" w:rsidP="00B555DE">
            <w:pPr>
              <w:jc w:val="left"/>
              <w:rPr>
                <w:noProof/>
              </w:rPr>
            </w:pPr>
            <w:r w:rsidRPr="00B26D5B">
              <w:rPr>
                <w:noProof/>
              </w:rPr>
              <w:t>Participarea Comisiei Europene</w:t>
            </w:r>
          </w:p>
        </w:tc>
        <w:tc>
          <w:tcPr>
            <w:tcW w:w="6771" w:type="dxa"/>
            <w:tcBorders>
              <w:right w:val="nil"/>
            </w:tcBorders>
          </w:tcPr>
          <w:p w14:paraId="0E45FEA4" w14:textId="77777777" w:rsidR="005907DE" w:rsidRPr="00B26D5B" w:rsidRDefault="005907DE" w:rsidP="00B555DE">
            <w:pPr>
              <w:rPr>
                <w:noProof/>
              </w:rPr>
            </w:pPr>
            <w:r w:rsidRPr="00B26D5B">
              <w:rPr>
                <w:noProof/>
              </w:rPr>
              <w:t>Da</w:t>
            </w:r>
          </w:p>
        </w:tc>
      </w:tr>
      <w:tr w:rsidR="005907DE" w:rsidRPr="00B26D5B" w14:paraId="159DAA68" w14:textId="77777777" w:rsidTr="00B555DE">
        <w:tc>
          <w:tcPr>
            <w:tcW w:w="2518" w:type="dxa"/>
            <w:tcBorders>
              <w:left w:val="nil"/>
            </w:tcBorders>
          </w:tcPr>
          <w:p w14:paraId="61B579BE" w14:textId="77777777" w:rsidR="005907DE" w:rsidRPr="00B26D5B" w:rsidRDefault="005907DE" w:rsidP="00B555DE">
            <w:pPr>
              <w:jc w:val="left"/>
              <w:rPr>
                <w:noProof/>
              </w:rPr>
            </w:pPr>
            <w:r w:rsidRPr="00B26D5B">
              <w:rPr>
                <w:noProof/>
              </w:rPr>
              <w:t>Implicarea ÎR/AEA în calitate de observatori</w:t>
            </w:r>
          </w:p>
        </w:tc>
        <w:tc>
          <w:tcPr>
            <w:tcW w:w="6771" w:type="dxa"/>
            <w:tcBorders>
              <w:right w:val="nil"/>
            </w:tcBorders>
          </w:tcPr>
          <w:p w14:paraId="0A0C5175" w14:textId="77777777" w:rsidR="005907DE" w:rsidRPr="00B26D5B" w:rsidRDefault="005907DE" w:rsidP="00B555DE">
            <w:pPr>
              <w:rPr>
                <w:noProof/>
              </w:rPr>
            </w:pPr>
            <w:r w:rsidRPr="00B26D5B">
              <w:rPr>
                <w:noProof/>
              </w:rPr>
              <w:t>Da</w:t>
            </w:r>
          </w:p>
        </w:tc>
      </w:tr>
      <w:tr w:rsidR="005907DE" w:rsidRPr="00B26D5B" w14:paraId="37D0945B" w14:textId="77777777" w:rsidTr="00B555DE">
        <w:tc>
          <w:tcPr>
            <w:tcW w:w="2518" w:type="dxa"/>
            <w:tcBorders>
              <w:left w:val="nil"/>
            </w:tcBorders>
          </w:tcPr>
          <w:p w14:paraId="5C9F1466" w14:textId="77777777" w:rsidR="005907DE" w:rsidRPr="00B26D5B" w:rsidRDefault="005907DE" w:rsidP="00B555DE">
            <w:pPr>
              <w:jc w:val="left"/>
              <w:rPr>
                <w:noProof/>
              </w:rPr>
            </w:pPr>
            <w:r w:rsidRPr="00B26D5B">
              <w:rPr>
                <w:noProof/>
              </w:rPr>
              <w:t>Dimensiunea financiară globală estimată a EDPCI</w:t>
            </w:r>
          </w:p>
        </w:tc>
        <w:tc>
          <w:tcPr>
            <w:tcW w:w="6771" w:type="dxa"/>
            <w:tcBorders>
              <w:right w:val="nil"/>
            </w:tcBorders>
          </w:tcPr>
          <w:p w14:paraId="5DDE64DF" w14:textId="77777777" w:rsidR="005907DE" w:rsidRPr="00B26D5B" w:rsidRDefault="005907DE" w:rsidP="00B555DE">
            <w:pPr>
              <w:rPr>
                <w:noProof/>
              </w:rPr>
            </w:pPr>
            <w:r w:rsidRPr="00B26D5B">
              <w:rPr>
                <w:noProof/>
              </w:rPr>
              <w:t>55-80 de miliarde EUR până în 2040</w:t>
            </w:r>
          </w:p>
        </w:tc>
      </w:tr>
    </w:tbl>
    <w:p w14:paraId="0AAACCFD" w14:textId="0D3C0D4B" w:rsidR="00E85B42" w:rsidRPr="00B26D5B" w:rsidRDefault="00BE286C" w:rsidP="004D7E42">
      <w:pPr>
        <w:tabs>
          <w:tab w:val="left" w:pos="2266"/>
        </w:tabs>
        <w:rPr>
          <w:noProof/>
        </w:rPr>
      </w:pPr>
      <w:r w:rsidRPr="00B26D5B">
        <w:rPr>
          <w:noProof/>
        </w:rPr>
        <w:tab/>
      </w:r>
    </w:p>
    <w:tbl>
      <w:tblPr>
        <w:tblStyle w:val="TableGrid"/>
        <w:tblW w:w="0" w:type="auto"/>
        <w:tblLook w:val="04A0" w:firstRow="1" w:lastRow="0" w:firstColumn="1" w:lastColumn="0" w:noHBand="0" w:noVBand="1"/>
      </w:tblPr>
      <w:tblGrid>
        <w:gridCol w:w="2518"/>
        <w:gridCol w:w="6771"/>
      </w:tblGrid>
      <w:tr w:rsidR="003D438F" w:rsidRPr="00B26D5B" w14:paraId="335CC734" w14:textId="77777777">
        <w:tc>
          <w:tcPr>
            <w:tcW w:w="9289" w:type="dxa"/>
            <w:gridSpan w:val="2"/>
            <w:tcBorders>
              <w:left w:val="single" w:sz="4" w:space="0" w:color="auto"/>
            </w:tcBorders>
            <w:shd w:val="clear" w:color="auto" w:fill="F2F2F2" w:themeFill="background1" w:themeFillShade="F2"/>
          </w:tcPr>
          <w:p w14:paraId="77F955C8" w14:textId="282DC6D3" w:rsidR="00E85B42" w:rsidRPr="00B26D5B" w:rsidRDefault="003D438F" w:rsidP="004D7E42">
            <w:pPr>
              <w:spacing w:before="0"/>
              <w:jc w:val="center"/>
              <w:rPr>
                <w:b/>
                <w:bCs/>
                <w:noProof/>
              </w:rPr>
            </w:pPr>
            <w:r w:rsidRPr="00B26D5B">
              <w:rPr>
                <w:b/>
                <w:noProof/>
              </w:rPr>
              <w:t>Supravegherea flancului estic (EFW)</w:t>
            </w:r>
          </w:p>
        </w:tc>
      </w:tr>
      <w:tr w:rsidR="003D438F" w:rsidRPr="00B26D5B" w14:paraId="68D82E30" w14:textId="77777777" w:rsidTr="00CE6551">
        <w:tc>
          <w:tcPr>
            <w:tcW w:w="2518" w:type="dxa"/>
            <w:tcBorders>
              <w:left w:val="nil"/>
            </w:tcBorders>
          </w:tcPr>
          <w:p w14:paraId="0952DEF3" w14:textId="77777777" w:rsidR="003D438F" w:rsidRPr="00B26D5B" w:rsidRDefault="003D438F">
            <w:pPr>
              <w:jc w:val="left"/>
              <w:rPr>
                <w:noProof/>
              </w:rPr>
            </w:pPr>
            <w:r w:rsidRPr="00B26D5B">
              <w:rPr>
                <w:noProof/>
              </w:rPr>
              <w:t>Obiectivele și caracteristicile EDPCI</w:t>
            </w:r>
          </w:p>
        </w:tc>
        <w:tc>
          <w:tcPr>
            <w:tcW w:w="6771" w:type="dxa"/>
            <w:tcBorders>
              <w:right w:val="nil"/>
            </w:tcBorders>
          </w:tcPr>
          <w:p w14:paraId="020BF6CB" w14:textId="443D9E26" w:rsidR="005B6F41" w:rsidRPr="00B26D5B" w:rsidRDefault="00053440">
            <w:pPr>
              <w:rPr>
                <w:noProof/>
              </w:rPr>
            </w:pPr>
            <w:r w:rsidRPr="00B26D5B">
              <w:rPr>
                <w:noProof/>
              </w:rPr>
              <w:t xml:space="preserve">Supravegherea flancului estic urmărește să ofere un efort cuprinzător distribuit pe mai multe domenii pentru a spori securitatea frontierei estice a Uniunii, pentru a asigura protecția întregului teritoriu al Uniunii și, astfel, pentru a consolida pregătirea pentru apărare a Uniunii. </w:t>
            </w:r>
          </w:p>
          <w:p w14:paraId="0A5D09E2" w14:textId="02D55C6A" w:rsidR="003D438F" w:rsidRPr="00B26D5B" w:rsidRDefault="007A0463">
            <w:pPr>
              <w:rPr>
                <w:noProof/>
              </w:rPr>
            </w:pPr>
            <w:r w:rsidRPr="00B26D5B">
              <w:rPr>
                <w:noProof/>
              </w:rPr>
              <w:t xml:space="preserve">Activitățile care urmează să fie desfășurate inițial vor viza șase piloni de capabilități: lupta terestră, apărarea împotriva dronelor, C4ISTAR, contracararea mobilității, mobilitatea militară și sistemele de apărare aeriană și antirachetă. Proiectul prevede achiziționarea în comun de produse, servicii și infrastructuri în sprijinul unor astfel de capabilități, precum și extinderea capacității și a instalațiilor de producție relevante. Se preconizează, de asemenea, testarea, validarea platformelor operaționale relevante și formarea aferentă în sprijinul inițiativei EFW. Proiectul prevede acțiuni imediate pe termen scurt, precum și evoluții pe termen mediu. </w:t>
            </w:r>
          </w:p>
          <w:p w14:paraId="61809868" w14:textId="46605DE6" w:rsidR="003F14CD" w:rsidRPr="00B26D5B" w:rsidRDefault="003F14CD" w:rsidP="003F14CD">
            <w:pPr>
              <w:rPr>
                <w:noProof/>
              </w:rPr>
            </w:pPr>
            <w:r w:rsidRPr="00B26D5B">
              <w:rPr>
                <w:noProof/>
              </w:rPr>
              <w:t>Din motivele menționate mai jos, proiectul îndeplinește criteriile prevăzute la articolul 35 alineatul (2) din Regulamentul (UE) 2025/2643:</w:t>
            </w:r>
          </w:p>
          <w:p w14:paraId="32E166AC" w14:textId="77777777" w:rsidR="004D7E42" w:rsidRPr="00B26D5B" w:rsidRDefault="004D7E42" w:rsidP="004D7E42">
            <w:pPr>
              <w:pStyle w:val="Point0number"/>
              <w:numPr>
                <w:ilvl w:val="0"/>
                <w:numId w:val="0"/>
              </w:numPr>
              <w:rPr>
                <w:noProof/>
              </w:rPr>
            </w:pPr>
            <w:r w:rsidRPr="00B26D5B">
              <w:rPr>
                <w:noProof/>
              </w:rPr>
              <w:t xml:space="preserve">Propunerea abordează consolidarea competitivității și a capacității de inovare a EDTIB, integrarea pieței, integrarea IMM-urilor și a întreprinderilor cu capitalizare medie prin diversificarea lanțului de aprovizionare, precum și reducerea dependențelor strategice. Propunerea abordează domenii critice în materie de capabilități, cum ar fi lupta terestră, C4ISTAR, AMD, dronele și sistemele antidrone, precum și mobilitatea militară. Aceasta ia în considerare inițiativele PESCO și AEA și se bazează pe activitățile relevante ale NATO și contribuie la acestea. </w:t>
            </w:r>
          </w:p>
          <w:p w14:paraId="4B3FC793" w14:textId="5D430412" w:rsidR="00E85B42" w:rsidRPr="00B26D5B" w:rsidRDefault="004D7E42" w:rsidP="004D7E42">
            <w:pPr>
              <w:pStyle w:val="Point0number"/>
              <w:numPr>
                <w:ilvl w:val="0"/>
                <w:numId w:val="0"/>
              </w:numPr>
              <w:rPr>
                <w:noProof/>
              </w:rPr>
            </w:pPr>
            <w:r w:rsidRPr="00B26D5B">
              <w:rPr>
                <w:noProof/>
              </w:rPr>
              <w:t xml:space="preserve">Proiectul demonstrează implicarea unui număr mare de țări (15). Propunerea este structurată ca o inițiativă multisectorială de dezvoltare a capabilităților și, deși se axează din punct de vedere geografic pe frontiera estică a Uniunii, aduce beneficii tuturor statelor membre împotriva amenințărilor concrete la adresa securității și este deschisă extinderii zonei sale geografice de interes. Proiectul are un domeniu de aplicare semnificativ și o dimensiune financiară globală estimată substanțială, precum și un nivel de ambiție pe termen lung. </w:t>
            </w:r>
          </w:p>
        </w:tc>
      </w:tr>
      <w:tr w:rsidR="003D438F" w:rsidRPr="00B26D5B" w14:paraId="79D0AE14" w14:textId="77777777" w:rsidTr="00CE6551">
        <w:tc>
          <w:tcPr>
            <w:tcW w:w="2518" w:type="dxa"/>
            <w:tcBorders>
              <w:left w:val="nil"/>
            </w:tcBorders>
          </w:tcPr>
          <w:p w14:paraId="4870D4D5" w14:textId="6DCEE490" w:rsidR="003D438F" w:rsidRPr="00B26D5B" w:rsidRDefault="002E60BF">
            <w:pPr>
              <w:jc w:val="left"/>
              <w:rPr>
                <w:noProof/>
              </w:rPr>
            </w:pPr>
            <w:r w:rsidRPr="00B26D5B">
              <w:rPr>
                <w:noProof/>
              </w:rPr>
              <w:t>Lista țărilor care participă la EDPCI de la data adoptării actului de punere în aplicare</w:t>
            </w:r>
          </w:p>
        </w:tc>
        <w:tc>
          <w:tcPr>
            <w:tcW w:w="6771" w:type="dxa"/>
            <w:tcBorders>
              <w:right w:val="nil"/>
            </w:tcBorders>
          </w:tcPr>
          <w:p w14:paraId="2BA1D0B6" w14:textId="200E8BEC" w:rsidR="003D438F" w:rsidRPr="00B26D5B" w:rsidRDefault="003D438F">
            <w:pPr>
              <w:rPr>
                <w:noProof/>
              </w:rPr>
            </w:pPr>
            <w:r w:rsidRPr="00B26D5B">
              <w:rPr>
                <w:noProof/>
              </w:rPr>
              <w:t xml:space="preserve">Belgia, Cehia, Germania, Estonia, Cipru, Letonia, Lituania, Țările de Jos, Polonia, România, Slovacia, Finlanda, Suedia, Norvegia, Ucraina. </w:t>
            </w:r>
          </w:p>
        </w:tc>
      </w:tr>
      <w:tr w:rsidR="003D438F" w:rsidRPr="00B26D5B" w14:paraId="71361E2F" w14:textId="77777777" w:rsidTr="00CE6551">
        <w:tc>
          <w:tcPr>
            <w:tcW w:w="2518" w:type="dxa"/>
            <w:tcBorders>
              <w:left w:val="nil"/>
            </w:tcBorders>
          </w:tcPr>
          <w:p w14:paraId="55B33EE8" w14:textId="77777777" w:rsidR="003D438F" w:rsidRPr="00B26D5B" w:rsidRDefault="003D438F">
            <w:pPr>
              <w:jc w:val="left"/>
              <w:rPr>
                <w:noProof/>
              </w:rPr>
            </w:pPr>
            <w:r w:rsidRPr="00B26D5B">
              <w:rPr>
                <w:noProof/>
              </w:rPr>
              <w:t>Participarea Comisiei Europene</w:t>
            </w:r>
          </w:p>
        </w:tc>
        <w:tc>
          <w:tcPr>
            <w:tcW w:w="6771" w:type="dxa"/>
            <w:tcBorders>
              <w:right w:val="nil"/>
            </w:tcBorders>
          </w:tcPr>
          <w:p w14:paraId="58813E0B" w14:textId="77777777" w:rsidR="003D438F" w:rsidRPr="00B26D5B" w:rsidRDefault="003D438F">
            <w:pPr>
              <w:rPr>
                <w:noProof/>
              </w:rPr>
            </w:pPr>
            <w:r w:rsidRPr="00B26D5B">
              <w:rPr>
                <w:noProof/>
              </w:rPr>
              <w:t>Da</w:t>
            </w:r>
          </w:p>
        </w:tc>
      </w:tr>
      <w:tr w:rsidR="003D438F" w:rsidRPr="00B26D5B" w14:paraId="48113A8D" w14:textId="77777777" w:rsidTr="00CE6551">
        <w:tc>
          <w:tcPr>
            <w:tcW w:w="2518" w:type="dxa"/>
            <w:tcBorders>
              <w:left w:val="nil"/>
            </w:tcBorders>
          </w:tcPr>
          <w:p w14:paraId="4430EA62" w14:textId="77777777" w:rsidR="003D438F" w:rsidRPr="00B26D5B" w:rsidRDefault="003D438F">
            <w:pPr>
              <w:jc w:val="left"/>
              <w:rPr>
                <w:noProof/>
              </w:rPr>
            </w:pPr>
            <w:r w:rsidRPr="00B26D5B">
              <w:rPr>
                <w:noProof/>
              </w:rPr>
              <w:t>Implicarea ÎR/AEA în calitate de observatori</w:t>
            </w:r>
          </w:p>
        </w:tc>
        <w:tc>
          <w:tcPr>
            <w:tcW w:w="6771" w:type="dxa"/>
            <w:tcBorders>
              <w:right w:val="nil"/>
            </w:tcBorders>
          </w:tcPr>
          <w:p w14:paraId="239C8E71" w14:textId="77777777" w:rsidR="003D438F" w:rsidRPr="00B26D5B" w:rsidRDefault="003D438F">
            <w:pPr>
              <w:rPr>
                <w:noProof/>
              </w:rPr>
            </w:pPr>
            <w:r w:rsidRPr="00B26D5B">
              <w:rPr>
                <w:noProof/>
              </w:rPr>
              <w:t>Da</w:t>
            </w:r>
          </w:p>
        </w:tc>
      </w:tr>
      <w:tr w:rsidR="003D438F" w:rsidRPr="00B26D5B" w14:paraId="76FE43B5" w14:textId="77777777" w:rsidTr="00CE6551">
        <w:tc>
          <w:tcPr>
            <w:tcW w:w="2518" w:type="dxa"/>
            <w:tcBorders>
              <w:left w:val="nil"/>
            </w:tcBorders>
          </w:tcPr>
          <w:p w14:paraId="58000139" w14:textId="1E92F81C" w:rsidR="003D438F" w:rsidRPr="00B26D5B" w:rsidRDefault="00BD68EF">
            <w:pPr>
              <w:jc w:val="left"/>
              <w:rPr>
                <w:noProof/>
              </w:rPr>
            </w:pPr>
            <w:r w:rsidRPr="00B26D5B">
              <w:rPr>
                <w:noProof/>
              </w:rPr>
              <w:t>Dimensiunea financiară globală estimată a EDPCI</w:t>
            </w:r>
          </w:p>
        </w:tc>
        <w:tc>
          <w:tcPr>
            <w:tcW w:w="6771" w:type="dxa"/>
            <w:tcBorders>
              <w:right w:val="nil"/>
            </w:tcBorders>
          </w:tcPr>
          <w:p w14:paraId="133BC4EC" w14:textId="77777777" w:rsidR="003D438F" w:rsidRPr="00B26D5B" w:rsidRDefault="003D438F">
            <w:pPr>
              <w:rPr>
                <w:noProof/>
              </w:rPr>
            </w:pPr>
            <w:r w:rsidRPr="00B26D5B">
              <w:rPr>
                <w:noProof/>
              </w:rPr>
              <w:t>60-100 de miliarde EUR până în 2036</w:t>
            </w:r>
          </w:p>
        </w:tc>
      </w:tr>
    </w:tbl>
    <w:p w14:paraId="444A903A" w14:textId="77777777" w:rsidR="003D438F" w:rsidRPr="00B26D5B" w:rsidRDefault="003D438F" w:rsidP="00616AD6">
      <w:pPr>
        <w:rPr>
          <w:noProof/>
        </w:rPr>
      </w:pPr>
    </w:p>
    <w:p w14:paraId="4014C5E9" w14:textId="77777777" w:rsidR="003D438F" w:rsidRPr="00B26D5B" w:rsidRDefault="003D438F" w:rsidP="00616AD6">
      <w:pPr>
        <w:rPr>
          <w:noProof/>
        </w:rPr>
      </w:pPr>
    </w:p>
    <w:p w14:paraId="78AAE158" w14:textId="2C338970" w:rsidR="00616AD6" w:rsidRPr="00B26D5B" w:rsidRDefault="00616AD6" w:rsidP="00172732">
      <w:pPr>
        <w:rPr>
          <w:noProof/>
        </w:rPr>
      </w:pPr>
    </w:p>
    <w:sectPr w:rsidR="00616AD6" w:rsidRPr="00B26D5B" w:rsidSect="005022CF">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BAB9B" w14:textId="77777777" w:rsidR="00A83549" w:rsidRPr="00B26D5B" w:rsidRDefault="00A83549" w:rsidP="00616AD6">
      <w:pPr>
        <w:spacing w:before="0" w:after="0"/>
      </w:pPr>
      <w:r w:rsidRPr="00B26D5B">
        <w:separator/>
      </w:r>
    </w:p>
  </w:endnote>
  <w:endnote w:type="continuationSeparator" w:id="0">
    <w:p w14:paraId="53F12042" w14:textId="77777777" w:rsidR="00A83549" w:rsidRPr="00B26D5B" w:rsidRDefault="00A83549" w:rsidP="00616AD6">
      <w:pPr>
        <w:spacing w:before="0" w:after="0"/>
      </w:pPr>
      <w:r w:rsidRPr="00B26D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1DD15" w14:textId="78141958" w:rsidR="005022CF" w:rsidRPr="005022CF" w:rsidRDefault="005022CF" w:rsidP="005022CF">
    <w:pPr>
      <w:pStyle w:val="Footer"/>
      <w:rPr>
        <w:rFonts w:ascii="Arial" w:hAnsi="Arial" w:cs="Arial"/>
        <w:b/>
        <w:sz w:val="48"/>
      </w:rPr>
    </w:pPr>
    <w:r w:rsidRPr="005022CF">
      <w:rPr>
        <w:rFonts w:ascii="Arial" w:hAnsi="Arial" w:cs="Arial"/>
        <w:b/>
        <w:sz w:val="48"/>
      </w:rPr>
      <w:t>RO</w:t>
    </w:r>
    <w:r w:rsidRPr="005022CF">
      <w:rPr>
        <w:rFonts w:ascii="Arial" w:hAnsi="Arial" w:cs="Arial"/>
        <w:b/>
        <w:sz w:val="48"/>
      </w:rPr>
      <w:tab/>
    </w:r>
    <w:r w:rsidRPr="005022CF">
      <w:rPr>
        <w:rFonts w:ascii="Arial" w:hAnsi="Arial" w:cs="Arial"/>
        <w:b/>
        <w:sz w:val="48"/>
      </w:rPr>
      <w:tab/>
    </w:r>
    <w:r w:rsidRPr="005022CF">
      <w:tab/>
    </w:r>
    <w:r w:rsidRPr="005022C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61EB5" w14:textId="3DCB58C1" w:rsidR="005022CF" w:rsidRPr="005022CF" w:rsidRDefault="005022CF" w:rsidP="005022CF">
    <w:pPr>
      <w:pStyle w:val="Footer"/>
      <w:rPr>
        <w:rFonts w:ascii="Arial" w:hAnsi="Arial" w:cs="Arial"/>
        <w:b/>
        <w:sz w:val="48"/>
      </w:rPr>
    </w:pPr>
    <w:r w:rsidRPr="005022CF">
      <w:rPr>
        <w:rFonts w:ascii="Arial" w:hAnsi="Arial" w:cs="Arial"/>
        <w:b/>
        <w:sz w:val="48"/>
      </w:rPr>
      <w:t>RO</w:t>
    </w:r>
    <w:r w:rsidRPr="005022CF">
      <w:rPr>
        <w:rFonts w:ascii="Arial" w:hAnsi="Arial" w:cs="Arial"/>
        <w:b/>
        <w:sz w:val="48"/>
      </w:rPr>
      <w:tab/>
    </w:r>
    <w:r w:rsidRPr="005022CF">
      <w:rPr>
        <w:rFonts w:ascii="Arial" w:hAnsi="Arial" w:cs="Arial"/>
        <w:b/>
        <w:sz w:val="48"/>
      </w:rPr>
      <w:tab/>
    </w:r>
    <w:r w:rsidRPr="005022CF">
      <w:tab/>
    </w:r>
    <w:r w:rsidRPr="005022C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6821" w14:textId="77777777" w:rsidR="005022CF" w:rsidRPr="005022CF" w:rsidRDefault="005022CF" w:rsidP="005022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10FBA" w14:textId="77777777" w:rsidR="005022CF" w:rsidRDefault="005022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96F7" w14:textId="61F5F451" w:rsidR="005022CF" w:rsidRPr="005022CF" w:rsidRDefault="005022CF" w:rsidP="005022CF">
    <w:pPr>
      <w:pStyle w:val="Footer"/>
      <w:rPr>
        <w:rFonts w:ascii="Arial" w:hAnsi="Arial" w:cs="Arial"/>
        <w:b/>
        <w:sz w:val="48"/>
      </w:rPr>
    </w:pPr>
    <w:r w:rsidRPr="005022CF">
      <w:rPr>
        <w:rFonts w:ascii="Arial" w:hAnsi="Arial" w:cs="Arial"/>
        <w:b/>
        <w:sz w:val="48"/>
      </w:rPr>
      <w:t>RO</w:t>
    </w:r>
    <w:r w:rsidRPr="005022C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022CF">
      <w:tab/>
    </w:r>
    <w:r w:rsidRPr="005022CF">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4BE" w14:textId="77777777" w:rsidR="005022CF" w:rsidRDefault="005022CF" w:rsidP="00502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4F2F1" w14:textId="77777777" w:rsidR="00A83549" w:rsidRPr="00B26D5B" w:rsidRDefault="00A83549" w:rsidP="00616AD6">
      <w:pPr>
        <w:spacing w:before="0" w:after="0"/>
      </w:pPr>
      <w:r w:rsidRPr="00B26D5B">
        <w:separator/>
      </w:r>
    </w:p>
  </w:footnote>
  <w:footnote w:type="continuationSeparator" w:id="0">
    <w:p w14:paraId="72962E94" w14:textId="77777777" w:rsidR="00A83549" w:rsidRPr="00B26D5B" w:rsidRDefault="00A83549" w:rsidP="00616AD6">
      <w:pPr>
        <w:spacing w:before="0" w:after="0"/>
      </w:pPr>
      <w:r w:rsidRPr="00B26D5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3FC85" w14:textId="77777777" w:rsidR="005022CF" w:rsidRPr="005022CF" w:rsidRDefault="005022CF" w:rsidP="005022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114EC" w14:textId="77777777" w:rsidR="005022CF" w:rsidRPr="005022CF" w:rsidRDefault="005022CF" w:rsidP="005022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B6703" w14:textId="77777777" w:rsidR="005022CF" w:rsidRPr="005022CF" w:rsidRDefault="005022CF" w:rsidP="005022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7BB84" w14:textId="77777777" w:rsidR="005022CF" w:rsidRDefault="005022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BD8F6" w14:textId="77777777" w:rsidR="005022CF" w:rsidRDefault="005022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6B4D3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102836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5907E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4943B9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8-04 09:56: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ABC67F3D-BDE7-4662-98AA-75A0C6AE220E"/>
    <w:docVar w:name="LW_COVERPAGE_TYPE" w:val="1"/>
    <w:docVar w:name="LW_CreatedUtc" w:val="2026-04-09T12:35:21.2153134Z"/>
    <w:docVar w:name="LW_CROSSREFERENCE" w:val="&lt;UNUSED&gt;"/>
    <w:docVar w:name="LW_DocType" w:val="ANNEX"/>
    <w:docVar w:name="LW_EMISSION" w:val="3.7.2026"/>
    <w:docVar w:name="LW_EMISSION_ISODATE" w:val="2026-07-0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identificarea proiectelor europene de interes comun în domeniul ap\u259?r\u259?rii în temeiul Regulamentului (UE) 2025/2643 al Parlamentului European \u537?i al Consiliului"/>
    <w:docVar w:name="LW_OBJETACTEPRINCIPAL.CP" w:val="privind identificarea proiectelor europene de interes comun în domeniul ap\u259?r\u259?rii în temeiul Regulamentului (UE) 2025/2643 al Parlamentului European \u537?i al Consiliului"/>
    <w:docVar w:name="LW_PART_NBR" w:val="1"/>
    <w:docVar w:name="LW_PART_NBR_TOTAL" w:val="1"/>
    <w:docVar w:name="LW_REF.INST.NEW" w:val="COM"/>
    <w:docVar w:name="LW_REF.INST.NEW_ADOPTED" w:val="final"/>
    <w:docVar w:name="LW_REF.INST.NEW_TEXT" w:val="(2026) 3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Comisiei de Decizie de punere în aplicare a Consiliului"/>
    <w:docVar w:name="LW_TYPEACTEPRINCIPAL.CP" w:val="Propunerea Comisiei de Decizie de punere în aplicare a Consiliului"/>
    <w:docVar w:name="LwApiVersions" w:val="LW4CoDe 1.24.5.0; LW 9.2, Build 20251112"/>
  </w:docVars>
  <w:rsids>
    <w:rsidRoot w:val="00616AD6"/>
    <w:rsid w:val="00000CC1"/>
    <w:rsid w:val="0000217B"/>
    <w:rsid w:val="000039D3"/>
    <w:rsid w:val="00005443"/>
    <w:rsid w:val="00006D14"/>
    <w:rsid w:val="00014960"/>
    <w:rsid w:val="00015587"/>
    <w:rsid w:val="00017F24"/>
    <w:rsid w:val="00020A7D"/>
    <w:rsid w:val="000214E9"/>
    <w:rsid w:val="00021D06"/>
    <w:rsid w:val="00022EC9"/>
    <w:rsid w:val="00032E8B"/>
    <w:rsid w:val="0003427D"/>
    <w:rsid w:val="00035FA0"/>
    <w:rsid w:val="00040947"/>
    <w:rsid w:val="000426AB"/>
    <w:rsid w:val="0004373E"/>
    <w:rsid w:val="000470D1"/>
    <w:rsid w:val="00050E20"/>
    <w:rsid w:val="0005105C"/>
    <w:rsid w:val="00052974"/>
    <w:rsid w:val="00053440"/>
    <w:rsid w:val="00053947"/>
    <w:rsid w:val="00055E99"/>
    <w:rsid w:val="0005606A"/>
    <w:rsid w:val="00056D99"/>
    <w:rsid w:val="0006033C"/>
    <w:rsid w:val="00062F04"/>
    <w:rsid w:val="00063B49"/>
    <w:rsid w:val="00065D23"/>
    <w:rsid w:val="00067C3B"/>
    <w:rsid w:val="00067C58"/>
    <w:rsid w:val="00080453"/>
    <w:rsid w:val="000807C9"/>
    <w:rsid w:val="0008103F"/>
    <w:rsid w:val="000815EA"/>
    <w:rsid w:val="00083594"/>
    <w:rsid w:val="000951D3"/>
    <w:rsid w:val="00096A4D"/>
    <w:rsid w:val="00097DA8"/>
    <w:rsid w:val="000A74D3"/>
    <w:rsid w:val="000B546F"/>
    <w:rsid w:val="000C3CA8"/>
    <w:rsid w:val="000C597D"/>
    <w:rsid w:val="000C6B78"/>
    <w:rsid w:val="000C7EAF"/>
    <w:rsid w:val="000D0577"/>
    <w:rsid w:val="000D2B82"/>
    <w:rsid w:val="000D2D3C"/>
    <w:rsid w:val="000E1BC0"/>
    <w:rsid w:val="000E7A05"/>
    <w:rsid w:val="000F4529"/>
    <w:rsid w:val="000F7F9C"/>
    <w:rsid w:val="00104115"/>
    <w:rsid w:val="0010573E"/>
    <w:rsid w:val="00106500"/>
    <w:rsid w:val="00113195"/>
    <w:rsid w:val="001217DE"/>
    <w:rsid w:val="00122218"/>
    <w:rsid w:val="00124BDC"/>
    <w:rsid w:val="00131591"/>
    <w:rsid w:val="001321BC"/>
    <w:rsid w:val="00133681"/>
    <w:rsid w:val="001346E2"/>
    <w:rsid w:val="0013476E"/>
    <w:rsid w:val="00136D38"/>
    <w:rsid w:val="00144B53"/>
    <w:rsid w:val="00145660"/>
    <w:rsid w:val="00145A58"/>
    <w:rsid w:val="0014773C"/>
    <w:rsid w:val="0014780A"/>
    <w:rsid w:val="00150E69"/>
    <w:rsid w:val="00150FB9"/>
    <w:rsid w:val="001513A6"/>
    <w:rsid w:val="00154794"/>
    <w:rsid w:val="001547A4"/>
    <w:rsid w:val="00154BDB"/>
    <w:rsid w:val="0015506B"/>
    <w:rsid w:val="00161692"/>
    <w:rsid w:val="0016198E"/>
    <w:rsid w:val="00162DFD"/>
    <w:rsid w:val="001641F8"/>
    <w:rsid w:val="00165C4F"/>
    <w:rsid w:val="00170787"/>
    <w:rsid w:val="00172493"/>
    <w:rsid w:val="00172732"/>
    <w:rsid w:val="00173D3D"/>
    <w:rsid w:val="00174963"/>
    <w:rsid w:val="00174A74"/>
    <w:rsid w:val="0017530C"/>
    <w:rsid w:val="001754E8"/>
    <w:rsid w:val="001759ED"/>
    <w:rsid w:val="00176D70"/>
    <w:rsid w:val="001827FD"/>
    <w:rsid w:val="00182BBD"/>
    <w:rsid w:val="00184AAE"/>
    <w:rsid w:val="00186215"/>
    <w:rsid w:val="00194EA3"/>
    <w:rsid w:val="001961CF"/>
    <w:rsid w:val="001963B2"/>
    <w:rsid w:val="001973AF"/>
    <w:rsid w:val="00197931"/>
    <w:rsid w:val="00197A58"/>
    <w:rsid w:val="001A131D"/>
    <w:rsid w:val="001A74C9"/>
    <w:rsid w:val="001A7908"/>
    <w:rsid w:val="001B2D53"/>
    <w:rsid w:val="001B2FD0"/>
    <w:rsid w:val="001B33E3"/>
    <w:rsid w:val="001B5138"/>
    <w:rsid w:val="001B7D7D"/>
    <w:rsid w:val="001C4299"/>
    <w:rsid w:val="001C7AD0"/>
    <w:rsid w:val="001D0D6A"/>
    <w:rsid w:val="001D20AF"/>
    <w:rsid w:val="001D26C6"/>
    <w:rsid w:val="001E0B54"/>
    <w:rsid w:val="001E49C3"/>
    <w:rsid w:val="001F10DC"/>
    <w:rsid w:val="001F33B6"/>
    <w:rsid w:val="001F343E"/>
    <w:rsid w:val="001F3E69"/>
    <w:rsid w:val="001F4010"/>
    <w:rsid w:val="001F4405"/>
    <w:rsid w:val="001F4BF3"/>
    <w:rsid w:val="001F7CFF"/>
    <w:rsid w:val="00202BBE"/>
    <w:rsid w:val="002100EB"/>
    <w:rsid w:val="00213B50"/>
    <w:rsid w:val="0021694B"/>
    <w:rsid w:val="0022080D"/>
    <w:rsid w:val="002255FD"/>
    <w:rsid w:val="00226AA5"/>
    <w:rsid w:val="00226BCD"/>
    <w:rsid w:val="002310B2"/>
    <w:rsid w:val="0023173C"/>
    <w:rsid w:val="00231B7D"/>
    <w:rsid w:val="00234974"/>
    <w:rsid w:val="00237FE0"/>
    <w:rsid w:val="002405A0"/>
    <w:rsid w:val="00241737"/>
    <w:rsid w:val="00244A53"/>
    <w:rsid w:val="0024769D"/>
    <w:rsid w:val="00247DE1"/>
    <w:rsid w:val="00256C31"/>
    <w:rsid w:val="00256E4F"/>
    <w:rsid w:val="00257639"/>
    <w:rsid w:val="002618C8"/>
    <w:rsid w:val="00266474"/>
    <w:rsid w:val="00276F6A"/>
    <w:rsid w:val="002775FA"/>
    <w:rsid w:val="00277D43"/>
    <w:rsid w:val="00280283"/>
    <w:rsid w:val="00281BCA"/>
    <w:rsid w:val="00282EC3"/>
    <w:rsid w:val="00285604"/>
    <w:rsid w:val="00285DCF"/>
    <w:rsid w:val="00286598"/>
    <w:rsid w:val="00291036"/>
    <w:rsid w:val="0029538F"/>
    <w:rsid w:val="00296B17"/>
    <w:rsid w:val="002979CE"/>
    <w:rsid w:val="002A05C1"/>
    <w:rsid w:val="002A05CA"/>
    <w:rsid w:val="002B763F"/>
    <w:rsid w:val="002C1523"/>
    <w:rsid w:val="002C348E"/>
    <w:rsid w:val="002C365B"/>
    <w:rsid w:val="002C3788"/>
    <w:rsid w:val="002C46DF"/>
    <w:rsid w:val="002C6B2B"/>
    <w:rsid w:val="002D0B16"/>
    <w:rsid w:val="002E4B35"/>
    <w:rsid w:val="002E4F0A"/>
    <w:rsid w:val="002E50F7"/>
    <w:rsid w:val="002E60BF"/>
    <w:rsid w:val="002E7C1C"/>
    <w:rsid w:val="002F087D"/>
    <w:rsid w:val="00304284"/>
    <w:rsid w:val="00304B5F"/>
    <w:rsid w:val="00306DBB"/>
    <w:rsid w:val="00307BC5"/>
    <w:rsid w:val="00307F9A"/>
    <w:rsid w:val="00313D03"/>
    <w:rsid w:val="003141DC"/>
    <w:rsid w:val="00316E17"/>
    <w:rsid w:val="00316E57"/>
    <w:rsid w:val="00317537"/>
    <w:rsid w:val="00322A7A"/>
    <w:rsid w:val="0032315B"/>
    <w:rsid w:val="00324EA7"/>
    <w:rsid w:val="00326631"/>
    <w:rsid w:val="003275E4"/>
    <w:rsid w:val="00331DA8"/>
    <w:rsid w:val="00331DB4"/>
    <w:rsid w:val="00333D08"/>
    <w:rsid w:val="00337066"/>
    <w:rsid w:val="003374E7"/>
    <w:rsid w:val="003530AD"/>
    <w:rsid w:val="00353240"/>
    <w:rsid w:val="0035383A"/>
    <w:rsid w:val="003571D2"/>
    <w:rsid w:val="00362FDF"/>
    <w:rsid w:val="00364E03"/>
    <w:rsid w:val="003705F5"/>
    <w:rsid w:val="00371599"/>
    <w:rsid w:val="00371ACB"/>
    <w:rsid w:val="00372FD6"/>
    <w:rsid w:val="00373FD6"/>
    <w:rsid w:val="003743CC"/>
    <w:rsid w:val="0038169C"/>
    <w:rsid w:val="00382E79"/>
    <w:rsid w:val="0038540D"/>
    <w:rsid w:val="003858F5"/>
    <w:rsid w:val="003904B5"/>
    <w:rsid w:val="00392AF9"/>
    <w:rsid w:val="0039647C"/>
    <w:rsid w:val="003A1407"/>
    <w:rsid w:val="003A3717"/>
    <w:rsid w:val="003A5009"/>
    <w:rsid w:val="003A53BD"/>
    <w:rsid w:val="003B0A53"/>
    <w:rsid w:val="003B0AEA"/>
    <w:rsid w:val="003B0DBE"/>
    <w:rsid w:val="003B1464"/>
    <w:rsid w:val="003B25CB"/>
    <w:rsid w:val="003C1B00"/>
    <w:rsid w:val="003C3B13"/>
    <w:rsid w:val="003C6AF7"/>
    <w:rsid w:val="003D04D6"/>
    <w:rsid w:val="003D09D0"/>
    <w:rsid w:val="003D3B29"/>
    <w:rsid w:val="003D438F"/>
    <w:rsid w:val="003D741B"/>
    <w:rsid w:val="003E5CDF"/>
    <w:rsid w:val="003E5EED"/>
    <w:rsid w:val="003F14CD"/>
    <w:rsid w:val="003F207C"/>
    <w:rsid w:val="003F21CB"/>
    <w:rsid w:val="003F2B1C"/>
    <w:rsid w:val="003F2F35"/>
    <w:rsid w:val="003F4044"/>
    <w:rsid w:val="003F4319"/>
    <w:rsid w:val="003F4F72"/>
    <w:rsid w:val="003F7FE9"/>
    <w:rsid w:val="00400B37"/>
    <w:rsid w:val="00402121"/>
    <w:rsid w:val="0040333B"/>
    <w:rsid w:val="00405062"/>
    <w:rsid w:val="004059B9"/>
    <w:rsid w:val="00410CB1"/>
    <w:rsid w:val="004112A9"/>
    <w:rsid w:val="00412A20"/>
    <w:rsid w:val="00415208"/>
    <w:rsid w:val="00415B70"/>
    <w:rsid w:val="004203DE"/>
    <w:rsid w:val="00420ACC"/>
    <w:rsid w:val="0042148E"/>
    <w:rsid w:val="00421F08"/>
    <w:rsid w:val="00422108"/>
    <w:rsid w:val="004233C0"/>
    <w:rsid w:val="004275B1"/>
    <w:rsid w:val="00427639"/>
    <w:rsid w:val="00427CFA"/>
    <w:rsid w:val="00432F68"/>
    <w:rsid w:val="00433DFB"/>
    <w:rsid w:val="00434401"/>
    <w:rsid w:val="004360C5"/>
    <w:rsid w:val="00436FEF"/>
    <w:rsid w:val="004374F5"/>
    <w:rsid w:val="00444001"/>
    <w:rsid w:val="00446CDB"/>
    <w:rsid w:val="004549F9"/>
    <w:rsid w:val="00454A8D"/>
    <w:rsid w:val="00455317"/>
    <w:rsid w:val="00456014"/>
    <w:rsid w:val="00456752"/>
    <w:rsid w:val="00457803"/>
    <w:rsid w:val="0046273A"/>
    <w:rsid w:val="00464333"/>
    <w:rsid w:val="00466B6C"/>
    <w:rsid w:val="00466D78"/>
    <w:rsid w:val="004716AA"/>
    <w:rsid w:val="0047519B"/>
    <w:rsid w:val="0047544E"/>
    <w:rsid w:val="00480DBB"/>
    <w:rsid w:val="004819FD"/>
    <w:rsid w:val="004829D7"/>
    <w:rsid w:val="0048376D"/>
    <w:rsid w:val="004851B2"/>
    <w:rsid w:val="004861E0"/>
    <w:rsid w:val="00487D92"/>
    <w:rsid w:val="00490C39"/>
    <w:rsid w:val="00492EB7"/>
    <w:rsid w:val="00493981"/>
    <w:rsid w:val="00494978"/>
    <w:rsid w:val="004A1961"/>
    <w:rsid w:val="004B246E"/>
    <w:rsid w:val="004B252E"/>
    <w:rsid w:val="004B308E"/>
    <w:rsid w:val="004B56AC"/>
    <w:rsid w:val="004C2306"/>
    <w:rsid w:val="004C30E3"/>
    <w:rsid w:val="004C57B8"/>
    <w:rsid w:val="004D269E"/>
    <w:rsid w:val="004D51DF"/>
    <w:rsid w:val="004D7E42"/>
    <w:rsid w:val="004E26F4"/>
    <w:rsid w:val="004E3369"/>
    <w:rsid w:val="004E3D08"/>
    <w:rsid w:val="004E55AC"/>
    <w:rsid w:val="004E571E"/>
    <w:rsid w:val="004F2497"/>
    <w:rsid w:val="004F279A"/>
    <w:rsid w:val="004F5882"/>
    <w:rsid w:val="004F7F4A"/>
    <w:rsid w:val="005022CF"/>
    <w:rsid w:val="00507198"/>
    <w:rsid w:val="00510ED8"/>
    <w:rsid w:val="00513377"/>
    <w:rsid w:val="00514A23"/>
    <w:rsid w:val="00516773"/>
    <w:rsid w:val="0051778C"/>
    <w:rsid w:val="0052050B"/>
    <w:rsid w:val="00522859"/>
    <w:rsid w:val="005232DB"/>
    <w:rsid w:val="00524794"/>
    <w:rsid w:val="00525ACC"/>
    <w:rsid w:val="00525D3A"/>
    <w:rsid w:val="0053073B"/>
    <w:rsid w:val="0053137E"/>
    <w:rsid w:val="0053400D"/>
    <w:rsid w:val="00536362"/>
    <w:rsid w:val="0054102C"/>
    <w:rsid w:val="00542D25"/>
    <w:rsid w:val="00544F2B"/>
    <w:rsid w:val="00553600"/>
    <w:rsid w:val="00556423"/>
    <w:rsid w:val="00557CB3"/>
    <w:rsid w:val="00560978"/>
    <w:rsid w:val="005613D1"/>
    <w:rsid w:val="00570A43"/>
    <w:rsid w:val="00573008"/>
    <w:rsid w:val="00574E25"/>
    <w:rsid w:val="0057684C"/>
    <w:rsid w:val="005805C3"/>
    <w:rsid w:val="00582290"/>
    <w:rsid w:val="00583C26"/>
    <w:rsid w:val="0058431F"/>
    <w:rsid w:val="00584951"/>
    <w:rsid w:val="005851F6"/>
    <w:rsid w:val="0058722E"/>
    <w:rsid w:val="005907DE"/>
    <w:rsid w:val="00590B1D"/>
    <w:rsid w:val="005A0F86"/>
    <w:rsid w:val="005A10F1"/>
    <w:rsid w:val="005B2068"/>
    <w:rsid w:val="005B43C4"/>
    <w:rsid w:val="005B6F41"/>
    <w:rsid w:val="005B70F0"/>
    <w:rsid w:val="005B774A"/>
    <w:rsid w:val="005C2C98"/>
    <w:rsid w:val="005C4E7D"/>
    <w:rsid w:val="005C5A7A"/>
    <w:rsid w:val="005C748E"/>
    <w:rsid w:val="005D2B44"/>
    <w:rsid w:val="005D2BF9"/>
    <w:rsid w:val="005D3037"/>
    <w:rsid w:val="005D3C1B"/>
    <w:rsid w:val="005E1155"/>
    <w:rsid w:val="005E1C0B"/>
    <w:rsid w:val="005E42B3"/>
    <w:rsid w:val="005E5837"/>
    <w:rsid w:val="005E7CB2"/>
    <w:rsid w:val="005E7D62"/>
    <w:rsid w:val="005E7E39"/>
    <w:rsid w:val="005F25F5"/>
    <w:rsid w:val="00603E55"/>
    <w:rsid w:val="00604BDB"/>
    <w:rsid w:val="006120F2"/>
    <w:rsid w:val="00614116"/>
    <w:rsid w:val="00615E80"/>
    <w:rsid w:val="00616AD6"/>
    <w:rsid w:val="00617D0E"/>
    <w:rsid w:val="0062253F"/>
    <w:rsid w:val="00626E37"/>
    <w:rsid w:val="00630FC8"/>
    <w:rsid w:val="00641160"/>
    <w:rsid w:val="00644E83"/>
    <w:rsid w:val="00645262"/>
    <w:rsid w:val="0064538F"/>
    <w:rsid w:val="00652C1F"/>
    <w:rsid w:val="006543A5"/>
    <w:rsid w:val="00655C26"/>
    <w:rsid w:val="00656FBC"/>
    <w:rsid w:val="00661564"/>
    <w:rsid w:val="00662CDA"/>
    <w:rsid w:val="00664524"/>
    <w:rsid w:val="00667FF5"/>
    <w:rsid w:val="006709AD"/>
    <w:rsid w:val="00670A1C"/>
    <w:rsid w:val="00670C10"/>
    <w:rsid w:val="00671E5E"/>
    <w:rsid w:val="00680785"/>
    <w:rsid w:val="0068177F"/>
    <w:rsid w:val="00691407"/>
    <w:rsid w:val="00696043"/>
    <w:rsid w:val="006A27FB"/>
    <w:rsid w:val="006A3A03"/>
    <w:rsid w:val="006A5932"/>
    <w:rsid w:val="006A69E1"/>
    <w:rsid w:val="006A6BCB"/>
    <w:rsid w:val="006B03A3"/>
    <w:rsid w:val="006B2BCE"/>
    <w:rsid w:val="006B3849"/>
    <w:rsid w:val="006B713A"/>
    <w:rsid w:val="006C0313"/>
    <w:rsid w:val="006C19A7"/>
    <w:rsid w:val="006C1AC8"/>
    <w:rsid w:val="006C5471"/>
    <w:rsid w:val="006C5CE3"/>
    <w:rsid w:val="006C66BF"/>
    <w:rsid w:val="006C73EA"/>
    <w:rsid w:val="006D1B9E"/>
    <w:rsid w:val="006D3535"/>
    <w:rsid w:val="006D66BC"/>
    <w:rsid w:val="006D6B49"/>
    <w:rsid w:val="006D7B28"/>
    <w:rsid w:val="006E110B"/>
    <w:rsid w:val="006E11C7"/>
    <w:rsid w:val="006E4F16"/>
    <w:rsid w:val="006E5AA7"/>
    <w:rsid w:val="006E6C1F"/>
    <w:rsid w:val="006E74AD"/>
    <w:rsid w:val="006F7C15"/>
    <w:rsid w:val="006F7E5F"/>
    <w:rsid w:val="0070372D"/>
    <w:rsid w:val="007037BE"/>
    <w:rsid w:val="00703A79"/>
    <w:rsid w:val="00706AF0"/>
    <w:rsid w:val="00707630"/>
    <w:rsid w:val="007113D6"/>
    <w:rsid w:val="00714E2E"/>
    <w:rsid w:val="007201A4"/>
    <w:rsid w:val="0072204B"/>
    <w:rsid w:val="00722615"/>
    <w:rsid w:val="00723C99"/>
    <w:rsid w:val="007240A0"/>
    <w:rsid w:val="00724586"/>
    <w:rsid w:val="007252B0"/>
    <w:rsid w:val="0072702F"/>
    <w:rsid w:val="0073072D"/>
    <w:rsid w:val="00732BFC"/>
    <w:rsid w:val="0073450E"/>
    <w:rsid w:val="0074525A"/>
    <w:rsid w:val="0074546E"/>
    <w:rsid w:val="00746523"/>
    <w:rsid w:val="00746649"/>
    <w:rsid w:val="00752D63"/>
    <w:rsid w:val="00753D85"/>
    <w:rsid w:val="0075411B"/>
    <w:rsid w:val="007561BD"/>
    <w:rsid w:val="00756C60"/>
    <w:rsid w:val="00757BCD"/>
    <w:rsid w:val="0076088B"/>
    <w:rsid w:val="0076165A"/>
    <w:rsid w:val="007618C9"/>
    <w:rsid w:val="0076750A"/>
    <w:rsid w:val="0077114B"/>
    <w:rsid w:val="007806E3"/>
    <w:rsid w:val="00781DB1"/>
    <w:rsid w:val="00782A61"/>
    <w:rsid w:val="00784FBC"/>
    <w:rsid w:val="00785628"/>
    <w:rsid w:val="007868D3"/>
    <w:rsid w:val="00787344"/>
    <w:rsid w:val="00787F3E"/>
    <w:rsid w:val="00787FD1"/>
    <w:rsid w:val="0079013D"/>
    <w:rsid w:val="00795A2E"/>
    <w:rsid w:val="0079732A"/>
    <w:rsid w:val="007A0463"/>
    <w:rsid w:val="007A109C"/>
    <w:rsid w:val="007A3AD0"/>
    <w:rsid w:val="007A42F5"/>
    <w:rsid w:val="007A653D"/>
    <w:rsid w:val="007A703F"/>
    <w:rsid w:val="007B1428"/>
    <w:rsid w:val="007B19D4"/>
    <w:rsid w:val="007B6990"/>
    <w:rsid w:val="007C088A"/>
    <w:rsid w:val="007C17CB"/>
    <w:rsid w:val="007C1A10"/>
    <w:rsid w:val="007C26DE"/>
    <w:rsid w:val="007C3C6B"/>
    <w:rsid w:val="007C6140"/>
    <w:rsid w:val="007C73CD"/>
    <w:rsid w:val="007C76A3"/>
    <w:rsid w:val="007D2940"/>
    <w:rsid w:val="007D5F6D"/>
    <w:rsid w:val="007D6CB1"/>
    <w:rsid w:val="007E1C2D"/>
    <w:rsid w:val="007E7063"/>
    <w:rsid w:val="007E720D"/>
    <w:rsid w:val="007F3860"/>
    <w:rsid w:val="00802AD8"/>
    <w:rsid w:val="00804FD1"/>
    <w:rsid w:val="0080581A"/>
    <w:rsid w:val="00812C0F"/>
    <w:rsid w:val="00812EDD"/>
    <w:rsid w:val="008141D8"/>
    <w:rsid w:val="008211F9"/>
    <w:rsid w:val="008244D7"/>
    <w:rsid w:val="00827458"/>
    <w:rsid w:val="00830701"/>
    <w:rsid w:val="008311F9"/>
    <w:rsid w:val="00831A71"/>
    <w:rsid w:val="00832268"/>
    <w:rsid w:val="008322BC"/>
    <w:rsid w:val="00836573"/>
    <w:rsid w:val="008405A6"/>
    <w:rsid w:val="00840B01"/>
    <w:rsid w:val="00841F53"/>
    <w:rsid w:val="008453FF"/>
    <w:rsid w:val="00846BF4"/>
    <w:rsid w:val="00846E9E"/>
    <w:rsid w:val="00850C23"/>
    <w:rsid w:val="00851741"/>
    <w:rsid w:val="00854634"/>
    <w:rsid w:val="008567DC"/>
    <w:rsid w:val="00860270"/>
    <w:rsid w:val="00860F89"/>
    <w:rsid w:val="00861507"/>
    <w:rsid w:val="00864177"/>
    <w:rsid w:val="00872D4B"/>
    <w:rsid w:val="008742A0"/>
    <w:rsid w:val="00882C82"/>
    <w:rsid w:val="00883506"/>
    <w:rsid w:val="0088466F"/>
    <w:rsid w:val="00890334"/>
    <w:rsid w:val="00890C3F"/>
    <w:rsid w:val="00891D44"/>
    <w:rsid w:val="00892285"/>
    <w:rsid w:val="00893533"/>
    <w:rsid w:val="00893816"/>
    <w:rsid w:val="0089582B"/>
    <w:rsid w:val="00896146"/>
    <w:rsid w:val="008972F5"/>
    <w:rsid w:val="00897A09"/>
    <w:rsid w:val="008A2252"/>
    <w:rsid w:val="008A371B"/>
    <w:rsid w:val="008A53DF"/>
    <w:rsid w:val="008A62CC"/>
    <w:rsid w:val="008A6334"/>
    <w:rsid w:val="008B04CB"/>
    <w:rsid w:val="008B0E40"/>
    <w:rsid w:val="008B1104"/>
    <w:rsid w:val="008B6CB5"/>
    <w:rsid w:val="008C064F"/>
    <w:rsid w:val="008C3AE7"/>
    <w:rsid w:val="008C6398"/>
    <w:rsid w:val="008C6B4C"/>
    <w:rsid w:val="008D222A"/>
    <w:rsid w:val="008D241B"/>
    <w:rsid w:val="008D3CA5"/>
    <w:rsid w:val="008D5D04"/>
    <w:rsid w:val="008D6398"/>
    <w:rsid w:val="008D7FB6"/>
    <w:rsid w:val="008E2B32"/>
    <w:rsid w:val="008E40D6"/>
    <w:rsid w:val="008E5D06"/>
    <w:rsid w:val="008E7737"/>
    <w:rsid w:val="008F2AFF"/>
    <w:rsid w:val="008F5D32"/>
    <w:rsid w:val="008F6656"/>
    <w:rsid w:val="009006BA"/>
    <w:rsid w:val="00900DB0"/>
    <w:rsid w:val="00902063"/>
    <w:rsid w:val="00905D22"/>
    <w:rsid w:val="00905FFC"/>
    <w:rsid w:val="009076DB"/>
    <w:rsid w:val="00913213"/>
    <w:rsid w:val="00914D89"/>
    <w:rsid w:val="0091624E"/>
    <w:rsid w:val="00917321"/>
    <w:rsid w:val="009202DF"/>
    <w:rsid w:val="00922A89"/>
    <w:rsid w:val="009270F7"/>
    <w:rsid w:val="009301E4"/>
    <w:rsid w:val="0093622E"/>
    <w:rsid w:val="00937431"/>
    <w:rsid w:val="00940FC0"/>
    <w:rsid w:val="0094120A"/>
    <w:rsid w:val="009418CF"/>
    <w:rsid w:val="00941C93"/>
    <w:rsid w:val="00943649"/>
    <w:rsid w:val="00944623"/>
    <w:rsid w:val="0094571F"/>
    <w:rsid w:val="00950FE3"/>
    <w:rsid w:val="009536C8"/>
    <w:rsid w:val="009538D3"/>
    <w:rsid w:val="00953BA3"/>
    <w:rsid w:val="00954959"/>
    <w:rsid w:val="00956829"/>
    <w:rsid w:val="00957C9C"/>
    <w:rsid w:val="009624F8"/>
    <w:rsid w:val="009630A8"/>
    <w:rsid w:val="00964CBB"/>
    <w:rsid w:val="00965027"/>
    <w:rsid w:val="009658F6"/>
    <w:rsid w:val="00965BD6"/>
    <w:rsid w:val="00971729"/>
    <w:rsid w:val="009726C8"/>
    <w:rsid w:val="00972C33"/>
    <w:rsid w:val="00973168"/>
    <w:rsid w:val="009744DE"/>
    <w:rsid w:val="00977259"/>
    <w:rsid w:val="00980ED6"/>
    <w:rsid w:val="00981140"/>
    <w:rsid w:val="009850EA"/>
    <w:rsid w:val="009855DE"/>
    <w:rsid w:val="00986C4D"/>
    <w:rsid w:val="00992F07"/>
    <w:rsid w:val="009A0571"/>
    <w:rsid w:val="009A0BDC"/>
    <w:rsid w:val="009A0DE2"/>
    <w:rsid w:val="009A1AFF"/>
    <w:rsid w:val="009A2A2F"/>
    <w:rsid w:val="009A42AA"/>
    <w:rsid w:val="009A4C85"/>
    <w:rsid w:val="009A5974"/>
    <w:rsid w:val="009A67E3"/>
    <w:rsid w:val="009A6AD0"/>
    <w:rsid w:val="009B28C8"/>
    <w:rsid w:val="009B3E45"/>
    <w:rsid w:val="009B5D2C"/>
    <w:rsid w:val="009B6D74"/>
    <w:rsid w:val="009B788B"/>
    <w:rsid w:val="009B7F18"/>
    <w:rsid w:val="009C21E2"/>
    <w:rsid w:val="009C3A28"/>
    <w:rsid w:val="009C3F73"/>
    <w:rsid w:val="009C4488"/>
    <w:rsid w:val="009C6234"/>
    <w:rsid w:val="009D20B1"/>
    <w:rsid w:val="009D380F"/>
    <w:rsid w:val="009D4E2E"/>
    <w:rsid w:val="009E2178"/>
    <w:rsid w:val="009E2326"/>
    <w:rsid w:val="009E282A"/>
    <w:rsid w:val="009E2FD7"/>
    <w:rsid w:val="009E5F3A"/>
    <w:rsid w:val="009E649C"/>
    <w:rsid w:val="009E6513"/>
    <w:rsid w:val="009E6A30"/>
    <w:rsid w:val="009F3D13"/>
    <w:rsid w:val="009F46FC"/>
    <w:rsid w:val="009F743E"/>
    <w:rsid w:val="009F78B5"/>
    <w:rsid w:val="00A02E95"/>
    <w:rsid w:val="00A10359"/>
    <w:rsid w:val="00A15F39"/>
    <w:rsid w:val="00A20565"/>
    <w:rsid w:val="00A2539A"/>
    <w:rsid w:val="00A255A9"/>
    <w:rsid w:val="00A25611"/>
    <w:rsid w:val="00A258E7"/>
    <w:rsid w:val="00A270ED"/>
    <w:rsid w:val="00A3089A"/>
    <w:rsid w:val="00A31953"/>
    <w:rsid w:val="00A41531"/>
    <w:rsid w:val="00A43E26"/>
    <w:rsid w:val="00A44A09"/>
    <w:rsid w:val="00A5377B"/>
    <w:rsid w:val="00A53A0E"/>
    <w:rsid w:val="00A53D02"/>
    <w:rsid w:val="00A55B6E"/>
    <w:rsid w:val="00A56003"/>
    <w:rsid w:val="00A562E8"/>
    <w:rsid w:val="00A6243B"/>
    <w:rsid w:val="00A64893"/>
    <w:rsid w:val="00A710C2"/>
    <w:rsid w:val="00A71F6D"/>
    <w:rsid w:val="00A72216"/>
    <w:rsid w:val="00A81BA0"/>
    <w:rsid w:val="00A82314"/>
    <w:rsid w:val="00A83549"/>
    <w:rsid w:val="00A83EC6"/>
    <w:rsid w:val="00A84736"/>
    <w:rsid w:val="00A8597E"/>
    <w:rsid w:val="00A877B1"/>
    <w:rsid w:val="00A87ABC"/>
    <w:rsid w:val="00A95368"/>
    <w:rsid w:val="00AA03FE"/>
    <w:rsid w:val="00AA23DA"/>
    <w:rsid w:val="00AA30A7"/>
    <w:rsid w:val="00AA3917"/>
    <w:rsid w:val="00AA57B7"/>
    <w:rsid w:val="00AA74A5"/>
    <w:rsid w:val="00AB1DFC"/>
    <w:rsid w:val="00AB313B"/>
    <w:rsid w:val="00AB46B6"/>
    <w:rsid w:val="00AB57BC"/>
    <w:rsid w:val="00AC7C7E"/>
    <w:rsid w:val="00AD0E43"/>
    <w:rsid w:val="00AD178E"/>
    <w:rsid w:val="00AD2156"/>
    <w:rsid w:val="00AD50E8"/>
    <w:rsid w:val="00AD6FCA"/>
    <w:rsid w:val="00AD7602"/>
    <w:rsid w:val="00AE0416"/>
    <w:rsid w:val="00AE17A3"/>
    <w:rsid w:val="00AE1CE9"/>
    <w:rsid w:val="00AE30E6"/>
    <w:rsid w:val="00AE40CA"/>
    <w:rsid w:val="00AE55C0"/>
    <w:rsid w:val="00AE79B0"/>
    <w:rsid w:val="00AF0A7C"/>
    <w:rsid w:val="00AF50D3"/>
    <w:rsid w:val="00AF57FD"/>
    <w:rsid w:val="00AF66AC"/>
    <w:rsid w:val="00B00F51"/>
    <w:rsid w:val="00B04AA5"/>
    <w:rsid w:val="00B06288"/>
    <w:rsid w:val="00B20591"/>
    <w:rsid w:val="00B2181F"/>
    <w:rsid w:val="00B24CA5"/>
    <w:rsid w:val="00B25FC4"/>
    <w:rsid w:val="00B267FE"/>
    <w:rsid w:val="00B26D5B"/>
    <w:rsid w:val="00B272F8"/>
    <w:rsid w:val="00B3013D"/>
    <w:rsid w:val="00B31A6D"/>
    <w:rsid w:val="00B330A7"/>
    <w:rsid w:val="00B345A4"/>
    <w:rsid w:val="00B34C82"/>
    <w:rsid w:val="00B433B3"/>
    <w:rsid w:val="00B47B19"/>
    <w:rsid w:val="00B50D67"/>
    <w:rsid w:val="00B51916"/>
    <w:rsid w:val="00B5197E"/>
    <w:rsid w:val="00B55303"/>
    <w:rsid w:val="00B6006B"/>
    <w:rsid w:val="00B62674"/>
    <w:rsid w:val="00B62DAE"/>
    <w:rsid w:val="00B65883"/>
    <w:rsid w:val="00B67CDF"/>
    <w:rsid w:val="00B70173"/>
    <w:rsid w:val="00B7071F"/>
    <w:rsid w:val="00B7560F"/>
    <w:rsid w:val="00B7656E"/>
    <w:rsid w:val="00B765F0"/>
    <w:rsid w:val="00B766C8"/>
    <w:rsid w:val="00B87A24"/>
    <w:rsid w:val="00B9080F"/>
    <w:rsid w:val="00B95AF0"/>
    <w:rsid w:val="00BA04F8"/>
    <w:rsid w:val="00BA0B11"/>
    <w:rsid w:val="00BA2E20"/>
    <w:rsid w:val="00BA33CC"/>
    <w:rsid w:val="00BA4254"/>
    <w:rsid w:val="00BA4F3C"/>
    <w:rsid w:val="00BA5AF6"/>
    <w:rsid w:val="00BA79FA"/>
    <w:rsid w:val="00BB0DF9"/>
    <w:rsid w:val="00BB30BC"/>
    <w:rsid w:val="00BB53B6"/>
    <w:rsid w:val="00BB5A20"/>
    <w:rsid w:val="00BB69C4"/>
    <w:rsid w:val="00BB7C7E"/>
    <w:rsid w:val="00BB7D0B"/>
    <w:rsid w:val="00BB7FE7"/>
    <w:rsid w:val="00BC10F1"/>
    <w:rsid w:val="00BC1871"/>
    <w:rsid w:val="00BC5D2E"/>
    <w:rsid w:val="00BD0612"/>
    <w:rsid w:val="00BD0C9B"/>
    <w:rsid w:val="00BD68EF"/>
    <w:rsid w:val="00BE1712"/>
    <w:rsid w:val="00BE286C"/>
    <w:rsid w:val="00BE2F8B"/>
    <w:rsid w:val="00BE3874"/>
    <w:rsid w:val="00BE39CD"/>
    <w:rsid w:val="00BE5E33"/>
    <w:rsid w:val="00BE6F83"/>
    <w:rsid w:val="00BE7406"/>
    <w:rsid w:val="00BF2A57"/>
    <w:rsid w:val="00BF2F3B"/>
    <w:rsid w:val="00BF33C5"/>
    <w:rsid w:val="00BF3A17"/>
    <w:rsid w:val="00BF614E"/>
    <w:rsid w:val="00BF7465"/>
    <w:rsid w:val="00C00A17"/>
    <w:rsid w:val="00C032E6"/>
    <w:rsid w:val="00C06C7A"/>
    <w:rsid w:val="00C076BF"/>
    <w:rsid w:val="00C078E4"/>
    <w:rsid w:val="00C1087D"/>
    <w:rsid w:val="00C118DC"/>
    <w:rsid w:val="00C1301B"/>
    <w:rsid w:val="00C140BB"/>
    <w:rsid w:val="00C15F81"/>
    <w:rsid w:val="00C160AD"/>
    <w:rsid w:val="00C16964"/>
    <w:rsid w:val="00C2039E"/>
    <w:rsid w:val="00C2188B"/>
    <w:rsid w:val="00C26F3F"/>
    <w:rsid w:val="00C33DF2"/>
    <w:rsid w:val="00C345EE"/>
    <w:rsid w:val="00C40ABB"/>
    <w:rsid w:val="00C42612"/>
    <w:rsid w:val="00C50633"/>
    <w:rsid w:val="00C50641"/>
    <w:rsid w:val="00C51581"/>
    <w:rsid w:val="00C54A1B"/>
    <w:rsid w:val="00C668F3"/>
    <w:rsid w:val="00C66BF3"/>
    <w:rsid w:val="00C7429F"/>
    <w:rsid w:val="00C748C4"/>
    <w:rsid w:val="00C80FF0"/>
    <w:rsid w:val="00C839BB"/>
    <w:rsid w:val="00C84B05"/>
    <w:rsid w:val="00C85C80"/>
    <w:rsid w:val="00C902D2"/>
    <w:rsid w:val="00C918DF"/>
    <w:rsid w:val="00C921D6"/>
    <w:rsid w:val="00C94B1B"/>
    <w:rsid w:val="00C953CA"/>
    <w:rsid w:val="00C95D7C"/>
    <w:rsid w:val="00C9644A"/>
    <w:rsid w:val="00C97FD5"/>
    <w:rsid w:val="00CA1083"/>
    <w:rsid w:val="00CB2C98"/>
    <w:rsid w:val="00CB3F0C"/>
    <w:rsid w:val="00CC0888"/>
    <w:rsid w:val="00CC0ADF"/>
    <w:rsid w:val="00CC3408"/>
    <w:rsid w:val="00CC501A"/>
    <w:rsid w:val="00CC60BF"/>
    <w:rsid w:val="00CD3D8B"/>
    <w:rsid w:val="00CD4F16"/>
    <w:rsid w:val="00CE09C5"/>
    <w:rsid w:val="00CE3C63"/>
    <w:rsid w:val="00CE6551"/>
    <w:rsid w:val="00CE6A0E"/>
    <w:rsid w:val="00CF2A98"/>
    <w:rsid w:val="00CF2E5F"/>
    <w:rsid w:val="00D01732"/>
    <w:rsid w:val="00D01763"/>
    <w:rsid w:val="00D1392A"/>
    <w:rsid w:val="00D15F0C"/>
    <w:rsid w:val="00D16747"/>
    <w:rsid w:val="00D20031"/>
    <w:rsid w:val="00D20C79"/>
    <w:rsid w:val="00D22DB4"/>
    <w:rsid w:val="00D23D6E"/>
    <w:rsid w:val="00D31943"/>
    <w:rsid w:val="00D328C4"/>
    <w:rsid w:val="00D329AC"/>
    <w:rsid w:val="00D33986"/>
    <w:rsid w:val="00D343E9"/>
    <w:rsid w:val="00D344ED"/>
    <w:rsid w:val="00D34625"/>
    <w:rsid w:val="00D4132D"/>
    <w:rsid w:val="00D4445F"/>
    <w:rsid w:val="00D47DC4"/>
    <w:rsid w:val="00D523D0"/>
    <w:rsid w:val="00D5326A"/>
    <w:rsid w:val="00D53CC5"/>
    <w:rsid w:val="00D568F7"/>
    <w:rsid w:val="00D67848"/>
    <w:rsid w:val="00D71F2D"/>
    <w:rsid w:val="00D73766"/>
    <w:rsid w:val="00D73A26"/>
    <w:rsid w:val="00D74576"/>
    <w:rsid w:val="00D756FD"/>
    <w:rsid w:val="00D76EF8"/>
    <w:rsid w:val="00D81A11"/>
    <w:rsid w:val="00D902E6"/>
    <w:rsid w:val="00D9034C"/>
    <w:rsid w:val="00D920B7"/>
    <w:rsid w:val="00D92347"/>
    <w:rsid w:val="00DA1120"/>
    <w:rsid w:val="00DA1BC0"/>
    <w:rsid w:val="00DA289A"/>
    <w:rsid w:val="00DA521C"/>
    <w:rsid w:val="00DA775A"/>
    <w:rsid w:val="00DA792A"/>
    <w:rsid w:val="00DB0EDA"/>
    <w:rsid w:val="00DB6C7E"/>
    <w:rsid w:val="00DC519B"/>
    <w:rsid w:val="00DC72BE"/>
    <w:rsid w:val="00DD1478"/>
    <w:rsid w:val="00DD290A"/>
    <w:rsid w:val="00DD4163"/>
    <w:rsid w:val="00DD4C5A"/>
    <w:rsid w:val="00DD55C3"/>
    <w:rsid w:val="00DE3EF7"/>
    <w:rsid w:val="00DE712C"/>
    <w:rsid w:val="00DE734F"/>
    <w:rsid w:val="00DF5715"/>
    <w:rsid w:val="00E03FE7"/>
    <w:rsid w:val="00E04C8D"/>
    <w:rsid w:val="00E11015"/>
    <w:rsid w:val="00E12802"/>
    <w:rsid w:val="00E14C07"/>
    <w:rsid w:val="00E22A7E"/>
    <w:rsid w:val="00E25A80"/>
    <w:rsid w:val="00E3110C"/>
    <w:rsid w:val="00E33539"/>
    <w:rsid w:val="00E33D8D"/>
    <w:rsid w:val="00E349B4"/>
    <w:rsid w:val="00E411F8"/>
    <w:rsid w:val="00E44C31"/>
    <w:rsid w:val="00E45092"/>
    <w:rsid w:val="00E53FAE"/>
    <w:rsid w:val="00E56833"/>
    <w:rsid w:val="00E5759A"/>
    <w:rsid w:val="00E64903"/>
    <w:rsid w:val="00E659E7"/>
    <w:rsid w:val="00E66079"/>
    <w:rsid w:val="00E66459"/>
    <w:rsid w:val="00E66BA7"/>
    <w:rsid w:val="00E7253A"/>
    <w:rsid w:val="00E72E15"/>
    <w:rsid w:val="00E85B42"/>
    <w:rsid w:val="00E85D7C"/>
    <w:rsid w:val="00E94160"/>
    <w:rsid w:val="00E95595"/>
    <w:rsid w:val="00E96133"/>
    <w:rsid w:val="00EA1BF6"/>
    <w:rsid w:val="00EA1CD0"/>
    <w:rsid w:val="00EA3507"/>
    <w:rsid w:val="00EA3DA2"/>
    <w:rsid w:val="00EA70E7"/>
    <w:rsid w:val="00EA737D"/>
    <w:rsid w:val="00EA747F"/>
    <w:rsid w:val="00EB0FEB"/>
    <w:rsid w:val="00EB1ACC"/>
    <w:rsid w:val="00EB2EF0"/>
    <w:rsid w:val="00EB67ED"/>
    <w:rsid w:val="00EC0D61"/>
    <w:rsid w:val="00EC266F"/>
    <w:rsid w:val="00EC3B3C"/>
    <w:rsid w:val="00EC6849"/>
    <w:rsid w:val="00ED15C9"/>
    <w:rsid w:val="00ED172E"/>
    <w:rsid w:val="00ED23E1"/>
    <w:rsid w:val="00ED2C49"/>
    <w:rsid w:val="00ED4A41"/>
    <w:rsid w:val="00ED5AD7"/>
    <w:rsid w:val="00ED732C"/>
    <w:rsid w:val="00EE04B4"/>
    <w:rsid w:val="00EE05F5"/>
    <w:rsid w:val="00EE216B"/>
    <w:rsid w:val="00EE2523"/>
    <w:rsid w:val="00EE6AB4"/>
    <w:rsid w:val="00EF013B"/>
    <w:rsid w:val="00EF0303"/>
    <w:rsid w:val="00EF618D"/>
    <w:rsid w:val="00EF77D7"/>
    <w:rsid w:val="00F04031"/>
    <w:rsid w:val="00F14143"/>
    <w:rsid w:val="00F144DE"/>
    <w:rsid w:val="00F15BD5"/>
    <w:rsid w:val="00F20A9F"/>
    <w:rsid w:val="00F2528D"/>
    <w:rsid w:val="00F27D6B"/>
    <w:rsid w:val="00F317C1"/>
    <w:rsid w:val="00F33B9F"/>
    <w:rsid w:val="00F344E9"/>
    <w:rsid w:val="00F36516"/>
    <w:rsid w:val="00F37CE9"/>
    <w:rsid w:val="00F40539"/>
    <w:rsid w:val="00F46936"/>
    <w:rsid w:val="00F46DC3"/>
    <w:rsid w:val="00F47D0C"/>
    <w:rsid w:val="00F51BEC"/>
    <w:rsid w:val="00F521FA"/>
    <w:rsid w:val="00F52580"/>
    <w:rsid w:val="00F526F4"/>
    <w:rsid w:val="00F55F8D"/>
    <w:rsid w:val="00F61537"/>
    <w:rsid w:val="00F65913"/>
    <w:rsid w:val="00F67109"/>
    <w:rsid w:val="00F7024E"/>
    <w:rsid w:val="00F721AB"/>
    <w:rsid w:val="00F727C3"/>
    <w:rsid w:val="00F742CD"/>
    <w:rsid w:val="00F81C46"/>
    <w:rsid w:val="00F82260"/>
    <w:rsid w:val="00F83B77"/>
    <w:rsid w:val="00F84D3D"/>
    <w:rsid w:val="00F854A9"/>
    <w:rsid w:val="00F863B1"/>
    <w:rsid w:val="00F86EAC"/>
    <w:rsid w:val="00F904E7"/>
    <w:rsid w:val="00F92E62"/>
    <w:rsid w:val="00F95550"/>
    <w:rsid w:val="00F961DC"/>
    <w:rsid w:val="00F96709"/>
    <w:rsid w:val="00F97530"/>
    <w:rsid w:val="00F97BEB"/>
    <w:rsid w:val="00FA01DD"/>
    <w:rsid w:val="00FA1E8E"/>
    <w:rsid w:val="00FA7044"/>
    <w:rsid w:val="00FB1F9E"/>
    <w:rsid w:val="00FB6965"/>
    <w:rsid w:val="00FB6985"/>
    <w:rsid w:val="00FC3E4B"/>
    <w:rsid w:val="00FC7FC3"/>
    <w:rsid w:val="00FD2DB3"/>
    <w:rsid w:val="00FD4CC4"/>
    <w:rsid w:val="00FD5B56"/>
    <w:rsid w:val="00FD6B4F"/>
    <w:rsid w:val="00FD7A7C"/>
    <w:rsid w:val="00FE17F8"/>
    <w:rsid w:val="00FE4EB1"/>
    <w:rsid w:val="00FE5CD1"/>
    <w:rsid w:val="00FE7AA8"/>
    <w:rsid w:val="00FE7CA4"/>
    <w:rsid w:val="00FF201E"/>
    <w:rsid w:val="00FF2A69"/>
    <w:rsid w:val="00FF3AFA"/>
    <w:rsid w:val="00FF433C"/>
    <w:rsid w:val="00FF649D"/>
    <w:rsid w:val="00FF7CBA"/>
    <w:rsid w:val="0229C0E8"/>
    <w:rsid w:val="0339863B"/>
    <w:rsid w:val="0343CF27"/>
    <w:rsid w:val="041B89B4"/>
    <w:rsid w:val="04DF980A"/>
    <w:rsid w:val="04FD5585"/>
    <w:rsid w:val="05D729C2"/>
    <w:rsid w:val="0760678A"/>
    <w:rsid w:val="08240883"/>
    <w:rsid w:val="08B0E450"/>
    <w:rsid w:val="09069204"/>
    <w:rsid w:val="0A293EDE"/>
    <w:rsid w:val="0BA61D63"/>
    <w:rsid w:val="0BC5B0C9"/>
    <w:rsid w:val="0BD74C2C"/>
    <w:rsid w:val="0C5F85B3"/>
    <w:rsid w:val="0CDF4B75"/>
    <w:rsid w:val="0CEE784E"/>
    <w:rsid w:val="0D07D349"/>
    <w:rsid w:val="0D7E431D"/>
    <w:rsid w:val="112A33BA"/>
    <w:rsid w:val="11E9BA8E"/>
    <w:rsid w:val="126880E7"/>
    <w:rsid w:val="1287F3E0"/>
    <w:rsid w:val="1288DC5E"/>
    <w:rsid w:val="1437D8DE"/>
    <w:rsid w:val="157EC094"/>
    <w:rsid w:val="15B48E15"/>
    <w:rsid w:val="15B90B2B"/>
    <w:rsid w:val="165E59D4"/>
    <w:rsid w:val="16733696"/>
    <w:rsid w:val="169E27A5"/>
    <w:rsid w:val="175B2C58"/>
    <w:rsid w:val="1832FC93"/>
    <w:rsid w:val="199834A7"/>
    <w:rsid w:val="19C3F3BA"/>
    <w:rsid w:val="1A24F0A8"/>
    <w:rsid w:val="1A457716"/>
    <w:rsid w:val="1AE1FDE0"/>
    <w:rsid w:val="1B30C1CB"/>
    <w:rsid w:val="1B4BAC93"/>
    <w:rsid w:val="1BD6DCCB"/>
    <w:rsid w:val="1C0712BB"/>
    <w:rsid w:val="1C89ED83"/>
    <w:rsid w:val="1CBC7E10"/>
    <w:rsid w:val="1DDEA603"/>
    <w:rsid w:val="1E2A8719"/>
    <w:rsid w:val="1E4B3136"/>
    <w:rsid w:val="1E81642C"/>
    <w:rsid w:val="1EF6D15C"/>
    <w:rsid w:val="1F5321DF"/>
    <w:rsid w:val="1FAF4D4A"/>
    <w:rsid w:val="20E96EF1"/>
    <w:rsid w:val="211DA278"/>
    <w:rsid w:val="2257D93E"/>
    <w:rsid w:val="22CE4785"/>
    <w:rsid w:val="22E75482"/>
    <w:rsid w:val="22F4816C"/>
    <w:rsid w:val="23311765"/>
    <w:rsid w:val="25F94A6F"/>
    <w:rsid w:val="263F6D86"/>
    <w:rsid w:val="266CD598"/>
    <w:rsid w:val="28520C6C"/>
    <w:rsid w:val="28B734DC"/>
    <w:rsid w:val="28D97D4A"/>
    <w:rsid w:val="2A0A79F0"/>
    <w:rsid w:val="2B68875D"/>
    <w:rsid w:val="2B712A69"/>
    <w:rsid w:val="2BB82B59"/>
    <w:rsid w:val="2BD93C44"/>
    <w:rsid w:val="2D2352DE"/>
    <w:rsid w:val="2D3CECEE"/>
    <w:rsid w:val="2D454C70"/>
    <w:rsid w:val="2D64AA49"/>
    <w:rsid w:val="2D74E0DC"/>
    <w:rsid w:val="2D811E5A"/>
    <w:rsid w:val="2F29858E"/>
    <w:rsid w:val="2F30D335"/>
    <w:rsid w:val="310006F5"/>
    <w:rsid w:val="315E87DE"/>
    <w:rsid w:val="316E8FCF"/>
    <w:rsid w:val="3172C576"/>
    <w:rsid w:val="31B329C0"/>
    <w:rsid w:val="33131BC0"/>
    <w:rsid w:val="33622A19"/>
    <w:rsid w:val="371F240D"/>
    <w:rsid w:val="37403FC9"/>
    <w:rsid w:val="3792CCAA"/>
    <w:rsid w:val="3836FFF7"/>
    <w:rsid w:val="3A67AF70"/>
    <w:rsid w:val="3A951421"/>
    <w:rsid w:val="3AC5EA6D"/>
    <w:rsid w:val="3BD3AE0C"/>
    <w:rsid w:val="3CA9C57C"/>
    <w:rsid w:val="3CFE0EA8"/>
    <w:rsid w:val="3D4F9DC6"/>
    <w:rsid w:val="3D93A134"/>
    <w:rsid w:val="3E444CFD"/>
    <w:rsid w:val="3EACAB58"/>
    <w:rsid w:val="3F0CD9FA"/>
    <w:rsid w:val="40E09A20"/>
    <w:rsid w:val="41451372"/>
    <w:rsid w:val="41BAAE41"/>
    <w:rsid w:val="422F380B"/>
    <w:rsid w:val="423EAD59"/>
    <w:rsid w:val="4349D72F"/>
    <w:rsid w:val="43ACF12B"/>
    <w:rsid w:val="464A29CD"/>
    <w:rsid w:val="470674C2"/>
    <w:rsid w:val="472C1754"/>
    <w:rsid w:val="472D30C3"/>
    <w:rsid w:val="4731CFB4"/>
    <w:rsid w:val="4750F67B"/>
    <w:rsid w:val="47A46D21"/>
    <w:rsid w:val="497F373C"/>
    <w:rsid w:val="4A861A83"/>
    <w:rsid w:val="4ADA2C8B"/>
    <w:rsid w:val="4D05FE64"/>
    <w:rsid w:val="4D07C937"/>
    <w:rsid w:val="4D99403D"/>
    <w:rsid w:val="4EB7A45C"/>
    <w:rsid w:val="5061CB26"/>
    <w:rsid w:val="508E1E46"/>
    <w:rsid w:val="508EEEFF"/>
    <w:rsid w:val="50A99C48"/>
    <w:rsid w:val="50CAD619"/>
    <w:rsid w:val="51B65487"/>
    <w:rsid w:val="5231AB81"/>
    <w:rsid w:val="525CA0BB"/>
    <w:rsid w:val="5274CE6E"/>
    <w:rsid w:val="527BDA99"/>
    <w:rsid w:val="5309BE10"/>
    <w:rsid w:val="531F083C"/>
    <w:rsid w:val="534C694E"/>
    <w:rsid w:val="54337EC0"/>
    <w:rsid w:val="548E76E2"/>
    <w:rsid w:val="5521B9D1"/>
    <w:rsid w:val="55728A8D"/>
    <w:rsid w:val="55A6DCFC"/>
    <w:rsid w:val="561D2D7F"/>
    <w:rsid w:val="56637AE6"/>
    <w:rsid w:val="5697CE68"/>
    <w:rsid w:val="5704361B"/>
    <w:rsid w:val="571C20C7"/>
    <w:rsid w:val="5722A851"/>
    <w:rsid w:val="595D24A1"/>
    <w:rsid w:val="5986C431"/>
    <w:rsid w:val="59EBB724"/>
    <w:rsid w:val="5B003C03"/>
    <w:rsid w:val="5B335AD1"/>
    <w:rsid w:val="5B420EE0"/>
    <w:rsid w:val="5C480A45"/>
    <w:rsid w:val="5C65464D"/>
    <w:rsid w:val="5CCE396D"/>
    <w:rsid w:val="5CF71394"/>
    <w:rsid w:val="5D42031C"/>
    <w:rsid w:val="5DD109B7"/>
    <w:rsid w:val="5DD9A500"/>
    <w:rsid w:val="5E8B436E"/>
    <w:rsid w:val="5F913B33"/>
    <w:rsid w:val="60E083A7"/>
    <w:rsid w:val="6168A0F1"/>
    <w:rsid w:val="626EBEB3"/>
    <w:rsid w:val="6339A4D2"/>
    <w:rsid w:val="636A4BDC"/>
    <w:rsid w:val="641AC2D2"/>
    <w:rsid w:val="65563041"/>
    <w:rsid w:val="659A7806"/>
    <w:rsid w:val="660E6B63"/>
    <w:rsid w:val="66350228"/>
    <w:rsid w:val="666A6181"/>
    <w:rsid w:val="6701D11E"/>
    <w:rsid w:val="67D9B699"/>
    <w:rsid w:val="683506BF"/>
    <w:rsid w:val="6AA43A7D"/>
    <w:rsid w:val="6AF4348D"/>
    <w:rsid w:val="6BBCF49C"/>
    <w:rsid w:val="6CDBD953"/>
    <w:rsid w:val="6D4E9D5E"/>
    <w:rsid w:val="710A5603"/>
    <w:rsid w:val="714602E7"/>
    <w:rsid w:val="71BDA884"/>
    <w:rsid w:val="732DEAF7"/>
    <w:rsid w:val="73D57E8F"/>
    <w:rsid w:val="740B4C89"/>
    <w:rsid w:val="7649E57B"/>
    <w:rsid w:val="766E9F8C"/>
    <w:rsid w:val="76F48ACE"/>
    <w:rsid w:val="7748087A"/>
    <w:rsid w:val="774B5B18"/>
    <w:rsid w:val="77F61B88"/>
    <w:rsid w:val="792C2126"/>
    <w:rsid w:val="79906445"/>
    <w:rsid w:val="7BA06EE2"/>
    <w:rsid w:val="7BD453A1"/>
    <w:rsid w:val="7BE96527"/>
    <w:rsid w:val="7C3CA942"/>
    <w:rsid w:val="7E19C38A"/>
    <w:rsid w:val="7E31B599"/>
    <w:rsid w:val="7F98BE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6F1279"/>
  <w15:docId w15:val="{F4D1DB50-C594-46B2-B03C-CE328E916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5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F5D32"/>
    <w:pPr>
      <w:ind w:left="720"/>
      <w:contextualSpacing/>
    </w:pPr>
  </w:style>
  <w:style w:type="character" w:styleId="CommentReference">
    <w:name w:val="annotation reference"/>
    <w:basedOn w:val="DefaultParagraphFont"/>
    <w:uiPriority w:val="99"/>
    <w:semiHidden/>
    <w:unhideWhenUsed/>
    <w:rsid w:val="003743CC"/>
    <w:rPr>
      <w:sz w:val="16"/>
      <w:szCs w:val="16"/>
    </w:rPr>
  </w:style>
  <w:style w:type="paragraph" w:styleId="CommentText">
    <w:name w:val="annotation text"/>
    <w:basedOn w:val="Normal"/>
    <w:link w:val="CommentTextChar"/>
    <w:uiPriority w:val="99"/>
    <w:unhideWhenUsed/>
    <w:rsid w:val="003743CC"/>
    <w:rPr>
      <w:sz w:val="20"/>
      <w:szCs w:val="20"/>
    </w:rPr>
  </w:style>
  <w:style w:type="character" w:customStyle="1" w:styleId="CommentTextChar">
    <w:name w:val="Comment Text Char"/>
    <w:basedOn w:val="DefaultParagraphFont"/>
    <w:link w:val="CommentText"/>
    <w:uiPriority w:val="99"/>
    <w:rsid w:val="003743CC"/>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743CC"/>
    <w:rPr>
      <w:b/>
      <w:bCs/>
    </w:rPr>
  </w:style>
  <w:style w:type="character" w:customStyle="1" w:styleId="CommentSubjectChar">
    <w:name w:val="Comment Subject Char"/>
    <w:basedOn w:val="CommentTextChar"/>
    <w:link w:val="CommentSubject"/>
    <w:uiPriority w:val="99"/>
    <w:semiHidden/>
    <w:rsid w:val="003743CC"/>
    <w:rPr>
      <w:rFonts w:ascii="Times New Roman" w:hAnsi="Times New Roman" w:cs="Times New Roman"/>
      <w:b/>
      <w:bCs/>
      <w:sz w:val="20"/>
      <w:szCs w:val="20"/>
      <w:lang w:val="ro-RO"/>
    </w:rPr>
  </w:style>
  <w:style w:type="paragraph" w:styleId="Revision">
    <w:name w:val="Revision"/>
    <w:hidden/>
    <w:uiPriority w:val="99"/>
    <w:semiHidden/>
    <w:rsid w:val="007561BD"/>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8244D7"/>
    <w:pPr>
      <w:numPr>
        <w:numId w:val="1"/>
      </w:numPr>
      <w:contextualSpacing/>
    </w:pPr>
  </w:style>
  <w:style w:type="paragraph" w:styleId="ListBullet2">
    <w:name w:val="List Bullet 2"/>
    <w:basedOn w:val="Normal"/>
    <w:uiPriority w:val="99"/>
    <w:semiHidden/>
    <w:unhideWhenUsed/>
    <w:rsid w:val="008244D7"/>
    <w:pPr>
      <w:numPr>
        <w:numId w:val="2"/>
      </w:numPr>
      <w:contextualSpacing/>
    </w:pPr>
  </w:style>
  <w:style w:type="paragraph" w:styleId="ListBullet3">
    <w:name w:val="List Bullet 3"/>
    <w:basedOn w:val="Normal"/>
    <w:uiPriority w:val="99"/>
    <w:semiHidden/>
    <w:unhideWhenUsed/>
    <w:rsid w:val="008244D7"/>
    <w:pPr>
      <w:numPr>
        <w:numId w:val="3"/>
      </w:numPr>
      <w:contextualSpacing/>
    </w:pPr>
  </w:style>
  <w:style w:type="paragraph" w:styleId="ListBullet4">
    <w:name w:val="List Bullet 4"/>
    <w:basedOn w:val="Normal"/>
    <w:uiPriority w:val="99"/>
    <w:semiHidden/>
    <w:unhideWhenUsed/>
    <w:rsid w:val="008244D7"/>
    <w:pPr>
      <w:numPr>
        <w:numId w:val="4"/>
      </w:numPr>
      <w:contextualSpacing/>
    </w:pPr>
  </w:style>
  <w:style w:type="character" w:styleId="Hyperlink">
    <w:name w:val="Hyperlink"/>
    <w:basedOn w:val="DefaultParagraphFont"/>
    <w:uiPriority w:val="99"/>
    <w:unhideWhenUsed/>
    <w:rsid w:val="001B5138"/>
    <w:rPr>
      <w:color w:val="0000FF" w:themeColor="hyperlink"/>
      <w:u w:val="single"/>
    </w:rPr>
  </w:style>
  <w:style w:type="character" w:customStyle="1" w:styleId="UnresolvedMention">
    <w:name w:val="Unresolved Mention"/>
    <w:basedOn w:val="DefaultParagraphFont"/>
    <w:uiPriority w:val="99"/>
    <w:semiHidden/>
    <w:unhideWhenUsed/>
    <w:rsid w:val="001B5138"/>
    <w:rPr>
      <w:color w:val="605E5C"/>
      <w:shd w:val="clear" w:color="auto" w:fill="E1DFDD"/>
    </w:rPr>
  </w:style>
  <w:style w:type="character" w:customStyle="1" w:styleId="HeaderChar">
    <w:name w:val="Header Char"/>
    <w:basedOn w:val="DefaultParagraphFont"/>
    <w:link w:val="Header"/>
    <w:uiPriority w:val="99"/>
    <w:rsid w:val="005022CF"/>
    <w:rPr>
      <w:rFonts w:ascii="Times New Roman" w:hAnsi="Times New Roman" w:cs="Times New Roman"/>
      <w:sz w:val="24"/>
      <w:lang w:val="ro-RO"/>
    </w:rPr>
  </w:style>
  <w:style w:type="character" w:customStyle="1" w:styleId="FooterChar">
    <w:name w:val="Footer Char"/>
    <w:basedOn w:val="DefaultParagraphFont"/>
    <w:link w:val="Footer"/>
    <w:uiPriority w:val="99"/>
    <w:rsid w:val="005022C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022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022CF"/>
    <w:pPr>
      <w:spacing w:before="0"/>
      <w:jc w:val="right"/>
    </w:pPr>
    <w:rPr>
      <w:sz w:val="28"/>
    </w:rPr>
  </w:style>
  <w:style w:type="paragraph" w:customStyle="1" w:styleId="FooterSensitivity">
    <w:name w:val="Footer Sensitivity"/>
    <w:basedOn w:val="Normal"/>
    <w:rsid w:val="005022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022CF"/>
    <w:pPr>
      <w:tabs>
        <w:tab w:val="center" w:pos="4535"/>
        <w:tab w:val="right" w:pos="9071"/>
      </w:tabs>
      <w:spacing w:before="0"/>
    </w:pPr>
  </w:style>
  <w:style w:type="paragraph" w:customStyle="1" w:styleId="HeaderLandscape">
    <w:name w:val="HeaderLandscape"/>
    <w:basedOn w:val="Normal"/>
    <w:rsid w:val="005022CF"/>
    <w:pPr>
      <w:tabs>
        <w:tab w:val="center" w:pos="7285"/>
        <w:tab w:val="right" w:pos="14003"/>
      </w:tabs>
      <w:spacing w:before="0"/>
    </w:pPr>
  </w:style>
  <w:style w:type="paragraph" w:styleId="Footer">
    <w:name w:val="footer"/>
    <w:basedOn w:val="Normal"/>
    <w:link w:val="FooterChar"/>
    <w:uiPriority w:val="99"/>
    <w:unhideWhenUsed/>
    <w:rsid w:val="005022C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022C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542544">
      <w:bodyDiv w:val="1"/>
      <w:marLeft w:val="0"/>
      <w:marRight w:val="0"/>
      <w:marTop w:val="0"/>
      <w:marBottom w:val="0"/>
      <w:divBdr>
        <w:top w:val="none" w:sz="0" w:space="0" w:color="auto"/>
        <w:left w:val="none" w:sz="0" w:space="0" w:color="auto"/>
        <w:bottom w:val="none" w:sz="0" w:space="0" w:color="auto"/>
        <w:right w:val="none" w:sz="0" w:space="0" w:color="auto"/>
      </w:divBdr>
    </w:div>
    <w:div w:id="1475415624">
      <w:bodyDiv w:val="1"/>
      <w:marLeft w:val="0"/>
      <w:marRight w:val="0"/>
      <w:marTop w:val="0"/>
      <w:marBottom w:val="0"/>
      <w:divBdr>
        <w:top w:val="none" w:sz="0" w:space="0" w:color="auto"/>
        <w:left w:val="none" w:sz="0" w:space="0" w:color="auto"/>
        <w:bottom w:val="none" w:sz="0" w:space="0" w:color="auto"/>
        <w:right w:val="none" w:sz="0" w:space="0" w:color="auto"/>
      </w:divBdr>
    </w:div>
    <w:div w:id="1542092658">
      <w:bodyDiv w:val="1"/>
      <w:marLeft w:val="0"/>
      <w:marRight w:val="0"/>
      <w:marTop w:val="0"/>
      <w:marBottom w:val="0"/>
      <w:divBdr>
        <w:top w:val="none" w:sz="0" w:space="0" w:color="auto"/>
        <w:left w:val="none" w:sz="0" w:space="0" w:color="auto"/>
        <w:bottom w:val="none" w:sz="0" w:space="0" w:color="auto"/>
        <w:right w:val="none" w:sz="0" w:space="0" w:color="auto"/>
      </w:divBdr>
    </w:div>
    <w:div w:id="2005355017">
      <w:bodyDiv w:val="1"/>
      <w:marLeft w:val="0"/>
      <w:marRight w:val="0"/>
      <w:marTop w:val="0"/>
      <w:marBottom w:val="0"/>
      <w:divBdr>
        <w:top w:val="none" w:sz="0" w:space="0" w:color="auto"/>
        <w:left w:val="none" w:sz="0" w:space="0" w:color="auto"/>
        <w:bottom w:val="none" w:sz="0" w:space="0" w:color="auto"/>
        <w:right w:val="none" w:sz="0" w:space="0" w:color="auto"/>
      </w:divBdr>
    </w:div>
    <w:div w:id="211320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792870D9CFF4C91BFD4828B009132" ma:contentTypeVersion="3" ma:contentTypeDescription="Create a new document." ma:contentTypeScope="" ma:versionID="7549d85e0e9e7ffadaf40b42fae2d304">
  <xsd:schema xmlns:xsd="http://www.w3.org/2001/XMLSchema" xmlns:xs="http://www.w3.org/2001/XMLSchema" xmlns:p="http://schemas.microsoft.com/office/2006/metadata/properties" xmlns:ns2="d3620702-34ba-484e-bd5e-bf40cc0d0ccd" targetNamespace="http://schemas.microsoft.com/office/2006/metadata/properties" ma:root="true" ma:fieldsID="fe45252b22b37e02c1c182143d7082cc" ns2:_="">
    <xsd:import namespace="d3620702-34ba-484e-bd5e-bf40cc0d0c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20702-34ba-484e-bd5e-bf40cc0d0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C1AC6-7C65-41DC-9C86-73351A0D3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620702-34ba-484e-bd5e-bf40cc0d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A792C3-E405-4835-88E4-A01192FEDC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79EAFD-03D6-4E2A-A801-F6D4D40D3BF9}">
  <ds:schemaRefs>
    <ds:schemaRef ds:uri="http://schemas.microsoft.com/sharepoint/v3/contenttype/forms"/>
  </ds:schemaRefs>
</ds:datastoreItem>
</file>

<file path=customXml/itemProps4.xml><?xml version="1.0" encoding="utf-8"?>
<ds:datastoreItem xmlns:ds="http://schemas.openxmlformats.org/officeDocument/2006/customXml" ds:itemID="{D43C7C5A-A805-4B3A-B874-DD0B5F45E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91</TotalTime>
  <Pages>7</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47</cp:revision>
  <cp:lastPrinted>2026-06-30T15:00:00Z</cp:lastPrinted>
  <dcterms:created xsi:type="dcterms:W3CDTF">2026-06-24T18:58:00Z</dcterms:created>
  <dcterms:modified xsi:type="dcterms:W3CDTF">2026-08-04T07:56:00Z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2026-04-09T13:32:24Z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fd761719-a028-4a46-831e-0a3645dfc783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0x0101000F7792870D9CFF4C91BFD4828B009132</vt:lpwstr>
  </property>
  <property fmtid="{D5CDD505-2E9C-101B-9397-08002B2CF9AE}" pid="22" name="DQCStatus">
    <vt:lpwstr>Green (DQC version 03)</vt:lpwstr>
  </property>
</Properties>
</file>