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Default="00CA7D9E" w:rsidP="00CA7D9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A00F23-31FF-481C-93F4-AD5BF2376FD6" style="width:455.25pt;height:357.75pt">
            <v:imagedata r:id="rId11" o:title=""/>
          </v:shape>
        </w:pict>
      </w:r>
    </w:p>
    <w:p w:rsidR="001F515E" w:rsidRDefault="001F515E" w:rsidP="001F515E">
      <w:pPr>
        <w:rPr>
          <w:noProof/>
        </w:rPr>
        <w:sectPr w:rsidR="001F515E" w:rsidSect="00CA7D9E">
          <w:footerReference w:type="even" r:id="rId12"/>
          <w:footerReference w:type="default" r:id="rId13"/>
          <w:pgSz w:w="11907" w:h="16839"/>
          <w:pgMar w:top="1134" w:right="1417" w:bottom="1134" w:left="1417" w:header="709" w:footer="709" w:gutter="0"/>
          <w:pgNumType w:start="0"/>
          <w:cols w:space="720"/>
          <w:docGrid w:linePitch="360"/>
        </w:sectPr>
      </w:pPr>
    </w:p>
    <w:p w:rsidR="001F515E" w:rsidRDefault="001F515E">
      <w:pPr>
        <w:pStyle w:val="Exposdesmotifstitre"/>
        <w:rPr>
          <w:noProof/>
        </w:rPr>
      </w:pPr>
      <w:bookmarkStart w:id="0" w:name="_GoBack"/>
      <w:bookmarkEnd w:id="0"/>
      <w:r w:rsidRPr="006F770D">
        <w:rPr>
          <w:noProof/>
        </w:rPr>
        <w:lastRenderedPageBreak/>
        <w:t>EXPLANATORY MEMORANDUM</w:t>
      </w:r>
    </w:p>
    <w:p w:rsidR="000D2455" w:rsidRPr="006F770D" w:rsidRDefault="000D2455" w:rsidP="000D2455">
      <w:pPr>
        <w:pStyle w:val="ManualHeading1"/>
        <w:widowControl w:val="0"/>
        <w:shd w:val="clear" w:color="auto" w:fill="FFFFFF" w:themeFill="background1"/>
        <w:spacing w:before="230" w:after="0" w:line="269" w:lineRule="exact"/>
        <w:ind w:right="86"/>
        <w:rPr>
          <w:noProof/>
          <w:color w:val="008000"/>
          <w:lang w:val="en-US"/>
        </w:rPr>
      </w:pPr>
      <w:r>
        <w:rPr>
          <w:noProof/>
        </w:rPr>
        <w:t>1.</w:t>
      </w:r>
      <w:r>
        <w:rPr>
          <w:noProof/>
        </w:rPr>
        <w:tab/>
        <w:t>CONTEXT OF THE PROPOSAL</w:t>
      </w:r>
    </w:p>
    <w:p w:rsidR="000D2455" w:rsidRPr="00044058" w:rsidRDefault="000D2455" w:rsidP="000D2455">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0D2455" w:rsidRPr="00F409CF" w:rsidRDefault="000D2455" w:rsidP="000D2455">
      <w:pPr>
        <w:pBdr>
          <w:top w:val="nil"/>
          <w:left w:val="nil"/>
          <w:bottom w:val="nil"/>
          <w:right w:val="nil"/>
          <w:between w:val="nil"/>
          <w:bar w:val="nil"/>
        </w:pBdr>
        <w:spacing w:before="0" w:after="240"/>
        <w:rPr>
          <w:rFonts w:eastAsia="Arial Unicode MS"/>
          <w:noProof/>
          <w:lang w:val="en-IE"/>
        </w:rPr>
      </w:pPr>
      <w:r w:rsidRPr="00F409CF">
        <w:rPr>
          <w:rFonts w:eastAsia="Arial Unicode MS"/>
          <w:noProof/>
          <w:lang w:val="en-IE"/>
        </w:rPr>
        <w:t>Regulation (EU) 2025/2643 of the European Parliament and of the Council establishing the European Defence Industry Programme and a framework of measures to ensure the timely availability and supply of defence products (</w:t>
      </w:r>
      <w:r w:rsidRPr="001F054C">
        <w:rPr>
          <w:rFonts w:eastAsia="Arial Unicode MS"/>
          <w:noProof/>
          <w:lang w:val="en-IE"/>
        </w:rPr>
        <w:t>‘</w:t>
      </w:r>
      <w:r w:rsidRPr="00F409CF">
        <w:rPr>
          <w:rFonts w:eastAsia="Arial Unicode MS"/>
          <w:noProof/>
          <w:lang w:val="en-IE"/>
        </w:rPr>
        <w:t xml:space="preserve">the EDIP Regulation’) provides, in Article 35, </w:t>
      </w:r>
      <w:r w:rsidR="007B65C8">
        <w:rPr>
          <w:rFonts w:eastAsia="Arial Unicode MS"/>
          <w:noProof/>
          <w:lang w:val="en-IE"/>
        </w:rPr>
        <w:t xml:space="preserve">the possibility </w:t>
      </w:r>
      <w:r w:rsidRPr="00F409CF">
        <w:rPr>
          <w:rFonts w:eastAsia="Arial Unicode MS"/>
          <w:noProof/>
          <w:lang w:val="en-IE"/>
        </w:rPr>
        <w:t>for the identification of European Defence Projects of Common Interest (‘EDPCIs’).</w:t>
      </w:r>
    </w:p>
    <w:p w:rsidR="006E4899" w:rsidRPr="00F409CF" w:rsidRDefault="000D2455" w:rsidP="000D2455">
      <w:pPr>
        <w:pBdr>
          <w:top w:val="nil"/>
          <w:left w:val="nil"/>
          <w:bottom w:val="nil"/>
          <w:right w:val="nil"/>
          <w:between w:val="nil"/>
          <w:bar w:val="nil"/>
        </w:pBdr>
        <w:spacing w:before="0" w:after="240"/>
        <w:rPr>
          <w:rFonts w:eastAsia="Arial Unicode MS"/>
          <w:noProof/>
          <w:lang w:val="en-IE"/>
        </w:rPr>
      </w:pPr>
      <w:r w:rsidRPr="00F409CF">
        <w:rPr>
          <w:rFonts w:eastAsia="Arial Unicode MS"/>
          <w:noProof/>
          <w:lang w:val="en-IE"/>
        </w:rPr>
        <w:t xml:space="preserve">EDPCIs </w:t>
      </w:r>
      <w:r w:rsidR="006E4899" w:rsidRPr="006E4899">
        <w:rPr>
          <w:rFonts w:eastAsia="Arial Unicode MS"/>
          <w:noProof/>
          <w:lang w:val="en-IE"/>
        </w:rPr>
        <w:t xml:space="preserve">shall consist of collaborative industrial projects aimed at reinforcing the competitiveness of the EDTIB throughout the Union while contributing to the development of Member States’ military capabilities critical for the security and defence interests of the </w:t>
      </w:r>
      <w:r w:rsidR="00D04E8C" w:rsidRPr="006E4899">
        <w:rPr>
          <w:rFonts w:eastAsia="Arial Unicode MS"/>
          <w:noProof/>
          <w:lang w:val="en-IE"/>
        </w:rPr>
        <w:t>Union and</w:t>
      </w:r>
      <w:r w:rsidR="006E4899" w:rsidRPr="006E4899">
        <w:rPr>
          <w:rFonts w:eastAsia="Arial Unicode MS"/>
          <w:noProof/>
          <w:lang w:val="en-IE"/>
        </w:rPr>
        <w:t xml:space="preserve"> including those capabilities securing access to all operational domains</w:t>
      </w:r>
      <w:r w:rsidR="009A7E6C">
        <w:rPr>
          <w:rFonts w:eastAsia="Arial Unicode MS"/>
          <w:noProof/>
          <w:lang w:val="en-IE"/>
        </w:rPr>
        <w:t>.</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sidRPr="00F409CF">
        <w:rPr>
          <w:rFonts w:eastAsia="Arial Unicode MS"/>
          <w:noProof/>
          <w:lang w:val="en-IE"/>
        </w:rPr>
        <w:t xml:space="preserve">Pursuant to Article 35(3) of </w:t>
      </w:r>
      <w:r w:rsidR="00703C5A" w:rsidRPr="001F054C">
        <w:rPr>
          <w:rFonts w:eastAsia="Arial Unicode MS"/>
          <w:noProof/>
          <w:lang w:val="en-IE"/>
        </w:rPr>
        <w:t>Regulation (EU) 2025/2643</w:t>
      </w:r>
      <w:r w:rsidRPr="00F409CF">
        <w:rPr>
          <w:rFonts w:eastAsia="Arial Unicode MS"/>
          <w:noProof/>
          <w:lang w:val="en-IE"/>
        </w:rPr>
        <w:t xml:space="preserve">, the Council, acting on a proposal from the Commission, </w:t>
      </w:r>
      <w:r w:rsidR="003D6C69">
        <w:rPr>
          <w:rFonts w:eastAsia="Arial Unicode MS"/>
          <w:noProof/>
          <w:lang w:val="en-IE"/>
        </w:rPr>
        <w:t xml:space="preserve">may </w:t>
      </w:r>
      <w:r w:rsidRPr="00F409CF">
        <w:rPr>
          <w:rFonts w:eastAsia="Arial Unicode MS"/>
          <w:noProof/>
          <w:lang w:val="en-IE"/>
        </w:rPr>
        <w:t xml:space="preserve">adopt implementing </w:t>
      </w:r>
      <w:r w:rsidR="009F5951">
        <w:rPr>
          <w:rFonts w:eastAsia="Arial Unicode MS"/>
          <w:noProof/>
          <w:lang w:val="en-IE"/>
        </w:rPr>
        <w:t>acts</w:t>
      </w:r>
      <w:r w:rsidRPr="00F409CF">
        <w:rPr>
          <w:rFonts w:eastAsia="Arial Unicode MS"/>
          <w:noProof/>
          <w:lang w:val="en-IE"/>
        </w:rPr>
        <w:t xml:space="preserve"> identifying EDPCIs. The present proposal fulfils that requirement by </w:t>
      </w:r>
      <w:r w:rsidR="0091724B">
        <w:rPr>
          <w:rFonts w:eastAsia="Arial Unicode MS"/>
          <w:noProof/>
          <w:lang w:val="en-IE"/>
        </w:rPr>
        <w:t xml:space="preserve">setting out </w:t>
      </w:r>
      <w:r w:rsidRPr="00F409CF">
        <w:rPr>
          <w:rFonts w:eastAsia="Arial Unicode MS"/>
          <w:noProof/>
          <w:lang w:val="en-IE"/>
        </w:rPr>
        <w:t xml:space="preserve">a first set of </w:t>
      </w:r>
      <w:r w:rsidR="0091724B">
        <w:rPr>
          <w:rFonts w:eastAsia="Arial Unicode MS"/>
          <w:noProof/>
          <w:lang w:val="en-IE"/>
        </w:rPr>
        <w:t>projects</w:t>
      </w:r>
      <w:r w:rsidR="0091724B" w:rsidRPr="00F409CF">
        <w:rPr>
          <w:rFonts w:eastAsia="Arial Unicode MS"/>
          <w:noProof/>
          <w:lang w:val="en-IE"/>
        </w:rPr>
        <w:t xml:space="preserve"> </w:t>
      </w:r>
      <w:r w:rsidRPr="00F409CF">
        <w:rPr>
          <w:rFonts w:eastAsia="Arial Unicode MS"/>
          <w:noProof/>
          <w:lang w:val="en-IE"/>
        </w:rPr>
        <w:t>that meet the conditions laid down in the EDIP Regulation</w:t>
      </w:r>
      <w:r w:rsidR="0091724B">
        <w:rPr>
          <w:rFonts w:eastAsia="Arial Unicode MS"/>
          <w:noProof/>
          <w:lang w:val="en-IE"/>
        </w:rPr>
        <w:t xml:space="preserve"> in order to identify them as EDPCIs</w:t>
      </w:r>
      <w:r w:rsidRPr="00F409CF">
        <w:rPr>
          <w:rFonts w:eastAsia="Arial Unicode MS"/>
          <w:noProof/>
          <w:lang w:val="en-IE"/>
        </w:rPr>
        <w:t>.</w:t>
      </w:r>
    </w:p>
    <w:p w:rsidR="00A9047C" w:rsidRPr="001F054C" w:rsidRDefault="00A9047C" w:rsidP="00A9047C">
      <w:pPr>
        <w:pBdr>
          <w:top w:val="nil"/>
          <w:left w:val="nil"/>
          <w:bottom w:val="nil"/>
          <w:right w:val="nil"/>
          <w:between w:val="nil"/>
          <w:bar w:val="nil"/>
        </w:pBdr>
        <w:spacing w:before="0" w:after="240"/>
        <w:rPr>
          <w:rFonts w:eastAsia="Arial Unicode MS"/>
          <w:noProof/>
          <w:lang w:val="en-IE"/>
        </w:rPr>
      </w:pPr>
      <w:r w:rsidRPr="001F054C">
        <w:rPr>
          <w:rFonts w:eastAsia="Arial Unicode MS"/>
          <w:noProof/>
          <w:lang w:val="en-IE"/>
        </w:rPr>
        <w:t xml:space="preserve">The </w:t>
      </w:r>
      <w:r w:rsidR="0091724B">
        <w:rPr>
          <w:rFonts w:eastAsia="Arial Unicode MS"/>
          <w:noProof/>
          <w:lang w:val="en-IE"/>
        </w:rPr>
        <w:t>list of projects</w:t>
      </w:r>
      <w:r w:rsidRPr="001F054C">
        <w:rPr>
          <w:rFonts w:eastAsia="Arial Unicode MS"/>
          <w:noProof/>
          <w:lang w:val="en-IE"/>
        </w:rPr>
        <w:t xml:space="preserve"> under this proposal is based on an assessment </w:t>
      </w:r>
      <w:r>
        <w:rPr>
          <w:rFonts w:eastAsia="Arial Unicode MS"/>
          <w:noProof/>
          <w:lang w:val="en-IE"/>
        </w:rPr>
        <w:t>by the Commission</w:t>
      </w:r>
      <w:r w:rsidR="00A461D6">
        <w:rPr>
          <w:rFonts w:eastAsia="Arial Unicode MS"/>
          <w:noProof/>
          <w:lang w:val="en-IE"/>
        </w:rPr>
        <w:t>, with the support of the</w:t>
      </w:r>
      <w:r w:rsidR="00A461D6" w:rsidRPr="00A461D6">
        <w:rPr>
          <w:noProof/>
        </w:rPr>
        <w:t xml:space="preserve"> </w:t>
      </w:r>
      <w:r w:rsidR="00A461D6" w:rsidRPr="00A461D6">
        <w:rPr>
          <w:rFonts w:eastAsia="Arial Unicode MS"/>
          <w:noProof/>
          <w:lang w:val="en-IE"/>
        </w:rPr>
        <w:t xml:space="preserve">High Representative of the Union for Foreign Affairs and Security Policy (the ‘High Representative’) as well as the European Defence Agency (EDA), </w:t>
      </w:r>
      <w:r w:rsidR="00A461D6">
        <w:rPr>
          <w:rFonts w:eastAsia="Arial Unicode MS"/>
          <w:noProof/>
          <w:lang w:val="en-IE"/>
        </w:rPr>
        <w:t xml:space="preserve"> </w:t>
      </w:r>
      <w:r>
        <w:rPr>
          <w:rFonts w:eastAsia="Arial Unicode MS"/>
          <w:noProof/>
          <w:lang w:val="en-IE"/>
        </w:rPr>
        <w:t xml:space="preserve">of the compliance </w:t>
      </w:r>
      <w:r w:rsidRPr="001F054C">
        <w:rPr>
          <w:rFonts w:eastAsia="Arial Unicode MS"/>
          <w:noProof/>
          <w:lang w:val="en-IE"/>
        </w:rPr>
        <w:t xml:space="preserve">of the projects </w:t>
      </w:r>
      <w:r>
        <w:rPr>
          <w:rFonts w:eastAsia="Arial Unicode MS"/>
          <w:noProof/>
          <w:lang w:val="en-IE"/>
        </w:rPr>
        <w:t xml:space="preserve">submitted by Member States </w:t>
      </w:r>
      <w:r w:rsidR="0091724B">
        <w:rPr>
          <w:rFonts w:eastAsia="Arial Unicode MS"/>
          <w:noProof/>
          <w:lang w:val="en-IE"/>
        </w:rPr>
        <w:t xml:space="preserve">in accordance with Article 35(4) </w:t>
      </w:r>
      <w:r w:rsidRPr="001F054C">
        <w:rPr>
          <w:rFonts w:eastAsia="Arial Unicode MS"/>
          <w:noProof/>
          <w:lang w:val="en-IE"/>
        </w:rPr>
        <w:t xml:space="preserve">against the criteria set out in the EDIP Regulation. The projects </w:t>
      </w:r>
      <w:r>
        <w:rPr>
          <w:rFonts w:eastAsia="Arial Unicode MS"/>
          <w:noProof/>
          <w:lang w:val="en-IE"/>
        </w:rPr>
        <w:t xml:space="preserve">proposed to be identified as EDPCIs </w:t>
      </w:r>
      <w:r w:rsidRPr="001F054C">
        <w:rPr>
          <w:rFonts w:eastAsia="Arial Unicode MS"/>
          <w:noProof/>
          <w:lang w:val="en-IE"/>
        </w:rPr>
        <w:t>are considered to make a substantial contribution to the Union’s defence readiness by fostering collaborative development and procurement, by supporting the ramp-up of industrial capacities where necessary, and by improving interoperability and standardisation across participating Member States</w:t>
      </w:r>
      <w:r w:rsidR="00D85F26" w:rsidRPr="001F054C">
        <w:rPr>
          <w:rFonts w:eastAsia="Arial Unicode MS"/>
          <w:noProof/>
          <w:lang w:val="en-IE"/>
        </w:rPr>
        <w:t>.</w:t>
      </w:r>
    </w:p>
    <w:p w:rsidR="000D2455" w:rsidRPr="002D5EE2" w:rsidRDefault="000D2455" w:rsidP="000D2455">
      <w:pPr>
        <w:pStyle w:val="ManualHeading1"/>
        <w:pBdr>
          <w:top w:val="nil"/>
          <w:left w:val="nil"/>
          <w:bottom w:val="nil"/>
          <w:right w:val="nil"/>
          <w:between w:val="nil"/>
          <w:bar w:val="nil"/>
        </w:pBdr>
        <w:spacing w:before="0" w:after="240"/>
        <w:rPr>
          <w:rFonts w:eastAsia="Arial Unicode MS"/>
          <w:noProof/>
          <w:lang w:val="en-IE"/>
        </w:rPr>
      </w:pPr>
      <w:r>
        <w:rPr>
          <w:noProof/>
        </w:rPr>
        <w:t>2.</w:t>
      </w:r>
      <w:r>
        <w:rPr>
          <w:noProof/>
        </w:rPr>
        <w:tab/>
        <w:t>LEGAL BASIS, SUBSIDIARITY AND PROPORTIONALITY</w:t>
      </w:r>
    </w:p>
    <w:p w:rsidR="000D2455" w:rsidRPr="002D5EE2" w:rsidRDefault="000D2455" w:rsidP="000D2455">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sidRPr="001F054C">
        <w:rPr>
          <w:rFonts w:eastAsia="Arial Unicode MS"/>
          <w:noProof/>
          <w:lang w:val="en-IE"/>
        </w:rPr>
        <w:t>The legal basis for the propos</w:t>
      </w:r>
      <w:r w:rsidR="0091724B">
        <w:rPr>
          <w:rFonts w:eastAsia="Arial Unicode MS"/>
          <w:noProof/>
          <w:lang w:val="en-IE"/>
        </w:rPr>
        <w:t>al for a</w:t>
      </w:r>
      <w:r w:rsidRPr="001F054C">
        <w:rPr>
          <w:rFonts w:eastAsia="Arial Unicode MS"/>
          <w:noProof/>
          <w:lang w:val="en-IE"/>
        </w:rPr>
        <w:t xml:space="preserve"> Council Implementing Decision is Article 35(3) of Regulation (EU) 2025/2643. That provision empowers the Council, acting on a proposal from the Commission, to adopt an implementing </w:t>
      </w:r>
      <w:r w:rsidR="00703C5A">
        <w:rPr>
          <w:rFonts w:eastAsia="Arial Unicode MS"/>
          <w:noProof/>
          <w:lang w:val="en-IE"/>
        </w:rPr>
        <w:t>act</w:t>
      </w:r>
      <w:r w:rsidRPr="001F054C">
        <w:rPr>
          <w:rFonts w:eastAsia="Arial Unicode MS"/>
          <w:noProof/>
          <w:lang w:val="en-IE"/>
        </w:rPr>
        <w:t xml:space="preserve"> identifying European Defence Projects of Common Interest.</w:t>
      </w:r>
    </w:p>
    <w:p w:rsidR="000D2455" w:rsidRPr="002D5EE2" w:rsidRDefault="000D2455" w:rsidP="000D2455">
      <w:pPr>
        <w:pBdr>
          <w:top w:val="nil"/>
          <w:left w:val="nil"/>
          <w:bottom w:val="nil"/>
          <w:right w:val="nil"/>
          <w:between w:val="nil"/>
          <w:bar w:val="nil"/>
        </w:pBdr>
        <w:spacing w:before="0" w:after="240"/>
        <w:rPr>
          <w:rFonts w:eastAsia="Arial Unicode MS"/>
          <w:noProof/>
          <w:bdr w:val="nil"/>
          <w:lang w:val="en-US" w:eastAsia="en-GB"/>
        </w:rPr>
      </w:pPr>
      <w:r w:rsidRPr="002D5EE2">
        <w:rPr>
          <w:rFonts w:eastAsia="Arial Unicode MS"/>
          <w:noProof/>
          <w:bdr w:val="nil"/>
          <w:lang w:val="en-US" w:eastAsia="en-GB"/>
        </w:rPr>
        <w:t>•</w:t>
      </w:r>
      <w:r w:rsidRPr="002D5EE2">
        <w:rPr>
          <w:rFonts w:eastAsia="Arial Unicode MS"/>
          <w:noProof/>
          <w:u w:color="000000"/>
          <w:bdr w:val="nil"/>
          <w:lang w:val="en-US" w:eastAsia="en-GB"/>
        </w:rPr>
        <w:tab/>
      </w:r>
      <w:r w:rsidRPr="001F054C">
        <w:rPr>
          <w:rFonts w:eastAsia="Arial Unicode MS"/>
          <w:b/>
          <w:bCs/>
          <w:noProof/>
          <w:bdr w:val="nil"/>
          <w:lang w:val="en-US" w:eastAsia="en-GB"/>
        </w:rPr>
        <w:t>Subsidiarity</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sidRPr="001F054C">
        <w:rPr>
          <w:rFonts w:eastAsia="Arial Unicode MS"/>
          <w:noProof/>
          <w:lang w:val="en-IE"/>
        </w:rPr>
        <w:t xml:space="preserve">The proposal concerns an area of shared competence, in particular the industrial dimension of the Union’s defence </w:t>
      </w:r>
      <w:r w:rsidR="00A461D6">
        <w:rPr>
          <w:rFonts w:eastAsia="Arial Unicode MS"/>
          <w:noProof/>
          <w:lang w:val="en-IE"/>
        </w:rPr>
        <w:t>readiness</w:t>
      </w:r>
      <w:r w:rsidRPr="001F054C">
        <w:rPr>
          <w:rFonts w:eastAsia="Arial Unicode MS"/>
          <w:noProof/>
          <w:lang w:val="en-IE"/>
        </w:rPr>
        <w:t>. The objectives pursued by the proposal cannot be sufficiently achieved by Member States acting alone.</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Under Article 35 of </w:t>
      </w:r>
      <w:r w:rsidRPr="001F054C">
        <w:rPr>
          <w:rFonts w:eastAsia="Arial Unicode MS"/>
          <w:noProof/>
          <w:lang w:val="en-IE"/>
        </w:rPr>
        <w:t>Regulation (EU) 2025/2643</w:t>
      </w:r>
      <w:r>
        <w:rPr>
          <w:rFonts w:eastAsia="Arial Unicode MS"/>
          <w:noProof/>
          <w:lang w:val="en-IE"/>
        </w:rPr>
        <w:t>, t</w:t>
      </w:r>
      <w:r w:rsidRPr="001F054C">
        <w:rPr>
          <w:rFonts w:eastAsia="Arial Unicode MS"/>
          <w:noProof/>
          <w:lang w:val="en-IE"/>
        </w:rPr>
        <w:t xml:space="preserve">he identification of EDPCIs requires a Union-level assessment of projects against common criteria laid down in the EDIP Regulation and a common determination that the projects serve a </w:t>
      </w:r>
      <w:r w:rsidR="00BC3051">
        <w:rPr>
          <w:rFonts w:eastAsia="Arial Unicode MS"/>
          <w:noProof/>
          <w:lang w:val="en-IE"/>
        </w:rPr>
        <w:t>common</w:t>
      </w:r>
      <w:r w:rsidRPr="001F054C">
        <w:rPr>
          <w:rFonts w:eastAsia="Arial Unicode MS"/>
          <w:noProof/>
          <w:lang w:val="en-IE"/>
        </w:rPr>
        <w:t xml:space="preserve"> European interest. Action at Union level is necessary to ensure consistency, transparency and equal treatment in the identification of such projects, and to provide a common framework for projects whose rationale and effects are inherently transnational.</w:t>
      </w:r>
    </w:p>
    <w:p w:rsidR="000D2455" w:rsidRDefault="000D2455" w:rsidP="000D2455">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Proportionality</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sidRPr="001F054C">
        <w:rPr>
          <w:rFonts w:eastAsia="Arial Unicode MS"/>
          <w:noProof/>
          <w:lang w:val="en-IE"/>
        </w:rPr>
        <w:t>The proposal complies with the principle of proportionality as set out in Article 5 of the Treaty on European Union. It is limited to what is necessary to implement Article 35(3) of the EDIP Regulation.</w:t>
      </w:r>
    </w:p>
    <w:p w:rsidR="000D2455" w:rsidRPr="001F054C" w:rsidRDefault="000D2455" w:rsidP="000D2455">
      <w:pPr>
        <w:pBdr>
          <w:top w:val="nil"/>
          <w:left w:val="nil"/>
          <w:bottom w:val="nil"/>
          <w:right w:val="nil"/>
          <w:between w:val="nil"/>
          <w:bar w:val="nil"/>
        </w:pBdr>
        <w:spacing w:before="0" w:after="240"/>
        <w:rPr>
          <w:rFonts w:eastAsia="Arial Unicode MS"/>
          <w:noProof/>
          <w:lang w:val="en-IE"/>
        </w:rPr>
      </w:pPr>
      <w:r w:rsidRPr="001F054C">
        <w:rPr>
          <w:rFonts w:eastAsia="Arial Unicode MS"/>
          <w:noProof/>
          <w:lang w:val="en-IE"/>
        </w:rPr>
        <w:t>The proposed Council Implementing Decision does not create obligations beyond those necessary for the identification of EDPCIs under the legal framework established by the basic act.</w:t>
      </w:r>
    </w:p>
    <w:p w:rsidR="000D2455" w:rsidRPr="000D2455" w:rsidRDefault="008E77C0" w:rsidP="000D2455">
      <w:pPr>
        <w:pStyle w:val="ManualHeading1"/>
        <w:rPr>
          <w:noProof/>
        </w:rPr>
      </w:pPr>
      <w:r>
        <w:rPr>
          <w:noProof/>
        </w:rPr>
        <w:t>3</w:t>
      </w:r>
      <w:r w:rsidR="000D2455" w:rsidRPr="000D2455">
        <w:rPr>
          <w:noProof/>
        </w:rPr>
        <w:t>.</w:t>
      </w:r>
      <w:r w:rsidR="000D2455" w:rsidRPr="000D2455">
        <w:rPr>
          <w:noProof/>
        </w:rPr>
        <w:tab/>
        <w:t>BUDGETARY IMPLICATIONS</w:t>
      </w:r>
    </w:p>
    <w:p w:rsidR="0037183B" w:rsidRPr="00025080" w:rsidRDefault="0037183B" w:rsidP="0037183B">
      <w:pPr>
        <w:pBdr>
          <w:top w:val="nil"/>
          <w:left w:val="nil"/>
          <w:bottom w:val="nil"/>
          <w:right w:val="nil"/>
          <w:between w:val="nil"/>
        </w:pBdr>
        <w:spacing w:before="0" w:after="240"/>
        <w:rPr>
          <w:noProof/>
        </w:rPr>
      </w:pPr>
      <w:r w:rsidRPr="00025080">
        <w:rPr>
          <w:noProof/>
        </w:rPr>
        <w:t xml:space="preserve">The funding of EDPCIs </w:t>
      </w:r>
      <w:r w:rsidR="0091724B">
        <w:rPr>
          <w:noProof/>
        </w:rPr>
        <w:t>may be</w:t>
      </w:r>
      <w:r w:rsidR="0091724B" w:rsidRPr="00025080">
        <w:rPr>
          <w:noProof/>
        </w:rPr>
        <w:t xml:space="preserve"> </w:t>
      </w:r>
      <w:r w:rsidRPr="00025080">
        <w:rPr>
          <w:noProof/>
        </w:rPr>
        <w:t>provided by the budgetary envelop</w:t>
      </w:r>
      <w:r w:rsidR="008C6C31" w:rsidRPr="00025080">
        <w:rPr>
          <w:noProof/>
        </w:rPr>
        <w:t>e</w:t>
      </w:r>
      <w:r w:rsidRPr="00025080">
        <w:rPr>
          <w:noProof/>
        </w:rPr>
        <w:t xml:space="preserve"> identified for that purpose in the Work Programme</w:t>
      </w:r>
      <w:r w:rsidR="0091724B">
        <w:rPr>
          <w:noProof/>
        </w:rPr>
        <w:t xml:space="preserve"> a</w:t>
      </w:r>
      <w:r w:rsidR="0091724B" w:rsidRPr="0091724B">
        <w:rPr>
          <w:noProof/>
        </w:rPr>
        <w:t>dopted pursuant</w:t>
      </w:r>
      <w:r w:rsidR="00D2316C">
        <w:rPr>
          <w:noProof/>
        </w:rPr>
        <w:t xml:space="preserve"> to</w:t>
      </w:r>
      <w:r w:rsidR="0091724B" w:rsidRPr="0091724B">
        <w:rPr>
          <w:noProof/>
        </w:rPr>
        <w:t xml:space="preserve"> Article 21 of the EDIP Regulation.</w:t>
      </w:r>
      <w:r w:rsidR="00763780">
        <w:rPr>
          <w:noProof/>
        </w:rPr>
        <w:t xml:space="preserve"> This decision is </w:t>
      </w:r>
      <w:r w:rsidR="00763780" w:rsidRPr="00763780">
        <w:rPr>
          <w:noProof/>
        </w:rPr>
        <w:t>without prejudice to any subsequent decision to award Union funding.</w:t>
      </w:r>
    </w:p>
    <w:p w:rsidR="0037183B" w:rsidRDefault="0037183B" w:rsidP="0037183B">
      <w:pPr>
        <w:pBdr>
          <w:top w:val="nil"/>
          <w:left w:val="nil"/>
          <w:bottom w:val="nil"/>
          <w:right w:val="nil"/>
          <w:between w:val="nil"/>
        </w:pBdr>
        <w:spacing w:before="0" w:after="240"/>
        <w:rPr>
          <w:noProof/>
        </w:rPr>
      </w:pPr>
      <w:r w:rsidRPr="00025080">
        <w:rPr>
          <w:noProof/>
        </w:rPr>
        <w:t xml:space="preserve">Following their establishment, the group of Member States (and potential future Structures for European Armament Programme) participating in an EDPCI </w:t>
      </w:r>
      <w:r w:rsidR="008C6C31" w:rsidRPr="00025080">
        <w:rPr>
          <w:noProof/>
        </w:rPr>
        <w:t xml:space="preserve">would </w:t>
      </w:r>
      <w:r w:rsidRPr="00025080">
        <w:rPr>
          <w:noProof/>
        </w:rPr>
        <w:t>be eligible</w:t>
      </w:r>
      <w:r w:rsidR="008C044C">
        <w:rPr>
          <w:noProof/>
        </w:rPr>
        <w:t xml:space="preserve"> and granted funding </w:t>
      </w:r>
      <w:r w:rsidRPr="00025080">
        <w:rPr>
          <w:noProof/>
        </w:rPr>
        <w:t xml:space="preserve">under </w:t>
      </w:r>
      <w:r w:rsidR="0091724B">
        <w:rPr>
          <w:noProof/>
        </w:rPr>
        <w:t xml:space="preserve">Article 35 of </w:t>
      </w:r>
      <w:r w:rsidRPr="00025080">
        <w:rPr>
          <w:noProof/>
        </w:rPr>
        <w:t xml:space="preserve">the EDIP </w:t>
      </w:r>
      <w:r w:rsidR="0091724B">
        <w:rPr>
          <w:noProof/>
        </w:rPr>
        <w:t xml:space="preserve">Regulation </w:t>
      </w:r>
      <w:r w:rsidRPr="00025080">
        <w:rPr>
          <w:noProof/>
        </w:rPr>
        <w:t>in accordance with a dedicated procedure.</w:t>
      </w:r>
    </w:p>
    <w:p w:rsidR="000D2455" w:rsidRPr="000D2455" w:rsidRDefault="008E77C0" w:rsidP="000D2455">
      <w:pPr>
        <w:pStyle w:val="ManualHeading1"/>
        <w:rPr>
          <w:noProof/>
        </w:rPr>
      </w:pPr>
      <w:r>
        <w:rPr>
          <w:noProof/>
        </w:rPr>
        <w:t>4</w:t>
      </w:r>
      <w:r w:rsidR="000D2455" w:rsidRPr="000D2455">
        <w:rPr>
          <w:noProof/>
        </w:rPr>
        <w:t>.</w:t>
      </w:r>
      <w:r w:rsidR="000D2455" w:rsidRPr="000D2455">
        <w:rPr>
          <w:noProof/>
        </w:rPr>
        <w:tab/>
        <w:t>OTHER ELEMENTS</w:t>
      </w:r>
    </w:p>
    <w:p w:rsidR="000D2455" w:rsidRDefault="000D2455" w:rsidP="000D2455">
      <w:pPr>
        <w:pBdr>
          <w:top w:val="nil"/>
          <w:left w:val="nil"/>
          <w:bottom w:val="nil"/>
          <w:right w:val="nil"/>
          <w:between w:val="nil"/>
        </w:pBdr>
        <w:spacing w:before="0" w:after="240"/>
        <w:rPr>
          <w:rFonts w:eastAsia="Arial Unicode MS"/>
          <w:b/>
          <w:bCs/>
          <w:noProof/>
          <w:lang w:val="en-US" w:eastAsia="en-GB"/>
        </w:rPr>
      </w:pPr>
      <w:r w:rsidRPr="29589FFF">
        <w:rPr>
          <w:rFonts w:eastAsia="Arial Unicode MS"/>
          <w:noProof/>
          <w:lang w:val="en-US" w:eastAsia="en-GB"/>
        </w:rPr>
        <w:t xml:space="preserve">•      </w:t>
      </w:r>
      <w:r w:rsidRPr="29589FFF">
        <w:rPr>
          <w:rFonts w:eastAsia="Arial Unicode MS"/>
          <w:b/>
          <w:bCs/>
          <w:noProof/>
          <w:lang w:val="en-US" w:eastAsia="en-GB"/>
        </w:rPr>
        <w:t xml:space="preserve">Procedural steps for the identification of European Defence Projects of Common Interest (EPDCIs) </w:t>
      </w:r>
    </w:p>
    <w:p w:rsidR="000D2455" w:rsidRDefault="000D2455" w:rsidP="00641AE7">
      <w:pPr>
        <w:pStyle w:val="Point0"/>
        <w:rPr>
          <w:rFonts w:eastAsia="Times New Roman"/>
          <w:noProof/>
          <w:color w:val="000000" w:themeColor="text1"/>
          <w:szCs w:val="24"/>
        </w:rPr>
      </w:pPr>
      <w:r>
        <w:rPr>
          <w:noProof/>
        </w:rPr>
        <w:t>(1)</w:t>
      </w:r>
      <w:r>
        <w:rPr>
          <w:noProof/>
        </w:rPr>
        <w:tab/>
      </w:r>
      <w:r w:rsidRPr="29589FFF">
        <w:rPr>
          <w:rFonts w:eastAsia="Times New Roman"/>
          <w:noProof/>
          <w:color w:val="000000" w:themeColor="text1"/>
          <w:szCs w:val="24"/>
        </w:rPr>
        <w:t xml:space="preserve">The Commission launched on 16 February 2026 a call for expression of interest aimed at consulting EU Member States in an inclusive manner on the identification of possible European Defence Projects of Common Interest (EDPCIs), pursuant to Article 35 of Regulation (EU) 2025/2643. By the deadline of 29 May 2026, Member States submitted nine project proposals for possible EDPCIs. </w:t>
      </w:r>
    </w:p>
    <w:p w:rsidR="00110981" w:rsidRPr="00110981" w:rsidRDefault="00110981" w:rsidP="00025080">
      <w:pPr>
        <w:pStyle w:val="Point0"/>
        <w:rPr>
          <w:rFonts w:eastAsia="Times New Roman"/>
          <w:noProof/>
          <w:color w:val="000000" w:themeColor="text1"/>
          <w:szCs w:val="24"/>
        </w:rPr>
      </w:pPr>
      <w:r>
        <w:rPr>
          <w:noProof/>
        </w:rPr>
        <w:t>(2)</w:t>
      </w:r>
      <w:r>
        <w:rPr>
          <w:noProof/>
        </w:rPr>
        <w:tab/>
      </w:r>
      <w:r>
        <w:rPr>
          <w:rFonts w:eastAsia="Times New Roman"/>
          <w:noProof/>
          <w:color w:val="000000" w:themeColor="text1"/>
          <w:szCs w:val="24"/>
        </w:rPr>
        <w:t>T</w:t>
      </w:r>
      <w:r w:rsidRPr="00110981">
        <w:rPr>
          <w:rFonts w:eastAsia="Times New Roman"/>
          <w:noProof/>
          <w:color w:val="000000" w:themeColor="text1"/>
          <w:szCs w:val="24"/>
        </w:rPr>
        <w:t>he Commission invited the High Representative of the Union for Foreign Affairs and Security Policy (the ‘High Representative’) through the European External Action Service (EEAS)</w:t>
      </w:r>
      <w:r w:rsidR="00A461D6">
        <w:rPr>
          <w:rFonts w:eastAsia="Times New Roman"/>
          <w:noProof/>
          <w:color w:val="000000" w:themeColor="text1"/>
          <w:szCs w:val="24"/>
        </w:rPr>
        <w:t>, including the EU Military Staff (EUMS),</w:t>
      </w:r>
      <w:r w:rsidRPr="00110981">
        <w:rPr>
          <w:rFonts w:eastAsia="Times New Roman"/>
          <w:noProof/>
          <w:color w:val="000000" w:themeColor="text1"/>
          <w:szCs w:val="24"/>
        </w:rPr>
        <w:t xml:space="preserve"> as well as the European Defence Agency (EDA), to provide their expertise with a view to ensuring consistency with the priorities and objectives referred to in Article 35(2), points (b), (c) and (d), and to complement the information provided by Member States regarding project proposals. </w:t>
      </w:r>
    </w:p>
    <w:p w:rsidR="000D2455" w:rsidRDefault="000D2455" w:rsidP="00025080">
      <w:pPr>
        <w:pStyle w:val="Point0"/>
        <w:rPr>
          <w:rFonts w:eastAsia="Times New Roman"/>
          <w:noProof/>
          <w:color w:val="000000" w:themeColor="text1"/>
          <w:szCs w:val="24"/>
          <w:lang w:val="en-US"/>
        </w:rPr>
      </w:pPr>
      <w:r>
        <w:rPr>
          <w:noProof/>
        </w:rPr>
        <w:t>(3)</w:t>
      </w:r>
      <w:r>
        <w:rPr>
          <w:noProof/>
        </w:rPr>
        <w:tab/>
      </w:r>
      <w:r w:rsidRPr="29589FFF">
        <w:rPr>
          <w:rFonts w:eastAsia="Times New Roman"/>
          <w:noProof/>
          <w:color w:val="000000" w:themeColor="text1"/>
          <w:szCs w:val="24"/>
        </w:rPr>
        <w:t>The Commission verified that all Member States and associated countries, and, where relevant, Ukraine, were informed of the emergence of a project and were given the opportunity to participate.</w:t>
      </w:r>
    </w:p>
    <w:p w:rsidR="000B4F45" w:rsidRDefault="000B4F45" w:rsidP="00025080">
      <w:pPr>
        <w:pStyle w:val="Point0"/>
        <w:rPr>
          <w:noProof/>
        </w:rPr>
      </w:pPr>
      <w:r>
        <w:rPr>
          <w:noProof/>
        </w:rPr>
        <w:t>(4)</w:t>
      </w:r>
      <w:r>
        <w:rPr>
          <w:noProof/>
        </w:rPr>
        <w:tab/>
      </w:r>
      <w:r w:rsidRPr="14BE4472">
        <w:rPr>
          <w:noProof/>
        </w:rPr>
        <w:t xml:space="preserve">The Commission </w:t>
      </w:r>
      <w:r>
        <w:rPr>
          <w:noProof/>
        </w:rPr>
        <w:t xml:space="preserve">verified, considering </w:t>
      </w:r>
      <w:r w:rsidR="00FB0CFB">
        <w:rPr>
          <w:noProof/>
        </w:rPr>
        <w:t xml:space="preserve">also </w:t>
      </w:r>
      <w:r>
        <w:rPr>
          <w:noProof/>
        </w:rPr>
        <w:t>the information provided by the EEAS</w:t>
      </w:r>
      <w:r w:rsidR="00A461D6">
        <w:rPr>
          <w:noProof/>
        </w:rPr>
        <w:t>, including EUMS,</w:t>
      </w:r>
      <w:r>
        <w:rPr>
          <w:noProof/>
        </w:rPr>
        <w:t xml:space="preserve"> and EDA,</w:t>
      </w:r>
      <w:r w:rsidRPr="14BE4472">
        <w:rPr>
          <w:noProof/>
        </w:rPr>
        <w:t xml:space="preserve"> the </w:t>
      </w:r>
      <w:r>
        <w:rPr>
          <w:noProof/>
        </w:rPr>
        <w:t xml:space="preserve">compliance of the </w:t>
      </w:r>
      <w:r w:rsidRPr="14BE4472">
        <w:rPr>
          <w:noProof/>
        </w:rPr>
        <w:t xml:space="preserve">project proposals for possible EDPCIs under the call for expression of interest against the </w:t>
      </w:r>
      <w:r>
        <w:rPr>
          <w:noProof/>
        </w:rPr>
        <w:t xml:space="preserve">criteria </w:t>
      </w:r>
      <w:r w:rsidRPr="14BE4472">
        <w:rPr>
          <w:noProof/>
        </w:rPr>
        <w:t>laid down in Article 35(2) of Regulation (EU) 2025/2643</w:t>
      </w:r>
      <w:r>
        <w:rPr>
          <w:noProof/>
        </w:rPr>
        <w:t>.</w:t>
      </w:r>
    </w:p>
    <w:p w:rsidR="000D2455" w:rsidRDefault="000D2455" w:rsidP="000D2455">
      <w:pPr>
        <w:pStyle w:val="ManualHeading2"/>
        <w:rPr>
          <w:rFonts w:eastAsia="Arial Unicode MS"/>
          <w:noProof/>
          <w:bdr w:val="nil"/>
          <w:lang w:val="en-US" w:eastAsia="en-GB"/>
        </w:rPr>
      </w:pPr>
      <w:r w:rsidRPr="007718A8">
        <w:rPr>
          <w:rFonts w:eastAsia="Arial Unicode MS"/>
          <w:noProof/>
          <w:bdr w:val="nil"/>
          <w:lang w:val="en-US" w:eastAsia="en-GB"/>
        </w:rPr>
        <w:t>•</w:t>
      </w:r>
      <w:r w:rsidRPr="00D2316C">
        <w:rPr>
          <w:rFonts w:eastAsia="Arial Unicode MS"/>
          <w:noProof/>
          <w:bdr w:val="nil"/>
          <w:lang w:val="en-US" w:eastAsia="en-GB"/>
        </w:rPr>
        <w:tab/>
      </w:r>
      <w:r w:rsidRPr="007718A8">
        <w:rPr>
          <w:rFonts w:eastAsia="Arial Unicode MS"/>
          <w:noProof/>
          <w:bdr w:val="nil"/>
          <w:lang w:val="en-US" w:eastAsia="en-GB"/>
        </w:rPr>
        <w:t xml:space="preserve">Detailed explanation of </w:t>
      </w:r>
      <w:r>
        <w:rPr>
          <w:rFonts w:eastAsia="Arial Unicode MS"/>
          <w:noProof/>
          <w:bdr w:val="nil"/>
          <w:lang w:val="en-US" w:eastAsia="en-GB"/>
        </w:rPr>
        <w:t xml:space="preserve">the </w:t>
      </w:r>
      <w:r w:rsidRPr="007718A8">
        <w:rPr>
          <w:rFonts w:eastAsia="Arial Unicode MS"/>
          <w:noProof/>
          <w:bdr w:val="nil"/>
          <w:lang w:val="en-US" w:eastAsia="en-GB"/>
        </w:rPr>
        <w:t>specific provisions of the proposal</w:t>
      </w:r>
    </w:p>
    <w:p w:rsidR="000D2455" w:rsidRDefault="000D2455" w:rsidP="000D2455">
      <w:pPr>
        <w:pBdr>
          <w:top w:val="nil"/>
          <w:left w:val="nil"/>
          <w:bottom w:val="nil"/>
          <w:right w:val="nil"/>
          <w:between w:val="nil"/>
          <w:bar w:val="nil"/>
        </w:pBdr>
        <w:spacing w:before="0" w:after="240"/>
        <w:rPr>
          <w:rFonts w:eastAsia="Arial Unicode MS"/>
          <w:noProof/>
          <w:lang w:val="en-IE"/>
        </w:rPr>
      </w:pPr>
      <w:r w:rsidRPr="29589FFF">
        <w:rPr>
          <w:rFonts w:eastAsia="Arial Unicode MS"/>
          <w:noProof/>
          <w:lang w:val="en-IE"/>
        </w:rPr>
        <w:t xml:space="preserve">Article 1 of the Commission proposal of the Council Implementing Decision constitutes the operative provision that indicates that the projects listed in the Annex are to be identified as </w:t>
      </w:r>
      <w:r w:rsidR="00A461D6">
        <w:rPr>
          <w:rFonts w:eastAsia="Arial Unicode MS"/>
          <w:noProof/>
          <w:lang w:val="en-IE"/>
        </w:rPr>
        <w:t xml:space="preserve">the first </w:t>
      </w:r>
      <w:r w:rsidRPr="29589FFF">
        <w:rPr>
          <w:rFonts w:eastAsia="Arial Unicode MS"/>
          <w:noProof/>
          <w:lang w:val="en-IE"/>
        </w:rPr>
        <w:t>European Defence Projects of Common Interest (EDPCIs), pursuant to Article 35 of Regulation (EU) 2025/2643.</w:t>
      </w:r>
    </w:p>
    <w:p w:rsidR="00F0184C" w:rsidRDefault="000D2455" w:rsidP="000D2455">
      <w:pPr>
        <w:pBdr>
          <w:top w:val="nil"/>
          <w:left w:val="nil"/>
          <w:bottom w:val="nil"/>
          <w:right w:val="nil"/>
          <w:between w:val="nil"/>
          <w:bar w:val="nil"/>
        </w:pBdr>
        <w:spacing w:before="0" w:after="240"/>
        <w:rPr>
          <w:rFonts w:eastAsia="Arial Unicode MS"/>
          <w:noProof/>
          <w:lang w:val="en-IE"/>
        </w:rPr>
      </w:pPr>
      <w:r w:rsidRPr="29589FFF">
        <w:rPr>
          <w:rFonts w:eastAsia="Arial Unicode MS"/>
          <w:noProof/>
          <w:lang w:val="en-IE"/>
        </w:rPr>
        <w:lastRenderedPageBreak/>
        <w:t xml:space="preserve">The Annex to the Decision lists the five projects </w:t>
      </w:r>
      <w:r w:rsidR="00FA7F83">
        <w:rPr>
          <w:rFonts w:eastAsia="Arial Unicode MS"/>
          <w:noProof/>
          <w:lang w:val="en-IE"/>
        </w:rPr>
        <w:t xml:space="preserve">to be </w:t>
      </w:r>
      <w:r w:rsidRPr="29589FFF">
        <w:rPr>
          <w:rFonts w:eastAsia="Arial Unicode MS"/>
          <w:noProof/>
          <w:lang w:val="en-IE"/>
        </w:rPr>
        <w:t xml:space="preserve">identified as EDPCIs and sets out, for each of them, the main objectives and characteristics, the participating countries, and the estimated overall financial size, as </w:t>
      </w:r>
      <w:r w:rsidR="00EC1EC9">
        <w:rPr>
          <w:rFonts w:eastAsia="Arial Unicode MS"/>
          <w:noProof/>
          <w:lang w:val="en-IE"/>
        </w:rPr>
        <w:t xml:space="preserve">requested </w:t>
      </w:r>
      <w:r w:rsidRPr="29589FFF">
        <w:rPr>
          <w:rFonts w:eastAsia="Arial Unicode MS"/>
          <w:noProof/>
          <w:lang w:val="en-IE"/>
        </w:rPr>
        <w:t xml:space="preserve">by Article 35(6) of Regulation (EU) 2025/2643. </w:t>
      </w:r>
    </w:p>
    <w:p w:rsidR="000D2455" w:rsidRDefault="00366380" w:rsidP="000D2455">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Furthermore</w:t>
      </w:r>
      <w:r w:rsidR="00F0184C">
        <w:rPr>
          <w:rFonts w:eastAsia="Arial Unicode MS"/>
          <w:noProof/>
          <w:lang w:val="en-IE"/>
        </w:rPr>
        <w:t xml:space="preserve">, </w:t>
      </w:r>
      <w:r w:rsidR="00FA7F83" w:rsidRPr="29589FFF">
        <w:rPr>
          <w:rFonts w:eastAsia="Arial Unicode MS"/>
          <w:noProof/>
          <w:lang w:val="en-IE"/>
        </w:rPr>
        <w:t>in</w:t>
      </w:r>
      <w:r w:rsidR="000D2455" w:rsidRPr="29589FFF">
        <w:rPr>
          <w:rFonts w:eastAsia="Arial Unicode MS"/>
          <w:noProof/>
          <w:lang w:val="en-IE"/>
        </w:rPr>
        <w:t xml:space="preserve"> line with Article 35(14), the Commission shall be able, where relevant, to participate in the project</w:t>
      </w:r>
      <w:r w:rsidR="00CB1047">
        <w:rPr>
          <w:rFonts w:eastAsia="Arial Unicode MS"/>
          <w:noProof/>
          <w:lang w:val="en-IE"/>
        </w:rPr>
        <w:t>s</w:t>
      </w:r>
      <w:r w:rsidR="000D2455" w:rsidRPr="29589FFF">
        <w:rPr>
          <w:rFonts w:eastAsia="Arial Unicode MS"/>
          <w:noProof/>
          <w:lang w:val="en-IE"/>
        </w:rPr>
        <w:t xml:space="preserve"> and participating Member States may decide to involve the High Representative and the EDA as observers to an EDPCI. Therefore, the </w:t>
      </w:r>
      <w:r w:rsidR="00DC0AF1">
        <w:rPr>
          <w:rFonts w:eastAsia="Arial Unicode MS"/>
          <w:noProof/>
          <w:lang w:val="en-IE"/>
        </w:rPr>
        <w:t xml:space="preserve">proposed </w:t>
      </w:r>
      <w:r w:rsidR="000D2455" w:rsidRPr="29589FFF">
        <w:rPr>
          <w:rFonts w:eastAsia="Arial Unicode MS"/>
          <w:noProof/>
          <w:lang w:val="en-IE"/>
        </w:rPr>
        <w:t xml:space="preserve">participation of the Commission and the involvement of the High Representative and the EDA as observers is also listed in the Annex, to enhance transparency and provide clarity as to the framework </w:t>
      </w:r>
      <w:r w:rsidR="008A319A">
        <w:rPr>
          <w:rFonts w:eastAsia="Arial Unicode MS"/>
          <w:noProof/>
          <w:lang w:val="en-IE"/>
        </w:rPr>
        <w:t>of</w:t>
      </w:r>
      <w:r w:rsidR="000D2455" w:rsidRPr="29589FFF">
        <w:rPr>
          <w:rFonts w:eastAsia="Arial Unicode MS"/>
          <w:noProof/>
          <w:lang w:val="en-IE"/>
        </w:rPr>
        <w:t xml:space="preserve"> each identified EDPCI.</w:t>
      </w:r>
    </w:p>
    <w:p w:rsidR="00B7126A" w:rsidRPr="00A45E8A" w:rsidRDefault="000D2455" w:rsidP="00A45E8A">
      <w:pPr>
        <w:pStyle w:val="ManualHeading2"/>
        <w:rPr>
          <w:rFonts w:eastAsia="Arial Unicode MS"/>
          <w:noProof/>
          <w:u w:color="000000"/>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sidRPr="00EF0D84">
        <w:rPr>
          <w:rFonts w:eastAsia="Arial Unicode MS"/>
          <w:noProof/>
          <w:bdr w:val="nil"/>
          <w:lang w:val="en-US" w:eastAsia="en-GB"/>
        </w:rPr>
        <w:t xml:space="preserve">Detailed explanation on the check of compliance of the EDPCI proposals with the criteria set out in </w:t>
      </w:r>
      <w:r w:rsidR="00B7126A">
        <w:rPr>
          <w:rFonts w:eastAsia="Arial Unicode MS"/>
          <w:noProof/>
          <w:bdr w:val="nil"/>
          <w:lang w:val="en-US" w:eastAsia="en-GB"/>
        </w:rPr>
        <w:t>A</w:t>
      </w:r>
      <w:r w:rsidRPr="00EF0D84">
        <w:rPr>
          <w:rFonts w:eastAsia="Arial Unicode MS"/>
          <w:noProof/>
          <w:bdr w:val="nil"/>
          <w:lang w:val="en-US" w:eastAsia="en-GB"/>
        </w:rPr>
        <w:t xml:space="preserve">rticle 35(2) of the </w:t>
      </w:r>
      <w:r w:rsidR="00EE3BDE" w:rsidRPr="001F054C">
        <w:rPr>
          <w:rFonts w:eastAsia="Arial Unicode MS"/>
          <w:noProof/>
          <w:lang w:val="en-IE"/>
        </w:rPr>
        <w:t>Regulation (EU) 2025/2643</w:t>
      </w:r>
    </w:p>
    <w:p w:rsidR="00D14B3D" w:rsidRDefault="00D14B3D" w:rsidP="005752F4">
      <w:pPr>
        <w:rPr>
          <w:noProof/>
        </w:rPr>
      </w:pPr>
      <w:r>
        <w:rPr>
          <w:noProof/>
        </w:rPr>
        <w:t xml:space="preserve">As a result of the verification process, in accordance with Article 35(3) of </w:t>
      </w:r>
      <w:r w:rsidRPr="00276096">
        <w:rPr>
          <w:noProof/>
        </w:rPr>
        <w:t>Regulation (EU) 2025/2643</w:t>
      </w:r>
      <w:r>
        <w:rPr>
          <w:noProof/>
        </w:rPr>
        <w:t xml:space="preserve">, the Commission proposes to identify, at this stage, five out of the nine submitted proposals as EDPCIs, namely: </w:t>
      </w:r>
      <w:r w:rsidRPr="00A60A7B">
        <w:rPr>
          <w:noProof/>
        </w:rPr>
        <w:t>DronE and Counter Drone European Resolve (DECODER)</w:t>
      </w:r>
      <w:r>
        <w:rPr>
          <w:noProof/>
        </w:rPr>
        <w:t xml:space="preserve">; </w:t>
      </w:r>
      <w:r w:rsidRPr="0087337E">
        <w:rPr>
          <w:noProof/>
        </w:rPr>
        <w:t>Integrated Maritime and Seabed Defence (IMSD)</w:t>
      </w:r>
      <w:r>
        <w:rPr>
          <w:noProof/>
        </w:rPr>
        <w:t>;</w:t>
      </w:r>
      <w:r w:rsidRPr="00FC45BC">
        <w:rPr>
          <w:noProof/>
        </w:rPr>
        <w:t xml:space="preserve"> SPACE</w:t>
      </w:r>
      <w:r>
        <w:rPr>
          <w:noProof/>
        </w:rPr>
        <w:t xml:space="preserve">; EU Federated Integrated Air and Missile Defence including Early Warning (EU-FIAMD), and </w:t>
      </w:r>
      <w:r w:rsidRPr="00656678">
        <w:rPr>
          <w:noProof/>
        </w:rPr>
        <w:t>Eastern Flank Watch (EFW)</w:t>
      </w:r>
      <w:r>
        <w:rPr>
          <w:noProof/>
        </w:rPr>
        <w:t>.</w:t>
      </w:r>
    </w:p>
    <w:p w:rsidR="00D14B3D" w:rsidRDefault="00D14B3D" w:rsidP="005752F4">
      <w:pPr>
        <w:rPr>
          <w:rFonts w:eastAsia="Calibri"/>
          <w:noProof/>
        </w:rPr>
      </w:pPr>
      <w:r>
        <w:rPr>
          <w:noProof/>
        </w:rPr>
        <w:t>The Commission assessed that, in regard of the clarity of their objectives and level of maturity, the five proposals fully meet the criteria set out in Art</w:t>
      </w:r>
      <w:r w:rsidR="008C6C31">
        <w:rPr>
          <w:noProof/>
        </w:rPr>
        <w:t>icle</w:t>
      </w:r>
      <w:r>
        <w:rPr>
          <w:noProof/>
        </w:rPr>
        <w:t xml:space="preserve"> 35(2) of </w:t>
      </w:r>
      <w:r w:rsidR="00EE3BDE" w:rsidRPr="001F054C">
        <w:rPr>
          <w:rFonts w:eastAsia="Arial Unicode MS"/>
          <w:noProof/>
          <w:lang w:val="en-IE"/>
        </w:rPr>
        <w:t>Regulation (EU) 2025/2643</w:t>
      </w:r>
      <w:r>
        <w:rPr>
          <w:noProof/>
        </w:rPr>
        <w:t xml:space="preserve">. In particular, they </w:t>
      </w:r>
      <w:r w:rsidR="003F3D12">
        <w:rPr>
          <w:noProof/>
        </w:rPr>
        <w:t xml:space="preserve">have </w:t>
      </w:r>
      <w:r>
        <w:rPr>
          <w:noProof/>
        </w:rPr>
        <w:t xml:space="preserve">the potential to significantly strengthen the competitiveness, efficiency and innovation capacity of the EDTIB, contribute to the development of Member States’ military capabilities, take into account cooperation in the framework of PESCO and EDA initiatives and projects and relevant activities carried out by NATO, while being inclusive, benefitting a wider part of the Union, being significant in size and scope. Their potential benefits </w:t>
      </w:r>
      <w:r w:rsidR="003F3D12">
        <w:rPr>
          <w:noProof/>
        </w:rPr>
        <w:t>are</w:t>
      </w:r>
      <w:r>
        <w:rPr>
          <w:noProof/>
        </w:rPr>
        <w:t xml:space="preserve"> considered to outweigh their cost.</w:t>
      </w:r>
      <w:r w:rsidRPr="001E5173">
        <w:rPr>
          <w:rFonts w:eastAsia="Calibri"/>
          <w:noProof/>
        </w:rPr>
        <w:t xml:space="preserve"> </w:t>
      </w:r>
    </w:p>
    <w:p w:rsidR="00D85F26" w:rsidRPr="008E77C0" w:rsidRDefault="00D85F26" w:rsidP="00D85F26">
      <w:pPr>
        <w:rPr>
          <w:rFonts w:eastAsia="Arial Unicode MS"/>
          <w:noProof/>
          <w:lang w:val="en-IE"/>
        </w:rPr>
      </w:pPr>
      <w:r>
        <w:rPr>
          <w:noProof/>
        </w:rPr>
        <w:t xml:space="preserve">The Commission considers that, where appropriate and in accordance with Regulation </w:t>
      </w:r>
      <w:r w:rsidRPr="001F054C">
        <w:rPr>
          <w:rFonts w:eastAsia="Arial Unicode MS"/>
          <w:noProof/>
          <w:lang w:val="en-IE"/>
        </w:rPr>
        <w:t>(EU) 2025/2643</w:t>
      </w:r>
      <w:r>
        <w:rPr>
          <w:rFonts w:eastAsia="Arial Unicode MS"/>
          <w:noProof/>
          <w:lang w:val="en-IE"/>
        </w:rPr>
        <w:t xml:space="preserve">, the </w:t>
      </w:r>
      <w:r w:rsidR="00763780">
        <w:rPr>
          <w:rFonts w:eastAsia="Arial Unicode MS"/>
          <w:noProof/>
          <w:lang w:val="en-IE"/>
        </w:rPr>
        <w:t xml:space="preserve">deployment </w:t>
      </w:r>
      <w:r>
        <w:rPr>
          <w:rFonts w:eastAsia="Arial Unicode MS"/>
          <w:noProof/>
          <w:lang w:val="en-IE"/>
        </w:rPr>
        <w:t>of identified EDPCIs should facilitate cooperation with Ukrain</w:t>
      </w:r>
      <w:r w:rsidR="00764328">
        <w:rPr>
          <w:rFonts w:eastAsia="Arial Unicode MS"/>
          <w:noProof/>
          <w:lang w:val="en-IE"/>
        </w:rPr>
        <w:t>e</w:t>
      </w:r>
      <w:r>
        <w:rPr>
          <w:rFonts w:eastAsia="Arial Unicode MS"/>
          <w:noProof/>
          <w:lang w:val="en-IE"/>
        </w:rPr>
        <w:t xml:space="preserve"> and make use of </w:t>
      </w:r>
      <w:r w:rsidR="00764328">
        <w:rPr>
          <w:rFonts w:eastAsia="Arial Unicode MS"/>
          <w:noProof/>
          <w:lang w:val="en-IE"/>
        </w:rPr>
        <w:t>relevant</w:t>
      </w:r>
      <w:r>
        <w:rPr>
          <w:rFonts w:eastAsia="Arial Unicode MS"/>
          <w:noProof/>
          <w:lang w:val="en-IE"/>
        </w:rPr>
        <w:t xml:space="preserve"> lessons</w:t>
      </w:r>
      <w:r w:rsidR="00764328">
        <w:rPr>
          <w:rFonts w:eastAsia="Arial Unicode MS"/>
          <w:noProof/>
          <w:lang w:val="en-IE"/>
        </w:rPr>
        <w:t xml:space="preserve"> learned</w:t>
      </w:r>
      <w:r>
        <w:rPr>
          <w:rFonts w:eastAsia="Arial Unicode MS"/>
          <w:noProof/>
          <w:lang w:val="en-IE"/>
        </w:rPr>
        <w:t>.</w:t>
      </w:r>
    </w:p>
    <w:p w:rsidR="00F06BC8" w:rsidRDefault="00F06BC8" w:rsidP="005752F4">
      <w:pPr>
        <w:rPr>
          <w:b/>
          <w:bCs/>
          <w:noProof/>
          <w:u w:val="single"/>
        </w:rPr>
      </w:pPr>
      <w:r w:rsidRPr="00AD673C">
        <w:rPr>
          <w:b/>
          <w:bCs/>
          <w:noProof/>
          <w:u w:val="single"/>
        </w:rPr>
        <w:t>DronE and Counter Drone European Resolve (DECODER)</w:t>
      </w:r>
    </w:p>
    <w:p w:rsidR="00E6537A" w:rsidRDefault="0012250C" w:rsidP="005752F4">
      <w:pPr>
        <w:rPr>
          <w:noProof/>
        </w:rPr>
      </w:pPr>
      <w:r>
        <w:rPr>
          <w:noProof/>
        </w:rPr>
        <w:t>T</w:t>
      </w:r>
      <w:r w:rsidR="00E01D11" w:rsidRPr="00E01D11">
        <w:rPr>
          <w:noProof/>
        </w:rPr>
        <w:t xml:space="preserve">he proposal </w:t>
      </w:r>
      <w:r>
        <w:rPr>
          <w:noProof/>
        </w:rPr>
        <w:t xml:space="preserve">addresses </w:t>
      </w:r>
      <w:r w:rsidRPr="006A40E2">
        <w:rPr>
          <w:noProof/>
        </w:rPr>
        <w:t xml:space="preserve">the strengthening of </w:t>
      </w:r>
      <w:r w:rsidR="00CD5BF4">
        <w:rPr>
          <w:noProof/>
        </w:rPr>
        <w:t xml:space="preserve">the </w:t>
      </w:r>
      <w:r w:rsidRPr="006A40E2">
        <w:rPr>
          <w:noProof/>
        </w:rPr>
        <w:t xml:space="preserve">competitiveness and innovation capacity of the EDTIB </w:t>
      </w:r>
      <w:r w:rsidR="00E01D11" w:rsidRPr="00E01D11">
        <w:rPr>
          <w:noProof/>
        </w:rPr>
        <w:t>within a long-term perspective</w:t>
      </w:r>
      <w:r w:rsidR="00AA05F5">
        <w:rPr>
          <w:noProof/>
        </w:rPr>
        <w:t xml:space="preserve">, supports market integration, reduction of strategic dependencies and </w:t>
      </w:r>
      <w:r w:rsidR="00B97FF6">
        <w:rPr>
          <w:noProof/>
        </w:rPr>
        <w:t xml:space="preserve">improving interoperability. </w:t>
      </w:r>
      <w:r w:rsidR="00CD5BF4">
        <w:rPr>
          <w:noProof/>
        </w:rPr>
        <w:t>It</w:t>
      </w:r>
      <w:r w:rsidR="007B19B9">
        <w:rPr>
          <w:noProof/>
        </w:rPr>
        <w:t xml:space="preserve"> demonstrates the</w:t>
      </w:r>
      <w:r w:rsidR="007B19B9" w:rsidRPr="007B19B9">
        <w:rPr>
          <w:noProof/>
        </w:rPr>
        <w:t xml:space="preserve"> </w:t>
      </w:r>
      <w:r w:rsidR="007B19B9">
        <w:rPr>
          <w:noProof/>
        </w:rPr>
        <w:t xml:space="preserve">important </w:t>
      </w:r>
      <w:r w:rsidR="007B19B9" w:rsidRPr="007B19B9">
        <w:rPr>
          <w:noProof/>
        </w:rPr>
        <w:t xml:space="preserve">contribution of the </w:t>
      </w:r>
      <w:r w:rsidR="00CD5BF4">
        <w:rPr>
          <w:noProof/>
        </w:rPr>
        <w:t>project</w:t>
      </w:r>
      <w:r w:rsidR="007B19B9" w:rsidRPr="007B19B9">
        <w:rPr>
          <w:noProof/>
        </w:rPr>
        <w:t xml:space="preserve"> to critical military capabilities for the security and defence interests of the Union</w:t>
      </w:r>
      <w:r w:rsidR="00686A42">
        <w:rPr>
          <w:noProof/>
        </w:rPr>
        <w:t>, as well as addressing civil-military cooperation and dual use technologies</w:t>
      </w:r>
      <w:r w:rsidR="007B19B9">
        <w:rPr>
          <w:noProof/>
        </w:rPr>
        <w:t>.</w:t>
      </w:r>
      <w:r w:rsidR="00640ACF">
        <w:rPr>
          <w:noProof/>
        </w:rPr>
        <w:t xml:space="preserve"> It t</w:t>
      </w:r>
      <w:r w:rsidR="00640ACF" w:rsidRPr="006A40E2">
        <w:rPr>
          <w:noProof/>
        </w:rPr>
        <w:t>akes into account PESCO and EDA initiatives as well as relevant NATO activities.</w:t>
      </w:r>
      <w:r w:rsidR="00984986">
        <w:rPr>
          <w:noProof/>
        </w:rPr>
        <w:t xml:space="preserve"> </w:t>
      </w:r>
    </w:p>
    <w:p w:rsidR="00911243" w:rsidRPr="006A40E2" w:rsidRDefault="00984986" w:rsidP="005752F4">
      <w:pPr>
        <w:rPr>
          <w:noProof/>
        </w:rPr>
      </w:pPr>
      <w:r w:rsidRPr="00984986">
        <w:rPr>
          <w:noProof/>
        </w:rPr>
        <w:t xml:space="preserve">The proposal provides a strong, well-substantiated case </w:t>
      </w:r>
      <w:r w:rsidR="00BD132E">
        <w:rPr>
          <w:noProof/>
        </w:rPr>
        <w:t xml:space="preserve">for </w:t>
      </w:r>
      <w:r>
        <w:rPr>
          <w:noProof/>
        </w:rPr>
        <w:t xml:space="preserve">benefiting a wider part of the Union </w:t>
      </w:r>
      <w:r w:rsidR="00BD132E">
        <w:rPr>
          <w:noProof/>
        </w:rPr>
        <w:t xml:space="preserve">and </w:t>
      </w:r>
      <w:r w:rsidR="00817BB9">
        <w:rPr>
          <w:noProof/>
        </w:rPr>
        <w:t>involv</w:t>
      </w:r>
      <w:r w:rsidR="00BD132E">
        <w:rPr>
          <w:noProof/>
        </w:rPr>
        <w:t>es</w:t>
      </w:r>
      <w:r w:rsidR="00817BB9">
        <w:rPr>
          <w:noProof/>
        </w:rPr>
        <w:t xml:space="preserve"> </w:t>
      </w:r>
      <w:r w:rsidR="005460CA">
        <w:rPr>
          <w:noProof/>
        </w:rPr>
        <w:t xml:space="preserve">26 Member States, </w:t>
      </w:r>
      <w:r w:rsidR="00DE6C39">
        <w:rPr>
          <w:noProof/>
        </w:rPr>
        <w:t xml:space="preserve">as well as additional countries. </w:t>
      </w:r>
      <w:r w:rsidR="00013577">
        <w:rPr>
          <w:noProof/>
        </w:rPr>
        <w:t>T</w:t>
      </w:r>
      <w:r w:rsidR="00013577" w:rsidRPr="00013577">
        <w:rPr>
          <w:noProof/>
        </w:rPr>
        <w:t xml:space="preserve">he proposal provides evidence of </w:t>
      </w:r>
      <w:r w:rsidR="00013577">
        <w:rPr>
          <w:noProof/>
        </w:rPr>
        <w:t>significant</w:t>
      </w:r>
      <w:r w:rsidR="00013577" w:rsidRPr="00013577">
        <w:rPr>
          <w:noProof/>
        </w:rPr>
        <w:t xml:space="preserve"> </w:t>
      </w:r>
      <w:r w:rsidR="00911243">
        <w:rPr>
          <w:noProof/>
        </w:rPr>
        <w:t xml:space="preserve">scope </w:t>
      </w:r>
      <w:r w:rsidR="00911243" w:rsidRPr="00911243">
        <w:rPr>
          <w:noProof/>
        </w:rPr>
        <w:t xml:space="preserve">that addresses both technical complexity and a diversity of operational and industrial activities, </w:t>
      </w:r>
      <w:r w:rsidR="00055468">
        <w:rPr>
          <w:noProof/>
        </w:rPr>
        <w:t xml:space="preserve">as well as </w:t>
      </w:r>
      <w:r w:rsidR="00911243" w:rsidRPr="00911243">
        <w:rPr>
          <w:noProof/>
        </w:rPr>
        <w:t>lon</w:t>
      </w:r>
      <w:r w:rsidR="00013577" w:rsidRPr="00013577">
        <w:rPr>
          <w:noProof/>
        </w:rPr>
        <w:t>g-term strategic ambition</w:t>
      </w:r>
      <w:r w:rsidR="00911243">
        <w:rPr>
          <w:noProof/>
        </w:rPr>
        <w:t xml:space="preserve"> and </w:t>
      </w:r>
      <w:r w:rsidR="00911243" w:rsidRPr="006A40E2">
        <w:rPr>
          <w:noProof/>
        </w:rPr>
        <w:t xml:space="preserve">substantial estimated overall financial size. </w:t>
      </w:r>
    </w:p>
    <w:p w:rsidR="00BE3BE6" w:rsidRDefault="00BE3BE6" w:rsidP="005752F4">
      <w:pPr>
        <w:rPr>
          <w:b/>
          <w:bCs/>
          <w:noProof/>
          <w:u w:val="single"/>
        </w:rPr>
      </w:pPr>
      <w:r w:rsidRPr="00AD673C">
        <w:rPr>
          <w:b/>
          <w:bCs/>
          <w:noProof/>
          <w:u w:val="single"/>
        </w:rPr>
        <w:t>Integrated Maritime and Seabed Defence (IMSD)</w:t>
      </w:r>
    </w:p>
    <w:p w:rsidR="00E6537A" w:rsidRDefault="00F31F83" w:rsidP="005752F4">
      <w:pPr>
        <w:rPr>
          <w:noProof/>
        </w:rPr>
      </w:pPr>
      <w:r>
        <w:rPr>
          <w:noProof/>
        </w:rPr>
        <w:t>T</w:t>
      </w:r>
      <w:r w:rsidRPr="00E01D11">
        <w:rPr>
          <w:noProof/>
        </w:rPr>
        <w:t xml:space="preserve">he proposal </w:t>
      </w:r>
      <w:r>
        <w:rPr>
          <w:noProof/>
        </w:rPr>
        <w:t xml:space="preserve">addresses </w:t>
      </w:r>
      <w:r w:rsidRPr="006A40E2">
        <w:rPr>
          <w:noProof/>
        </w:rPr>
        <w:t xml:space="preserve">the strengthening of </w:t>
      </w:r>
      <w:r w:rsidR="00055468">
        <w:rPr>
          <w:noProof/>
        </w:rPr>
        <w:t xml:space="preserve">the </w:t>
      </w:r>
      <w:r w:rsidRPr="006A40E2">
        <w:rPr>
          <w:noProof/>
        </w:rPr>
        <w:t xml:space="preserve">competitiveness and innovation capacity of the </w:t>
      </w:r>
      <w:r w:rsidR="00E6537A" w:rsidRPr="006A40E2">
        <w:rPr>
          <w:noProof/>
        </w:rPr>
        <w:t>EDTIB</w:t>
      </w:r>
      <w:r w:rsidR="00E6537A">
        <w:rPr>
          <w:noProof/>
        </w:rPr>
        <w:t xml:space="preserve"> and</w:t>
      </w:r>
      <w:r w:rsidR="00055468">
        <w:rPr>
          <w:noProof/>
        </w:rPr>
        <w:t xml:space="preserve"> is expected to help</w:t>
      </w:r>
      <w:r w:rsidR="0070779D">
        <w:rPr>
          <w:noProof/>
        </w:rPr>
        <w:t xml:space="preserve"> extend</w:t>
      </w:r>
      <w:r w:rsidR="0070779D" w:rsidRPr="0070779D">
        <w:rPr>
          <w:noProof/>
        </w:rPr>
        <w:t xml:space="preserve"> cross-border cooperation</w:t>
      </w:r>
      <w:r w:rsidR="0070779D">
        <w:rPr>
          <w:noProof/>
        </w:rPr>
        <w:t xml:space="preserve">, </w:t>
      </w:r>
      <w:r w:rsidR="00BD16F9" w:rsidRPr="001A4149">
        <w:rPr>
          <w:noProof/>
        </w:rPr>
        <w:t>reduc</w:t>
      </w:r>
      <w:r w:rsidR="00BD16F9">
        <w:rPr>
          <w:noProof/>
        </w:rPr>
        <w:t>e</w:t>
      </w:r>
      <w:r w:rsidR="00BD16F9" w:rsidRPr="001A4149">
        <w:rPr>
          <w:noProof/>
        </w:rPr>
        <w:t xml:space="preserve"> fragmentation within the</w:t>
      </w:r>
      <w:r w:rsidR="00205CD1">
        <w:rPr>
          <w:noProof/>
        </w:rPr>
        <w:t xml:space="preserve"> strongly fragmented </w:t>
      </w:r>
      <w:r w:rsidR="00BD16F9" w:rsidRPr="001A4149">
        <w:rPr>
          <w:noProof/>
        </w:rPr>
        <w:t xml:space="preserve">European </w:t>
      </w:r>
      <w:r w:rsidR="00BD16F9">
        <w:rPr>
          <w:noProof/>
        </w:rPr>
        <w:t>m</w:t>
      </w:r>
      <w:r w:rsidR="00BD16F9" w:rsidRPr="001A4149">
        <w:rPr>
          <w:noProof/>
        </w:rPr>
        <w:t xml:space="preserve">aritime </w:t>
      </w:r>
      <w:r w:rsidR="00BD16F9">
        <w:rPr>
          <w:noProof/>
        </w:rPr>
        <w:t>d</w:t>
      </w:r>
      <w:r w:rsidR="00BD16F9" w:rsidRPr="001A4149">
        <w:rPr>
          <w:noProof/>
        </w:rPr>
        <w:t>efence market</w:t>
      </w:r>
      <w:r w:rsidR="00205CD1">
        <w:rPr>
          <w:noProof/>
        </w:rPr>
        <w:t xml:space="preserve"> and </w:t>
      </w:r>
      <w:r w:rsidR="00205CD1" w:rsidRPr="001A4149">
        <w:rPr>
          <w:noProof/>
        </w:rPr>
        <w:t>generate positive spill-over effects for the civilian secto</w:t>
      </w:r>
      <w:r w:rsidR="00205CD1">
        <w:rPr>
          <w:noProof/>
        </w:rPr>
        <w:t>r.</w:t>
      </w:r>
      <w:r w:rsidR="00686A42">
        <w:rPr>
          <w:noProof/>
        </w:rPr>
        <w:t xml:space="preserve"> </w:t>
      </w:r>
      <w:r w:rsidR="00686A42">
        <w:rPr>
          <w:noProof/>
          <w:lang w:val="en-IE"/>
        </w:rPr>
        <w:t xml:space="preserve">The project </w:t>
      </w:r>
      <w:r w:rsidR="00686A42" w:rsidRPr="3A69B232">
        <w:rPr>
          <w:noProof/>
          <w:lang w:val="en-IE"/>
        </w:rPr>
        <w:t>wi</w:t>
      </w:r>
      <w:r w:rsidR="00686A42">
        <w:rPr>
          <w:noProof/>
          <w:lang w:val="en-IE"/>
        </w:rPr>
        <w:t xml:space="preserve">ll </w:t>
      </w:r>
      <w:r w:rsidR="00686A42" w:rsidRPr="22D688DF">
        <w:rPr>
          <w:noProof/>
          <w:lang w:val="en-IE"/>
        </w:rPr>
        <w:t xml:space="preserve">also </w:t>
      </w:r>
      <w:r w:rsidR="00686A42">
        <w:rPr>
          <w:noProof/>
          <w:lang w:val="en-IE"/>
        </w:rPr>
        <w:t>cover cooperation with</w:t>
      </w:r>
      <w:r w:rsidR="00686A42" w:rsidRPr="22D688DF">
        <w:rPr>
          <w:noProof/>
          <w:lang w:val="en-IE"/>
        </w:rPr>
        <w:t xml:space="preserve"> </w:t>
      </w:r>
      <w:r w:rsidR="00686A42" w:rsidRPr="78CD2EB8">
        <w:rPr>
          <w:noProof/>
          <w:lang w:val="en-IE"/>
        </w:rPr>
        <w:t>civil</w:t>
      </w:r>
      <w:r w:rsidR="00686A42" w:rsidRPr="22D688DF">
        <w:rPr>
          <w:noProof/>
          <w:lang w:val="en-IE"/>
        </w:rPr>
        <w:t xml:space="preserve"> </w:t>
      </w:r>
      <w:r w:rsidR="00686A42">
        <w:rPr>
          <w:noProof/>
          <w:lang w:val="en-IE"/>
        </w:rPr>
        <w:t xml:space="preserve">authorities, </w:t>
      </w:r>
      <w:r w:rsidR="00686A42" w:rsidRPr="3A69B232">
        <w:rPr>
          <w:noProof/>
          <w:lang w:val="en-IE"/>
        </w:rPr>
        <w:t>deliver</w:t>
      </w:r>
      <w:r w:rsidR="00686A42">
        <w:rPr>
          <w:noProof/>
          <w:lang w:val="en-IE"/>
        </w:rPr>
        <w:t xml:space="preserve">ing on the flagship action of the European Ocean Pact on Maritime Domain </w:t>
      </w:r>
      <w:r w:rsidR="00686A42">
        <w:rPr>
          <w:noProof/>
          <w:lang w:val="en-IE"/>
        </w:rPr>
        <w:lastRenderedPageBreak/>
        <w:t>Awareness.</w:t>
      </w:r>
      <w:r w:rsidR="00205CD1">
        <w:rPr>
          <w:noProof/>
        </w:rPr>
        <w:t xml:space="preserve"> </w:t>
      </w:r>
      <w:r w:rsidR="00164FC5">
        <w:rPr>
          <w:noProof/>
        </w:rPr>
        <w:t>It c</w:t>
      </w:r>
      <w:r w:rsidR="00164FC5" w:rsidRPr="001A4149">
        <w:rPr>
          <w:noProof/>
        </w:rPr>
        <w:t>ontribute</w:t>
      </w:r>
      <w:r w:rsidR="00164FC5">
        <w:rPr>
          <w:noProof/>
        </w:rPr>
        <w:t>s</w:t>
      </w:r>
      <w:r w:rsidR="00164FC5" w:rsidRPr="001A4149">
        <w:rPr>
          <w:noProof/>
        </w:rPr>
        <w:t xml:space="preserve"> to addressing capabilities critical for the security and defence interests of the Union by supporting </w:t>
      </w:r>
      <w:r w:rsidR="00C24BC9">
        <w:rPr>
          <w:noProof/>
        </w:rPr>
        <w:t>m</w:t>
      </w:r>
      <w:r w:rsidR="00164FC5" w:rsidRPr="001A4149">
        <w:rPr>
          <w:noProof/>
        </w:rPr>
        <w:t xml:space="preserve">aritime </w:t>
      </w:r>
      <w:r w:rsidR="00C24BC9">
        <w:rPr>
          <w:noProof/>
        </w:rPr>
        <w:t>d</w:t>
      </w:r>
      <w:r w:rsidR="00164FC5" w:rsidRPr="001A4149">
        <w:rPr>
          <w:noProof/>
        </w:rPr>
        <w:t xml:space="preserve">omain </w:t>
      </w:r>
      <w:r w:rsidR="00C24BC9">
        <w:rPr>
          <w:noProof/>
        </w:rPr>
        <w:t>a</w:t>
      </w:r>
      <w:r w:rsidR="00164FC5" w:rsidRPr="001A4149">
        <w:rPr>
          <w:noProof/>
        </w:rPr>
        <w:t xml:space="preserve">wareness, protection of critical underwater infrastructure, interoperable naval architectures and </w:t>
      </w:r>
      <w:r w:rsidR="00C24BC9">
        <w:rPr>
          <w:noProof/>
        </w:rPr>
        <w:t>u</w:t>
      </w:r>
      <w:r w:rsidR="00164FC5" w:rsidRPr="001A4149">
        <w:rPr>
          <w:noProof/>
        </w:rPr>
        <w:t xml:space="preserve">nderwater &amp; </w:t>
      </w:r>
      <w:r w:rsidR="00C24BC9">
        <w:rPr>
          <w:noProof/>
        </w:rPr>
        <w:t>s</w:t>
      </w:r>
      <w:r w:rsidR="00164FC5" w:rsidRPr="001A4149">
        <w:rPr>
          <w:noProof/>
        </w:rPr>
        <w:t xml:space="preserve">eabed </w:t>
      </w:r>
      <w:r w:rsidR="00C24BC9">
        <w:rPr>
          <w:noProof/>
        </w:rPr>
        <w:t>w</w:t>
      </w:r>
      <w:r w:rsidR="00164FC5" w:rsidRPr="001A4149">
        <w:rPr>
          <w:noProof/>
        </w:rPr>
        <w:t>arfare capabilities.</w:t>
      </w:r>
      <w:r w:rsidR="00014D61">
        <w:rPr>
          <w:noProof/>
        </w:rPr>
        <w:t xml:space="preserve"> </w:t>
      </w:r>
    </w:p>
    <w:p w:rsidR="00164FC5" w:rsidRDefault="00E6537A" w:rsidP="005752F4">
      <w:pPr>
        <w:rPr>
          <w:noProof/>
        </w:rPr>
      </w:pPr>
      <w:r>
        <w:rPr>
          <w:noProof/>
        </w:rPr>
        <w:t>The project</w:t>
      </w:r>
      <w:r w:rsidR="00014D61">
        <w:rPr>
          <w:noProof/>
        </w:rPr>
        <w:t xml:space="preserve"> build</w:t>
      </w:r>
      <w:r w:rsidR="00CF6D65">
        <w:rPr>
          <w:noProof/>
        </w:rPr>
        <w:t>s</w:t>
      </w:r>
      <w:r w:rsidR="00014D61">
        <w:rPr>
          <w:noProof/>
        </w:rPr>
        <w:t xml:space="preserve"> upon several ongoing PESCO and EDA initiatives and takes into account relevant NATO activities.</w:t>
      </w:r>
      <w:r w:rsidR="00CF6D65">
        <w:rPr>
          <w:noProof/>
        </w:rPr>
        <w:t xml:space="preserve"> </w:t>
      </w:r>
      <w:r>
        <w:rPr>
          <w:noProof/>
        </w:rPr>
        <w:t>It</w:t>
      </w:r>
      <w:r w:rsidR="00CF6D65" w:rsidRPr="006A40E2">
        <w:rPr>
          <w:noProof/>
        </w:rPr>
        <w:t xml:space="preserve"> demonstrates the involvement of a high number of countries (1</w:t>
      </w:r>
      <w:r w:rsidR="0061137A">
        <w:rPr>
          <w:noProof/>
        </w:rPr>
        <w:t>7</w:t>
      </w:r>
      <w:r w:rsidR="00CF6D65" w:rsidRPr="006A40E2">
        <w:rPr>
          <w:noProof/>
        </w:rPr>
        <w:t>)</w:t>
      </w:r>
      <w:r w:rsidR="00011A65">
        <w:rPr>
          <w:noProof/>
        </w:rPr>
        <w:t xml:space="preserve"> and its benefits extend to </w:t>
      </w:r>
      <w:r w:rsidR="00DD5C07">
        <w:rPr>
          <w:noProof/>
        </w:rPr>
        <w:t>a wider part of the EU</w:t>
      </w:r>
      <w:r w:rsidR="00011A65">
        <w:rPr>
          <w:noProof/>
        </w:rPr>
        <w:t>.</w:t>
      </w:r>
      <w:r w:rsidR="00581702">
        <w:rPr>
          <w:noProof/>
        </w:rPr>
        <w:t xml:space="preserve"> </w:t>
      </w:r>
      <w:r w:rsidR="00581702" w:rsidRPr="006A40E2">
        <w:rPr>
          <w:noProof/>
        </w:rPr>
        <w:t xml:space="preserve">The project is significant in scope </w:t>
      </w:r>
      <w:r w:rsidR="00DD5C07">
        <w:rPr>
          <w:noProof/>
        </w:rPr>
        <w:t xml:space="preserve">and has </w:t>
      </w:r>
      <w:r w:rsidR="00581702" w:rsidRPr="006A40E2">
        <w:rPr>
          <w:noProof/>
        </w:rPr>
        <w:t>a substantial estimated overall financial size.</w:t>
      </w:r>
    </w:p>
    <w:p w:rsidR="00442C07" w:rsidRDefault="00442C07" w:rsidP="005752F4">
      <w:pPr>
        <w:rPr>
          <w:b/>
          <w:bCs/>
          <w:noProof/>
          <w:u w:val="single"/>
        </w:rPr>
      </w:pPr>
      <w:r w:rsidRPr="00AD673C">
        <w:rPr>
          <w:b/>
          <w:bCs/>
          <w:noProof/>
          <w:u w:val="single"/>
        </w:rPr>
        <w:t>SPACE</w:t>
      </w:r>
    </w:p>
    <w:p w:rsidR="00E6537A" w:rsidRDefault="00E97B60" w:rsidP="005752F4">
      <w:pPr>
        <w:rPr>
          <w:noProof/>
        </w:rPr>
      </w:pPr>
      <w:r w:rsidRPr="006A40E2">
        <w:rPr>
          <w:noProof/>
        </w:rPr>
        <w:t xml:space="preserve">The proposal addresses the strengthening of </w:t>
      </w:r>
      <w:r w:rsidR="00D83BF4">
        <w:rPr>
          <w:noProof/>
        </w:rPr>
        <w:t xml:space="preserve">the </w:t>
      </w:r>
      <w:r w:rsidRPr="006A40E2">
        <w:rPr>
          <w:noProof/>
        </w:rPr>
        <w:t>competitiveness and innovation capacity of the EDTIB</w:t>
      </w:r>
      <w:r w:rsidR="00815513">
        <w:rPr>
          <w:noProof/>
        </w:rPr>
        <w:t>, supports the t</w:t>
      </w:r>
      <w:r w:rsidR="0048521E" w:rsidRPr="001A4149">
        <w:rPr>
          <w:noProof/>
        </w:rPr>
        <w:t>ransformation of mature R&amp;D into sovereign operational capabilities that no single Member State can develop alone</w:t>
      </w:r>
      <w:r w:rsidR="00337C28">
        <w:rPr>
          <w:noProof/>
        </w:rPr>
        <w:t xml:space="preserve">, broadens cross-border partnerships, </w:t>
      </w:r>
      <w:r w:rsidR="00E56772">
        <w:rPr>
          <w:noProof/>
        </w:rPr>
        <w:t xml:space="preserve">creates new market opportunities </w:t>
      </w:r>
      <w:r w:rsidR="00783059">
        <w:rPr>
          <w:noProof/>
        </w:rPr>
        <w:t xml:space="preserve">and </w:t>
      </w:r>
      <w:r w:rsidR="00783059" w:rsidRPr="001A4149">
        <w:rPr>
          <w:noProof/>
        </w:rPr>
        <w:t xml:space="preserve">addresses </w:t>
      </w:r>
      <w:r w:rsidR="00783059">
        <w:rPr>
          <w:noProof/>
        </w:rPr>
        <w:t xml:space="preserve">the reduction of </w:t>
      </w:r>
      <w:r w:rsidR="00783059" w:rsidRPr="001A4149">
        <w:rPr>
          <w:noProof/>
        </w:rPr>
        <w:t>structural dependence</w:t>
      </w:r>
      <w:r w:rsidR="00F342CA">
        <w:rPr>
          <w:noProof/>
        </w:rPr>
        <w:t xml:space="preserve"> in the field of space</w:t>
      </w:r>
      <w:r w:rsidR="0048521E" w:rsidRPr="001A4149">
        <w:rPr>
          <w:noProof/>
        </w:rPr>
        <w:t>.</w:t>
      </w:r>
      <w:r w:rsidR="00CD3E10">
        <w:rPr>
          <w:noProof/>
        </w:rPr>
        <w:t xml:space="preserve"> The project is highly relevant from a </w:t>
      </w:r>
      <w:r w:rsidR="00680376">
        <w:rPr>
          <w:noProof/>
        </w:rPr>
        <w:t>military and operation</w:t>
      </w:r>
      <w:r w:rsidR="00D83BF4">
        <w:rPr>
          <w:noProof/>
        </w:rPr>
        <w:t>al</w:t>
      </w:r>
      <w:r w:rsidR="00680376">
        <w:rPr>
          <w:noProof/>
        </w:rPr>
        <w:t xml:space="preserve"> perspective and constitutes a direct and structural contribution to the EU Space Shield. </w:t>
      </w:r>
    </w:p>
    <w:p w:rsidR="0048521E" w:rsidRPr="001A4149" w:rsidRDefault="00E6537A" w:rsidP="005752F4">
      <w:pPr>
        <w:rPr>
          <w:noProof/>
        </w:rPr>
      </w:pPr>
      <w:r>
        <w:rPr>
          <w:noProof/>
        </w:rPr>
        <w:t>The project</w:t>
      </w:r>
      <w:r w:rsidR="00C937EF">
        <w:rPr>
          <w:noProof/>
        </w:rPr>
        <w:t xml:space="preserve"> takes into account relevant PESCO projects </w:t>
      </w:r>
      <w:r w:rsidR="00206BE2">
        <w:rPr>
          <w:noProof/>
        </w:rPr>
        <w:t xml:space="preserve">and aims to </w:t>
      </w:r>
      <w:r w:rsidR="00206BE2" w:rsidRPr="001A4149">
        <w:rPr>
          <w:noProof/>
        </w:rPr>
        <w:t>reinforce M</w:t>
      </w:r>
      <w:r w:rsidR="00206BE2">
        <w:rPr>
          <w:noProof/>
        </w:rPr>
        <w:t>ember States</w:t>
      </w:r>
      <w:r w:rsidR="00BC5104">
        <w:rPr>
          <w:noProof/>
        </w:rPr>
        <w:t>’</w:t>
      </w:r>
      <w:r w:rsidR="00206BE2">
        <w:rPr>
          <w:noProof/>
        </w:rPr>
        <w:t xml:space="preserve"> </w:t>
      </w:r>
      <w:r w:rsidR="00206BE2" w:rsidRPr="001A4149">
        <w:rPr>
          <w:noProof/>
        </w:rPr>
        <w:t xml:space="preserve">capabilities and interoperability in consistency with NATO </w:t>
      </w:r>
      <w:r w:rsidR="00BC5104">
        <w:rPr>
          <w:noProof/>
        </w:rPr>
        <w:t>activities</w:t>
      </w:r>
      <w:r w:rsidR="00206BE2">
        <w:rPr>
          <w:noProof/>
        </w:rPr>
        <w:t>.</w:t>
      </w:r>
      <w:r w:rsidR="00F36E53">
        <w:rPr>
          <w:noProof/>
        </w:rPr>
        <w:t xml:space="preserve"> </w:t>
      </w:r>
      <w:r>
        <w:rPr>
          <w:noProof/>
        </w:rPr>
        <w:t>It</w:t>
      </w:r>
      <w:r w:rsidR="00F36E53" w:rsidRPr="006A40E2">
        <w:rPr>
          <w:noProof/>
        </w:rPr>
        <w:t xml:space="preserve"> demonstrates the involvement of a high number of countries (16).</w:t>
      </w:r>
      <w:r w:rsidR="00F251D3">
        <w:rPr>
          <w:noProof/>
        </w:rPr>
        <w:t xml:space="preserve"> </w:t>
      </w:r>
      <w:r w:rsidR="00BC5104">
        <w:rPr>
          <w:noProof/>
        </w:rPr>
        <w:t>It</w:t>
      </w:r>
      <w:r w:rsidR="00862463" w:rsidRPr="006A40E2">
        <w:rPr>
          <w:noProof/>
        </w:rPr>
        <w:t xml:space="preserve"> is significant in scope</w:t>
      </w:r>
      <w:r w:rsidR="00D134F6">
        <w:rPr>
          <w:noProof/>
        </w:rPr>
        <w:t xml:space="preserve">, has </w:t>
      </w:r>
      <w:r w:rsidR="00862463" w:rsidRPr="006A40E2">
        <w:rPr>
          <w:noProof/>
        </w:rPr>
        <w:t>a substantial estimated overall financial size</w:t>
      </w:r>
      <w:r w:rsidR="00862463">
        <w:rPr>
          <w:noProof/>
        </w:rPr>
        <w:t xml:space="preserve"> and i</w:t>
      </w:r>
      <w:r w:rsidR="001F4EAE">
        <w:rPr>
          <w:noProof/>
        </w:rPr>
        <w:t xml:space="preserve">ts benefits extend to a wide part of Europe </w:t>
      </w:r>
      <w:r w:rsidR="00F251D3" w:rsidRPr="001A4149">
        <w:rPr>
          <w:noProof/>
        </w:rPr>
        <w:t>through the inherent Union-wide coverage of space-based capabilities</w:t>
      </w:r>
      <w:r w:rsidR="00862463">
        <w:rPr>
          <w:noProof/>
        </w:rPr>
        <w:t xml:space="preserve">. </w:t>
      </w:r>
    </w:p>
    <w:p w:rsidR="0061137A" w:rsidRDefault="008A181D" w:rsidP="005752F4">
      <w:pPr>
        <w:rPr>
          <w:b/>
          <w:bCs/>
          <w:noProof/>
          <w:u w:val="single"/>
        </w:rPr>
      </w:pPr>
      <w:r w:rsidRPr="00AD673C">
        <w:rPr>
          <w:b/>
          <w:bCs/>
          <w:noProof/>
          <w:u w:val="single"/>
        </w:rPr>
        <w:t>EU Federated Integrated Air and Missile Defence including Early Warning</w:t>
      </w:r>
    </w:p>
    <w:p w:rsidR="008A181D" w:rsidRDefault="008A181D" w:rsidP="005752F4">
      <w:pPr>
        <w:rPr>
          <w:b/>
          <w:bCs/>
          <w:noProof/>
          <w:u w:val="single"/>
        </w:rPr>
      </w:pPr>
      <w:r w:rsidRPr="00AD673C">
        <w:rPr>
          <w:b/>
          <w:bCs/>
          <w:noProof/>
          <w:u w:val="single"/>
        </w:rPr>
        <w:t>(EU-FIAMD)</w:t>
      </w:r>
    </w:p>
    <w:p w:rsidR="007D1E54" w:rsidRDefault="006A40E2" w:rsidP="005752F4">
      <w:pPr>
        <w:rPr>
          <w:noProof/>
        </w:rPr>
      </w:pPr>
      <w:r w:rsidRPr="006A40E2">
        <w:rPr>
          <w:noProof/>
        </w:rPr>
        <w:t xml:space="preserve">The proposal addresses the strengthening of </w:t>
      </w:r>
      <w:r w:rsidR="00D134F6">
        <w:rPr>
          <w:noProof/>
        </w:rPr>
        <w:t xml:space="preserve">the </w:t>
      </w:r>
      <w:r w:rsidRPr="006A40E2">
        <w:rPr>
          <w:noProof/>
        </w:rPr>
        <w:t>competitiveness and innovation capacity of the EDTIB and supports the creation and expansion of cooperation among European industry. It will contribute to the creation of a federated system of systems that will provide critical military capabilities, namely collective and integrated air and missile defence (IAMD) to the Member States</w:t>
      </w:r>
      <w:r w:rsidR="00D134F6">
        <w:rPr>
          <w:noProof/>
        </w:rPr>
        <w:t xml:space="preserve">. It </w:t>
      </w:r>
      <w:r w:rsidRPr="006A40E2">
        <w:rPr>
          <w:noProof/>
        </w:rPr>
        <w:t xml:space="preserve">takes into account PESCO and EDA initiatives as well as relevant NATO activities. </w:t>
      </w:r>
    </w:p>
    <w:p w:rsidR="006A40E2" w:rsidRPr="006A40E2" w:rsidRDefault="006A40E2" w:rsidP="005752F4">
      <w:pPr>
        <w:rPr>
          <w:noProof/>
        </w:rPr>
      </w:pPr>
      <w:r w:rsidRPr="006A40E2">
        <w:rPr>
          <w:noProof/>
        </w:rPr>
        <w:t xml:space="preserve">The project demonstrates the involvement of a high number of countries (16). It contributes directly to strengthening the collective resilience of the EU through enhanced IAMD, improved protection of critical infrastructure, increased operational coordination of armed forces and the reinforcement of industrial capacities in critical </w:t>
      </w:r>
      <w:r w:rsidR="00984892" w:rsidRPr="006A40E2">
        <w:rPr>
          <w:noProof/>
        </w:rPr>
        <w:t xml:space="preserve">sectors </w:t>
      </w:r>
      <w:r w:rsidR="00984892">
        <w:rPr>
          <w:noProof/>
        </w:rPr>
        <w:t xml:space="preserve">related to </w:t>
      </w:r>
      <w:r w:rsidRPr="006A40E2">
        <w:rPr>
          <w:noProof/>
        </w:rPr>
        <w:t xml:space="preserve">air and missile defence. The project is significant in scope </w:t>
      </w:r>
      <w:r w:rsidR="00984892">
        <w:rPr>
          <w:noProof/>
        </w:rPr>
        <w:t xml:space="preserve">and has </w:t>
      </w:r>
      <w:r w:rsidRPr="006A40E2">
        <w:rPr>
          <w:noProof/>
        </w:rPr>
        <w:t xml:space="preserve">a substantial estimated overall financial size. </w:t>
      </w:r>
    </w:p>
    <w:p w:rsidR="00AD673C" w:rsidRDefault="00AD673C" w:rsidP="005752F4">
      <w:pPr>
        <w:rPr>
          <w:b/>
          <w:bCs/>
          <w:noProof/>
          <w:u w:val="single"/>
        </w:rPr>
      </w:pPr>
      <w:r w:rsidRPr="00AD673C">
        <w:rPr>
          <w:b/>
          <w:bCs/>
          <w:noProof/>
          <w:u w:val="single"/>
        </w:rPr>
        <w:t>Eastern Flank Watch (EFW)</w:t>
      </w:r>
    </w:p>
    <w:p w:rsidR="007D1E54" w:rsidRDefault="00352901" w:rsidP="005752F4">
      <w:pPr>
        <w:rPr>
          <w:noProof/>
        </w:rPr>
      </w:pPr>
      <w:r w:rsidRPr="00352901">
        <w:rPr>
          <w:noProof/>
        </w:rPr>
        <w:t xml:space="preserve">The proposal </w:t>
      </w:r>
      <w:r w:rsidR="007A7EF0">
        <w:rPr>
          <w:noProof/>
        </w:rPr>
        <w:t xml:space="preserve">addresses the strengthening of </w:t>
      </w:r>
      <w:r w:rsidR="00791317">
        <w:rPr>
          <w:noProof/>
        </w:rPr>
        <w:t xml:space="preserve">the </w:t>
      </w:r>
      <w:r w:rsidR="00791317" w:rsidRPr="006A40E2">
        <w:rPr>
          <w:noProof/>
        </w:rPr>
        <w:t xml:space="preserve">competitiveness </w:t>
      </w:r>
      <w:r w:rsidR="007A7EF0">
        <w:rPr>
          <w:noProof/>
        </w:rPr>
        <w:t>and innovation capacity of the EDTIB</w:t>
      </w:r>
      <w:r w:rsidR="000435A7">
        <w:rPr>
          <w:noProof/>
        </w:rPr>
        <w:t xml:space="preserve">, market integration, SMEs and mid-caps integration via </w:t>
      </w:r>
      <w:r w:rsidR="00F04970">
        <w:rPr>
          <w:noProof/>
        </w:rPr>
        <w:t xml:space="preserve">supply chain diversification as well as reduction of strategic dependencies. </w:t>
      </w:r>
      <w:r w:rsidR="006B284A">
        <w:rPr>
          <w:noProof/>
        </w:rPr>
        <w:t>It addresses critical capability areas, such as g</w:t>
      </w:r>
      <w:r w:rsidR="006B284A" w:rsidRPr="006B284A">
        <w:rPr>
          <w:noProof/>
        </w:rPr>
        <w:t xml:space="preserve">round </w:t>
      </w:r>
      <w:r w:rsidR="006B284A">
        <w:rPr>
          <w:noProof/>
        </w:rPr>
        <w:t>c</w:t>
      </w:r>
      <w:r w:rsidR="006B284A" w:rsidRPr="006B284A">
        <w:rPr>
          <w:noProof/>
        </w:rPr>
        <w:t xml:space="preserve">ombat, C4ISTAR, </w:t>
      </w:r>
      <w:r w:rsidR="006B284A">
        <w:rPr>
          <w:noProof/>
        </w:rPr>
        <w:t>A</w:t>
      </w:r>
      <w:r w:rsidR="00A461D6">
        <w:rPr>
          <w:noProof/>
        </w:rPr>
        <w:t xml:space="preserve">ir and </w:t>
      </w:r>
      <w:r w:rsidR="006B284A">
        <w:rPr>
          <w:noProof/>
        </w:rPr>
        <w:t>M</w:t>
      </w:r>
      <w:r w:rsidR="00A461D6">
        <w:rPr>
          <w:noProof/>
        </w:rPr>
        <w:t xml:space="preserve">issile </w:t>
      </w:r>
      <w:r w:rsidR="006B284A">
        <w:rPr>
          <w:noProof/>
        </w:rPr>
        <w:t>D</w:t>
      </w:r>
      <w:r w:rsidR="00A461D6">
        <w:rPr>
          <w:noProof/>
        </w:rPr>
        <w:t>efence</w:t>
      </w:r>
      <w:r w:rsidR="006B284A">
        <w:rPr>
          <w:noProof/>
        </w:rPr>
        <w:t>, d</w:t>
      </w:r>
      <w:r w:rsidR="006B284A" w:rsidRPr="006B284A">
        <w:rPr>
          <w:noProof/>
        </w:rPr>
        <w:t>rones/</w:t>
      </w:r>
      <w:r w:rsidR="006B284A">
        <w:rPr>
          <w:noProof/>
        </w:rPr>
        <w:t>c</w:t>
      </w:r>
      <w:r w:rsidR="006B284A" w:rsidRPr="006B284A">
        <w:rPr>
          <w:noProof/>
        </w:rPr>
        <w:t>ounter-</w:t>
      </w:r>
      <w:r w:rsidR="006B284A">
        <w:rPr>
          <w:noProof/>
        </w:rPr>
        <w:t>d</w:t>
      </w:r>
      <w:r w:rsidR="006B284A" w:rsidRPr="006B284A">
        <w:rPr>
          <w:noProof/>
        </w:rPr>
        <w:t xml:space="preserve">rones </w:t>
      </w:r>
      <w:r w:rsidR="008F0392">
        <w:rPr>
          <w:noProof/>
        </w:rPr>
        <w:t>as well as</w:t>
      </w:r>
      <w:r w:rsidR="006B284A" w:rsidRPr="006B284A">
        <w:rPr>
          <w:noProof/>
        </w:rPr>
        <w:t xml:space="preserve"> </w:t>
      </w:r>
      <w:r w:rsidR="006B284A">
        <w:rPr>
          <w:noProof/>
        </w:rPr>
        <w:t>m</w:t>
      </w:r>
      <w:r w:rsidR="006B284A" w:rsidRPr="006B284A">
        <w:rPr>
          <w:noProof/>
        </w:rPr>
        <w:t xml:space="preserve">ilitary </w:t>
      </w:r>
      <w:r w:rsidR="006B284A">
        <w:rPr>
          <w:noProof/>
        </w:rPr>
        <w:t>m</w:t>
      </w:r>
      <w:r w:rsidR="006B284A" w:rsidRPr="006B284A">
        <w:rPr>
          <w:noProof/>
        </w:rPr>
        <w:t>obility</w:t>
      </w:r>
      <w:r w:rsidR="008F0392">
        <w:rPr>
          <w:noProof/>
        </w:rPr>
        <w:t xml:space="preserve">. It </w:t>
      </w:r>
      <w:r w:rsidR="008F0392" w:rsidRPr="006A40E2">
        <w:rPr>
          <w:noProof/>
        </w:rPr>
        <w:t xml:space="preserve">takes into account PESCO and EDA initiatives </w:t>
      </w:r>
      <w:r w:rsidR="00180CC6">
        <w:rPr>
          <w:noProof/>
        </w:rPr>
        <w:t xml:space="preserve">and builds on and contributes to </w:t>
      </w:r>
      <w:r w:rsidR="008F0392" w:rsidRPr="006A40E2">
        <w:rPr>
          <w:noProof/>
        </w:rPr>
        <w:t>relevant NATO activities.</w:t>
      </w:r>
      <w:r w:rsidR="00180CC6" w:rsidRPr="00180CC6">
        <w:rPr>
          <w:noProof/>
        </w:rPr>
        <w:t xml:space="preserve"> </w:t>
      </w:r>
    </w:p>
    <w:p w:rsidR="00BF2D5E" w:rsidRPr="006A40E2" w:rsidRDefault="00180CC6" w:rsidP="005752F4">
      <w:pPr>
        <w:rPr>
          <w:noProof/>
        </w:rPr>
      </w:pPr>
      <w:r w:rsidRPr="006A40E2">
        <w:rPr>
          <w:noProof/>
        </w:rPr>
        <w:t>The project demonstrates the involvement of a high number of countries (1</w:t>
      </w:r>
      <w:r w:rsidR="00BF6CC6">
        <w:rPr>
          <w:noProof/>
        </w:rPr>
        <w:t>5</w:t>
      </w:r>
      <w:r w:rsidRPr="006A40E2">
        <w:rPr>
          <w:noProof/>
        </w:rPr>
        <w:t>).</w:t>
      </w:r>
      <w:r w:rsidR="00B233A0">
        <w:rPr>
          <w:noProof/>
        </w:rPr>
        <w:t xml:space="preserve"> </w:t>
      </w:r>
      <w:r w:rsidR="00B233A0" w:rsidRPr="00B233A0">
        <w:rPr>
          <w:noProof/>
        </w:rPr>
        <w:t>The proposal is structured as a multi-domain capability development initiative</w:t>
      </w:r>
      <w:r w:rsidR="00B233A0">
        <w:rPr>
          <w:noProof/>
        </w:rPr>
        <w:t xml:space="preserve"> </w:t>
      </w:r>
      <w:r w:rsidR="00FF3758">
        <w:rPr>
          <w:noProof/>
        </w:rPr>
        <w:t>and while it is geographically focused on the EU Eastern border, it</w:t>
      </w:r>
      <w:r w:rsidR="00B233A0">
        <w:rPr>
          <w:noProof/>
        </w:rPr>
        <w:t xml:space="preserve"> benefits all Member States against </w:t>
      </w:r>
      <w:r w:rsidR="0077111E">
        <w:rPr>
          <w:noProof/>
        </w:rPr>
        <w:t xml:space="preserve">concrete </w:t>
      </w:r>
      <w:r w:rsidR="00B233A0">
        <w:rPr>
          <w:noProof/>
        </w:rPr>
        <w:t>security</w:t>
      </w:r>
      <w:r w:rsidR="00BF2D5E">
        <w:rPr>
          <w:noProof/>
        </w:rPr>
        <w:t xml:space="preserve"> </w:t>
      </w:r>
      <w:r w:rsidR="00BF2D5E">
        <w:rPr>
          <w:noProof/>
        </w:rPr>
        <w:lastRenderedPageBreak/>
        <w:t>threats</w:t>
      </w:r>
      <w:r w:rsidR="001655EE">
        <w:rPr>
          <w:noProof/>
        </w:rPr>
        <w:t xml:space="preserve"> and is open </w:t>
      </w:r>
      <w:r w:rsidR="00097D6E">
        <w:rPr>
          <w:noProof/>
        </w:rPr>
        <w:t xml:space="preserve">to extend </w:t>
      </w:r>
      <w:r w:rsidR="0077111E">
        <w:rPr>
          <w:noProof/>
        </w:rPr>
        <w:t>its</w:t>
      </w:r>
      <w:r w:rsidR="00097D6E">
        <w:rPr>
          <w:noProof/>
        </w:rPr>
        <w:t xml:space="preserve"> geographic area of interest</w:t>
      </w:r>
      <w:r w:rsidR="00B233A0" w:rsidRPr="00B233A0">
        <w:rPr>
          <w:noProof/>
        </w:rPr>
        <w:t>.</w:t>
      </w:r>
      <w:r w:rsidR="00BF2D5E" w:rsidRPr="00BF2D5E">
        <w:rPr>
          <w:noProof/>
        </w:rPr>
        <w:t xml:space="preserve"> </w:t>
      </w:r>
      <w:r w:rsidR="00BF2D5E" w:rsidRPr="006A40E2">
        <w:rPr>
          <w:noProof/>
        </w:rPr>
        <w:t xml:space="preserve">The project is significant in scope </w:t>
      </w:r>
      <w:r w:rsidR="0077111E">
        <w:rPr>
          <w:noProof/>
        </w:rPr>
        <w:t>and has</w:t>
      </w:r>
      <w:r w:rsidR="00BF2D5E" w:rsidRPr="006A40E2">
        <w:rPr>
          <w:noProof/>
        </w:rPr>
        <w:t xml:space="preserve"> a substantial estimated overall financial size</w:t>
      </w:r>
      <w:r w:rsidR="001655EE">
        <w:rPr>
          <w:noProof/>
        </w:rPr>
        <w:t xml:space="preserve"> </w:t>
      </w:r>
      <w:r w:rsidR="0077111E">
        <w:rPr>
          <w:noProof/>
        </w:rPr>
        <w:t>as well as</w:t>
      </w:r>
      <w:r w:rsidR="001655EE">
        <w:rPr>
          <w:noProof/>
        </w:rPr>
        <w:t xml:space="preserve"> long-term ambition</w:t>
      </w:r>
      <w:r w:rsidR="00BF2D5E" w:rsidRPr="006A40E2">
        <w:rPr>
          <w:noProof/>
        </w:rPr>
        <w:t xml:space="preserve">. </w:t>
      </w:r>
    </w:p>
    <w:p w:rsidR="002B6BA7" w:rsidRPr="00F617F2" w:rsidRDefault="002B6BA7" w:rsidP="005752F4">
      <w:pPr>
        <w:rPr>
          <w:noProof/>
        </w:rPr>
      </w:pPr>
      <w:bookmarkStart w:id="1" w:name="_Hlk233731015"/>
      <w:r>
        <w:rPr>
          <w:noProof/>
        </w:rPr>
        <w:t xml:space="preserve">By contrast, four other proposals, namely </w:t>
      </w:r>
      <w:r w:rsidRPr="00F617F2">
        <w:rPr>
          <w:noProof/>
        </w:rPr>
        <w:t>European Robotic Combat Units for Land operations (ERCUL), Artillery Systems (ARTISYS)</w:t>
      </w:r>
      <w:r>
        <w:rPr>
          <w:noProof/>
        </w:rPr>
        <w:t xml:space="preserve">, </w:t>
      </w:r>
      <w:r w:rsidRPr="00F617F2">
        <w:rPr>
          <w:noProof/>
        </w:rPr>
        <w:t>Multi Domain Operation Platform systems (ARCADIA)</w:t>
      </w:r>
      <w:r>
        <w:rPr>
          <w:noProof/>
        </w:rPr>
        <w:t xml:space="preserve"> and </w:t>
      </w:r>
      <w:r w:rsidRPr="00F617F2">
        <w:rPr>
          <w:noProof/>
        </w:rPr>
        <w:t>European Defence Data Space for AI (EDDS)</w:t>
      </w:r>
      <w:r>
        <w:rPr>
          <w:noProof/>
        </w:rPr>
        <w:t xml:space="preserve">, whilst displaying relevance for strengthening EU defence readiness, were found to not yet fully comply </w:t>
      </w:r>
      <w:r w:rsidRPr="29589FFF">
        <w:rPr>
          <w:rFonts w:eastAsia="Arial Unicode MS"/>
          <w:noProof/>
          <w:lang w:val="en-IE"/>
        </w:rPr>
        <w:t xml:space="preserve">with </w:t>
      </w:r>
      <w:r>
        <w:rPr>
          <w:rFonts w:eastAsia="Arial Unicode MS"/>
          <w:noProof/>
          <w:lang w:val="en-IE"/>
        </w:rPr>
        <w:t>all</w:t>
      </w:r>
      <w:r w:rsidRPr="29589FFF">
        <w:rPr>
          <w:rFonts w:eastAsia="Arial Unicode MS"/>
          <w:noProof/>
          <w:lang w:val="en-IE"/>
        </w:rPr>
        <w:t xml:space="preserve"> criteria set out in Article 35(2) of Regulation (EU) 2025/2643</w:t>
      </w:r>
      <w:r>
        <w:rPr>
          <w:rFonts w:eastAsia="Arial Unicode MS"/>
          <w:noProof/>
          <w:lang w:val="en-IE"/>
        </w:rPr>
        <w:t xml:space="preserve"> in respect of the insufficient clarity with which their objectives are described, and of their overall level of maturity</w:t>
      </w:r>
      <w:r w:rsidR="009E6212" w:rsidRPr="009E6212">
        <w:rPr>
          <w:rFonts w:eastAsia="Arial Unicode MS"/>
          <w:noProof/>
          <w:lang w:val="en-IE"/>
        </w:rPr>
        <w:t>, including in terms of their ambition to bring together, under the shared objective of achieving defence readiness, the diversity of relevant industrial players and solutions</w:t>
      </w:r>
      <w:r>
        <w:rPr>
          <w:rFonts w:eastAsia="Arial Unicode MS"/>
          <w:noProof/>
          <w:lang w:val="en-IE"/>
        </w:rPr>
        <w:t>. Subject</w:t>
      </w:r>
      <w:r>
        <w:rPr>
          <w:noProof/>
        </w:rPr>
        <w:t xml:space="preserve"> to further maturation, these proposals show nonetheless solid potential to be identified as EDPCIs following a subsequent call for expression of interest. In that respect, they may therefore receive EDIP funding to support their further development.</w:t>
      </w:r>
    </w:p>
    <w:bookmarkEnd w:id="1"/>
    <w:p w:rsidR="002B6BA7" w:rsidRPr="001946A1" w:rsidRDefault="002B6BA7" w:rsidP="002B6BA7">
      <w:pPr>
        <w:ind w:left="58"/>
        <w:rPr>
          <w:noProof/>
        </w:rPr>
      </w:pPr>
    </w:p>
    <w:p w:rsidR="00B711E8" w:rsidRDefault="00B711E8" w:rsidP="00575FB7">
      <w:pPr>
        <w:ind w:left="58"/>
        <w:rPr>
          <w:noProof/>
        </w:rPr>
      </w:pPr>
    </w:p>
    <w:p w:rsidR="002B6BA7" w:rsidRDefault="002B6BA7" w:rsidP="00575FB7">
      <w:pPr>
        <w:ind w:left="58"/>
        <w:rPr>
          <w:noProof/>
        </w:rPr>
      </w:pPr>
    </w:p>
    <w:p w:rsidR="000F1E02" w:rsidRPr="00D8676A" w:rsidRDefault="000F1E02">
      <w:pPr>
        <w:rPr>
          <w:noProof/>
        </w:rPr>
        <w:sectPr w:rsidR="000F1E02" w:rsidRPr="00D8676A" w:rsidSect="00CA7D9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rsidR="005109A1" w:rsidRDefault="002D1601">
      <w:pPr>
        <w:pStyle w:val="Rfrenceinterinstitutionnelle"/>
        <w:rPr>
          <w:noProof/>
        </w:rPr>
      </w:pPr>
      <w:r>
        <w:rPr>
          <w:noProof/>
        </w:rPr>
        <w:lastRenderedPageBreak/>
        <w:t>2026/0192 (NLE)</w:t>
      </w:r>
    </w:p>
    <w:p w:rsidR="000F1E02" w:rsidRPr="00D8676A" w:rsidRDefault="00EF38E3" w:rsidP="00EF38E3">
      <w:pPr>
        <w:pStyle w:val="Statut"/>
        <w:rPr>
          <w:noProof/>
        </w:rPr>
      </w:pPr>
      <w:r w:rsidRPr="00EF38E3">
        <w:rPr>
          <w:noProof/>
        </w:rPr>
        <w:t>Proposal for a</w:t>
      </w:r>
    </w:p>
    <w:p w:rsidR="000F1E02" w:rsidRPr="00D8676A" w:rsidRDefault="00EF38E3" w:rsidP="00EF38E3">
      <w:pPr>
        <w:pStyle w:val="Typedudocument"/>
        <w:rPr>
          <w:noProof/>
        </w:rPr>
      </w:pPr>
      <w:r w:rsidRPr="00EF38E3">
        <w:rPr>
          <w:noProof/>
        </w:rPr>
        <w:t>COUNCIL IMPLEMENTING DECISION</w:t>
      </w:r>
    </w:p>
    <w:p w:rsidR="000F1E02" w:rsidRDefault="00EF38E3" w:rsidP="00EF38E3">
      <w:pPr>
        <w:pStyle w:val="Titreobjet"/>
        <w:rPr>
          <w:noProof/>
        </w:rPr>
      </w:pPr>
      <w:r w:rsidRPr="00EF38E3">
        <w:rPr>
          <w:noProof/>
        </w:rPr>
        <w:t>on the identification of European Defence Projects of Common Interest under Regulation (EU) 2025/2643 of the European Parliament and of the Council</w:t>
      </w:r>
      <w:r w:rsidRPr="00EF38E3">
        <w:rPr>
          <w:noProof/>
        </w:rPr>
        <w:br/>
      </w:r>
    </w:p>
    <w:p w:rsidR="000F1E02" w:rsidRPr="001F515E" w:rsidRDefault="000F1E02" w:rsidP="00025080">
      <w:pPr>
        <w:rPr>
          <w:noProof/>
        </w:rPr>
      </w:pPr>
      <w:r w:rsidRPr="001F515E">
        <w:rPr>
          <w:noProof/>
        </w:rPr>
        <w:t>THE COUNCIL OF THE EUROPEAN UNION,</w:t>
      </w:r>
    </w:p>
    <w:p w:rsidR="000F1E02" w:rsidRPr="00D8676A" w:rsidRDefault="000F1E02">
      <w:pPr>
        <w:rPr>
          <w:noProof/>
        </w:rPr>
      </w:pPr>
      <w:r w:rsidRPr="00D8676A">
        <w:rPr>
          <w:noProof/>
        </w:rPr>
        <w:t xml:space="preserve">Having regard to the Treaty on the Functioning of the European Union, </w:t>
      </w:r>
    </w:p>
    <w:p w:rsidR="000F1E02" w:rsidRPr="00D8676A" w:rsidRDefault="000F1E02">
      <w:pPr>
        <w:rPr>
          <w:noProof/>
        </w:rPr>
      </w:pPr>
      <w:r w:rsidRPr="000F1E02">
        <w:rPr>
          <w:noProof/>
        </w:rPr>
        <w:t>Having regard to Regulation (EU) 2025/2643 of the European Parliament and of the Council of 16 December 2025 establishing the European Defence Industry Programme and a framework of measures to ensure the timely availability and supply of defence products (‘EDIP Regulation’)</w:t>
      </w:r>
      <w:r>
        <w:rPr>
          <w:rStyle w:val="FootnoteReference"/>
          <w:noProof/>
        </w:rPr>
        <w:footnoteReference w:id="1"/>
      </w:r>
      <w:r w:rsidRPr="000F1E02">
        <w:rPr>
          <w:noProof/>
        </w:rPr>
        <w:t>, and in particular Article 35(3) thereof,</w:t>
      </w:r>
    </w:p>
    <w:p w:rsidR="000F1E02" w:rsidRPr="00D8676A" w:rsidRDefault="000F1E02">
      <w:pPr>
        <w:rPr>
          <w:noProof/>
        </w:rPr>
      </w:pPr>
      <w:r w:rsidRPr="00D8676A">
        <w:rPr>
          <w:noProof/>
        </w:rPr>
        <w:t>Having regard to the proposal from the European Commission,</w:t>
      </w:r>
    </w:p>
    <w:p w:rsidR="000F1E02" w:rsidRPr="00D8676A" w:rsidRDefault="000F1E02">
      <w:pPr>
        <w:rPr>
          <w:noProof/>
        </w:rPr>
      </w:pPr>
      <w:r w:rsidRPr="00D8676A">
        <w:rPr>
          <w:noProof/>
        </w:rPr>
        <w:t>Whereas:</w:t>
      </w:r>
    </w:p>
    <w:p w:rsidR="000F1E02" w:rsidRDefault="000F1E02" w:rsidP="007856FE">
      <w:pPr>
        <w:pStyle w:val="Point0"/>
        <w:rPr>
          <w:noProof/>
        </w:rPr>
      </w:pPr>
      <w:r>
        <w:rPr>
          <w:noProof/>
        </w:rPr>
        <w:t>(1)</w:t>
      </w:r>
      <w:r>
        <w:rPr>
          <w:noProof/>
        </w:rPr>
        <w:tab/>
        <w:t>On 16 February 2026, t</w:t>
      </w:r>
      <w:r w:rsidRPr="004729AB">
        <w:rPr>
          <w:noProof/>
        </w:rPr>
        <w:t xml:space="preserve">he </w:t>
      </w:r>
      <w:r>
        <w:rPr>
          <w:noProof/>
        </w:rPr>
        <w:t xml:space="preserve">Commission launched a call for expression of interest aimed at consulting </w:t>
      </w:r>
      <w:r w:rsidR="0091724B">
        <w:rPr>
          <w:noProof/>
        </w:rPr>
        <w:t xml:space="preserve">the </w:t>
      </w:r>
      <w:r>
        <w:rPr>
          <w:noProof/>
        </w:rPr>
        <w:t xml:space="preserve">Member States on the identification of possible </w:t>
      </w:r>
      <w:r w:rsidRPr="00214D3D">
        <w:rPr>
          <w:noProof/>
        </w:rPr>
        <w:t>European Defence Projects of Common Interest (EDPC</w:t>
      </w:r>
      <w:r>
        <w:rPr>
          <w:noProof/>
        </w:rPr>
        <w:t>I</w:t>
      </w:r>
      <w:r w:rsidRPr="00214D3D">
        <w:rPr>
          <w:noProof/>
        </w:rPr>
        <w:t>s)</w:t>
      </w:r>
      <w:r>
        <w:rPr>
          <w:noProof/>
        </w:rPr>
        <w:t xml:space="preserve">, pursuant to Article 35 of </w:t>
      </w:r>
      <w:r w:rsidRPr="00276096">
        <w:rPr>
          <w:noProof/>
        </w:rPr>
        <w:t>Regulation (EU) 2025/2643</w:t>
      </w:r>
      <w:r>
        <w:rPr>
          <w:noProof/>
        </w:rPr>
        <w:t xml:space="preserve">. By the deadline of 29 May 2026, Member States submitted nine project proposals for possible EDPCIs. </w:t>
      </w:r>
    </w:p>
    <w:p w:rsidR="000F1E02" w:rsidRDefault="1A10971B" w:rsidP="6C0CAD12">
      <w:pPr>
        <w:pStyle w:val="Point0"/>
        <w:rPr>
          <w:noProof/>
          <w:szCs w:val="24"/>
        </w:rPr>
      </w:pPr>
      <w:r>
        <w:rPr>
          <w:noProof/>
        </w:rPr>
        <w:t>(2)</w:t>
      </w:r>
      <w:r>
        <w:rPr>
          <w:noProof/>
        </w:rPr>
        <w:tab/>
      </w:r>
      <w:r w:rsidRPr="6C0CAD12">
        <w:rPr>
          <w:rFonts w:eastAsia="Times New Roman"/>
          <w:noProof/>
          <w:szCs w:val="24"/>
        </w:rPr>
        <w:t>In line with Article 35(5)(b) of the EDIP Regulation, t</w:t>
      </w:r>
      <w:r w:rsidR="000F1E02">
        <w:rPr>
          <w:noProof/>
        </w:rPr>
        <w:t xml:space="preserve">he Commission invited the High Representative of the Union for Foreign Affairs and Security Policy (the ‘High Representative’) through the European External Action Service </w:t>
      </w:r>
      <w:r w:rsidR="00F16E8D">
        <w:rPr>
          <w:noProof/>
        </w:rPr>
        <w:t xml:space="preserve">(EEAS) </w:t>
      </w:r>
      <w:r w:rsidR="26AE2AB3">
        <w:rPr>
          <w:noProof/>
        </w:rPr>
        <w:t xml:space="preserve">as well as </w:t>
      </w:r>
      <w:r w:rsidR="000F1E02">
        <w:rPr>
          <w:noProof/>
        </w:rPr>
        <w:t>the European Defence Agency (EDA)</w:t>
      </w:r>
      <w:r w:rsidR="5570F538" w:rsidRPr="6C0CAD12">
        <w:rPr>
          <w:rFonts w:eastAsia="Times New Roman"/>
          <w:noProof/>
          <w:szCs w:val="24"/>
        </w:rPr>
        <w:t>,</w:t>
      </w:r>
      <w:r w:rsidR="000F1E02">
        <w:rPr>
          <w:noProof/>
        </w:rPr>
        <w:t xml:space="preserve"> to provide their expertise with a view to ensuring consistency with the priorities and objectives referred to in Article 35(2), points (b), (c) and (d), </w:t>
      </w:r>
      <w:r w:rsidR="0091724B">
        <w:rPr>
          <w:noProof/>
        </w:rPr>
        <w:t xml:space="preserve">of that Regulation, </w:t>
      </w:r>
      <w:r w:rsidR="00F44EAF">
        <w:rPr>
          <w:noProof/>
        </w:rPr>
        <w:t xml:space="preserve">and </w:t>
      </w:r>
      <w:r w:rsidR="000F1E02">
        <w:rPr>
          <w:noProof/>
        </w:rPr>
        <w:t xml:space="preserve">to complement the information provided by Member States regarding project proposals. </w:t>
      </w:r>
    </w:p>
    <w:p w:rsidR="000F1E02" w:rsidRDefault="000F1E02" w:rsidP="00582168">
      <w:pPr>
        <w:pStyle w:val="Point0"/>
        <w:rPr>
          <w:noProof/>
        </w:rPr>
      </w:pPr>
      <w:r>
        <w:rPr>
          <w:noProof/>
        </w:rPr>
        <w:t>(3)</w:t>
      </w:r>
      <w:r>
        <w:rPr>
          <w:noProof/>
        </w:rPr>
        <w:tab/>
        <w:t xml:space="preserve">The Commission verified that </w:t>
      </w:r>
      <w:r w:rsidRPr="00B342C0">
        <w:rPr>
          <w:noProof/>
        </w:rPr>
        <w:t>all Member States and associated countries, and, where relevant, Ukraine, were informed of the emergence of a project and were given the opportunity to participate</w:t>
      </w:r>
      <w:r>
        <w:rPr>
          <w:noProof/>
        </w:rPr>
        <w:t>.</w:t>
      </w:r>
    </w:p>
    <w:p w:rsidR="000F1E02" w:rsidRDefault="000F1E02" w:rsidP="00582168">
      <w:pPr>
        <w:pStyle w:val="Point0"/>
        <w:rPr>
          <w:noProof/>
        </w:rPr>
      </w:pPr>
      <w:r>
        <w:rPr>
          <w:noProof/>
        </w:rPr>
        <w:t>(4)</w:t>
      </w:r>
      <w:r>
        <w:rPr>
          <w:noProof/>
        </w:rPr>
        <w:tab/>
      </w:r>
      <w:r w:rsidRPr="14BE4472">
        <w:rPr>
          <w:noProof/>
        </w:rPr>
        <w:t xml:space="preserve">The Commission </w:t>
      </w:r>
      <w:r>
        <w:rPr>
          <w:noProof/>
        </w:rPr>
        <w:t>verified</w:t>
      </w:r>
      <w:r w:rsidR="00C41800">
        <w:rPr>
          <w:noProof/>
        </w:rPr>
        <w:t>, considering the information provided by the EEAS and EDA,</w:t>
      </w:r>
      <w:r w:rsidRPr="14BE4472">
        <w:rPr>
          <w:noProof/>
        </w:rPr>
        <w:t xml:space="preserve"> the </w:t>
      </w:r>
      <w:r>
        <w:rPr>
          <w:noProof/>
        </w:rPr>
        <w:t xml:space="preserve">compliance of the </w:t>
      </w:r>
      <w:r w:rsidRPr="14BE4472">
        <w:rPr>
          <w:noProof/>
        </w:rPr>
        <w:t xml:space="preserve">project proposals for possible EDPCIs under the call for expression of interest against the </w:t>
      </w:r>
      <w:r>
        <w:rPr>
          <w:noProof/>
        </w:rPr>
        <w:t xml:space="preserve">criteria </w:t>
      </w:r>
      <w:r w:rsidRPr="14BE4472">
        <w:rPr>
          <w:noProof/>
        </w:rPr>
        <w:t>laid down in Article 35(2) of Regulation (EU) 2025/2643</w:t>
      </w:r>
      <w:r w:rsidR="0091724B">
        <w:rPr>
          <w:noProof/>
        </w:rPr>
        <w:t xml:space="preserve"> </w:t>
      </w:r>
      <w:r w:rsidR="008E77C0">
        <w:rPr>
          <w:noProof/>
        </w:rPr>
        <w:t xml:space="preserve">and </w:t>
      </w:r>
      <w:r w:rsidR="008E77C0" w:rsidRPr="0091724B">
        <w:rPr>
          <w:noProof/>
        </w:rPr>
        <w:t>proposed</w:t>
      </w:r>
      <w:r w:rsidR="0091724B">
        <w:rPr>
          <w:noProof/>
        </w:rPr>
        <w:t xml:space="preserve"> to identify five proposals as EDPCIs.</w:t>
      </w:r>
    </w:p>
    <w:p w:rsidR="000E280A" w:rsidRPr="008E77C0" w:rsidRDefault="004D44E8" w:rsidP="00582168">
      <w:pPr>
        <w:pStyle w:val="Point0"/>
        <w:rPr>
          <w:rFonts w:eastAsia="Calibri"/>
          <w:noProof/>
        </w:rPr>
      </w:pPr>
      <w:r>
        <w:rPr>
          <w:noProof/>
        </w:rPr>
        <w:t>(5)</w:t>
      </w:r>
      <w:r>
        <w:rPr>
          <w:noProof/>
        </w:rPr>
        <w:tab/>
        <w:t>The identified EDPCIs meet the criteria set out in Art</w:t>
      </w:r>
      <w:r w:rsidR="00EE3BDE">
        <w:rPr>
          <w:noProof/>
        </w:rPr>
        <w:t>icle</w:t>
      </w:r>
      <w:r>
        <w:rPr>
          <w:noProof/>
        </w:rPr>
        <w:t xml:space="preserve"> 35 (2) of </w:t>
      </w:r>
      <w:r w:rsidR="00EE3BDE" w:rsidRPr="001F054C">
        <w:rPr>
          <w:rFonts w:eastAsia="Arial Unicode MS"/>
          <w:noProof/>
          <w:lang w:val="en-IE"/>
        </w:rPr>
        <w:t>Regulation (EU) 2025/2643</w:t>
      </w:r>
      <w:r>
        <w:rPr>
          <w:noProof/>
        </w:rPr>
        <w:t>. In parti</w:t>
      </w:r>
      <w:r w:rsidR="001E5173">
        <w:rPr>
          <w:noProof/>
        </w:rPr>
        <w:t>cular, they have</w:t>
      </w:r>
      <w:r w:rsidR="000F1E02">
        <w:rPr>
          <w:noProof/>
        </w:rPr>
        <w:t xml:space="preserve"> the potential to significantly strengthen the competitiveness, efficiency and innovation capacity of the</w:t>
      </w:r>
      <w:r w:rsidR="0091724B" w:rsidRPr="0091724B">
        <w:rPr>
          <w:noProof/>
        </w:rPr>
        <w:t xml:space="preserve"> </w:t>
      </w:r>
      <w:r w:rsidR="0091724B" w:rsidRPr="00F63E7F">
        <w:rPr>
          <w:noProof/>
        </w:rPr>
        <w:t>European Defence Technological and Industrial Base</w:t>
      </w:r>
      <w:r w:rsidR="000F1E02">
        <w:rPr>
          <w:noProof/>
        </w:rPr>
        <w:t xml:space="preserve"> </w:t>
      </w:r>
      <w:r w:rsidR="0091724B">
        <w:rPr>
          <w:noProof/>
        </w:rPr>
        <w:t>(</w:t>
      </w:r>
      <w:r w:rsidR="0E642408">
        <w:rPr>
          <w:noProof/>
        </w:rPr>
        <w:t>EDTIB</w:t>
      </w:r>
      <w:r w:rsidR="0091724B">
        <w:rPr>
          <w:noProof/>
        </w:rPr>
        <w:t>)</w:t>
      </w:r>
      <w:r w:rsidR="0E642408">
        <w:rPr>
          <w:noProof/>
        </w:rPr>
        <w:t>, contribute</w:t>
      </w:r>
      <w:r w:rsidR="000F1E02">
        <w:rPr>
          <w:noProof/>
        </w:rPr>
        <w:t xml:space="preserve"> to the development of Member States’ military capabilities, take into account cooperation in the framework of </w:t>
      </w:r>
      <w:r w:rsidR="0091724B" w:rsidRPr="00BF7C19">
        <w:rPr>
          <w:noProof/>
        </w:rPr>
        <w:t>Permanent Structured Cooperation</w:t>
      </w:r>
      <w:r w:rsidR="0091724B">
        <w:rPr>
          <w:noProof/>
        </w:rPr>
        <w:t xml:space="preserve"> (</w:t>
      </w:r>
      <w:r w:rsidR="000F1E02">
        <w:rPr>
          <w:noProof/>
        </w:rPr>
        <w:t>PESCO</w:t>
      </w:r>
      <w:r w:rsidR="0091724B">
        <w:rPr>
          <w:noProof/>
        </w:rPr>
        <w:t>)</w:t>
      </w:r>
      <w:r w:rsidR="000F1E02">
        <w:rPr>
          <w:noProof/>
        </w:rPr>
        <w:t xml:space="preserve"> and EDA initiatives and projects and relevant activities carried out by </w:t>
      </w:r>
      <w:r w:rsidR="0091724B">
        <w:rPr>
          <w:noProof/>
        </w:rPr>
        <w:t xml:space="preserve">the </w:t>
      </w:r>
      <w:r w:rsidR="0091724B" w:rsidRPr="00A943FA">
        <w:rPr>
          <w:noProof/>
        </w:rPr>
        <w:t>North Atlantic Treaty Organi</w:t>
      </w:r>
      <w:r w:rsidR="0091724B">
        <w:rPr>
          <w:noProof/>
        </w:rPr>
        <w:t>s</w:t>
      </w:r>
      <w:r w:rsidR="0091724B" w:rsidRPr="00A943FA">
        <w:rPr>
          <w:noProof/>
        </w:rPr>
        <w:t>ation</w:t>
      </w:r>
      <w:r w:rsidR="0091724B">
        <w:rPr>
          <w:noProof/>
        </w:rPr>
        <w:t xml:space="preserve"> (</w:t>
      </w:r>
      <w:r w:rsidR="000F1E02">
        <w:rPr>
          <w:noProof/>
        </w:rPr>
        <w:t>NATO</w:t>
      </w:r>
      <w:r w:rsidR="0091724B">
        <w:rPr>
          <w:noProof/>
        </w:rPr>
        <w:t>)</w:t>
      </w:r>
      <w:r w:rsidR="000F1E02">
        <w:rPr>
          <w:noProof/>
        </w:rPr>
        <w:t xml:space="preserve">, </w:t>
      </w:r>
      <w:r w:rsidR="000F1E02" w:rsidRPr="008E77C0">
        <w:rPr>
          <w:noProof/>
        </w:rPr>
        <w:lastRenderedPageBreak/>
        <w:t xml:space="preserve">while being inclusive, benefit a wider part of the Union, </w:t>
      </w:r>
      <w:r w:rsidR="00B01B76" w:rsidRPr="008E77C0">
        <w:rPr>
          <w:noProof/>
        </w:rPr>
        <w:t>be</w:t>
      </w:r>
      <w:r w:rsidR="000F1E02" w:rsidRPr="008E77C0">
        <w:rPr>
          <w:noProof/>
        </w:rPr>
        <w:t xml:space="preserve"> significant in size and scope, and their potential benefits outweigh their cost.</w:t>
      </w:r>
    </w:p>
    <w:p w:rsidR="000E280A" w:rsidRPr="008E77C0" w:rsidRDefault="0091724B" w:rsidP="000E280A">
      <w:pPr>
        <w:pStyle w:val="Point0"/>
        <w:rPr>
          <w:noProof/>
          <w:sz w:val="22"/>
          <w:lang w:val="en-US"/>
        </w:rPr>
      </w:pPr>
      <w:r>
        <w:rPr>
          <w:noProof/>
        </w:rPr>
        <w:t>(6)</w:t>
      </w:r>
      <w:r>
        <w:rPr>
          <w:noProof/>
        </w:rPr>
        <w:tab/>
      </w:r>
      <w:r w:rsidRPr="008E77C0">
        <w:rPr>
          <w:noProof/>
          <w:lang w:val="en-US"/>
        </w:rPr>
        <w:t>W</w:t>
      </w:r>
      <w:r w:rsidR="000E280A" w:rsidRPr="008E77C0">
        <w:rPr>
          <w:noProof/>
          <w:lang w:val="en-US"/>
        </w:rPr>
        <w:t xml:space="preserve">ith respect to each EDPCI proposed for identification, the criterion of relevance is </w:t>
      </w:r>
      <w:r w:rsidR="008E77C0" w:rsidRPr="008E77C0">
        <w:rPr>
          <w:noProof/>
          <w:lang w:val="en-US"/>
        </w:rPr>
        <w:t>constituted,</w:t>
      </w:r>
      <w:r w:rsidRPr="008E77C0">
        <w:rPr>
          <w:noProof/>
          <w:lang w:val="en-US"/>
        </w:rPr>
        <w:t xml:space="preserve"> and</w:t>
      </w:r>
      <w:r w:rsidR="00686A42" w:rsidRPr="008E77C0">
        <w:rPr>
          <w:noProof/>
          <w:lang w:val="en-US"/>
        </w:rPr>
        <w:t xml:space="preserve"> </w:t>
      </w:r>
      <w:r w:rsidRPr="008E77C0">
        <w:rPr>
          <w:noProof/>
          <w:lang w:val="en-US"/>
        </w:rPr>
        <w:t>t</w:t>
      </w:r>
      <w:r w:rsidR="000E280A" w:rsidRPr="008E77C0">
        <w:rPr>
          <w:noProof/>
          <w:lang w:val="en-US"/>
        </w:rPr>
        <w:t xml:space="preserve">he Commission </w:t>
      </w:r>
      <w:r w:rsidRPr="008E77C0">
        <w:rPr>
          <w:noProof/>
          <w:lang w:val="en-US"/>
        </w:rPr>
        <w:t xml:space="preserve">should </w:t>
      </w:r>
      <w:r w:rsidR="000E280A" w:rsidRPr="008E77C0">
        <w:rPr>
          <w:noProof/>
          <w:lang w:val="en-US"/>
        </w:rPr>
        <w:t>therefore participate in all EDPCIs proposed for identification</w:t>
      </w:r>
      <w:r w:rsidR="00686A42" w:rsidRPr="008E77C0">
        <w:rPr>
          <w:noProof/>
          <w:lang w:val="en-US"/>
        </w:rPr>
        <w:t xml:space="preserve"> in accordance with Article 35(14) of Regulation (EU) 2025/2643</w:t>
      </w:r>
      <w:r w:rsidR="000E280A" w:rsidRPr="008E77C0">
        <w:rPr>
          <w:noProof/>
          <w:lang w:val="en-US"/>
        </w:rPr>
        <w:t xml:space="preserve">.  The High </w:t>
      </w:r>
      <w:r w:rsidR="00D348A7" w:rsidRPr="008E77C0">
        <w:rPr>
          <w:noProof/>
          <w:lang w:val="en-US"/>
        </w:rPr>
        <w:t>R</w:t>
      </w:r>
      <w:r w:rsidR="000E280A" w:rsidRPr="008E77C0">
        <w:rPr>
          <w:noProof/>
          <w:lang w:val="en-US"/>
        </w:rPr>
        <w:t xml:space="preserve">epresentative and EDA </w:t>
      </w:r>
      <w:r w:rsidR="00686A42" w:rsidRPr="008E77C0">
        <w:rPr>
          <w:noProof/>
          <w:lang w:val="en-US"/>
        </w:rPr>
        <w:t xml:space="preserve">should </w:t>
      </w:r>
      <w:r w:rsidR="000E280A" w:rsidRPr="008E77C0">
        <w:rPr>
          <w:noProof/>
          <w:lang w:val="en-US"/>
        </w:rPr>
        <w:t xml:space="preserve">be involved as </w:t>
      </w:r>
      <w:r w:rsidR="00D14330" w:rsidRPr="008E77C0">
        <w:rPr>
          <w:noProof/>
          <w:lang w:val="en-US"/>
        </w:rPr>
        <w:t>o</w:t>
      </w:r>
      <w:r w:rsidR="000E280A" w:rsidRPr="008E77C0">
        <w:rPr>
          <w:noProof/>
          <w:lang w:val="en-US"/>
        </w:rPr>
        <w:t>bservers in all five EDPCIs proposed for identification.</w:t>
      </w:r>
    </w:p>
    <w:p w:rsidR="00D85F26" w:rsidRPr="008E77C0" w:rsidRDefault="00D85F26" w:rsidP="000F1E02">
      <w:pPr>
        <w:rPr>
          <w:noProof/>
        </w:rPr>
      </w:pPr>
    </w:p>
    <w:p w:rsidR="000F1E02" w:rsidRPr="008E77C0" w:rsidRDefault="000F1E02" w:rsidP="00582168">
      <w:pPr>
        <w:rPr>
          <w:noProof/>
        </w:rPr>
      </w:pPr>
      <w:r w:rsidRPr="008E77C0">
        <w:rPr>
          <w:noProof/>
        </w:rPr>
        <w:t xml:space="preserve">HAS ADOPTED THIS DECISION: </w:t>
      </w:r>
    </w:p>
    <w:p w:rsidR="000F1E02" w:rsidRPr="008E77C0" w:rsidRDefault="000F1E02">
      <w:pPr>
        <w:pStyle w:val="Titrearticle"/>
        <w:rPr>
          <w:noProof/>
        </w:rPr>
      </w:pPr>
      <w:r w:rsidRPr="008E77C0">
        <w:rPr>
          <w:noProof/>
        </w:rPr>
        <w:t>Article 1</w:t>
      </w:r>
    </w:p>
    <w:p w:rsidR="00E2345E" w:rsidRPr="008E77C0" w:rsidRDefault="00E2345E" w:rsidP="00E2345E">
      <w:pPr>
        <w:rPr>
          <w:rFonts w:eastAsia="Calibri"/>
          <w:noProof/>
          <w:color w:val="000000" w:themeColor="text1"/>
        </w:rPr>
      </w:pPr>
      <w:r w:rsidRPr="008E77C0">
        <w:rPr>
          <w:rFonts w:eastAsia="Calibri"/>
          <w:noProof/>
          <w:color w:val="000000" w:themeColor="text1"/>
        </w:rPr>
        <w:t xml:space="preserve">The projects listed in the Annex, are identified as European Defence Projects of Common Interest (EDPCIs). </w:t>
      </w:r>
    </w:p>
    <w:p w:rsidR="000F1E02" w:rsidRPr="00582168" w:rsidRDefault="000F1E02">
      <w:pPr>
        <w:pStyle w:val="Titrearticle"/>
        <w:rPr>
          <w:noProof/>
        </w:rPr>
      </w:pPr>
      <w:r w:rsidRPr="008E77C0">
        <w:rPr>
          <w:noProof/>
        </w:rPr>
        <w:t>Article 2</w:t>
      </w:r>
    </w:p>
    <w:p w:rsidR="000F1E02" w:rsidRPr="00FF05F8" w:rsidRDefault="000F1E02" w:rsidP="000F1E02">
      <w:pPr>
        <w:rPr>
          <w:rFonts w:eastAsia="Calibri"/>
          <w:noProof/>
        </w:rPr>
      </w:pPr>
      <w:r w:rsidRPr="00FF05F8">
        <w:rPr>
          <w:rFonts w:eastAsia="Calibri"/>
          <w:noProof/>
        </w:rPr>
        <w:t>This Decision is addressed to the Member States.</w:t>
      </w:r>
    </w:p>
    <w:p w:rsidR="000F1E02" w:rsidRPr="000F1E02" w:rsidRDefault="000F1E02" w:rsidP="000F1E02">
      <w:pPr>
        <w:rPr>
          <w:noProof/>
        </w:rPr>
      </w:pPr>
    </w:p>
    <w:p w:rsidR="000F1E02" w:rsidRDefault="00EF38E3" w:rsidP="00DF4CF0">
      <w:pPr>
        <w:pStyle w:val="Fait"/>
        <w:rPr>
          <w:noProof/>
        </w:rPr>
      </w:pPr>
      <w:r>
        <w:rPr>
          <w:noProof/>
        </w:rPr>
        <w:t>Done at Brussels,</w:t>
      </w:r>
    </w:p>
    <w:p w:rsidR="000F1E02" w:rsidRDefault="000F1E02" w:rsidP="00DF4CF0">
      <w:pPr>
        <w:pStyle w:val="Institutionquisigne"/>
        <w:rPr>
          <w:noProof/>
        </w:rPr>
      </w:pPr>
      <w:r w:rsidRPr="000F1E02">
        <w:rPr>
          <w:noProof/>
        </w:rPr>
        <w:tab/>
        <w:t>For the Council</w:t>
      </w:r>
    </w:p>
    <w:p w:rsidR="000F1E02" w:rsidRPr="000F1E02" w:rsidRDefault="000F1E02" w:rsidP="000F1E02">
      <w:pPr>
        <w:pStyle w:val="Personnequisigne"/>
        <w:rPr>
          <w:noProof/>
        </w:rPr>
      </w:pPr>
      <w:r w:rsidRPr="000F1E02">
        <w:rPr>
          <w:noProof/>
        </w:rPr>
        <w:tab/>
        <w:t>The President</w:t>
      </w:r>
    </w:p>
    <w:sectPr w:rsidR="000F1E02" w:rsidRPr="000F1E02" w:rsidSect="00CA7D9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806" w:rsidRDefault="001C3806" w:rsidP="000F1E02">
      <w:pPr>
        <w:spacing w:before="0" w:after="0"/>
      </w:pPr>
      <w:r>
        <w:separator/>
      </w:r>
    </w:p>
  </w:endnote>
  <w:endnote w:type="continuationSeparator" w:id="0">
    <w:p w:rsidR="001C3806" w:rsidRDefault="001C3806" w:rsidP="000F1E0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Pr="00CA7D9E" w:rsidRDefault="00CA7D9E" w:rsidP="00CA7D9E">
    <w:pPr>
      <w:pStyle w:val="Footer"/>
      <w:rPr>
        <w:rFonts w:ascii="Arial" w:hAnsi="Arial" w:cs="Arial"/>
        <w:b/>
        <w:sz w:val="48"/>
      </w:rPr>
    </w:pPr>
    <w:r w:rsidRPr="00CA7D9E">
      <w:rPr>
        <w:rFonts w:ascii="Arial" w:hAnsi="Arial" w:cs="Arial"/>
        <w:b/>
        <w:sz w:val="48"/>
      </w:rPr>
      <w:t>EN</w:t>
    </w:r>
    <w:r w:rsidRPr="00CA7D9E">
      <w:rPr>
        <w:rFonts w:ascii="Arial" w:hAnsi="Arial" w:cs="Arial"/>
        <w:b/>
        <w:sz w:val="48"/>
      </w:rPr>
      <w:tab/>
    </w:r>
    <w:r w:rsidRPr="00CA7D9E">
      <w:rPr>
        <w:rFonts w:ascii="Arial" w:hAnsi="Arial" w:cs="Arial"/>
        <w:b/>
        <w:sz w:val="48"/>
      </w:rPr>
      <w:tab/>
    </w:r>
    <w:r w:rsidRPr="00CA7D9E">
      <w:tab/>
    </w:r>
    <w:r w:rsidRPr="00CA7D9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Pr="00CA7D9E" w:rsidRDefault="00CA7D9E" w:rsidP="00CA7D9E">
    <w:pPr>
      <w:pStyle w:val="Footer"/>
      <w:rPr>
        <w:rFonts w:ascii="Arial" w:hAnsi="Arial" w:cs="Arial"/>
        <w:b/>
        <w:sz w:val="48"/>
      </w:rPr>
    </w:pPr>
    <w:r w:rsidRPr="00CA7D9E">
      <w:rPr>
        <w:rFonts w:ascii="Arial" w:hAnsi="Arial" w:cs="Arial"/>
        <w:b/>
        <w:sz w:val="48"/>
      </w:rPr>
      <w:t>EN</w:t>
    </w:r>
    <w:r w:rsidRPr="00CA7D9E">
      <w:rPr>
        <w:rFonts w:ascii="Arial" w:hAnsi="Arial" w:cs="Arial"/>
        <w:b/>
        <w:sz w:val="48"/>
      </w:rPr>
      <w:tab/>
    </w:r>
    <w:r w:rsidRPr="00CA7D9E">
      <w:rPr>
        <w:rFonts w:ascii="Arial" w:hAnsi="Arial" w:cs="Arial"/>
        <w:b/>
        <w:sz w:val="48"/>
      </w:rPr>
      <w:tab/>
    </w:r>
    <w:r w:rsidRPr="00CA7D9E">
      <w:tab/>
    </w:r>
    <w:r w:rsidRPr="00CA7D9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Default="00CA7D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Pr="00CA7D9E" w:rsidRDefault="00CA7D9E" w:rsidP="00CA7D9E">
    <w:pPr>
      <w:pStyle w:val="Footer"/>
      <w:rPr>
        <w:rFonts w:ascii="Arial" w:hAnsi="Arial" w:cs="Arial"/>
        <w:b/>
        <w:sz w:val="48"/>
      </w:rPr>
    </w:pPr>
    <w:r w:rsidRPr="00CA7D9E">
      <w:rPr>
        <w:rFonts w:ascii="Arial" w:hAnsi="Arial" w:cs="Arial"/>
        <w:b/>
        <w:sz w:val="48"/>
      </w:rPr>
      <w:t>EN</w:t>
    </w:r>
    <w:r w:rsidRPr="00CA7D9E">
      <w:rPr>
        <w:rFonts w:ascii="Arial" w:hAnsi="Arial" w:cs="Arial"/>
        <w:b/>
        <w:sz w:val="48"/>
      </w:rPr>
      <w:tab/>
    </w:r>
    <w:r>
      <w:fldChar w:fldCharType="begin"/>
    </w:r>
    <w:r>
      <w:instrText xml:space="preserve"> PAGE  \* MERGEFORMAT </w:instrText>
    </w:r>
    <w:r>
      <w:fldChar w:fldCharType="separate"/>
    </w:r>
    <w:r w:rsidR="00DF4CF0">
      <w:rPr>
        <w:noProof/>
      </w:rPr>
      <w:t>7</w:t>
    </w:r>
    <w:r>
      <w:fldChar w:fldCharType="end"/>
    </w:r>
    <w:r>
      <w:tab/>
    </w:r>
    <w:r w:rsidRPr="00CA7D9E">
      <w:tab/>
    </w:r>
    <w:r w:rsidRPr="00CA7D9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Default="00CA7D9E" w:rsidP="00CA7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806" w:rsidRDefault="001C3806" w:rsidP="000F1E02">
      <w:pPr>
        <w:spacing w:before="0" w:after="0"/>
      </w:pPr>
      <w:r>
        <w:separator/>
      </w:r>
    </w:p>
  </w:footnote>
  <w:footnote w:type="continuationSeparator" w:id="0">
    <w:p w:rsidR="001C3806" w:rsidRDefault="001C3806" w:rsidP="000F1E02">
      <w:pPr>
        <w:spacing w:before="0" w:after="0"/>
      </w:pPr>
      <w:r>
        <w:continuationSeparator/>
      </w:r>
    </w:p>
  </w:footnote>
  <w:footnote w:id="1">
    <w:p w:rsidR="000F1E02" w:rsidRPr="000F1E02" w:rsidRDefault="000F1E02">
      <w:pPr>
        <w:pStyle w:val="FootnoteText"/>
        <w:rPr>
          <w:lang w:val="en-IE"/>
        </w:rPr>
      </w:pPr>
      <w:r w:rsidRPr="00582168">
        <w:rPr>
          <w:rStyle w:val="FootnoteReference"/>
        </w:rPr>
        <w:footnoteRef/>
      </w:r>
      <w:r w:rsidR="00582168">
        <w:tab/>
      </w:r>
      <w:r>
        <w:t xml:space="preserve">OJ L </w:t>
      </w:r>
      <w:r w:rsidRPr="000830B4">
        <w:t>2025/2643, 29.12.2025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Default="00CA7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9E" w:rsidRDefault="00CA7D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ADAF1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E81D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0E064D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885C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13AF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6780E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1BC9F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2 08:0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CA00F23-31FF-481C-93F4-AD5BF2376FD6"/>
    <w:docVar w:name="LW_COVERPAGE_TYPE" w:val="1"/>
    <w:docVar w:name="LW_CreatedUtc" w:val="2026-06-23T08:34:28.1326794Z"/>
    <w:docVar w:name="LW_CROSSREFERENCE" w:val="&lt;UNUSED&gt;"/>
    <w:docVar w:name="LW_DocType" w:val="COM"/>
    <w:docVar w:name="LW_EMISSION" w:val="3.7.2026"/>
    <w:docVar w:name="LW_EMISSION_ISODATE" w:val="2026-07-0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92"/>
    <w:docVar w:name="LW_REF.II.NEW.CP_YEAR" w:val="2026"/>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identification of European Defence Projects of Common Interest under Regulation (EU) 2025/2643 of the European Parliament and of the Council_x000b_"/>
    <w:docVar w:name="LW_TYPE.DOC.CP" w:val="COUNCIL IMPLEMENTING DECISION"/>
    <w:docVar w:name="LwApiVersions" w:val="LW4CoDe 1.24.5.0; LW 9.2, Build 20251112"/>
  </w:docVars>
  <w:rsids>
    <w:rsidRoot w:val="000F1E02"/>
    <w:rsid w:val="0001170C"/>
    <w:rsid w:val="00011A65"/>
    <w:rsid w:val="00013577"/>
    <w:rsid w:val="00013FF5"/>
    <w:rsid w:val="00014D61"/>
    <w:rsid w:val="00025080"/>
    <w:rsid w:val="000435A7"/>
    <w:rsid w:val="00055468"/>
    <w:rsid w:val="00081852"/>
    <w:rsid w:val="00097D6E"/>
    <w:rsid w:val="000B4F45"/>
    <w:rsid w:val="000D2455"/>
    <w:rsid w:val="000E280A"/>
    <w:rsid w:val="000E2D70"/>
    <w:rsid w:val="000F1E02"/>
    <w:rsid w:val="0010573E"/>
    <w:rsid w:val="001065F5"/>
    <w:rsid w:val="00110981"/>
    <w:rsid w:val="0012250C"/>
    <w:rsid w:val="001238EF"/>
    <w:rsid w:val="00124BDC"/>
    <w:rsid w:val="001335B4"/>
    <w:rsid w:val="00135E24"/>
    <w:rsid w:val="00152DDB"/>
    <w:rsid w:val="001531F1"/>
    <w:rsid w:val="00154698"/>
    <w:rsid w:val="00164FC5"/>
    <w:rsid w:val="001655EE"/>
    <w:rsid w:val="001747C3"/>
    <w:rsid w:val="00180CC6"/>
    <w:rsid w:val="00182FB6"/>
    <w:rsid w:val="00193E67"/>
    <w:rsid w:val="00197613"/>
    <w:rsid w:val="00197A58"/>
    <w:rsid w:val="00197E5D"/>
    <w:rsid w:val="001A3D14"/>
    <w:rsid w:val="001A4149"/>
    <w:rsid w:val="001C3806"/>
    <w:rsid w:val="001D63FD"/>
    <w:rsid w:val="001E5173"/>
    <w:rsid w:val="001F4EAE"/>
    <w:rsid w:val="001F515E"/>
    <w:rsid w:val="00202C53"/>
    <w:rsid w:val="00203489"/>
    <w:rsid w:val="00203E25"/>
    <w:rsid w:val="00205CD1"/>
    <w:rsid w:val="00206BE2"/>
    <w:rsid w:val="00207352"/>
    <w:rsid w:val="002107EE"/>
    <w:rsid w:val="00233DC7"/>
    <w:rsid w:val="00247779"/>
    <w:rsid w:val="00252895"/>
    <w:rsid w:val="002562A6"/>
    <w:rsid w:val="0026366E"/>
    <w:rsid w:val="00285BEE"/>
    <w:rsid w:val="00286B54"/>
    <w:rsid w:val="00294C79"/>
    <w:rsid w:val="0029533F"/>
    <w:rsid w:val="002B30AF"/>
    <w:rsid w:val="002B6BA7"/>
    <w:rsid w:val="002D4098"/>
    <w:rsid w:val="002E0343"/>
    <w:rsid w:val="002E5643"/>
    <w:rsid w:val="0033344A"/>
    <w:rsid w:val="00337C28"/>
    <w:rsid w:val="00346178"/>
    <w:rsid w:val="00352901"/>
    <w:rsid w:val="003553EC"/>
    <w:rsid w:val="00366380"/>
    <w:rsid w:val="0037183B"/>
    <w:rsid w:val="003A5233"/>
    <w:rsid w:val="003C281A"/>
    <w:rsid w:val="003D6C69"/>
    <w:rsid w:val="003D7615"/>
    <w:rsid w:val="003E61B7"/>
    <w:rsid w:val="003F3D12"/>
    <w:rsid w:val="00416DE5"/>
    <w:rsid w:val="0042648E"/>
    <w:rsid w:val="004316A6"/>
    <w:rsid w:val="00442C07"/>
    <w:rsid w:val="0044366A"/>
    <w:rsid w:val="00472BD7"/>
    <w:rsid w:val="00475078"/>
    <w:rsid w:val="0048521E"/>
    <w:rsid w:val="004865EA"/>
    <w:rsid w:val="004936D2"/>
    <w:rsid w:val="004A67EC"/>
    <w:rsid w:val="004A6B98"/>
    <w:rsid w:val="004B22BA"/>
    <w:rsid w:val="004D44E8"/>
    <w:rsid w:val="004E263E"/>
    <w:rsid w:val="004E3D08"/>
    <w:rsid w:val="004E4EA6"/>
    <w:rsid w:val="005109A1"/>
    <w:rsid w:val="00527A93"/>
    <w:rsid w:val="00532689"/>
    <w:rsid w:val="005460CA"/>
    <w:rsid w:val="00556121"/>
    <w:rsid w:val="00564435"/>
    <w:rsid w:val="005752F4"/>
    <w:rsid w:val="00575FB7"/>
    <w:rsid w:val="00581702"/>
    <w:rsid w:val="00582168"/>
    <w:rsid w:val="00582AB4"/>
    <w:rsid w:val="00584A77"/>
    <w:rsid w:val="00587805"/>
    <w:rsid w:val="005B1EB6"/>
    <w:rsid w:val="005D1F90"/>
    <w:rsid w:val="005F46A8"/>
    <w:rsid w:val="00606899"/>
    <w:rsid w:val="0061137A"/>
    <w:rsid w:val="00611A9B"/>
    <w:rsid w:val="00614116"/>
    <w:rsid w:val="00616190"/>
    <w:rsid w:val="00640ACF"/>
    <w:rsid w:val="00641AE7"/>
    <w:rsid w:val="00680376"/>
    <w:rsid w:val="006848CD"/>
    <w:rsid w:val="00686A42"/>
    <w:rsid w:val="006A0C1D"/>
    <w:rsid w:val="006A40E2"/>
    <w:rsid w:val="006A5E0B"/>
    <w:rsid w:val="006B284A"/>
    <w:rsid w:val="006C5058"/>
    <w:rsid w:val="006E3994"/>
    <w:rsid w:val="006E4899"/>
    <w:rsid w:val="006F2290"/>
    <w:rsid w:val="006F5797"/>
    <w:rsid w:val="00703C5A"/>
    <w:rsid w:val="007053F4"/>
    <w:rsid w:val="00706AF0"/>
    <w:rsid w:val="0070779D"/>
    <w:rsid w:val="00714F7B"/>
    <w:rsid w:val="0071520C"/>
    <w:rsid w:val="0071644B"/>
    <w:rsid w:val="0072318B"/>
    <w:rsid w:val="00755FE4"/>
    <w:rsid w:val="00763780"/>
    <w:rsid w:val="00764328"/>
    <w:rsid w:val="0077111E"/>
    <w:rsid w:val="00773331"/>
    <w:rsid w:val="00777230"/>
    <w:rsid w:val="00783059"/>
    <w:rsid w:val="007853EF"/>
    <w:rsid w:val="007856FE"/>
    <w:rsid w:val="00791317"/>
    <w:rsid w:val="007932EF"/>
    <w:rsid w:val="007A7EF0"/>
    <w:rsid w:val="007B19B9"/>
    <w:rsid w:val="007B19D4"/>
    <w:rsid w:val="007B65C8"/>
    <w:rsid w:val="007C1A10"/>
    <w:rsid w:val="007D1E54"/>
    <w:rsid w:val="007D460B"/>
    <w:rsid w:val="007D46A2"/>
    <w:rsid w:val="007E05B0"/>
    <w:rsid w:val="0080433E"/>
    <w:rsid w:val="00815513"/>
    <w:rsid w:val="00817BB9"/>
    <w:rsid w:val="00862463"/>
    <w:rsid w:val="0086401A"/>
    <w:rsid w:val="008668B4"/>
    <w:rsid w:val="00874D22"/>
    <w:rsid w:val="00876B9C"/>
    <w:rsid w:val="00887BAC"/>
    <w:rsid w:val="00895952"/>
    <w:rsid w:val="008A181D"/>
    <w:rsid w:val="008A2914"/>
    <w:rsid w:val="008A319A"/>
    <w:rsid w:val="008B341D"/>
    <w:rsid w:val="008C044C"/>
    <w:rsid w:val="008C6C31"/>
    <w:rsid w:val="008C6F83"/>
    <w:rsid w:val="008E4D8E"/>
    <w:rsid w:val="008E77C0"/>
    <w:rsid w:val="008F0392"/>
    <w:rsid w:val="00911243"/>
    <w:rsid w:val="00911A93"/>
    <w:rsid w:val="0091724B"/>
    <w:rsid w:val="00917A1E"/>
    <w:rsid w:val="00960CBE"/>
    <w:rsid w:val="00975FFB"/>
    <w:rsid w:val="00981CB1"/>
    <w:rsid w:val="00984892"/>
    <w:rsid w:val="00984986"/>
    <w:rsid w:val="00986CD3"/>
    <w:rsid w:val="009A7E6C"/>
    <w:rsid w:val="009D14DE"/>
    <w:rsid w:val="009D43C2"/>
    <w:rsid w:val="009D5F73"/>
    <w:rsid w:val="009E345B"/>
    <w:rsid w:val="009E4F32"/>
    <w:rsid w:val="009E6212"/>
    <w:rsid w:val="009F3567"/>
    <w:rsid w:val="009F5211"/>
    <w:rsid w:val="009F5951"/>
    <w:rsid w:val="00A248BA"/>
    <w:rsid w:val="00A314AB"/>
    <w:rsid w:val="00A45E8A"/>
    <w:rsid w:val="00A461D6"/>
    <w:rsid w:val="00A50B45"/>
    <w:rsid w:val="00A57DF3"/>
    <w:rsid w:val="00A67227"/>
    <w:rsid w:val="00A86B69"/>
    <w:rsid w:val="00A9047C"/>
    <w:rsid w:val="00AA05F5"/>
    <w:rsid w:val="00AA2EBB"/>
    <w:rsid w:val="00AA406E"/>
    <w:rsid w:val="00AC6B96"/>
    <w:rsid w:val="00AD673C"/>
    <w:rsid w:val="00AE07AF"/>
    <w:rsid w:val="00AE41EB"/>
    <w:rsid w:val="00AE55C0"/>
    <w:rsid w:val="00AF004C"/>
    <w:rsid w:val="00AF59C9"/>
    <w:rsid w:val="00AF6378"/>
    <w:rsid w:val="00B01B76"/>
    <w:rsid w:val="00B057ED"/>
    <w:rsid w:val="00B22396"/>
    <w:rsid w:val="00B233A0"/>
    <w:rsid w:val="00B37C0D"/>
    <w:rsid w:val="00B430DA"/>
    <w:rsid w:val="00B45970"/>
    <w:rsid w:val="00B534C4"/>
    <w:rsid w:val="00B65B6A"/>
    <w:rsid w:val="00B711E8"/>
    <w:rsid w:val="00B7126A"/>
    <w:rsid w:val="00B97FF6"/>
    <w:rsid w:val="00BC3051"/>
    <w:rsid w:val="00BC5104"/>
    <w:rsid w:val="00BD0975"/>
    <w:rsid w:val="00BD09B4"/>
    <w:rsid w:val="00BD132E"/>
    <w:rsid w:val="00BD16F9"/>
    <w:rsid w:val="00BE2E56"/>
    <w:rsid w:val="00BE3BE6"/>
    <w:rsid w:val="00BF2729"/>
    <w:rsid w:val="00BF2D5E"/>
    <w:rsid w:val="00BF5173"/>
    <w:rsid w:val="00BF6CC6"/>
    <w:rsid w:val="00C12301"/>
    <w:rsid w:val="00C24BC9"/>
    <w:rsid w:val="00C275D1"/>
    <w:rsid w:val="00C41800"/>
    <w:rsid w:val="00C4728F"/>
    <w:rsid w:val="00C55C83"/>
    <w:rsid w:val="00C76C22"/>
    <w:rsid w:val="00C937EF"/>
    <w:rsid w:val="00CA4F9C"/>
    <w:rsid w:val="00CA7D9E"/>
    <w:rsid w:val="00CB01B1"/>
    <w:rsid w:val="00CB1047"/>
    <w:rsid w:val="00CB17F1"/>
    <w:rsid w:val="00CC6D40"/>
    <w:rsid w:val="00CD3E10"/>
    <w:rsid w:val="00CD5BF4"/>
    <w:rsid w:val="00CD7759"/>
    <w:rsid w:val="00CE0D6E"/>
    <w:rsid w:val="00CE70BF"/>
    <w:rsid w:val="00CF6D65"/>
    <w:rsid w:val="00D04E8C"/>
    <w:rsid w:val="00D134F6"/>
    <w:rsid w:val="00D14330"/>
    <w:rsid w:val="00D14B3D"/>
    <w:rsid w:val="00D20381"/>
    <w:rsid w:val="00D2316C"/>
    <w:rsid w:val="00D348A7"/>
    <w:rsid w:val="00D521C1"/>
    <w:rsid w:val="00D62A50"/>
    <w:rsid w:val="00D66EDE"/>
    <w:rsid w:val="00D80C19"/>
    <w:rsid w:val="00D83BF4"/>
    <w:rsid w:val="00D85F26"/>
    <w:rsid w:val="00DC0AF1"/>
    <w:rsid w:val="00DC2338"/>
    <w:rsid w:val="00DC5702"/>
    <w:rsid w:val="00DD0DB2"/>
    <w:rsid w:val="00DD124D"/>
    <w:rsid w:val="00DD5C07"/>
    <w:rsid w:val="00DE6C39"/>
    <w:rsid w:val="00DF4CF0"/>
    <w:rsid w:val="00E01D11"/>
    <w:rsid w:val="00E2345E"/>
    <w:rsid w:val="00E56772"/>
    <w:rsid w:val="00E6537A"/>
    <w:rsid w:val="00E664ED"/>
    <w:rsid w:val="00E708EA"/>
    <w:rsid w:val="00E97B60"/>
    <w:rsid w:val="00EA3B0F"/>
    <w:rsid w:val="00EC02A7"/>
    <w:rsid w:val="00EC1EC9"/>
    <w:rsid w:val="00ED3256"/>
    <w:rsid w:val="00EE3BDE"/>
    <w:rsid w:val="00EE4164"/>
    <w:rsid w:val="00EF38E3"/>
    <w:rsid w:val="00F0184C"/>
    <w:rsid w:val="00F04970"/>
    <w:rsid w:val="00F06BC8"/>
    <w:rsid w:val="00F16E8D"/>
    <w:rsid w:val="00F251D3"/>
    <w:rsid w:val="00F31F83"/>
    <w:rsid w:val="00F342CA"/>
    <w:rsid w:val="00F36E53"/>
    <w:rsid w:val="00F44EAF"/>
    <w:rsid w:val="00F60565"/>
    <w:rsid w:val="00F617F2"/>
    <w:rsid w:val="00FA7F83"/>
    <w:rsid w:val="00FB0CFB"/>
    <w:rsid w:val="00FC38F8"/>
    <w:rsid w:val="00FC7AFB"/>
    <w:rsid w:val="00FD6F56"/>
    <w:rsid w:val="00FE01AC"/>
    <w:rsid w:val="00FF3758"/>
    <w:rsid w:val="074254D1"/>
    <w:rsid w:val="0E642408"/>
    <w:rsid w:val="1A10971B"/>
    <w:rsid w:val="26AE2AB3"/>
    <w:rsid w:val="292B2D0C"/>
    <w:rsid w:val="32DED34E"/>
    <w:rsid w:val="4E5DBF48"/>
    <w:rsid w:val="5570F538"/>
    <w:rsid w:val="64485736"/>
    <w:rsid w:val="6942B255"/>
    <w:rsid w:val="6A0AF0A2"/>
    <w:rsid w:val="6C0CAD12"/>
    <w:rsid w:val="721D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85DDA898-FAA1-4029-AC2E-546F8E4E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0F1E02"/>
    <w:pPr>
      <w:numPr>
        <w:numId w:val="1"/>
      </w:numPr>
      <w:tabs>
        <w:tab w:val="clear" w:pos="360"/>
      </w:tabs>
      <w:ind w:left="0" w:firstLine="0"/>
    </w:pPr>
    <w:rPr>
      <w:rFonts w:eastAsia="Times New Roman"/>
      <w:lang w:eastAsia="en-GB"/>
    </w:rPr>
  </w:style>
  <w:style w:type="paragraph" w:styleId="Caption">
    <w:name w:val="caption"/>
    <w:basedOn w:val="Normal"/>
    <w:next w:val="Normal"/>
    <w:uiPriority w:val="35"/>
    <w:semiHidden/>
    <w:unhideWhenUsed/>
    <w:qFormat/>
    <w:rsid w:val="00472B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72BD7"/>
    <w:pPr>
      <w:spacing w:after="0"/>
    </w:pPr>
  </w:style>
  <w:style w:type="paragraph" w:styleId="ListBullet2">
    <w:name w:val="List Bullet 2"/>
    <w:basedOn w:val="Normal"/>
    <w:uiPriority w:val="99"/>
    <w:semiHidden/>
    <w:unhideWhenUsed/>
    <w:rsid w:val="00472BD7"/>
    <w:pPr>
      <w:numPr>
        <w:numId w:val="2"/>
      </w:numPr>
      <w:contextualSpacing/>
    </w:pPr>
  </w:style>
  <w:style w:type="paragraph" w:styleId="ListBullet3">
    <w:name w:val="List Bullet 3"/>
    <w:basedOn w:val="Normal"/>
    <w:uiPriority w:val="99"/>
    <w:semiHidden/>
    <w:unhideWhenUsed/>
    <w:rsid w:val="00472BD7"/>
    <w:pPr>
      <w:numPr>
        <w:numId w:val="3"/>
      </w:numPr>
      <w:contextualSpacing/>
    </w:pPr>
  </w:style>
  <w:style w:type="paragraph" w:styleId="ListBullet4">
    <w:name w:val="List Bullet 4"/>
    <w:basedOn w:val="Normal"/>
    <w:uiPriority w:val="99"/>
    <w:semiHidden/>
    <w:unhideWhenUsed/>
    <w:rsid w:val="00472BD7"/>
    <w:pPr>
      <w:numPr>
        <w:numId w:val="4"/>
      </w:numPr>
      <w:contextualSpacing/>
    </w:pPr>
  </w:style>
  <w:style w:type="paragraph" w:styleId="ListNumber">
    <w:name w:val="List Number"/>
    <w:basedOn w:val="Normal"/>
    <w:uiPriority w:val="99"/>
    <w:semiHidden/>
    <w:unhideWhenUsed/>
    <w:rsid w:val="00472BD7"/>
    <w:pPr>
      <w:numPr>
        <w:numId w:val="5"/>
      </w:numPr>
      <w:contextualSpacing/>
    </w:pPr>
  </w:style>
  <w:style w:type="paragraph" w:styleId="ListNumber2">
    <w:name w:val="List Number 2"/>
    <w:basedOn w:val="Normal"/>
    <w:uiPriority w:val="99"/>
    <w:semiHidden/>
    <w:unhideWhenUsed/>
    <w:rsid w:val="00472BD7"/>
    <w:pPr>
      <w:numPr>
        <w:numId w:val="6"/>
      </w:numPr>
      <w:contextualSpacing/>
    </w:pPr>
  </w:style>
  <w:style w:type="paragraph" w:styleId="ListNumber3">
    <w:name w:val="List Number 3"/>
    <w:basedOn w:val="Normal"/>
    <w:unhideWhenUsed/>
    <w:rsid w:val="00472BD7"/>
    <w:pPr>
      <w:numPr>
        <w:numId w:val="7"/>
      </w:numPr>
      <w:tabs>
        <w:tab w:val="clear" w:pos="926"/>
        <w:tab w:val="num" w:pos="360"/>
      </w:tabs>
      <w:ind w:left="0" w:firstLine="0"/>
      <w:contextualSpacing/>
    </w:pPr>
  </w:style>
  <w:style w:type="paragraph" w:styleId="ListNumber4">
    <w:name w:val="List Number 4"/>
    <w:basedOn w:val="Normal"/>
    <w:uiPriority w:val="99"/>
    <w:semiHidden/>
    <w:unhideWhenUsed/>
    <w:rsid w:val="00472BD7"/>
    <w:pPr>
      <w:numPr>
        <w:numId w:val="8"/>
      </w:numPr>
      <w:contextualSpacing/>
    </w:pPr>
  </w:style>
  <w:style w:type="character" w:styleId="CommentReference">
    <w:name w:val="annotation reference"/>
    <w:basedOn w:val="DefaultParagraphFont"/>
    <w:uiPriority w:val="99"/>
    <w:semiHidden/>
    <w:unhideWhenUsed/>
    <w:rsid w:val="00BF5173"/>
    <w:rPr>
      <w:sz w:val="16"/>
      <w:szCs w:val="16"/>
    </w:rPr>
  </w:style>
  <w:style w:type="paragraph" w:styleId="CommentText">
    <w:name w:val="annotation text"/>
    <w:basedOn w:val="Normal"/>
    <w:link w:val="CommentTextChar"/>
    <w:uiPriority w:val="99"/>
    <w:unhideWhenUsed/>
    <w:rsid w:val="00BF5173"/>
    <w:rPr>
      <w:sz w:val="20"/>
      <w:szCs w:val="20"/>
    </w:rPr>
  </w:style>
  <w:style w:type="character" w:customStyle="1" w:styleId="CommentTextChar">
    <w:name w:val="Comment Text Char"/>
    <w:basedOn w:val="DefaultParagraphFont"/>
    <w:link w:val="CommentText"/>
    <w:uiPriority w:val="99"/>
    <w:rsid w:val="00BF517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F5173"/>
    <w:rPr>
      <w:b/>
      <w:bCs/>
    </w:rPr>
  </w:style>
  <w:style w:type="character" w:customStyle="1" w:styleId="CommentSubjectChar">
    <w:name w:val="Comment Subject Char"/>
    <w:basedOn w:val="CommentTextChar"/>
    <w:link w:val="CommentSubject"/>
    <w:uiPriority w:val="99"/>
    <w:semiHidden/>
    <w:rsid w:val="00BF5173"/>
    <w:rPr>
      <w:rFonts w:ascii="Times New Roman" w:hAnsi="Times New Roman" w:cs="Times New Roman"/>
      <w:b/>
      <w:bCs/>
      <w:sz w:val="20"/>
      <w:szCs w:val="20"/>
      <w:lang w:val="en-GB"/>
    </w:rPr>
  </w:style>
  <w:style w:type="character" w:styleId="Hyperlink">
    <w:name w:val="Hyperlink"/>
    <w:basedOn w:val="DefaultParagraphFont"/>
    <w:uiPriority w:val="99"/>
    <w:unhideWhenUsed/>
    <w:rsid w:val="00BF5173"/>
    <w:rPr>
      <w:color w:val="0000FF" w:themeColor="hyperlink"/>
      <w:u w:val="single"/>
    </w:rPr>
  </w:style>
  <w:style w:type="character" w:customStyle="1" w:styleId="UnresolvedMention">
    <w:name w:val="Unresolved Mention"/>
    <w:basedOn w:val="DefaultParagraphFont"/>
    <w:uiPriority w:val="99"/>
    <w:semiHidden/>
    <w:unhideWhenUsed/>
    <w:rsid w:val="00BF5173"/>
    <w:rPr>
      <w:color w:val="605E5C"/>
      <w:shd w:val="clear" w:color="auto" w:fill="E1DFDD"/>
    </w:rPr>
  </w:style>
  <w:style w:type="paragraph" w:styleId="ListParagraph">
    <w:name w:val="List Paragraph"/>
    <w:basedOn w:val="Normal"/>
    <w:uiPriority w:val="34"/>
    <w:qFormat/>
    <w:rsid w:val="000D2455"/>
    <w:pPr>
      <w:ind w:left="720"/>
      <w:contextualSpacing/>
    </w:pPr>
  </w:style>
  <w:style w:type="paragraph" w:styleId="Revision">
    <w:name w:val="Revision"/>
    <w:hidden/>
    <w:uiPriority w:val="99"/>
    <w:semiHidden/>
    <w:rsid w:val="00C275D1"/>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CA7D9E"/>
    <w:rPr>
      <w:rFonts w:ascii="Times New Roman" w:hAnsi="Times New Roman" w:cs="Times New Roman"/>
      <w:sz w:val="24"/>
      <w:lang w:val="en-GB"/>
    </w:rPr>
  </w:style>
  <w:style w:type="character" w:customStyle="1" w:styleId="FooterChar">
    <w:name w:val="Footer Char"/>
    <w:basedOn w:val="DefaultParagraphFont"/>
    <w:link w:val="Footer"/>
    <w:uiPriority w:val="99"/>
    <w:rsid w:val="00CA7D9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A7D9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A7D9E"/>
    <w:pPr>
      <w:spacing w:before="0"/>
      <w:jc w:val="right"/>
    </w:pPr>
    <w:rPr>
      <w:sz w:val="28"/>
    </w:rPr>
  </w:style>
  <w:style w:type="paragraph" w:customStyle="1" w:styleId="FooterSensitivity">
    <w:name w:val="Footer Sensitivity"/>
    <w:basedOn w:val="Normal"/>
    <w:rsid w:val="00CA7D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A7D9E"/>
    <w:pPr>
      <w:tabs>
        <w:tab w:val="center" w:pos="4535"/>
        <w:tab w:val="right" w:pos="9071"/>
      </w:tabs>
      <w:spacing w:before="0"/>
    </w:pPr>
  </w:style>
  <w:style w:type="paragraph" w:customStyle="1" w:styleId="HeaderLandscape">
    <w:name w:val="HeaderLandscape"/>
    <w:basedOn w:val="Normal"/>
    <w:rsid w:val="00CA7D9E"/>
    <w:pPr>
      <w:tabs>
        <w:tab w:val="center" w:pos="7285"/>
        <w:tab w:val="right" w:pos="14003"/>
      </w:tabs>
      <w:spacing w:before="0"/>
    </w:pPr>
  </w:style>
  <w:style w:type="paragraph" w:styleId="Footer">
    <w:name w:val="footer"/>
    <w:basedOn w:val="Normal"/>
    <w:link w:val="FooterChar"/>
    <w:uiPriority w:val="99"/>
    <w:unhideWhenUsed/>
    <w:rsid w:val="00CA7D9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A7D9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76523">
      <w:bodyDiv w:val="1"/>
      <w:marLeft w:val="0"/>
      <w:marRight w:val="0"/>
      <w:marTop w:val="0"/>
      <w:marBottom w:val="0"/>
      <w:divBdr>
        <w:top w:val="none" w:sz="0" w:space="0" w:color="auto"/>
        <w:left w:val="none" w:sz="0" w:space="0" w:color="auto"/>
        <w:bottom w:val="none" w:sz="0" w:space="0" w:color="auto"/>
        <w:right w:val="none" w:sz="0" w:space="0" w:color="auto"/>
      </w:divBdr>
    </w:div>
    <w:div w:id="858078514">
      <w:bodyDiv w:val="1"/>
      <w:marLeft w:val="0"/>
      <w:marRight w:val="0"/>
      <w:marTop w:val="0"/>
      <w:marBottom w:val="0"/>
      <w:divBdr>
        <w:top w:val="none" w:sz="0" w:space="0" w:color="auto"/>
        <w:left w:val="none" w:sz="0" w:space="0" w:color="auto"/>
        <w:bottom w:val="none" w:sz="0" w:space="0" w:color="auto"/>
        <w:right w:val="none" w:sz="0" w:space="0" w:color="auto"/>
      </w:divBdr>
    </w:div>
    <w:div w:id="178738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70E24-957C-425D-8F8C-BDA7C1AC6511}">
  <ds:schemaRefs>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d3620702-34ba-484e-bd5e-bf40cc0d0ccd"/>
  </ds:schemaRefs>
</ds:datastoreItem>
</file>

<file path=customXml/itemProps2.xml><?xml version="1.0" encoding="utf-8"?>
<ds:datastoreItem xmlns:ds="http://schemas.openxmlformats.org/officeDocument/2006/customXml" ds:itemID="{B0903E00-F805-4A59-83EA-640DC7186DDE}">
  <ds:schemaRefs>
    <ds:schemaRef ds:uri="http://schemas.microsoft.com/sharepoint/v3/contenttype/forms"/>
  </ds:schemaRefs>
</ds:datastoreItem>
</file>

<file path=customXml/itemProps3.xml><?xml version="1.0" encoding="utf-8"?>
<ds:datastoreItem xmlns:ds="http://schemas.openxmlformats.org/officeDocument/2006/customXml" ds:itemID="{B1E1D29D-307C-471E-AF35-FFE04F71C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275063-DD06-49D3-98EC-11019D8D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154</TotalTime>
  <Pages>8</Pages>
  <Words>2625</Words>
  <Characters>14967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cp:revision>
  <cp:lastPrinted>2026-06-30T15:02:00Z</cp:lastPrinted>
  <dcterms:created xsi:type="dcterms:W3CDTF">2026-06-24T19:57:00Z</dcterms:created>
  <dcterms:modified xsi:type="dcterms:W3CDTF">2026-07-02T06:02:00Z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2026-06-23T08:43:22Z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6ed93ba2-1059-42e0-8ff2-d45858d70b89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0x0101000F7792870D9CFF4C91BFD4828B009132</vt:lpwstr>
  </property>
  <property fmtid="{D5CDD505-2E9C-101B-9397-08002B2CF9AE}" pid="19" name="DQCStatus">
    <vt:lpwstr>Green (DQC version 03)</vt:lpwstr>
  </property>
</Properties>
</file>