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028499" w14:textId="069CD2AD" w:rsidR="001A62D7" w:rsidRDefault="00D90C31" w:rsidP="00D90C31">
      <w:pPr>
        <w:pStyle w:val="Pagedecouverture"/>
        <w:rPr>
          <w:noProof/>
        </w:rPr>
      </w:pPr>
      <w:r>
        <w:rPr>
          <w:noProof/>
        </w:rPr>
        <w:pict w14:anchorId="10F5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6652F43-119E-4884-8879-38C20789AB02" style="width:455.25pt;height:357.75pt">
            <v:imagedata r:id="rId11" o:title=""/>
          </v:shape>
        </w:pict>
      </w:r>
    </w:p>
    <w:p w14:paraId="46A5BA5F" w14:textId="77777777" w:rsidR="001A62D7" w:rsidRDefault="001A62D7" w:rsidP="001A62D7">
      <w:pPr>
        <w:rPr>
          <w:noProof/>
        </w:rPr>
        <w:sectPr w:rsidR="001A62D7" w:rsidSect="00D90C31">
          <w:footerReference w:type="even" r:id="rId12"/>
          <w:footerReference w:type="default" r:id="rId13"/>
          <w:pgSz w:w="11907" w:h="16839"/>
          <w:pgMar w:top="1134" w:right="1417" w:bottom="1134" w:left="1417" w:header="709" w:footer="709" w:gutter="0"/>
          <w:pgNumType w:start="0"/>
          <w:cols w:space="720"/>
          <w:docGrid w:linePitch="360"/>
        </w:sectPr>
      </w:pPr>
    </w:p>
    <w:p w14:paraId="5EEBB1B7" w14:textId="77777777" w:rsidR="001A62D7" w:rsidRDefault="001A62D7" w:rsidP="001A62D7">
      <w:pPr>
        <w:pStyle w:val="Exposdesmotifstitre"/>
        <w:rPr>
          <w:noProof/>
        </w:rPr>
      </w:pPr>
      <w:bookmarkStart w:id="0" w:name="_GoBack"/>
      <w:bookmarkEnd w:id="0"/>
      <w:r w:rsidRPr="006F770D">
        <w:rPr>
          <w:noProof/>
        </w:rPr>
        <w:lastRenderedPageBreak/>
        <w:t>EXPLANATORY MEMORANDUM</w:t>
      </w:r>
    </w:p>
    <w:p w14:paraId="130DA634" w14:textId="77777777" w:rsidR="00BF6BC2" w:rsidRDefault="00BF6BC2" w:rsidP="00BF6BC2">
      <w:pPr>
        <w:rPr>
          <w:noProof/>
        </w:rPr>
      </w:pPr>
      <w:r w:rsidRPr="008D462D">
        <w:rPr>
          <w:noProof/>
        </w:rPr>
        <w:t xml:space="preserve">The rules applicable to financial contributions from the European Globalisation Adjustment Fund </w:t>
      </w:r>
      <w:r>
        <w:rPr>
          <w:noProof/>
        </w:rPr>
        <w:t xml:space="preserve">for Displaced Workers </w:t>
      </w:r>
      <w:r w:rsidRPr="008D462D">
        <w:rPr>
          <w:noProof/>
        </w:rPr>
        <w:t xml:space="preserve">(EGF) are laid down in </w:t>
      </w:r>
      <w:r w:rsidRPr="00B6657B">
        <w:rPr>
          <w:noProof/>
        </w:rPr>
        <w:t>Regulation (EU) 2021/691</w:t>
      </w:r>
      <w:r>
        <w:rPr>
          <w:noProof/>
        </w:rPr>
        <w:t xml:space="preserve"> </w:t>
      </w:r>
      <w:r w:rsidRPr="00B6657B">
        <w:rPr>
          <w:noProof/>
        </w:rPr>
        <w:t>of the European Parliament and of the Council of 28 April 2021 on the European Globalisation Adjustment Fund for Displaced Workers (EGF) and repealing Regulation (EU) No 1309/2013</w:t>
      </w:r>
      <w:r w:rsidRPr="00B6657B">
        <w:rPr>
          <w:rStyle w:val="FootnoteReference"/>
          <w:noProof/>
        </w:rPr>
        <w:footnoteReference w:id="1"/>
      </w:r>
      <w:r>
        <w:rPr>
          <w:noProof/>
        </w:rPr>
        <w:t xml:space="preserve"> (hereinafter called </w:t>
      </w:r>
      <w:r w:rsidRPr="00B1325C">
        <w:rPr>
          <w:noProof/>
        </w:rPr>
        <w:t>EGF Regulation</w:t>
      </w:r>
      <w:r>
        <w:rPr>
          <w:noProof/>
        </w:rPr>
        <w:t>)</w:t>
      </w:r>
      <w:r w:rsidRPr="008D462D">
        <w:rPr>
          <w:noProof/>
        </w:rPr>
        <w:t>.</w:t>
      </w:r>
    </w:p>
    <w:p w14:paraId="0DADE1E0" w14:textId="77777777" w:rsidR="00BF6BC2" w:rsidRPr="006F770D" w:rsidRDefault="00BF6BC2" w:rsidP="00BF6BC2">
      <w:pPr>
        <w:pStyle w:val="ManualHeading1"/>
        <w:rPr>
          <w:noProof/>
        </w:rPr>
      </w:pPr>
      <w:r>
        <w:rPr>
          <w:noProof/>
        </w:rPr>
        <w:t>SUMMARY OF THE APPLICATION</w:t>
      </w:r>
    </w:p>
    <w:p w14:paraId="62BEFEB4" w14:textId="77777777" w:rsidR="00BF6BC2" w:rsidRPr="00747E9B" w:rsidRDefault="00BF6BC2" w:rsidP="00BF6BC2">
      <w:pPr>
        <w:pBdr>
          <w:top w:val="single" w:sz="4" w:space="1" w:color="auto"/>
          <w:left w:val="single" w:sz="4" w:space="4" w:color="auto"/>
          <w:bottom w:val="single" w:sz="4" w:space="1" w:color="auto"/>
          <w:right w:val="single" w:sz="4" w:space="4" w:color="auto"/>
          <w:between w:val="dotted" w:sz="4" w:space="1" w:color="auto"/>
        </w:pBdr>
        <w:rPr>
          <w:b/>
          <w:noProof/>
        </w:rPr>
      </w:pPr>
      <w:r w:rsidRPr="00747E9B">
        <w:rPr>
          <w:b/>
          <w:noProof/>
        </w:rPr>
        <w:t>Key data:</w:t>
      </w:r>
    </w:p>
    <w:p w14:paraId="543E1F4C" w14:textId="63EBBBA6" w:rsidR="00BF6BC2" w:rsidRPr="00747E9B" w:rsidRDefault="00BF6BC2" w:rsidP="00BF6BC2">
      <w:pPr>
        <w:pBdr>
          <w:top w:val="single" w:sz="4" w:space="1" w:color="auto"/>
          <w:left w:val="single" w:sz="4" w:space="4" w:color="auto"/>
          <w:bottom w:val="single" w:sz="4" w:space="1" w:color="auto"/>
          <w:right w:val="single" w:sz="4" w:space="4" w:color="auto"/>
          <w:between w:val="dotted" w:sz="4" w:space="1" w:color="auto"/>
        </w:pBdr>
        <w:tabs>
          <w:tab w:val="right" w:pos="8880"/>
        </w:tabs>
        <w:spacing w:before="0" w:after="0"/>
        <w:rPr>
          <w:noProof/>
        </w:rPr>
      </w:pPr>
      <w:r>
        <w:rPr>
          <w:noProof/>
        </w:rPr>
        <w:t>EGF Reference no.</w:t>
      </w:r>
      <w:r>
        <w:rPr>
          <w:noProof/>
        </w:rPr>
        <w:tab/>
        <w:t>EGF/202</w:t>
      </w:r>
      <w:r w:rsidR="00E859C9">
        <w:rPr>
          <w:noProof/>
        </w:rPr>
        <w:t>6</w:t>
      </w:r>
      <w:r w:rsidRPr="00747E9B">
        <w:rPr>
          <w:noProof/>
        </w:rPr>
        <w:t>/000</w:t>
      </w:r>
    </w:p>
    <w:p w14:paraId="6E4393A1" w14:textId="77777777" w:rsidR="00BF6BC2" w:rsidRPr="00747E9B" w:rsidRDefault="00BF6BC2" w:rsidP="00BF6BC2">
      <w:pPr>
        <w:pBdr>
          <w:top w:val="single" w:sz="4" w:space="1" w:color="auto"/>
          <w:left w:val="single" w:sz="4" w:space="4" w:color="auto"/>
          <w:bottom w:val="single" w:sz="4" w:space="1" w:color="auto"/>
          <w:right w:val="single" w:sz="4" w:space="4" w:color="auto"/>
          <w:between w:val="dotted" w:sz="4" w:space="1" w:color="auto"/>
        </w:pBdr>
        <w:tabs>
          <w:tab w:val="right" w:pos="8880"/>
        </w:tabs>
        <w:spacing w:before="0" w:after="0"/>
        <w:rPr>
          <w:noProof/>
        </w:rPr>
      </w:pPr>
      <w:r w:rsidRPr="00747E9B">
        <w:rPr>
          <w:noProof/>
        </w:rPr>
        <w:t>European Commission</w:t>
      </w:r>
      <w:r w:rsidRPr="00747E9B">
        <w:rPr>
          <w:noProof/>
        </w:rPr>
        <w:tab/>
        <w:t>Technical assistance</w:t>
      </w:r>
    </w:p>
    <w:p w14:paraId="31836C58" w14:textId="71E87432" w:rsidR="00BF6BC2" w:rsidRPr="00F540A1" w:rsidRDefault="00BF6BC2" w:rsidP="00BF6BC2">
      <w:pPr>
        <w:pBdr>
          <w:top w:val="single" w:sz="4" w:space="1" w:color="auto"/>
          <w:left w:val="single" w:sz="4" w:space="4" w:color="auto"/>
          <w:bottom w:val="single" w:sz="4" w:space="1" w:color="auto"/>
          <w:right w:val="single" w:sz="4" w:space="4" w:color="auto"/>
          <w:between w:val="dotted" w:sz="4" w:space="1" w:color="auto"/>
        </w:pBdr>
        <w:tabs>
          <w:tab w:val="right" w:pos="8880"/>
        </w:tabs>
        <w:spacing w:before="0" w:after="0"/>
        <w:rPr>
          <w:noProof/>
        </w:rPr>
      </w:pPr>
      <w:r w:rsidRPr="00747E9B">
        <w:rPr>
          <w:noProof/>
        </w:rPr>
        <w:t>Administrative expenditure: budget in EUR</w:t>
      </w:r>
      <w:r w:rsidRPr="00747E9B">
        <w:rPr>
          <w:noProof/>
        </w:rPr>
        <w:tab/>
      </w:r>
      <w:r w:rsidR="008E06B5">
        <w:rPr>
          <w:noProof/>
        </w:rPr>
        <w:t>210</w:t>
      </w:r>
      <w:r w:rsidR="00F13120">
        <w:rPr>
          <w:noProof/>
        </w:rPr>
        <w:t> </w:t>
      </w:r>
      <w:r w:rsidR="008E06B5">
        <w:rPr>
          <w:noProof/>
        </w:rPr>
        <w:t>000</w:t>
      </w:r>
    </w:p>
    <w:p w14:paraId="19E03254" w14:textId="29BD9627" w:rsidR="00BF6BC2" w:rsidRPr="00F540A1" w:rsidRDefault="00BF6BC2" w:rsidP="00BF6BC2">
      <w:pPr>
        <w:pBdr>
          <w:top w:val="single" w:sz="4" w:space="1" w:color="auto"/>
          <w:left w:val="single" w:sz="4" w:space="4" w:color="auto"/>
          <w:bottom w:val="single" w:sz="4" w:space="1" w:color="auto"/>
          <w:right w:val="single" w:sz="4" w:space="4" w:color="auto"/>
          <w:between w:val="dotted" w:sz="4" w:space="1" w:color="auto"/>
        </w:pBdr>
        <w:tabs>
          <w:tab w:val="right" w:pos="8880"/>
        </w:tabs>
        <w:spacing w:before="0" w:after="0"/>
        <w:rPr>
          <w:noProof/>
        </w:rPr>
      </w:pPr>
      <w:r w:rsidRPr="008616FA">
        <w:rPr>
          <w:noProof/>
        </w:rPr>
        <w:t xml:space="preserve">% administrative expenditure (ceiling: </w:t>
      </w:r>
      <w:r w:rsidR="008E06B5">
        <w:rPr>
          <w:noProof/>
        </w:rPr>
        <w:t>1,5</w:t>
      </w:r>
      <w:r w:rsidR="00B232DA">
        <w:rPr>
          <w:noProof/>
        </w:rPr>
        <w:t> </w:t>
      </w:r>
      <w:r w:rsidR="008E06B5">
        <w:rPr>
          <w:noProof/>
        </w:rPr>
        <w:t>%</w:t>
      </w:r>
      <w:r w:rsidRPr="008616FA">
        <w:rPr>
          <w:noProof/>
        </w:rPr>
        <w:t>)</w:t>
      </w:r>
      <w:r w:rsidRPr="008616FA">
        <w:rPr>
          <w:noProof/>
        </w:rPr>
        <w:tab/>
      </w:r>
      <w:r w:rsidR="008E06B5">
        <w:rPr>
          <w:noProof/>
        </w:rPr>
        <w:t>0,60</w:t>
      </w:r>
      <w:r w:rsidR="00F13120">
        <w:rPr>
          <w:noProof/>
        </w:rPr>
        <w:t> </w:t>
      </w:r>
      <w:r w:rsidRPr="0007752A">
        <w:rPr>
          <w:noProof/>
        </w:rPr>
        <w:t>%</w:t>
      </w:r>
    </w:p>
    <w:p w14:paraId="48F7897F" w14:textId="77777777" w:rsidR="00BF6BC2" w:rsidRDefault="00BF6BC2" w:rsidP="00BF6BC2">
      <w:pPr>
        <w:rPr>
          <w:noProof/>
        </w:rPr>
      </w:pPr>
    </w:p>
    <w:p w14:paraId="5B62A3D4" w14:textId="69362DD5" w:rsidR="00BF6BC2" w:rsidRDefault="00BF6BC2" w:rsidP="00BF6BC2">
      <w:pPr>
        <w:rPr>
          <w:noProof/>
        </w:rPr>
      </w:pPr>
      <w:r w:rsidRPr="00747E9B">
        <w:rPr>
          <w:noProof/>
        </w:rPr>
        <w:t xml:space="preserve">In accordance with Article 11(1) of the EGF Regulation, a maximum of </w:t>
      </w:r>
      <w:r w:rsidR="008E06B5">
        <w:rPr>
          <w:noProof/>
        </w:rPr>
        <w:t>1,5</w:t>
      </w:r>
      <w:r w:rsidR="00B232DA">
        <w:rPr>
          <w:noProof/>
        </w:rPr>
        <w:t> </w:t>
      </w:r>
      <w:r w:rsidR="008E06B5">
        <w:rPr>
          <w:noProof/>
        </w:rPr>
        <w:t>%</w:t>
      </w:r>
      <w:r w:rsidRPr="00747E9B">
        <w:rPr>
          <w:noProof/>
        </w:rPr>
        <w:t xml:space="preserve"> of the annual maximum amount of the EGF may be made available each year for technical assistance at the initiative of the Commission.</w:t>
      </w:r>
    </w:p>
    <w:p w14:paraId="7233DBEC" w14:textId="77777777" w:rsidR="00BF6BC2" w:rsidRPr="00747E9B" w:rsidRDefault="00BF6BC2" w:rsidP="00BF6BC2">
      <w:pPr>
        <w:rPr>
          <w:noProof/>
        </w:rPr>
      </w:pPr>
    </w:p>
    <w:p w14:paraId="4A88D9C1" w14:textId="77777777" w:rsidR="00BF6BC2" w:rsidRPr="00747E9B" w:rsidRDefault="00BF6BC2" w:rsidP="00BF6BC2">
      <w:pPr>
        <w:rPr>
          <w:b/>
          <w:noProof/>
          <w:u w:val="single"/>
        </w:rPr>
      </w:pPr>
      <w:r w:rsidRPr="00747E9B">
        <w:rPr>
          <w:b/>
          <w:noProof/>
          <w:u w:val="single"/>
        </w:rPr>
        <w:t>Technical assistance to be funded and breakdown of its estimated costs</w:t>
      </w:r>
    </w:p>
    <w:p w14:paraId="7F16A60A" w14:textId="77777777" w:rsidR="00BF6BC2" w:rsidRDefault="00BF6BC2" w:rsidP="00BF6BC2">
      <w:pPr>
        <w:pStyle w:val="ManualNumPar1"/>
        <w:rPr>
          <w:noProof/>
        </w:rPr>
      </w:pPr>
      <w:r>
        <w:rPr>
          <w:noProof/>
        </w:rPr>
        <w:t>1</w:t>
      </w:r>
      <w:r w:rsidRPr="00E701C6">
        <w:rPr>
          <w:noProof/>
        </w:rPr>
        <w:t>.</w:t>
      </w:r>
      <w:r w:rsidRPr="00E701C6">
        <w:rPr>
          <w:noProof/>
        </w:rPr>
        <w:tab/>
      </w:r>
      <w:r w:rsidRPr="00747E9B">
        <w:rPr>
          <w:noProof/>
        </w:rPr>
        <w:t xml:space="preserve">The contribution will be used for expenditure </w:t>
      </w:r>
      <w:r w:rsidRPr="00810D7A">
        <w:rPr>
          <w:noProof/>
        </w:rPr>
        <w:t>mentioned</w:t>
      </w:r>
      <w:r w:rsidRPr="00747E9B">
        <w:rPr>
          <w:noProof/>
        </w:rPr>
        <w:t xml:space="preserve"> i</w:t>
      </w:r>
      <w:r>
        <w:rPr>
          <w:noProof/>
        </w:rPr>
        <w:t xml:space="preserve">n </w:t>
      </w:r>
      <w:r w:rsidRPr="006E3F92">
        <w:rPr>
          <w:noProof/>
        </w:rPr>
        <w:t>Article 11(1) and (4) as</w:t>
      </w:r>
      <w:r w:rsidRPr="00A552E6">
        <w:rPr>
          <w:noProof/>
        </w:rPr>
        <w:t xml:space="preserve"> well as Article 12(2), (3) and (4)</w:t>
      </w:r>
      <w:r w:rsidRPr="00747E9B">
        <w:rPr>
          <w:noProof/>
        </w:rPr>
        <w:t xml:space="preserve"> of the EGF Regulation, as detailed hereunder.</w:t>
      </w:r>
      <w:r>
        <w:rPr>
          <w:noProof/>
        </w:rPr>
        <w:t xml:space="preserve"> It will be managed by the European Commission under direct management.</w:t>
      </w:r>
    </w:p>
    <w:p w14:paraId="22ECC12D" w14:textId="77777777" w:rsidR="00BF6BC2" w:rsidRPr="0054553E" w:rsidRDefault="00BF6BC2" w:rsidP="00BF6BC2">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394"/>
      </w:tblGrid>
      <w:tr w:rsidR="00BF6BC2" w:rsidRPr="00747E9B" w14:paraId="642A5271" w14:textId="77777777" w:rsidTr="001D521D">
        <w:tc>
          <w:tcPr>
            <w:tcW w:w="4786" w:type="dxa"/>
            <w:shd w:val="clear" w:color="auto" w:fill="auto"/>
          </w:tcPr>
          <w:p w14:paraId="6FBB926B" w14:textId="77777777" w:rsidR="00BF6BC2" w:rsidRPr="00747E9B" w:rsidRDefault="00BF6BC2" w:rsidP="001D521D">
            <w:pPr>
              <w:pStyle w:val="Text1"/>
              <w:ind w:left="0"/>
              <w:jc w:val="center"/>
              <w:rPr>
                <w:b/>
                <w:noProof/>
              </w:rPr>
            </w:pPr>
            <w:r>
              <w:rPr>
                <w:b/>
                <w:noProof/>
              </w:rPr>
              <w:t>Description</w:t>
            </w:r>
          </w:p>
        </w:tc>
        <w:tc>
          <w:tcPr>
            <w:tcW w:w="4394" w:type="dxa"/>
            <w:shd w:val="clear" w:color="auto" w:fill="auto"/>
          </w:tcPr>
          <w:p w14:paraId="09ED001F" w14:textId="77777777" w:rsidR="00BF6BC2" w:rsidRPr="00747E9B" w:rsidRDefault="00BF6BC2" w:rsidP="001D521D">
            <w:pPr>
              <w:pStyle w:val="Text1"/>
              <w:ind w:left="0"/>
              <w:jc w:val="center"/>
              <w:rPr>
                <w:b/>
                <w:noProof/>
              </w:rPr>
            </w:pPr>
            <w:r w:rsidRPr="00747E9B">
              <w:rPr>
                <w:b/>
                <w:noProof/>
              </w:rPr>
              <w:t xml:space="preserve">Total </w:t>
            </w:r>
            <w:r>
              <w:rPr>
                <w:b/>
                <w:noProof/>
              </w:rPr>
              <w:t>expenditure</w:t>
            </w:r>
            <w:r w:rsidRPr="00747E9B">
              <w:rPr>
                <w:b/>
                <w:noProof/>
              </w:rPr>
              <w:br/>
              <w:t>(in EUR)</w:t>
            </w:r>
          </w:p>
        </w:tc>
      </w:tr>
      <w:tr w:rsidR="00BF6BC2" w:rsidRPr="00747E9B" w14:paraId="4B114E42" w14:textId="77777777" w:rsidTr="001D521D">
        <w:tc>
          <w:tcPr>
            <w:tcW w:w="4786" w:type="dxa"/>
            <w:shd w:val="clear" w:color="auto" w:fill="auto"/>
          </w:tcPr>
          <w:p w14:paraId="46A9A732" w14:textId="77777777" w:rsidR="00BF6BC2" w:rsidRPr="00747E9B" w:rsidRDefault="00BF6BC2" w:rsidP="001D521D">
            <w:pPr>
              <w:pStyle w:val="Text1"/>
              <w:ind w:left="0"/>
              <w:jc w:val="left"/>
              <w:rPr>
                <w:noProof/>
              </w:rPr>
            </w:pPr>
            <w:r w:rsidRPr="00747E9B">
              <w:rPr>
                <w:noProof/>
              </w:rPr>
              <w:t xml:space="preserve">Administrative </w:t>
            </w:r>
            <w:r>
              <w:rPr>
                <w:noProof/>
              </w:rPr>
              <w:t>expenditure</w:t>
            </w:r>
          </w:p>
        </w:tc>
        <w:tc>
          <w:tcPr>
            <w:tcW w:w="4394" w:type="dxa"/>
            <w:shd w:val="clear" w:color="auto" w:fill="auto"/>
          </w:tcPr>
          <w:p w14:paraId="75800373" w14:textId="03BEA5C3" w:rsidR="00BF6BC2" w:rsidRPr="00FD13E3" w:rsidRDefault="008E06B5" w:rsidP="001D521D">
            <w:pPr>
              <w:pStyle w:val="Text1"/>
              <w:ind w:left="0"/>
              <w:jc w:val="right"/>
              <w:rPr>
                <w:noProof/>
              </w:rPr>
            </w:pPr>
            <w:r>
              <w:rPr>
                <w:noProof/>
              </w:rPr>
              <w:t>120</w:t>
            </w:r>
            <w:r w:rsidR="00B232DA">
              <w:rPr>
                <w:noProof/>
              </w:rPr>
              <w:t> </w:t>
            </w:r>
            <w:r>
              <w:rPr>
                <w:noProof/>
              </w:rPr>
              <w:t>000</w:t>
            </w:r>
          </w:p>
        </w:tc>
      </w:tr>
      <w:tr w:rsidR="00BF6BC2" w:rsidRPr="00747E9B" w14:paraId="2F7135E1" w14:textId="77777777" w:rsidTr="001D521D">
        <w:tc>
          <w:tcPr>
            <w:tcW w:w="4786" w:type="dxa"/>
            <w:shd w:val="clear" w:color="auto" w:fill="auto"/>
          </w:tcPr>
          <w:p w14:paraId="71F42100" w14:textId="77777777" w:rsidR="00BF6BC2" w:rsidRPr="00747E9B" w:rsidRDefault="00BF6BC2" w:rsidP="001D521D">
            <w:pPr>
              <w:pStyle w:val="Text1"/>
              <w:ind w:left="0"/>
              <w:jc w:val="left"/>
              <w:rPr>
                <w:noProof/>
              </w:rPr>
            </w:pPr>
            <w:r>
              <w:rPr>
                <w:noProof/>
              </w:rPr>
              <w:t>Technical expenditure</w:t>
            </w:r>
          </w:p>
        </w:tc>
        <w:tc>
          <w:tcPr>
            <w:tcW w:w="4394" w:type="dxa"/>
            <w:shd w:val="clear" w:color="auto" w:fill="auto"/>
          </w:tcPr>
          <w:p w14:paraId="3DA2F3D6" w14:textId="191F41B6" w:rsidR="00BF6BC2" w:rsidRPr="00FD13E3" w:rsidRDefault="00E859C9" w:rsidP="001D521D">
            <w:pPr>
              <w:pStyle w:val="Text1"/>
              <w:ind w:left="0"/>
              <w:jc w:val="right"/>
              <w:rPr>
                <w:noProof/>
              </w:rPr>
            </w:pPr>
            <w:r>
              <w:rPr>
                <w:noProof/>
              </w:rPr>
              <w:t>9</w:t>
            </w:r>
            <w:r w:rsidR="00BF6BC2" w:rsidRPr="00FD13E3">
              <w:rPr>
                <w:noProof/>
              </w:rPr>
              <w:t>0 000</w:t>
            </w:r>
          </w:p>
        </w:tc>
      </w:tr>
      <w:tr w:rsidR="00BF6BC2" w:rsidRPr="00747E9B" w14:paraId="70D4696E" w14:textId="77777777" w:rsidTr="001D521D">
        <w:tc>
          <w:tcPr>
            <w:tcW w:w="4786" w:type="dxa"/>
            <w:shd w:val="clear" w:color="auto" w:fill="auto"/>
          </w:tcPr>
          <w:p w14:paraId="252CCA1D" w14:textId="77777777" w:rsidR="00BF6BC2" w:rsidRPr="00747E9B" w:rsidRDefault="00BF6BC2" w:rsidP="001D521D">
            <w:pPr>
              <w:pStyle w:val="Text1"/>
              <w:ind w:left="0"/>
              <w:rPr>
                <w:b/>
                <w:noProof/>
              </w:rPr>
            </w:pPr>
            <w:r w:rsidRPr="00747E9B">
              <w:rPr>
                <w:b/>
                <w:noProof/>
              </w:rPr>
              <w:t xml:space="preserve">Total estimated </w:t>
            </w:r>
            <w:r>
              <w:rPr>
                <w:b/>
                <w:noProof/>
              </w:rPr>
              <w:t>expenditure</w:t>
            </w:r>
          </w:p>
        </w:tc>
        <w:tc>
          <w:tcPr>
            <w:tcW w:w="4394" w:type="dxa"/>
            <w:shd w:val="clear" w:color="auto" w:fill="auto"/>
          </w:tcPr>
          <w:p w14:paraId="4252780D" w14:textId="066C24CE" w:rsidR="00BF6BC2" w:rsidRPr="00FD13E3" w:rsidRDefault="008E06B5" w:rsidP="001D521D">
            <w:pPr>
              <w:pStyle w:val="Text1"/>
              <w:ind w:left="0"/>
              <w:jc w:val="right"/>
              <w:rPr>
                <w:b/>
                <w:noProof/>
              </w:rPr>
            </w:pPr>
            <w:r>
              <w:rPr>
                <w:b/>
                <w:noProof/>
                <w:lang w:val="bg-BG"/>
              </w:rPr>
              <w:t>210</w:t>
            </w:r>
            <w:r w:rsidR="00B232DA">
              <w:rPr>
                <w:b/>
                <w:noProof/>
              </w:rPr>
              <w:t> </w:t>
            </w:r>
            <w:r>
              <w:rPr>
                <w:b/>
                <w:noProof/>
                <w:lang w:val="bg-BG"/>
              </w:rPr>
              <w:t>000</w:t>
            </w:r>
          </w:p>
        </w:tc>
      </w:tr>
    </w:tbl>
    <w:p w14:paraId="1FDD9195" w14:textId="77777777" w:rsidR="00BF6BC2" w:rsidRPr="00F540A1" w:rsidRDefault="00BF6BC2" w:rsidP="00BF6BC2">
      <w:pPr>
        <w:rPr>
          <w:noProof/>
        </w:rPr>
      </w:pPr>
    </w:p>
    <w:p w14:paraId="1226B4E8" w14:textId="77777777" w:rsidR="00BF6BC2" w:rsidRPr="00D60F7E" w:rsidRDefault="00BF6BC2" w:rsidP="00BF6BC2">
      <w:pPr>
        <w:pStyle w:val="ManualNumPar1"/>
        <w:rPr>
          <w:noProof/>
        </w:rPr>
      </w:pPr>
      <w:r>
        <w:rPr>
          <w:noProof/>
        </w:rPr>
        <w:t>2</w:t>
      </w:r>
      <w:r w:rsidRPr="00E701C6">
        <w:rPr>
          <w:noProof/>
        </w:rPr>
        <w:t>.</w:t>
      </w:r>
      <w:r w:rsidRPr="00E701C6">
        <w:rPr>
          <w:noProof/>
        </w:rPr>
        <w:tab/>
      </w:r>
      <w:r w:rsidRPr="00A5220E">
        <w:rPr>
          <w:noProof/>
        </w:rPr>
        <w:t>Administrative expenditure:</w:t>
      </w:r>
    </w:p>
    <w:p w14:paraId="71F6EF76" w14:textId="6FAB3519" w:rsidR="00BF6BC2" w:rsidRDefault="00BF6BC2" w:rsidP="00BF6BC2">
      <w:pPr>
        <w:pStyle w:val="ListBullet4"/>
        <w:tabs>
          <w:tab w:val="clear" w:pos="360"/>
          <w:tab w:val="clear" w:pos="1134"/>
          <w:tab w:val="num" w:pos="1209"/>
        </w:tabs>
        <w:ind w:left="1209" w:hanging="360"/>
        <w:contextualSpacing/>
        <w:rPr>
          <w:noProof/>
        </w:rPr>
      </w:pPr>
      <w:r w:rsidRPr="0020793F">
        <w:rPr>
          <w:noProof/>
        </w:rPr>
        <w:t xml:space="preserve">The </w:t>
      </w:r>
      <w:bookmarkStart w:id="1" w:name="_Hlk188626697"/>
      <w:r w:rsidRPr="0020793F">
        <w:rPr>
          <w:noProof/>
        </w:rPr>
        <w:t xml:space="preserve">Expert Group of Contact Persons of the EGF, </w:t>
      </w:r>
      <w:r w:rsidR="00D42B30">
        <w:rPr>
          <w:noProof/>
        </w:rPr>
        <w:t>made up of</w:t>
      </w:r>
      <w:r w:rsidRPr="0020793F">
        <w:rPr>
          <w:noProof/>
        </w:rPr>
        <w:t xml:space="preserve"> </w:t>
      </w:r>
      <w:r w:rsidR="00A52484">
        <w:rPr>
          <w:noProof/>
        </w:rPr>
        <w:t xml:space="preserve">up to </w:t>
      </w:r>
      <w:r>
        <w:rPr>
          <w:noProof/>
        </w:rPr>
        <w:t>two</w:t>
      </w:r>
      <w:r w:rsidRPr="0020793F">
        <w:rPr>
          <w:noProof/>
        </w:rPr>
        <w:t xml:space="preserve"> member</w:t>
      </w:r>
      <w:r>
        <w:rPr>
          <w:noProof/>
        </w:rPr>
        <w:t>s</w:t>
      </w:r>
      <w:r w:rsidRPr="0020793F">
        <w:rPr>
          <w:noProof/>
        </w:rPr>
        <w:t xml:space="preserve"> from each Member State, will hold regular meetings</w:t>
      </w:r>
      <w:bookmarkEnd w:id="1"/>
      <w:r w:rsidRPr="0020793F">
        <w:rPr>
          <w:noProof/>
        </w:rPr>
        <w:t xml:space="preserve">. </w:t>
      </w:r>
      <w:r>
        <w:rPr>
          <w:noProof/>
        </w:rPr>
        <w:t>Based on experiences with virtual meetings, and in line with the Commission's ambitions to lower the environmental footprint of its activities, one virtual meeting and one in</w:t>
      </w:r>
      <w:r w:rsidR="00625B31">
        <w:rPr>
          <w:noProof/>
        </w:rPr>
        <w:t>-person</w:t>
      </w:r>
      <w:r>
        <w:rPr>
          <w:noProof/>
        </w:rPr>
        <w:t xml:space="preserve"> </w:t>
      </w:r>
      <w:r w:rsidR="00D42B30">
        <w:rPr>
          <w:noProof/>
        </w:rPr>
        <w:t xml:space="preserve">meeting will be organised </w:t>
      </w:r>
      <w:r>
        <w:rPr>
          <w:noProof/>
        </w:rPr>
        <w:t xml:space="preserve">in </w:t>
      </w:r>
      <w:r w:rsidRPr="00FD13E3">
        <w:rPr>
          <w:noProof/>
        </w:rPr>
        <w:t>202</w:t>
      </w:r>
      <w:r w:rsidR="00E859C9">
        <w:rPr>
          <w:noProof/>
        </w:rPr>
        <w:t>6</w:t>
      </w:r>
      <w:r w:rsidRPr="00FD13E3">
        <w:rPr>
          <w:noProof/>
        </w:rPr>
        <w:t>.</w:t>
      </w:r>
    </w:p>
    <w:p w14:paraId="294D7123" w14:textId="1620F160" w:rsidR="00BF6BC2" w:rsidRDefault="00BF6BC2" w:rsidP="00BF6BC2">
      <w:pPr>
        <w:pStyle w:val="ListBullet4"/>
        <w:tabs>
          <w:tab w:val="clear" w:pos="360"/>
          <w:tab w:val="clear" w:pos="1134"/>
          <w:tab w:val="num" w:pos="1209"/>
        </w:tabs>
        <w:ind w:left="1209" w:hanging="360"/>
        <w:contextualSpacing/>
        <w:rPr>
          <w:noProof/>
        </w:rPr>
      </w:pPr>
      <w:bookmarkStart w:id="2" w:name="_Hlk188626862"/>
      <w:r>
        <w:rPr>
          <w:noProof/>
        </w:rPr>
        <w:t>I</w:t>
      </w:r>
      <w:r w:rsidRPr="00747E9B">
        <w:rPr>
          <w:noProof/>
        </w:rPr>
        <w:t>n order to promote networking among the Member States,</w:t>
      </w:r>
      <w:r w:rsidR="00D42B30">
        <w:rPr>
          <w:noProof/>
        </w:rPr>
        <w:t xml:space="preserve"> </w:t>
      </w:r>
      <w:r w:rsidRPr="00747E9B">
        <w:rPr>
          <w:noProof/>
        </w:rPr>
        <w:t xml:space="preserve">the Commission will organise </w:t>
      </w:r>
      <w:r>
        <w:rPr>
          <w:noProof/>
        </w:rPr>
        <w:t>one seminar</w:t>
      </w:r>
      <w:r w:rsidRPr="00747E9B">
        <w:rPr>
          <w:noProof/>
        </w:rPr>
        <w:t xml:space="preserve"> with the participation of EGF implementing bodies and social partners</w:t>
      </w:r>
      <w:bookmarkEnd w:id="2"/>
      <w:r w:rsidRPr="00747E9B">
        <w:rPr>
          <w:noProof/>
        </w:rPr>
        <w:t>.</w:t>
      </w:r>
    </w:p>
    <w:p w14:paraId="1AFA1B84" w14:textId="3D0252E3" w:rsidR="00BF6BC2" w:rsidRDefault="00BF6BC2" w:rsidP="00BF6BC2">
      <w:pPr>
        <w:pStyle w:val="ListBullet4"/>
        <w:tabs>
          <w:tab w:val="clear" w:pos="360"/>
          <w:tab w:val="clear" w:pos="1134"/>
          <w:tab w:val="num" w:pos="1209"/>
        </w:tabs>
        <w:ind w:left="1209" w:hanging="360"/>
        <w:contextualSpacing/>
        <w:rPr>
          <w:noProof/>
        </w:rPr>
      </w:pPr>
      <w:r>
        <w:rPr>
          <w:noProof/>
        </w:rPr>
        <w:lastRenderedPageBreak/>
        <w:t>Information activities: t</w:t>
      </w:r>
      <w:r w:rsidRPr="00B83F1B">
        <w:rPr>
          <w:noProof/>
        </w:rPr>
        <w:t xml:space="preserve">he </w:t>
      </w:r>
      <w:r>
        <w:rPr>
          <w:noProof/>
        </w:rPr>
        <w:t>EGF’s online presence</w:t>
      </w:r>
      <w:r w:rsidRPr="00B83F1B">
        <w:rPr>
          <w:rStyle w:val="FootnoteReference"/>
          <w:noProof/>
        </w:rPr>
        <w:footnoteReference w:id="2"/>
      </w:r>
      <w:r w:rsidRPr="00B83F1B">
        <w:rPr>
          <w:noProof/>
        </w:rPr>
        <w:t xml:space="preserve">, which the Commission has set up within its Employment, Social Affairs and Inclusion area, and </w:t>
      </w:r>
      <w:r w:rsidRPr="00E859C9">
        <w:rPr>
          <w:noProof/>
        </w:rPr>
        <w:t>which it is maintaining as required under Article 12(2) of the EGF Regulation, will be regularly updated and expanded, with each new element being translated into all EU languages. General awareness of the EGF will be increased and its visibility promoted. The EGF will be covered in various Commission publications and audio-visual activities as provided for in Article 11(1) of the EGF Regulation</w:t>
      </w:r>
      <w:r w:rsidR="00D42B30">
        <w:rPr>
          <w:noProof/>
        </w:rPr>
        <w:t>.</w:t>
      </w:r>
    </w:p>
    <w:p w14:paraId="6CE2EB55" w14:textId="39428FB8" w:rsidR="00D42B30" w:rsidRPr="00E859C9" w:rsidRDefault="00D42B30" w:rsidP="00BF6BC2">
      <w:pPr>
        <w:pStyle w:val="ListBullet4"/>
        <w:tabs>
          <w:tab w:val="clear" w:pos="360"/>
          <w:tab w:val="clear" w:pos="1134"/>
          <w:tab w:val="num" w:pos="1209"/>
        </w:tabs>
        <w:ind w:left="1209" w:hanging="360"/>
        <w:contextualSpacing/>
        <w:rPr>
          <w:noProof/>
        </w:rPr>
      </w:pPr>
      <w:r>
        <w:rPr>
          <w:noProof/>
        </w:rPr>
        <w:t>All the activities above will include raising awar</w:t>
      </w:r>
      <w:r w:rsidR="00A31E3D">
        <w:rPr>
          <w:noProof/>
        </w:rPr>
        <w:t>e</w:t>
      </w:r>
      <w:r>
        <w:rPr>
          <w:noProof/>
        </w:rPr>
        <w:t>ness vis-à-vis Member States, social partners and entreprises on the political agreement reached</w:t>
      </w:r>
      <w:r w:rsidR="007218E2">
        <w:rPr>
          <w:noProof/>
        </w:rPr>
        <w:t xml:space="preserve"> </w:t>
      </w:r>
      <w:r>
        <w:rPr>
          <w:noProof/>
        </w:rPr>
        <w:t xml:space="preserve">by the </w:t>
      </w:r>
      <w:r w:rsidR="001F6CB0">
        <w:rPr>
          <w:noProof/>
        </w:rPr>
        <w:t>European Parliament and the Council</w:t>
      </w:r>
      <w:r>
        <w:rPr>
          <w:noProof/>
        </w:rPr>
        <w:t xml:space="preserve"> on 25 February 2026 on a Commission proposal to amend the EGF Regulation</w:t>
      </w:r>
      <w:r w:rsidR="001F6CB0">
        <w:rPr>
          <w:rStyle w:val="FootnoteReference"/>
          <w:noProof/>
        </w:rPr>
        <w:footnoteReference w:id="3"/>
      </w:r>
      <w:r w:rsidR="009F6097">
        <w:rPr>
          <w:noProof/>
        </w:rPr>
        <w:t>. The amendment to the EGF Regulation was approved by the European Parliament and the Council on 20 May 2026 and it includes</w:t>
      </w:r>
      <w:r w:rsidR="00DF4047">
        <w:rPr>
          <w:noProof/>
        </w:rPr>
        <w:t xml:space="preserve"> </w:t>
      </w:r>
      <w:r w:rsidR="00CB6600">
        <w:rPr>
          <w:noProof/>
        </w:rPr>
        <w:t>in particular the possibility</w:t>
      </w:r>
      <w:r w:rsidRPr="00D42B30">
        <w:rPr>
          <w:noProof/>
        </w:rPr>
        <w:t xml:space="preserve"> </w:t>
      </w:r>
      <w:r w:rsidR="00CB6600">
        <w:rPr>
          <w:noProof/>
        </w:rPr>
        <w:t xml:space="preserve">to </w:t>
      </w:r>
      <w:r w:rsidRPr="00D42B30">
        <w:rPr>
          <w:noProof/>
        </w:rPr>
        <w:t xml:space="preserve">also provide support to workers </w:t>
      </w:r>
      <w:r>
        <w:rPr>
          <w:noProof/>
        </w:rPr>
        <w:t>affected</w:t>
      </w:r>
      <w:r w:rsidRPr="00D42B30">
        <w:rPr>
          <w:noProof/>
        </w:rPr>
        <w:t xml:space="preserve"> by imminent redundancy in a company undergoing restructuring</w:t>
      </w:r>
      <w:r w:rsidR="00CB6600">
        <w:rPr>
          <w:noProof/>
        </w:rPr>
        <w:t>.</w:t>
      </w:r>
      <w:r w:rsidRPr="00D42B30">
        <w:rPr>
          <w:noProof/>
        </w:rPr>
        <w:t xml:space="preserve"> </w:t>
      </w:r>
      <w:r w:rsidR="00CB6600">
        <w:rPr>
          <w:noProof/>
        </w:rPr>
        <w:t xml:space="preserve">This will </w:t>
      </w:r>
      <w:r w:rsidRPr="00D42B30">
        <w:rPr>
          <w:noProof/>
        </w:rPr>
        <w:t xml:space="preserve">better prepare </w:t>
      </w:r>
      <w:r w:rsidR="00CB6600">
        <w:rPr>
          <w:noProof/>
        </w:rPr>
        <w:t xml:space="preserve">them </w:t>
      </w:r>
      <w:r w:rsidRPr="00D42B30">
        <w:rPr>
          <w:noProof/>
        </w:rPr>
        <w:t>to complete a career transition in a shorter timeframe, and facilitate their change of role or career.</w:t>
      </w:r>
    </w:p>
    <w:p w14:paraId="07FE5B97" w14:textId="77777777" w:rsidR="00BF6BC2" w:rsidRPr="00E859C9" w:rsidRDefault="00BF6BC2" w:rsidP="00BF6BC2">
      <w:pPr>
        <w:pStyle w:val="ManualNumPar1"/>
        <w:rPr>
          <w:noProof/>
        </w:rPr>
      </w:pPr>
      <w:r w:rsidRPr="00E859C9">
        <w:rPr>
          <w:noProof/>
        </w:rPr>
        <w:t>3.</w:t>
      </w:r>
      <w:r w:rsidRPr="00E859C9">
        <w:rPr>
          <w:noProof/>
        </w:rPr>
        <w:tab/>
        <w:t>Technical expenditure:</w:t>
      </w:r>
    </w:p>
    <w:p w14:paraId="440C7204" w14:textId="77777777" w:rsidR="00BF6BC2" w:rsidRPr="00E859C9" w:rsidRDefault="00BF6BC2" w:rsidP="00BF6BC2">
      <w:pPr>
        <w:pStyle w:val="ListBullet4"/>
        <w:tabs>
          <w:tab w:val="clear" w:pos="360"/>
          <w:tab w:val="clear" w:pos="1134"/>
          <w:tab w:val="num" w:pos="1209"/>
        </w:tabs>
        <w:ind w:left="1209" w:hanging="360"/>
        <w:contextualSpacing/>
        <w:rPr>
          <w:noProof/>
        </w:rPr>
      </w:pPr>
      <w:bookmarkStart w:id="3" w:name="_Hlk226971141"/>
      <w:r w:rsidRPr="00E859C9">
        <w:rPr>
          <w:noProof/>
        </w:rPr>
        <w:t xml:space="preserve">Maintenance and update </w:t>
      </w:r>
      <w:bookmarkEnd w:id="3"/>
      <w:r w:rsidRPr="00E859C9">
        <w:rPr>
          <w:noProof/>
        </w:rPr>
        <w:t>of an electronic data exchange system. The Commission is continuing its work on standardised procedures for EGF applications and management, using the functionalities of the Shared Fund Management Common System (SFC). This allows applications under the EGF Regulation to be simplified, their processing sped up and various reports more easily extracted. The SFC interface is also facilitating the EGF financial operations. This includes in particular:</w:t>
      </w:r>
    </w:p>
    <w:p w14:paraId="2C7EEC34" w14:textId="01FE82B2" w:rsidR="00BF6BC2" w:rsidRPr="00E859C9" w:rsidRDefault="00BF6BC2" w:rsidP="00613795">
      <w:pPr>
        <w:pStyle w:val="Tiret3"/>
        <w:numPr>
          <w:ilvl w:val="0"/>
          <w:numId w:val="17"/>
        </w:numPr>
        <w:tabs>
          <w:tab w:val="clear" w:pos="2551"/>
        </w:tabs>
        <w:ind w:left="2007"/>
        <w:rPr>
          <w:noProof/>
        </w:rPr>
      </w:pPr>
      <w:r w:rsidRPr="00E859C9">
        <w:rPr>
          <w:noProof/>
        </w:rPr>
        <w:t xml:space="preserve">Maintenance of the SFC2014 </w:t>
      </w:r>
      <w:r w:rsidR="00625B31">
        <w:rPr>
          <w:noProof/>
        </w:rPr>
        <w:t xml:space="preserve">system </w:t>
      </w:r>
      <w:r w:rsidRPr="00E859C9">
        <w:rPr>
          <w:noProof/>
        </w:rPr>
        <w:t>for the closure of cases for the EGF 2014-2020.</w:t>
      </w:r>
    </w:p>
    <w:p w14:paraId="1C385E2F" w14:textId="282E5615" w:rsidR="00BF6BC2" w:rsidRPr="00E859C9" w:rsidRDefault="00BF6BC2" w:rsidP="00BF6BC2">
      <w:pPr>
        <w:pStyle w:val="Tiret3"/>
        <w:tabs>
          <w:tab w:val="clear" w:pos="2551"/>
          <w:tab w:val="num" w:pos="2007"/>
        </w:tabs>
        <w:ind w:left="2007"/>
        <w:rPr>
          <w:noProof/>
        </w:rPr>
      </w:pPr>
      <w:r w:rsidRPr="00E859C9">
        <w:rPr>
          <w:noProof/>
        </w:rPr>
        <w:t>Further development and maintainance of the SFC2021</w:t>
      </w:r>
      <w:r w:rsidR="00625B31">
        <w:rPr>
          <w:noProof/>
        </w:rPr>
        <w:t xml:space="preserve"> system</w:t>
      </w:r>
      <w:r w:rsidRPr="00E859C9">
        <w:rPr>
          <w:noProof/>
        </w:rPr>
        <w:t xml:space="preserve"> </w:t>
      </w:r>
      <w:bookmarkStart w:id="4" w:name="_Hlk188624118"/>
      <w:r w:rsidRPr="00E859C9">
        <w:rPr>
          <w:noProof/>
        </w:rPr>
        <w:t>for the EGF 2021-2027,</w:t>
      </w:r>
      <w:r w:rsidR="001F6CB0">
        <w:rPr>
          <w:noProof/>
        </w:rPr>
        <w:t xml:space="preserve"> including in the light of the political agreement reached by the European Parliament and the Council on 25 February 2026 on a Commission proposal to amend the EGF Regulation,</w:t>
      </w:r>
      <w:r w:rsidR="001F6CB0" w:rsidRPr="00D42B30">
        <w:rPr>
          <w:noProof/>
        </w:rPr>
        <w:t xml:space="preserve"> </w:t>
      </w:r>
      <w:r w:rsidRPr="00E859C9">
        <w:rPr>
          <w:noProof/>
        </w:rPr>
        <w:t xml:space="preserve"> </w:t>
      </w:r>
      <w:bookmarkEnd w:id="4"/>
      <w:r w:rsidRPr="00E859C9">
        <w:rPr>
          <w:noProof/>
        </w:rPr>
        <w:t xml:space="preserve">and its synchronization with </w:t>
      </w:r>
      <w:r w:rsidRPr="00E859C9">
        <w:rPr>
          <w:noProof/>
          <w:lang w:val="en-US"/>
        </w:rPr>
        <w:t>SUMMA, the new corporate accounting, finance, and budgeting system of the European Union</w:t>
      </w:r>
      <w:r w:rsidRPr="00E859C9">
        <w:rPr>
          <w:noProof/>
        </w:rPr>
        <w:t>.</w:t>
      </w:r>
    </w:p>
    <w:p w14:paraId="3981FC01" w14:textId="14A937B4" w:rsidR="00BF6BC2" w:rsidRPr="00E859C9" w:rsidRDefault="00BF6BC2" w:rsidP="00BF6BC2">
      <w:pPr>
        <w:pStyle w:val="ListBullet4"/>
        <w:tabs>
          <w:tab w:val="clear" w:pos="360"/>
          <w:tab w:val="clear" w:pos="1134"/>
          <w:tab w:val="num" w:pos="1209"/>
        </w:tabs>
        <w:ind w:left="1209" w:hanging="360"/>
        <w:contextualSpacing/>
        <w:rPr>
          <w:noProof/>
        </w:rPr>
      </w:pPr>
      <w:bookmarkStart w:id="5" w:name="_Hlk226971109"/>
      <w:r w:rsidRPr="00E859C9">
        <w:rPr>
          <w:noProof/>
        </w:rPr>
        <w:t>Monitoring and data gathering</w:t>
      </w:r>
      <w:bookmarkEnd w:id="5"/>
      <w:r w:rsidRPr="00E859C9">
        <w:rPr>
          <w:noProof/>
        </w:rPr>
        <w:t>: the Commission will collect data on applications received, paid and wound up, and measures proposed and implemented. This data will be made available on the website and compiled in appropriate form for future biennial reports.</w:t>
      </w:r>
    </w:p>
    <w:p w14:paraId="4AAD7E6A" w14:textId="77777777" w:rsidR="00BF6BC2" w:rsidRPr="00E859C9" w:rsidRDefault="00BF6BC2" w:rsidP="00BF6BC2">
      <w:pPr>
        <w:rPr>
          <w:noProof/>
        </w:rPr>
      </w:pPr>
    </w:p>
    <w:p w14:paraId="7CD7905B" w14:textId="77777777" w:rsidR="00BF6BC2" w:rsidRPr="00E859C9" w:rsidRDefault="00BF6BC2" w:rsidP="00BF6BC2">
      <w:pPr>
        <w:rPr>
          <w:b/>
          <w:noProof/>
          <w:u w:val="single"/>
        </w:rPr>
      </w:pPr>
      <w:r w:rsidRPr="00E859C9">
        <w:rPr>
          <w:b/>
          <w:noProof/>
          <w:u w:val="single"/>
        </w:rPr>
        <w:t>Financing</w:t>
      </w:r>
    </w:p>
    <w:p w14:paraId="74C9E9D1" w14:textId="3069DBF5" w:rsidR="00BF6BC2" w:rsidRPr="00E859C9" w:rsidRDefault="00BF6BC2" w:rsidP="00BF6BC2">
      <w:pPr>
        <w:pStyle w:val="ManualNumPar1"/>
        <w:rPr>
          <w:noProof/>
        </w:rPr>
      </w:pPr>
      <w:r w:rsidRPr="00E859C9">
        <w:rPr>
          <w:noProof/>
        </w:rPr>
        <w:t>4.</w:t>
      </w:r>
      <w:r w:rsidRPr="00E859C9">
        <w:rPr>
          <w:noProof/>
        </w:rPr>
        <w:tab/>
        <w:t>The maximum annual budget available for the EGF in 202</w:t>
      </w:r>
      <w:r w:rsidR="00E859C9" w:rsidRPr="00E859C9">
        <w:rPr>
          <w:noProof/>
        </w:rPr>
        <w:t>6</w:t>
      </w:r>
      <w:r w:rsidRPr="00E859C9">
        <w:rPr>
          <w:noProof/>
        </w:rPr>
        <w:t xml:space="preserve"> is EUR 30 million in 2018 prices (EUR </w:t>
      </w:r>
      <w:r w:rsidR="00E859C9" w:rsidRPr="00E859C9">
        <w:rPr>
          <w:noProof/>
        </w:rPr>
        <w:t>35 149 78</w:t>
      </w:r>
      <w:r w:rsidR="00B232DA">
        <w:rPr>
          <w:noProof/>
        </w:rPr>
        <w:t>2</w:t>
      </w:r>
      <w:r w:rsidR="00E859C9" w:rsidRPr="00E859C9">
        <w:rPr>
          <w:noProof/>
        </w:rPr>
        <w:t xml:space="preserve"> </w:t>
      </w:r>
      <w:r w:rsidRPr="00E859C9">
        <w:rPr>
          <w:noProof/>
        </w:rPr>
        <w:t>in 202</w:t>
      </w:r>
      <w:r w:rsidR="00E859C9" w:rsidRPr="00E859C9">
        <w:rPr>
          <w:noProof/>
        </w:rPr>
        <w:t>6</w:t>
      </w:r>
      <w:r w:rsidRPr="00E859C9">
        <w:rPr>
          <w:noProof/>
        </w:rPr>
        <w:t xml:space="preserve"> prices), as set out in Article 8 of Council Regulation (EU, Euratom) 2020/2093 of 17 December 2020 laying down the </w:t>
      </w:r>
      <w:r w:rsidRPr="00E859C9">
        <w:rPr>
          <w:noProof/>
        </w:rPr>
        <w:lastRenderedPageBreak/>
        <w:t>multiannual financial framework for the years 2021 to 2027</w:t>
      </w:r>
      <w:r w:rsidRPr="00E859C9">
        <w:rPr>
          <w:rStyle w:val="FootnoteReference"/>
          <w:noProof/>
        </w:rPr>
        <w:footnoteReference w:id="4"/>
      </w:r>
      <w:r w:rsidRPr="00E859C9">
        <w:rPr>
          <w:noProof/>
        </w:rPr>
        <w:t xml:space="preserve"> amended by Council Regulation (EU, Euratom) 2024/765</w:t>
      </w:r>
      <w:r w:rsidRPr="00E859C9">
        <w:rPr>
          <w:rStyle w:val="FootnoteReference"/>
          <w:noProof/>
        </w:rPr>
        <w:footnoteReference w:id="5"/>
      </w:r>
      <w:r w:rsidRPr="00E859C9">
        <w:rPr>
          <w:noProof/>
        </w:rPr>
        <w:t xml:space="preserve"> and Article 16 of Regulation (EU) 2021/691.</w:t>
      </w:r>
    </w:p>
    <w:p w14:paraId="011BF363" w14:textId="6479B744" w:rsidR="00BF6BC2" w:rsidRPr="00E859C9" w:rsidRDefault="00BF6BC2" w:rsidP="00BF6BC2">
      <w:pPr>
        <w:pStyle w:val="ManualNumPar1"/>
        <w:rPr>
          <w:noProof/>
        </w:rPr>
      </w:pPr>
      <w:r w:rsidRPr="00E859C9">
        <w:rPr>
          <w:noProof/>
        </w:rPr>
        <w:t>5.</w:t>
      </w:r>
      <w:r w:rsidRPr="00E859C9">
        <w:rPr>
          <w:noProof/>
        </w:rPr>
        <w:tab/>
        <w:t xml:space="preserve">Article 11(1) of the EGF Regulation states that </w:t>
      </w:r>
      <w:bookmarkStart w:id="6" w:name="_Hlk226971273"/>
      <w:r w:rsidR="008E06B5">
        <w:rPr>
          <w:noProof/>
        </w:rPr>
        <w:t>1,5</w:t>
      </w:r>
      <w:r w:rsidR="009F6097">
        <w:rPr>
          <w:noProof/>
        </w:rPr>
        <w:t> </w:t>
      </w:r>
      <w:r w:rsidR="008E06B5">
        <w:rPr>
          <w:noProof/>
        </w:rPr>
        <w:t>%</w:t>
      </w:r>
      <w:r w:rsidRPr="00E859C9">
        <w:rPr>
          <w:noProof/>
        </w:rPr>
        <w:t xml:space="preserve"> of this amount can be made available</w:t>
      </w:r>
      <w:bookmarkEnd w:id="6"/>
      <w:r w:rsidRPr="00E859C9">
        <w:rPr>
          <w:noProof/>
        </w:rPr>
        <w:t xml:space="preserve"> for technical assistance at the initiative of the Commission. Currently, the entire amount for 202</w:t>
      </w:r>
      <w:r w:rsidR="00A31E3D">
        <w:rPr>
          <w:noProof/>
        </w:rPr>
        <w:t>6</w:t>
      </w:r>
      <w:r w:rsidRPr="00E859C9">
        <w:rPr>
          <w:noProof/>
        </w:rPr>
        <w:t xml:space="preserve"> remains available; nothing has yet been allocated to technical assistance. The proposed amount corresponds to </w:t>
      </w:r>
      <w:r w:rsidR="008E06B5">
        <w:rPr>
          <w:noProof/>
        </w:rPr>
        <w:t>0,60</w:t>
      </w:r>
      <w:r w:rsidRPr="00E859C9">
        <w:rPr>
          <w:noProof/>
        </w:rPr>
        <w:t> % of the maximum annual budget available for the EGF in 202</w:t>
      </w:r>
      <w:r w:rsidR="00E859C9" w:rsidRPr="00E859C9">
        <w:rPr>
          <w:noProof/>
        </w:rPr>
        <w:t>6</w:t>
      </w:r>
      <w:r w:rsidRPr="00E859C9">
        <w:rPr>
          <w:noProof/>
        </w:rPr>
        <w:t>.</w:t>
      </w:r>
    </w:p>
    <w:p w14:paraId="2854C534" w14:textId="77777777" w:rsidR="00BF6BC2" w:rsidRDefault="00BF6BC2" w:rsidP="00BF6BC2">
      <w:pPr>
        <w:pStyle w:val="ManualNumPar1"/>
        <w:rPr>
          <w:noProof/>
        </w:rPr>
      </w:pPr>
      <w:r w:rsidRPr="00E859C9">
        <w:rPr>
          <w:noProof/>
        </w:rPr>
        <w:t>6.</w:t>
      </w:r>
      <w:r w:rsidRPr="00E859C9">
        <w:rPr>
          <w:noProof/>
        </w:rPr>
        <w:tab/>
        <w:t>The proposed decision to mobilise the EGF will be taken jointly by the European</w:t>
      </w:r>
      <w:r>
        <w:rPr>
          <w:noProof/>
        </w:rPr>
        <w:t xml:space="preserve"> Parliament and the Council, as laid down in Article 15(1), first subparagraph, of the EGF Regulation and in point</w:t>
      </w:r>
      <w:r w:rsidRPr="00747E9B">
        <w:rPr>
          <w:noProof/>
        </w:rPr>
        <w:t> </w:t>
      </w:r>
      <w:r>
        <w:rPr>
          <w:noProof/>
        </w:rPr>
        <w:t xml:space="preserve">9 of the </w:t>
      </w:r>
      <w:r w:rsidRPr="00E544E0">
        <w:rPr>
          <w:noProof/>
        </w:rPr>
        <w:t>Int</w:t>
      </w:r>
      <w:r>
        <w:rPr>
          <w:noProof/>
        </w:rPr>
        <w:t>erinstitutional Agreement of 16</w:t>
      </w:r>
      <w:r w:rsidRPr="00747E9B">
        <w:rPr>
          <w:noProof/>
        </w:rPr>
        <w:t> </w:t>
      </w:r>
      <w:r>
        <w:rPr>
          <w:noProof/>
        </w:rPr>
        <w:t>December</w:t>
      </w:r>
      <w:r w:rsidRPr="00747E9B">
        <w:rPr>
          <w:noProof/>
        </w:rPr>
        <w:t> </w:t>
      </w:r>
      <w:r w:rsidRPr="00E544E0">
        <w:rPr>
          <w:noProof/>
        </w:rPr>
        <w:t>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rStyle w:val="FootnoteReference"/>
          <w:noProof/>
        </w:rPr>
        <w:footnoteReference w:id="6"/>
      </w:r>
      <w:r>
        <w:rPr>
          <w:noProof/>
        </w:rPr>
        <w:t>.</w:t>
      </w:r>
    </w:p>
    <w:p w14:paraId="571E241F" w14:textId="77777777" w:rsidR="00BF6BC2" w:rsidRDefault="00BF6BC2" w:rsidP="00BF6BC2">
      <w:pPr>
        <w:rPr>
          <w:noProof/>
        </w:rPr>
      </w:pPr>
    </w:p>
    <w:p w14:paraId="3A5CA280" w14:textId="77777777" w:rsidR="00BF6BC2" w:rsidRPr="00747E9B" w:rsidRDefault="00BF6BC2" w:rsidP="00BF6BC2">
      <w:pPr>
        <w:rPr>
          <w:b/>
          <w:noProof/>
          <w:u w:val="single"/>
        </w:rPr>
      </w:pPr>
      <w:r w:rsidRPr="00747E9B">
        <w:rPr>
          <w:b/>
          <w:noProof/>
          <w:u w:val="single"/>
        </w:rPr>
        <w:t>Related acts</w:t>
      </w:r>
    </w:p>
    <w:p w14:paraId="0ED2D395" w14:textId="4F461D35" w:rsidR="00BF6BC2" w:rsidRPr="00FD13E3" w:rsidRDefault="00BF6BC2" w:rsidP="00BF6BC2">
      <w:pPr>
        <w:pStyle w:val="ManualNumPar1"/>
        <w:rPr>
          <w:noProof/>
        </w:rPr>
      </w:pPr>
      <w:r>
        <w:rPr>
          <w:noProof/>
        </w:rPr>
        <w:t>7</w:t>
      </w:r>
      <w:r w:rsidRPr="00E701C6">
        <w:rPr>
          <w:noProof/>
        </w:rPr>
        <w:t>.</w:t>
      </w:r>
      <w:r w:rsidRPr="00E701C6">
        <w:rPr>
          <w:noProof/>
        </w:rPr>
        <w:tab/>
      </w:r>
      <w:r w:rsidRPr="00747E9B">
        <w:rPr>
          <w:noProof/>
        </w:rPr>
        <w:t xml:space="preserve">At the same time as it presents this proposal for a decision to mobilise the EGF, the Commission will present </w:t>
      </w:r>
      <w:r w:rsidR="00625B31" w:rsidRPr="00747E9B">
        <w:rPr>
          <w:noProof/>
        </w:rPr>
        <w:t xml:space="preserve">a proposal </w:t>
      </w:r>
      <w:r w:rsidRPr="00747E9B">
        <w:rPr>
          <w:noProof/>
        </w:rPr>
        <w:t xml:space="preserve">to the European Parliament and to the Council for a transfer </w:t>
      </w:r>
      <w:r w:rsidR="00625B31" w:rsidRPr="00747E9B">
        <w:rPr>
          <w:noProof/>
        </w:rPr>
        <w:t xml:space="preserve">of </w:t>
      </w:r>
      <w:r w:rsidR="00625B31">
        <w:rPr>
          <w:noProof/>
        </w:rPr>
        <w:t xml:space="preserve">the amount of </w:t>
      </w:r>
      <w:r w:rsidR="00625B31" w:rsidRPr="00FD13E3">
        <w:rPr>
          <w:noProof/>
        </w:rPr>
        <w:t>EUR </w:t>
      </w:r>
      <w:r w:rsidR="008E06B5">
        <w:rPr>
          <w:noProof/>
        </w:rPr>
        <w:t>210</w:t>
      </w:r>
      <w:r w:rsidR="00B232DA">
        <w:rPr>
          <w:noProof/>
        </w:rPr>
        <w:t> </w:t>
      </w:r>
      <w:r w:rsidR="008E06B5">
        <w:rPr>
          <w:noProof/>
        </w:rPr>
        <w:t>000</w:t>
      </w:r>
      <w:r w:rsidR="00625B31">
        <w:rPr>
          <w:noProof/>
        </w:rPr>
        <w:t xml:space="preserve"> </w:t>
      </w:r>
      <w:r w:rsidRPr="00747E9B">
        <w:rPr>
          <w:noProof/>
        </w:rPr>
        <w:t>to the relevant budgetary line</w:t>
      </w:r>
      <w:r w:rsidRPr="00FD13E3">
        <w:rPr>
          <w:noProof/>
        </w:rPr>
        <w:t>.</w:t>
      </w:r>
    </w:p>
    <w:p w14:paraId="490BAEC1" w14:textId="77777777" w:rsidR="00BF6BC2" w:rsidRPr="00FD13E3" w:rsidRDefault="00BF6BC2" w:rsidP="00BF6BC2">
      <w:pPr>
        <w:rPr>
          <w:noProof/>
        </w:rPr>
      </w:pPr>
    </w:p>
    <w:p w14:paraId="603C01B8" w14:textId="77777777" w:rsidR="00BF6BC2" w:rsidRPr="00FD13E3" w:rsidRDefault="00BF6BC2" w:rsidP="00BF6BC2">
      <w:pPr>
        <w:rPr>
          <w:noProof/>
        </w:rPr>
      </w:pPr>
      <w:r w:rsidRPr="00FD13E3">
        <w:rPr>
          <w:b/>
          <w:noProof/>
          <w:u w:val="single"/>
        </w:rPr>
        <w:t>Source of payment appropriations</w:t>
      </w:r>
    </w:p>
    <w:p w14:paraId="791AE75A" w14:textId="7252129E" w:rsidR="00BF6BC2" w:rsidRPr="00747E9B" w:rsidRDefault="00BF6BC2" w:rsidP="00BF6BC2">
      <w:pPr>
        <w:pStyle w:val="ManualNumPar1"/>
        <w:rPr>
          <w:noProof/>
        </w:rPr>
      </w:pPr>
      <w:r w:rsidRPr="00FD13E3">
        <w:rPr>
          <w:noProof/>
        </w:rPr>
        <w:t>8.</w:t>
      </w:r>
      <w:r w:rsidRPr="00FD13E3">
        <w:rPr>
          <w:noProof/>
        </w:rPr>
        <w:tab/>
        <w:t>Appropriations from the EGF budget line will be used to cover the amount of EUR </w:t>
      </w:r>
      <w:r w:rsidR="008E06B5">
        <w:rPr>
          <w:noProof/>
        </w:rPr>
        <w:t>210</w:t>
      </w:r>
      <w:r w:rsidR="00B232DA">
        <w:rPr>
          <w:noProof/>
        </w:rPr>
        <w:t> </w:t>
      </w:r>
      <w:r w:rsidR="008E06B5">
        <w:rPr>
          <w:noProof/>
        </w:rPr>
        <w:t>000</w:t>
      </w:r>
      <w:r w:rsidRPr="00FD13E3">
        <w:rPr>
          <w:noProof/>
        </w:rPr>
        <w:t xml:space="preserve"> needed for technica</w:t>
      </w:r>
      <w:r w:rsidRPr="00747E9B">
        <w:rPr>
          <w:noProof/>
        </w:rPr>
        <w:t>l assistance.</w:t>
      </w:r>
    </w:p>
    <w:p w14:paraId="182A5D09" w14:textId="77777777" w:rsidR="001A62D7" w:rsidRPr="00A9097A" w:rsidRDefault="001A62D7" w:rsidP="001A62D7">
      <w:pPr>
        <w:rPr>
          <w:noProof/>
        </w:rPr>
        <w:sectPr w:rsidR="001A62D7" w:rsidRPr="00A9097A" w:rsidSect="00D90C3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pgNumType w:start="1"/>
          <w:cols w:space="708"/>
          <w:docGrid w:linePitch="360"/>
        </w:sectPr>
      </w:pPr>
    </w:p>
    <w:p w14:paraId="411F3EC8" w14:textId="373E62DE" w:rsidR="004D5BB3" w:rsidRDefault="005915B2" w:rsidP="005915B2">
      <w:pPr>
        <w:pStyle w:val="Rfrenceinterinstitutionnelle"/>
        <w:rPr>
          <w:noProof/>
        </w:rPr>
      </w:pPr>
      <w:r>
        <w:rPr>
          <w:noProof/>
        </w:rPr>
        <w:lastRenderedPageBreak/>
        <w:t>2026/0126 (BUD)</w:t>
      </w:r>
    </w:p>
    <w:p w14:paraId="2A92B40E" w14:textId="6124D402" w:rsidR="001A62D7" w:rsidRPr="00A9097A" w:rsidRDefault="005915B2" w:rsidP="005915B2">
      <w:pPr>
        <w:pStyle w:val="Statut"/>
        <w:rPr>
          <w:noProof/>
        </w:rPr>
      </w:pPr>
      <w:r w:rsidRPr="005915B2">
        <w:rPr>
          <w:noProof/>
        </w:rPr>
        <w:t>Proposal for a</w:t>
      </w:r>
    </w:p>
    <w:p w14:paraId="59125979" w14:textId="09A7988D" w:rsidR="001A62D7" w:rsidRPr="00A9097A" w:rsidRDefault="005915B2" w:rsidP="005915B2">
      <w:pPr>
        <w:pStyle w:val="Typedudocument"/>
        <w:rPr>
          <w:noProof/>
        </w:rPr>
      </w:pPr>
      <w:r w:rsidRPr="005915B2">
        <w:rPr>
          <w:noProof/>
        </w:rPr>
        <w:t>DECISION OF THE EUROPEAN PARLIAMENT AND OF THE COUNCIL</w:t>
      </w:r>
    </w:p>
    <w:p w14:paraId="2FFF4F60" w14:textId="3572ACC9" w:rsidR="001A62D7" w:rsidRPr="00A9097A" w:rsidRDefault="005915B2" w:rsidP="005915B2">
      <w:pPr>
        <w:pStyle w:val="Titreobjet"/>
        <w:rPr>
          <w:noProof/>
        </w:rPr>
      </w:pPr>
      <w:r w:rsidRPr="005915B2">
        <w:rPr>
          <w:noProof/>
        </w:rPr>
        <w:t>on the mobilisation of the European Globalisation Adjustment Fund for Displaced Workers at the initiative of the Commission (EGF/2026/000 TA 2026 - Technical assistance)</w:t>
      </w:r>
    </w:p>
    <w:p w14:paraId="7094D63C" w14:textId="77777777" w:rsidR="001A62D7" w:rsidRDefault="001A62D7" w:rsidP="001A62D7">
      <w:pPr>
        <w:pStyle w:val="Institutionquiagit"/>
        <w:rPr>
          <w:noProof/>
        </w:rPr>
      </w:pPr>
      <w:r>
        <w:rPr>
          <w:noProof/>
        </w:rPr>
        <w:t>THE EUROPEAN PARLIAMENT AND THE COUNCIL OF THE EUROPEAN UNION,</w:t>
      </w:r>
    </w:p>
    <w:p w14:paraId="18EBBD20" w14:textId="77777777" w:rsidR="001A62D7" w:rsidRDefault="001A62D7" w:rsidP="001A62D7">
      <w:pPr>
        <w:rPr>
          <w:noProof/>
        </w:rPr>
      </w:pPr>
      <w:r>
        <w:rPr>
          <w:noProof/>
        </w:rPr>
        <w:t>Having regard to the Treaty on the Functioning of the European Union,</w:t>
      </w:r>
    </w:p>
    <w:p w14:paraId="26C33BE2" w14:textId="77777777" w:rsidR="001A62D7" w:rsidRDefault="001A62D7" w:rsidP="001A62D7">
      <w:pPr>
        <w:rPr>
          <w:noProof/>
        </w:rPr>
      </w:pPr>
      <w:r w:rsidRPr="00973296">
        <w:rPr>
          <w:noProof/>
        </w:rPr>
        <w:t>Having regard to Regulation (EU) 2021/691 of the European Parliament and of the Council of 28 April 2021 on the European Globalisation Adjustment Fund for Displaced Workers (EGF) and repealing Regulation (EU) No 1309/2013</w:t>
      </w:r>
      <w:r w:rsidRPr="00973296">
        <w:rPr>
          <w:rStyle w:val="FootnoteReference"/>
          <w:noProof/>
        </w:rPr>
        <w:footnoteReference w:id="7"/>
      </w:r>
      <w:r w:rsidRPr="00973296">
        <w:rPr>
          <w:noProof/>
        </w:rPr>
        <w:t>, and in particular Article 15(1)</w:t>
      </w:r>
      <w:r>
        <w:rPr>
          <w:noProof/>
        </w:rPr>
        <w:t>, first subparagraph,</w:t>
      </w:r>
      <w:r w:rsidRPr="00973296">
        <w:rPr>
          <w:noProof/>
        </w:rPr>
        <w:t xml:space="preserve"> thereof,</w:t>
      </w:r>
    </w:p>
    <w:p w14:paraId="2ADD1CFA" w14:textId="77777777" w:rsidR="001A62D7" w:rsidRDefault="001A62D7" w:rsidP="001A62D7">
      <w:pPr>
        <w:rPr>
          <w:noProof/>
        </w:rPr>
      </w:pPr>
      <w:r w:rsidRPr="006C1641">
        <w:rPr>
          <w:noProof/>
        </w:rPr>
        <w:t xml:space="preserve">Having regard to the </w:t>
      </w:r>
      <w:r w:rsidRPr="008238DD">
        <w:rPr>
          <w:noProof/>
        </w:rPr>
        <w:t>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rStyle w:val="FootnoteReference"/>
          <w:noProof/>
        </w:rPr>
        <w:footnoteReference w:id="8"/>
      </w:r>
      <w:r>
        <w:rPr>
          <w:noProof/>
        </w:rPr>
        <w:t xml:space="preserve">, </w:t>
      </w:r>
      <w:r w:rsidRPr="006C1641">
        <w:rPr>
          <w:noProof/>
        </w:rPr>
        <w:t xml:space="preserve">and in particular point </w:t>
      </w:r>
      <w:r>
        <w:rPr>
          <w:noProof/>
        </w:rPr>
        <w:t>9</w:t>
      </w:r>
      <w:r w:rsidRPr="006C1641">
        <w:rPr>
          <w:noProof/>
        </w:rPr>
        <w:t xml:space="preserve"> thereof,</w:t>
      </w:r>
    </w:p>
    <w:p w14:paraId="7FAD6E6B" w14:textId="77777777" w:rsidR="001A62D7" w:rsidRDefault="001A62D7" w:rsidP="001A62D7">
      <w:pPr>
        <w:rPr>
          <w:noProof/>
        </w:rPr>
      </w:pPr>
      <w:r>
        <w:rPr>
          <w:noProof/>
        </w:rPr>
        <w:t>Having regard to the proposal from the European Commission,</w:t>
      </w:r>
    </w:p>
    <w:p w14:paraId="3B7209A4" w14:textId="77777777" w:rsidR="001A62D7" w:rsidRDefault="001A62D7" w:rsidP="001A62D7">
      <w:pPr>
        <w:rPr>
          <w:noProof/>
        </w:rPr>
      </w:pPr>
      <w:r>
        <w:rPr>
          <w:noProof/>
        </w:rPr>
        <w:t>Whereas:</w:t>
      </w:r>
    </w:p>
    <w:p w14:paraId="20E89B57" w14:textId="5EE372C0" w:rsidR="001A62D7" w:rsidRDefault="00DD196B" w:rsidP="00DD196B">
      <w:pPr>
        <w:pStyle w:val="ManualConsidrant"/>
        <w:rPr>
          <w:noProof/>
        </w:rPr>
      </w:pPr>
      <w:r w:rsidRPr="00DD196B">
        <w:rPr>
          <w:noProof/>
        </w:rPr>
        <w:t>(1)</w:t>
      </w:r>
      <w:r w:rsidRPr="00DD196B">
        <w:rPr>
          <w:noProof/>
        </w:rPr>
        <w:tab/>
      </w:r>
      <w:r w:rsidR="001A62D7">
        <w:rPr>
          <w:noProof/>
        </w:rPr>
        <w:t>The European Globalisation Adjustment Fund for Displaced Workers (</w:t>
      </w:r>
      <w:r w:rsidR="007850C3">
        <w:rPr>
          <w:noProof/>
        </w:rPr>
        <w:t>‘</w:t>
      </w:r>
      <w:r w:rsidR="001A62D7">
        <w:rPr>
          <w:noProof/>
        </w:rPr>
        <w:t>EGF</w:t>
      </w:r>
      <w:r w:rsidR="007850C3">
        <w:rPr>
          <w:noProof/>
        </w:rPr>
        <w:t>’</w:t>
      </w:r>
      <w:r w:rsidR="001A62D7">
        <w:rPr>
          <w:noProof/>
        </w:rPr>
        <w:t xml:space="preserve">) aims to demonstrate solidarity and promote decent and sustainable employment in the Union by providing support for workers made redundant and self-employed persons whose activity has ceased in the case of major restructuring events and assisting them in returning to decent and sustainable employment as soon as possible. </w:t>
      </w:r>
    </w:p>
    <w:p w14:paraId="169C2C61" w14:textId="21D2C3F9" w:rsidR="001A62D7" w:rsidRDefault="00DD196B" w:rsidP="00DD196B">
      <w:pPr>
        <w:pStyle w:val="ManualConsidrant"/>
        <w:rPr>
          <w:noProof/>
        </w:rPr>
      </w:pPr>
      <w:r w:rsidRPr="00DD196B">
        <w:rPr>
          <w:noProof/>
        </w:rPr>
        <w:t>(2)</w:t>
      </w:r>
      <w:r w:rsidRPr="00DD196B">
        <w:rPr>
          <w:noProof/>
        </w:rPr>
        <w:tab/>
      </w:r>
      <w:r w:rsidR="001A62D7" w:rsidRPr="008D462D">
        <w:rPr>
          <w:noProof/>
        </w:rPr>
        <w:t xml:space="preserve">The EGF </w:t>
      </w:r>
      <w:r w:rsidR="001A62D7">
        <w:rPr>
          <w:noProof/>
        </w:rPr>
        <w:t>is</w:t>
      </w:r>
      <w:r w:rsidR="001A62D7" w:rsidRPr="008D462D">
        <w:rPr>
          <w:noProof/>
        </w:rPr>
        <w:t xml:space="preserve"> not </w:t>
      </w:r>
      <w:r w:rsidR="001A62D7">
        <w:rPr>
          <w:noProof/>
        </w:rPr>
        <w:t xml:space="preserve">to </w:t>
      </w:r>
      <w:r w:rsidR="001A62D7" w:rsidRPr="008D462D">
        <w:rPr>
          <w:noProof/>
        </w:rPr>
        <w:t xml:space="preserve">exceed a maximum annual amount of </w:t>
      </w:r>
      <w:r w:rsidR="001A62D7" w:rsidRPr="00B43DF2">
        <w:rPr>
          <w:noProof/>
        </w:rPr>
        <w:t>EUR </w:t>
      </w:r>
      <w:r w:rsidR="001A62D7">
        <w:rPr>
          <w:noProof/>
        </w:rPr>
        <w:t>30</w:t>
      </w:r>
      <w:r w:rsidR="001A62D7" w:rsidRPr="00B43DF2">
        <w:rPr>
          <w:noProof/>
        </w:rPr>
        <w:t xml:space="preserve"> million </w:t>
      </w:r>
      <w:r w:rsidR="001A62D7" w:rsidRPr="00270F9D">
        <w:rPr>
          <w:noProof/>
        </w:rPr>
        <w:t>(in 2018 prices), as laid down in Article 8 of Council Reg</w:t>
      </w:r>
      <w:r w:rsidR="001A62D7">
        <w:rPr>
          <w:noProof/>
        </w:rPr>
        <w:t>ulation (EU, Euratom) 2020/2093</w:t>
      </w:r>
      <w:r w:rsidR="001A62D7" w:rsidRPr="008D462D">
        <w:rPr>
          <w:rStyle w:val="FootnoteReference"/>
          <w:noProof/>
        </w:rPr>
        <w:footnoteReference w:id="9"/>
      </w:r>
      <w:r w:rsidR="001A62D7">
        <w:rPr>
          <w:noProof/>
        </w:rPr>
        <w:t xml:space="preserve"> </w:t>
      </w:r>
      <w:r w:rsidR="001A62D7" w:rsidRPr="00FA7441">
        <w:rPr>
          <w:noProof/>
        </w:rPr>
        <w:t xml:space="preserve"> and Article 16 of Regulation (EU) 2021/691.</w:t>
      </w:r>
    </w:p>
    <w:p w14:paraId="005F3B91" w14:textId="2DB4DB62" w:rsidR="001A62D7" w:rsidRPr="001D4700" w:rsidRDefault="00DD196B" w:rsidP="00DD196B">
      <w:pPr>
        <w:pStyle w:val="ManualConsidrant"/>
        <w:rPr>
          <w:noProof/>
        </w:rPr>
      </w:pPr>
      <w:r w:rsidRPr="00DD196B">
        <w:rPr>
          <w:noProof/>
        </w:rPr>
        <w:t>(3)</w:t>
      </w:r>
      <w:r w:rsidRPr="00DD196B">
        <w:rPr>
          <w:noProof/>
        </w:rPr>
        <w:tab/>
      </w:r>
      <w:r w:rsidR="00BF6BC2" w:rsidRPr="00747E9B">
        <w:rPr>
          <w:noProof/>
        </w:rPr>
        <w:t xml:space="preserve">Regulation (EU) </w:t>
      </w:r>
      <w:r w:rsidR="00BF6BC2">
        <w:rPr>
          <w:noProof/>
        </w:rPr>
        <w:t>2021/691</w:t>
      </w:r>
      <w:r w:rsidR="00BF6BC2" w:rsidRPr="00747E9B">
        <w:rPr>
          <w:noProof/>
        </w:rPr>
        <w:t xml:space="preserve"> provides that a maximum of </w:t>
      </w:r>
      <w:r w:rsidR="008E06B5">
        <w:rPr>
          <w:noProof/>
        </w:rPr>
        <w:t>1,5</w:t>
      </w:r>
      <w:r w:rsidR="00384F23">
        <w:rPr>
          <w:noProof/>
        </w:rPr>
        <w:t> </w:t>
      </w:r>
      <w:r w:rsidR="008E06B5">
        <w:rPr>
          <w:noProof/>
        </w:rPr>
        <w:t>%</w:t>
      </w:r>
      <w:r w:rsidR="00BF6BC2" w:rsidRPr="00747E9B">
        <w:rPr>
          <w:noProof/>
        </w:rPr>
        <w:t xml:space="preserve"> of the annual maximum amount of the EGF may be used each year for technical assistance at t</w:t>
      </w:r>
      <w:r w:rsidR="00BF6BC2">
        <w:rPr>
          <w:noProof/>
        </w:rPr>
        <w:t xml:space="preserve">he initiative of </w:t>
      </w:r>
      <w:r w:rsidR="00BF6BC2" w:rsidRPr="000E10FE">
        <w:rPr>
          <w:noProof/>
        </w:rPr>
        <w:t>the Commission.</w:t>
      </w:r>
    </w:p>
    <w:p w14:paraId="607CD13C" w14:textId="1A364109" w:rsidR="001A62D7" w:rsidRDefault="00DD196B" w:rsidP="00DD196B">
      <w:pPr>
        <w:pStyle w:val="ManualConsidrant"/>
        <w:rPr>
          <w:noProof/>
        </w:rPr>
      </w:pPr>
      <w:r w:rsidRPr="00DD196B">
        <w:rPr>
          <w:noProof/>
        </w:rPr>
        <w:t>(4)</w:t>
      </w:r>
      <w:r w:rsidRPr="00DD196B">
        <w:rPr>
          <w:noProof/>
        </w:rPr>
        <w:tab/>
      </w:r>
      <w:r w:rsidR="00BF6BC2" w:rsidRPr="000E10FE">
        <w:rPr>
          <w:noProof/>
        </w:rPr>
        <w:t>T</w:t>
      </w:r>
      <w:r w:rsidR="00BF6BC2" w:rsidRPr="000E10FE">
        <w:rPr>
          <w:noProof/>
          <w:lang w:val="en-US"/>
        </w:rPr>
        <w:t>h</w:t>
      </w:r>
      <w:r w:rsidR="002A6A5A">
        <w:rPr>
          <w:noProof/>
          <w:lang w:val="en-US"/>
        </w:rPr>
        <w:t>at</w:t>
      </w:r>
      <w:r w:rsidR="00BF6BC2" w:rsidRPr="000E10FE">
        <w:rPr>
          <w:noProof/>
          <w:lang w:val="en-US"/>
        </w:rPr>
        <w:t xml:space="preserve"> assistance is necessary to fulfill obligations </w:t>
      </w:r>
      <w:r w:rsidR="002D2E46">
        <w:rPr>
          <w:noProof/>
          <w:lang w:val="en-US"/>
        </w:rPr>
        <w:t>related</w:t>
      </w:r>
      <w:r w:rsidR="002D2E46" w:rsidRPr="000E10FE">
        <w:rPr>
          <w:noProof/>
          <w:lang w:val="en-US"/>
        </w:rPr>
        <w:t xml:space="preserve"> </w:t>
      </w:r>
      <w:r w:rsidR="002D2E46">
        <w:rPr>
          <w:noProof/>
          <w:lang w:val="en-US"/>
        </w:rPr>
        <w:t xml:space="preserve">to the implementation of the </w:t>
      </w:r>
      <w:r w:rsidR="00BF6BC2" w:rsidRPr="000E10FE">
        <w:rPr>
          <w:noProof/>
          <w:lang w:val="en-US"/>
        </w:rPr>
        <w:t xml:space="preserve">EGF as </w:t>
      </w:r>
      <w:r w:rsidR="005254E2">
        <w:rPr>
          <w:noProof/>
          <w:lang w:val="en-US"/>
        </w:rPr>
        <w:t>provided for</w:t>
      </w:r>
      <w:r w:rsidR="005254E2" w:rsidRPr="000E10FE">
        <w:rPr>
          <w:noProof/>
          <w:lang w:val="en-US"/>
        </w:rPr>
        <w:t xml:space="preserve"> </w:t>
      </w:r>
      <w:r w:rsidR="00BF6BC2" w:rsidRPr="00B61A7A">
        <w:rPr>
          <w:noProof/>
          <w:lang w:val="en-US"/>
        </w:rPr>
        <w:t xml:space="preserve">by </w:t>
      </w:r>
      <w:r w:rsidR="00BF6BC2" w:rsidRPr="00B61A7A">
        <w:rPr>
          <w:noProof/>
          <w:szCs w:val="24"/>
          <w:lang w:val="en-US"/>
        </w:rPr>
        <w:t xml:space="preserve">Article 11 of the </w:t>
      </w:r>
      <w:r w:rsidR="00BF6BC2" w:rsidRPr="00B61A7A">
        <w:rPr>
          <w:noProof/>
          <w:lang w:val="en-US"/>
        </w:rPr>
        <w:t xml:space="preserve">Regulation (EU) 2021/691, in particular concerning monitoring and data gathering as well as communication activities </w:t>
      </w:r>
      <w:r w:rsidR="00BF6BC2" w:rsidRPr="00B61A7A">
        <w:rPr>
          <w:noProof/>
          <w:szCs w:val="24"/>
          <w:lang w:val="en-US"/>
        </w:rPr>
        <w:t>and those enhancing the EGF’s visibility</w:t>
      </w:r>
      <w:r w:rsidR="00BF6BC2" w:rsidRPr="00B61A7A">
        <w:rPr>
          <w:noProof/>
          <w:lang w:val="en-US"/>
        </w:rPr>
        <w:t>.</w:t>
      </w:r>
    </w:p>
    <w:p w14:paraId="2F73E768" w14:textId="65C67F85" w:rsidR="001A62D7" w:rsidRDefault="00DD196B" w:rsidP="00105AD3">
      <w:pPr>
        <w:pStyle w:val="ManualConsidrant"/>
        <w:rPr>
          <w:noProof/>
        </w:rPr>
      </w:pPr>
      <w:r w:rsidRPr="00DD196B">
        <w:rPr>
          <w:noProof/>
        </w:rPr>
        <w:lastRenderedPageBreak/>
        <w:t>(5)</w:t>
      </w:r>
      <w:r w:rsidRPr="00DD196B">
        <w:rPr>
          <w:noProof/>
        </w:rPr>
        <w:tab/>
      </w:r>
      <w:r w:rsidR="00BF6BC2">
        <w:rPr>
          <w:noProof/>
        </w:rPr>
        <w:t xml:space="preserve">The EGF should, therefore, be mobilised in order to provide </w:t>
      </w:r>
      <w:r w:rsidR="00DA4EC5" w:rsidRPr="00DA4EC5">
        <w:rPr>
          <w:noProof/>
        </w:rPr>
        <w:t xml:space="preserve">a financial contribution </w:t>
      </w:r>
      <w:r w:rsidR="00BF6BC2">
        <w:rPr>
          <w:noProof/>
        </w:rPr>
        <w:t xml:space="preserve"> of </w:t>
      </w:r>
      <w:r w:rsidR="00BF6BC2" w:rsidRPr="00FD13E3">
        <w:rPr>
          <w:noProof/>
        </w:rPr>
        <w:t>EUR </w:t>
      </w:r>
      <w:r w:rsidR="008E06B5">
        <w:rPr>
          <w:noProof/>
        </w:rPr>
        <w:t>210</w:t>
      </w:r>
      <w:r w:rsidR="00384F23">
        <w:rPr>
          <w:noProof/>
        </w:rPr>
        <w:t> </w:t>
      </w:r>
      <w:r w:rsidR="008E06B5">
        <w:rPr>
          <w:noProof/>
        </w:rPr>
        <w:t>000</w:t>
      </w:r>
      <w:r w:rsidR="00BF6BC2">
        <w:rPr>
          <w:noProof/>
        </w:rPr>
        <w:t xml:space="preserve"> </w:t>
      </w:r>
      <w:r w:rsidR="00BF6BC2" w:rsidRPr="00747E9B">
        <w:rPr>
          <w:noProof/>
        </w:rPr>
        <w:t>for technical assistance at the initiative of the Commission</w:t>
      </w:r>
      <w:r w:rsidR="001A62D7">
        <w:rPr>
          <w:noProof/>
        </w:rPr>
        <w:t>,</w:t>
      </w:r>
    </w:p>
    <w:p w14:paraId="0C814545" w14:textId="77777777" w:rsidR="001A62D7" w:rsidRDefault="001A62D7" w:rsidP="001A62D7">
      <w:pPr>
        <w:pStyle w:val="Formuledadoption"/>
        <w:rPr>
          <w:noProof/>
        </w:rPr>
      </w:pPr>
      <w:r>
        <w:rPr>
          <w:noProof/>
        </w:rPr>
        <w:t xml:space="preserve">HAVE ADOPTED THIS DECISION: </w:t>
      </w:r>
    </w:p>
    <w:p w14:paraId="564B1C4A" w14:textId="77777777" w:rsidR="001A62D7" w:rsidRDefault="001A62D7" w:rsidP="001A62D7">
      <w:pPr>
        <w:pStyle w:val="Titrearticle"/>
        <w:rPr>
          <w:noProof/>
        </w:rPr>
      </w:pPr>
      <w:r>
        <w:rPr>
          <w:noProof/>
        </w:rPr>
        <w:t>Article 1</w:t>
      </w:r>
    </w:p>
    <w:p w14:paraId="1A8933E1" w14:textId="5A8EACCC" w:rsidR="001A62D7" w:rsidRDefault="001A62D7" w:rsidP="001A62D7">
      <w:pPr>
        <w:rPr>
          <w:noProof/>
        </w:rPr>
      </w:pPr>
      <w:r>
        <w:rPr>
          <w:noProof/>
        </w:rPr>
        <w:t xml:space="preserve">For the general budget of the Union for the financial year </w:t>
      </w:r>
      <w:r w:rsidR="00BF6BC2">
        <w:rPr>
          <w:noProof/>
        </w:rPr>
        <w:t>202</w:t>
      </w:r>
      <w:r w:rsidR="00E859C9">
        <w:rPr>
          <w:noProof/>
        </w:rPr>
        <w:t>6</w:t>
      </w:r>
      <w:r>
        <w:rPr>
          <w:noProof/>
        </w:rPr>
        <w:t>, the European Globalisation Adjustment Fund for Displaced Workers shall be mobilised to provide the amount of EUR </w:t>
      </w:r>
      <w:r w:rsidR="008E06B5">
        <w:rPr>
          <w:noProof/>
        </w:rPr>
        <w:t>210</w:t>
      </w:r>
      <w:r w:rsidR="00384F23">
        <w:rPr>
          <w:noProof/>
        </w:rPr>
        <w:t> </w:t>
      </w:r>
      <w:r w:rsidR="008E06B5">
        <w:rPr>
          <w:noProof/>
        </w:rPr>
        <w:t>000</w:t>
      </w:r>
      <w:r>
        <w:rPr>
          <w:noProof/>
        </w:rPr>
        <w:t xml:space="preserve"> in commitment and payment appropriations.</w:t>
      </w:r>
    </w:p>
    <w:p w14:paraId="1C97EEEB" w14:textId="77777777" w:rsidR="001A62D7" w:rsidRDefault="001A62D7" w:rsidP="00037B01">
      <w:pPr>
        <w:pStyle w:val="Titrearticle"/>
        <w:rPr>
          <w:noProof/>
        </w:rPr>
      </w:pPr>
      <w:r>
        <w:rPr>
          <w:noProof/>
        </w:rPr>
        <w:t>Article 2</w:t>
      </w:r>
    </w:p>
    <w:p w14:paraId="0BB57F59" w14:textId="77777777" w:rsidR="001A62D7" w:rsidRDefault="001A62D7" w:rsidP="001A62D7">
      <w:pPr>
        <w:keepNext/>
        <w:keepLines/>
        <w:rPr>
          <w:noProof/>
        </w:rPr>
      </w:pPr>
      <w:r w:rsidRPr="001B05DF">
        <w:rPr>
          <w:noProof/>
        </w:rPr>
        <w:t xml:space="preserve">This Decision shall enter into </w:t>
      </w:r>
      <w:r w:rsidRPr="00074EC4">
        <w:rPr>
          <w:noProof/>
        </w:rPr>
        <w:t>force on the day of its publication in the</w:t>
      </w:r>
      <w:r w:rsidRPr="00370985">
        <w:rPr>
          <w:noProof/>
        </w:rPr>
        <w:t xml:space="preserve"> Officia</w:t>
      </w:r>
      <w:r>
        <w:rPr>
          <w:noProof/>
        </w:rPr>
        <w:t>l Journal of the European Union</w:t>
      </w:r>
      <w:r w:rsidRPr="00FE2101">
        <w:rPr>
          <w:noProof/>
        </w:rPr>
        <w:t>.</w:t>
      </w:r>
    </w:p>
    <w:p w14:paraId="4CE321DE" w14:textId="586EA290" w:rsidR="001A62D7" w:rsidRDefault="005915B2" w:rsidP="00037B01">
      <w:pPr>
        <w:pStyle w:val="Fait"/>
        <w:rPr>
          <w:noProof/>
        </w:rPr>
      </w:pPr>
      <w:r>
        <w:rPr>
          <w:noProof/>
        </w:rPr>
        <w:t>Done at Brussels,</w:t>
      </w:r>
    </w:p>
    <w:p w14:paraId="409725C1" w14:textId="77777777" w:rsidR="001A62D7" w:rsidRDefault="001A62D7" w:rsidP="00037B01">
      <w:pPr>
        <w:pStyle w:val="Institutionquisigne"/>
        <w:rPr>
          <w:noProof/>
        </w:rPr>
      </w:pPr>
      <w:r>
        <w:rPr>
          <w:noProof/>
        </w:rPr>
        <w:t>For the European Parliament</w:t>
      </w:r>
      <w:r>
        <w:rPr>
          <w:noProof/>
        </w:rPr>
        <w:tab/>
        <w:t>For the Council</w:t>
      </w:r>
    </w:p>
    <w:p w14:paraId="01902A5E" w14:textId="77777777" w:rsidR="001A62D7" w:rsidRPr="00D12B65" w:rsidRDefault="001A62D7" w:rsidP="001A62D7">
      <w:pPr>
        <w:pStyle w:val="Personnequisigne"/>
        <w:rPr>
          <w:noProof/>
        </w:rPr>
      </w:pPr>
      <w:r>
        <w:rPr>
          <w:noProof/>
        </w:rPr>
        <w:t>The President</w:t>
      </w:r>
      <w:r>
        <w:rPr>
          <w:noProof/>
        </w:rPr>
        <w:tab/>
        <w:t>The President</w:t>
      </w:r>
      <w:r>
        <w:rPr>
          <w:noProof/>
        </w:rPr>
        <w:br/>
      </w:r>
    </w:p>
    <w:sectPr w:rsidR="001A62D7" w:rsidRPr="00D12B65" w:rsidSect="00D90C31">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5CA0B0" w14:textId="77777777" w:rsidR="00E01C30" w:rsidRDefault="00E01C30" w:rsidP="001A62D7">
      <w:pPr>
        <w:spacing w:before="0" w:after="0"/>
      </w:pPr>
      <w:r>
        <w:separator/>
      </w:r>
    </w:p>
  </w:endnote>
  <w:endnote w:type="continuationSeparator" w:id="0">
    <w:p w14:paraId="50110EA2" w14:textId="77777777" w:rsidR="00E01C30" w:rsidRDefault="00E01C30" w:rsidP="001A62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D8699" w14:textId="6F1EC384" w:rsidR="00D90C31" w:rsidRPr="00D90C31" w:rsidRDefault="00D90C31" w:rsidP="00D90C31">
    <w:pPr>
      <w:pStyle w:val="Footer"/>
      <w:rPr>
        <w:rFonts w:ascii="Arial" w:hAnsi="Arial" w:cs="Arial"/>
        <w:b/>
        <w:sz w:val="48"/>
      </w:rPr>
    </w:pPr>
    <w:r w:rsidRPr="00D90C31">
      <w:rPr>
        <w:rFonts w:ascii="Arial" w:hAnsi="Arial" w:cs="Arial"/>
        <w:b/>
        <w:sz w:val="48"/>
      </w:rPr>
      <w:t>EN</w:t>
    </w:r>
    <w:r w:rsidRPr="00D90C31">
      <w:rPr>
        <w:rFonts w:ascii="Arial" w:hAnsi="Arial" w:cs="Arial"/>
        <w:b/>
        <w:sz w:val="48"/>
      </w:rPr>
      <w:tab/>
    </w:r>
    <w:r w:rsidRPr="00D90C31">
      <w:rPr>
        <w:rFonts w:ascii="Arial" w:hAnsi="Arial" w:cs="Arial"/>
        <w:b/>
        <w:sz w:val="48"/>
      </w:rPr>
      <w:tab/>
    </w:r>
    <w:r w:rsidRPr="00D90C31">
      <w:tab/>
    </w:r>
    <w:r w:rsidRPr="00D90C3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A8A2F" w14:textId="17F1C4FC" w:rsidR="00D90C31" w:rsidRPr="00D90C31" w:rsidRDefault="00D90C31" w:rsidP="00D90C31">
    <w:pPr>
      <w:pStyle w:val="Footer"/>
      <w:rPr>
        <w:rFonts w:ascii="Arial" w:hAnsi="Arial" w:cs="Arial"/>
        <w:b/>
        <w:sz w:val="48"/>
      </w:rPr>
    </w:pPr>
    <w:r w:rsidRPr="00D90C31">
      <w:rPr>
        <w:rFonts w:ascii="Arial" w:hAnsi="Arial" w:cs="Arial"/>
        <w:b/>
        <w:sz w:val="48"/>
      </w:rPr>
      <w:t>EN</w:t>
    </w:r>
    <w:r w:rsidRPr="00D90C31">
      <w:rPr>
        <w:rFonts w:ascii="Arial" w:hAnsi="Arial" w:cs="Arial"/>
        <w:b/>
        <w:sz w:val="48"/>
      </w:rPr>
      <w:tab/>
    </w:r>
    <w:r w:rsidRPr="00D90C31">
      <w:rPr>
        <w:rFonts w:ascii="Arial" w:hAnsi="Arial" w:cs="Arial"/>
        <w:b/>
        <w:sz w:val="48"/>
      </w:rPr>
      <w:tab/>
    </w:r>
    <w:r w:rsidRPr="00D90C31">
      <w:tab/>
    </w:r>
    <w:r w:rsidRPr="00D90C3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B34D2" w14:textId="77777777" w:rsidR="00D90C31" w:rsidRDefault="00D90C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476C8" w14:textId="14C4B3A3" w:rsidR="00D90C31" w:rsidRPr="00D90C31" w:rsidRDefault="00D90C31" w:rsidP="00D90C31">
    <w:pPr>
      <w:pStyle w:val="Footer"/>
      <w:rPr>
        <w:rFonts w:ascii="Arial" w:hAnsi="Arial" w:cs="Arial"/>
        <w:b/>
        <w:sz w:val="48"/>
      </w:rPr>
    </w:pPr>
    <w:r w:rsidRPr="00D90C31">
      <w:rPr>
        <w:rFonts w:ascii="Arial" w:hAnsi="Arial" w:cs="Arial"/>
        <w:b/>
        <w:sz w:val="48"/>
      </w:rPr>
      <w:t>EN</w:t>
    </w:r>
    <w:r w:rsidRPr="00D90C31">
      <w:rPr>
        <w:rFonts w:ascii="Arial" w:hAnsi="Arial" w:cs="Arial"/>
        <w:b/>
        <w:sz w:val="48"/>
      </w:rPr>
      <w:tab/>
    </w:r>
    <w:r>
      <w:fldChar w:fldCharType="begin"/>
    </w:r>
    <w:r>
      <w:instrText xml:space="preserve"> PAGE  \* MERGEFORMAT </w:instrText>
    </w:r>
    <w:r>
      <w:fldChar w:fldCharType="separate"/>
    </w:r>
    <w:r w:rsidR="00037B01">
      <w:rPr>
        <w:noProof/>
      </w:rPr>
      <w:t>5</w:t>
    </w:r>
    <w:r>
      <w:fldChar w:fldCharType="end"/>
    </w:r>
    <w:r>
      <w:tab/>
    </w:r>
    <w:r w:rsidRPr="00D90C31">
      <w:tab/>
    </w:r>
    <w:r w:rsidRPr="00D90C31">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D0102" w14:textId="77777777" w:rsidR="00D90C31" w:rsidRDefault="00D90C31" w:rsidP="00D90C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B999A5" w14:textId="77777777" w:rsidR="00E01C30" w:rsidRDefault="00E01C30" w:rsidP="001A62D7">
      <w:pPr>
        <w:spacing w:before="0" w:after="0"/>
      </w:pPr>
      <w:r>
        <w:separator/>
      </w:r>
    </w:p>
  </w:footnote>
  <w:footnote w:type="continuationSeparator" w:id="0">
    <w:p w14:paraId="45887267" w14:textId="77777777" w:rsidR="00E01C30" w:rsidRDefault="00E01C30" w:rsidP="001A62D7">
      <w:pPr>
        <w:spacing w:before="0" w:after="0"/>
      </w:pPr>
      <w:r>
        <w:continuationSeparator/>
      </w:r>
    </w:p>
  </w:footnote>
  <w:footnote w:id="1">
    <w:p w14:paraId="025F1A09" w14:textId="2E5338D9" w:rsidR="00BF6BC2" w:rsidRPr="006E3F92" w:rsidRDefault="00BF6BC2" w:rsidP="00BF6BC2">
      <w:pPr>
        <w:pStyle w:val="FootnoteText"/>
        <w:rPr>
          <w:lang w:val="es-ES_tradnl"/>
        </w:rPr>
      </w:pPr>
      <w:r w:rsidRPr="00872F86">
        <w:rPr>
          <w:rStyle w:val="FootnoteReference"/>
        </w:rPr>
        <w:footnoteRef/>
      </w:r>
      <w:r w:rsidRPr="006E3F92">
        <w:rPr>
          <w:lang w:val="es-ES_tradnl"/>
        </w:rPr>
        <w:tab/>
        <w:t>OJ L 153, 3.5.2021, p. 48</w:t>
      </w:r>
      <w:r w:rsidR="00B232DA">
        <w:rPr>
          <w:lang w:val="es-ES_tradnl"/>
        </w:rPr>
        <w:t xml:space="preserve">, </w:t>
      </w:r>
      <w:r w:rsidR="00B232DA" w:rsidRPr="00B232DA">
        <w:rPr>
          <w:lang w:val="nl-BE"/>
        </w:rPr>
        <w:t>ELI: </w:t>
      </w:r>
      <w:hyperlink r:id="rId1" w:tooltip="Gives access to this document through its ELI URI." w:history="1">
        <w:r w:rsidR="00B232DA" w:rsidRPr="00B232DA">
          <w:rPr>
            <w:rStyle w:val="Hyperlink"/>
            <w:lang w:val="nl-BE"/>
          </w:rPr>
          <w:t>http://data.europa.eu/eli/reg/2021/691/oj</w:t>
        </w:r>
      </w:hyperlink>
      <w:r w:rsidRPr="006E3F92">
        <w:rPr>
          <w:lang w:val="es-ES_tradnl"/>
        </w:rPr>
        <w:t>.</w:t>
      </w:r>
    </w:p>
  </w:footnote>
  <w:footnote w:id="2">
    <w:p w14:paraId="1576868A" w14:textId="77777777" w:rsidR="00BF6BC2" w:rsidRDefault="00BF6BC2" w:rsidP="00BF6BC2">
      <w:pPr>
        <w:pStyle w:val="FootnoteText"/>
        <w:rPr>
          <w:lang w:val="pl-PL"/>
        </w:rPr>
      </w:pPr>
      <w:r>
        <w:rPr>
          <w:rStyle w:val="FootnoteReference"/>
        </w:rPr>
        <w:footnoteRef/>
      </w:r>
      <w:r>
        <w:rPr>
          <w:lang w:val="pl-PL"/>
        </w:rPr>
        <w:tab/>
      </w:r>
      <w:hyperlink r:id="rId2" w:history="1">
        <w:r w:rsidRPr="009F6097">
          <w:rPr>
            <w:rStyle w:val="Hyperlink"/>
          </w:rPr>
          <w:t>http://ec.europa.eu/egf</w:t>
        </w:r>
      </w:hyperlink>
    </w:p>
  </w:footnote>
  <w:footnote w:id="3">
    <w:p w14:paraId="55718EA9" w14:textId="239CBD88" w:rsidR="001F6CB0" w:rsidRPr="009F6097" w:rsidRDefault="001F6CB0">
      <w:pPr>
        <w:pStyle w:val="FootnoteText"/>
      </w:pPr>
      <w:r w:rsidRPr="0081312F">
        <w:rPr>
          <w:rStyle w:val="FootnoteReference"/>
        </w:rPr>
        <w:footnoteRef/>
      </w:r>
      <w:r w:rsidR="0081312F">
        <w:tab/>
      </w:r>
      <w:r w:rsidRPr="00972292">
        <w:t>Proposal for a REGULATION OF THE EUROPEAN PARLIAMENT AND OF THE COUNCIL amending Regulation (EU) 2021/691 as regards support to workers affected by imminent job displacement in enterprises undergoing restructuring</w:t>
      </w:r>
      <w:r>
        <w:t xml:space="preserve">, </w:t>
      </w:r>
      <w:r w:rsidRPr="001F6CB0">
        <w:t>COM(2025) 140 final</w:t>
      </w:r>
      <w:r>
        <w:t>, 1.4.2025</w:t>
      </w:r>
      <w:r w:rsidRPr="009F6097">
        <w:t>.</w:t>
      </w:r>
    </w:p>
  </w:footnote>
  <w:footnote w:id="4">
    <w:p w14:paraId="7F14299C" w14:textId="3835C5C5" w:rsidR="00BF6BC2" w:rsidRPr="00C42B07" w:rsidRDefault="00BF6BC2" w:rsidP="00BF6BC2">
      <w:pPr>
        <w:pStyle w:val="FootnoteText"/>
        <w:rPr>
          <w:lang w:val="sv-SE"/>
        </w:rPr>
      </w:pPr>
      <w:r w:rsidRPr="00C42B07">
        <w:rPr>
          <w:rStyle w:val="FootnoteReference"/>
        </w:rPr>
        <w:footnoteRef/>
      </w:r>
      <w:r w:rsidRPr="00C42B07">
        <w:rPr>
          <w:lang w:val="sv-SE"/>
        </w:rPr>
        <w:tab/>
        <w:t>OJ L</w:t>
      </w:r>
      <w:r w:rsidR="001E7222">
        <w:rPr>
          <w:lang w:val="sv-SE"/>
        </w:rPr>
        <w:t> </w:t>
      </w:r>
      <w:r w:rsidRPr="00C42B07">
        <w:rPr>
          <w:lang w:val="sv-SE"/>
        </w:rPr>
        <w:t>433</w:t>
      </w:r>
      <w:r>
        <w:rPr>
          <w:lang w:val="sv-SE"/>
        </w:rPr>
        <w:t xml:space="preserve"> I</w:t>
      </w:r>
      <w:r w:rsidRPr="00C42B07">
        <w:rPr>
          <w:lang w:val="sv-SE"/>
        </w:rPr>
        <w:t xml:space="preserve">, 22.12.2020, p. </w:t>
      </w:r>
      <w:r>
        <w:rPr>
          <w:lang w:val="sv-SE"/>
        </w:rPr>
        <w:t> 11</w:t>
      </w:r>
      <w:r w:rsidRPr="00C42B07">
        <w:rPr>
          <w:lang w:val="sv-SE"/>
        </w:rPr>
        <w:t>.</w:t>
      </w:r>
    </w:p>
  </w:footnote>
  <w:footnote w:id="5">
    <w:p w14:paraId="438D2F79" w14:textId="095C337A" w:rsidR="00BF6BC2" w:rsidRPr="00A52484" w:rsidRDefault="00BF6BC2" w:rsidP="00BF6BC2">
      <w:pPr>
        <w:pStyle w:val="FootnoteText"/>
        <w:rPr>
          <w:lang w:val="it-IT"/>
        </w:rPr>
      </w:pPr>
      <w:r>
        <w:rPr>
          <w:rStyle w:val="FootnoteReference"/>
        </w:rPr>
        <w:footnoteRef/>
      </w:r>
      <w:r w:rsidRPr="00A52484">
        <w:rPr>
          <w:lang w:val="it-IT"/>
        </w:rPr>
        <w:tab/>
        <w:t>OJ L 2024/765, 29.2.2024, p 4</w:t>
      </w:r>
      <w:r w:rsidR="001E7222" w:rsidRPr="00A52484">
        <w:rPr>
          <w:lang w:val="it-IT"/>
        </w:rPr>
        <w:t>, ELI: http://data.europa.eu/eli/reg/2024/765/oj</w:t>
      </w:r>
      <w:r w:rsidRPr="00A52484">
        <w:rPr>
          <w:lang w:val="it-IT"/>
        </w:rPr>
        <w:t>.</w:t>
      </w:r>
    </w:p>
  </w:footnote>
  <w:footnote w:id="6">
    <w:p w14:paraId="1A62FAB8" w14:textId="77777777" w:rsidR="00BF6BC2" w:rsidRPr="00C42B07" w:rsidRDefault="00BF6BC2" w:rsidP="00BF6BC2">
      <w:pPr>
        <w:pStyle w:val="FootnoteText"/>
        <w:rPr>
          <w:lang w:val="sv-SE"/>
        </w:rPr>
      </w:pPr>
      <w:r w:rsidRPr="00C42B07">
        <w:rPr>
          <w:rStyle w:val="FootnoteReference"/>
        </w:rPr>
        <w:footnoteRef/>
      </w:r>
      <w:r w:rsidRPr="00C42B07">
        <w:rPr>
          <w:lang w:val="sv-SE"/>
        </w:rPr>
        <w:tab/>
        <w:t>OJ L 433</w:t>
      </w:r>
      <w:r>
        <w:rPr>
          <w:lang w:val="sv-SE"/>
        </w:rPr>
        <w:t xml:space="preserve"> I</w:t>
      </w:r>
      <w:r w:rsidRPr="00C42B07">
        <w:rPr>
          <w:lang w:val="sv-SE"/>
        </w:rPr>
        <w:t>, 22.12.2020, p. 2</w:t>
      </w:r>
      <w:r>
        <w:rPr>
          <w:lang w:val="sv-SE"/>
        </w:rPr>
        <w:t>8</w:t>
      </w:r>
      <w:r w:rsidRPr="00C42B07">
        <w:rPr>
          <w:lang w:val="sv-SE"/>
        </w:rPr>
        <w:t>.</w:t>
      </w:r>
    </w:p>
  </w:footnote>
  <w:footnote w:id="7">
    <w:p w14:paraId="62391C70" w14:textId="282BE65B" w:rsidR="001A62D7" w:rsidRPr="00887A63" w:rsidRDefault="001A62D7" w:rsidP="00887A63">
      <w:pPr>
        <w:pStyle w:val="FootnoteText"/>
        <w:rPr>
          <w:rStyle w:val="FootnoteReference"/>
          <w:vertAlign w:val="baseline"/>
        </w:rPr>
      </w:pPr>
      <w:r w:rsidRPr="00887A63">
        <w:rPr>
          <w:rStyle w:val="FootnoteReference"/>
        </w:rPr>
        <w:footnoteRef/>
      </w:r>
      <w:r w:rsidRPr="00887A63">
        <w:rPr>
          <w:rStyle w:val="FootnoteReference"/>
          <w:vertAlign w:val="baseline"/>
        </w:rPr>
        <w:tab/>
        <w:t>OJ L 153, 3.5.2021, p. 48</w:t>
      </w:r>
      <w:r w:rsidR="007D5441" w:rsidRPr="00887A63">
        <w:rPr>
          <w:rStyle w:val="FootnoteReference"/>
          <w:vertAlign w:val="baseline"/>
        </w:rPr>
        <w:t>,</w:t>
      </w:r>
      <w:r w:rsidR="0075062E" w:rsidRPr="00887A63">
        <w:rPr>
          <w:rStyle w:val="FootnoteReference"/>
          <w:vertAlign w:val="baseline"/>
        </w:rPr>
        <w:t xml:space="preserve"> ELI: http://data.europa.eu/eli/reg/2021/691/oj</w:t>
      </w:r>
      <w:r w:rsidRPr="00887A63">
        <w:rPr>
          <w:rStyle w:val="FootnoteReference"/>
          <w:vertAlign w:val="baseline"/>
        </w:rPr>
        <w:t>.</w:t>
      </w:r>
    </w:p>
  </w:footnote>
  <w:footnote w:id="8">
    <w:p w14:paraId="4404EC59" w14:textId="65D66FAD" w:rsidR="001A62D7" w:rsidRPr="00887A63" w:rsidRDefault="001A62D7" w:rsidP="00887A63">
      <w:pPr>
        <w:pStyle w:val="FootnoteText"/>
        <w:rPr>
          <w:rStyle w:val="FootnoteReference"/>
          <w:vertAlign w:val="baseline"/>
        </w:rPr>
      </w:pPr>
      <w:r w:rsidRPr="00887A63">
        <w:rPr>
          <w:rStyle w:val="FootnoteReference"/>
        </w:rPr>
        <w:footnoteRef/>
      </w:r>
      <w:r w:rsidRPr="00887A63">
        <w:rPr>
          <w:rStyle w:val="FootnoteReference"/>
          <w:vertAlign w:val="baseline"/>
        </w:rPr>
        <w:tab/>
        <w:t>OJ L 433 I, 22.12.2020, p. 28</w:t>
      </w:r>
      <w:r w:rsidR="00751DE2" w:rsidRPr="00887A63">
        <w:rPr>
          <w:rStyle w:val="FootnoteReference"/>
          <w:vertAlign w:val="baseline"/>
        </w:rPr>
        <w:t>, ELI: http://data.europa.eu/eli/agree_interinstit/2020/1222/oj.</w:t>
      </w:r>
    </w:p>
  </w:footnote>
  <w:footnote w:id="9">
    <w:p w14:paraId="0BEBEF3F" w14:textId="2E87EBB2" w:rsidR="001A62D7" w:rsidRPr="009F7C73" w:rsidRDefault="001A62D7" w:rsidP="001A62D7">
      <w:pPr>
        <w:pStyle w:val="FootnoteText"/>
      </w:pPr>
      <w:r w:rsidRPr="00872F86">
        <w:rPr>
          <w:rStyle w:val="FootnoteReference"/>
        </w:rPr>
        <w:footnoteRef/>
      </w:r>
      <w:r w:rsidRPr="009F7C73">
        <w:tab/>
      </w:r>
      <w:r w:rsidRPr="00270F9D">
        <w:t>Council Regulation (EU, Euratom) 2020/2093 of 17 December 2020 laying down the multiannual financial framework for the years 2021 to 2027</w:t>
      </w:r>
      <w:r>
        <w:t xml:space="preserve"> (</w:t>
      </w:r>
      <w:r>
        <w:rPr>
          <w:lang w:val="pl-PL"/>
        </w:rPr>
        <w:t>OJ L </w:t>
      </w:r>
      <w:r w:rsidRPr="0089670E">
        <w:rPr>
          <w:lang w:val="pl-PL"/>
        </w:rPr>
        <w:t>433</w:t>
      </w:r>
      <w:r>
        <w:rPr>
          <w:lang w:val="pl-PL"/>
        </w:rPr>
        <w:t xml:space="preserve"> I, 22.12.2020, p. 11</w:t>
      </w:r>
      <w:r w:rsidR="009C5E57">
        <w:rPr>
          <w:lang w:val="pl-PL"/>
        </w:rPr>
        <w:t xml:space="preserve">, </w:t>
      </w:r>
      <w:r w:rsidR="005B2FE9" w:rsidRPr="005B2FE9">
        <w:rPr>
          <w:lang w:val="pl-PL"/>
        </w:rPr>
        <w:t>ELI: http://data.europa.eu/eli/reg/2020/2093/oj</w:t>
      </w:r>
      <w:r>
        <w:rPr>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3B757" w14:textId="77777777" w:rsidR="00D90C31" w:rsidRDefault="00D90C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8BB88" w14:textId="77777777" w:rsidR="00D90C31" w:rsidRDefault="00D90C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name w:val="826494818"/>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6"/>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 w:numId="33">
    <w:abstractNumId w:val="23"/>
  </w:num>
  <w:num w:numId="34">
    <w:abstractNumId w:val="12"/>
  </w:num>
  <w:num w:numId="35">
    <w:abstractNumId w:val="26"/>
  </w:num>
  <w:num w:numId="36">
    <w:abstractNumId w:val="6"/>
  </w:num>
  <w:num w:numId="37">
    <w:abstractNumId w:val="13"/>
  </w:num>
  <w:num w:numId="38">
    <w:abstractNumId w:val="14"/>
  </w:num>
  <w:num w:numId="39">
    <w:abstractNumId w:val="4"/>
  </w:num>
  <w:num w:numId="40">
    <w:abstractNumId w:val="25"/>
  </w:num>
  <w:num w:numId="41">
    <w:abstractNumId w:val="3"/>
  </w:num>
  <w:num w:numId="42">
    <w:abstractNumId w:val="15"/>
  </w:num>
  <w:num w:numId="43">
    <w:abstractNumId w:val="21"/>
  </w:num>
  <w:num w:numId="44">
    <w:abstractNumId w:val="22"/>
  </w:num>
  <w:num w:numId="45">
    <w:abstractNumId w:val="5"/>
  </w:num>
  <w:num w:numId="46">
    <w:abstractNumId w:val="19"/>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19 08:24: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6652F43-119E-4884-8879-38C20789AB02"/>
    <w:docVar w:name="LW_COVERPAGE_TYPE" w:val="1"/>
    <w:docVar w:name="LW_CreatedUtc" w:val="2025-02-03T12:09:04.7855178Z"/>
    <w:docVar w:name="LW_CROSSREFERENCE" w:val="&lt;UNUSED&gt;"/>
    <w:docVar w:name="LW_DocType" w:val="COM"/>
    <w:docVar w:name="LW_EMISSION" w:val="26.5.2026"/>
    <w:docVar w:name="LW_EMISSION_ISODATE" w:val="2026-05-26"/>
    <w:docVar w:name="LW_EMISSION_LOCATION" w:val="BRX"/>
    <w:docVar w:name="LW_EMISSION_PREFIX" w:val="Brussel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BUD"/>
    <w:docVar w:name="LW_REF.II.NEW.CP_NUMBER" w:val="0126"/>
    <w:docVar w:name="LW_REF.II.NEW.CP_YEAR" w:val="2026"/>
    <w:docVar w:name="LW_REF.INST.NEW" w:val="COM"/>
    <w:docVar w:name="LW_REF.INST.NEW_ADOPTED" w:val="final"/>
    <w:docVar w:name="LW_REF.INST.NEW_TEXT" w:val="(2026) 3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mobilisation of the European Globalisation Adjustment Fund for Displaced Workers at the initiative of the Commission (EGF/2026/000 TA 2026 - Technical assistance)"/>
    <w:docVar w:name="LW_TYPE.DOC.CP" w:val="DECISION OF THE EUROPEAN PARLIAMENT AND OF THE COUNCIL"/>
    <w:docVar w:name="LwApiVersions" w:val="LW4CoDe 1.24.5.0; LW 9.2, Build 20251112"/>
  </w:docVars>
  <w:rsids>
    <w:rsidRoot w:val="001A62D7"/>
    <w:rsid w:val="00006413"/>
    <w:rsid w:val="00037B01"/>
    <w:rsid w:val="00043A15"/>
    <w:rsid w:val="0005098F"/>
    <w:rsid w:val="00074EC4"/>
    <w:rsid w:val="000A73E7"/>
    <w:rsid w:val="00105AD3"/>
    <w:rsid w:val="001065F5"/>
    <w:rsid w:val="0011044B"/>
    <w:rsid w:val="001238EF"/>
    <w:rsid w:val="00126619"/>
    <w:rsid w:val="00135FFF"/>
    <w:rsid w:val="0014187A"/>
    <w:rsid w:val="0019013B"/>
    <w:rsid w:val="00197613"/>
    <w:rsid w:val="001A62D7"/>
    <w:rsid w:val="001B050B"/>
    <w:rsid w:val="001C2B74"/>
    <w:rsid w:val="001D37D3"/>
    <w:rsid w:val="001D5AA5"/>
    <w:rsid w:val="001E4049"/>
    <w:rsid w:val="001E7222"/>
    <w:rsid w:val="001F6CB0"/>
    <w:rsid w:val="002026D7"/>
    <w:rsid w:val="00227B90"/>
    <w:rsid w:val="00233DC7"/>
    <w:rsid w:val="00243F98"/>
    <w:rsid w:val="00245A79"/>
    <w:rsid w:val="00247779"/>
    <w:rsid w:val="002623B5"/>
    <w:rsid w:val="00285BEE"/>
    <w:rsid w:val="0029533F"/>
    <w:rsid w:val="002A6A5A"/>
    <w:rsid w:val="002B30AF"/>
    <w:rsid w:val="002D2E46"/>
    <w:rsid w:val="002F3C07"/>
    <w:rsid w:val="003208A2"/>
    <w:rsid w:val="0033344A"/>
    <w:rsid w:val="003618E0"/>
    <w:rsid w:val="00376170"/>
    <w:rsid w:val="00384F23"/>
    <w:rsid w:val="003A0A93"/>
    <w:rsid w:val="003C7758"/>
    <w:rsid w:val="003F41A0"/>
    <w:rsid w:val="00400F99"/>
    <w:rsid w:val="0041069E"/>
    <w:rsid w:val="004223D8"/>
    <w:rsid w:val="0042648E"/>
    <w:rsid w:val="0042716E"/>
    <w:rsid w:val="00432487"/>
    <w:rsid w:val="00455363"/>
    <w:rsid w:val="00456A5B"/>
    <w:rsid w:val="00471F62"/>
    <w:rsid w:val="00481765"/>
    <w:rsid w:val="004936D2"/>
    <w:rsid w:val="004C33A1"/>
    <w:rsid w:val="004C4BB5"/>
    <w:rsid w:val="004D583F"/>
    <w:rsid w:val="004D5BB3"/>
    <w:rsid w:val="00516AA6"/>
    <w:rsid w:val="005254E2"/>
    <w:rsid w:val="00530AAF"/>
    <w:rsid w:val="00554F43"/>
    <w:rsid w:val="005665FB"/>
    <w:rsid w:val="005915B2"/>
    <w:rsid w:val="005B1EB6"/>
    <w:rsid w:val="005B2FE9"/>
    <w:rsid w:val="005C66A0"/>
    <w:rsid w:val="005E7E04"/>
    <w:rsid w:val="00613795"/>
    <w:rsid w:val="006158FD"/>
    <w:rsid w:val="006251C4"/>
    <w:rsid w:val="00625B31"/>
    <w:rsid w:val="006269BD"/>
    <w:rsid w:val="006C76CA"/>
    <w:rsid w:val="006D6C99"/>
    <w:rsid w:val="006F519F"/>
    <w:rsid w:val="007218E2"/>
    <w:rsid w:val="00721C63"/>
    <w:rsid w:val="00731699"/>
    <w:rsid w:val="00733474"/>
    <w:rsid w:val="0075062E"/>
    <w:rsid w:val="00751DE2"/>
    <w:rsid w:val="00773331"/>
    <w:rsid w:val="00775B2D"/>
    <w:rsid w:val="00782388"/>
    <w:rsid w:val="007850C3"/>
    <w:rsid w:val="007932EF"/>
    <w:rsid w:val="00793EBD"/>
    <w:rsid w:val="007D5441"/>
    <w:rsid w:val="007E05B0"/>
    <w:rsid w:val="007F705A"/>
    <w:rsid w:val="0080246A"/>
    <w:rsid w:val="008118FF"/>
    <w:rsid w:val="0081312F"/>
    <w:rsid w:val="008172A8"/>
    <w:rsid w:val="00841CEB"/>
    <w:rsid w:val="008463C7"/>
    <w:rsid w:val="00863D12"/>
    <w:rsid w:val="00874D22"/>
    <w:rsid w:val="00881F5C"/>
    <w:rsid w:val="00887A63"/>
    <w:rsid w:val="00887E32"/>
    <w:rsid w:val="008A2914"/>
    <w:rsid w:val="008B762A"/>
    <w:rsid w:val="008C63EA"/>
    <w:rsid w:val="008E06B5"/>
    <w:rsid w:val="008E2179"/>
    <w:rsid w:val="008E24D5"/>
    <w:rsid w:val="008E4D8E"/>
    <w:rsid w:val="0092277D"/>
    <w:rsid w:val="009360D0"/>
    <w:rsid w:val="00943C80"/>
    <w:rsid w:val="00972292"/>
    <w:rsid w:val="00976503"/>
    <w:rsid w:val="009802F7"/>
    <w:rsid w:val="009C5E57"/>
    <w:rsid w:val="009F0457"/>
    <w:rsid w:val="009F1F87"/>
    <w:rsid w:val="009F31A8"/>
    <w:rsid w:val="009F6097"/>
    <w:rsid w:val="00A10D8F"/>
    <w:rsid w:val="00A1187D"/>
    <w:rsid w:val="00A31E3D"/>
    <w:rsid w:val="00A3207C"/>
    <w:rsid w:val="00A37AA2"/>
    <w:rsid w:val="00A51D71"/>
    <w:rsid w:val="00A52484"/>
    <w:rsid w:val="00A55775"/>
    <w:rsid w:val="00A62B61"/>
    <w:rsid w:val="00A70080"/>
    <w:rsid w:val="00AC23F4"/>
    <w:rsid w:val="00AC5FE9"/>
    <w:rsid w:val="00AE0FF1"/>
    <w:rsid w:val="00AE1EEE"/>
    <w:rsid w:val="00AE6F8F"/>
    <w:rsid w:val="00AF47F6"/>
    <w:rsid w:val="00B013FF"/>
    <w:rsid w:val="00B232DA"/>
    <w:rsid w:val="00B23B13"/>
    <w:rsid w:val="00B318D5"/>
    <w:rsid w:val="00B47A05"/>
    <w:rsid w:val="00B86BD9"/>
    <w:rsid w:val="00BD6EAB"/>
    <w:rsid w:val="00BF6BC2"/>
    <w:rsid w:val="00C10539"/>
    <w:rsid w:val="00C12301"/>
    <w:rsid w:val="00C201D6"/>
    <w:rsid w:val="00C8732B"/>
    <w:rsid w:val="00CB6600"/>
    <w:rsid w:val="00CB7CAD"/>
    <w:rsid w:val="00CD4279"/>
    <w:rsid w:val="00D01419"/>
    <w:rsid w:val="00D20381"/>
    <w:rsid w:val="00D2197C"/>
    <w:rsid w:val="00D40977"/>
    <w:rsid w:val="00D415A3"/>
    <w:rsid w:val="00D42B30"/>
    <w:rsid w:val="00D54F1D"/>
    <w:rsid w:val="00D82A81"/>
    <w:rsid w:val="00D90C31"/>
    <w:rsid w:val="00D975EC"/>
    <w:rsid w:val="00DA31BE"/>
    <w:rsid w:val="00DA4EC5"/>
    <w:rsid w:val="00DD196B"/>
    <w:rsid w:val="00DF4047"/>
    <w:rsid w:val="00E01C30"/>
    <w:rsid w:val="00E5516A"/>
    <w:rsid w:val="00E676B4"/>
    <w:rsid w:val="00E859C9"/>
    <w:rsid w:val="00EC6339"/>
    <w:rsid w:val="00EF46D4"/>
    <w:rsid w:val="00F02361"/>
    <w:rsid w:val="00F13120"/>
    <w:rsid w:val="00F27890"/>
    <w:rsid w:val="00F445D7"/>
    <w:rsid w:val="00F56FBA"/>
    <w:rsid w:val="00F615C5"/>
    <w:rsid w:val="00F77D99"/>
    <w:rsid w:val="00FA7441"/>
    <w:rsid w:val="00FC38F8"/>
    <w:rsid w:val="00FC6123"/>
    <w:rsid w:val="00FF5C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8C976BE"/>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val="fr-FR" w:eastAsia="en-GB"/>
    </w:rPr>
  </w:style>
  <w:style w:type="paragraph" w:styleId="ListBullet2">
    <w:name w:val="List Bullet 2"/>
    <w:basedOn w:val="Normal"/>
    <w:uiPriority w:val="99"/>
    <w:rsid w:val="001A62D7"/>
    <w:pPr>
      <w:numPr>
        <w:numId w:val="8"/>
      </w:numPr>
    </w:pPr>
    <w:rPr>
      <w:rFonts w:eastAsia="Times New Roman"/>
      <w:lang w:val="fr-FR" w:eastAsia="en-GB"/>
    </w:rPr>
  </w:style>
  <w:style w:type="paragraph" w:styleId="ListBullet3">
    <w:name w:val="List Bullet 3"/>
    <w:basedOn w:val="Normal"/>
    <w:uiPriority w:val="99"/>
    <w:rsid w:val="001A62D7"/>
    <w:pPr>
      <w:numPr>
        <w:numId w:val="9"/>
      </w:numPr>
    </w:pPr>
    <w:rPr>
      <w:rFonts w:eastAsia="Times New Roman"/>
      <w:lang w:val="fr-FR" w:eastAsia="en-GB"/>
    </w:rPr>
  </w:style>
  <w:style w:type="paragraph" w:styleId="ListNumber2">
    <w:name w:val="List Number 2"/>
    <w:basedOn w:val="Normal"/>
    <w:uiPriority w:val="99"/>
    <w:rsid w:val="001A62D7"/>
    <w:pPr>
      <w:numPr>
        <w:numId w:val="13"/>
      </w:numPr>
    </w:pPr>
    <w:rPr>
      <w:rFonts w:eastAsia="Times New Roman"/>
      <w:lang w:val="fr-FR" w:eastAsia="en-GB"/>
    </w:rPr>
  </w:style>
  <w:style w:type="paragraph" w:styleId="ListNumber3">
    <w:name w:val="List Number 3"/>
    <w:basedOn w:val="Normal"/>
    <w:uiPriority w:val="99"/>
    <w:rsid w:val="001A62D7"/>
    <w:pPr>
      <w:numPr>
        <w:numId w:val="14"/>
      </w:numPr>
    </w:pPr>
    <w:rPr>
      <w:rFonts w:eastAsia="Times New Roman"/>
      <w:lang w:val="fr-FR" w:eastAsia="en-GB"/>
    </w:rPr>
  </w:style>
  <w:style w:type="paragraph" w:styleId="ListNumber4">
    <w:name w:val="List Number 4"/>
    <w:basedOn w:val="Normal"/>
    <w:uiPriority w:val="99"/>
    <w:rsid w:val="001A62D7"/>
    <w:pPr>
      <w:numPr>
        <w:numId w:val="15"/>
      </w:numPr>
    </w:pPr>
    <w:rPr>
      <w:rFonts w:eastAsia="Times New Roman"/>
      <w:lang w:val="fr-FR" w:eastAsia="en-GB"/>
    </w:rPr>
  </w:style>
  <w:style w:type="paragraph" w:customStyle="1" w:styleId="ListDash3">
    <w:name w:val="List Dash 3"/>
    <w:basedOn w:val="Normal"/>
    <w:rsid w:val="001A62D7"/>
    <w:pPr>
      <w:numPr>
        <w:numId w:val="10"/>
      </w:numPr>
    </w:pPr>
    <w:rPr>
      <w:rFonts w:eastAsia="Times New Roman"/>
      <w:lang w:val="fr-FR" w:eastAsia="en-GB"/>
    </w:rPr>
  </w:style>
  <w:style w:type="paragraph" w:customStyle="1" w:styleId="ListDash4">
    <w:name w:val="List Dash 4"/>
    <w:basedOn w:val="Normal"/>
    <w:rsid w:val="001A62D7"/>
    <w:pPr>
      <w:numPr>
        <w:numId w:val="11"/>
      </w:numPr>
    </w:pPr>
    <w:rPr>
      <w:rFonts w:eastAsia="Times New Roman"/>
      <w:lang w:val="fr-FR" w:eastAsia="en-GB"/>
    </w:rPr>
  </w:style>
  <w:style w:type="paragraph" w:customStyle="1" w:styleId="ListNumber1">
    <w:name w:val="List Number 1"/>
    <w:basedOn w:val="Text1"/>
    <w:rsid w:val="001A62D7"/>
    <w:pPr>
      <w:numPr>
        <w:numId w:val="12"/>
      </w:numPr>
    </w:pPr>
    <w:rPr>
      <w:rFonts w:eastAsia="Times New Roman"/>
      <w:lang w:val="fr-FR" w:eastAsia="en-GB"/>
    </w:rPr>
  </w:style>
  <w:style w:type="paragraph" w:customStyle="1" w:styleId="ListNumber1Level2">
    <w:name w:val="List Number 1 (Level 2)"/>
    <w:basedOn w:val="Text1"/>
    <w:rsid w:val="001A62D7"/>
    <w:pPr>
      <w:numPr>
        <w:ilvl w:val="1"/>
        <w:numId w:val="12"/>
      </w:numPr>
    </w:pPr>
    <w:rPr>
      <w:rFonts w:eastAsia="Times New Roman"/>
      <w:lang w:val="fr-FR" w:eastAsia="en-GB"/>
    </w:rPr>
  </w:style>
  <w:style w:type="paragraph" w:customStyle="1" w:styleId="ListNumber2Level2">
    <w:name w:val="List Number 2 (Level 2)"/>
    <w:basedOn w:val="Text2"/>
    <w:rsid w:val="001A62D7"/>
    <w:pPr>
      <w:numPr>
        <w:ilvl w:val="1"/>
        <w:numId w:val="13"/>
      </w:numPr>
    </w:pPr>
    <w:rPr>
      <w:rFonts w:eastAsia="Times New Roman"/>
      <w:lang w:val="fr-FR" w:eastAsia="en-GB"/>
    </w:rPr>
  </w:style>
  <w:style w:type="paragraph" w:customStyle="1" w:styleId="ListNumber3Level2">
    <w:name w:val="List Number 3 (Level 2)"/>
    <w:basedOn w:val="Text3"/>
    <w:rsid w:val="001A62D7"/>
    <w:pPr>
      <w:numPr>
        <w:ilvl w:val="1"/>
        <w:numId w:val="14"/>
      </w:numPr>
    </w:pPr>
    <w:rPr>
      <w:rFonts w:eastAsia="Times New Roman"/>
      <w:lang w:val="fr-FR" w:eastAsia="en-GB"/>
    </w:rPr>
  </w:style>
  <w:style w:type="paragraph" w:customStyle="1" w:styleId="ListNumber4Level2">
    <w:name w:val="List Number 4 (Level 2)"/>
    <w:basedOn w:val="Text4"/>
    <w:rsid w:val="001A62D7"/>
    <w:pPr>
      <w:numPr>
        <w:ilvl w:val="1"/>
        <w:numId w:val="15"/>
      </w:numPr>
    </w:pPr>
    <w:rPr>
      <w:rFonts w:eastAsia="Times New Roman"/>
      <w:lang w:val="fr-FR" w:eastAsia="en-GB"/>
    </w:rPr>
  </w:style>
  <w:style w:type="paragraph" w:customStyle="1" w:styleId="ListNumber1Level3">
    <w:name w:val="List Number 1 (Level 3)"/>
    <w:basedOn w:val="Text1"/>
    <w:rsid w:val="001A62D7"/>
    <w:pPr>
      <w:numPr>
        <w:ilvl w:val="2"/>
        <w:numId w:val="12"/>
      </w:numPr>
    </w:pPr>
    <w:rPr>
      <w:rFonts w:eastAsia="Times New Roman"/>
      <w:lang w:val="fr-FR" w:eastAsia="en-GB"/>
    </w:rPr>
  </w:style>
  <w:style w:type="paragraph" w:customStyle="1" w:styleId="ListNumber2Level3">
    <w:name w:val="List Number 2 (Level 3)"/>
    <w:basedOn w:val="Text2"/>
    <w:rsid w:val="001A62D7"/>
    <w:pPr>
      <w:numPr>
        <w:ilvl w:val="2"/>
        <w:numId w:val="13"/>
      </w:numPr>
    </w:pPr>
    <w:rPr>
      <w:rFonts w:eastAsia="Times New Roman"/>
      <w:lang w:val="fr-FR" w:eastAsia="en-GB"/>
    </w:rPr>
  </w:style>
  <w:style w:type="paragraph" w:customStyle="1" w:styleId="ListNumber3Level3">
    <w:name w:val="List Number 3 (Level 3)"/>
    <w:basedOn w:val="Text3"/>
    <w:rsid w:val="001A62D7"/>
    <w:pPr>
      <w:numPr>
        <w:ilvl w:val="2"/>
        <w:numId w:val="14"/>
      </w:numPr>
    </w:pPr>
    <w:rPr>
      <w:rFonts w:eastAsia="Times New Roman"/>
      <w:lang w:val="fr-FR" w:eastAsia="en-GB"/>
    </w:rPr>
  </w:style>
  <w:style w:type="paragraph" w:customStyle="1" w:styleId="ListNumber4Level3">
    <w:name w:val="List Number 4 (Level 3)"/>
    <w:basedOn w:val="Text4"/>
    <w:rsid w:val="001A62D7"/>
    <w:pPr>
      <w:numPr>
        <w:ilvl w:val="2"/>
        <w:numId w:val="15"/>
      </w:numPr>
    </w:pPr>
    <w:rPr>
      <w:rFonts w:eastAsia="Times New Roman"/>
      <w:lang w:val="fr-FR" w:eastAsia="en-GB"/>
    </w:rPr>
  </w:style>
  <w:style w:type="paragraph" w:customStyle="1" w:styleId="ListNumber1Level4">
    <w:name w:val="List Number 1 (Level 4)"/>
    <w:basedOn w:val="Text1"/>
    <w:rsid w:val="001A62D7"/>
    <w:pPr>
      <w:numPr>
        <w:ilvl w:val="3"/>
        <w:numId w:val="12"/>
      </w:numPr>
    </w:pPr>
    <w:rPr>
      <w:rFonts w:eastAsia="Times New Roman"/>
      <w:lang w:val="fr-FR" w:eastAsia="en-GB"/>
    </w:rPr>
  </w:style>
  <w:style w:type="paragraph" w:customStyle="1" w:styleId="ListNumber2Level4">
    <w:name w:val="List Number 2 (Level 4)"/>
    <w:basedOn w:val="Text2"/>
    <w:rsid w:val="001A62D7"/>
    <w:pPr>
      <w:numPr>
        <w:ilvl w:val="3"/>
        <w:numId w:val="13"/>
      </w:numPr>
    </w:pPr>
    <w:rPr>
      <w:rFonts w:eastAsia="Times New Roman"/>
      <w:lang w:val="fr-FR" w:eastAsia="en-GB"/>
    </w:rPr>
  </w:style>
  <w:style w:type="paragraph" w:customStyle="1" w:styleId="ListNumber3Level4">
    <w:name w:val="List Number 3 (Level 4)"/>
    <w:basedOn w:val="Text3"/>
    <w:rsid w:val="001A62D7"/>
    <w:pPr>
      <w:numPr>
        <w:ilvl w:val="3"/>
        <w:numId w:val="14"/>
      </w:numPr>
    </w:pPr>
    <w:rPr>
      <w:rFonts w:eastAsia="Times New Roman"/>
      <w:lang w:val="fr-FR" w:eastAsia="en-GB"/>
    </w:rPr>
  </w:style>
  <w:style w:type="paragraph" w:customStyle="1" w:styleId="ListNumber4Level4">
    <w:name w:val="List Number 4 (Level 4)"/>
    <w:basedOn w:val="Text4"/>
    <w:rsid w:val="001A62D7"/>
    <w:pPr>
      <w:numPr>
        <w:ilvl w:val="3"/>
        <w:numId w:val="15"/>
      </w:numPr>
    </w:pPr>
    <w:rPr>
      <w:rFonts w:eastAsia="Times New Roman"/>
      <w:lang w:val="fr-FR" w:eastAsia="en-GB"/>
    </w:rPr>
  </w:style>
  <w:style w:type="paragraph" w:customStyle="1" w:styleId="Annexetitreacte">
    <w:name w:val="Annexe titre (acte)"/>
    <w:basedOn w:val="Normal"/>
    <w:next w:val="Normal"/>
    <w:rsid w:val="001A62D7"/>
    <w:pPr>
      <w:jc w:val="center"/>
    </w:pPr>
    <w:rPr>
      <w:rFonts w:eastAsia="Times New Roman"/>
      <w:b/>
      <w:u w:val="single"/>
      <w:lang w:val="fr-FR" w:eastAsia="en-GB"/>
    </w:rPr>
  </w:style>
  <w:style w:type="paragraph" w:customStyle="1" w:styleId="Annexetitreexposglobal">
    <w:name w:val="Annexe titre (exposé global)"/>
    <w:basedOn w:val="Normal"/>
    <w:next w:val="Normal"/>
    <w:rsid w:val="001A62D7"/>
    <w:pPr>
      <w:jc w:val="center"/>
    </w:pPr>
    <w:rPr>
      <w:rFonts w:eastAsia="Times New Roman"/>
      <w:b/>
      <w:u w:val="single"/>
      <w:lang w:val="fr-FR" w:eastAsia="en-GB"/>
    </w:rPr>
  </w:style>
  <w:style w:type="paragraph" w:customStyle="1" w:styleId="Annexetitrefichefinacte">
    <w:name w:val="Annexe titre (fiche fin. acte)"/>
    <w:basedOn w:val="Normal"/>
    <w:next w:val="Normal"/>
    <w:rsid w:val="001A62D7"/>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val="fr-FR" w:eastAsia="en-GB"/>
    </w:rPr>
  </w:style>
  <w:style w:type="paragraph" w:customStyle="1" w:styleId="Annexetitreglobale">
    <w:name w:val="Annexe titre (globale)"/>
    <w:basedOn w:val="Normal"/>
    <w:next w:val="Normal"/>
    <w:rsid w:val="001A62D7"/>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val="fr-FR" w:eastAsia="en-GB"/>
    </w:rPr>
  </w:style>
  <w:style w:type="paragraph" w:customStyle="1" w:styleId="Langueoriginale">
    <w:name w:val="Langue originale"/>
    <w:basedOn w:val="Normal"/>
    <w:rsid w:val="001A62D7"/>
    <w:pPr>
      <w:spacing w:before="360"/>
      <w:jc w:val="center"/>
    </w:pPr>
    <w:rPr>
      <w:rFonts w:eastAsia="Times New Roman"/>
      <w:caps/>
      <w:lang w:val="fr-FR" w:eastAsia="en-GB"/>
    </w:rPr>
  </w:style>
  <w:style w:type="paragraph" w:customStyle="1" w:styleId="Phrasefinale">
    <w:name w:val="Phrase finale"/>
    <w:basedOn w:val="Normal"/>
    <w:next w:val="Normal"/>
    <w:rsid w:val="001A62D7"/>
    <w:pPr>
      <w:spacing w:before="360" w:after="0"/>
      <w:jc w:val="center"/>
    </w:pPr>
    <w:rPr>
      <w:rFonts w:eastAsia="Times New Roman"/>
      <w:lang w:val="fr-FR" w:eastAsia="en-GB"/>
    </w:rPr>
  </w:style>
  <w:style w:type="paragraph" w:customStyle="1" w:styleId="Prliminairetitre">
    <w:name w:val="Préliminaire titre"/>
    <w:basedOn w:val="Normal"/>
    <w:next w:val="Normal"/>
    <w:rsid w:val="001A62D7"/>
    <w:pPr>
      <w:spacing w:before="360" w:after="360"/>
      <w:jc w:val="center"/>
    </w:pPr>
    <w:rPr>
      <w:rFonts w:eastAsia="Times New Roman"/>
      <w:b/>
      <w:lang w:val="fr-FR" w:eastAsia="en-GB"/>
    </w:rPr>
  </w:style>
  <w:style w:type="paragraph" w:customStyle="1" w:styleId="Prliminairetype">
    <w:name w:val="Préliminaire type"/>
    <w:basedOn w:val="Normal"/>
    <w:next w:val="Normal"/>
    <w:rsid w:val="001A62D7"/>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1A62D7"/>
    <w:pPr>
      <w:spacing w:before="0" w:after="0"/>
      <w:jc w:val="center"/>
    </w:pPr>
    <w:rPr>
      <w:rFonts w:eastAsia="Times New Roman"/>
      <w:b/>
      <w:lang w:val="fr-FR" w:eastAsia="en-GB"/>
    </w:rPr>
  </w:style>
  <w:style w:type="paragraph" w:customStyle="1" w:styleId="Statutprliminaire">
    <w:name w:val="Statut (préliminaire)"/>
    <w:basedOn w:val="Normal"/>
    <w:next w:val="Normal"/>
    <w:rsid w:val="001A62D7"/>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val="fr-FR"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val="fr-FR"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fr-FR" w:eastAsia="en-GB"/>
    </w:rPr>
  </w:style>
  <w:style w:type="paragraph" w:styleId="Caption">
    <w:name w:val="caption"/>
    <w:basedOn w:val="Normal"/>
    <w:next w:val="Normal"/>
    <w:uiPriority w:val="35"/>
    <w:qFormat/>
    <w:rsid w:val="001A62D7"/>
    <w:rPr>
      <w:rFonts w:eastAsia="Times New Roman"/>
      <w:b/>
      <w:bCs/>
      <w:sz w:val="20"/>
      <w:szCs w:val="20"/>
      <w:lang w:val="fr-FR" w:eastAsia="en-GB"/>
    </w:rPr>
  </w:style>
  <w:style w:type="paragraph" w:styleId="TableofFigures">
    <w:name w:val="table of figures"/>
    <w:basedOn w:val="Normal"/>
    <w:next w:val="Normal"/>
    <w:uiPriority w:val="99"/>
    <w:rsid w:val="001A62D7"/>
    <w:rPr>
      <w:rFonts w:eastAsia="Times New Roman"/>
      <w:lang w:val="fr-FR"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en-GB"/>
    </w:rPr>
  </w:style>
  <w:style w:type="character" w:customStyle="1" w:styleId="FooterCoverPageChar">
    <w:name w:val="Footer Cover Page Char"/>
    <w:link w:val="FooterCoverPage"/>
    <w:rsid w:val="001A62D7"/>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en-GB" w:eastAsia="en-GB"/>
    </w:rPr>
  </w:style>
  <w:style w:type="character" w:customStyle="1" w:styleId="FooterSensitivityChar">
    <w:name w:val="Footer Sensitivity Char"/>
    <w:rsid w:val="001A62D7"/>
    <w:rPr>
      <w:rFonts w:ascii="Times New Roman" w:hAnsi="Times New Roman" w:cs="Times New Roman"/>
      <w:b/>
      <w:sz w:val="32"/>
      <w:lang w:val="en-GB"/>
    </w:rPr>
  </w:style>
  <w:style w:type="character" w:customStyle="1" w:styleId="HeaderSensitivityChar">
    <w:name w:val="Header Sensitivity Char"/>
    <w:rsid w:val="001A62D7"/>
    <w:rPr>
      <w:rFonts w:ascii="Times New Roman" w:hAnsi="Times New Roman" w:cs="Times New Roman"/>
      <w:b/>
      <w:sz w:val="32"/>
      <w:lang w:val="en-GB"/>
    </w:rPr>
  </w:style>
  <w:style w:type="character" w:customStyle="1" w:styleId="HeaderSensitivityRightChar">
    <w:name w:val="Header Sensitivity Right Char"/>
    <w:rsid w:val="001A62D7"/>
    <w:rPr>
      <w:rFonts w:ascii="Times New Roman" w:hAnsi="Times New Roman" w:cs="Times New Roman"/>
      <w:sz w:val="28"/>
      <w:lang w:val="en-GB"/>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1">
    <w:name w:val="Mention1"/>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paragraph" w:styleId="ListBullet5">
    <w:name w:val="List Bullet 5"/>
    <w:basedOn w:val="Normal"/>
    <w:uiPriority w:val="99"/>
    <w:unhideWhenUsed/>
    <w:rsid w:val="00BF6BC2"/>
    <w:pPr>
      <w:tabs>
        <w:tab w:val="num" w:pos="1492"/>
      </w:tabs>
      <w:ind w:left="1492" w:hanging="360"/>
      <w:contextualSpacing/>
    </w:pPr>
  </w:style>
  <w:style w:type="character" w:customStyle="1" w:styleId="UnresolvedMention">
    <w:name w:val="Unresolved Mention"/>
    <w:basedOn w:val="DefaultParagraphFont"/>
    <w:uiPriority w:val="99"/>
    <w:semiHidden/>
    <w:unhideWhenUsed/>
    <w:rsid w:val="0081312F"/>
    <w:rPr>
      <w:color w:val="605E5C"/>
      <w:shd w:val="clear" w:color="auto" w:fill="E1DFDD"/>
    </w:rPr>
  </w:style>
  <w:style w:type="character" w:customStyle="1" w:styleId="HeaderChar">
    <w:name w:val="Header Char"/>
    <w:basedOn w:val="DefaultParagraphFont"/>
    <w:link w:val="Header"/>
    <w:uiPriority w:val="99"/>
    <w:rsid w:val="00D90C31"/>
    <w:rPr>
      <w:rFonts w:ascii="Times New Roman" w:hAnsi="Times New Roman" w:cs="Times New Roman"/>
      <w:sz w:val="24"/>
      <w:lang w:val="en-GB"/>
    </w:rPr>
  </w:style>
  <w:style w:type="character" w:customStyle="1" w:styleId="FooterChar">
    <w:name w:val="Footer Char"/>
    <w:basedOn w:val="DefaultParagraphFont"/>
    <w:link w:val="Footer"/>
    <w:uiPriority w:val="99"/>
    <w:rsid w:val="00D90C31"/>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90C3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90C31"/>
    <w:pPr>
      <w:spacing w:before="0"/>
      <w:jc w:val="right"/>
    </w:pPr>
    <w:rPr>
      <w:sz w:val="28"/>
    </w:rPr>
  </w:style>
  <w:style w:type="paragraph" w:customStyle="1" w:styleId="FooterSensitivity">
    <w:name w:val="Footer Sensitivity"/>
    <w:basedOn w:val="Normal"/>
    <w:rsid w:val="00D90C3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90C31"/>
    <w:pPr>
      <w:tabs>
        <w:tab w:val="center" w:pos="4535"/>
        <w:tab w:val="right" w:pos="9071"/>
      </w:tabs>
      <w:spacing w:before="0"/>
    </w:pPr>
  </w:style>
  <w:style w:type="paragraph" w:customStyle="1" w:styleId="HeaderLandscape">
    <w:name w:val="HeaderLandscape"/>
    <w:basedOn w:val="Normal"/>
    <w:rsid w:val="00D90C31"/>
    <w:pPr>
      <w:tabs>
        <w:tab w:val="center" w:pos="7285"/>
        <w:tab w:val="right" w:pos="14003"/>
      </w:tabs>
      <w:spacing w:before="0"/>
    </w:pPr>
  </w:style>
  <w:style w:type="paragraph" w:styleId="Footer">
    <w:name w:val="footer"/>
    <w:basedOn w:val="Normal"/>
    <w:link w:val="FooterChar"/>
    <w:uiPriority w:val="99"/>
    <w:unhideWhenUsed/>
    <w:rsid w:val="00D90C3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90C3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egf" TargetMode="External"/><Relationship Id="rId1" Type="http://schemas.openxmlformats.org/officeDocument/2006/relationships/hyperlink" Target="http://data.europa.eu/eli/reg/2021/69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E5C36-916F-46A8-900B-9AF41CFA78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6824A5-D313-4695-B110-A2F5977D8BB4}">
  <ds:schemaRefs>
    <ds:schemaRef ds:uri="http://schemas.microsoft.com/sharepoint/v3/contenttype/forms"/>
  </ds:schemaRefs>
</ds:datastoreItem>
</file>

<file path=customXml/itemProps3.xml><?xml version="1.0" encoding="utf-8"?>
<ds:datastoreItem xmlns:ds="http://schemas.openxmlformats.org/officeDocument/2006/customXml" ds:itemID="{E23319FC-0260-4D86-81D8-007DB9C72E58}">
  <ds:schemaRefs>
    <ds:schemaRef ds:uri="144c03d0-0f03-451f-9d46-5279004462a4"/>
    <ds:schemaRef ds:uri="http://schemas.microsoft.com/sharepoint/v3/fields"/>
    <ds:schemaRef ds:uri="http://purl.org/dc/elements/1.1/"/>
    <ds:schemaRef ds:uri="http://purl.org/dc/dcmitype/"/>
    <ds:schemaRef ds:uri="http://www.w3.org/XML/1998/namespace"/>
    <ds:schemaRef ds:uri="http://schemas.microsoft.com/office/infopath/2007/PartnerControls"/>
    <ds:schemaRef ds:uri="http://schemas.openxmlformats.org/package/2006/metadata/core-properties"/>
    <ds:schemaRef ds:uri="http://schemas.microsoft.com/office/2006/documentManagement/types"/>
    <ds:schemaRef ds:uri="f7bb8512-91eb-4bfd-be42-d6f021407e9a"/>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721E67B0-5318-4935-B531-8D2FE4781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13</TotalTime>
  <Pages>6</Pages>
  <Words>1323</Words>
  <Characters>7545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2026-04-24T13:43:00Z</dcterms:created>
  <dcterms:modified xsi:type="dcterms:W3CDTF">2026-05-19T06:25:00Z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MediaServiceImageTags">
    <vt:lpwstr/>
  </property>
  <property fmtid="{D5CDD505-2E9C-101B-9397-08002B2CF9AE}" pid="19" name="DQCStatus">
    <vt:lpwstr>Green (DQC version 03)</vt:lpwstr>
  </property>
</Properties>
</file>