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028499" w14:textId="4D075CE6" w:rsidR="001A62D7" w:rsidRPr="00290041" w:rsidRDefault="00A8653B" w:rsidP="00A8653B">
      <w:pPr>
        <w:pStyle w:val="Pagedecouverture"/>
        <w:rPr>
          <w:noProof/>
        </w:rPr>
      </w:pPr>
      <w:r>
        <w:rPr>
          <w:noProof/>
        </w:rPr>
        <w:pict w14:anchorId="02462E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2A1BBE3-A40F-45A5-ACF3-425B3686A7AC" style="width:455.25pt;height:357.75pt">
            <v:imagedata r:id="rId11" o:title=""/>
          </v:shape>
        </w:pict>
      </w:r>
    </w:p>
    <w:p w14:paraId="46A5BA5F" w14:textId="77777777" w:rsidR="001A62D7" w:rsidRPr="00290041" w:rsidRDefault="001A62D7" w:rsidP="001A62D7">
      <w:pPr>
        <w:rPr>
          <w:noProof/>
        </w:rPr>
        <w:sectPr w:rsidR="001A62D7" w:rsidRPr="00290041" w:rsidSect="00A8653B">
          <w:footerReference w:type="even" r:id="rId12"/>
          <w:footerReference w:type="default" r:id="rId13"/>
          <w:pgSz w:w="11907" w:h="16839"/>
          <w:pgMar w:top="1134" w:right="1417" w:bottom="1134" w:left="1417" w:header="709" w:footer="709" w:gutter="0"/>
          <w:pgNumType w:start="0"/>
          <w:cols w:space="720"/>
          <w:docGrid w:linePitch="360"/>
        </w:sectPr>
      </w:pPr>
    </w:p>
    <w:p w14:paraId="5EEBB1B7" w14:textId="77777777" w:rsidR="001A62D7" w:rsidRPr="00290041" w:rsidRDefault="001A62D7" w:rsidP="001A62D7">
      <w:pPr>
        <w:pStyle w:val="Exposdesmotifstitre"/>
        <w:rPr>
          <w:noProof/>
        </w:rPr>
      </w:pPr>
      <w:bookmarkStart w:id="0" w:name="_GoBack"/>
      <w:bookmarkEnd w:id="0"/>
      <w:r w:rsidRPr="00290041">
        <w:rPr>
          <w:noProof/>
        </w:rPr>
        <w:lastRenderedPageBreak/>
        <w:t>EXPOSÉ DES MOTIFS</w:t>
      </w:r>
    </w:p>
    <w:p w14:paraId="130DA634" w14:textId="77777777" w:rsidR="00BF6BC2" w:rsidRPr="00290041" w:rsidRDefault="00BF6BC2" w:rsidP="00BF6BC2">
      <w:pPr>
        <w:rPr>
          <w:noProof/>
        </w:rPr>
      </w:pPr>
      <w:r w:rsidRPr="00290041">
        <w:rPr>
          <w:noProof/>
        </w:rPr>
        <w:t>Les règles régissant les contributions financières du Fonds européen d’ajustement à la mondialisation en faveur des travailleurs licenciés (FEM) sont définies dans le règlement (UE) 2021/691 du Parlement européen et du Conseil du 28 avril 2021 relatif au Fonds européen d’ajustement à la mondialisation en faveur des travailleurs licenciés (FEM) et abrogeant le règlement (UE) nº 1309/2013</w:t>
      </w:r>
      <w:r w:rsidRPr="00290041">
        <w:rPr>
          <w:rStyle w:val="FootnoteReference"/>
          <w:noProof/>
        </w:rPr>
        <w:footnoteReference w:id="1"/>
      </w:r>
      <w:r w:rsidRPr="00290041">
        <w:rPr>
          <w:noProof/>
        </w:rPr>
        <w:t xml:space="preserve"> (ci-après le «règlement FEM»).</w:t>
      </w:r>
    </w:p>
    <w:p w14:paraId="0DADE1E0" w14:textId="77777777" w:rsidR="00BF6BC2" w:rsidRPr="00290041" w:rsidRDefault="00BF6BC2" w:rsidP="00BF6BC2">
      <w:pPr>
        <w:pStyle w:val="ManualHeading1"/>
        <w:rPr>
          <w:noProof/>
        </w:rPr>
      </w:pPr>
      <w:r w:rsidRPr="00290041">
        <w:rPr>
          <w:noProof/>
        </w:rPr>
        <w:t>SYNTHÈSE DE LA DEMANDE</w:t>
      </w:r>
    </w:p>
    <w:p w14:paraId="62BEFEB4" w14:textId="77777777" w:rsidR="00BF6BC2" w:rsidRPr="00290041" w:rsidRDefault="00BF6BC2" w:rsidP="00BF6BC2">
      <w:pPr>
        <w:pBdr>
          <w:top w:val="single" w:sz="4" w:space="1" w:color="auto"/>
          <w:left w:val="single" w:sz="4" w:space="4" w:color="auto"/>
          <w:bottom w:val="single" w:sz="4" w:space="1" w:color="auto"/>
          <w:right w:val="single" w:sz="4" w:space="4" w:color="auto"/>
          <w:between w:val="dotted" w:sz="4" w:space="1" w:color="auto"/>
        </w:pBdr>
        <w:rPr>
          <w:b/>
          <w:noProof/>
        </w:rPr>
      </w:pPr>
      <w:r w:rsidRPr="00290041">
        <w:rPr>
          <w:b/>
          <w:noProof/>
        </w:rPr>
        <w:t>Données essentielles:</w:t>
      </w:r>
    </w:p>
    <w:p w14:paraId="543E1F4C" w14:textId="63EBBBA6" w:rsidR="00BF6BC2" w:rsidRPr="00290041" w:rsidRDefault="00BF6BC2" w:rsidP="00BF6BC2">
      <w:pPr>
        <w:pBdr>
          <w:top w:val="single" w:sz="4" w:space="1" w:color="auto"/>
          <w:left w:val="single" w:sz="4" w:space="4" w:color="auto"/>
          <w:bottom w:val="single" w:sz="4" w:space="1" w:color="auto"/>
          <w:right w:val="single" w:sz="4" w:space="4" w:color="auto"/>
          <w:between w:val="dotted" w:sz="4" w:space="1" w:color="auto"/>
        </w:pBdr>
        <w:tabs>
          <w:tab w:val="right" w:pos="8880"/>
        </w:tabs>
        <w:spacing w:before="0" w:after="0"/>
        <w:rPr>
          <w:noProof/>
        </w:rPr>
      </w:pPr>
      <w:r w:rsidRPr="00290041">
        <w:rPr>
          <w:noProof/>
        </w:rPr>
        <w:t>Nº de réf. FEM</w:t>
      </w:r>
      <w:r w:rsidRPr="00290041">
        <w:rPr>
          <w:noProof/>
        </w:rPr>
        <w:tab/>
        <w:t>FEM/2026/000</w:t>
      </w:r>
    </w:p>
    <w:p w14:paraId="6E4393A1" w14:textId="77777777" w:rsidR="00BF6BC2" w:rsidRPr="00290041" w:rsidRDefault="00BF6BC2" w:rsidP="00BF6BC2">
      <w:pPr>
        <w:pBdr>
          <w:top w:val="single" w:sz="4" w:space="1" w:color="auto"/>
          <w:left w:val="single" w:sz="4" w:space="4" w:color="auto"/>
          <w:bottom w:val="single" w:sz="4" w:space="1" w:color="auto"/>
          <w:right w:val="single" w:sz="4" w:space="4" w:color="auto"/>
          <w:between w:val="dotted" w:sz="4" w:space="1" w:color="auto"/>
        </w:pBdr>
        <w:tabs>
          <w:tab w:val="right" w:pos="8880"/>
        </w:tabs>
        <w:spacing w:before="0" w:after="0"/>
        <w:rPr>
          <w:noProof/>
        </w:rPr>
      </w:pPr>
      <w:r w:rsidRPr="00290041">
        <w:rPr>
          <w:noProof/>
        </w:rPr>
        <w:t>Commission européenne</w:t>
      </w:r>
      <w:r w:rsidRPr="00290041">
        <w:rPr>
          <w:noProof/>
        </w:rPr>
        <w:tab/>
        <w:t>Assistance technique</w:t>
      </w:r>
    </w:p>
    <w:p w14:paraId="31836C58" w14:textId="71E87432" w:rsidR="00BF6BC2" w:rsidRPr="00290041" w:rsidRDefault="00BF6BC2" w:rsidP="00BF6BC2">
      <w:pPr>
        <w:pBdr>
          <w:top w:val="single" w:sz="4" w:space="1" w:color="auto"/>
          <w:left w:val="single" w:sz="4" w:space="4" w:color="auto"/>
          <w:bottom w:val="single" w:sz="4" w:space="1" w:color="auto"/>
          <w:right w:val="single" w:sz="4" w:space="4" w:color="auto"/>
          <w:between w:val="dotted" w:sz="4" w:space="1" w:color="auto"/>
        </w:pBdr>
        <w:tabs>
          <w:tab w:val="right" w:pos="8880"/>
        </w:tabs>
        <w:spacing w:before="0" w:after="0"/>
        <w:rPr>
          <w:noProof/>
        </w:rPr>
      </w:pPr>
      <w:r w:rsidRPr="00290041">
        <w:rPr>
          <w:noProof/>
        </w:rPr>
        <w:t>Dépenses administratives: budget en EUR</w:t>
      </w:r>
      <w:r w:rsidRPr="00290041">
        <w:rPr>
          <w:noProof/>
        </w:rPr>
        <w:tab/>
        <w:t>210 000</w:t>
      </w:r>
    </w:p>
    <w:p w14:paraId="19E03254" w14:textId="29BD9627" w:rsidR="00BF6BC2" w:rsidRPr="00290041" w:rsidRDefault="00BF6BC2" w:rsidP="00BF6BC2">
      <w:pPr>
        <w:pBdr>
          <w:top w:val="single" w:sz="4" w:space="1" w:color="auto"/>
          <w:left w:val="single" w:sz="4" w:space="4" w:color="auto"/>
          <w:bottom w:val="single" w:sz="4" w:space="1" w:color="auto"/>
          <w:right w:val="single" w:sz="4" w:space="4" w:color="auto"/>
          <w:between w:val="dotted" w:sz="4" w:space="1" w:color="auto"/>
        </w:pBdr>
        <w:tabs>
          <w:tab w:val="right" w:pos="8880"/>
        </w:tabs>
        <w:spacing w:before="0" w:after="0"/>
        <w:rPr>
          <w:noProof/>
        </w:rPr>
      </w:pPr>
      <w:r w:rsidRPr="00290041">
        <w:rPr>
          <w:noProof/>
        </w:rPr>
        <w:t>Pourcentage des dépenses administratives (plafond: 1,5 %)</w:t>
      </w:r>
      <w:r w:rsidRPr="00290041">
        <w:rPr>
          <w:noProof/>
        </w:rPr>
        <w:tab/>
        <w:t>0,60 %</w:t>
      </w:r>
    </w:p>
    <w:p w14:paraId="48F7897F" w14:textId="77777777" w:rsidR="00BF6BC2" w:rsidRPr="00290041" w:rsidRDefault="00BF6BC2" w:rsidP="00BF6BC2">
      <w:pPr>
        <w:rPr>
          <w:noProof/>
        </w:rPr>
      </w:pPr>
    </w:p>
    <w:p w14:paraId="5B62A3D4" w14:textId="69362DD5" w:rsidR="00BF6BC2" w:rsidRPr="00290041" w:rsidRDefault="00BF6BC2" w:rsidP="00BF6BC2">
      <w:pPr>
        <w:rPr>
          <w:noProof/>
        </w:rPr>
      </w:pPr>
      <w:r w:rsidRPr="00290041">
        <w:rPr>
          <w:noProof/>
        </w:rPr>
        <w:t>Conformément à l’article 11, paragraphe 1, du règlement FEM, sur l’initiative de la Commission, un maximum de 1,5 % du montant annuel maximal alloué au FEM peut être affecté chaque année à l’assistance technique.</w:t>
      </w:r>
    </w:p>
    <w:p w14:paraId="7233DBEC" w14:textId="77777777" w:rsidR="00BF6BC2" w:rsidRPr="00290041" w:rsidRDefault="00BF6BC2" w:rsidP="00BF6BC2">
      <w:pPr>
        <w:rPr>
          <w:noProof/>
        </w:rPr>
      </w:pPr>
    </w:p>
    <w:p w14:paraId="4A88D9C1" w14:textId="77777777" w:rsidR="00BF6BC2" w:rsidRPr="00290041" w:rsidRDefault="00BF6BC2" w:rsidP="00BF6BC2">
      <w:pPr>
        <w:rPr>
          <w:b/>
          <w:noProof/>
          <w:u w:val="single"/>
        </w:rPr>
      </w:pPr>
      <w:r w:rsidRPr="00290041">
        <w:rPr>
          <w:b/>
          <w:noProof/>
          <w:u w:val="single"/>
        </w:rPr>
        <w:t>Assistance technique à financer et ventilation de son coût estimatif</w:t>
      </w:r>
    </w:p>
    <w:p w14:paraId="7F16A60A" w14:textId="77777777" w:rsidR="00BF6BC2" w:rsidRPr="00290041" w:rsidRDefault="00BF6BC2" w:rsidP="00BF6BC2">
      <w:pPr>
        <w:pStyle w:val="ManualNumPar1"/>
        <w:rPr>
          <w:noProof/>
        </w:rPr>
      </w:pPr>
      <w:r w:rsidRPr="00290041">
        <w:rPr>
          <w:noProof/>
        </w:rPr>
        <w:t>1.</w:t>
      </w:r>
      <w:r w:rsidRPr="00290041">
        <w:rPr>
          <w:noProof/>
        </w:rPr>
        <w:tab/>
        <w:t>La contribution servira à financer les tâches visées à l’article 11, paragraphes 1 et 4, et à l’article 12, paragraphes 2, 3 et 4, du règlement FEM, selon les modalités exposées ci-dessous. Elle sera gérée par la Commission européenne en gestion directe.</w:t>
      </w:r>
    </w:p>
    <w:p w14:paraId="22ECC12D" w14:textId="77777777" w:rsidR="00BF6BC2" w:rsidRPr="00290041" w:rsidRDefault="00BF6BC2" w:rsidP="00BF6BC2">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394"/>
      </w:tblGrid>
      <w:tr w:rsidR="00BF6BC2" w:rsidRPr="00290041" w14:paraId="642A5271" w14:textId="77777777" w:rsidTr="001D521D">
        <w:tc>
          <w:tcPr>
            <w:tcW w:w="4786" w:type="dxa"/>
            <w:shd w:val="clear" w:color="auto" w:fill="auto"/>
          </w:tcPr>
          <w:p w14:paraId="6FBB926B" w14:textId="77777777" w:rsidR="00BF6BC2" w:rsidRPr="00290041" w:rsidRDefault="00BF6BC2" w:rsidP="001D521D">
            <w:pPr>
              <w:pStyle w:val="Text1"/>
              <w:ind w:left="0"/>
              <w:jc w:val="center"/>
              <w:rPr>
                <w:b/>
                <w:noProof/>
              </w:rPr>
            </w:pPr>
            <w:r w:rsidRPr="00290041">
              <w:rPr>
                <w:b/>
                <w:noProof/>
              </w:rPr>
              <w:t>Description</w:t>
            </w:r>
          </w:p>
        </w:tc>
        <w:tc>
          <w:tcPr>
            <w:tcW w:w="4394" w:type="dxa"/>
            <w:shd w:val="clear" w:color="auto" w:fill="auto"/>
          </w:tcPr>
          <w:p w14:paraId="09ED001F" w14:textId="77777777" w:rsidR="00BF6BC2" w:rsidRPr="00290041" w:rsidRDefault="00BF6BC2" w:rsidP="001D521D">
            <w:pPr>
              <w:pStyle w:val="Text1"/>
              <w:ind w:left="0"/>
              <w:jc w:val="center"/>
              <w:rPr>
                <w:b/>
                <w:noProof/>
              </w:rPr>
            </w:pPr>
            <w:r w:rsidRPr="00290041">
              <w:rPr>
                <w:b/>
                <w:noProof/>
              </w:rPr>
              <w:t>Dépenses totales</w:t>
            </w:r>
            <w:r w:rsidRPr="00290041">
              <w:rPr>
                <w:noProof/>
              </w:rPr>
              <w:t xml:space="preserve"> </w:t>
            </w:r>
            <w:r w:rsidRPr="00290041">
              <w:rPr>
                <w:noProof/>
              </w:rPr>
              <w:br/>
            </w:r>
            <w:r w:rsidRPr="00290041">
              <w:rPr>
                <w:b/>
                <w:noProof/>
              </w:rPr>
              <w:t>(en EUR)</w:t>
            </w:r>
          </w:p>
        </w:tc>
      </w:tr>
      <w:tr w:rsidR="00BF6BC2" w:rsidRPr="00290041" w14:paraId="4B114E42" w14:textId="77777777" w:rsidTr="001D521D">
        <w:tc>
          <w:tcPr>
            <w:tcW w:w="4786" w:type="dxa"/>
            <w:shd w:val="clear" w:color="auto" w:fill="auto"/>
          </w:tcPr>
          <w:p w14:paraId="46A9A732" w14:textId="77777777" w:rsidR="00BF6BC2" w:rsidRPr="00290041" w:rsidRDefault="00BF6BC2" w:rsidP="001D521D">
            <w:pPr>
              <w:pStyle w:val="Text1"/>
              <w:ind w:left="0"/>
              <w:jc w:val="left"/>
              <w:rPr>
                <w:noProof/>
              </w:rPr>
            </w:pPr>
            <w:r w:rsidRPr="00290041">
              <w:rPr>
                <w:noProof/>
              </w:rPr>
              <w:t>Dépenses administratives</w:t>
            </w:r>
          </w:p>
        </w:tc>
        <w:tc>
          <w:tcPr>
            <w:tcW w:w="4394" w:type="dxa"/>
            <w:shd w:val="clear" w:color="auto" w:fill="auto"/>
          </w:tcPr>
          <w:p w14:paraId="75800373" w14:textId="03BEA5C3" w:rsidR="00BF6BC2" w:rsidRPr="00290041" w:rsidRDefault="008E06B5" w:rsidP="001D521D">
            <w:pPr>
              <w:pStyle w:val="Text1"/>
              <w:ind w:left="0"/>
              <w:jc w:val="right"/>
              <w:rPr>
                <w:noProof/>
              </w:rPr>
            </w:pPr>
            <w:r w:rsidRPr="00290041">
              <w:rPr>
                <w:noProof/>
              </w:rPr>
              <w:t>120 000</w:t>
            </w:r>
          </w:p>
        </w:tc>
      </w:tr>
      <w:tr w:rsidR="00BF6BC2" w:rsidRPr="00290041" w14:paraId="2F7135E1" w14:textId="77777777" w:rsidTr="001D521D">
        <w:tc>
          <w:tcPr>
            <w:tcW w:w="4786" w:type="dxa"/>
            <w:shd w:val="clear" w:color="auto" w:fill="auto"/>
          </w:tcPr>
          <w:p w14:paraId="71F42100" w14:textId="77777777" w:rsidR="00BF6BC2" w:rsidRPr="00290041" w:rsidRDefault="00BF6BC2" w:rsidP="001D521D">
            <w:pPr>
              <w:pStyle w:val="Text1"/>
              <w:ind w:left="0"/>
              <w:jc w:val="left"/>
              <w:rPr>
                <w:noProof/>
              </w:rPr>
            </w:pPr>
            <w:r w:rsidRPr="00290041">
              <w:rPr>
                <w:noProof/>
              </w:rPr>
              <w:t>Dépenses techniques</w:t>
            </w:r>
          </w:p>
        </w:tc>
        <w:tc>
          <w:tcPr>
            <w:tcW w:w="4394" w:type="dxa"/>
            <w:shd w:val="clear" w:color="auto" w:fill="auto"/>
          </w:tcPr>
          <w:p w14:paraId="3DA2F3D6" w14:textId="191F41B6" w:rsidR="00BF6BC2" w:rsidRPr="00290041" w:rsidRDefault="00E859C9" w:rsidP="001D521D">
            <w:pPr>
              <w:pStyle w:val="Text1"/>
              <w:ind w:left="0"/>
              <w:jc w:val="right"/>
              <w:rPr>
                <w:noProof/>
              </w:rPr>
            </w:pPr>
            <w:r w:rsidRPr="00290041">
              <w:rPr>
                <w:noProof/>
              </w:rPr>
              <w:t>90 000</w:t>
            </w:r>
          </w:p>
        </w:tc>
      </w:tr>
      <w:tr w:rsidR="00BF6BC2" w:rsidRPr="00290041" w14:paraId="70D4696E" w14:textId="77777777" w:rsidTr="001D521D">
        <w:tc>
          <w:tcPr>
            <w:tcW w:w="4786" w:type="dxa"/>
            <w:shd w:val="clear" w:color="auto" w:fill="auto"/>
          </w:tcPr>
          <w:p w14:paraId="252CCA1D" w14:textId="77777777" w:rsidR="00BF6BC2" w:rsidRPr="00290041" w:rsidRDefault="00BF6BC2" w:rsidP="001D521D">
            <w:pPr>
              <w:pStyle w:val="Text1"/>
              <w:ind w:left="0"/>
              <w:rPr>
                <w:b/>
                <w:noProof/>
              </w:rPr>
            </w:pPr>
            <w:r w:rsidRPr="00290041">
              <w:rPr>
                <w:b/>
                <w:noProof/>
              </w:rPr>
              <w:t>Total des dépenses estimées</w:t>
            </w:r>
          </w:p>
        </w:tc>
        <w:tc>
          <w:tcPr>
            <w:tcW w:w="4394" w:type="dxa"/>
            <w:shd w:val="clear" w:color="auto" w:fill="auto"/>
          </w:tcPr>
          <w:p w14:paraId="4252780D" w14:textId="066C24CE" w:rsidR="00BF6BC2" w:rsidRPr="00290041" w:rsidRDefault="008E06B5" w:rsidP="001D521D">
            <w:pPr>
              <w:pStyle w:val="Text1"/>
              <w:ind w:left="0"/>
              <w:jc w:val="right"/>
              <w:rPr>
                <w:b/>
                <w:noProof/>
              </w:rPr>
            </w:pPr>
            <w:r w:rsidRPr="00290041">
              <w:rPr>
                <w:b/>
                <w:noProof/>
              </w:rPr>
              <w:t>210 000</w:t>
            </w:r>
          </w:p>
        </w:tc>
      </w:tr>
    </w:tbl>
    <w:p w14:paraId="1FDD9195" w14:textId="77777777" w:rsidR="00BF6BC2" w:rsidRPr="00290041" w:rsidRDefault="00BF6BC2" w:rsidP="00BF6BC2">
      <w:pPr>
        <w:rPr>
          <w:noProof/>
        </w:rPr>
      </w:pPr>
    </w:p>
    <w:p w14:paraId="1226B4E8" w14:textId="77777777" w:rsidR="00BF6BC2" w:rsidRPr="00290041" w:rsidRDefault="00BF6BC2" w:rsidP="00BF6BC2">
      <w:pPr>
        <w:pStyle w:val="ManualNumPar1"/>
        <w:rPr>
          <w:noProof/>
        </w:rPr>
      </w:pPr>
      <w:r w:rsidRPr="00290041">
        <w:rPr>
          <w:noProof/>
        </w:rPr>
        <w:t>2.</w:t>
      </w:r>
      <w:r w:rsidRPr="00290041">
        <w:rPr>
          <w:noProof/>
        </w:rPr>
        <w:tab/>
        <w:t>Dépenses administratives:</w:t>
      </w:r>
    </w:p>
    <w:p w14:paraId="71F6EF76" w14:textId="6FAB3519" w:rsidR="00BF6BC2" w:rsidRPr="00290041" w:rsidRDefault="00BF6BC2" w:rsidP="00BF6BC2">
      <w:pPr>
        <w:pStyle w:val="ListBullet4"/>
        <w:tabs>
          <w:tab w:val="clear" w:pos="360"/>
          <w:tab w:val="clear" w:pos="1134"/>
          <w:tab w:val="num" w:pos="1209"/>
        </w:tabs>
        <w:ind w:left="1209" w:hanging="360"/>
        <w:contextualSpacing/>
        <w:rPr>
          <w:noProof/>
        </w:rPr>
      </w:pPr>
      <w:r w:rsidRPr="00290041">
        <w:rPr>
          <w:noProof/>
        </w:rPr>
        <w:t xml:space="preserve">Le </w:t>
      </w:r>
      <w:bookmarkStart w:id="1" w:name="_Hlk188626697"/>
      <w:r w:rsidRPr="00290041">
        <w:rPr>
          <w:noProof/>
        </w:rPr>
        <w:t>groupe d’experts des personnes de contact du FEM, composé de deux représentants par État membre au maximum, tiendra des réunions périodiques</w:t>
      </w:r>
      <w:bookmarkEnd w:id="1"/>
      <w:r w:rsidRPr="00290041">
        <w:rPr>
          <w:noProof/>
        </w:rPr>
        <w:t>. Sur la base de l’expérience acquise avec les réunions virtuelles, et conformément à l’ambition de la Commission de réduire l’empreinte environnementale de ses activités, une réunion virtuelle et une réunion en présentiel seront organisées en 2026.</w:t>
      </w:r>
    </w:p>
    <w:p w14:paraId="294D7123" w14:textId="1620F160" w:rsidR="00BF6BC2" w:rsidRPr="00290041" w:rsidRDefault="00BF6BC2" w:rsidP="00BF6BC2">
      <w:pPr>
        <w:pStyle w:val="ListBullet4"/>
        <w:tabs>
          <w:tab w:val="clear" w:pos="360"/>
          <w:tab w:val="clear" w:pos="1134"/>
          <w:tab w:val="num" w:pos="1209"/>
        </w:tabs>
        <w:ind w:left="1209" w:hanging="360"/>
        <w:contextualSpacing/>
        <w:rPr>
          <w:noProof/>
        </w:rPr>
      </w:pPr>
      <w:bookmarkStart w:id="2" w:name="_Hlk188626862"/>
      <w:r w:rsidRPr="00290041">
        <w:rPr>
          <w:noProof/>
        </w:rPr>
        <w:lastRenderedPageBreak/>
        <w:t>Afin de promouvoir la mise en réseau des États membres, la Commission organisera un séminaire auquel participeront les organismes chargés de la mise en œuvre du FEM et les partenaires sociaux.</w:t>
      </w:r>
      <w:bookmarkEnd w:id="2"/>
    </w:p>
    <w:p w14:paraId="1AFA1B84" w14:textId="3D0252E3" w:rsidR="00BF6BC2" w:rsidRPr="00290041" w:rsidRDefault="00BF6BC2" w:rsidP="00BF6BC2">
      <w:pPr>
        <w:pStyle w:val="ListBullet4"/>
        <w:tabs>
          <w:tab w:val="clear" w:pos="360"/>
          <w:tab w:val="clear" w:pos="1134"/>
          <w:tab w:val="num" w:pos="1209"/>
        </w:tabs>
        <w:ind w:left="1209" w:hanging="360"/>
        <w:contextualSpacing/>
        <w:rPr>
          <w:noProof/>
        </w:rPr>
      </w:pPr>
      <w:r w:rsidRPr="00290041">
        <w:rPr>
          <w:noProof/>
        </w:rPr>
        <w:t>Actions d’information: La présence en ligne du FEM</w:t>
      </w:r>
      <w:r w:rsidRPr="00290041">
        <w:rPr>
          <w:rStyle w:val="FootnoteReference"/>
          <w:noProof/>
        </w:rPr>
        <w:footnoteReference w:id="2"/>
      </w:r>
      <w:r w:rsidRPr="00290041">
        <w:rPr>
          <w:noProof/>
        </w:rPr>
        <w:t>, que la Commission a établie dans l’espace consacré au domaine «Emploi, affaires sociales et inclusion» et dont la gestion lui incombe en vertu de l’article 12, paragraphe 2, du règlement FEM, sera régulièrement actualisée et étendue, chacun des éléments ajoutés étant traduit dans toutes les langues de l’UE. Des actions seront menées pour mieux faire connaître le FEM au public et renforcer sa visibilité. Le FEM fera également l’objet de diverses publications et réalisations audiovisuelles de la Commission, conformément à l’article 11, paragraphe 1, du règlement FEM.</w:t>
      </w:r>
    </w:p>
    <w:p w14:paraId="6CE2EB55" w14:textId="39428FB8" w:rsidR="00D42B30" w:rsidRPr="00290041" w:rsidRDefault="00D42B30" w:rsidP="00BF6BC2">
      <w:pPr>
        <w:pStyle w:val="ListBullet4"/>
        <w:tabs>
          <w:tab w:val="clear" w:pos="360"/>
          <w:tab w:val="clear" w:pos="1134"/>
          <w:tab w:val="num" w:pos="1209"/>
        </w:tabs>
        <w:ind w:left="1209" w:hanging="360"/>
        <w:contextualSpacing/>
        <w:rPr>
          <w:noProof/>
        </w:rPr>
      </w:pPr>
      <w:r w:rsidRPr="00290041">
        <w:rPr>
          <w:noProof/>
        </w:rPr>
        <w:t>Toutes les activités susmentionnées comprendront la communication auprès des États membres, des partenaires sociaux et des entreprises quant à l’accord politique conclu par le Parlement européen et le Conseil le 25 février 2026 sur une proposition de la Commission visant à modifier le règlement FEM</w:t>
      </w:r>
      <w:r w:rsidRPr="00290041">
        <w:rPr>
          <w:rStyle w:val="FootnoteReference"/>
          <w:noProof/>
        </w:rPr>
        <w:footnoteReference w:id="3"/>
      </w:r>
      <w:r w:rsidRPr="00290041">
        <w:rPr>
          <w:noProof/>
        </w:rPr>
        <w:t>. La modification du règlement FEM, qui a été approuvée par le Parlement européen et le Conseil le 20 mai 2026, prévoit notamment la possibilité d’apporter également une aide aux travailleurs menacés par un licenciement imminent dans une entreprise en cours de restructuration. Cela les préparera mieux à mener à bien une transition professionnelle dans un délai plus court et facilitera leur changement de rôle ou de carrière.</w:t>
      </w:r>
    </w:p>
    <w:p w14:paraId="07FE5B97" w14:textId="77777777" w:rsidR="00BF6BC2" w:rsidRPr="00290041" w:rsidRDefault="00BF6BC2" w:rsidP="00BF6BC2">
      <w:pPr>
        <w:pStyle w:val="ManualNumPar1"/>
        <w:rPr>
          <w:noProof/>
        </w:rPr>
      </w:pPr>
      <w:r w:rsidRPr="00290041">
        <w:rPr>
          <w:noProof/>
        </w:rPr>
        <w:t>3.</w:t>
      </w:r>
      <w:r w:rsidRPr="00290041">
        <w:rPr>
          <w:noProof/>
        </w:rPr>
        <w:tab/>
        <w:t>Dépenses techniques:</w:t>
      </w:r>
    </w:p>
    <w:p w14:paraId="440C7204" w14:textId="77777777" w:rsidR="00BF6BC2" w:rsidRPr="00290041" w:rsidRDefault="00BF6BC2" w:rsidP="00BF6BC2">
      <w:pPr>
        <w:pStyle w:val="ListBullet4"/>
        <w:tabs>
          <w:tab w:val="clear" w:pos="360"/>
          <w:tab w:val="clear" w:pos="1134"/>
          <w:tab w:val="num" w:pos="1209"/>
        </w:tabs>
        <w:ind w:left="1209" w:hanging="360"/>
        <w:contextualSpacing/>
        <w:rPr>
          <w:noProof/>
        </w:rPr>
      </w:pPr>
      <w:bookmarkStart w:id="3" w:name="_Hlk226971141"/>
      <w:r w:rsidRPr="00290041">
        <w:rPr>
          <w:noProof/>
        </w:rPr>
        <w:t>Entretien et actualisation</w:t>
      </w:r>
      <w:bookmarkEnd w:id="3"/>
      <w:r w:rsidRPr="00290041">
        <w:rPr>
          <w:noProof/>
        </w:rPr>
        <w:t xml:space="preserve"> d’un système d’échange de données par voie électronique. La Commission poursuit ses travaux sur des procédures normalisées pour les demandes d’intervention du FEM et la gestion du Fonds, en s’appuyant sur les fonctionnalités du système commun de gestion partagée des fonds (SFC). Ces travaux permettent une simplification des demandes d’intervention au titre du règlement FEM et une accélération de leur traitement, ainsi qu’une extraction plus facile de divers rapports. L’interface du SFC facilite également les opérations financières liées au FEM. Sont prévues en particulier:</w:t>
      </w:r>
    </w:p>
    <w:p w14:paraId="2C7EEC34" w14:textId="01FE82B2" w:rsidR="00BF6BC2" w:rsidRPr="00290041" w:rsidRDefault="00BF6BC2" w:rsidP="00613795">
      <w:pPr>
        <w:pStyle w:val="Tiret3"/>
        <w:numPr>
          <w:ilvl w:val="0"/>
          <w:numId w:val="17"/>
        </w:numPr>
        <w:tabs>
          <w:tab w:val="clear" w:pos="2551"/>
        </w:tabs>
        <w:ind w:left="2007"/>
        <w:rPr>
          <w:noProof/>
        </w:rPr>
      </w:pPr>
      <w:r w:rsidRPr="00290041">
        <w:rPr>
          <w:noProof/>
        </w:rPr>
        <w:t>la maintenance du système SFC 2014 pour la clôture des dossiers du FEM pour la période 2014-2020,</w:t>
      </w:r>
    </w:p>
    <w:p w14:paraId="1C385E2F" w14:textId="282E5615" w:rsidR="00BF6BC2" w:rsidRPr="00290041" w:rsidRDefault="00BF6BC2" w:rsidP="00BF6BC2">
      <w:pPr>
        <w:pStyle w:val="Tiret3"/>
        <w:tabs>
          <w:tab w:val="clear" w:pos="2551"/>
          <w:tab w:val="num" w:pos="2007"/>
        </w:tabs>
        <w:ind w:left="2007"/>
        <w:rPr>
          <w:noProof/>
        </w:rPr>
      </w:pPr>
      <w:r w:rsidRPr="00290041">
        <w:rPr>
          <w:noProof/>
        </w:rPr>
        <w:t xml:space="preserve">la poursuite du développement et de la maintenance du système SFC2021 </w:t>
      </w:r>
      <w:bookmarkStart w:id="4" w:name="_Hlk188624118"/>
      <w:r w:rsidRPr="00290041">
        <w:rPr>
          <w:noProof/>
        </w:rPr>
        <w:t>pour le FEM 2021-2027, notamment à la lumière de l’accord politique conclu par le Parlement européen et le Conseil le 25 février 2026 sur une proposition de la Commission visant à modifier le règlement FEM,</w:t>
      </w:r>
      <w:bookmarkEnd w:id="4"/>
      <w:r w:rsidRPr="00290041">
        <w:rPr>
          <w:noProof/>
        </w:rPr>
        <w:t xml:space="preserve"> et sa synchronisation avec SUMMA, le nouveau système de comptabilité, de finance et de budgétisation des entreprises de l’Union européenne.</w:t>
      </w:r>
    </w:p>
    <w:p w14:paraId="3981FC01" w14:textId="14A937B4" w:rsidR="00BF6BC2" w:rsidRPr="00290041" w:rsidRDefault="00BF6BC2" w:rsidP="00BF6BC2">
      <w:pPr>
        <w:pStyle w:val="ListBullet4"/>
        <w:tabs>
          <w:tab w:val="clear" w:pos="360"/>
          <w:tab w:val="clear" w:pos="1134"/>
          <w:tab w:val="num" w:pos="1209"/>
        </w:tabs>
        <w:ind w:left="1209" w:hanging="360"/>
        <w:contextualSpacing/>
        <w:rPr>
          <w:noProof/>
        </w:rPr>
      </w:pPr>
      <w:bookmarkStart w:id="5" w:name="_Hlk226971109"/>
      <w:r w:rsidRPr="00290041">
        <w:rPr>
          <w:noProof/>
        </w:rPr>
        <w:t>Suivi et collecte d’informations</w:t>
      </w:r>
      <w:bookmarkEnd w:id="5"/>
      <w:r w:rsidRPr="00290041">
        <w:rPr>
          <w:noProof/>
        </w:rPr>
        <w:t>: La Commission recueillera des informations sur les demandes reçues, financées et clôturées, ainsi que sur les mesures proposées et mises en œuvre. Ces informations seront publiées sur le site internet et compilées sous une forme adaptée à leur présentation dans les futurs rapports bisannuels.</w:t>
      </w:r>
    </w:p>
    <w:p w14:paraId="4AAD7E6A" w14:textId="77777777" w:rsidR="00BF6BC2" w:rsidRPr="00290041" w:rsidRDefault="00BF6BC2" w:rsidP="00BF6BC2">
      <w:pPr>
        <w:rPr>
          <w:noProof/>
        </w:rPr>
      </w:pPr>
    </w:p>
    <w:p w14:paraId="7CD7905B" w14:textId="77777777" w:rsidR="00BF6BC2" w:rsidRPr="00290041" w:rsidRDefault="00BF6BC2" w:rsidP="00BF6BC2">
      <w:pPr>
        <w:rPr>
          <w:b/>
          <w:noProof/>
          <w:u w:val="single"/>
        </w:rPr>
      </w:pPr>
      <w:r w:rsidRPr="00290041">
        <w:rPr>
          <w:b/>
          <w:noProof/>
          <w:u w:val="single"/>
        </w:rPr>
        <w:t>Financement</w:t>
      </w:r>
    </w:p>
    <w:p w14:paraId="74C9E9D1" w14:textId="3069DBF5" w:rsidR="00BF6BC2" w:rsidRPr="00290041" w:rsidRDefault="00BF6BC2" w:rsidP="00BF6BC2">
      <w:pPr>
        <w:pStyle w:val="ManualNumPar1"/>
        <w:rPr>
          <w:noProof/>
        </w:rPr>
      </w:pPr>
      <w:r w:rsidRPr="00290041">
        <w:rPr>
          <w:noProof/>
        </w:rPr>
        <w:t>4.</w:t>
      </w:r>
      <w:r w:rsidRPr="00290041">
        <w:rPr>
          <w:noProof/>
        </w:rPr>
        <w:tab/>
        <w:t>Conformément à l’article 8 du règlement (UE, Euratom) 2020/2093 du Conseil du 17 décembre 2020 fixant le cadre financier pluriannuel pour les années 2021 à 2027</w:t>
      </w:r>
      <w:r w:rsidRPr="00290041">
        <w:rPr>
          <w:rStyle w:val="FootnoteReference"/>
          <w:noProof/>
        </w:rPr>
        <w:footnoteReference w:id="4"/>
      </w:r>
      <w:r w:rsidRPr="00290041">
        <w:rPr>
          <w:noProof/>
        </w:rPr>
        <w:t xml:space="preserve"> modifié par le règlement (UE, Euratom) 2024/765 du Conseil</w:t>
      </w:r>
      <w:r w:rsidRPr="00290041">
        <w:rPr>
          <w:rStyle w:val="FootnoteReference"/>
          <w:noProof/>
        </w:rPr>
        <w:footnoteReference w:id="5"/>
      </w:r>
      <w:r w:rsidRPr="00290041">
        <w:rPr>
          <w:noProof/>
        </w:rPr>
        <w:t xml:space="preserve"> et à l’article 16 du règlement (UE) 2021/691, le montant maximal du budget annuel disponible pour le FEM en 2026 s’élève à 30 000 000 EUR aux prix de 2018 (35 149 782 EUR aux prix de 2026).</w:t>
      </w:r>
    </w:p>
    <w:p w14:paraId="011BF363" w14:textId="6479B744" w:rsidR="00BF6BC2" w:rsidRPr="00290041" w:rsidRDefault="00BF6BC2" w:rsidP="00BF6BC2">
      <w:pPr>
        <w:pStyle w:val="ManualNumPar1"/>
        <w:rPr>
          <w:noProof/>
        </w:rPr>
      </w:pPr>
      <w:r w:rsidRPr="00290041">
        <w:rPr>
          <w:noProof/>
        </w:rPr>
        <w:t>5.</w:t>
      </w:r>
      <w:r w:rsidRPr="00290041">
        <w:rPr>
          <w:noProof/>
        </w:rPr>
        <w:tab/>
        <w:t xml:space="preserve">L’article 11, paragraphe 1, du règlement FEM dispose que </w:t>
      </w:r>
      <w:bookmarkStart w:id="6" w:name="_Hlk226971273"/>
      <w:r w:rsidRPr="00290041">
        <w:rPr>
          <w:noProof/>
        </w:rPr>
        <w:t>1,5 % de ce montant peut être affecté</w:t>
      </w:r>
      <w:bookmarkEnd w:id="6"/>
      <w:r w:rsidRPr="00290041">
        <w:rPr>
          <w:noProof/>
        </w:rPr>
        <w:t xml:space="preserve"> à l’assistance technique sur l’initiative de la Commission. Pour l’heure, la totalité de la somme pour 2026 est disponible; aucun montant n’a encore été affecté à l’assistance technique. Le montant proposé correspond à 0,60 % du montant maximal du budget annuel disponible pour le FEM en 2026.</w:t>
      </w:r>
    </w:p>
    <w:p w14:paraId="2854C534" w14:textId="77777777" w:rsidR="00BF6BC2" w:rsidRPr="00290041" w:rsidRDefault="00BF6BC2" w:rsidP="00BF6BC2">
      <w:pPr>
        <w:pStyle w:val="ManualNumPar1"/>
        <w:rPr>
          <w:noProof/>
        </w:rPr>
      </w:pPr>
      <w:r w:rsidRPr="00290041">
        <w:rPr>
          <w:noProof/>
        </w:rPr>
        <w:t>6.</w:t>
      </w:r>
      <w:r w:rsidRPr="00290041">
        <w:rPr>
          <w:noProof/>
        </w:rPr>
        <w:tab/>
        <w:t>La décision de mobiliser le FEM qui est proposée sera prise conjointement par le Parlement européen et le Conseil, conformément à l’article 15, paragraphe 1, premier alinéa, du règlement FEM et au point 9 de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290041">
        <w:rPr>
          <w:rStyle w:val="FootnoteReference"/>
          <w:noProof/>
        </w:rPr>
        <w:footnoteReference w:id="6"/>
      </w:r>
      <w:r w:rsidRPr="00290041">
        <w:rPr>
          <w:noProof/>
        </w:rPr>
        <w:t>.</w:t>
      </w:r>
    </w:p>
    <w:p w14:paraId="571E241F" w14:textId="77777777" w:rsidR="00BF6BC2" w:rsidRPr="00290041" w:rsidRDefault="00BF6BC2" w:rsidP="00BF6BC2">
      <w:pPr>
        <w:rPr>
          <w:noProof/>
        </w:rPr>
      </w:pPr>
    </w:p>
    <w:p w14:paraId="3A5CA280" w14:textId="77777777" w:rsidR="00BF6BC2" w:rsidRPr="00290041" w:rsidRDefault="00BF6BC2" w:rsidP="00BF6BC2">
      <w:pPr>
        <w:rPr>
          <w:b/>
          <w:noProof/>
          <w:u w:val="single"/>
        </w:rPr>
      </w:pPr>
      <w:r w:rsidRPr="00290041">
        <w:rPr>
          <w:b/>
          <w:noProof/>
          <w:u w:val="single"/>
        </w:rPr>
        <w:t>Actes liés</w:t>
      </w:r>
    </w:p>
    <w:p w14:paraId="0ED2D395" w14:textId="4F461D35" w:rsidR="00BF6BC2" w:rsidRPr="00290041" w:rsidRDefault="00BF6BC2" w:rsidP="00BF6BC2">
      <w:pPr>
        <w:pStyle w:val="ManualNumPar1"/>
        <w:rPr>
          <w:noProof/>
        </w:rPr>
      </w:pPr>
      <w:r w:rsidRPr="00290041">
        <w:rPr>
          <w:noProof/>
        </w:rPr>
        <w:t>7.</w:t>
      </w:r>
      <w:r w:rsidRPr="00290041">
        <w:rPr>
          <w:noProof/>
        </w:rPr>
        <w:tab/>
        <w:t>En même temps que sa proposition de décision sur la mobilisation du FEM, la Commission soumettra au Parlement européen et au Conseil une proposition de virement du montant de 210 000 EUR sur la ligne budgétaire concernée.</w:t>
      </w:r>
    </w:p>
    <w:p w14:paraId="490BAEC1" w14:textId="77777777" w:rsidR="00BF6BC2" w:rsidRPr="00290041" w:rsidRDefault="00BF6BC2" w:rsidP="00BF6BC2">
      <w:pPr>
        <w:rPr>
          <w:noProof/>
        </w:rPr>
      </w:pPr>
    </w:p>
    <w:p w14:paraId="603C01B8" w14:textId="77777777" w:rsidR="00BF6BC2" w:rsidRPr="00290041" w:rsidRDefault="00BF6BC2" w:rsidP="00BF6BC2">
      <w:pPr>
        <w:rPr>
          <w:noProof/>
        </w:rPr>
      </w:pPr>
      <w:r w:rsidRPr="00290041">
        <w:rPr>
          <w:b/>
          <w:noProof/>
          <w:u w:val="single"/>
        </w:rPr>
        <w:t>Source des crédits de paiement</w:t>
      </w:r>
    </w:p>
    <w:p w14:paraId="791AE75A" w14:textId="7252129E" w:rsidR="00BF6BC2" w:rsidRPr="00290041" w:rsidRDefault="00BF6BC2" w:rsidP="00BF6BC2">
      <w:pPr>
        <w:pStyle w:val="ManualNumPar1"/>
        <w:rPr>
          <w:noProof/>
        </w:rPr>
      </w:pPr>
      <w:r w:rsidRPr="00290041">
        <w:rPr>
          <w:noProof/>
        </w:rPr>
        <w:t>8.</w:t>
      </w:r>
      <w:r w:rsidRPr="00290041">
        <w:rPr>
          <w:noProof/>
        </w:rPr>
        <w:tab/>
        <w:t>Les crédits inscrits à la ligne budgétaire du FEM serviront à financer l’enveloppe de 210 000 EUR nécessaire pour l’assistance technique.</w:t>
      </w:r>
    </w:p>
    <w:p w14:paraId="182A5D09" w14:textId="77777777" w:rsidR="001A62D7" w:rsidRPr="00290041" w:rsidRDefault="001A62D7" w:rsidP="001A62D7">
      <w:pPr>
        <w:rPr>
          <w:noProof/>
        </w:rPr>
        <w:sectPr w:rsidR="001A62D7" w:rsidRPr="00290041" w:rsidSect="00A8653B">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pgNumType w:start="1"/>
          <w:cols w:space="708"/>
          <w:docGrid w:linePitch="360"/>
        </w:sectPr>
      </w:pPr>
    </w:p>
    <w:p w14:paraId="411F3EC8" w14:textId="378652C3" w:rsidR="004D5BB3" w:rsidRPr="00290041" w:rsidRDefault="00290041" w:rsidP="00290041">
      <w:pPr>
        <w:pStyle w:val="Rfrenceinterinstitutionnelle"/>
        <w:rPr>
          <w:noProof/>
        </w:rPr>
      </w:pPr>
      <w:r>
        <w:rPr>
          <w:noProof/>
        </w:rPr>
        <w:lastRenderedPageBreak/>
        <w:t>2026/0126 (BUD)</w:t>
      </w:r>
    </w:p>
    <w:p w14:paraId="2A92B40E" w14:textId="2572BB0C" w:rsidR="001A62D7" w:rsidRPr="00290041" w:rsidRDefault="00290041" w:rsidP="00290041">
      <w:pPr>
        <w:pStyle w:val="Statut"/>
        <w:rPr>
          <w:noProof/>
        </w:rPr>
      </w:pPr>
      <w:r w:rsidRPr="00290041">
        <w:rPr>
          <w:noProof/>
        </w:rPr>
        <w:t>Proposition de</w:t>
      </w:r>
    </w:p>
    <w:p w14:paraId="59125979" w14:textId="367A58E6" w:rsidR="001A62D7" w:rsidRPr="00290041" w:rsidRDefault="00290041" w:rsidP="00290041">
      <w:pPr>
        <w:pStyle w:val="Typedudocument"/>
        <w:rPr>
          <w:noProof/>
        </w:rPr>
      </w:pPr>
      <w:r w:rsidRPr="00290041">
        <w:rPr>
          <w:noProof/>
        </w:rPr>
        <w:t>DÉCISION DU PARLEMENT EUROPÉEN ET DU CONSEIL</w:t>
      </w:r>
    </w:p>
    <w:p w14:paraId="2FFF4F60" w14:textId="3FCFD697" w:rsidR="001A62D7" w:rsidRPr="00290041" w:rsidRDefault="00290041" w:rsidP="00290041">
      <w:pPr>
        <w:pStyle w:val="Titreobjet"/>
        <w:rPr>
          <w:noProof/>
        </w:rPr>
      </w:pPr>
      <w:r w:rsidRPr="00290041">
        <w:rPr>
          <w:noProof/>
        </w:rPr>
        <w:t>relative à la mobilisation du Fonds européen d’ajustement à la mondialisation en faveur des travailleurs licenciés sur l’initiative de la Commission (EGF/2026/000 TA 2026 — Assistance technique)</w:t>
      </w:r>
    </w:p>
    <w:p w14:paraId="7094D63C" w14:textId="77777777" w:rsidR="001A62D7" w:rsidRPr="00290041" w:rsidRDefault="001A62D7" w:rsidP="001A62D7">
      <w:pPr>
        <w:pStyle w:val="Institutionquiagit"/>
        <w:rPr>
          <w:noProof/>
        </w:rPr>
      </w:pPr>
      <w:r w:rsidRPr="00290041">
        <w:rPr>
          <w:noProof/>
        </w:rPr>
        <w:t>LE PARLEMENT EUROPÉEN ET LE CONSEIL DE L’UNION EUROPÉENNE,</w:t>
      </w:r>
    </w:p>
    <w:p w14:paraId="18EBBD20" w14:textId="77777777" w:rsidR="001A62D7" w:rsidRPr="00290041" w:rsidRDefault="001A62D7" w:rsidP="001A62D7">
      <w:pPr>
        <w:rPr>
          <w:noProof/>
        </w:rPr>
      </w:pPr>
      <w:r w:rsidRPr="00290041">
        <w:rPr>
          <w:noProof/>
        </w:rPr>
        <w:t>vu le traité sur le fonctionnement de l’Union européenne,</w:t>
      </w:r>
    </w:p>
    <w:p w14:paraId="26C33BE2" w14:textId="77777777" w:rsidR="001A62D7" w:rsidRPr="00290041" w:rsidRDefault="001A62D7" w:rsidP="001A62D7">
      <w:pPr>
        <w:rPr>
          <w:noProof/>
        </w:rPr>
      </w:pPr>
      <w:r w:rsidRPr="00290041">
        <w:rPr>
          <w:noProof/>
        </w:rPr>
        <w:t>vu le règlement (UE) 2021/691 du Parlement européen et du Conseil du 28 avril 2021 relatif au Fonds européen d’ajustement à la mondialisation en faveur des travailleurs licenciés (FEM) et abrogeant le règlement (UE) nº 1309/2013</w:t>
      </w:r>
      <w:r w:rsidRPr="00290041">
        <w:rPr>
          <w:rStyle w:val="FootnoteReference"/>
          <w:noProof/>
        </w:rPr>
        <w:footnoteReference w:id="7"/>
      </w:r>
      <w:r w:rsidRPr="00290041">
        <w:rPr>
          <w:noProof/>
        </w:rPr>
        <w:t>, et notamment son article 15, paragraphe 1, premier alinéa,</w:t>
      </w:r>
    </w:p>
    <w:p w14:paraId="2ADD1CFA" w14:textId="77777777" w:rsidR="001A62D7" w:rsidRPr="00290041" w:rsidRDefault="001A62D7" w:rsidP="001A62D7">
      <w:pPr>
        <w:rPr>
          <w:noProof/>
        </w:rPr>
      </w:pPr>
      <w:r w:rsidRPr="00290041">
        <w:rPr>
          <w:noProof/>
        </w:rPr>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290041">
        <w:rPr>
          <w:rStyle w:val="FootnoteReference"/>
          <w:noProof/>
        </w:rPr>
        <w:footnoteReference w:id="8"/>
      </w:r>
      <w:r w:rsidRPr="00290041">
        <w:rPr>
          <w:noProof/>
        </w:rPr>
        <w:t>, et notamment son point 9,</w:t>
      </w:r>
    </w:p>
    <w:p w14:paraId="7FAD6E6B" w14:textId="77777777" w:rsidR="001A62D7" w:rsidRPr="00290041" w:rsidRDefault="001A62D7" w:rsidP="001A62D7">
      <w:pPr>
        <w:rPr>
          <w:noProof/>
        </w:rPr>
      </w:pPr>
      <w:r w:rsidRPr="00290041">
        <w:rPr>
          <w:noProof/>
        </w:rPr>
        <w:t>vu la proposition de la Commission européenne,</w:t>
      </w:r>
    </w:p>
    <w:p w14:paraId="3B7209A4" w14:textId="77777777" w:rsidR="001A62D7" w:rsidRPr="00290041" w:rsidRDefault="001A62D7" w:rsidP="001A62D7">
      <w:pPr>
        <w:rPr>
          <w:noProof/>
        </w:rPr>
      </w:pPr>
      <w:r w:rsidRPr="00290041">
        <w:rPr>
          <w:noProof/>
        </w:rPr>
        <w:t>considérant ce qui suit:</w:t>
      </w:r>
    </w:p>
    <w:p w14:paraId="20E89B57" w14:textId="5EE372C0" w:rsidR="001A62D7" w:rsidRPr="00290041" w:rsidRDefault="00DD196B" w:rsidP="00DD196B">
      <w:pPr>
        <w:pStyle w:val="ManualConsidrant"/>
        <w:rPr>
          <w:noProof/>
        </w:rPr>
      </w:pPr>
      <w:r w:rsidRPr="00290041">
        <w:rPr>
          <w:noProof/>
        </w:rPr>
        <w:t>(1)</w:t>
      </w:r>
      <w:r w:rsidRPr="00290041">
        <w:rPr>
          <w:noProof/>
        </w:rPr>
        <w:tab/>
        <w:t xml:space="preserve">Le Fonds européen d’ajustement à la mondialisation en faveur des travailleurs licenciés (FEM) vise à faire preuve de solidarité et à promouvoir des emplois décents et durables dans l’Union en apportant un soutien aux travailleurs licenciés et aux travailleurs indépendants dont l’activité a cessé par suite de restructurations de grande ampleur et en les aidant à retrouver, dès que possible, un emploi décent et durable. </w:t>
      </w:r>
    </w:p>
    <w:p w14:paraId="169C2C61" w14:textId="21D2C3F9" w:rsidR="001A62D7" w:rsidRPr="00290041" w:rsidRDefault="00DD196B" w:rsidP="00DD196B">
      <w:pPr>
        <w:pStyle w:val="ManualConsidrant"/>
        <w:rPr>
          <w:noProof/>
        </w:rPr>
      </w:pPr>
      <w:r w:rsidRPr="00290041">
        <w:rPr>
          <w:noProof/>
        </w:rPr>
        <w:t>(2)</w:t>
      </w:r>
      <w:r w:rsidRPr="00290041">
        <w:rPr>
          <w:noProof/>
        </w:rPr>
        <w:tab/>
        <w:t>La dotation annuelle du FEM n’excède pas un montant maximal de 30 000 000 EUR (aux prix de 2018), comme le prévoient l’article 8 du règlement (UE, Euratom) 2020/2093 du Conseil</w:t>
      </w:r>
      <w:r w:rsidRPr="00290041">
        <w:rPr>
          <w:rStyle w:val="FootnoteReference"/>
          <w:noProof/>
        </w:rPr>
        <w:footnoteReference w:id="9"/>
      </w:r>
      <w:r w:rsidRPr="00290041">
        <w:rPr>
          <w:noProof/>
        </w:rPr>
        <w:t xml:space="preserve"> et l’article 16 du règlement (UE) 2021/691.</w:t>
      </w:r>
    </w:p>
    <w:p w14:paraId="005F3B91" w14:textId="2DB4DB62" w:rsidR="001A62D7" w:rsidRPr="00290041" w:rsidRDefault="00DD196B" w:rsidP="00DD196B">
      <w:pPr>
        <w:pStyle w:val="ManualConsidrant"/>
        <w:rPr>
          <w:noProof/>
        </w:rPr>
      </w:pPr>
      <w:r w:rsidRPr="00290041">
        <w:rPr>
          <w:noProof/>
        </w:rPr>
        <w:t>(3)</w:t>
      </w:r>
      <w:r w:rsidRPr="00290041">
        <w:rPr>
          <w:noProof/>
        </w:rPr>
        <w:tab/>
        <w:t>Le règlement (UE) 2021/691 dispose qu’un maximum de 1,5 % du montant annuel maximal alloué au FEM peut être consacré chaque année à l’assistance technique sur l’initiative de la Commission.</w:t>
      </w:r>
    </w:p>
    <w:p w14:paraId="607CD13C" w14:textId="1A364109" w:rsidR="001A62D7" w:rsidRPr="00290041" w:rsidRDefault="00DD196B" w:rsidP="00DD196B">
      <w:pPr>
        <w:pStyle w:val="ManualConsidrant"/>
        <w:rPr>
          <w:noProof/>
        </w:rPr>
      </w:pPr>
      <w:r w:rsidRPr="00290041">
        <w:rPr>
          <w:noProof/>
        </w:rPr>
        <w:t>(4)</w:t>
      </w:r>
      <w:r w:rsidRPr="00290041">
        <w:rPr>
          <w:noProof/>
        </w:rPr>
        <w:tab/>
        <w:t>Cette aide est nécessaire pour remplir les obligations relatives à la mise en œuvre du FEM prévues par l’article 11 du règlement (UE) 2021/691, en particulier en ce qui concerne les activités de suivi et de collecte de données ainsi que les activités de communication et celles visant à accroître la visibilité du FEM.</w:t>
      </w:r>
    </w:p>
    <w:p w14:paraId="2F73E768" w14:textId="65C67F85" w:rsidR="001A62D7" w:rsidRPr="00290041" w:rsidRDefault="00DD196B" w:rsidP="00105AD3">
      <w:pPr>
        <w:pStyle w:val="ManualConsidrant"/>
        <w:rPr>
          <w:noProof/>
        </w:rPr>
      </w:pPr>
      <w:r w:rsidRPr="00290041">
        <w:rPr>
          <w:noProof/>
        </w:rPr>
        <w:lastRenderedPageBreak/>
        <w:t>(5)</w:t>
      </w:r>
      <w:r w:rsidRPr="00290041">
        <w:rPr>
          <w:noProof/>
        </w:rPr>
        <w:tab/>
        <w:t>Il convient par conséquent que le FEM soit mobilisé de sorte qu’une contribution financière de 210 000 EUR soit allouée à l’assistance technique sur l’initiative de la Commission,</w:t>
      </w:r>
    </w:p>
    <w:p w14:paraId="0C814545" w14:textId="77777777" w:rsidR="001A62D7" w:rsidRPr="00290041" w:rsidRDefault="001A62D7" w:rsidP="001A62D7">
      <w:pPr>
        <w:pStyle w:val="Formuledadoption"/>
        <w:rPr>
          <w:noProof/>
        </w:rPr>
      </w:pPr>
      <w:r w:rsidRPr="00290041">
        <w:rPr>
          <w:noProof/>
        </w:rPr>
        <w:t xml:space="preserve">ONT ADOPTÉ LA PRÉSENTE DÉCISION: </w:t>
      </w:r>
    </w:p>
    <w:p w14:paraId="564B1C4A" w14:textId="77777777" w:rsidR="001A62D7" w:rsidRPr="00290041" w:rsidRDefault="001A62D7" w:rsidP="001A62D7">
      <w:pPr>
        <w:pStyle w:val="Titrearticle"/>
        <w:rPr>
          <w:noProof/>
        </w:rPr>
      </w:pPr>
      <w:r w:rsidRPr="00290041">
        <w:rPr>
          <w:noProof/>
        </w:rPr>
        <w:t>Article premier</w:t>
      </w:r>
    </w:p>
    <w:p w14:paraId="1A8933E1" w14:textId="5A8EACCC" w:rsidR="001A62D7" w:rsidRPr="00290041" w:rsidRDefault="001A62D7" w:rsidP="001A62D7">
      <w:pPr>
        <w:rPr>
          <w:noProof/>
        </w:rPr>
      </w:pPr>
      <w:r w:rsidRPr="00290041">
        <w:rPr>
          <w:noProof/>
        </w:rPr>
        <w:t>Dans le cadre du budget général de l’Union établi pour l’exercice 2026, un montant de 210 000 EUR en crédits d’engagement et de paiement est mobilisé au titre du Fonds européen d’ajustement à la mondialisation en faveur des travailleurs licenciés.</w:t>
      </w:r>
    </w:p>
    <w:p w14:paraId="1C97EEEB" w14:textId="77777777" w:rsidR="001A62D7" w:rsidRPr="00290041" w:rsidRDefault="001A62D7" w:rsidP="005F5794">
      <w:pPr>
        <w:pStyle w:val="Titrearticle"/>
        <w:rPr>
          <w:noProof/>
        </w:rPr>
      </w:pPr>
      <w:r w:rsidRPr="00290041">
        <w:rPr>
          <w:noProof/>
        </w:rPr>
        <w:t>Article 2</w:t>
      </w:r>
    </w:p>
    <w:p w14:paraId="0BB57F59" w14:textId="77777777" w:rsidR="001A62D7" w:rsidRPr="00290041" w:rsidRDefault="001A62D7" w:rsidP="001A62D7">
      <w:pPr>
        <w:keepNext/>
        <w:keepLines/>
        <w:rPr>
          <w:noProof/>
        </w:rPr>
      </w:pPr>
      <w:r w:rsidRPr="00290041">
        <w:rPr>
          <w:noProof/>
        </w:rPr>
        <w:t xml:space="preserve">La présente décision entre en vigueur le jour de sa publication au </w:t>
      </w:r>
      <w:r w:rsidRPr="00290041">
        <w:rPr>
          <w:i/>
          <w:iCs/>
          <w:noProof/>
        </w:rPr>
        <w:t>Journal officiel de l’Union européenne</w:t>
      </w:r>
      <w:r w:rsidRPr="00290041">
        <w:rPr>
          <w:noProof/>
        </w:rPr>
        <w:t>.</w:t>
      </w:r>
    </w:p>
    <w:p w14:paraId="4CE321DE" w14:textId="042B653E" w:rsidR="001A62D7" w:rsidRPr="00290041" w:rsidRDefault="00290041" w:rsidP="005F5794">
      <w:pPr>
        <w:pStyle w:val="Fait"/>
        <w:rPr>
          <w:noProof/>
        </w:rPr>
      </w:pPr>
      <w:r>
        <w:rPr>
          <w:noProof/>
        </w:rPr>
        <w:t>Fait à Bruxelles, le</w:t>
      </w:r>
    </w:p>
    <w:p w14:paraId="409725C1" w14:textId="77777777" w:rsidR="001A62D7" w:rsidRPr="00290041" w:rsidRDefault="001A62D7" w:rsidP="005F5794">
      <w:pPr>
        <w:pStyle w:val="Institutionquisigne"/>
        <w:rPr>
          <w:noProof/>
        </w:rPr>
      </w:pPr>
      <w:r w:rsidRPr="00290041">
        <w:rPr>
          <w:noProof/>
        </w:rPr>
        <w:t>Par le Parlement européen</w:t>
      </w:r>
      <w:r w:rsidRPr="00290041">
        <w:rPr>
          <w:noProof/>
        </w:rPr>
        <w:tab/>
        <w:t>Par le Conseil</w:t>
      </w:r>
    </w:p>
    <w:p w14:paraId="01902A5E" w14:textId="77777777" w:rsidR="001A62D7" w:rsidRPr="00290041" w:rsidRDefault="001A62D7" w:rsidP="001A62D7">
      <w:pPr>
        <w:pStyle w:val="Personnequisigne"/>
        <w:rPr>
          <w:noProof/>
        </w:rPr>
      </w:pPr>
      <w:r w:rsidRPr="00290041">
        <w:rPr>
          <w:noProof/>
        </w:rPr>
        <w:t>La présidente</w:t>
      </w:r>
      <w:r w:rsidRPr="00290041">
        <w:rPr>
          <w:noProof/>
        </w:rPr>
        <w:tab/>
        <w:t xml:space="preserve">Le président/La présidente </w:t>
      </w:r>
      <w:r w:rsidRPr="00290041">
        <w:rPr>
          <w:noProof/>
        </w:rPr>
        <w:br/>
      </w:r>
    </w:p>
    <w:sectPr w:rsidR="001A62D7" w:rsidRPr="00290041" w:rsidSect="00A8653B">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5CA0B0" w14:textId="77777777" w:rsidR="00E01C30" w:rsidRDefault="00E01C30" w:rsidP="001A62D7">
      <w:pPr>
        <w:spacing w:before="0" w:after="0"/>
      </w:pPr>
      <w:r>
        <w:separator/>
      </w:r>
    </w:p>
  </w:endnote>
  <w:endnote w:type="continuationSeparator" w:id="0">
    <w:p w14:paraId="50110EA2" w14:textId="77777777" w:rsidR="00E01C30" w:rsidRDefault="00E01C30" w:rsidP="001A62D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340B2" w14:textId="19D333E9" w:rsidR="00A8653B" w:rsidRPr="00A8653B" w:rsidRDefault="00A8653B" w:rsidP="00A8653B">
    <w:pPr>
      <w:pStyle w:val="Footer"/>
      <w:rPr>
        <w:rFonts w:ascii="Arial" w:hAnsi="Arial" w:cs="Arial"/>
        <w:b/>
        <w:sz w:val="48"/>
      </w:rPr>
    </w:pPr>
    <w:r w:rsidRPr="00A8653B">
      <w:rPr>
        <w:rFonts w:ascii="Arial" w:hAnsi="Arial" w:cs="Arial"/>
        <w:b/>
        <w:sz w:val="48"/>
      </w:rPr>
      <w:t>FR</w:t>
    </w:r>
    <w:r w:rsidRPr="00A8653B">
      <w:rPr>
        <w:rFonts w:ascii="Arial" w:hAnsi="Arial" w:cs="Arial"/>
        <w:b/>
        <w:sz w:val="48"/>
      </w:rPr>
      <w:tab/>
    </w:r>
    <w:r w:rsidRPr="00A8653B">
      <w:rPr>
        <w:rFonts w:ascii="Arial" w:hAnsi="Arial" w:cs="Arial"/>
        <w:b/>
        <w:sz w:val="48"/>
      </w:rPr>
      <w:tab/>
    </w:r>
    <w:r w:rsidRPr="00A8653B">
      <w:tab/>
    </w:r>
    <w:r w:rsidRPr="00A8653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BE5DD" w14:textId="03C18983" w:rsidR="00A8653B" w:rsidRPr="00A8653B" w:rsidRDefault="00A8653B" w:rsidP="00A8653B">
    <w:pPr>
      <w:pStyle w:val="Footer"/>
      <w:rPr>
        <w:rFonts w:ascii="Arial" w:hAnsi="Arial" w:cs="Arial"/>
        <w:b/>
        <w:sz w:val="48"/>
      </w:rPr>
    </w:pPr>
    <w:r w:rsidRPr="00A8653B">
      <w:rPr>
        <w:rFonts w:ascii="Arial" w:hAnsi="Arial" w:cs="Arial"/>
        <w:b/>
        <w:sz w:val="48"/>
      </w:rPr>
      <w:t>FR</w:t>
    </w:r>
    <w:r w:rsidRPr="00A8653B">
      <w:rPr>
        <w:rFonts w:ascii="Arial" w:hAnsi="Arial" w:cs="Arial"/>
        <w:b/>
        <w:sz w:val="48"/>
      </w:rPr>
      <w:tab/>
    </w:r>
    <w:r w:rsidRPr="00A8653B">
      <w:rPr>
        <w:rFonts w:ascii="Arial" w:hAnsi="Arial" w:cs="Arial"/>
        <w:b/>
        <w:sz w:val="48"/>
      </w:rPr>
      <w:tab/>
    </w:r>
    <w:r w:rsidRPr="00A8653B">
      <w:tab/>
    </w:r>
    <w:r w:rsidRPr="00A8653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B280B" w14:textId="77777777" w:rsidR="00A8653B" w:rsidRDefault="00A8653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C6C82" w14:textId="4706265B" w:rsidR="00A8653B" w:rsidRPr="00A8653B" w:rsidRDefault="00A8653B" w:rsidP="00A8653B">
    <w:pPr>
      <w:pStyle w:val="Footer"/>
      <w:rPr>
        <w:rFonts w:ascii="Arial" w:hAnsi="Arial" w:cs="Arial"/>
        <w:b/>
        <w:sz w:val="48"/>
      </w:rPr>
    </w:pPr>
    <w:r w:rsidRPr="00A8653B">
      <w:rPr>
        <w:rFonts w:ascii="Arial" w:hAnsi="Arial" w:cs="Arial"/>
        <w:b/>
        <w:sz w:val="48"/>
      </w:rPr>
      <w:t>FR</w:t>
    </w:r>
    <w:r w:rsidRPr="00A8653B">
      <w:rPr>
        <w:rFonts w:ascii="Arial" w:hAnsi="Arial" w:cs="Arial"/>
        <w:b/>
        <w:sz w:val="48"/>
      </w:rPr>
      <w:tab/>
    </w:r>
    <w:r>
      <w:fldChar w:fldCharType="begin"/>
    </w:r>
    <w:r>
      <w:instrText xml:space="preserve"> PAGE  \* MERGEFORMAT </w:instrText>
    </w:r>
    <w:r>
      <w:fldChar w:fldCharType="separate"/>
    </w:r>
    <w:r w:rsidR="005F5794">
      <w:rPr>
        <w:noProof/>
      </w:rPr>
      <w:t>5</w:t>
    </w:r>
    <w:r>
      <w:fldChar w:fldCharType="end"/>
    </w:r>
    <w:r>
      <w:tab/>
    </w:r>
    <w:r w:rsidRPr="00A8653B">
      <w:tab/>
    </w:r>
    <w:r w:rsidRPr="00A8653B">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3B8D0" w14:textId="77777777" w:rsidR="00A8653B" w:rsidRDefault="00A8653B" w:rsidP="00A865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B999A5" w14:textId="77777777" w:rsidR="00E01C30" w:rsidRDefault="00E01C30" w:rsidP="001A62D7">
      <w:pPr>
        <w:spacing w:before="0" w:after="0"/>
      </w:pPr>
      <w:r>
        <w:separator/>
      </w:r>
    </w:p>
  </w:footnote>
  <w:footnote w:type="continuationSeparator" w:id="0">
    <w:p w14:paraId="45887267" w14:textId="77777777" w:rsidR="00E01C30" w:rsidRDefault="00E01C30" w:rsidP="001A62D7">
      <w:pPr>
        <w:spacing w:before="0" w:after="0"/>
      </w:pPr>
      <w:r>
        <w:continuationSeparator/>
      </w:r>
    </w:p>
  </w:footnote>
  <w:footnote w:id="1">
    <w:p w14:paraId="025F1A09" w14:textId="2E5338D9" w:rsidR="00BF6BC2" w:rsidRPr="006E3F92" w:rsidRDefault="00BF6BC2" w:rsidP="00BF6BC2">
      <w:pPr>
        <w:pStyle w:val="FootnoteText"/>
      </w:pPr>
      <w:r>
        <w:rPr>
          <w:rStyle w:val="FootnoteReference"/>
        </w:rPr>
        <w:footnoteRef/>
      </w:r>
      <w:r>
        <w:tab/>
        <w:t>JO L 153 du 3.5.2021, p. 48, ELI: </w:t>
      </w:r>
      <w:hyperlink r:id="rId1" w:tooltip="Permet d’accéder à ce document par l’intermédiaire de son URI ELI." w:history="1">
        <w:r>
          <w:rPr>
            <w:rStyle w:val="Hyperlink"/>
          </w:rPr>
          <w:t>http://data.europa.eu/eli/reg/2021/691/oj</w:t>
        </w:r>
      </w:hyperlink>
      <w:r>
        <w:t>.</w:t>
      </w:r>
    </w:p>
  </w:footnote>
  <w:footnote w:id="2">
    <w:p w14:paraId="1576868A" w14:textId="77777777" w:rsidR="00BF6BC2" w:rsidRDefault="00BF6BC2" w:rsidP="00BF6BC2">
      <w:pPr>
        <w:pStyle w:val="FootnoteText"/>
      </w:pPr>
      <w:r>
        <w:rPr>
          <w:rStyle w:val="FootnoteReference"/>
        </w:rPr>
        <w:footnoteRef/>
      </w:r>
      <w:r>
        <w:tab/>
      </w:r>
      <w:hyperlink r:id="rId2" w:history="1">
        <w:r>
          <w:rPr>
            <w:rStyle w:val="Hyperlink"/>
          </w:rPr>
          <w:t>http://ec.europa.eu/egf</w:t>
        </w:r>
      </w:hyperlink>
      <w:r>
        <w:t>.</w:t>
      </w:r>
    </w:p>
  </w:footnote>
  <w:footnote w:id="3">
    <w:p w14:paraId="55718EA9" w14:textId="239CBD88" w:rsidR="001F6CB0" w:rsidRPr="009F6097" w:rsidRDefault="001F6CB0">
      <w:pPr>
        <w:pStyle w:val="FootnoteText"/>
      </w:pPr>
      <w:r>
        <w:rPr>
          <w:rStyle w:val="FootnoteReference"/>
        </w:rPr>
        <w:footnoteRef/>
      </w:r>
      <w:r>
        <w:tab/>
        <w:t>Proposition de RÈGLEMENT DU PARLEMENT EUROPÉEN ET DU CONSEIL modifiant le règlement (UE) 2021/691 en ce qui concerne le soutien aux travailleurs concernés par un licenciement imminent dans des entreprises en cours de restructuration, COM(2025) 140 final, 1.4.2025.</w:t>
      </w:r>
    </w:p>
  </w:footnote>
  <w:footnote w:id="4">
    <w:p w14:paraId="7F14299C" w14:textId="3835C5C5" w:rsidR="00BF6BC2" w:rsidRPr="00C42B07" w:rsidRDefault="00BF6BC2" w:rsidP="00BF6BC2">
      <w:pPr>
        <w:pStyle w:val="FootnoteText"/>
      </w:pPr>
      <w:r>
        <w:rPr>
          <w:rStyle w:val="FootnoteReference"/>
        </w:rPr>
        <w:footnoteRef/>
      </w:r>
      <w:r>
        <w:tab/>
        <w:t>JO L 433 I du 22.12.2020, p. 11.</w:t>
      </w:r>
    </w:p>
  </w:footnote>
  <w:footnote w:id="5">
    <w:p w14:paraId="438D2F79" w14:textId="095C337A" w:rsidR="00BF6BC2" w:rsidRPr="00A52484" w:rsidRDefault="00BF6BC2" w:rsidP="00BF6BC2">
      <w:pPr>
        <w:pStyle w:val="FootnoteText"/>
      </w:pPr>
      <w:r>
        <w:rPr>
          <w:rStyle w:val="FootnoteReference"/>
        </w:rPr>
        <w:footnoteRef/>
      </w:r>
      <w:r>
        <w:tab/>
        <w:t>JO L, 2024/765, 29.2.2024, p. 4, ELI: http://data.europa.eu/eli/reg/2024/765/oj.</w:t>
      </w:r>
    </w:p>
  </w:footnote>
  <w:footnote w:id="6">
    <w:p w14:paraId="1A62FAB8" w14:textId="77777777" w:rsidR="00BF6BC2" w:rsidRPr="00C42B07" w:rsidRDefault="00BF6BC2" w:rsidP="00BF6BC2">
      <w:pPr>
        <w:pStyle w:val="FootnoteText"/>
      </w:pPr>
      <w:r>
        <w:rPr>
          <w:rStyle w:val="FootnoteReference"/>
        </w:rPr>
        <w:footnoteRef/>
      </w:r>
      <w:r>
        <w:tab/>
        <w:t>JO L 433 I du 22.12.2020, p. 28.</w:t>
      </w:r>
    </w:p>
  </w:footnote>
  <w:footnote w:id="7">
    <w:p w14:paraId="62391C70" w14:textId="282BE65B" w:rsidR="001A62D7" w:rsidRPr="00887A63" w:rsidRDefault="001A62D7" w:rsidP="00887A63">
      <w:pPr>
        <w:pStyle w:val="FootnoteText"/>
        <w:rPr>
          <w:rStyle w:val="FootnoteReference"/>
          <w:vertAlign w:val="baseline"/>
        </w:rPr>
      </w:pPr>
      <w:r>
        <w:rPr>
          <w:rStyle w:val="FootnoteReference"/>
        </w:rPr>
        <w:footnoteRef/>
      </w:r>
      <w:r>
        <w:tab/>
      </w:r>
      <w:r>
        <w:rPr>
          <w:rStyle w:val="FootnoteReference"/>
          <w:vertAlign w:val="baseline"/>
        </w:rPr>
        <w:t>JO L 153 du 3.5.2021, p. 48, ELI: http://data.europa.eu/eli/reg/2021/691/oj.</w:t>
      </w:r>
    </w:p>
  </w:footnote>
  <w:footnote w:id="8">
    <w:p w14:paraId="4404EC59" w14:textId="65D66FAD" w:rsidR="001A62D7" w:rsidRPr="00887A63" w:rsidRDefault="001A62D7" w:rsidP="00887A63">
      <w:pPr>
        <w:pStyle w:val="FootnoteText"/>
        <w:rPr>
          <w:rStyle w:val="FootnoteReference"/>
          <w:vertAlign w:val="baseline"/>
        </w:rPr>
      </w:pPr>
      <w:r>
        <w:rPr>
          <w:rStyle w:val="FootnoteReference"/>
        </w:rPr>
        <w:footnoteRef/>
      </w:r>
      <w:r>
        <w:tab/>
      </w:r>
      <w:r>
        <w:rPr>
          <w:rStyle w:val="FootnoteReference"/>
          <w:vertAlign w:val="baseline"/>
        </w:rPr>
        <w:t>JO L 433 I du 22.12.2020, p. 28, ELI: http://data.europa.eu/eli/agree_interinstit/2020/1222/oj.</w:t>
      </w:r>
    </w:p>
  </w:footnote>
  <w:footnote w:id="9">
    <w:p w14:paraId="0BEBEF3F" w14:textId="2E87EBB2" w:rsidR="001A62D7" w:rsidRPr="009F7C73" w:rsidRDefault="001A62D7" w:rsidP="001A62D7">
      <w:pPr>
        <w:pStyle w:val="FootnoteText"/>
      </w:pPr>
      <w:r>
        <w:rPr>
          <w:rStyle w:val="FootnoteReference"/>
        </w:rPr>
        <w:footnoteRef/>
      </w:r>
      <w:r>
        <w:tab/>
        <w:t>Règlement (UE, Euratom) 2020/2093 du Conseil du 17 décembre 2020 fixant le cadre financier pluriannuel pour les années 2021 à 2027 (JO L 433 I du 22.12.2020, p. 11, ELI: http://data.europa.eu/eli/reg/2020/2093/oj).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8C02B" w14:textId="77777777" w:rsidR="00A8653B" w:rsidRDefault="00A865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0B2B7" w14:textId="77777777" w:rsidR="00A8653B" w:rsidRDefault="00A865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name w:val="826494818"/>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6"/>
    <w:lvlOverride w:ilvl="0">
      <w:startOverride w:val="1"/>
    </w:lvlOverride>
  </w:num>
  <w:num w:numId="18">
    <w:abstractNumId w:val="23"/>
  </w:num>
  <w:num w:numId="19">
    <w:abstractNumId w:val="12"/>
  </w:num>
  <w:num w:numId="20">
    <w:abstractNumId w:val="26"/>
  </w:num>
  <w:num w:numId="21">
    <w:abstractNumId w:val="6"/>
  </w:num>
  <w:num w:numId="22">
    <w:abstractNumId w:val="13"/>
  </w:num>
  <w:num w:numId="23">
    <w:abstractNumId w:val="14"/>
  </w:num>
  <w:num w:numId="24">
    <w:abstractNumId w:val="4"/>
  </w:num>
  <w:num w:numId="25">
    <w:abstractNumId w:val="25"/>
  </w:num>
  <w:num w:numId="26">
    <w:abstractNumId w:val="3"/>
  </w:num>
  <w:num w:numId="27">
    <w:abstractNumId w:val="15"/>
  </w:num>
  <w:num w:numId="28">
    <w:abstractNumId w:val="21"/>
  </w:num>
  <w:num w:numId="29">
    <w:abstractNumId w:val="22"/>
  </w:num>
  <w:num w:numId="30">
    <w:abstractNumId w:val="5"/>
  </w:num>
  <w:num w:numId="31">
    <w:abstractNumId w:val="19"/>
  </w:num>
  <w:num w:numId="32">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ocumentProtection w:edit="forms" w:enforcement="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19 08:26:1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2A1BBE3-A40F-45A5-ACF3-425B3686A7AC"/>
    <w:docVar w:name="LW_COVERPAGE_TYPE" w:val="1"/>
    <w:docVar w:name="LW_CreatedUtc" w:val="2025-02-03T12:09:04.7855178Z"/>
    <w:docVar w:name="LW_CROSSREFERENCE" w:val="&lt;UNUSED&gt;"/>
    <w:docVar w:name="LW_DocType" w:val="COM"/>
    <w:docVar w:name="LW_EMISSION" w:val="26.5.2026"/>
    <w:docVar w:name="LW_EMISSION_ISODATE" w:val="2026-05-26"/>
    <w:docVar w:name="LW_EMISSION_LOCATION" w:val="BRX"/>
    <w:docVar w:name="LW_EMISSION_PREFIX" w:val="Bruxelles, le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BUD"/>
    <w:docVar w:name="LW_REF.II.NEW.CP_NUMBER" w:val="0126"/>
    <w:docVar w:name="LW_REF.II.NEW.CP_YEAR" w:val="2026"/>
    <w:docVar w:name="LW_REF.INST.NEW" w:val="COM"/>
    <w:docVar w:name="LW_REF.INST.NEW_ADOPTED" w:val="final"/>
    <w:docVar w:name="LW_REF.INST.NEW_TEXT" w:val="(2026) 36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mobilisation du Fonds européen d\u8217?ajustement à la mondialisation en faveur des travailleurs licenciés sur l\u8217?initiative de la Commission (EGF/2026/000 TA 2026 \u8212? Assistance technique)"/>
    <w:docVar w:name="LW_TYPE.DOC.CP" w:val="DÉCISION DU PARLEMENT EUROPÉEN ET DU CONSEIL"/>
    <w:docVar w:name="LwApiVersions" w:val="LW4CoDe 1.24.5.0; LW 9.2, Build 20251112"/>
  </w:docVars>
  <w:rsids>
    <w:rsidRoot w:val="001A62D7"/>
    <w:rsid w:val="00006413"/>
    <w:rsid w:val="00043A15"/>
    <w:rsid w:val="0005098F"/>
    <w:rsid w:val="00074EC4"/>
    <w:rsid w:val="000A73E7"/>
    <w:rsid w:val="00105AD3"/>
    <w:rsid w:val="001065F5"/>
    <w:rsid w:val="0011044B"/>
    <w:rsid w:val="001238EF"/>
    <w:rsid w:val="00126619"/>
    <w:rsid w:val="00135FFF"/>
    <w:rsid w:val="0014187A"/>
    <w:rsid w:val="0019013B"/>
    <w:rsid w:val="00197613"/>
    <w:rsid w:val="001A62D7"/>
    <w:rsid w:val="001B050B"/>
    <w:rsid w:val="001C07CF"/>
    <w:rsid w:val="001C2B74"/>
    <w:rsid w:val="001D37D3"/>
    <w:rsid w:val="001D5AA5"/>
    <w:rsid w:val="001E4049"/>
    <w:rsid w:val="001E7222"/>
    <w:rsid w:val="001F6CB0"/>
    <w:rsid w:val="002026D7"/>
    <w:rsid w:val="00227B90"/>
    <w:rsid w:val="00233DC7"/>
    <w:rsid w:val="00243F98"/>
    <w:rsid w:val="00245A79"/>
    <w:rsid w:val="00247779"/>
    <w:rsid w:val="002623B5"/>
    <w:rsid w:val="00285BEE"/>
    <w:rsid w:val="00290041"/>
    <w:rsid w:val="0029533F"/>
    <w:rsid w:val="002A6A5A"/>
    <w:rsid w:val="002B30AF"/>
    <w:rsid w:val="002D2E46"/>
    <w:rsid w:val="002F3C07"/>
    <w:rsid w:val="003208A2"/>
    <w:rsid w:val="0033344A"/>
    <w:rsid w:val="003618E0"/>
    <w:rsid w:val="00376170"/>
    <w:rsid w:val="00384F23"/>
    <w:rsid w:val="003A0A93"/>
    <w:rsid w:val="003C7758"/>
    <w:rsid w:val="003D32E7"/>
    <w:rsid w:val="003F41A0"/>
    <w:rsid w:val="00400F99"/>
    <w:rsid w:val="0041069E"/>
    <w:rsid w:val="004223D8"/>
    <w:rsid w:val="0042648E"/>
    <w:rsid w:val="0042716E"/>
    <w:rsid w:val="00432487"/>
    <w:rsid w:val="00455363"/>
    <w:rsid w:val="004654F7"/>
    <w:rsid w:val="00471F62"/>
    <w:rsid w:val="004936D2"/>
    <w:rsid w:val="004C33A1"/>
    <w:rsid w:val="004C4BB5"/>
    <w:rsid w:val="004C5596"/>
    <w:rsid w:val="004D583F"/>
    <w:rsid w:val="004D5BB3"/>
    <w:rsid w:val="00516AA6"/>
    <w:rsid w:val="005254E2"/>
    <w:rsid w:val="00530AAF"/>
    <w:rsid w:val="00554F43"/>
    <w:rsid w:val="005665FB"/>
    <w:rsid w:val="005915B2"/>
    <w:rsid w:val="005B1EB6"/>
    <w:rsid w:val="005B2FE9"/>
    <w:rsid w:val="005C66A0"/>
    <w:rsid w:val="005E7E04"/>
    <w:rsid w:val="005F5794"/>
    <w:rsid w:val="00613795"/>
    <w:rsid w:val="006158FD"/>
    <w:rsid w:val="006251C4"/>
    <w:rsid w:val="00625B31"/>
    <w:rsid w:val="006269BD"/>
    <w:rsid w:val="006C76CA"/>
    <w:rsid w:val="006D6C99"/>
    <w:rsid w:val="006F519F"/>
    <w:rsid w:val="007218E2"/>
    <w:rsid w:val="00721C63"/>
    <w:rsid w:val="00731699"/>
    <w:rsid w:val="00733474"/>
    <w:rsid w:val="00747395"/>
    <w:rsid w:val="0075062E"/>
    <w:rsid w:val="00751DE2"/>
    <w:rsid w:val="00773331"/>
    <w:rsid w:val="00775B2D"/>
    <w:rsid w:val="00782388"/>
    <w:rsid w:val="007850C3"/>
    <w:rsid w:val="007932EF"/>
    <w:rsid w:val="00793EBD"/>
    <w:rsid w:val="007D5441"/>
    <w:rsid w:val="007E05B0"/>
    <w:rsid w:val="007F705A"/>
    <w:rsid w:val="0080246A"/>
    <w:rsid w:val="008118FF"/>
    <w:rsid w:val="0081312F"/>
    <w:rsid w:val="008172A8"/>
    <w:rsid w:val="00841CEB"/>
    <w:rsid w:val="008463C7"/>
    <w:rsid w:val="00863D12"/>
    <w:rsid w:val="00874D22"/>
    <w:rsid w:val="00881F5C"/>
    <w:rsid w:val="00887A63"/>
    <w:rsid w:val="00887E32"/>
    <w:rsid w:val="008A2914"/>
    <w:rsid w:val="008A49F3"/>
    <w:rsid w:val="008B762A"/>
    <w:rsid w:val="008E06B5"/>
    <w:rsid w:val="008E2179"/>
    <w:rsid w:val="008E24D5"/>
    <w:rsid w:val="008E4D8E"/>
    <w:rsid w:val="0092277D"/>
    <w:rsid w:val="009360D0"/>
    <w:rsid w:val="00943C80"/>
    <w:rsid w:val="00972292"/>
    <w:rsid w:val="00976503"/>
    <w:rsid w:val="009802F7"/>
    <w:rsid w:val="009C5E57"/>
    <w:rsid w:val="009F0457"/>
    <w:rsid w:val="009F1F87"/>
    <w:rsid w:val="009F31A8"/>
    <w:rsid w:val="009F6097"/>
    <w:rsid w:val="00A10D8F"/>
    <w:rsid w:val="00A1187D"/>
    <w:rsid w:val="00A31E3D"/>
    <w:rsid w:val="00A3207C"/>
    <w:rsid w:val="00A37AA2"/>
    <w:rsid w:val="00A51D71"/>
    <w:rsid w:val="00A52484"/>
    <w:rsid w:val="00A55775"/>
    <w:rsid w:val="00A62B61"/>
    <w:rsid w:val="00A70080"/>
    <w:rsid w:val="00A8653B"/>
    <w:rsid w:val="00AC23F4"/>
    <w:rsid w:val="00AC5FE9"/>
    <w:rsid w:val="00AE0FF1"/>
    <w:rsid w:val="00AE1EEE"/>
    <w:rsid w:val="00AE6F8F"/>
    <w:rsid w:val="00AF47F6"/>
    <w:rsid w:val="00B013FF"/>
    <w:rsid w:val="00B232DA"/>
    <w:rsid w:val="00B23B13"/>
    <w:rsid w:val="00B318D5"/>
    <w:rsid w:val="00B47A05"/>
    <w:rsid w:val="00B86BD9"/>
    <w:rsid w:val="00BD6EAB"/>
    <w:rsid w:val="00BE2634"/>
    <w:rsid w:val="00BF6BC2"/>
    <w:rsid w:val="00C10539"/>
    <w:rsid w:val="00C12301"/>
    <w:rsid w:val="00C201D6"/>
    <w:rsid w:val="00C8732B"/>
    <w:rsid w:val="00CB6600"/>
    <w:rsid w:val="00CB7CAD"/>
    <w:rsid w:val="00CD4279"/>
    <w:rsid w:val="00D01419"/>
    <w:rsid w:val="00D20381"/>
    <w:rsid w:val="00D2197C"/>
    <w:rsid w:val="00D34938"/>
    <w:rsid w:val="00D40977"/>
    <w:rsid w:val="00D415A3"/>
    <w:rsid w:val="00D42B30"/>
    <w:rsid w:val="00D54F1D"/>
    <w:rsid w:val="00D82A81"/>
    <w:rsid w:val="00D975EC"/>
    <w:rsid w:val="00DA31BE"/>
    <w:rsid w:val="00DA4EC5"/>
    <w:rsid w:val="00DD196B"/>
    <w:rsid w:val="00DF4047"/>
    <w:rsid w:val="00E01C30"/>
    <w:rsid w:val="00E5516A"/>
    <w:rsid w:val="00E676B4"/>
    <w:rsid w:val="00E859C9"/>
    <w:rsid w:val="00EC6339"/>
    <w:rsid w:val="00EF46D4"/>
    <w:rsid w:val="00F02361"/>
    <w:rsid w:val="00F13120"/>
    <w:rsid w:val="00F27890"/>
    <w:rsid w:val="00F35E6F"/>
    <w:rsid w:val="00F445D7"/>
    <w:rsid w:val="00F56FBA"/>
    <w:rsid w:val="00F615C5"/>
    <w:rsid w:val="00F77D99"/>
    <w:rsid w:val="00FA7441"/>
    <w:rsid w:val="00FC38F8"/>
    <w:rsid w:val="00FC6123"/>
    <w:rsid w:val="00FE0466"/>
    <w:rsid w:val="00FF5C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8C976BE"/>
  <w15:docId w15:val="{49135F58-2DE3-4C0E-842E-895763F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1A62D7"/>
    <w:pPr>
      <w:numPr>
        <w:numId w:val="2"/>
      </w:numPr>
      <w:tabs>
        <w:tab w:val="num" w:pos="360"/>
      </w:tabs>
      <w:ind w:left="0" w:firstLine="0"/>
    </w:pPr>
    <w:rPr>
      <w:rFonts w:eastAsia="Times New Roman"/>
      <w:lang w:eastAsia="de-DE"/>
    </w:rPr>
  </w:style>
  <w:style w:type="paragraph" w:styleId="ListNumber">
    <w:name w:val="List Number"/>
    <w:basedOn w:val="Normal"/>
    <w:uiPriority w:val="99"/>
    <w:rsid w:val="001A62D7"/>
    <w:pPr>
      <w:numPr>
        <w:numId w:val="6"/>
      </w:numPr>
    </w:pPr>
    <w:rPr>
      <w:rFonts w:eastAsia="Times New Roman"/>
      <w:lang w:eastAsia="de-DE"/>
    </w:rPr>
  </w:style>
  <w:style w:type="paragraph" w:customStyle="1" w:styleId="ListBullet1">
    <w:name w:val="List Bullet 1"/>
    <w:basedOn w:val="Normal"/>
    <w:rsid w:val="001A62D7"/>
    <w:pPr>
      <w:numPr>
        <w:numId w:val="1"/>
      </w:numPr>
    </w:pPr>
    <w:rPr>
      <w:rFonts w:eastAsia="Times New Roman"/>
      <w:lang w:eastAsia="de-DE"/>
    </w:rPr>
  </w:style>
  <w:style w:type="paragraph" w:customStyle="1" w:styleId="ListDash">
    <w:name w:val="List Dash"/>
    <w:basedOn w:val="Normal"/>
    <w:rsid w:val="001A62D7"/>
    <w:pPr>
      <w:numPr>
        <w:numId w:val="3"/>
      </w:numPr>
    </w:pPr>
    <w:rPr>
      <w:rFonts w:eastAsia="Times New Roman"/>
      <w:lang w:eastAsia="de-DE"/>
    </w:rPr>
  </w:style>
  <w:style w:type="paragraph" w:customStyle="1" w:styleId="ListDash1">
    <w:name w:val="List Dash 1"/>
    <w:basedOn w:val="Normal"/>
    <w:rsid w:val="001A62D7"/>
    <w:pPr>
      <w:numPr>
        <w:numId w:val="4"/>
      </w:numPr>
    </w:pPr>
    <w:rPr>
      <w:rFonts w:eastAsia="Times New Roman"/>
      <w:lang w:eastAsia="de-DE"/>
    </w:rPr>
  </w:style>
  <w:style w:type="paragraph" w:customStyle="1" w:styleId="ListDash2">
    <w:name w:val="List Dash 2"/>
    <w:basedOn w:val="Normal"/>
    <w:rsid w:val="001A62D7"/>
    <w:pPr>
      <w:numPr>
        <w:numId w:val="5"/>
      </w:numPr>
    </w:pPr>
    <w:rPr>
      <w:rFonts w:eastAsia="Times New Roman"/>
      <w:lang w:eastAsia="de-DE"/>
    </w:rPr>
  </w:style>
  <w:style w:type="paragraph" w:customStyle="1" w:styleId="ListNumberLevel2">
    <w:name w:val="List Number (Level 2)"/>
    <w:basedOn w:val="Normal"/>
    <w:rsid w:val="001A62D7"/>
    <w:pPr>
      <w:numPr>
        <w:ilvl w:val="1"/>
        <w:numId w:val="6"/>
      </w:numPr>
    </w:pPr>
    <w:rPr>
      <w:rFonts w:eastAsia="Times New Roman"/>
      <w:lang w:eastAsia="de-DE"/>
    </w:rPr>
  </w:style>
  <w:style w:type="paragraph" w:customStyle="1" w:styleId="ListNumberLevel3">
    <w:name w:val="List Number (Level 3)"/>
    <w:basedOn w:val="Normal"/>
    <w:rsid w:val="001A62D7"/>
    <w:pPr>
      <w:numPr>
        <w:ilvl w:val="2"/>
        <w:numId w:val="6"/>
      </w:numPr>
    </w:pPr>
    <w:rPr>
      <w:rFonts w:eastAsia="Times New Roman"/>
      <w:lang w:eastAsia="de-DE"/>
    </w:rPr>
  </w:style>
  <w:style w:type="paragraph" w:customStyle="1" w:styleId="ListNumberLevel4">
    <w:name w:val="List Number (Level 4)"/>
    <w:basedOn w:val="Normal"/>
    <w:rsid w:val="001A62D7"/>
    <w:pPr>
      <w:numPr>
        <w:ilvl w:val="3"/>
        <w:numId w:val="6"/>
      </w:numPr>
    </w:pPr>
    <w:rPr>
      <w:rFonts w:eastAsia="Times New Roman"/>
      <w:lang w:eastAsia="de-DE"/>
    </w:rPr>
  </w:style>
  <w:style w:type="table" w:styleId="TableGrid">
    <w:name w:val="Table Grid"/>
    <w:basedOn w:val="TableNormal"/>
    <w:rsid w:val="001A62D7"/>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A62D7"/>
    <w:rPr>
      <w:color w:val="0000FF"/>
      <w:u w:val="single"/>
    </w:rPr>
  </w:style>
  <w:style w:type="paragraph" w:styleId="ListBullet">
    <w:name w:val="List Bullet"/>
    <w:basedOn w:val="Normal"/>
    <w:uiPriority w:val="99"/>
    <w:rsid w:val="001A62D7"/>
    <w:pPr>
      <w:numPr>
        <w:numId w:val="7"/>
      </w:numPr>
    </w:pPr>
    <w:rPr>
      <w:rFonts w:eastAsia="Times New Roman"/>
      <w:lang w:eastAsia="en-GB"/>
    </w:rPr>
  </w:style>
  <w:style w:type="paragraph" w:styleId="ListBullet2">
    <w:name w:val="List Bullet 2"/>
    <w:basedOn w:val="Normal"/>
    <w:uiPriority w:val="99"/>
    <w:rsid w:val="001A62D7"/>
    <w:pPr>
      <w:numPr>
        <w:numId w:val="8"/>
      </w:numPr>
    </w:pPr>
    <w:rPr>
      <w:rFonts w:eastAsia="Times New Roman"/>
      <w:lang w:eastAsia="en-GB"/>
    </w:rPr>
  </w:style>
  <w:style w:type="paragraph" w:styleId="ListBullet3">
    <w:name w:val="List Bullet 3"/>
    <w:basedOn w:val="Normal"/>
    <w:uiPriority w:val="99"/>
    <w:rsid w:val="001A62D7"/>
    <w:pPr>
      <w:numPr>
        <w:numId w:val="9"/>
      </w:numPr>
    </w:pPr>
    <w:rPr>
      <w:rFonts w:eastAsia="Times New Roman"/>
      <w:lang w:eastAsia="en-GB"/>
    </w:rPr>
  </w:style>
  <w:style w:type="paragraph" w:styleId="ListNumber2">
    <w:name w:val="List Number 2"/>
    <w:basedOn w:val="Normal"/>
    <w:uiPriority w:val="99"/>
    <w:rsid w:val="001A62D7"/>
    <w:pPr>
      <w:numPr>
        <w:numId w:val="13"/>
      </w:numPr>
    </w:pPr>
    <w:rPr>
      <w:rFonts w:eastAsia="Times New Roman"/>
      <w:lang w:eastAsia="en-GB"/>
    </w:rPr>
  </w:style>
  <w:style w:type="paragraph" w:styleId="ListNumber3">
    <w:name w:val="List Number 3"/>
    <w:basedOn w:val="Normal"/>
    <w:uiPriority w:val="99"/>
    <w:rsid w:val="001A62D7"/>
    <w:pPr>
      <w:numPr>
        <w:numId w:val="14"/>
      </w:numPr>
    </w:pPr>
    <w:rPr>
      <w:rFonts w:eastAsia="Times New Roman"/>
      <w:lang w:eastAsia="en-GB"/>
    </w:rPr>
  </w:style>
  <w:style w:type="paragraph" w:styleId="ListNumber4">
    <w:name w:val="List Number 4"/>
    <w:basedOn w:val="Normal"/>
    <w:uiPriority w:val="99"/>
    <w:rsid w:val="001A62D7"/>
    <w:pPr>
      <w:numPr>
        <w:numId w:val="15"/>
      </w:numPr>
    </w:pPr>
    <w:rPr>
      <w:rFonts w:eastAsia="Times New Roman"/>
      <w:lang w:eastAsia="en-GB"/>
    </w:rPr>
  </w:style>
  <w:style w:type="paragraph" w:customStyle="1" w:styleId="ListDash3">
    <w:name w:val="List Dash 3"/>
    <w:basedOn w:val="Normal"/>
    <w:rsid w:val="001A62D7"/>
    <w:pPr>
      <w:numPr>
        <w:numId w:val="10"/>
      </w:numPr>
    </w:pPr>
    <w:rPr>
      <w:rFonts w:eastAsia="Times New Roman"/>
      <w:lang w:eastAsia="en-GB"/>
    </w:rPr>
  </w:style>
  <w:style w:type="paragraph" w:customStyle="1" w:styleId="ListDash4">
    <w:name w:val="List Dash 4"/>
    <w:basedOn w:val="Normal"/>
    <w:rsid w:val="001A62D7"/>
    <w:pPr>
      <w:numPr>
        <w:numId w:val="11"/>
      </w:numPr>
    </w:pPr>
    <w:rPr>
      <w:rFonts w:eastAsia="Times New Roman"/>
      <w:lang w:eastAsia="en-GB"/>
    </w:rPr>
  </w:style>
  <w:style w:type="paragraph" w:customStyle="1" w:styleId="ListNumber1">
    <w:name w:val="List Number 1"/>
    <w:basedOn w:val="Text1"/>
    <w:rsid w:val="001A62D7"/>
    <w:pPr>
      <w:numPr>
        <w:numId w:val="12"/>
      </w:numPr>
    </w:pPr>
    <w:rPr>
      <w:rFonts w:eastAsia="Times New Roman"/>
      <w:lang w:eastAsia="en-GB"/>
    </w:rPr>
  </w:style>
  <w:style w:type="paragraph" w:customStyle="1" w:styleId="ListNumber1Level2">
    <w:name w:val="List Number 1 (Level 2)"/>
    <w:basedOn w:val="Text1"/>
    <w:rsid w:val="001A62D7"/>
    <w:pPr>
      <w:numPr>
        <w:ilvl w:val="1"/>
        <w:numId w:val="12"/>
      </w:numPr>
    </w:pPr>
    <w:rPr>
      <w:rFonts w:eastAsia="Times New Roman"/>
      <w:lang w:eastAsia="en-GB"/>
    </w:rPr>
  </w:style>
  <w:style w:type="paragraph" w:customStyle="1" w:styleId="ListNumber2Level2">
    <w:name w:val="List Number 2 (Level 2)"/>
    <w:basedOn w:val="Text2"/>
    <w:rsid w:val="001A62D7"/>
    <w:pPr>
      <w:numPr>
        <w:ilvl w:val="1"/>
        <w:numId w:val="13"/>
      </w:numPr>
    </w:pPr>
    <w:rPr>
      <w:rFonts w:eastAsia="Times New Roman"/>
      <w:lang w:eastAsia="en-GB"/>
    </w:rPr>
  </w:style>
  <w:style w:type="paragraph" w:customStyle="1" w:styleId="ListNumber3Level2">
    <w:name w:val="List Number 3 (Level 2)"/>
    <w:basedOn w:val="Text3"/>
    <w:rsid w:val="001A62D7"/>
    <w:pPr>
      <w:numPr>
        <w:ilvl w:val="1"/>
        <w:numId w:val="14"/>
      </w:numPr>
    </w:pPr>
    <w:rPr>
      <w:rFonts w:eastAsia="Times New Roman"/>
      <w:lang w:eastAsia="en-GB"/>
    </w:rPr>
  </w:style>
  <w:style w:type="paragraph" w:customStyle="1" w:styleId="ListNumber4Level2">
    <w:name w:val="List Number 4 (Level 2)"/>
    <w:basedOn w:val="Text4"/>
    <w:rsid w:val="001A62D7"/>
    <w:pPr>
      <w:numPr>
        <w:ilvl w:val="1"/>
        <w:numId w:val="15"/>
      </w:numPr>
    </w:pPr>
    <w:rPr>
      <w:rFonts w:eastAsia="Times New Roman"/>
      <w:lang w:eastAsia="en-GB"/>
    </w:rPr>
  </w:style>
  <w:style w:type="paragraph" w:customStyle="1" w:styleId="ListNumber1Level3">
    <w:name w:val="List Number 1 (Level 3)"/>
    <w:basedOn w:val="Text1"/>
    <w:rsid w:val="001A62D7"/>
    <w:pPr>
      <w:numPr>
        <w:ilvl w:val="2"/>
        <w:numId w:val="12"/>
      </w:numPr>
    </w:pPr>
    <w:rPr>
      <w:rFonts w:eastAsia="Times New Roman"/>
      <w:lang w:eastAsia="en-GB"/>
    </w:rPr>
  </w:style>
  <w:style w:type="paragraph" w:customStyle="1" w:styleId="ListNumber2Level3">
    <w:name w:val="List Number 2 (Level 3)"/>
    <w:basedOn w:val="Text2"/>
    <w:rsid w:val="001A62D7"/>
    <w:pPr>
      <w:numPr>
        <w:ilvl w:val="2"/>
        <w:numId w:val="13"/>
      </w:numPr>
    </w:pPr>
    <w:rPr>
      <w:rFonts w:eastAsia="Times New Roman"/>
      <w:lang w:eastAsia="en-GB"/>
    </w:rPr>
  </w:style>
  <w:style w:type="paragraph" w:customStyle="1" w:styleId="ListNumber3Level3">
    <w:name w:val="List Number 3 (Level 3)"/>
    <w:basedOn w:val="Text3"/>
    <w:rsid w:val="001A62D7"/>
    <w:pPr>
      <w:numPr>
        <w:ilvl w:val="2"/>
        <w:numId w:val="14"/>
      </w:numPr>
    </w:pPr>
    <w:rPr>
      <w:rFonts w:eastAsia="Times New Roman"/>
      <w:lang w:eastAsia="en-GB"/>
    </w:rPr>
  </w:style>
  <w:style w:type="paragraph" w:customStyle="1" w:styleId="ListNumber4Level3">
    <w:name w:val="List Number 4 (Level 3)"/>
    <w:basedOn w:val="Text4"/>
    <w:rsid w:val="001A62D7"/>
    <w:pPr>
      <w:numPr>
        <w:ilvl w:val="2"/>
        <w:numId w:val="15"/>
      </w:numPr>
    </w:pPr>
    <w:rPr>
      <w:rFonts w:eastAsia="Times New Roman"/>
      <w:lang w:eastAsia="en-GB"/>
    </w:rPr>
  </w:style>
  <w:style w:type="paragraph" w:customStyle="1" w:styleId="ListNumber1Level4">
    <w:name w:val="List Number 1 (Level 4)"/>
    <w:basedOn w:val="Text1"/>
    <w:rsid w:val="001A62D7"/>
    <w:pPr>
      <w:numPr>
        <w:ilvl w:val="3"/>
        <w:numId w:val="12"/>
      </w:numPr>
    </w:pPr>
    <w:rPr>
      <w:rFonts w:eastAsia="Times New Roman"/>
      <w:lang w:eastAsia="en-GB"/>
    </w:rPr>
  </w:style>
  <w:style w:type="paragraph" w:customStyle="1" w:styleId="ListNumber2Level4">
    <w:name w:val="List Number 2 (Level 4)"/>
    <w:basedOn w:val="Text2"/>
    <w:rsid w:val="001A62D7"/>
    <w:pPr>
      <w:numPr>
        <w:ilvl w:val="3"/>
        <w:numId w:val="13"/>
      </w:numPr>
    </w:pPr>
    <w:rPr>
      <w:rFonts w:eastAsia="Times New Roman"/>
      <w:lang w:eastAsia="en-GB"/>
    </w:rPr>
  </w:style>
  <w:style w:type="paragraph" w:customStyle="1" w:styleId="ListNumber3Level4">
    <w:name w:val="List Number 3 (Level 4)"/>
    <w:basedOn w:val="Text3"/>
    <w:rsid w:val="001A62D7"/>
    <w:pPr>
      <w:numPr>
        <w:ilvl w:val="3"/>
        <w:numId w:val="14"/>
      </w:numPr>
    </w:pPr>
    <w:rPr>
      <w:rFonts w:eastAsia="Times New Roman"/>
      <w:lang w:eastAsia="en-GB"/>
    </w:rPr>
  </w:style>
  <w:style w:type="paragraph" w:customStyle="1" w:styleId="ListNumber4Level4">
    <w:name w:val="List Number 4 (Level 4)"/>
    <w:basedOn w:val="Text4"/>
    <w:rsid w:val="001A62D7"/>
    <w:pPr>
      <w:numPr>
        <w:ilvl w:val="3"/>
        <w:numId w:val="15"/>
      </w:numPr>
    </w:pPr>
    <w:rPr>
      <w:rFonts w:eastAsia="Times New Roman"/>
      <w:lang w:eastAsia="en-GB"/>
    </w:rPr>
  </w:style>
  <w:style w:type="paragraph" w:customStyle="1" w:styleId="Annexetitreacte">
    <w:name w:val="Annexe titre (acte)"/>
    <w:basedOn w:val="Normal"/>
    <w:next w:val="Normal"/>
    <w:rsid w:val="001A62D7"/>
    <w:pPr>
      <w:jc w:val="center"/>
    </w:pPr>
    <w:rPr>
      <w:rFonts w:eastAsia="Times New Roman"/>
      <w:b/>
      <w:u w:val="single"/>
      <w:lang w:eastAsia="en-GB"/>
    </w:rPr>
  </w:style>
  <w:style w:type="paragraph" w:customStyle="1" w:styleId="Annexetitreexposglobal">
    <w:name w:val="Annexe titre (exposé global)"/>
    <w:basedOn w:val="Normal"/>
    <w:next w:val="Normal"/>
    <w:rsid w:val="001A62D7"/>
    <w:pPr>
      <w:jc w:val="center"/>
    </w:pPr>
    <w:rPr>
      <w:rFonts w:eastAsia="Times New Roman"/>
      <w:b/>
      <w:u w:val="single"/>
      <w:lang w:eastAsia="en-GB"/>
    </w:rPr>
  </w:style>
  <w:style w:type="paragraph" w:customStyle="1" w:styleId="Annexetitrefichefinacte">
    <w:name w:val="Annexe titre (fiche fin. acte)"/>
    <w:basedOn w:val="Normal"/>
    <w:next w:val="Normal"/>
    <w:rsid w:val="001A62D7"/>
    <w:pPr>
      <w:jc w:val="center"/>
    </w:pPr>
    <w:rPr>
      <w:rFonts w:eastAsia="Times New Roman"/>
      <w:b/>
      <w:u w:val="single"/>
      <w:lang w:eastAsia="en-GB"/>
    </w:rPr>
  </w:style>
  <w:style w:type="paragraph" w:customStyle="1" w:styleId="Annexetitrefichefinglobale">
    <w:name w:val="Annexe titre (fiche fin. globale)"/>
    <w:basedOn w:val="Normal"/>
    <w:next w:val="Normal"/>
    <w:rsid w:val="001A62D7"/>
    <w:pPr>
      <w:jc w:val="center"/>
    </w:pPr>
    <w:rPr>
      <w:rFonts w:eastAsia="Times New Roman"/>
      <w:b/>
      <w:u w:val="single"/>
      <w:lang w:eastAsia="en-GB"/>
    </w:rPr>
  </w:style>
  <w:style w:type="paragraph" w:customStyle="1" w:styleId="Annexetitreglobale">
    <w:name w:val="Annexe titre (globale)"/>
    <w:basedOn w:val="Normal"/>
    <w:next w:val="Normal"/>
    <w:rsid w:val="001A62D7"/>
    <w:pPr>
      <w:jc w:val="center"/>
    </w:pPr>
    <w:rPr>
      <w:rFonts w:eastAsia="Times New Roman"/>
      <w:b/>
      <w:u w:val="single"/>
      <w:lang w:eastAsia="en-GB"/>
    </w:rPr>
  </w:style>
  <w:style w:type="paragraph" w:customStyle="1" w:styleId="Exposdesmotifstitreglobal">
    <w:name w:val="Exposé des motifs titre (global)"/>
    <w:basedOn w:val="Normal"/>
    <w:next w:val="Normal"/>
    <w:rsid w:val="001A62D7"/>
    <w:pPr>
      <w:jc w:val="center"/>
    </w:pPr>
    <w:rPr>
      <w:rFonts w:eastAsia="Times New Roman"/>
      <w:b/>
      <w:u w:val="single"/>
      <w:lang w:eastAsia="en-GB"/>
    </w:rPr>
  </w:style>
  <w:style w:type="paragraph" w:customStyle="1" w:styleId="Langueoriginale">
    <w:name w:val="Langue originale"/>
    <w:basedOn w:val="Normal"/>
    <w:rsid w:val="001A62D7"/>
    <w:pPr>
      <w:spacing w:before="360"/>
      <w:jc w:val="center"/>
    </w:pPr>
    <w:rPr>
      <w:rFonts w:eastAsia="Times New Roman"/>
      <w:caps/>
      <w:lang w:eastAsia="en-GB"/>
    </w:rPr>
  </w:style>
  <w:style w:type="paragraph" w:customStyle="1" w:styleId="Phrasefinale">
    <w:name w:val="Phrase finale"/>
    <w:basedOn w:val="Normal"/>
    <w:next w:val="Normal"/>
    <w:rsid w:val="001A62D7"/>
    <w:pPr>
      <w:spacing w:before="360" w:after="0"/>
      <w:jc w:val="center"/>
    </w:pPr>
    <w:rPr>
      <w:rFonts w:eastAsia="Times New Roman"/>
      <w:lang w:eastAsia="en-GB"/>
    </w:rPr>
  </w:style>
  <w:style w:type="paragraph" w:customStyle="1" w:styleId="Prliminairetitre">
    <w:name w:val="Préliminaire titre"/>
    <w:basedOn w:val="Normal"/>
    <w:next w:val="Normal"/>
    <w:rsid w:val="001A62D7"/>
    <w:pPr>
      <w:spacing w:before="360" w:after="360"/>
      <w:jc w:val="center"/>
    </w:pPr>
    <w:rPr>
      <w:rFonts w:eastAsia="Times New Roman"/>
      <w:b/>
      <w:lang w:eastAsia="en-GB"/>
    </w:rPr>
  </w:style>
  <w:style w:type="paragraph" w:customStyle="1" w:styleId="Prliminairetype">
    <w:name w:val="Préliminaire type"/>
    <w:basedOn w:val="Normal"/>
    <w:next w:val="Normal"/>
    <w:rsid w:val="001A62D7"/>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1A62D7"/>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1A62D7"/>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1A62D7"/>
    <w:pPr>
      <w:spacing w:before="0" w:after="0"/>
      <w:ind w:left="5103"/>
      <w:jc w:val="left"/>
    </w:pPr>
    <w:rPr>
      <w:rFonts w:eastAsia="Times New Roman"/>
      <w:lang w:eastAsia="en-GB"/>
    </w:rPr>
  </w:style>
  <w:style w:type="paragraph" w:customStyle="1" w:styleId="Sous-titreobjetprliminaire">
    <w:name w:val="Sous-titre objet (préliminaire)"/>
    <w:basedOn w:val="Normal"/>
    <w:rsid w:val="001A62D7"/>
    <w:pPr>
      <w:spacing w:before="0" w:after="0"/>
      <w:jc w:val="center"/>
    </w:pPr>
    <w:rPr>
      <w:rFonts w:eastAsia="Times New Roman"/>
      <w:b/>
      <w:lang w:eastAsia="en-GB"/>
    </w:rPr>
  </w:style>
  <w:style w:type="paragraph" w:customStyle="1" w:styleId="Statutprliminaire">
    <w:name w:val="Statut (préliminaire)"/>
    <w:basedOn w:val="Normal"/>
    <w:next w:val="Normal"/>
    <w:rsid w:val="001A62D7"/>
    <w:pPr>
      <w:spacing w:before="360" w:after="0"/>
      <w:jc w:val="center"/>
    </w:pPr>
    <w:rPr>
      <w:rFonts w:eastAsia="Times New Roman"/>
      <w:lang w:eastAsia="en-GB"/>
    </w:rPr>
  </w:style>
  <w:style w:type="paragraph" w:customStyle="1" w:styleId="Titreobjetprliminaire">
    <w:name w:val="Titre objet (préliminaire)"/>
    <w:basedOn w:val="Normal"/>
    <w:next w:val="Normal"/>
    <w:rsid w:val="001A62D7"/>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1A62D7"/>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1A62D7"/>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1A62D7"/>
    <w:pPr>
      <w:jc w:val="center"/>
    </w:pPr>
    <w:rPr>
      <w:rFonts w:eastAsia="Times New Roman"/>
      <w:b/>
      <w:u w:val="single"/>
      <w:lang w:eastAsia="en-GB"/>
    </w:rPr>
  </w:style>
  <w:style w:type="paragraph" w:customStyle="1" w:styleId="Fichefinanciretravailtitre">
    <w:name w:val="Fiche financière (travail) titre"/>
    <w:basedOn w:val="Normal"/>
    <w:next w:val="Normal"/>
    <w:rsid w:val="001A62D7"/>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1A62D7"/>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1A62D7"/>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1A62D7"/>
    <w:pPr>
      <w:jc w:val="center"/>
    </w:pPr>
    <w:rPr>
      <w:rFonts w:eastAsia="Times New Roman"/>
      <w:b/>
      <w:u w:val="single"/>
      <w:lang w:eastAsia="en-GB"/>
    </w:rPr>
  </w:style>
  <w:style w:type="character" w:styleId="CommentReference">
    <w:name w:val="annotation reference"/>
    <w:uiPriority w:val="99"/>
    <w:rsid w:val="001A62D7"/>
    <w:rPr>
      <w:rFonts w:cs="Times New Roman"/>
      <w:sz w:val="16"/>
      <w:szCs w:val="16"/>
    </w:rPr>
  </w:style>
  <w:style w:type="paragraph" w:styleId="CommentText">
    <w:name w:val="annotation text"/>
    <w:basedOn w:val="Normal"/>
    <w:link w:val="CommentTextChar"/>
    <w:uiPriority w:val="99"/>
    <w:rsid w:val="001A62D7"/>
    <w:rPr>
      <w:rFonts w:eastAsia="Times New Roman"/>
      <w:sz w:val="20"/>
      <w:szCs w:val="20"/>
      <w:lang w:eastAsia="en-GB"/>
    </w:rPr>
  </w:style>
  <w:style w:type="character" w:customStyle="1" w:styleId="CommentTextChar">
    <w:name w:val="Comment Text Char"/>
    <w:basedOn w:val="DefaultParagraphFont"/>
    <w:link w:val="CommentText"/>
    <w:uiPriority w:val="99"/>
    <w:rsid w:val="001A62D7"/>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sid w:val="001A62D7"/>
    <w:rPr>
      <w:b/>
      <w:bCs/>
    </w:rPr>
  </w:style>
  <w:style w:type="character" w:customStyle="1" w:styleId="CommentSubjectChar">
    <w:name w:val="Comment Subject Char"/>
    <w:basedOn w:val="CommentTextChar"/>
    <w:link w:val="CommentSubject"/>
    <w:uiPriority w:val="99"/>
    <w:rsid w:val="001A62D7"/>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uiPriority w:val="99"/>
    <w:rsid w:val="001A62D7"/>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sid w:val="001A62D7"/>
    <w:rPr>
      <w:rFonts w:ascii="Tahoma" w:eastAsia="Times New Roman" w:hAnsi="Tahoma" w:cs="Tahoma"/>
      <w:sz w:val="16"/>
      <w:szCs w:val="16"/>
      <w:lang w:val="fr-FR" w:eastAsia="en-GB"/>
    </w:rPr>
  </w:style>
  <w:style w:type="paragraph" w:styleId="Caption">
    <w:name w:val="caption"/>
    <w:basedOn w:val="Normal"/>
    <w:next w:val="Normal"/>
    <w:uiPriority w:val="35"/>
    <w:qFormat/>
    <w:rsid w:val="001A62D7"/>
    <w:rPr>
      <w:rFonts w:eastAsia="Times New Roman"/>
      <w:b/>
      <w:bCs/>
      <w:sz w:val="20"/>
      <w:szCs w:val="20"/>
      <w:lang w:eastAsia="en-GB"/>
    </w:rPr>
  </w:style>
  <w:style w:type="paragraph" w:styleId="TableofFigures">
    <w:name w:val="table of figures"/>
    <w:basedOn w:val="Normal"/>
    <w:next w:val="Normal"/>
    <w:uiPriority w:val="99"/>
    <w:rsid w:val="001A62D7"/>
    <w:rPr>
      <w:rFonts w:eastAsia="Times New Roman"/>
      <w:lang w:eastAsia="en-GB"/>
    </w:rPr>
  </w:style>
  <w:style w:type="character" w:styleId="PageNumber">
    <w:name w:val="page number"/>
    <w:rsid w:val="001A62D7"/>
  </w:style>
  <w:style w:type="character" w:customStyle="1" w:styleId="tw4winMark">
    <w:name w:val="tw4winMark"/>
    <w:rsid w:val="001A62D7"/>
    <w:rPr>
      <w:vanish/>
      <w:color w:val="800080"/>
      <w:vertAlign w:val="subscript"/>
    </w:rPr>
  </w:style>
  <w:style w:type="character" w:styleId="FollowedHyperlink">
    <w:name w:val="FollowedHyperlink"/>
    <w:rsid w:val="001A62D7"/>
    <w:rPr>
      <w:color w:val="800080"/>
      <w:u w:val="single"/>
    </w:rPr>
  </w:style>
  <w:style w:type="paragraph" w:customStyle="1" w:styleId="Sous-titreobjet">
    <w:name w:val="Sous-titre objet"/>
    <w:basedOn w:val="Normal"/>
    <w:rsid w:val="001A62D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A62D7"/>
  </w:style>
  <w:style w:type="paragraph" w:styleId="Revision">
    <w:name w:val="Revision"/>
    <w:hidden/>
    <w:uiPriority w:val="99"/>
    <w:semiHidden/>
    <w:rsid w:val="001A62D7"/>
    <w:rPr>
      <w:rFonts w:ascii="Calibri" w:eastAsia="Calibri" w:hAnsi="Calibri" w:cs="Times New Roman"/>
      <w:sz w:val="24"/>
      <w:lang w:eastAsia="en-GB"/>
    </w:rPr>
  </w:style>
  <w:style w:type="paragraph" w:customStyle="1" w:styleId="FooterCoverPage">
    <w:name w:val="Footer Cover Page"/>
    <w:basedOn w:val="Normal"/>
    <w:link w:val="FooterCoverPageChar"/>
    <w:rsid w:val="001A62D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A62D7"/>
    <w:rPr>
      <w:rFonts w:ascii="Times New Roman" w:hAnsi="Times New Roman" w:cs="Times New Roman"/>
      <w:b/>
      <w:sz w:val="28"/>
      <w:lang w:val="fr-FR"/>
    </w:rPr>
  </w:style>
  <w:style w:type="character" w:customStyle="1" w:styleId="FooterCoverPageChar">
    <w:name w:val="Footer Cover Page Char"/>
    <w:link w:val="FooterCoverPage"/>
    <w:rsid w:val="001A62D7"/>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1A62D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A62D7"/>
    <w:rPr>
      <w:rFonts w:ascii="Times New Roman" w:eastAsia="Calibri" w:hAnsi="Times New Roman" w:cs="Times New Roman"/>
      <w:sz w:val="24"/>
      <w:lang w:val="fr-FR" w:eastAsia="en-GB"/>
    </w:rPr>
  </w:style>
  <w:style w:type="character" w:customStyle="1" w:styleId="FooterSensitivityChar">
    <w:name w:val="Footer Sensitivity Char"/>
    <w:rsid w:val="001A62D7"/>
    <w:rPr>
      <w:rFonts w:ascii="Times New Roman" w:hAnsi="Times New Roman" w:cs="Times New Roman"/>
      <w:b/>
      <w:sz w:val="32"/>
      <w:lang w:val="fr-FR"/>
    </w:rPr>
  </w:style>
  <w:style w:type="character" w:customStyle="1" w:styleId="HeaderSensitivityChar">
    <w:name w:val="Header Sensitivity Char"/>
    <w:rsid w:val="001A62D7"/>
    <w:rPr>
      <w:rFonts w:ascii="Times New Roman" w:hAnsi="Times New Roman" w:cs="Times New Roman"/>
      <w:b/>
      <w:sz w:val="32"/>
      <w:lang w:val="fr-FR"/>
    </w:rPr>
  </w:style>
  <w:style w:type="character" w:customStyle="1" w:styleId="HeaderSensitivityRightChar">
    <w:name w:val="Header Sensitivity Right Char"/>
    <w:rsid w:val="001A62D7"/>
    <w:rPr>
      <w:rFonts w:ascii="Times New Roman" w:hAnsi="Times New Roman" w:cs="Times New Roman"/>
      <w:sz w:val="28"/>
      <w:lang w:val="fr-FR"/>
    </w:rPr>
  </w:style>
  <w:style w:type="paragraph" w:customStyle="1" w:styleId="LegalNumPar">
    <w:name w:val="LegalNumPar"/>
    <w:basedOn w:val="Normal"/>
    <w:rsid w:val="001A62D7"/>
    <w:pPr>
      <w:numPr>
        <w:numId w:val="16"/>
      </w:numPr>
      <w:spacing w:line="360" w:lineRule="auto"/>
    </w:pPr>
    <w:rPr>
      <w:rFonts w:eastAsia="Times New Roman"/>
      <w:lang w:eastAsia="en-GB"/>
    </w:rPr>
  </w:style>
  <w:style w:type="paragraph" w:customStyle="1" w:styleId="LegalNumPar2">
    <w:name w:val="LegalNumPar2"/>
    <w:basedOn w:val="Normal"/>
    <w:rsid w:val="001A62D7"/>
    <w:pPr>
      <w:numPr>
        <w:ilvl w:val="1"/>
        <w:numId w:val="16"/>
      </w:numPr>
      <w:spacing w:line="360" w:lineRule="auto"/>
    </w:pPr>
    <w:rPr>
      <w:rFonts w:eastAsia="Times New Roman"/>
      <w:lang w:eastAsia="en-GB"/>
    </w:rPr>
  </w:style>
  <w:style w:type="paragraph" w:customStyle="1" w:styleId="LegalNumPar3">
    <w:name w:val="LegalNumPar3"/>
    <w:basedOn w:val="Normal"/>
    <w:rsid w:val="001A62D7"/>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1A62D7"/>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1A62D7"/>
    <w:rPr>
      <w:color w:val="605E5C"/>
      <w:shd w:val="clear" w:color="auto" w:fill="E1DFDD"/>
    </w:rPr>
  </w:style>
  <w:style w:type="character" w:styleId="Strong">
    <w:name w:val="Strong"/>
    <w:basedOn w:val="DefaultParagraphFont"/>
    <w:qFormat/>
    <w:rsid w:val="001A62D7"/>
    <w:rPr>
      <w:b/>
      <w:bCs/>
    </w:rPr>
  </w:style>
  <w:style w:type="character" w:styleId="Emphasis">
    <w:name w:val="Emphasis"/>
    <w:basedOn w:val="DefaultParagraphFont"/>
    <w:qFormat/>
    <w:rsid w:val="001A62D7"/>
    <w:rPr>
      <w:i/>
      <w:iCs/>
    </w:rPr>
  </w:style>
  <w:style w:type="character" w:customStyle="1" w:styleId="Mention1">
    <w:name w:val="Mention1"/>
    <w:basedOn w:val="DefaultParagraphFont"/>
    <w:uiPriority w:val="99"/>
    <w:unhideWhenUsed/>
    <w:rsid w:val="001A62D7"/>
    <w:rPr>
      <w:color w:val="2B579A"/>
      <w:shd w:val="clear" w:color="auto" w:fill="E1DFDD"/>
    </w:rPr>
  </w:style>
  <w:style w:type="character" w:customStyle="1" w:styleId="normaltextrun">
    <w:name w:val="normaltextrun"/>
    <w:basedOn w:val="DefaultParagraphFont"/>
    <w:rsid w:val="001A62D7"/>
  </w:style>
  <w:style w:type="character" w:customStyle="1" w:styleId="eop">
    <w:name w:val="eop"/>
    <w:basedOn w:val="DefaultParagraphFont"/>
    <w:rsid w:val="001A62D7"/>
  </w:style>
  <w:style w:type="character" w:customStyle="1" w:styleId="viiyi">
    <w:name w:val="viiyi"/>
    <w:basedOn w:val="DefaultParagraphFont"/>
    <w:rsid w:val="001A62D7"/>
  </w:style>
  <w:style w:type="character" w:customStyle="1" w:styleId="jlqj4b">
    <w:name w:val="jlqj4b"/>
    <w:basedOn w:val="DefaultParagraphFont"/>
    <w:rsid w:val="001A62D7"/>
  </w:style>
  <w:style w:type="paragraph" w:styleId="ListBullet5">
    <w:name w:val="List Bullet 5"/>
    <w:basedOn w:val="Normal"/>
    <w:uiPriority w:val="99"/>
    <w:unhideWhenUsed/>
    <w:rsid w:val="00BF6BC2"/>
    <w:pPr>
      <w:tabs>
        <w:tab w:val="num" w:pos="1492"/>
      </w:tabs>
      <w:ind w:left="1492" w:hanging="360"/>
      <w:contextualSpacing/>
    </w:pPr>
  </w:style>
  <w:style w:type="character" w:customStyle="1" w:styleId="UnresolvedMention">
    <w:name w:val="Unresolved Mention"/>
    <w:basedOn w:val="DefaultParagraphFont"/>
    <w:uiPriority w:val="99"/>
    <w:semiHidden/>
    <w:unhideWhenUsed/>
    <w:rsid w:val="0081312F"/>
    <w:rPr>
      <w:color w:val="605E5C"/>
      <w:shd w:val="clear" w:color="auto" w:fill="E1DFDD"/>
    </w:rPr>
  </w:style>
  <w:style w:type="character" w:customStyle="1" w:styleId="HeaderChar">
    <w:name w:val="Header Char"/>
    <w:basedOn w:val="DefaultParagraphFont"/>
    <w:link w:val="Header"/>
    <w:uiPriority w:val="99"/>
    <w:rsid w:val="00A8653B"/>
    <w:rPr>
      <w:rFonts w:ascii="Times New Roman" w:hAnsi="Times New Roman" w:cs="Times New Roman"/>
      <w:sz w:val="24"/>
      <w:lang w:val="fr-FR"/>
    </w:rPr>
  </w:style>
  <w:style w:type="character" w:customStyle="1" w:styleId="FooterChar">
    <w:name w:val="Footer Char"/>
    <w:basedOn w:val="DefaultParagraphFont"/>
    <w:link w:val="Footer"/>
    <w:uiPriority w:val="99"/>
    <w:rsid w:val="00A8653B"/>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8653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8653B"/>
    <w:pPr>
      <w:spacing w:before="0"/>
      <w:jc w:val="right"/>
    </w:pPr>
    <w:rPr>
      <w:sz w:val="28"/>
    </w:rPr>
  </w:style>
  <w:style w:type="paragraph" w:customStyle="1" w:styleId="FooterSensitivity">
    <w:name w:val="Footer Sensitivity"/>
    <w:basedOn w:val="Normal"/>
    <w:rsid w:val="00A8653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8"/>
      </w:numPr>
    </w:pPr>
  </w:style>
  <w:style w:type="paragraph" w:customStyle="1" w:styleId="Tiret1">
    <w:name w:val="Tiret 1"/>
    <w:basedOn w:val="Point1"/>
    <w:pPr>
      <w:numPr>
        <w:numId w:val="19"/>
      </w:numPr>
    </w:pPr>
  </w:style>
  <w:style w:type="paragraph" w:customStyle="1" w:styleId="Tiret2">
    <w:name w:val="Tiret 2"/>
    <w:basedOn w:val="Point2"/>
    <w:pPr>
      <w:numPr>
        <w:numId w:val="20"/>
      </w:numPr>
    </w:pPr>
  </w:style>
  <w:style w:type="paragraph" w:customStyle="1" w:styleId="Tiret3">
    <w:name w:val="Tiret 3"/>
    <w:basedOn w:val="Point3"/>
    <w:pPr>
      <w:numPr>
        <w:numId w:val="21"/>
      </w:numPr>
    </w:pPr>
  </w:style>
  <w:style w:type="paragraph" w:customStyle="1" w:styleId="Tiret4">
    <w:name w:val="Tiret 4"/>
    <w:basedOn w:val="Point4"/>
    <w:pPr>
      <w:numPr>
        <w:numId w:val="22"/>
      </w:numPr>
    </w:pPr>
  </w:style>
  <w:style w:type="paragraph" w:customStyle="1" w:styleId="Tiret5">
    <w:name w:val="Tiret 5"/>
    <w:basedOn w:val="Point5"/>
    <w:pPr>
      <w:numPr>
        <w:numId w:val="2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4"/>
      </w:numPr>
    </w:pPr>
  </w:style>
  <w:style w:type="paragraph" w:customStyle="1" w:styleId="NumPar2">
    <w:name w:val="NumPar 2"/>
    <w:basedOn w:val="Normal"/>
    <w:next w:val="Text1"/>
    <w:pPr>
      <w:numPr>
        <w:ilvl w:val="1"/>
        <w:numId w:val="24"/>
      </w:numPr>
    </w:pPr>
  </w:style>
  <w:style w:type="paragraph" w:customStyle="1" w:styleId="NumPar3">
    <w:name w:val="NumPar 3"/>
    <w:basedOn w:val="Normal"/>
    <w:next w:val="Text1"/>
    <w:pPr>
      <w:numPr>
        <w:ilvl w:val="2"/>
        <w:numId w:val="24"/>
      </w:numPr>
    </w:pPr>
  </w:style>
  <w:style w:type="paragraph" w:customStyle="1" w:styleId="NumPar4">
    <w:name w:val="NumPar 4"/>
    <w:basedOn w:val="Normal"/>
    <w:next w:val="Text1"/>
    <w:pPr>
      <w:numPr>
        <w:ilvl w:val="3"/>
        <w:numId w:val="24"/>
      </w:numPr>
    </w:pPr>
  </w:style>
  <w:style w:type="paragraph" w:customStyle="1" w:styleId="NumPar5">
    <w:name w:val="NumPar 5"/>
    <w:basedOn w:val="Normal"/>
    <w:next w:val="Text2"/>
    <w:pPr>
      <w:numPr>
        <w:ilvl w:val="4"/>
        <w:numId w:val="24"/>
      </w:numPr>
    </w:pPr>
  </w:style>
  <w:style w:type="paragraph" w:customStyle="1" w:styleId="NumPar6">
    <w:name w:val="NumPar 6"/>
    <w:basedOn w:val="Normal"/>
    <w:next w:val="Text2"/>
    <w:pPr>
      <w:numPr>
        <w:ilvl w:val="5"/>
        <w:numId w:val="24"/>
      </w:numPr>
    </w:pPr>
  </w:style>
  <w:style w:type="paragraph" w:customStyle="1" w:styleId="NumPar7">
    <w:name w:val="NumPar 7"/>
    <w:basedOn w:val="Normal"/>
    <w:next w:val="Text2"/>
    <w:pPr>
      <w:numPr>
        <w:ilvl w:val="6"/>
        <w:numId w:val="2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6"/>
      </w:numPr>
    </w:pPr>
  </w:style>
  <w:style w:type="paragraph" w:customStyle="1" w:styleId="Point1number">
    <w:name w:val="Point 1 (number)"/>
    <w:basedOn w:val="Normal"/>
    <w:pPr>
      <w:numPr>
        <w:ilvl w:val="2"/>
        <w:numId w:val="26"/>
      </w:numPr>
    </w:pPr>
  </w:style>
  <w:style w:type="paragraph" w:customStyle="1" w:styleId="Point2number">
    <w:name w:val="Point 2 (number)"/>
    <w:basedOn w:val="Normal"/>
    <w:pPr>
      <w:numPr>
        <w:ilvl w:val="4"/>
        <w:numId w:val="26"/>
      </w:numPr>
    </w:pPr>
  </w:style>
  <w:style w:type="paragraph" w:customStyle="1" w:styleId="Point3number">
    <w:name w:val="Point 3 (number)"/>
    <w:basedOn w:val="Normal"/>
    <w:pPr>
      <w:numPr>
        <w:ilvl w:val="6"/>
        <w:numId w:val="26"/>
      </w:numPr>
    </w:pPr>
  </w:style>
  <w:style w:type="paragraph" w:customStyle="1" w:styleId="Point0letter">
    <w:name w:val="Point 0 (letter)"/>
    <w:basedOn w:val="Normal"/>
    <w:pPr>
      <w:numPr>
        <w:ilvl w:val="1"/>
        <w:numId w:val="26"/>
      </w:numPr>
    </w:pPr>
  </w:style>
  <w:style w:type="paragraph" w:customStyle="1" w:styleId="Point1letter">
    <w:name w:val="Point 1 (letter)"/>
    <w:basedOn w:val="Normal"/>
    <w:pPr>
      <w:numPr>
        <w:ilvl w:val="3"/>
        <w:numId w:val="26"/>
      </w:numPr>
    </w:pPr>
  </w:style>
  <w:style w:type="paragraph" w:customStyle="1" w:styleId="Point2letter">
    <w:name w:val="Point 2 (letter)"/>
    <w:basedOn w:val="Normal"/>
    <w:pPr>
      <w:numPr>
        <w:ilvl w:val="5"/>
        <w:numId w:val="26"/>
      </w:numPr>
    </w:pPr>
  </w:style>
  <w:style w:type="paragraph" w:customStyle="1" w:styleId="Point3letter">
    <w:name w:val="Point 3 (letter)"/>
    <w:basedOn w:val="Normal"/>
    <w:pPr>
      <w:numPr>
        <w:ilvl w:val="7"/>
        <w:numId w:val="26"/>
      </w:numPr>
    </w:pPr>
  </w:style>
  <w:style w:type="paragraph" w:customStyle="1" w:styleId="Point4letter">
    <w:name w:val="Point 4 (letter)"/>
    <w:basedOn w:val="Normal"/>
    <w:pPr>
      <w:numPr>
        <w:ilvl w:val="8"/>
        <w:numId w:val="26"/>
      </w:numPr>
    </w:pPr>
  </w:style>
  <w:style w:type="paragraph" w:customStyle="1" w:styleId="Bullet0">
    <w:name w:val="Bullet 0"/>
    <w:basedOn w:val="Normal"/>
    <w:pPr>
      <w:numPr>
        <w:numId w:val="27"/>
      </w:numPr>
    </w:pPr>
  </w:style>
  <w:style w:type="paragraph" w:customStyle="1" w:styleId="Bullet1">
    <w:name w:val="Bullet 1"/>
    <w:basedOn w:val="Normal"/>
    <w:pPr>
      <w:numPr>
        <w:numId w:val="28"/>
      </w:numPr>
    </w:pPr>
  </w:style>
  <w:style w:type="paragraph" w:customStyle="1" w:styleId="Bullet2">
    <w:name w:val="Bullet 2"/>
    <w:basedOn w:val="Normal"/>
    <w:pPr>
      <w:numPr>
        <w:numId w:val="29"/>
      </w:numPr>
    </w:pPr>
  </w:style>
  <w:style w:type="paragraph" w:customStyle="1" w:styleId="Bullet3">
    <w:name w:val="Bullet 3"/>
    <w:basedOn w:val="Normal"/>
    <w:pPr>
      <w:numPr>
        <w:numId w:val="30"/>
      </w:numPr>
    </w:pPr>
  </w:style>
  <w:style w:type="paragraph" w:customStyle="1" w:styleId="Bullet4">
    <w:name w:val="Bullet 4"/>
    <w:basedOn w:val="Normal"/>
    <w:pPr>
      <w:numPr>
        <w:numId w:val="3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8653B"/>
    <w:pPr>
      <w:tabs>
        <w:tab w:val="center" w:pos="4535"/>
        <w:tab w:val="right" w:pos="9071"/>
      </w:tabs>
      <w:spacing w:before="0"/>
    </w:pPr>
  </w:style>
  <w:style w:type="paragraph" w:customStyle="1" w:styleId="HeaderLandscape">
    <w:name w:val="HeaderLandscape"/>
    <w:basedOn w:val="Normal"/>
    <w:rsid w:val="00A8653B"/>
    <w:pPr>
      <w:tabs>
        <w:tab w:val="center" w:pos="7285"/>
        <w:tab w:val="right" w:pos="14003"/>
      </w:tabs>
      <w:spacing w:before="0"/>
    </w:pPr>
  </w:style>
  <w:style w:type="paragraph" w:styleId="Footer">
    <w:name w:val="footer"/>
    <w:basedOn w:val="Normal"/>
    <w:link w:val="FooterChar"/>
    <w:uiPriority w:val="99"/>
    <w:unhideWhenUsed/>
    <w:rsid w:val="00A8653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8653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ec.europa.eu/egf" TargetMode="External"/><Relationship Id="rId1" Type="http://schemas.openxmlformats.org/officeDocument/2006/relationships/hyperlink" Target="http://data.europa.eu/eli/reg/2021/69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5E5C36-916F-46A8-900B-9AF41CFA78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3319FC-0260-4D86-81D8-007DB9C72E58}">
  <ds:schemaRefs>
    <ds:schemaRef ds:uri="144c03d0-0f03-451f-9d46-5279004462a4"/>
    <ds:schemaRef ds:uri="http://schemas.microsoft.com/sharepoint/v3/fields"/>
    <ds:schemaRef ds:uri="http://purl.org/dc/elements/1.1/"/>
    <ds:schemaRef ds:uri="http://purl.org/dc/dcmitype/"/>
    <ds:schemaRef ds:uri="http://www.w3.org/XML/1998/namespace"/>
    <ds:schemaRef ds:uri="http://schemas.microsoft.com/office/infopath/2007/PartnerControls"/>
    <ds:schemaRef ds:uri="http://schemas.openxmlformats.org/package/2006/metadata/core-properties"/>
    <ds:schemaRef ds:uri="http://schemas.microsoft.com/office/2006/documentManagement/types"/>
    <ds:schemaRef ds:uri="f7bb8512-91eb-4bfd-be42-d6f021407e9a"/>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CA6824A5-D313-4695-B110-A2F5977D8BB4}">
  <ds:schemaRefs>
    <ds:schemaRef ds:uri="http://schemas.microsoft.com/sharepoint/v3/contenttype/forms"/>
  </ds:schemaRefs>
</ds:datastoreItem>
</file>

<file path=customXml/itemProps4.xml><?xml version="1.0" encoding="utf-8"?>
<ds:datastoreItem xmlns:ds="http://schemas.openxmlformats.org/officeDocument/2006/customXml" ds:itemID="{AD7D7C41-8B62-4C74-81B9-871BB207E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16</TotalTime>
  <Pages>6</Pages>
  <Words>1440</Words>
  <Characters>8208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32</cp:revision>
  <dcterms:created xsi:type="dcterms:W3CDTF">2026-04-24T13:43:00Z</dcterms:created>
  <dcterms:modified xsi:type="dcterms:W3CDTF">2026-05-19T06:26:00Z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2025-02-03T12:15:49Z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56910240-6c56-4989-8e01-d1db357c2268</vt:lpwstr>
  </property>
  <property fmtid="{D5CDD505-2E9C-101B-9397-08002B2CF9AE}" pid="16" name="MSIP_Label_6bd9ddd1-4d20-43f6-abfa-fc3c07406f94_ContentBits">
    <vt:lpwstr>0</vt:lpwstr>
  </property>
  <property fmtid="{D5CDD505-2E9C-101B-9397-08002B2CF9AE}" pid="17" name="ContentTypeId">
    <vt:lpwstr>0x010100BAD999D84E12C74482EA5120F5227F6F00217DECAAC21D6B43958DFE68658C192E</vt:lpwstr>
  </property>
  <property fmtid="{D5CDD505-2E9C-101B-9397-08002B2CF9AE}" pid="18" name="MediaServiceImageTags">
    <vt:lpwstr/>
  </property>
  <property fmtid="{D5CDD505-2E9C-101B-9397-08002B2CF9AE}" pid="19" name="DQCStatus">
    <vt:lpwstr>Green (DQC version 03)</vt:lpwstr>
  </property>
</Properties>
</file>