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28499" w14:textId="4B3A3C68" w:rsidR="001A62D7" w:rsidRPr="003C5C7D" w:rsidRDefault="001214F9" w:rsidP="001214F9">
      <w:pPr>
        <w:pStyle w:val="Pagedecouverture"/>
        <w:rPr>
          <w:noProof/>
        </w:rPr>
      </w:pPr>
      <w:r>
        <w:rPr>
          <w:noProof/>
        </w:rPr>
        <w:pict w14:anchorId="3FAAF4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5EEB1C5-E056-4C7A-A4DE-893A196C81A0" style="width:455.25pt;height:342.75pt">
            <v:imagedata r:id="rId11" o:title=""/>
          </v:shape>
        </w:pict>
      </w:r>
    </w:p>
    <w:p w14:paraId="46A5BA5F" w14:textId="77777777" w:rsidR="001A62D7" w:rsidRPr="003C5C7D" w:rsidRDefault="001A62D7" w:rsidP="001A62D7">
      <w:pPr>
        <w:rPr>
          <w:noProof/>
        </w:rPr>
        <w:sectPr w:rsidR="001A62D7" w:rsidRPr="003C5C7D" w:rsidSect="001214F9">
          <w:footerReference w:type="even" r:id="rId12"/>
          <w:footerReference w:type="default" r:id="rId13"/>
          <w:pgSz w:w="11907" w:h="16839"/>
          <w:pgMar w:top="1134" w:right="1417" w:bottom="1134" w:left="1417" w:header="709" w:footer="709" w:gutter="0"/>
          <w:pgNumType w:start="0"/>
          <w:cols w:space="720"/>
          <w:docGrid w:linePitch="360"/>
        </w:sectPr>
      </w:pPr>
    </w:p>
    <w:p w14:paraId="5EEBB1B7" w14:textId="77777777" w:rsidR="001A62D7" w:rsidRPr="003C5C7D" w:rsidRDefault="001A62D7" w:rsidP="001A62D7">
      <w:pPr>
        <w:pStyle w:val="Exposdesmotifstitre"/>
        <w:rPr>
          <w:noProof/>
        </w:rPr>
      </w:pPr>
      <w:bookmarkStart w:id="0" w:name="_GoBack"/>
      <w:bookmarkEnd w:id="0"/>
      <w:r w:rsidRPr="003C5C7D">
        <w:rPr>
          <w:noProof/>
        </w:rPr>
        <w:lastRenderedPageBreak/>
        <w:t>EXPUNERE DE MOTIVE</w:t>
      </w:r>
    </w:p>
    <w:p w14:paraId="130DA634" w14:textId="77777777" w:rsidR="00BF6BC2" w:rsidRPr="003C5C7D" w:rsidRDefault="00BF6BC2" w:rsidP="00BF6BC2">
      <w:pPr>
        <w:rPr>
          <w:noProof/>
        </w:rPr>
      </w:pPr>
      <w:r w:rsidRPr="003C5C7D">
        <w:rPr>
          <w:noProof/>
        </w:rPr>
        <w:t>Normele aplicabile contribuțiilor financiare din Fondul european de ajustare la globalizare pentru lucrătorii disponibilizați (FEG) sunt prevăzute în Regulamentul (UE) 2021/691 al Parlamentului European și al Consiliului din 28 aprilie 2021 privind Fondul european de ajustare la globalizare pentru lucrătorii disponibilizați (FEG) și de abrogare a Regulamentului (UE) nr. 1309/2013</w:t>
      </w:r>
      <w:r w:rsidRPr="003C5C7D">
        <w:rPr>
          <w:rStyle w:val="FootnoteReference"/>
          <w:noProof/>
        </w:rPr>
        <w:footnoteReference w:id="1"/>
      </w:r>
      <w:r w:rsidRPr="003C5C7D">
        <w:rPr>
          <w:noProof/>
        </w:rPr>
        <w:t xml:space="preserve"> (denumit în continuare „Regulamentul privind FEG”).</w:t>
      </w:r>
    </w:p>
    <w:p w14:paraId="0DADE1E0" w14:textId="77777777" w:rsidR="00BF6BC2" w:rsidRPr="003C5C7D" w:rsidRDefault="00BF6BC2" w:rsidP="00BF6BC2">
      <w:pPr>
        <w:pStyle w:val="ManualHeading1"/>
        <w:rPr>
          <w:noProof/>
        </w:rPr>
      </w:pPr>
      <w:r w:rsidRPr="003C5C7D">
        <w:rPr>
          <w:noProof/>
        </w:rPr>
        <w:t>REZUMATUL CERERII</w:t>
      </w:r>
    </w:p>
    <w:p w14:paraId="62BEFEB4" w14:textId="77777777" w:rsidR="00BF6BC2" w:rsidRPr="003C5C7D" w:rsidRDefault="00BF6BC2" w:rsidP="00BF6BC2">
      <w:pPr>
        <w:pBdr>
          <w:top w:val="single" w:sz="4" w:space="1" w:color="auto"/>
          <w:left w:val="single" w:sz="4" w:space="4" w:color="auto"/>
          <w:bottom w:val="single" w:sz="4" w:space="1" w:color="auto"/>
          <w:right w:val="single" w:sz="4" w:space="4" w:color="auto"/>
          <w:between w:val="dotted" w:sz="4" w:space="1" w:color="auto"/>
        </w:pBdr>
        <w:rPr>
          <w:b/>
          <w:noProof/>
        </w:rPr>
      </w:pPr>
      <w:r w:rsidRPr="003C5C7D">
        <w:rPr>
          <w:b/>
          <w:noProof/>
        </w:rPr>
        <w:t>Date principale:</w:t>
      </w:r>
    </w:p>
    <w:p w14:paraId="543E1F4C" w14:textId="63EBBBA6" w:rsidR="00BF6BC2" w:rsidRPr="003C5C7D" w:rsidRDefault="00BF6BC2" w:rsidP="00BF6BC2">
      <w:pPr>
        <w:pBdr>
          <w:top w:val="single" w:sz="4" w:space="1" w:color="auto"/>
          <w:left w:val="single" w:sz="4" w:space="4" w:color="auto"/>
          <w:bottom w:val="single" w:sz="4" w:space="1" w:color="auto"/>
          <w:right w:val="single" w:sz="4" w:space="4" w:color="auto"/>
          <w:between w:val="dotted" w:sz="4" w:space="1" w:color="auto"/>
        </w:pBdr>
        <w:tabs>
          <w:tab w:val="right" w:pos="8880"/>
        </w:tabs>
        <w:spacing w:before="0" w:after="0"/>
        <w:rPr>
          <w:noProof/>
        </w:rPr>
      </w:pPr>
      <w:r w:rsidRPr="003C5C7D">
        <w:rPr>
          <w:noProof/>
        </w:rPr>
        <w:t>Numărul de referință FEG:</w:t>
      </w:r>
      <w:r w:rsidRPr="003C5C7D">
        <w:rPr>
          <w:noProof/>
        </w:rPr>
        <w:tab/>
        <w:t>EGF/2026/000</w:t>
      </w:r>
    </w:p>
    <w:p w14:paraId="6E4393A1" w14:textId="77777777" w:rsidR="00BF6BC2" w:rsidRPr="003C5C7D" w:rsidRDefault="00BF6BC2" w:rsidP="00BF6BC2">
      <w:pPr>
        <w:pBdr>
          <w:top w:val="single" w:sz="4" w:space="1" w:color="auto"/>
          <w:left w:val="single" w:sz="4" w:space="4" w:color="auto"/>
          <w:bottom w:val="single" w:sz="4" w:space="1" w:color="auto"/>
          <w:right w:val="single" w:sz="4" w:space="4" w:color="auto"/>
          <w:between w:val="dotted" w:sz="4" w:space="1" w:color="auto"/>
        </w:pBdr>
        <w:tabs>
          <w:tab w:val="right" w:pos="8880"/>
        </w:tabs>
        <w:spacing w:before="0" w:after="0"/>
        <w:rPr>
          <w:noProof/>
        </w:rPr>
      </w:pPr>
      <w:r w:rsidRPr="003C5C7D">
        <w:rPr>
          <w:noProof/>
        </w:rPr>
        <w:t>Comisia Europeană</w:t>
      </w:r>
      <w:r w:rsidRPr="003C5C7D">
        <w:rPr>
          <w:noProof/>
        </w:rPr>
        <w:tab/>
        <w:t>Asistență tehnică</w:t>
      </w:r>
    </w:p>
    <w:p w14:paraId="31836C58" w14:textId="71E87432" w:rsidR="00BF6BC2" w:rsidRPr="003C5C7D" w:rsidRDefault="00BF6BC2" w:rsidP="00BF6BC2">
      <w:pPr>
        <w:pBdr>
          <w:top w:val="single" w:sz="4" w:space="1" w:color="auto"/>
          <w:left w:val="single" w:sz="4" w:space="4" w:color="auto"/>
          <w:bottom w:val="single" w:sz="4" w:space="1" w:color="auto"/>
          <w:right w:val="single" w:sz="4" w:space="4" w:color="auto"/>
          <w:between w:val="dotted" w:sz="4" w:space="1" w:color="auto"/>
        </w:pBdr>
        <w:tabs>
          <w:tab w:val="right" w:pos="8880"/>
        </w:tabs>
        <w:spacing w:before="0" w:after="0"/>
        <w:rPr>
          <w:noProof/>
        </w:rPr>
      </w:pPr>
      <w:r w:rsidRPr="003C5C7D">
        <w:rPr>
          <w:noProof/>
        </w:rPr>
        <w:t>Cheltuieli administrative: buget în EUR</w:t>
      </w:r>
      <w:r w:rsidRPr="003C5C7D">
        <w:rPr>
          <w:noProof/>
        </w:rPr>
        <w:tab/>
        <w:t>210 000</w:t>
      </w:r>
    </w:p>
    <w:p w14:paraId="19E03254" w14:textId="29BD9627" w:rsidR="00BF6BC2" w:rsidRPr="003C5C7D" w:rsidRDefault="00BF6BC2" w:rsidP="00BF6BC2">
      <w:pPr>
        <w:pBdr>
          <w:top w:val="single" w:sz="4" w:space="1" w:color="auto"/>
          <w:left w:val="single" w:sz="4" w:space="4" w:color="auto"/>
          <w:bottom w:val="single" w:sz="4" w:space="1" w:color="auto"/>
          <w:right w:val="single" w:sz="4" w:space="4" w:color="auto"/>
          <w:between w:val="dotted" w:sz="4" w:space="1" w:color="auto"/>
        </w:pBdr>
        <w:tabs>
          <w:tab w:val="right" w:pos="8880"/>
        </w:tabs>
        <w:spacing w:before="0" w:after="0"/>
        <w:rPr>
          <w:noProof/>
        </w:rPr>
      </w:pPr>
      <w:r w:rsidRPr="003C5C7D">
        <w:rPr>
          <w:noProof/>
        </w:rPr>
        <w:t>% cheltuieli administrative (plafon: 1,5 %)</w:t>
      </w:r>
      <w:r w:rsidRPr="003C5C7D">
        <w:rPr>
          <w:noProof/>
        </w:rPr>
        <w:tab/>
        <w:t>0,60 %</w:t>
      </w:r>
    </w:p>
    <w:p w14:paraId="48F7897F" w14:textId="77777777" w:rsidR="00BF6BC2" w:rsidRPr="003C5C7D" w:rsidRDefault="00BF6BC2" w:rsidP="00BF6BC2">
      <w:pPr>
        <w:rPr>
          <w:noProof/>
        </w:rPr>
      </w:pPr>
    </w:p>
    <w:p w14:paraId="5B62A3D4" w14:textId="69362DD5" w:rsidR="00BF6BC2" w:rsidRPr="003C5C7D" w:rsidRDefault="00BF6BC2" w:rsidP="00BF6BC2">
      <w:pPr>
        <w:rPr>
          <w:noProof/>
        </w:rPr>
      </w:pPr>
      <w:r w:rsidRPr="003C5C7D">
        <w:rPr>
          <w:noProof/>
        </w:rPr>
        <w:t>În conformitate cu articolul 11 alineatul (1) din Regulamentul privind FEG, un procentaj maxim de 1,5 % din cuantumul anual maxim al FEG se poate aloca anual pentru asistență tehnică la inițiativa Comisiei.</w:t>
      </w:r>
    </w:p>
    <w:p w14:paraId="7233DBEC" w14:textId="77777777" w:rsidR="00BF6BC2" w:rsidRPr="003C5C7D" w:rsidRDefault="00BF6BC2" w:rsidP="00BF6BC2">
      <w:pPr>
        <w:rPr>
          <w:noProof/>
        </w:rPr>
      </w:pPr>
    </w:p>
    <w:p w14:paraId="4A88D9C1" w14:textId="77777777" w:rsidR="00BF6BC2" w:rsidRPr="003C5C7D" w:rsidRDefault="00BF6BC2" w:rsidP="00BF6BC2">
      <w:pPr>
        <w:rPr>
          <w:b/>
          <w:noProof/>
          <w:u w:val="single"/>
        </w:rPr>
      </w:pPr>
      <w:r w:rsidRPr="003C5C7D">
        <w:rPr>
          <w:b/>
          <w:noProof/>
          <w:u w:val="single"/>
        </w:rPr>
        <w:t>Asistența tehnică ce urmează a fi finanțată și defalcarea costurilor estimate aferente</w:t>
      </w:r>
    </w:p>
    <w:p w14:paraId="7F16A60A" w14:textId="77777777" w:rsidR="00BF6BC2" w:rsidRPr="003C5C7D" w:rsidRDefault="00BF6BC2" w:rsidP="00BF6BC2">
      <w:pPr>
        <w:pStyle w:val="ManualNumPar1"/>
        <w:rPr>
          <w:noProof/>
        </w:rPr>
      </w:pPr>
      <w:r w:rsidRPr="003C5C7D">
        <w:rPr>
          <w:noProof/>
        </w:rPr>
        <w:t>1.</w:t>
      </w:r>
      <w:r w:rsidRPr="003C5C7D">
        <w:rPr>
          <w:noProof/>
        </w:rPr>
        <w:tab/>
        <w:t>Contribuția va fi utilizată pentru acoperirea cheltuielilor prevăzute la articolul 11 alineatele (1) și (4) și la articolul 12 alineatele (2), (3) și (4) din Regulamentul privind FEG, conform modalităților expuse în continuare. Contribuția va fi gestionată de Comisia Europeană în cadrul gestiunii directe.</w:t>
      </w:r>
    </w:p>
    <w:p w14:paraId="22ECC12D" w14:textId="77777777" w:rsidR="00BF6BC2" w:rsidRPr="003C5C7D" w:rsidRDefault="00BF6BC2" w:rsidP="00BF6BC2">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394"/>
      </w:tblGrid>
      <w:tr w:rsidR="00BF6BC2" w:rsidRPr="003C5C7D" w14:paraId="642A5271" w14:textId="77777777" w:rsidTr="001D521D">
        <w:tc>
          <w:tcPr>
            <w:tcW w:w="4786" w:type="dxa"/>
            <w:shd w:val="clear" w:color="auto" w:fill="auto"/>
          </w:tcPr>
          <w:p w14:paraId="6FBB926B" w14:textId="77777777" w:rsidR="00BF6BC2" w:rsidRPr="003C5C7D" w:rsidRDefault="00BF6BC2" w:rsidP="001D521D">
            <w:pPr>
              <w:pStyle w:val="Text1"/>
              <w:ind w:left="0"/>
              <w:jc w:val="center"/>
              <w:rPr>
                <w:b/>
                <w:noProof/>
              </w:rPr>
            </w:pPr>
            <w:r w:rsidRPr="003C5C7D">
              <w:rPr>
                <w:b/>
                <w:noProof/>
              </w:rPr>
              <w:t>Descriere</w:t>
            </w:r>
          </w:p>
        </w:tc>
        <w:tc>
          <w:tcPr>
            <w:tcW w:w="4394" w:type="dxa"/>
            <w:shd w:val="clear" w:color="auto" w:fill="auto"/>
          </w:tcPr>
          <w:p w14:paraId="09ED001F" w14:textId="77777777" w:rsidR="00BF6BC2" w:rsidRPr="003C5C7D" w:rsidRDefault="00BF6BC2" w:rsidP="001D521D">
            <w:pPr>
              <w:pStyle w:val="Text1"/>
              <w:ind w:left="0"/>
              <w:jc w:val="center"/>
              <w:rPr>
                <w:b/>
                <w:noProof/>
              </w:rPr>
            </w:pPr>
            <w:r w:rsidRPr="003C5C7D">
              <w:rPr>
                <w:b/>
                <w:noProof/>
              </w:rPr>
              <w:t>Total cheltuieli</w:t>
            </w:r>
            <w:r w:rsidRPr="003C5C7D">
              <w:rPr>
                <w:noProof/>
              </w:rPr>
              <w:t xml:space="preserve"> </w:t>
            </w:r>
            <w:r w:rsidRPr="003C5C7D">
              <w:rPr>
                <w:noProof/>
              </w:rPr>
              <w:br/>
            </w:r>
            <w:r w:rsidRPr="003C5C7D">
              <w:rPr>
                <w:b/>
                <w:noProof/>
              </w:rPr>
              <w:t>(în EUR)</w:t>
            </w:r>
          </w:p>
        </w:tc>
      </w:tr>
      <w:tr w:rsidR="00BF6BC2" w:rsidRPr="003C5C7D" w14:paraId="4B114E42" w14:textId="77777777" w:rsidTr="001D521D">
        <w:tc>
          <w:tcPr>
            <w:tcW w:w="4786" w:type="dxa"/>
            <w:shd w:val="clear" w:color="auto" w:fill="auto"/>
          </w:tcPr>
          <w:p w14:paraId="46A9A732" w14:textId="77777777" w:rsidR="00BF6BC2" w:rsidRPr="003C5C7D" w:rsidRDefault="00BF6BC2" w:rsidP="001D521D">
            <w:pPr>
              <w:pStyle w:val="Text1"/>
              <w:ind w:left="0"/>
              <w:jc w:val="left"/>
              <w:rPr>
                <w:noProof/>
              </w:rPr>
            </w:pPr>
            <w:r w:rsidRPr="003C5C7D">
              <w:rPr>
                <w:noProof/>
              </w:rPr>
              <w:t>Cheltuieli administrative</w:t>
            </w:r>
          </w:p>
        </w:tc>
        <w:tc>
          <w:tcPr>
            <w:tcW w:w="4394" w:type="dxa"/>
            <w:shd w:val="clear" w:color="auto" w:fill="auto"/>
          </w:tcPr>
          <w:p w14:paraId="75800373" w14:textId="03BEA5C3" w:rsidR="00BF6BC2" w:rsidRPr="003C5C7D" w:rsidRDefault="008E06B5" w:rsidP="001D521D">
            <w:pPr>
              <w:pStyle w:val="Text1"/>
              <w:ind w:left="0"/>
              <w:jc w:val="right"/>
              <w:rPr>
                <w:noProof/>
              </w:rPr>
            </w:pPr>
            <w:r w:rsidRPr="003C5C7D">
              <w:rPr>
                <w:noProof/>
              </w:rPr>
              <w:t>120 000</w:t>
            </w:r>
          </w:p>
        </w:tc>
      </w:tr>
      <w:tr w:rsidR="00BF6BC2" w:rsidRPr="003C5C7D" w14:paraId="2F7135E1" w14:textId="77777777" w:rsidTr="001D521D">
        <w:tc>
          <w:tcPr>
            <w:tcW w:w="4786" w:type="dxa"/>
            <w:shd w:val="clear" w:color="auto" w:fill="auto"/>
          </w:tcPr>
          <w:p w14:paraId="71F42100" w14:textId="77777777" w:rsidR="00BF6BC2" w:rsidRPr="003C5C7D" w:rsidRDefault="00BF6BC2" w:rsidP="001D521D">
            <w:pPr>
              <w:pStyle w:val="Text1"/>
              <w:ind w:left="0"/>
              <w:jc w:val="left"/>
              <w:rPr>
                <w:noProof/>
              </w:rPr>
            </w:pPr>
            <w:r w:rsidRPr="003C5C7D">
              <w:rPr>
                <w:noProof/>
              </w:rPr>
              <w:t>Cheltuieli tehnice</w:t>
            </w:r>
          </w:p>
        </w:tc>
        <w:tc>
          <w:tcPr>
            <w:tcW w:w="4394" w:type="dxa"/>
            <w:shd w:val="clear" w:color="auto" w:fill="auto"/>
          </w:tcPr>
          <w:p w14:paraId="3DA2F3D6" w14:textId="191F41B6" w:rsidR="00BF6BC2" w:rsidRPr="003C5C7D" w:rsidRDefault="00E859C9" w:rsidP="001D521D">
            <w:pPr>
              <w:pStyle w:val="Text1"/>
              <w:ind w:left="0"/>
              <w:jc w:val="right"/>
              <w:rPr>
                <w:noProof/>
              </w:rPr>
            </w:pPr>
            <w:r w:rsidRPr="003C5C7D">
              <w:rPr>
                <w:noProof/>
              </w:rPr>
              <w:t>90 000</w:t>
            </w:r>
          </w:p>
        </w:tc>
      </w:tr>
      <w:tr w:rsidR="00BF6BC2" w:rsidRPr="003C5C7D" w14:paraId="70D4696E" w14:textId="77777777" w:rsidTr="001D521D">
        <w:tc>
          <w:tcPr>
            <w:tcW w:w="4786" w:type="dxa"/>
            <w:shd w:val="clear" w:color="auto" w:fill="auto"/>
          </w:tcPr>
          <w:p w14:paraId="252CCA1D" w14:textId="77777777" w:rsidR="00BF6BC2" w:rsidRPr="003C5C7D" w:rsidRDefault="00BF6BC2" w:rsidP="001D521D">
            <w:pPr>
              <w:pStyle w:val="Text1"/>
              <w:ind w:left="0"/>
              <w:rPr>
                <w:b/>
                <w:noProof/>
              </w:rPr>
            </w:pPr>
            <w:r w:rsidRPr="003C5C7D">
              <w:rPr>
                <w:b/>
                <w:noProof/>
              </w:rPr>
              <w:t>Total cheltuieli estimate</w:t>
            </w:r>
          </w:p>
        </w:tc>
        <w:tc>
          <w:tcPr>
            <w:tcW w:w="4394" w:type="dxa"/>
            <w:shd w:val="clear" w:color="auto" w:fill="auto"/>
          </w:tcPr>
          <w:p w14:paraId="4252780D" w14:textId="066C24CE" w:rsidR="00BF6BC2" w:rsidRPr="003C5C7D" w:rsidRDefault="008E06B5" w:rsidP="001D521D">
            <w:pPr>
              <w:pStyle w:val="Text1"/>
              <w:ind w:left="0"/>
              <w:jc w:val="right"/>
              <w:rPr>
                <w:b/>
                <w:noProof/>
              </w:rPr>
            </w:pPr>
            <w:r w:rsidRPr="003C5C7D">
              <w:rPr>
                <w:b/>
                <w:noProof/>
              </w:rPr>
              <w:t>210 000</w:t>
            </w:r>
          </w:p>
        </w:tc>
      </w:tr>
    </w:tbl>
    <w:p w14:paraId="1FDD9195" w14:textId="77777777" w:rsidR="00BF6BC2" w:rsidRPr="003C5C7D" w:rsidRDefault="00BF6BC2" w:rsidP="00BF6BC2">
      <w:pPr>
        <w:rPr>
          <w:noProof/>
        </w:rPr>
      </w:pPr>
    </w:p>
    <w:p w14:paraId="1226B4E8" w14:textId="77777777" w:rsidR="00BF6BC2" w:rsidRPr="003C5C7D" w:rsidRDefault="00BF6BC2" w:rsidP="00BF6BC2">
      <w:pPr>
        <w:pStyle w:val="ManualNumPar1"/>
        <w:rPr>
          <w:noProof/>
        </w:rPr>
      </w:pPr>
      <w:r w:rsidRPr="003C5C7D">
        <w:rPr>
          <w:noProof/>
        </w:rPr>
        <w:t>2.</w:t>
      </w:r>
      <w:r w:rsidRPr="003C5C7D">
        <w:rPr>
          <w:noProof/>
        </w:rPr>
        <w:tab/>
        <w:t>Cheltuieli administrative:</w:t>
      </w:r>
    </w:p>
    <w:p w14:paraId="71F6EF76" w14:textId="6FAB3519" w:rsidR="00BF6BC2" w:rsidRPr="003C5C7D" w:rsidRDefault="00BF6BC2" w:rsidP="00BF6BC2">
      <w:pPr>
        <w:pStyle w:val="ListBullet4"/>
        <w:tabs>
          <w:tab w:val="clear" w:pos="360"/>
          <w:tab w:val="clear" w:pos="1134"/>
          <w:tab w:val="num" w:pos="1209"/>
        </w:tabs>
        <w:ind w:left="1209" w:hanging="360"/>
        <w:contextualSpacing/>
        <w:rPr>
          <w:noProof/>
        </w:rPr>
      </w:pPr>
      <w:bookmarkStart w:id="1" w:name="_Hlk188626697"/>
      <w:r w:rsidRPr="003C5C7D">
        <w:rPr>
          <w:noProof/>
        </w:rPr>
        <w:t>Grupul de experți al persoanelor de contact ale FEG, format din până la doi membri din fiecare stat membru, va organiza reuniuni periodice</w:t>
      </w:r>
      <w:bookmarkEnd w:id="1"/>
      <w:r w:rsidRPr="003C5C7D">
        <w:rPr>
          <w:noProof/>
        </w:rPr>
        <w:t>. Pe baza experienței dobândite în privința reuniunilor virtuale și în conformitate cu ambițiile Comisiei de a reduce amprenta de mediu a activităților sale, se vor organiza o reuniune virtuală și una fizică în 2026.</w:t>
      </w:r>
    </w:p>
    <w:p w14:paraId="294D7123" w14:textId="1620F160" w:rsidR="00BF6BC2" w:rsidRPr="003C5C7D" w:rsidRDefault="00BF6BC2" w:rsidP="00BF6BC2">
      <w:pPr>
        <w:pStyle w:val="ListBullet4"/>
        <w:tabs>
          <w:tab w:val="clear" w:pos="360"/>
          <w:tab w:val="clear" w:pos="1134"/>
          <w:tab w:val="num" w:pos="1209"/>
        </w:tabs>
        <w:ind w:left="1209" w:hanging="360"/>
        <w:contextualSpacing/>
        <w:rPr>
          <w:noProof/>
        </w:rPr>
      </w:pPr>
      <w:bookmarkStart w:id="2" w:name="_Hlk188626862"/>
      <w:r w:rsidRPr="003C5C7D">
        <w:rPr>
          <w:noProof/>
        </w:rPr>
        <w:lastRenderedPageBreak/>
        <w:t>Pentru a promova colaborarea în rețea între statele membre, Comisia va organiza un seminar cu participarea organismelor de executare a FEG și a partenerilor sociali</w:t>
      </w:r>
      <w:bookmarkEnd w:id="2"/>
      <w:r w:rsidRPr="003C5C7D">
        <w:rPr>
          <w:noProof/>
        </w:rPr>
        <w:t>.</w:t>
      </w:r>
    </w:p>
    <w:p w14:paraId="1AFA1B84" w14:textId="3D0252E3" w:rsidR="00BF6BC2" w:rsidRPr="003C5C7D" w:rsidRDefault="00BF6BC2" w:rsidP="00BF6BC2">
      <w:pPr>
        <w:pStyle w:val="ListBullet4"/>
        <w:tabs>
          <w:tab w:val="clear" w:pos="360"/>
          <w:tab w:val="clear" w:pos="1134"/>
          <w:tab w:val="num" w:pos="1209"/>
        </w:tabs>
        <w:ind w:left="1209" w:hanging="360"/>
        <w:contextualSpacing/>
        <w:rPr>
          <w:noProof/>
        </w:rPr>
      </w:pPr>
      <w:r w:rsidRPr="003C5C7D">
        <w:rPr>
          <w:noProof/>
        </w:rPr>
        <w:t>Activități de informare: prezența online a FEG</w:t>
      </w:r>
      <w:r w:rsidRPr="003C5C7D">
        <w:rPr>
          <w:rStyle w:val="FootnoteReference"/>
          <w:noProof/>
        </w:rPr>
        <w:footnoteReference w:id="2"/>
      </w:r>
      <w:r w:rsidRPr="003C5C7D">
        <w:rPr>
          <w:noProof/>
        </w:rPr>
        <w:t>, pe care Comisia a creat-o în spațiul dedicat ocupării forței de muncă, afacerilor sociale și incluziunii și o menține în conformitate cu articolul 12 alineatul (2) din Regulamentul privind FEG, va fi actualizată și extinsă cu regularitate, fiecare element nou fiind tradus în toate limbile UE. Va fi sporită sensibilizarea în rândul populației cu privire la FEG și va fi promovată vizibilitatea acestuia. Diversele publicații și activități audiovizuale ale Comisiei vor furniza informații privind FEG, astfel cum se prevede la articolul 11 alineatul (1) din Regulamentul privind FEG.</w:t>
      </w:r>
    </w:p>
    <w:p w14:paraId="6CE2EB55" w14:textId="39428FB8" w:rsidR="00D42B30" w:rsidRPr="003C5C7D" w:rsidRDefault="00D42B30" w:rsidP="00BF6BC2">
      <w:pPr>
        <w:pStyle w:val="ListBullet4"/>
        <w:tabs>
          <w:tab w:val="clear" w:pos="360"/>
          <w:tab w:val="clear" w:pos="1134"/>
          <w:tab w:val="num" w:pos="1209"/>
        </w:tabs>
        <w:ind w:left="1209" w:hanging="360"/>
        <w:contextualSpacing/>
        <w:rPr>
          <w:noProof/>
        </w:rPr>
      </w:pPr>
      <w:r w:rsidRPr="003C5C7D">
        <w:rPr>
          <w:noProof/>
        </w:rPr>
        <w:t>Toate activitățile de mai sus vor include sensibilizarea statelor membre, a partenerilor sociali și a întreprinderilor cu privire la acordul politic la care au ajuns Parlamentul European și Consiliul la 25 februarie 2026 cu privire la o propunere a Comisiei de modificare a Regulamentului privind FEG</w:t>
      </w:r>
      <w:r w:rsidRPr="003C5C7D">
        <w:rPr>
          <w:rStyle w:val="FootnoteReference"/>
          <w:noProof/>
        </w:rPr>
        <w:footnoteReference w:id="3"/>
      </w:r>
      <w:r w:rsidRPr="003C5C7D">
        <w:rPr>
          <w:noProof/>
        </w:rPr>
        <w:t>. Modificarea Regulamentului privind FEG a fost aprobată de Parlamentul European și de Consiliu la 20 mai 2026 și include, în special, posibilitatea de a oferi sprijin și lucrătorilor afectați de concedieri iminente într-o întreprindere în curs de restructurare. Acest lucru îi va pregăti mai bine să finalizeze o tranziție profesională într-un interval de timp mai scurt și le va facilita schimbarea rolului sau a carierei.</w:t>
      </w:r>
    </w:p>
    <w:p w14:paraId="07FE5B97" w14:textId="77777777" w:rsidR="00BF6BC2" w:rsidRPr="003C5C7D" w:rsidRDefault="00BF6BC2" w:rsidP="00BF6BC2">
      <w:pPr>
        <w:pStyle w:val="ManualNumPar1"/>
        <w:rPr>
          <w:noProof/>
        </w:rPr>
      </w:pPr>
      <w:r w:rsidRPr="003C5C7D">
        <w:rPr>
          <w:noProof/>
        </w:rPr>
        <w:t>3.</w:t>
      </w:r>
      <w:r w:rsidRPr="003C5C7D">
        <w:rPr>
          <w:noProof/>
        </w:rPr>
        <w:tab/>
        <w:t>Cheltuieli tehnice:</w:t>
      </w:r>
    </w:p>
    <w:p w14:paraId="440C7204" w14:textId="77777777" w:rsidR="00BF6BC2" w:rsidRPr="003C5C7D" w:rsidRDefault="00BF6BC2" w:rsidP="00BF6BC2">
      <w:pPr>
        <w:pStyle w:val="ListBullet4"/>
        <w:tabs>
          <w:tab w:val="clear" w:pos="360"/>
          <w:tab w:val="clear" w:pos="1134"/>
          <w:tab w:val="num" w:pos="1209"/>
        </w:tabs>
        <w:ind w:left="1209" w:hanging="360"/>
        <w:contextualSpacing/>
        <w:rPr>
          <w:noProof/>
        </w:rPr>
      </w:pPr>
      <w:bookmarkStart w:id="3" w:name="_Hlk226971141"/>
      <w:r w:rsidRPr="003C5C7D">
        <w:rPr>
          <w:noProof/>
        </w:rPr>
        <w:t xml:space="preserve">Întreținerea și actualizarea </w:t>
      </w:r>
      <w:bookmarkEnd w:id="3"/>
      <w:r w:rsidRPr="003C5C7D">
        <w:rPr>
          <w:noProof/>
        </w:rPr>
        <w:t>unui sistem de schimb electronic de date. Comisia își continuă activitatea în ceea ce privește procedurile standardizate pentru cererile de mobilizare a FEG și pentru gestionarea FEG, utilizând funcționalitățile Sistemului comun de gestionare partajată a fondurilor (SFC). Acest lucru permite simplificarea cererilor în temeiul Regulamentului privind FEG, accelerarea examinării lor și facilitarea extragerii de rapoarte pentru diferite necesități. Interfața SFC facilitează, de asemenea, operațiunile financiare ale FEG. În special, sunt incluse următoarele:</w:t>
      </w:r>
    </w:p>
    <w:p w14:paraId="2C7EEC34" w14:textId="01FE82B2" w:rsidR="00BF6BC2" w:rsidRPr="003C5C7D" w:rsidRDefault="00BF6BC2" w:rsidP="00613795">
      <w:pPr>
        <w:pStyle w:val="Tiret3"/>
        <w:numPr>
          <w:ilvl w:val="0"/>
          <w:numId w:val="17"/>
        </w:numPr>
        <w:tabs>
          <w:tab w:val="clear" w:pos="2551"/>
        </w:tabs>
        <w:ind w:left="2007"/>
        <w:rPr>
          <w:noProof/>
        </w:rPr>
      </w:pPr>
      <w:r w:rsidRPr="003C5C7D">
        <w:rPr>
          <w:noProof/>
        </w:rPr>
        <w:t>întreținerea sistemului SFC2014 pentru închiderea cazurilor aferente FEG 2014-2020.</w:t>
      </w:r>
    </w:p>
    <w:p w14:paraId="1C385E2F" w14:textId="282E5615" w:rsidR="00BF6BC2" w:rsidRPr="003C5C7D" w:rsidRDefault="00BF6BC2" w:rsidP="00BF6BC2">
      <w:pPr>
        <w:pStyle w:val="Tiret3"/>
        <w:tabs>
          <w:tab w:val="clear" w:pos="2551"/>
          <w:tab w:val="num" w:pos="2007"/>
        </w:tabs>
        <w:ind w:left="2007"/>
        <w:rPr>
          <w:noProof/>
        </w:rPr>
      </w:pPr>
      <w:r w:rsidRPr="003C5C7D">
        <w:rPr>
          <w:noProof/>
        </w:rPr>
        <w:t xml:space="preserve">dezvoltarea și întreținerea în continuare a sistemului SFC2021 </w:t>
      </w:r>
      <w:bookmarkStart w:id="4" w:name="_Hlk188624118"/>
      <w:r w:rsidRPr="003C5C7D">
        <w:rPr>
          <w:noProof/>
        </w:rPr>
        <w:t>pentru FEG 2021-2027, inclusiv în lumina acordului politic la care au ajuns Parlamentul European și Consiliul la 25 februarie 2026 cu privire la o propunere a Comisiei de modificare a Regulamentului privind FEG,</w:t>
      </w:r>
      <w:bookmarkEnd w:id="4"/>
      <w:r w:rsidRPr="003C5C7D">
        <w:rPr>
          <w:noProof/>
        </w:rPr>
        <w:t xml:space="preserve"> precum și sincronizarea acestuia cu SUMMA, noul sistem de contabilitate corporativă, finanțe și întocmire a bugetului al Uniunii Europene.</w:t>
      </w:r>
    </w:p>
    <w:p w14:paraId="3981FC01" w14:textId="14A937B4" w:rsidR="00BF6BC2" w:rsidRPr="003C5C7D" w:rsidRDefault="00BF6BC2" w:rsidP="00BF6BC2">
      <w:pPr>
        <w:pStyle w:val="ListBullet4"/>
        <w:tabs>
          <w:tab w:val="clear" w:pos="360"/>
          <w:tab w:val="clear" w:pos="1134"/>
          <w:tab w:val="num" w:pos="1209"/>
        </w:tabs>
        <w:ind w:left="1209" w:hanging="360"/>
        <w:contextualSpacing/>
        <w:rPr>
          <w:noProof/>
        </w:rPr>
      </w:pPr>
      <w:bookmarkStart w:id="5" w:name="_Hlk226971109"/>
      <w:r w:rsidRPr="003C5C7D">
        <w:rPr>
          <w:noProof/>
        </w:rPr>
        <w:t>Monitorizarea și colectarea datelor</w:t>
      </w:r>
      <w:bookmarkEnd w:id="5"/>
      <w:r w:rsidRPr="003C5C7D">
        <w:rPr>
          <w:noProof/>
        </w:rPr>
        <w:t>: Comisia va colecta date privind cererile primite, finanțate și închise, precum și privind măsurile propuse și puse în aplicare. Aceste date vor fi puse la dispoziție pe site-ul web și vor fi compilate într-o formă corespunzătoare pentru rapoartele bienale viitoare.</w:t>
      </w:r>
    </w:p>
    <w:p w14:paraId="4AAD7E6A" w14:textId="77777777" w:rsidR="00BF6BC2" w:rsidRPr="003C5C7D" w:rsidRDefault="00BF6BC2" w:rsidP="00BF6BC2">
      <w:pPr>
        <w:rPr>
          <w:noProof/>
        </w:rPr>
      </w:pPr>
    </w:p>
    <w:p w14:paraId="7CD7905B" w14:textId="77777777" w:rsidR="00BF6BC2" w:rsidRPr="003C5C7D" w:rsidRDefault="00BF6BC2" w:rsidP="00BF6BC2">
      <w:pPr>
        <w:rPr>
          <w:b/>
          <w:noProof/>
          <w:u w:val="single"/>
        </w:rPr>
      </w:pPr>
      <w:r w:rsidRPr="003C5C7D">
        <w:rPr>
          <w:b/>
          <w:noProof/>
          <w:u w:val="single"/>
        </w:rPr>
        <w:t>Finanțarea</w:t>
      </w:r>
    </w:p>
    <w:p w14:paraId="74C9E9D1" w14:textId="3069DBF5" w:rsidR="00BF6BC2" w:rsidRPr="003C5C7D" w:rsidRDefault="00BF6BC2" w:rsidP="00BF6BC2">
      <w:pPr>
        <w:pStyle w:val="ManualNumPar1"/>
        <w:rPr>
          <w:noProof/>
        </w:rPr>
      </w:pPr>
      <w:r w:rsidRPr="003C5C7D">
        <w:rPr>
          <w:noProof/>
        </w:rPr>
        <w:t>4.</w:t>
      </w:r>
      <w:r w:rsidRPr="003C5C7D">
        <w:rPr>
          <w:noProof/>
        </w:rPr>
        <w:tab/>
        <w:t>Bugetul anual maxim disponibil pentru FEG în 2026 este de 30 de milioane EUR la prețurile din 2018 (35 149 782 EUR la prețurile din 2026), astfel cum se prevede la articolul 8 din Regulamentul (UE, Euratom) 2020/2093 al Consiliului din 17 decembrie 2020 de stabilire a cadrului financiar multianual pentru perioada 2021-2027</w:t>
      </w:r>
      <w:r w:rsidRPr="003C5C7D">
        <w:rPr>
          <w:rStyle w:val="FootnoteReference"/>
          <w:noProof/>
        </w:rPr>
        <w:footnoteReference w:id="4"/>
      </w:r>
      <w:r w:rsidRPr="003C5C7D">
        <w:rPr>
          <w:noProof/>
        </w:rPr>
        <w:t xml:space="preserve"> modificat prin Regulamentul (UE, Euratom) 2024/765 al Consiliului</w:t>
      </w:r>
      <w:r w:rsidRPr="003C5C7D">
        <w:rPr>
          <w:rStyle w:val="FootnoteReference"/>
          <w:noProof/>
        </w:rPr>
        <w:footnoteReference w:id="5"/>
      </w:r>
      <w:r w:rsidRPr="003C5C7D">
        <w:rPr>
          <w:noProof/>
        </w:rPr>
        <w:t xml:space="preserve"> și prin articolul 16 din Regulamentul (UE) 2021/691.</w:t>
      </w:r>
    </w:p>
    <w:p w14:paraId="011BF363" w14:textId="6479B744" w:rsidR="00BF6BC2" w:rsidRPr="003C5C7D" w:rsidRDefault="00BF6BC2" w:rsidP="00BF6BC2">
      <w:pPr>
        <w:pStyle w:val="ManualNumPar1"/>
        <w:rPr>
          <w:noProof/>
        </w:rPr>
      </w:pPr>
      <w:r w:rsidRPr="003C5C7D">
        <w:rPr>
          <w:noProof/>
        </w:rPr>
        <w:t>5.</w:t>
      </w:r>
      <w:r w:rsidRPr="003C5C7D">
        <w:rPr>
          <w:noProof/>
        </w:rPr>
        <w:tab/>
        <w:t xml:space="preserve">Articolul 11 alineatul (1) din Regulamentul privind FEG prevede că, la inițiativa Comisiei, </w:t>
      </w:r>
      <w:bookmarkStart w:id="6" w:name="_Hlk226971273"/>
      <w:r w:rsidRPr="003C5C7D">
        <w:rPr>
          <w:noProof/>
        </w:rPr>
        <w:t>un procentaj de 1,5 % din acest cuantum se poate aloca</w:t>
      </w:r>
      <w:bookmarkEnd w:id="6"/>
      <w:r w:rsidRPr="003C5C7D">
        <w:rPr>
          <w:noProof/>
        </w:rPr>
        <w:t xml:space="preserve"> pentru asistență tehnică. În prezent, întregul cuantum pentru 2026 rămâne disponibil, nealocându-se încă nimic pentru asistența tehnică. Cuantumul propus corespunde unui procentaj de 0,60 % din bugetul anual maxim disponibil pentru FEG în 2026.</w:t>
      </w:r>
    </w:p>
    <w:p w14:paraId="2854C534" w14:textId="77777777" w:rsidR="00BF6BC2" w:rsidRPr="003C5C7D" w:rsidRDefault="00BF6BC2" w:rsidP="00BF6BC2">
      <w:pPr>
        <w:pStyle w:val="ManualNumPar1"/>
        <w:rPr>
          <w:noProof/>
        </w:rPr>
      </w:pPr>
      <w:r w:rsidRPr="003C5C7D">
        <w:rPr>
          <w:noProof/>
        </w:rPr>
        <w:t>6.</w:t>
      </w:r>
      <w:r w:rsidRPr="003C5C7D">
        <w:rPr>
          <w:noProof/>
        </w:rPr>
        <w:tab/>
        <w:t>Decizia propusă privind mobilizarea FEG va fi adoptată în comun de Parlamentul European și de Consiliu, în conformitate cu articolul 15 alineatul (1) primul paragraf din Regulamentul privind FEG și cu punctul 9 din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3C5C7D">
        <w:rPr>
          <w:rStyle w:val="FootnoteReference"/>
          <w:noProof/>
        </w:rPr>
        <w:footnoteReference w:id="6"/>
      </w:r>
      <w:r w:rsidRPr="003C5C7D">
        <w:rPr>
          <w:noProof/>
        </w:rPr>
        <w:t>.</w:t>
      </w:r>
    </w:p>
    <w:p w14:paraId="571E241F" w14:textId="77777777" w:rsidR="00BF6BC2" w:rsidRPr="003C5C7D" w:rsidRDefault="00BF6BC2" w:rsidP="00BF6BC2">
      <w:pPr>
        <w:rPr>
          <w:noProof/>
        </w:rPr>
      </w:pPr>
    </w:p>
    <w:p w14:paraId="3A5CA280" w14:textId="77777777" w:rsidR="00BF6BC2" w:rsidRPr="003C5C7D" w:rsidRDefault="00BF6BC2" w:rsidP="00BF6BC2">
      <w:pPr>
        <w:rPr>
          <w:b/>
          <w:noProof/>
          <w:u w:val="single"/>
        </w:rPr>
      </w:pPr>
      <w:r w:rsidRPr="003C5C7D">
        <w:rPr>
          <w:b/>
          <w:noProof/>
          <w:u w:val="single"/>
        </w:rPr>
        <w:t>Acte conexe</w:t>
      </w:r>
    </w:p>
    <w:p w14:paraId="0ED2D395" w14:textId="4F461D35" w:rsidR="00BF6BC2" w:rsidRPr="003C5C7D" w:rsidRDefault="00BF6BC2" w:rsidP="00BF6BC2">
      <w:pPr>
        <w:pStyle w:val="ManualNumPar1"/>
        <w:rPr>
          <w:noProof/>
        </w:rPr>
      </w:pPr>
      <w:r w:rsidRPr="003C5C7D">
        <w:rPr>
          <w:noProof/>
        </w:rPr>
        <w:t>7.</w:t>
      </w:r>
      <w:r w:rsidRPr="003C5C7D">
        <w:rPr>
          <w:noProof/>
        </w:rPr>
        <w:tab/>
        <w:t>În același timp cu prezentarea acestei propuneri de decizie privind mobilizarea FEG, Comisia va prezenta Parlamentului European și Consiliului o propunere de transfer al cuantumului de 210 000 EUR către linia bugetară relevantă.</w:t>
      </w:r>
    </w:p>
    <w:p w14:paraId="490BAEC1" w14:textId="77777777" w:rsidR="00BF6BC2" w:rsidRPr="003C5C7D" w:rsidRDefault="00BF6BC2" w:rsidP="00BF6BC2">
      <w:pPr>
        <w:rPr>
          <w:noProof/>
        </w:rPr>
      </w:pPr>
    </w:p>
    <w:p w14:paraId="603C01B8" w14:textId="77777777" w:rsidR="00BF6BC2" w:rsidRPr="003C5C7D" w:rsidRDefault="00BF6BC2" w:rsidP="00BF6BC2">
      <w:pPr>
        <w:rPr>
          <w:noProof/>
        </w:rPr>
      </w:pPr>
      <w:r w:rsidRPr="003C5C7D">
        <w:rPr>
          <w:b/>
          <w:noProof/>
          <w:u w:val="single"/>
        </w:rPr>
        <w:t>Sursa creditelor de plată</w:t>
      </w:r>
    </w:p>
    <w:p w14:paraId="791AE75A" w14:textId="7252129E" w:rsidR="00BF6BC2" w:rsidRPr="003C5C7D" w:rsidRDefault="00BF6BC2" w:rsidP="00BF6BC2">
      <w:pPr>
        <w:pStyle w:val="ManualNumPar1"/>
        <w:rPr>
          <w:noProof/>
        </w:rPr>
      </w:pPr>
      <w:r w:rsidRPr="003C5C7D">
        <w:rPr>
          <w:noProof/>
        </w:rPr>
        <w:t>8.</w:t>
      </w:r>
      <w:r w:rsidRPr="003C5C7D">
        <w:rPr>
          <w:noProof/>
        </w:rPr>
        <w:tab/>
        <w:t>Pentru finanțarea cuantumului de 210 000 EUR necesar pentru asistență tehnică, se vor utiliza credite din linia bugetară a FEG.</w:t>
      </w:r>
    </w:p>
    <w:p w14:paraId="182A5D09" w14:textId="77777777" w:rsidR="001A62D7" w:rsidRPr="003C5C7D" w:rsidRDefault="001A62D7" w:rsidP="001A62D7">
      <w:pPr>
        <w:rPr>
          <w:noProof/>
        </w:rPr>
        <w:sectPr w:rsidR="001A62D7" w:rsidRPr="003C5C7D" w:rsidSect="001214F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14:paraId="411F3EC8" w14:textId="75C5AA6C" w:rsidR="004D5BB3" w:rsidRPr="003C5C7D" w:rsidRDefault="0049418E" w:rsidP="0049418E">
      <w:pPr>
        <w:pStyle w:val="Rfrenceinterinstitutionnelle"/>
        <w:rPr>
          <w:noProof/>
        </w:rPr>
      </w:pPr>
      <w:r>
        <w:rPr>
          <w:noProof/>
        </w:rPr>
        <w:lastRenderedPageBreak/>
        <w:t>2026/0126 (BUD)</w:t>
      </w:r>
    </w:p>
    <w:p w14:paraId="2A92B40E" w14:textId="0474DDE3" w:rsidR="001A62D7" w:rsidRPr="003C5C7D" w:rsidRDefault="0049418E" w:rsidP="0049418E">
      <w:pPr>
        <w:pStyle w:val="Statut"/>
        <w:rPr>
          <w:noProof/>
        </w:rPr>
      </w:pPr>
      <w:r w:rsidRPr="003C5C7D">
        <w:rPr>
          <w:noProof/>
        </w:rPr>
        <w:t>Propunere de</w:t>
      </w:r>
    </w:p>
    <w:p w14:paraId="59125979" w14:textId="13DF137E" w:rsidR="001A62D7" w:rsidRPr="003C5C7D" w:rsidRDefault="0049418E" w:rsidP="0049418E">
      <w:pPr>
        <w:pStyle w:val="Typedudocument"/>
        <w:rPr>
          <w:noProof/>
        </w:rPr>
      </w:pPr>
      <w:r w:rsidRPr="003C5C7D">
        <w:rPr>
          <w:noProof/>
        </w:rPr>
        <w:t>DECIZIE A PARLAMENTULUI EUROPEAN ȘI A CONSILIULUI</w:t>
      </w:r>
    </w:p>
    <w:p w14:paraId="2FFF4F60" w14:textId="20EB319E" w:rsidR="001A62D7" w:rsidRPr="003C5C7D" w:rsidRDefault="0049418E" w:rsidP="0049418E">
      <w:pPr>
        <w:pStyle w:val="Titreobjet"/>
        <w:rPr>
          <w:noProof/>
        </w:rPr>
      </w:pPr>
      <w:r w:rsidRPr="003C5C7D">
        <w:rPr>
          <w:noProof/>
        </w:rPr>
        <w:t>privind mobilizarea Fondului european de ajustare la globalizare pentru lucrătorii disponibilizați la inițiativa Comisiei (EGF/2026/000 TA 2026 – Asistență tehnică)</w:t>
      </w:r>
    </w:p>
    <w:p w14:paraId="7094D63C" w14:textId="77777777" w:rsidR="001A62D7" w:rsidRPr="003C5C7D" w:rsidRDefault="001A62D7" w:rsidP="001A62D7">
      <w:pPr>
        <w:pStyle w:val="Institutionquiagit"/>
        <w:rPr>
          <w:noProof/>
        </w:rPr>
      </w:pPr>
      <w:r w:rsidRPr="003C5C7D">
        <w:rPr>
          <w:noProof/>
        </w:rPr>
        <w:t>PARLAMENTUL EUROPEAN ȘI CONSILIUL UNIUNII EUROPENE,</w:t>
      </w:r>
    </w:p>
    <w:p w14:paraId="18EBBD20" w14:textId="77777777" w:rsidR="001A62D7" w:rsidRPr="003C5C7D" w:rsidRDefault="001A62D7" w:rsidP="001A62D7">
      <w:pPr>
        <w:rPr>
          <w:noProof/>
        </w:rPr>
      </w:pPr>
      <w:r w:rsidRPr="003C5C7D">
        <w:rPr>
          <w:noProof/>
        </w:rPr>
        <w:t>având în vedere Tratatul privind funcționarea Uniunii Europene,</w:t>
      </w:r>
    </w:p>
    <w:p w14:paraId="26C33BE2" w14:textId="77777777" w:rsidR="001A62D7" w:rsidRPr="003C5C7D" w:rsidRDefault="001A62D7" w:rsidP="001A62D7">
      <w:pPr>
        <w:rPr>
          <w:noProof/>
        </w:rPr>
      </w:pPr>
      <w:r w:rsidRPr="003C5C7D">
        <w:rPr>
          <w:noProof/>
        </w:rPr>
        <w:t>având în vedere Regulamentul (UE) 2021/691 al Parlamentului European și al Consiliului din 28 aprilie 2021 privind Fondul european de ajustare la globalizare pentru lucrătorii disponibilizați (FEG) și de abrogare a Regulamentului (UE) nr. 1309/2013</w:t>
      </w:r>
      <w:r w:rsidRPr="003C5C7D">
        <w:rPr>
          <w:rStyle w:val="FootnoteReference"/>
          <w:noProof/>
        </w:rPr>
        <w:footnoteReference w:id="7"/>
      </w:r>
      <w:r w:rsidRPr="003C5C7D">
        <w:rPr>
          <w:noProof/>
        </w:rPr>
        <w:t>, în special articolul 15 alineatul (1) primul paragraf,</w:t>
      </w:r>
    </w:p>
    <w:p w14:paraId="2ADD1CFA" w14:textId="77777777" w:rsidR="001A62D7" w:rsidRPr="003C5C7D" w:rsidRDefault="001A62D7" w:rsidP="001A62D7">
      <w:pPr>
        <w:rPr>
          <w:noProof/>
        </w:rPr>
      </w:pPr>
      <w:r w:rsidRPr="003C5C7D">
        <w:rPr>
          <w:noProof/>
        </w:rPr>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3C5C7D">
        <w:rPr>
          <w:rStyle w:val="FootnoteReference"/>
          <w:noProof/>
        </w:rPr>
        <w:footnoteReference w:id="8"/>
      </w:r>
      <w:r w:rsidRPr="003C5C7D">
        <w:rPr>
          <w:noProof/>
        </w:rPr>
        <w:t>, în special punctul 9,</w:t>
      </w:r>
    </w:p>
    <w:p w14:paraId="7FAD6E6B" w14:textId="77777777" w:rsidR="001A62D7" w:rsidRPr="003C5C7D" w:rsidRDefault="001A62D7" w:rsidP="001A62D7">
      <w:pPr>
        <w:rPr>
          <w:noProof/>
        </w:rPr>
      </w:pPr>
      <w:r w:rsidRPr="003C5C7D">
        <w:rPr>
          <w:noProof/>
        </w:rPr>
        <w:t>având în vedere propunerea Comisiei Europene,</w:t>
      </w:r>
    </w:p>
    <w:p w14:paraId="3B7209A4" w14:textId="77777777" w:rsidR="001A62D7" w:rsidRPr="003C5C7D" w:rsidRDefault="001A62D7" w:rsidP="001A62D7">
      <w:pPr>
        <w:rPr>
          <w:noProof/>
        </w:rPr>
      </w:pPr>
      <w:r w:rsidRPr="003C5C7D">
        <w:rPr>
          <w:noProof/>
        </w:rPr>
        <w:t>întrucât:</w:t>
      </w:r>
    </w:p>
    <w:p w14:paraId="20E89B57" w14:textId="5EE372C0" w:rsidR="001A62D7" w:rsidRPr="003C5C7D" w:rsidRDefault="00DD196B" w:rsidP="00DD196B">
      <w:pPr>
        <w:pStyle w:val="ManualConsidrant"/>
        <w:rPr>
          <w:noProof/>
        </w:rPr>
      </w:pPr>
      <w:r w:rsidRPr="003C5C7D">
        <w:rPr>
          <w:noProof/>
        </w:rPr>
        <w:t>(1)</w:t>
      </w:r>
      <w:r w:rsidRPr="003C5C7D">
        <w:rPr>
          <w:noProof/>
        </w:rPr>
        <w:tab/>
        <w:t xml:space="preserve">Fondul european de ajustare la globalizare pentru lucrătorii disponibilizați (FEG) urmărește să dea dovadă de solidaritate și să promoveze locuri de muncă decente și durabile în Uniune, oferind sprijin lucrătorilor concediați și persoanelor care desfășoară o activitate independentă a căror activitate a încetat în cazul unor evenimente majore de restructurare și ajutându-i să revină cât mai curând posibil la locuri de muncă decente și durabile. </w:t>
      </w:r>
    </w:p>
    <w:p w14:paraId="169C2C61" w14:textId="21D2C3F9" w:rsidR="001A62D7" w:rsidRPr="003C5C7D" w:rsidRDefault="00DD196B" w:rsidP="00DD196B">
      <w:pPr>
        <w:pStyle w:val="ManualConsidrant"/>
        <w:rPr>
          <w:noProof/>
        </w:rPr>
      </w:pPr>
      <w:r w:rsidRPr="003C5C7D">
        <w:rPr>
          <w:noProof/>
        </w:rPr>
        <w:t>(2)</w:t>
      </w:r>
      <w:r w:rsidRPr="003C5C7D">
        <w:rPr>
          <w:noProof/>
        </w:rPr>
        <w:tab/>
        <w:t>FEG nu trebuie să depășească un cuantum anual de maximum 30 de milioane EUR (la prețurile din 2018), astfel cum se prevede la articolul 8 din Regulamentul (UE, Euratom) 2020/2093 al Consiliului</w:t>
      </w:r>
      <w:r w:rsidRPr="003C5C7D">
        <w:rPr>
          <w:rStyle w:val="FootnoteReference"/>
          <w:noProof/>
        </w:rPr>
        <w:footnoteReference w:id="9"/>
      </w:r>
      <w:r w:rsidRPr="003C5C7D">
        <w:rPr>
          <w:noProof/>
        </w:rPr>
        <w:t xml:space="preserve"> și la articolul 16 din Regulamentul (UE) 2021/691.</w:t>
      </w:r>
    </w:p>
    <w:p w14:paraId="005F3B91" w14:textId="2DB4DB62" w:rsidR="001A62D7" w:rsidRPr="003C5C7D" w:rsidRDefault="00DD196B" w:rsidP="00DD196B">
      <w:pPr>
        <w:pStyle w:val="ManualConsidrant"/>
        <w:rPr>
          <w:noProof/>
        </w:rPr>
      </w:pPr>
      <w:r w:rsidRPr="003C5C7D">
        <w:rPr>
          <w:noProof/>
        </w:rPr>
        <w:t>(3)</w:t>
      </w:r>
      <w:r w:rsidRPr="003C5C7D">
        <w:rPr>
          <w:noProof/>
        </w:rPr>
        <w:tab/>
        <w:t>Regulamentul (UE) 2021/691 prevede că, la inițiativa Comisiei, un procentaj maxim de 1,5 % din cuantumul anual maxim al FEG se poate utiliza în fiecare an pentru asistența tehnică.</w:t>
      </w:r>
    </w:p>
    <w:p w14:paraId="607CD13C" w14:textId="1A364109" w:rsidR="001A62D7" w:rsidRPr="003C5C7D" w:rsidRDefault="00DD196B" w:rsidP="00DD196B">
      <w:pPr>
        <w:pStyle w:val="ManualConsidrant"/>
        <w:rPr>
          <w:noProof/>
        </w:rPr>
      </w:pPr>
      <w:r w:rsidRPr="003C5C7D">
        <w:rPr>
          <w:noProof/>
        </w:rPr>
        <w:t>(4)</w:t>
      </w:r>
      <w:r w:rsidRPr="003C5C7D">
        <w:rPr>
          <w:noProof/>
        </w:rPr>
        <w:tab/>
        <w:t>Această asistență este necesară pentru a îndeplini obligațiile referitoare la execuția FEG prevăzute la articolul 11 din Regulamentul (UE) 2021/691, în special în ceea ce privește monitorizarea și colectarea de date, precum și activitățile de comunicare și cele de îmbunătățire a vizibilității FEG.</w:t>
      </w:r>
    </w:p>
    <w:p w14:paraId="2F73E768" w14:textId="65C67F85" w:rsidR="001A62D7" w:rsidRPr="003C5C7D" w:rsidRDefault="00DD196B" w:rsidP="00105AD3">
      <w:pPr>
        <w:pStyle w:val="ManualConsidrant"/>
        <w:rPr>
          <w:noProof/>
        </w:rPr>
      </w:pPr>
      <w:r w:rsidRPr="003C5C7D">
        <w:rPr>
          <w:noProof/>
        </w:rPr>
        <w:lastRenderedPageBreak/>
        <w:t>(5)</w:t>
      </w:r>
      <w:r w:rsidRPr="003C5C7D">
        <w:rPr>
          <w:noProof/>
        </w:rPr>
        <w:tab/>
        <w:t>În consecință, FEG trebuie mobilizat pentru a pune la dispoziție o contribuție financiară de 210 000 EUR pentru asistență tehnică la inițiativa Comisiei,</w:t>
      </w:r>
    </w:p>
    <w:p w14:paraId="0C814545" w14:textId="77777777" w:rsidR="001A62D7" w:rsidRPr="003C5C7D" w:rsidRDefault="001A62D7" w:rsidP="001A62D7">
      <w:pPr>
        <w:pStyle w:val="Formuledadoption"/>
        <w:rPr>
          <w:noProof/>
        </w:rPr>
      </w:pPr>
      <w:r w:rsidRPr="003C5C7D">
        <w:rPr>
          <w:noProof/>
        </w:rPr>
        <w:t xml:space="preserve">ADOPTĂ PREZENTA DECIZIE: </w:t>
      </w:r>
    </w:p>
    <w:p w14:paraId="564B1C4A" w14:textId="77777777" w:rsidR="001A62D7" w:rsidRPr="003C5C7D" w:rsidRDefault="001A62D7" w:rsidP="001A62D7">
      <w:pPr>
        <w:pStyle w:val="Titrearticle"/>
        <w:rPr>
          <w:noProof/>
        </w:rPr>
      </w:pPr>
      <w:r w:rsidRPr="003C5C7D">
        <w:rPr>
          <w:noProof/>
        </w:rPr>
        <w:t>Articolul 1</w:t>
      </w:r>
    </w:p>
    <w:p w14:paraId="1A8933E1" w14:textId="5A8EACCC" w:rsidR="001A62D7" w:rsidRPr="003C5C7D" w:rsidRDefault="001A62D7" w:rsidP="001A62D7">
      <w:pPr>
        <w:rPr>
          <w:noProof/>
        </w:rPr>
      </w:pPr>
      <w:r w:rsidRPr="003C5C7D">
        <w:rPr>
          <w:noProof/>
        </w:rPr>
        <w:t>În cadrul bugetului general al Uniunii pentru exercițiul financiar 2026, se mobilizează Fondul european de ajustare la globalizare pentru lucrătorii disponibilizați, pentru a se furniza cuantumul de 210 000 EUR, sub formă de credite de angajament și credite de plată.</w:t>
      </w:r>
    </w:p>
    <w:p w14:paraId="1C97EEEB" w14:textId="77777777" w:rsidR="001A62D7" w:rsidRPr="003C5C7D" w:rsidRDefault="001A62D7" w:rsidP="004F4289">
      <w:pPr>
        <w:pStyle w:val="Titrearticle"/>
        <w:rPr>
          <w:noProof/>
        </w:rPr>
      </w:pPr>
      <w:r w:rsidRPr="003C5C7D">
        <w:rPr>
          <w:noProof/>
        </w:rPr>
        <w:t>Articolul 2</w:t>
      </w:r>
    </w:p>
    <w:p w14:paraId="0BB57F59" w14:textId="77777777" w:rsidR="001A62D7" w:rsidRPr="003C5C7D" w:rsidRDefault="001A62D7" w:rsidP="001A62D7">
      <w:pPr>
        <w:keepNext/>
        <w:keepLines/>
        <w:rPr>
          <w:noProof/>
        </w:rPr>
      </w:pPr>
      <w:r w:rsidRPr="003C5C7D">
        <w:rPr>
          <w:noProof/>
        </w:rPr>
        <w:t xml:space="preserve">Prezenta decizie intră în vigoare la data publicării sale în </w:t>
      </w:r>
      <w:r w:rsidRPr="003C5C7D">
        <w:rPr>
          <w:i/>
          <w:iCs/>
          <w:noProof/>
        </w:rPr>
        <w:t>Jurnalul Oficial al Uniunii Europene</w:t>
      </w:r>
      <w:r w:rsidRPr="003C5C7D">
        <w:rPr>
          <w:noProof/>
        </w:rPr>
        <w:t>.</w:t>
      </w:r>
    </w:p>
    <w:p w14:paraId="4CE321DE" w14:textId="3CAA4149" w:rsidR="001A62D7" w:rsidRPr="003C5C7D" w:rsidRDefault="0049418E" w:rsidP="004F4289">
      <w:pPr>
        <w:pStyle w:val="Fait"/>
        <w:rPr>
          <w:noProof/>
        </w:rPr>
      </w:pPr>
      <w:r>
        <w:rPr>
          <w:noProof/>
        </w:rPr>
        <w:t>Adoptată la Bruxelles,</w:t>
      </w:r>
    </w:p>
    <w:p w14:paraId="409725C1" w14:textId="77777777" w:rsidR="001A62D7" w:rsidRPr="003C5C7D" w:rsidRDefault="001A62D7" w:rsidP="004F4289">
      <w:pPr>
        <w:pStyle w:val="Institutionquisigne"/>
        <w:rPr>
          <w:noProof/>
        </w:rPr>
      </w:pPr>
      <w:r w:rsidRPr="003C5C7D">
        <w:rPr>
          <w:noProof/>
        </w:rPr>
        <w:t>Pentru Parlamentul European</w:t>
      </w:r>
      <w:r w:rsidRPr="003C5C7D">
        <w:rPr>
          <w:noProof/>
        </w:rPr>
        <w:tab/>
        <w:t>Pentru Consiliu</w:t>
      </w:r>
    </w:p>
    <w:p w14:paraId="01902A5E" w14:textId="77777777" w:rsidR="001A62D7" w:rsidRPr="003C5C7D" w:rsidRDefault="001A62D7" w:rsidP="001A62D7">
      <w:pPr>
        <w:pStyle w:val="Personnequisigne"/>
        <w:rPr>
          <w:noProof/>
        </w:rPr>
      </w:pPr>
      <w:r w:rsidRPr="003C5C7D">
        <w:rPr>
          <w:noProof/>
        </w:rPr>
        <w:t>Președinta</w:t>
      </w:r>
      <w:r w:rsidRPr="003C5C7D">
        <w:rPr>
          <w:noProof/>
        </w:rPr>
        <w:tab/>
        <w:t xml:space="preserve">Președintele </w:t>
      </w:r>
      <w:r w:rsidRPr="003C5C7D">
        <w:rPr>
          <w:noProof/>
        </w:rPr>
        <w:br/>
      </w:r>
    </w:p>
    <w:sectPr w:rsidR="001A62D7" w:rsidRPr="003C5C7D" w:rsidSect="001214F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CA0B0" w14:textId="77777777" w:rsidR="00E01C30" w:rsidRPr="003C5C7D" w:rsidRDefault="00E01C30" w:rsidP="001A62D7">
      <w:pPr>
        <w:spacing w:before="0" w:after="0"/>
      </w:pPr>
      <w:r w:rsidRPr="003C5C7D">
        <w:separator/>
      </w:r>
    </w:p>
  </w:endnote>
  <w:endnote w:type="continuationSeparator" w:id="0">
    <w:p w14:paraId="50110EA2" w14:textId="77777777" w:rsidR="00E01C30" w:rsidRPr="003C5C7D" w:rsidRDefault="00E01C30" w:rsidP="001A62D7">
      <w:pPr>
        <w:spacing w:before="0" w:after="0"/>
      </w:pPr>
      <w:r w:rsidRPr="003C5C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0A317" w14:textId="7720571A" w:rsidR="001214F9" w:rsidRPr="001214F9" w:rsidRDefault="001214F9" w:rsidP="001214F9">
    <w:pPr>
      <w:pStyle w:val="Footer"/>
      <w:rPr>
        <w:rFonts w:ascii="Arial" w:hAnsi="Arial" w:cs="Arial"/>
        <w:b/>
        <w:sz w:val="48"/>
      </w:rPr>
    </w:pPr>
    <w:r w:rsidRPr="001214F9">
      <w:rPr>
        <w:rFonts w:ascii="Arial" w:hAnsi="Arial" w:cs="Arial"/>
        <w:b/>
        <w:sz w:val="48"/>
      </w:rPr>
      <w:t>RO</w:t>
    </w:r>
    <w:r w:rsidRPr="001214F9">
      <w:rPr>
        <w:rFonts w:ascii="Arial" w:hAnsi="Arial" w:cs="Arial"/>
        <w:b/>
        <w:sz w:val="48"/>
      </w:rPr>
      <w:tab/>
    </w:r>
    <w:r w:rsidRPr="001214F9">
      <w:rPr>
        <w:rFonts w:ascii="Arial" w:hAnsi="Arial" w:cs="Arial"/>
        <w:b/>
        <w:sz w:val="48"/>
      </w:rPr>
      <w:tab/>
    </w:r>
    <w:r w:rsidRPr="001214F9">
      <w:tab/>
    </w:r>
    <w:r w:rsidRPr="001214F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95702" w14:textId="4BA6057C" w:rsidR="001214F9" w:rsidRPr="001214F9" w:rsidRDefault="001214F9" w:rsidP="001214F9">
    <w:pPr>
      <w:pStyle w:val="Footer"/>
      <w:rPr>
        <w:rFonts w:ascii="Arial" w:hAnsi="Arial" w:cs="Arial"/>
        <w:b/>
        <w:sz w:val="48"/>
      </w:rPr>
    </w:pPr>
    <w:r w:rsidRPr="001214F9">
      <w:rPr>
        <w:rFonts w:ascii="Arial" w:hAnsi="Arial" w:cs="Arial"/>
        <w:b/>
        <w:sz w:val="48"/>
      </w:rPr>
      <w:t>RO</w:t>
    </w:r>
    <w:r w:rsidRPr="001214F9">
      <w:rPr>
        <w:rFonts w:ascii="Arial" w:hAnsi="Arial" w:cs="Arial"/>
        <w:b/>
        <w:sz w:val="48"/>
      </w:rPr>
      <w:tab/>
    </w:r>
    <w:r w:rsidRPr="001214F9">
      <w:rPr>
        <w:rFonts w:ascii="Arial" w:hAnsi="Arial" w:cs="Arial"/>
        <w:b/>
        <w:sz w:val="48"/>
      </w:rPr>
      <w:tab/>
    </w:r>
    <w:r w:rsidRPr="001214F9">
      <w:tab/>
    </w:r>
    <w:r w:rsidRPr="001214F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D2609" w14:textId="77777777" w:rsidR="001214F9" w:rsidRDefault="001214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6A19F" w14:textId="7FA99A97" w:rsidR="001214F9" w:rsidRPr="001214F9" w:rsidRDefault="001214F9" w:rsidP="001214F9">
    <w:pPr>
      <w:pStyle w:val="Footer"/>
      <w:rPr>
        <w:rFonts w:ascii="Arial" w:hAnsi="Arial" w:cs="Arial"/>
        <w:b/>
        <w:sz w:val="48"/>
      </w:rPr>
    </w:pPr>
    <w:r w:rsidRPr="001214F9">
      <w:rPr>
        <w:rFonts w:ascii="Arial" w:hAnsi="Arial" w:cs="Arial"/>
        <w:b/>
        <w:sz w:val="48"/>
      </w:rPr>
      <w:t>RO</w:t>
    </w:r>
    <w:r w:rsidRPr="001214F9">
      <w:rPr>
        <w:rFonts w:ascii="Arial" w:hAnsi="Arial" w:cs="Arial"/>
        <w:b/>
        <w:sz w:val="48"/>
      </w:rPr>
      <w:tab/>
    </w:r>
    <w:r>
      <w:fldChar w:fldCharType="begin"/>
    </w:r>
    <w:r>
      <w:instrText xml:space="preserve"> PAGE  \* MERGEFORMAT </w:instrText>
    </w:r>
    <w:r>
      <w:fldChar w:fldCharType="separate"/>
    </w:r>
    <w:r w:rsidR="004F4289">
      <w:rPr>
        <w:noProof/>
      </w:rPr>
      <w:t>5</w:t>
    </w:r>
    <w:r>
      <w:fldChar w:fldCharType="end"/>
    </w:r>
    <w:r>
      <w:tab/>
    </w:r>
    <w:r w:rsidRPr="001214F9">
      <w:tab/>
    </w:r>
    <w:r w:rsidRPr="001214F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D3064" w14:textId="77777777" w:rsidR="001214F9" w:rsidRDefault="001214F9" w:rsidP="00121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999A5" w14:textId="77777777" w:rsidR="00E01C30" w:rsidRPr="003C5C7D" w:rsidRDefault="00E01C30" w:rsidP="001A62D7">
      <w:pPr>
        <w:spacing w:before="0" w:after="0"/>
      </w:pPr>
      <w:r w:rsidRPr="003C5C7D">
        <w:separator/>
      </w:r>
    </w:p>
  </w:footnote>
  <w:footnote w:type="continuationSeparator" w:id="0">
    <w:p w14:paraId="45887267" w14:textId="77777777" w:rsidR="00E01C30" w:rsidRPr="003C5C7D" w:rsidRDefault="00E01C30" w:rsidP="001A62D7">
      <w:pPr>
        <w:spacing w:before="0" w:after="0"/>
      </w:pPr>
      <w:r w:rsidRPr="003C5C7D">
        <w:continuationSeparator/>
      </w:r>
    </w:p>
  </w:footnote>
  <w:footnote w:id="1">
    <w:p w14:paraId="025F1A09" w14:textId="33472CB0" w:rsidR="00BF6BC2" w:rsidRPr="003C5C7D" w:rsidRDefault="00BF6BC2" w:rsidP="00BF6BC2">
      <w:pPr>
        <w:pStyle w:val="FootnoteText"/>
      </w:pPr>
      <w:r w:rsidRPr="003C5C7D">
        <w:rPr>
          <w:rStyle w:val="FootnoteReference"/>
        </w:rPr>
        <w:footnoteRef/>
      </w:r>
      <w:r w:rsidRPr="003C5C7D">
        <w:tab/>
        <w:t>JO</w:t>
      </w:r>
      <w:r w:rsidR="003C5C7D">
        <w:t> </w:t>
      </w:r>
      <w:r w:rsidRPr="003C5C7D">
        <w:t>L 153, 3.5.2021, p. 48, ELI: </w:t>
      </w:r>
      <w:hyperlink r:id="rId1" w:tooltip="Oferă acces la acest document prin identificatorul său uniform de resurse ELI." w:history="1">
        <w:r w:rsidRPr="003C5C7D">
          <w:rPr>
            <w:rStyle w:val="Hyperlink"/>
          </w:rPr>
          <w:t>http://data.europa.eu/eli/reg/2021/691/oj</w:t>
        </w:r>
      </w:hyperlink>
      <w:r w:rsidRPr="003C5C7D">
        <w:t>.</w:t>
      </w:r>
    </w:p>
  </w:footnote>
  <w:footnote w:id="2">
    <w:p w14:paraId="1576868A" w14:textId="0155059A" w:rsidR="00BF6BC2" w:rsidRPr="003C5C7D" w:rsidRDefault="00BF6BC2" w:rsidP="00BF6BC2">
      <w:pPr>
        <w:pStyle w:val="FootnoteText"/>
      </w:pPr>
      <w:r w:rsidRPr="003C5C7D">
        <w:rPr>
          <w:rStyle w:val="FootnoteReference"/>
        </w:rPr>
        <w:footnoteRef/>
      </w:r>
      <w:r w:rsidRPr="003C5C7D">
        <w:tab/>
      </w:r>
      <w:hyperlink r:id="rId2" w:history="1">
        <w:r w:rsidRPr="003C5C7D">
          <w:rPr>
            <w:rStyle w:val="Hyperlink"/>
          </w:rPr>
          <w:t>https://employment-social-affairs.ec.europa.eu/policies-and-activities/funding/european-globalisation-adjustment-fund-displaced-workers-egf_ro</w:t>
        </w:r>
      </w:hyperlink>
      <w:r w:rsidR="003C5C7D">
        <w:t>.</w:t>
      </w:r>
    </w:p>
  </w:footnote>
  <w:footnote w:id="3">
    <w:p w14:paraId="55718EA9" w14:textId="239CBD88" w:rsidR="001F6CB0" w:rsidRPr="003C5C7D" w:rsidRDefault="001F6CB0">
      <w:pPr>
        <w:pStyle w:val="FootnoteText"/>
      </w:pPr>
      <w:r w:rsidRPr="003C5C7D">
        <w:rPr>
          <w:rStyle w:val="FootnoteReference"/>
        </w:rPr>
        <w:footnoteRef/>
      </w:r>
      <w:r w:rsidRPr="003C5C7D">
        <w:tab/>
        <w:t>Propunere de REGULAMENT AL PARLAMENTULUI EUROPEAN ȘI AL CONSILIULUI de modificare a Regulamentului (UE) 2021/691 în ceea ce privește sprijinul acordat lucrătorilor afectați de disponibilizări iminente în întreprinderile în curs de restructurare, COM(2025) 140 final, 1.4.2025.</w:t>
      </w:r>
    </w:p>
  </w:footnote>
  <w:footnote w:id="4">
    <w:p w14:paraId="7F14299C" w14:textId="6F219D16" w:rsidR="00BF6BC2" w:rsidRPr="003C5C7D" w:rsidRDefault="00BF6BC2" w:rsidP="00BF6BC2">
      <w:pPr>
        <w:pStyle w:val="FootnoteText"/>
      </w:pPr>
      <w:r w:rsidRPr="003C5C7D">
        <w:rPr>
          <w:rStyle w:val="FootnoteReference"/>
        </w:rPr>
        <w:footnoteRef/>
      </w:r>
      <w:r w:rsidRPr="003C5C7D">
        <w:tab/>
        <w:t>JO</w:t>
      </w:r>
      <w:r w:rsidR="003C5C7D">
        <w:t> </w:t>
      </w:r>
      <w:r w:rsidRPr="003C5C7D">
        <w:t>L 433 I, 22.12.2020, p.</w:t>
      </w:r>
      <w:r w:rsidR="003C5C7D">
        <w:t xml:space="preserve"> </w:t>
      </w:r>
      <w:r w:rsidRPr="003C5C7D">
        <w:t>11.</w:t>
      </w:r>
    </w:p>
  </w:footnote>
  <w:footnote w:id="5">
    <w:p w14:paraId="438D2F79" w14:textId="2C342A04" w:rsidR="00BF6BC2" w:rsidRPr="003C5C7D" w:rsidRDefault="00BF6BC2" w:rsidP="00BF6BC2">
      <w:pPr>
        <w:pStyle w:val="FootnoteText"/>
      </w:pPr>
      <w:r w:rsidRPr="003C5C7D">
        <w:rPr>
          <w:rStyle w:val="FootnoteReference"/>
        </w:rPr>
        <w:footnoteRef/>
      </w:r>
      <w:r w:rsidRPr="003C5C7D">
        <w:tab/>
        <w:t>JO</w:t>
      </w:r>
      <w:r w:rsidR="003C5C7D">
        <w:t> </w:t>
      </w:r>
      <w:r w:rsidRPr="003C5C7D">
        <w:t>L 2024/765, 29.2.2024, p. 4, ELI: http://data.europa.eu/eli/reg/2024/765/oj.</w:t>
      </w:r>
    </w:p>
  </w:footnote>
  <w:footnote w:id="6">
    <w:p w14:paraId="1A62FAB8" w14:textId="7ABC1EA8" w:rsidR="00BF6BC2" w:rsidRPr="003C5C7D" w:rsidRDefault="00BF6BC2" w:rsidP="00BF6BC2">
      <w:pPr>
        <w:pStyle w:val="FootnoteText"/>
      </w:pPr>
      <w:r w:rsidRPr="003C5C7D">
        <w:rPr>
          <w:rStyle w:val="FootnoteReference"/>
        </w:rPr>
        <w:footnoteRef/>
      </w:r>
      <w:r w:rsidRPr="003C5C7D">
        <w:tab/>
        <w:t>JO</w:t>
      </w:r>
      <w:r w:rsidR="003C5C7D">
        <w:t> </w:t>
      </w:r>
      <w:r w:rsidRPr="003C5C7D">
        <w:t>L 433 I, 22.12.2020, p. 28.</w:t>
      </w:r>
    </w:p>
  </w:footnote>
  <w:footnote w:id="7">
    <w:p w14:paraId="62391C70" w14:textId="45D4A706" w:rsidR="001A62D7" w:rsidRPr="003C5C7D" w:rsidRDefault="001A62D7" w:rsidP="00887A63">
      <w:pPr>
        <w:pStyle w:val="FootnoteText"/>
        <w:rPr>
          <w:rStyle w:val="FootnoteReference"/>
          <w:vertAlign w:val="baseline"/>
        </w:rPr>
      </w:pPr>
      <w:r w:rsidRPr="003C5C7D">
        <w:rPr>
          <w:rStyle w:val="FootnoteReference"/>
        </w:rPr>
        <w:footnoteRef/>
      </w:r>
      <w:r w:rsidRPr="003C5C7D">
        <w:tab/>
      </w:r>
      <w:r w:rsidRPr="003C5C7D">
        <w:rPr>
          <w:rStyle w:val="FootnoteReference"/>
          <w:vertAlign w:val="baseline"/>
        </w:rPr>
        <w:t>JO</w:t>
      </w:r>
      <w:r w:rsidR="003C5C7D">
        <w:rPr>
          <w:rStyle w:val="FootnoteReference"/>
          <w:vertAlign w:val="baseline"/>
        </w:rPr>
        <w:t> </w:t>
      </w:r>
      <w:r w:rsidRPr="003C5C7D">
        <w:rPr>
          <w:rStyle w:val="FootnoteReference"/>
          <w:vertAlign w:val="baseline"/>
        </w:rPr>
        <w:t>L 153, 3.5.2021, p. 48, ELI: http://data.europa.eu/eli/reg/2021/691/oj.</w:t>
      </w:r>
    </w:p>
  </w:footnote>
  <w:footnote w:id="8">
    <w:p w14:paraId="4404EC59" w14:textId="67697DFE" w:rsidR="001A62D7" w:rsidRPr="003C5C7D" w:rsidRDefault="001A62D7" w:rsidP="00887A63">
      <w:pPr>
        <w:pStyle w:val="FootnoteText"/>
        <w:rPr>
          <w:rStyle w:val="FootnoteReference"/>
          <w:vertAlign w:val="baseline"/>
        </w:rPr>
      </w:pPr>
      <w:r w:rsidRPr="003C5C7D">
        <w:rPr>
          <w:rStyle w:val="FootnoteReference"/>
        </w:rPr>
        <w:footnoteRef/>
      </w:r>
      <w:r w:rsidRPr="003C5C7D">
        <w:tab/>
      </w:r>
      <w:r w:rsidRPr="003C5C7D">
        <w:rPr>
          <w:rStyle w:val="FootnoteReference"/>
          <w:vertAlign w:val="baseline"/>
        </w:rPr>
        <w:t>JO</w:t>
      </w:r>
      <w:r w:rsidR="003C5C7D">
        <w:rPr>
          <w:rStyle w:val="FootnoteReference"/>
          <w:vertAlign w:val="baseline"/>
        </w:rPr>
        <w:t> </w:t>
      </w:r>
      <w:r w:rsidRPr="003C5C7D">
        <w:rPr>
          <w:rStyle w:val="FootnoteReference"/>
          <w:vertAlign w:val="baseline"/>
        </w:rPr>
        <w:t>L 433 I, 22.12.2020, p. 28, ELI: http://data.europa.eu/eli/agree_interinstit/2020/1222/oj.</w:t>
      </w:r>
    </w:p>
  </w:footnote>
  <w:footnote w:id="9">
    <w:p w14:paraId="0BEBEF3F" w14:textId="2E87EBB2" w:rsidR="001A62D7" w:rsidRPr="009F7C73" w:rsidRDefault="001A62D7" w:rsidP="001A62D7">
      <w:pPr>
        <w:pStyle w:val="FootnoteText"/>
      </w:pPr>
      <w:r w:rsidRPr="003C5C7D">
        <w:rPr>
          <w:rStyle w:val="FootnoteReference"/>
        </w:rPr>
        <w:footnoteRef/>
      </w:r>
      <w:r w:rsidRPr="003C5C7D">
        <w:tab/>
        <w:t>Regulamentul (UE, Euratom) 2020/2093 al Consiliului din 17 decembrie 2020 de stabilire a cadrului financiar multianual pentru perioada 2021-2027 (JO L 433 I, 22.12.2020, p. 11, ELI: http://data.europa.eu/eli/reg/2020/2093/oj).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271B4" w14:textId="77777777" w:rsidR="001214F9" w:rsidRDefault="001214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79FCC" w14:textId="77777777" w:rsidR="001214F9" w:rsidRDefault="001214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name w:val="826494818"/>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6"/>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9 08:25: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5EEB1C5-E056-4C7A-A4DE-893A196C81A0"/>
    <w:docVar w:name="LW_COVERPAGE_TYPE" w:val="1"/>
    <w:docVar w:name="LW_CreatedUtc" w:val="2025-02-03T12:09:04.7855178Z"/>
    <w:docVar w:name="LW_CROSSREFERENCE" w:val="&lt;UNUSED&gt;"/>
    <w:docVar w:name="LW_DocType" w:val="COM"/>
    <w:docVar w:name="LW_EMISSION" w:val="26.5.2026"/>
    <w:docVar w:name="LW_EMISSION_ISODATE" w:val="2026-05-26"/>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126"/>
    <w:docVar w:name="LW_REF.II.NEW.CP_YEAR" w:val="2026"/>
    <w:docVar w:name="LW_REF.INST.NEW" w:val="COM"/>
    <w:docVar w:name="LW_REF.INST.NEW_ADOPTED" w:val="final"/>
    <w:docVar w:name="LW_REF.INST.NEW_TEXT" w:val="(2026) 3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european de ajustare la globalizare pentru lucr\u259?torii disponibiliza\u539?i la ini\u539?iativa Comisiei (EGF/2026/000 TA 2026 \u8211? Asisten\u539?\u259? tehnic\u259?)"/>
    <w:docVar w:name="LW_TYPE.DOC.CP" w:val="DECIZIE A PARLAMENTULUI EUROPEAN \u536?I A CONSILIULUI"/>
    <w:docVar w:name="LwApiVersions" w:val="LW4CoDe 1.24.5.0; LW 9.2, Build 20251112"/>
  </w:docVars>
  <w:rsids>
    <w:rsidRoot w:val="001A62D7"/>
    <w:rsid w:val="00006413"/>
    <w:rsid w:val="00043A15"/>
    <w:rsid w:val="0005098F"/>
    <w:rsid w:val="00074EC4"/>
    <w:rsid w:val="000A73E7"/>
    <w:rsid w:val="00105AD3"/>
    <w:rsid w:val="001065F5"/>
    <w:rsid w:val="0011044B"/>
    <w:rsid w:val="001214F9"/>
    <w:rsid w:val="001238EF"/>
    <w:rsid w:val="00126619"/>
    <w:rsid w:val="00135FFF"/>
    <w:rsid w:val="0014187A"/>
    <w:rsid w:val="0019013B"/>
    <w:rsid w:val="00197613"/>
    <w:rsid w:val="001A62D7"/>
    <w:rsid w:val="001B050B"/>
    <w:rsid w:val="001C2B74"/>
    <w:rsid w:val="001D37D3"/>
    <w:rsid w:val="001D5AA5"/>
    <w:rsid w:val="001E4049"/>
    <w:rsid w:val="001E7222"/>
    <w:rsid w:val="001F6CB0"/>
    <w:rsid w:val="002026D7"/>
    <w:rsid w:val="00227B90"/>
    <w:rsid w:val="00233DC7"/>
    <w:rsid w:val="00243F98"/>
    <w:rsid w:val="00245A79"/>
    <w:rsid w:val="00247779"/>
    <w:rsid w:val="002623B5"/>
    <w:rsid w:val="00285BEE"/>
    <w:rsid w:val="0029533F"/>
    <w:rsid w:val="002A6A5A"/>
    <w:rsid w:val="002B30AF"/>
    <w:rsid w:val="002D0028"/>
    <w:rsid w:val="002D2E46"/>
    <w:rsid w:val="002F3C07"/>
    <w:rsid w:val="003208A2"/>
    <w:rsid w:val="0033344A"/>
    <w:rsid w:val="003618E0"/>
    <w:rsid w:val="00376170"/>
    <w:rsid w:val="00384F23"/>
    <w:rsid w:val="00387040"/>
    <w:rsid w:val="003A0A93"/>
    <w:rsid w:val="003A237D"/>
    <w:rsid w:val="003C5C7D"/>
    <w:rsid w:val="003C7758"/>
    <w:rsid w:val="003F41A0"/>
    <w:rsid w:val="00400F99"/>
    <w:rsid w:val="0041069E"/>
    <w:rsid w:val="004223D8"/>
    <w:rsid w:val="0042648E"/>
    <w:rsid w:val="0042716E"/>
    <w:rsid w:val="00432487"/>
    <w:rsid w:val="00455363"/>
    <w:rsid w:val="00471F62"/>
    <w:rsid w:val="00484FBA"/>
    <w:rsid w:val="004936D2"/>
    <w:rsid w:val="0049418E"/>
    <w:rsid w:val="004C33A1"/>
    <w:rsid w:val="004C4BB5"/>
    <w:rsid w:val="004D0387"/>
    <w:rsid w:val="004D583F"/>
    <w:rsid w:val="004D5BB3"/>
    <w:rsid w:val="004F08AA"/>
    <w:rsid w:val="004F4289"/>
    <w:rsid w:val="00516AA6"/>
    <w:rsid w:val="005254E2"/>
    <w:rsid w:val="00530AAF"/>
    <w:rsid w:val="005473FC"/>
    <w:rsid w:val="00554F43"/>
    <w:rsid w:val="00562C82"/>
    <w:rsid w:val="005665FB"/>
    <w:rsid w:val="005915B2"/>
    <w:rsid w:val="005B1EB6"/>
    <w:rsid w:val="005B2FE9"/>
    <w:rsid w:val="005C66A0"/>
    <w:rsid w:val="005E7E04"/>
    <w:rsid w:val="00613795"/>
    <w:rsid w:val="006158FD"/>
    <w:rsid w:val="006251C4"/>
    <w:rsid w:val="00625B31"/>
    <w:rsid w:val="006269BD"/>
    <w:rsid w:val="006C76CA"/>
    <w:rsid w:val="006D6C99"/>
    <w:rsid w:val="006F519F"/>
    <w:rsid w:val="007218E2"/>
    <w:rsid w:val="00721C63"/>
    <w:rsid w:val="00731699"/>
    <w:rsid w:val="00733474"/>
    <w:rsid w:val="0075062E"/>
    <w:rsid w:val="00751DE2"/>
    <w:rsid w:val="00773331"/>
    <w:rsid w:val="00775B2D"/>
    <w:rsid w:val="00782388"/>
    <w:rsid w:val="007850C3"/>
    <w:rsid w:val="007852EE"/>
    <w:rsid w:val="007932EF"/>
    <w:rsid w:val="00793EBD"/>
    <w:rsid w:val="007D5441"/>
    <w:rsid w:val="007E05B0"/>
    <w:rsid w:val="007F705A"/>
    <w:rsid w:val="0080246A"/>
    <w:rsid w:val="008118FF"/>
    <w:rsid w:val="0081312F"/>
    <w:rsid w:val="008172A8"/>
    <w:rsid w:val="00841CEB"/>
    <w:rsid w:val="008463C7"/>
    <w:rsid w:val="00863D12"/>
    <w:rsid w:val="00874D22"/>
    <w:rsid w:val="00881F5C"/>
    <w:rsid w:val="00886903"/>
    <w:rsid w:val="00887A63"/>
    <w:rsid w:val="00887E32"/>
    <w:rsid w:val="008A2914"/>
    <w:rsid w:val="008B762A"/>
    <w:rsid w:val="008E06B5"/>
    <w:rsid w:val="008E2179"/>
    <w:rsid w:val="008E24D5"/>
    <w:rsid w:val="008E4D8E"/>
    <w:rsid w:val="0092277D"/>
    <w:rsid w:val="009360D0"/>
    <w:rsid w:val="00943C80"/>
    <w:rsid w:val="00972292"/>
    <w:rsid w:val="00976503"/>
    <w:rsid w:val="009802F7"/>
    <w:rsid w:val="009C5E57"/>
    <w:rsid w:val="009D0C3A"/>
    <w:rsid w:val="009F0457"/>
    <w:rsid w:val="009F1F87"/>
    <w:rsid w:val="009F31A8"/>
    <w:rsid w:val="009F6097"/>
    <w:rsid w:val="00A10D8F"/>
    <w:rsid w:val="00A1187D"/>
    <w:rsid w:val="00A23E3D"/>
    <w:rsid w:val="00A31E3D"/>
    <w:rsid w:val="00A3207C"/>
    <w:rsid w:val="00A37AA2"/>
    <w:rsid w:val="00A510B1"/>
    <w:rsid w:val="00A51D71"/>
    <w:rsid w:val="00A52484"/>
    <w:rsid w:val="00A55775"/>
    <w:rsid w:val="00A62B61"/>
    <w:rsid w:val="00A70080"/>
    <w:rsid w:val="00A85487"/>
    <w:rsid w:val="00AC23F4"/>
    <w:rsid w:val="00AC5FE9"/>
    <w:rsid w:val="00AE0FF1"/>
    <w:rsid w:val="00AE1EEE"/>
    <w:rsid w:val="00AE6F8F"/>
    <w:rsid w:val="00AF47F6"/>
    <w:rsid w:val="00B013FF"/>
    <w:rsid w:val="00B232DA"/>
    <w:rsid w:val="00B23B13"/>
    <w:rsid w:val="00B318D5"/>
    <w:rsid w:val="00B47A05"/>
    <w:rsid w:val="00B86BD9"/>
    <w:rsid w:val="00BD6EAB"/>
    <w:rsid w:val="00BE7096"/>
    <w:rsid w:val="00BF6BC2"/>
    <w:rsid w:val="00C10539"/>
    <w:rsid w:val="00C12301"/>
    <w:rsid w:val="00C201D6"/>
    <w:rsid w:val="00C8732B"/>
    <w:rsid w:val="00CB6600"/>
    <w:rsid w:val="00CB7CAD"/>
    <w:rsid w:val="00CC6EDB"/>
    <w:rsid w:val="00CD4279"/>
    <w:rsid w:val="00D01419"/>
    <w:rsid w:val="00D20381"/>
    <w:rsid w:val="00D2197C"/>
    <w:rsid w:val="00D40977"/>
    <w:rsid w:val="00D415A3"/>
    <w:rsid w:val="00D42B30"/>
    <w:rsid w:val="00D54F1D"/>
    <w:rsid w:val="00D82A81"/>
    <w:rsid w:val="00D975EC"/>
    <w:rsid w:val="00DA31BE"/>
    <w:rsid w:val="00DA4EC5"/>
    <w:rsid w:val="00DD196B"/>
    <w:rsid w:val="00DF4047"/>
    <w:rsid w:val="00E01C30"/>
    <w:rsid w:val="00E04957"/>
    <w:rsid w:val="00E5516A"/>
    <w:rsid w:val="00E676B4"/>
    <w:rsid w:val="00E859C9"/>
    <w:rsid w:val="00EC6339"/>
    <w:rsid w:val="00EF46D4"/>
    <w:rsid w:val="00F02361"/>
    <w:rsid w:val="00F13120"/>
    <w:rsid w:val="00F27890"/>
    <w:rsid w:val="00F445D7"/>
    <w:rsid w:val="00F56FBA"/>
    <w:rsid w:val="00F615C5"/>
    <w:rsid w:val="00F77D99"/>
    <w:rsid w:val="00FA7441"/>
    <w:rsid w:val="00FC38F8"/>
    <w:rsid w:val="00FC6123"/>
    <w:rsid w:val="00FC6451"/>
    <w:rsid w:val="00FF5C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C976BE"/>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ro-RO"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ro-RO"/>
    </w:rPr>
  </w:style>
  <w:style w:type="character" w:customStyle="1" w:styleId="FooterCoverPageChar">
    <w:name w:val="Footer Cover Page Char"/>
    <w:link w:val="FooterCoverPage"/>
    <w:rsid w:val="001A62D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ro-RO" w:eastAsia="en-GB"/>
    </w:rPr>
  </w:style>
  <w:style w:type="character" w:customStyle="1" w:styleId="FooterSensitivityChar">
    <w:name w:val="Footer Sensitivity Char"/>
    <w:rsid w:val="001A62D7"/>
    <w:rPr>
      <w:rFonts w:ascii="Times New Roman" w:hAnsi="Times New Roman" w:cs="Times New Roman"/>
      <w:b/>
      <w:sz w:val="32"/>
      <w:lang w:val="ro-RO"/>
    </w:rPr>
  </w:style>
  <w:style w:type="character" w:customStyle="1" w:styleId="HeaderSensitivityChar">
    <w:name w:val="Header Sensitivity Char"/>
    <w:rsid w:val="001A62D7"/>
    <w:rPr>
      <w:rFonts w:ascii="Times New Roman" w:hAnsi="Times New Roman" w:cs="Times New Roman"/>
      <w:b/>
      <w:sz w:val="32"/>
      <w:lang w:val="ro-RO"/>
    </w:rPr>
  </w:style>
  <w:style w:type="character" w:customStyle="1" w:styleId="HeaderSensitivityRightChar">
    <w:name w:val="Header Sensitivity Right Char"/>
    <w:rsid w:val="001A62D7"/>
    <w:rPr>
      <w:rFonts w:ascii="Times New Roman" w:hAnsi="Times New Roman" w:cs="Times New Roman"/>
      <w:sz w:val="28"/>
      <w:lang w:val="ro-RO"/>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1">
    <w:name w:val="Mention1"/>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paragraph" w:styleId="ListBullet5">
    <w:name w:val="List Bullet 5"/>
    <w:basedOn w:val="Normal"/>
    <w:uiPriority w:val="99"/>
    <w:unhideWhenUsed/>
    <w:rsid w:val="00BF6BC2"/>
    <w:pPr>
      <w:tabs>
        <w:tab w:val="num" w:pos="1492"/>
      </w:tabs>
      <w:ind w:left="1492" w:hanging="360"/>
      <w:contextualSpacing/>
    </w:pPr>
  </w:style>
  <w:style w:type="character" w:customStyle="1" w:styleId="UnresolvedMention">
    <w:name w:val="Unresolved Mention"/>
    <w:basedOn w:val="DefaultParagraphFont"/>
    <w:uiPriority w:val="99"/>
    <w:semiHidden/>
    <w:unhideWhenUsed/>
    <w:rsid w:val="0081312F"/>
    <w:rPr>
      <w:color w:val="605E5C"/>
      <w:shd w:val="clear" w:color="auto" w:fill="E1DFDD"/>
    </w:rPr>
  </w:style>
  <w:style w:type="character" w:customStyle="1" w:styleId="HeaderChar">
    <w:name w:val="Header Char"/>
    <w:basedOn w:val="DefaultParagraphFont"/>
    <w:link w:val="Header"/>
    <w:uiPriority w:val="99"/>
    <w:rsid w:val="001214F9"/>
    <w:rPr>
      <w:rFonts w:ascii="Times New Roman" w:hAnsi="Times New Roman" w:cs="Times New Roman"/>
      <w:sz w:val="24"/>
      <w:lang w:val="ro-RO"/>
    </w:rPr>
  </w:style>
  <w:style w:type="character" w:customStyle="1" w:styleId="FooterChar">
    <w:name w:val="Footer Char"/>
    <w:basedOn w:val="DefaultParagraphFont"/>
    <w:link w:val="Footer"/>
    <w:uiPriority w:val="99"/>
    <w:rsid w:val="001214F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214F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214F9"/>
    <w:pPr>
      <w:spacing w:before="0"/>
      <w:jc w:val="right"/>
    </w:pPr>
    <w:rPr>
      <w:sz w:val="28"/>
    </w:rPr>
  </w:style>
  <w:style w:type="paragraph" w:customStyle="1" w:styleId="FooterSensitivity">
    <w:name w:val="Footer Sensitivity"/>
    <w:basedOn w:val="Normal"/>
    <w:rsid w:val="001214F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214F9"/>
    <w:pPr>
      <w:tabs>
        <w:tab w:val="center" w:pos="4535"/>
        <w:tab w:val="right" w:pos="9071"/>
      </w:tabs>
      <w:spacing w:before="0"/>
    </w:pPr>
  </w:style>
  <w:style w:type="paragraph" w:customStyle="1" w:styleId="HeaderLandscape">
    <w:name w:val="HeaderLandscape"/>
    <w:basedOn w:val="Normal"/>
    <w:rsid w:val="001214F9"/>
    <w:pPr>
      <w:tabs>
        <w:tab w:val="center" w:pos="7285"/>
        <w:tab w:val="right" w:pos="14003"/>
      </w:tabs>
      <w:spacing w:before="0"/>
    </w:pPr>
  </w:style>
  <w:style w:type="paragraph" w:styleId="Footer">
    <w:name w:val="footer"/>
    <w:basedOn w:val="Normal"/>
    <w:link w:val="FooterChar"/>
    <w:uiPriority w:val="99"/>
    <w:unhideWhenUsed/>
    <w:rsid w:val="001214F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214F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employment-social-affairs.ec.europa.eu/policies-and-activities/funding/european-globalisation-adjustment-fund-displaced-workers-egf_ro" TargetMode="External"/><Relationship Id="rId1" Type="http://schemas.openxmlformats.org/officeDocument/2006/relationships/hyperlink" Target="http://data.europa.eu/eli/reg/2021/69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319FC-0260-4D86-81D8-007DB9C72E58}">
  <ds:schemaRefs>
    <ds:schemaRef ds:uri="144c03d0-0f03-451f-9d46-5279004462a4"/>
    <ds:schemaRef ds:uri="http://schemas.microsoft.com/sharepoint/v3/fields"/>
    <ds:schemaRef ds:uri="http://purl.org/dc/elements/1.1/"/>
    <ds:schemaRef ds:uri="http://purl.org/dc/dcmitype/"/>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f7bb8512-91eb-4bfd-be42-d6f021407e9a"/>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BE5E5C36-916F-46A8-900B-9AF41CFA7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6824A5-D313-4695-B110-A2F5977D8BB4}">
  <ds:schemaRefs>
    <ds:schemaRef ds:uri="http://schemas.microsoft.com/sharepoint/v3/contenttype/forms"/>
  </ds:schemaRefs>
</ds:datastoreItem>
</file>

<file path=customXml/itemProps4.xml><?xml version="1.0" encoding="utf-8"?>
<ds:datastoreItem xmlns:ds="http://schemas.openxmlformats.org/officeDocument/2006/customXml" ds:itemID="{E7F44109-D02C-4350-8EE0-F6F43C1B6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6</Pages>
  <Words>1417</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2026-04-24T13:43:00Z</dcterms:created>
  <dcterms:modified xsi:type="dcterms:W3CDTF">2026-05-19T06:25:00Z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